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F5D9" w14:textId="75C5CAA7" w:rsidR="00AD74F8" w:rsidRDefault="008D4789" w:rsidP="00BE2375">
      <w:r w:rsidRPr="00996EF4">
        <w:rPr>
          <w:noProof/>
          <w:lang w:val="es-MX" w:eastAsia="es-MX"/>
        </w:rPr>
        <w:drawing>
          <wp:anchor distT="0" distB="382143" distL="136525" distR="136525" simplePos="0" relativeHeight="251659264" behindDoc="0" locked="0" layoutInCell="1" allowOverlap="0" wp14:anchorId="0821C6DB" wp14:editId="4353732A">
            <wp:simplePos x="0" y="0"/>
            <wp:positionH relativeFrom="column">
              <wp:posOffset>-19050</wp:posOffset>
            </wp:positionH>
            <wp:positionV relativeFrom="paragraph">
              <wp:posOffset>119380</wp:posOffset>
            </wp:positionV>
            <wp:extent cx="543560" cy="895985"/>
            <wp:effectExtent l="0" t="0" r="2540" b="5715"/>
            <wp:wrapNone/>
            <wp:docPr id="14" name="Immagine 5" descr="International Journal of Serious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5" descr="International Journal of Serious Games"/>
                    <pic:cNvPicPr>
                      <a:picLocks noChangeAspect="1" noChangeArrowheads="1"/>
                    </pic:cNvPicPr>
                  </pic:nvPicPr>
                  <pic:blipFill rotWithShape="1">
                    <a:blip r:embed="rId8">
                      <a:extLst>
                        <a:ext uri="{28A0092B-C50C-407E-A947-70E740481C1C}">
                          <a14:useLocalDpi xmlns:a14="http://schemas.microsoft.com/office/drawing/2010/main" val="0"/>
                        </a:ext>
                      </a:extLst>
                    </a:blip>
                    <a:srcRect l="3959" r="84311" b="30519"/>
                    <a:stretch/>
                  </pic:blipFill>
                  <pic:spPr bwMode="auto">
                    <a:xfrm>
                      <a:off x="0" y="0"/>
                      <a:ext cx="543560" cy="89598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D87A20" w14:textId="6CB84F44" w:rsidR="008C4A3A" w:rsidRPr="008C4A3A" w:rsidRDefault="008C4A3A" w:rsidP="00F7548B">
      <w:pPr>
        <w:pStyle w:val="IJSGTitle"/>
        <w:shd w:val="solid" w:color="2AABE1" w:fill="auto"/>
        <w:ind w:left="1276" w:firstLine="284"/>
        <w:rPr>
          <w:b/>
          <w:bCs/>
          <w:color w:val="FFFFFF" w:themeColor="background1"/>
          <w:sz w:val="13"/>
          <w:szCs w:val="13"/>
        </w:rPr>
      </w:pPr>
    </w:p>
    <w:p w14:paraId="44C3506C" w14:textId="4D758B67" w:rsidR="009846C5" w:rsidRPr="00BC4306" w:rsidRDefault="009846C5" w:rsidP="00F7548B">
      <w:pPr>
        <w:pStyle w:val="IJSGTitle"/>
        <w:shd w:val="solid" w:color="2AABE1" w:fill="auto"/>
        <w:ind w:left="1276" w:firstLine="284"/>
        <w:rPr>
          <w:b/>
          <w:bCs/>
          <w:color w:val="FFFFFF" w:themeColor="background1"/>
        </w:rPr>
      </w:pPr>
      <w:r w:rsidRPr="00BC4306">
        <w:rPr>
          <w:b/>
          <w:bCs/>
          <w:color w:val="FFFFFF" w:themeColor="background1"/>
          <w:sz w:val="24"/>
          <w:szCs w:val="24"/>
        </w:rPr>
        <w:t>International Journal of Serious Games</w:t>
      </w:r>
    </w:p>
    <w:p w14:paraId="0B2A33A0" w14:textId="77777777" w:rsidR="003D63B0" w:rsidRDefault="003D63B0" w:rsidP="00BC4306">
      <w:pPr>
        <w:pStyle w:val="IJSGTitle"/>
        <w:shd w:val="solid" w:color="2AABE1" w:fill="auto"/>
        <w:ind w:left="1276" w:firstLine="283"/>
        <w:rPr>
          <w:color w:val="FFFFFF" w:themeColor="background1"/>
          <w:sz w:val="16"/>
          <w:szCs w:val="16"/>
        </w:rPr>
      </w:pPr>
    </w:p>
    <w:p w14:paraId="4E14B08A" w14:textId="0DC64AA4" w:rsidR="00691041" w:rsidRPr="003D63B0" w:rsidRDefault="00996EF4" w:rsidP="00BC4306">
      <w:pPr>
        <w:pStyle w:val="IJSGTitle"/>
        <w:shd w:val="solid" w:color="2AABE1" w:fill="auto"/>
        <w:ind w:left="1276" w:firstLine="283"/>
        <w:rPr>
          <w:color w:val="FFFFFF" w:themeColor="background1"/>
          <w:sz w:val="15"/>
          <w:szCs w:val="15"/>
        </w:rPr>
      </w:pPr>
      <w:r w:rsidRPr="003D63B0">
        <w:rPr>
          <w:color w:val="FFFFFF" w:themeColor="background1"/>
          <w:sz w:val="15"/>
          <w:szCs w:val="15"/>
        </w:rPr>
        <w:t>ISSN: 2384-8766</w:t>
      </w:r>
    </w:p>
    <w:p w14:paraId="67CC144F" w14:textId="772BBCC8" w:rsidR="003648E4" w:rsidRDefault="00E1209F" w:rsidP="00BC4306">
      <w:pPr>
        <w:pStyle w:val="IJSGTitle"/>
        <w:shd w:val="solid" w:color="2AABE1" w:fill="auto"/>
        <w:ind w:left="1276" w:firstLine="283"/>
        <w:rPr>
          <w:color w:val="FFFFFF" w:themeColor="background1"/>
          <w:sz w:val="16"/>
          <w:szCs w:val="16"/>
        </w:rPr>
      </w:pPr>
      <w:r w:rsidRPr="009F5AED">
        <w:rPr>
          <w:color w:val="FFFFFF" w:themeColor="background1"/>
          <w:sz w:val="16"/>
          <w:szCs w:val="16"/>
        </w:rPr>
        <w:t>https://journal.seriousgamessociety.org/</w:t>
      </w:r>
    </w:p>
    <w:p w14:paraId="278B2B10" w14:textId="77777777" w:rsidR="00E1209F" w:rsidRPr="003D63B0" w:rsidRDefault="00E1209F" w:rsidP="00BC4306">
      <w:pPr>
        <w:pStyle w:val="IJSGTitle"/>
        <w:shd w:val="solid" w:color="2AABE1" w:fill="auto"/>
        <w:ind w:left="1276" w:firstLine="283"/>
        <w:rPr>
          <w:sz w:val="16"/>
          <w:szCs w:val="16"/>
        </w:rPr>
      </w:pPr>
    </w:p>
    <w:p w14:paraId="5EE02A85" w14:textId="414C2ED4" w:rsidR="003736D2" w:rsidRPr="00E1209F" w:rsidRDefault="003736D2" w:rsidP="00BA6E38">
      <w:pPr>
        <w:rPr>
          <w:lang w:val="en-US"/>
        </w:rPr>
      </w:pPr>
    </w:p>
    <w:p w14:paraId="22AD43C6" w14:textId="0BCDF95B" w:rsidR="003736D2" w:rsidRPr="000323B4" w:rsidRDefault="000323B4" w:rsidP="000323B4">
      <w:pPr>
        <w:pStyle w:val="Articletype"/>
      </w:pPr>
      <w:r w:rsidRPr="000323B4">
        <w:t>Article</w:t>
      </w:r>
    </w:p>
    <w:p w14:paraId="5ACFCA84" w14:textId="790B1EA2" w:rsidR="008C65AD" w:rsidRDefault="007E3078" w:rsidP="00890562">
      <w:pPr>
        <w:pStyle w:val="Authors"/>
        <w:rPr>
          <w:rFonts w:ascii="Arial Nova Cond" w:hAnsi="Arial Nova Cond" w:cstheme="minorHAnsi"/>
          <w:b/>
          <w:bCs/>
          <w:sz w:val="36"/>
          <w:szCs w:val="32"/>
          <w:lang w:val="en-US" w:eastAsia="zh-CN"/>
        </w:rPr>
      </w:pPr>
      <w:r w:rsidRPr="007E3078">
        <w:rPr>
          <w:rFonts w:ascii="Arial Nova Cond" w:hAnsi="Arial Nova Cond" w:cstheme="minorHAnsi"/>
          <w:b/>
          <w:bCs/>
          <w:sz w:val="36"/>
          <w:szCs w:val="32"/>
          <w:lang w:val="en-US" w:eastAsia="zh-CN"/>
        </w:rPr>
        <w:t>From Building-Energy Models to Game Mechanics: The Renovation Game</w:t>
      </w:r>
    </w:p>
    <w:p w14:paraId="53A87352" w14:textId="63374683" w:rsidR="000810CC" w:rsidRPr="00185B8C" w:rsidRDefault="008C65AD" w:rsidP="00890562">
      <w:pPr>
        <w:pStyle w:val="Authors"/>
        <w:rPr>
          <w:lang w:val="en-US"/>
        </w:rPr>
      </w:pPr>
      <w:r>
        <w:rPr>
          <w:lang w:val="en-US"/>
        </w:rPr>
        <w:t>Simon Schneider</w:t>
      </w:r>
      <w:r w:rsidR="000851F9" w:rsidRPr="00185B8C">
        <w:rPr>
          <w:vertAlign w:val="superscript"/>
          <w:lang w:val="en-US"/>
        </w:rPr>
        <w:t>1</w:t>
      </w:r>
      <w:r w:rsidR="000851F9" w:rsidRPr="00185B8C">
        <w:rPr>
          <w:lang w:val="en-US"/>
        </w:rPr>
        <w:t xml:space="preserve">, </w:t>
      </w:r>
      <w:r>
        <w:rPr>
          <w:lang w:val="en-US"/>
        </w:rPr>
        <w:t>Thomas Verweyen</w:t>
      </w:r>
      <w:r w:rsidR="00185B8C">
        <w:rPr>
          <w:vertAlign w:val="superscript"/>
          <w:lang w:val="en-US"/>
        </w:rPr>
        <w:t>2</w:t>
      </w:r>
      <w:r w:rsidR="00185B8C">
        <w:rPr>
          <w:lang w:val="en-US"/>
        </w:rPr>
        <w:t xml:space="preserve"> and</w:t>
      </w:r>
      <w:r w:rsidR="000851F9" w:rsidRPr="00185B8C">
        <w:rPr>
          <w:lang w:val="en-US"/>
        </w:rPr>
        <w:t xml:space="preserve"> </w:t>
      </w:r>
      <w:r w:rsidR="00185B8C" w:rsidRPr="007E3078">
        <w:rPr>
          <w:highlight w:val="yellow"/>
          <w:lang w:val="en-US"/>
        </w:rPr>
        <w:t xml:space="preserve">First </w:t>
      </w:r>
      <w:r w:rsidR="00B6226A" w:rsidRPr="007E3078">
        <w:rPr>
          <w:highlight w:val="yellow"/>
          <w:lang w:val="en-US"/>
        </w:rPr>
        <w:t>N</w:t>
      </w:r>
      <w:r w:rsidR="00185B8C" w:rsidRPr="007E3078">
        <w:rPr>
          <w:highlight w:val="yellow"/>
          <w:lang w:val="en-US"/>
        </w:rPr>
        <w:t>ame Last Name</w:t>
      </w:r>
      <w:r w:rsidR="00185B8C" w:rsidRPr="007E3078">
        <w:rPr>
          <w:highlight w:val="yellow"/>
          <w:vertAlign w:val="superscript"/>
          <w:lang w:val="en-US"/>
        </w:rPr>
        <w:t>2</w:t>
      </w:r>
    </w:p>
    <w:p w14:paraId="0514596E" w14:textId="77777777" w:rsidR="00890562" w:rsidRPr="00185B8C" w:rsidRDefault="00890562" w:rsidP="00890562">
      <w:pPr>
        <w:pStyle w:val="Authors"/>
        <w:rPr>
          <w:lang w:val="en-US"/>
        </w:rPr>
      </w:pPr>
    </w:p>
    <w:p w14:paraId="1F676588" w14:textId="103FB09A" w:rsidR="00313C7E" w:rsidRPr="007D24D3" w:rsidRDefault="003C6EDB" w:rsidP="00646F70">
      <w:pPr>
        <w:pStyle w:val="Authorsaffiliation"/>
        <w:rPr>
          <w:lang w:val="en-US"/>
        </w:rPr>
      </w:pPr>
      <w:r w:rsidRPr="00890562">
        <w:rPr>
          <w:vertAlign w:val="superscript"/>
          <w:lang w:val="en-US"/>
        </w:rPr>
        <w:t>1</w:t>
      </w:r>
      <w:r w:rsidR="00174D3F">
        <w:rPr>
          <w:lang w:val="en-US"/>
        </w:rPr>
        <w:t>Department, University, City, Country;</w:t>
      </w:r>
      <w:r w:rsidR="008E40B0">
        <w:rPr>
          <w:lang w:val="en-US"/>
        </w:rPr>
        <w:t xml:space="preserve"> </w:t>
      </w:r>
      <w:r w:rsidR="00174D3F">
        <w:rPr>
          <w:vertAlign w:val="superscript"/>
          <w:lang w:val="en-US"/>
        </w:rPr>
        <w:t>2</w:t>
      </w:r>
      <w:r w:rsidR="00174D3F">
        <w:rPr>
          <w:lang w:val="en-US"/>
        </w:rPr>
        <w:t>Department, University, City, Country</w:t>
      </w:r>
    </w:p>
    <w:p w14:paraId="12F7C67B" w14:textId="4C18F562" w:rsidR="0046687F" w:rsidRPr="00243C1F" w:rsidRDefault="000604F5" w:rsidP="00646F70">
      <w:pPr>
        <w:pStyle w:val="Authorsaffiliation"/>
        <w:rPr>
          <w:lang w:val="en-US"/>
        </w:rPr>
      </w:pPr>
      <w:r w:rsidRPr="00243C1F">
        <w:rPr>
          <w:lang w:val="en-US"/>
        </w:rPr>
        <w:t>{</w:t>
      </w:r>
      <w:r w:rsidRPr="00EE0F88">
        <w:rPr>
          <w:lang w:val="en-US"/>
        </w:rPr>
        <w:t>First</w:t>
      </w:r>
      <w:r>
        <w:rPr>
          <w:lang w:val="en-US"/>
        </w:rPr>
        <w:t>N</w:t>
      </w:r>
      <w:r w:rsidRPr="00EE0F88">
        <w:rPr>
          <w:lang w:val="en-US"/>
        </w:rPr>
        <w:t>ame</w:t>
      </w:r>
      <w:r>
        <w:rPr>
          <w:lang w:val="en-US"/>
        </w:rPr>
        <w:t>.</w:t>
      </w:r>
      <w:r w:rsidRPr="00EE0F88">
        <w:rPr>
          <w:lang w:val="en-US"/>
        </w:rPr>
        <w:t>Last Nam</w:t>
      </w:r>
      <w:r>
        <w:rPr>
          <w:lang w:val="en-US"/>
        </w:rPr>
        <w:t>e</w:t>
      </w:r>
      <w:r w:rsidRPr="00243C1F">
        <w:rPr>
          <w:lang w:val="en-US"/>
        </w:rPr>
        <w:t>}</w:t>
      </w:r>
      <w:r>
        <w:rPr>
          <w:lang w:val="en-US"/>
        </w:rPr>
        <w:t xml:space="preserve"> </w:t>
      </w:r>
      <w:r w:rsidRPr="00243C1F">
        <w:rPr>
          <w:lang w:val="en-US"/>
        </w:rPr>
        <w:t>@</w:t>
      </w:r>
      <w:r>
        <w:rPr>
          <w:lang w:val="en-US"/>
        </w:rPr>
        <w:t>asdf</w:t>
      </w:r>
      <w:r w:rsidRPr="00243C1F">
        <w:rPr>
          <w:lang w:val="en-US"/>
        </w:rPr>
        <w:t xml:space="preserve">.ch </w:t>
      </w:r>
      <w:r w:rsidR="00877A6B">
        <w:rPr>
          <w:lang w:val="en-US"/>
        </w:rPr>
        <w:t xml:space="preserve">; </w:t>
      </w:r>
      <w:r w:rsidR="009E4067" w:rsidRPr="00243C1F">
        <w:rPr>
          <w:lang w:val="en-US"/>
        </w:rPr>
        <w:t>{</w:t>
      </w:r>
      <w:r w:rsidR="00EE0F88" w:rsidRPr="00EE0F88">
        <w:rPr>
          <w:lang w:val="en-US"/>
        </w:rPr>
        <w:t>First</w:t>
      </w:r>
      <w:r w:rsidR="00EE0F88">
        <w:rPr>
          <w:lang w:val="en-US"/>
        </w:rPr>
        <w:t>N</w:t>
      </w:r>
      <w:r w:rsidR="00EE0F88" w:rsidRPr="00EE0F88">
        <w:rPr>
          <w:lang w:val="en-US"/>
        </w:rPr>
        <w:t>ame</w:t>
      </w:r>
      <w:r w:rsidR="00EE0F88">
        <w:rPr>
          <w:lang w:val="en-US"/>
        </w:rPr>
        <w:t>.</w:t>
      </w:r>
      <w:r w:rsidR="00EE0F88" w:rsidRPr="00EE0F88">
        <w:rPr>
          <w:lang w:val="en-US"/>
        </w:rPr>
        <w:t>Last Nam</w:t>
      </w:r>
      <w:r w:rsidR="00EE0F88">
        <w:rPr>
          <w:lang w:val="en-US"/>
        </w:rPr>
        <w:t>e,</w:t>
      </w:r>
      <w:r>
        <w:rPr>
          <w:lang w:val="en-US"/>
        </w:rPr>
        <w:t xml:space="preserve"> </w:t>
      </w:r>
      <w:r w:rsidRPr="00EE0F88">
        <w:rPr>
          <w:lang w:val="en-US"/>
        </w:rPr>
        <w:t>First</w:t>
      </w:r>
      <w:r>
        <w:rPr>
          <w:lang w:val="en-US"/>
        </w:rPr>
        <w:t>N</w:t>
      </w:r>
      <w:r w:rsidRPr="00EE0F88">
        <w:rPr>
          <w:lang w:val="en-US"/>
        </w:rPr>
        <w:t>ame</w:t>
      </w:r>
      <w:r>
        <w:rPr>
          <w:lang w:val="en-US"/>
        </w:rPr>
        <w:t>.</w:t>
      </w:r>
      <w:r w:rsidRPr="00EE0F88">
        <w:rPr>
          <w:lang w:val="en-US"/>
        </w:rPr>
        <w:t>Last Nam</w:t>
      </w:r>
      <w:r>
        <w:rPr>
          <w:lang w:val="en-US"/>
        </w:rPr>
        <w:t>e</w:t>
      </w:r>
      <w:r w:rsidR="009E4067" w:rsidRPr="00243C1F">
        <w:rPr>
          <w:lang w:val="en-US"/>
        </w:rPr>
        <w:t>}</w:t>
      </w:r>
      <w:r>
        <w:rPr>
          <w:lang w:val="en-US"/>
        </w:rPr>
        <w:t xml:space="preserve"> </w:t>
      </w:r>
      <w:r w:rsidR="009E4067" w:rsidRPr="00243C1F">
        <w:rPr>
          <w:lang w:val="en-US"/>
        </w:rPr>
        <w:t>@</w:t>
      </w:r>
      <w:r>
        <w:rPr>
          <w:lang w:val="en-US"/>
        </w:rPr>
        <w:t>asdf</w:t>
      </w:r>
      <w:r w:rsidR="00DB2DBF" w:rsidRPr="00243C1F">
        <w:rPr>
          <w:lang w:val="en-US"/>
        </w:rPr>
        <w:t>.c</w:t>
      </w:r>
      <w:r w:rsidR="00646F70" w:rsidRPr="00243C1F">
        <w:rPr>
          <w:lang w:val="en-US"/>
        </w:rPr>
        <w:t>h</w:t>
      </w:r>
    </w:p>
    <w:p w14:paraId="06AE0C6E" w14:textId="77777777" w:rsidR="00450C47" w:rsidRPr="00243C1F" w:rsidRDefault="00450C47" w:rsidP="00646F70">
      <w:pPr>
        <w:pStyle w:val="Authorsaffiliation"/>
        <w:rPr>
          <w:lang w:val="en-US"/>
        </w:rPr>
      </w:pPr>
    </w:p>
    <w:p w14:paraId="1E9FCF18" w14:textId="77777777" w:rsidR="00692DEF" w:rsidRPr="00243C1F" w:rsidRDefault="00692DEF" w:rsidP="00646F70">
      <w:pPr>
        <w:pStyle w:val="Ligne"/>
      </w:pPr>
    </w:p>
    <w:p w14:paraId="7D73091A" w14:textId="3A2B37DD" w:rsidR="00450C47" w:rsidRPr="00243C1F" w:rsidRDefault="00450C47" w:rsidP="00BA6E38">
      <w:pPr>
        <w:rPr>
          <w:lang w:val="en-US"/>
        </w:rPr>
        <w:sectPr w:rsidR="00450C47" w:rsidRPr="00243C1F" w:rsidSect="00D3421B">
          <w:headerReference w:type="default" r:id="rId9"/>
          <w:footerReference w:type="even" r:id="rId10"/>
          <w:footerReference w:type="default" r:id="rId11"/>
          <w:footerReference w:type="first" r:id="rId12"/>
          <w:pgSz w:w="11906" w:h="16838"/>
          <w:pgMar w:top="1151" w:right="1671" w:bottom="1585" w:left="1587" w:header="709" w:footer="527" w:gutter="0"/>
          <w:pgNumType w:start="1"/>
          <w:cols w:space="708"/>
          <w:titlePg/>
          <w:docGrid w:linePitch="360"/>
        </w:sectPr>
      </w:pPr>
    </w:p>
    <w:p w14:paraId="3656CF98" w14:textId="125A9311" w:rsidR="00B43353" w:rsidRPr="004B6324" w:rsidRDefault="00B43353" w:rsidP="004B6324">
      <w:pPr>
        <w:pStyle w:val="ArticleInfo"/>
        <w:rPr>
          <w:b/>
          <w:bCs/>
        </w:rPr>
      </w:pPr>
      <w:r w:rsidRPr="004B6324">
        <w:rPr>
          <w:b/>
          <w:bCs/>
        </w:rPr>
        <w:t>Keywords:</w:t>
      </w:r>
    </w:p>
    <w:p w14:paraId="1A3F4355" w14:textId="77777777" w:rsidR="0020633A" w:rsidRDefault="0020633A" w:rsidP="004B6324">
      <w:pPr>
        <w:pStyle w:val="ArticleInfo"/>
      </w:pPr>
    </w:p>
    <w:p w14:paraId="23131DCE" w14:textId="77777777" w:rsidR="00EB7467" w:rsidRDefault="00EB7467" w:rsidP="004B6324">
      <w:pPr>
        <w:pStyle w:val="ArticleInfo"/>
      </w:pPr>
      <w:r w:rsidRPr="00EB7467">
        <w:t>serious games;</w:t>
      </w:r>
    </w:p>
    <w:p w14:paraId="06209211" w14:textId="77777777" w:rsidR="00EB7467" w:rsidRDefault="00EB7467" w:rsidP="004B6324">
      <w:pPr>
        <w:pStyle w:val="ArticleInfo"/>
      </w:pPr>
      <w:r w:rsidRPr="00EB7467">
        <w:t>building renovation;</w:t>
      </w:r>
    </w:p>
    <w:p w14:paraId="7DA84EDA" w14:textId="77777777" w:rsidR="00EB7467" w:rsidRDefault="00EB7467" w:rsidP="004B6324">
      <w:pPr>
        <w:pStyle w:val="ArticleInfo"/>
      </w:pPr>
      <w:r w:rsidRPr="00EB7467">
        <w:t xml:space="preserve">energy education; decarbonization; </w:t>
      </w:r>
    </w:p>
    <w:p w14:paraId="5E913AA5" w14:textId="77777777" w:rsidR="00EB7467" w:rsidRDefault="00EB7467" w:rsidP="004B6324">
      <w:pPr>
        <w:pStyle w:val="ArticleInfo"/>
      </w:pPr>
      <w:r w:rsidRPr="00EB7467">
        <w:t xml:space="preserve">simulation; </w:t>
      </w:r>
    </w:p>
    <w:p w14:paraId="5A8D4344" w14:textId="3CE5FFC0" w:rsidR="00CD0C7B" w:rsidRPr="004B6324" w:rsidRDefault="00EB7467" w:rsidP="004B6324">
      <w:pPr>
        <w:pStyle w:val="ArticleInfo"/>
      </w:pPr>
      <w:r w:rsidRPr="00EB7467">
        <w:t>game-based learning</w:t>
      </w:r>
    </w:p>
    <w:p w14:paraId="03A198FE" w14:textId="77777777" w:rsidR="004B6324" w:rsidRDefault="004B6324" w:rsidP="004B6324">
      <w:pPr>
        <w:pStyle w:val="ArticleInfo"/>
      </w:pPr>
    </w:p>
    <w:p w14:paraId="0DFE7C42" w14:textId="705CD2F7" w:rsidR="004B6324" w:rsidRDefault="00243C1F" w:rsidP="004B6324">
      <w:pPr>
        <w:pStyle w:val="ArticleInfo"/>
      </w:pPr>
      <w:r>
        <w:t>Received</w:t>
      </w:r>
      <w:r w:rsidR="004B6324">
        <w:t xml:space="preserve">: </w:t>
      </w:r>
      <w:r w:rsidR="00DE4C45">
        <w:t>XXXX</w:t>
      </w:r>
    </w:p>
    <w:p w14:paraId="527F9251" w14:textId="395BD04F" w:rsidR="00243C1F" w:rsidRDefault="00243C1F" w:rsidP="004B6324">
      <w:pPr>
        <w:pStyle w:val="ArticleInfo"/>
      </w:pPr>
      <w:r>
        <w:t xml:space="preserve">Accepted: </w:t>
      </w:r>
      <w:r w:rsidR="00DE4C45">
        <w:t>XXXX</w:t>
      </w:r>
    </w:p>
    <w:p w14:paraId="553D4DE4" w14:textId="339A8421" w:rsidR="004B6324" w:rsidRDefault="004B6324" w:rsidP="004B6324">
      <w:pPr>
        <w:pStyle w:val="ArticleInfo"/>
      </w:pPr>
      <w:r w:rsidRPr="004B6324">
        <w:t xml:space="preserve">Published: </w:t>
      </w:r>
      <w:r w:rsidR="00DE4C45">
        <w:t>XXXX</w:t>
      </w:r>
    </w:p>
    <w:p w14:paraId="3F261A1E" w14:textId="57102E4E" w:rsidR="00CD0C7B" w:rsidRPr="004B6324" w:rsidRDefault="00CD0C7B" w:rsidP="004B6324">
      <w:pPr>
        <w:pStyle w:val="ArticleInfo"/>
      </w:pPr>
      <w:r w:rsidRPr="004B6324">
        <w:t xml:space="preserve">DOI: </w:t>
      </w:r>
      <w:r w:rsidR="004B7B65" w:rsidRPr="004B6324">
        <w:t>10.17083/ijsg.</w:t>
      </w:r>
      <w:r w:rsidR="00DE4C45">
        <w:t>XXXX</w:t>
      </w:r>
    </w:p>
    <w:p w14:paraId="019DE32E" w14:textId="58BCA540" w:rsidR="005A758C" w:rsidRPr="00A918C5" w:rsidRDefault="00ED5283" w:rsidP="00A918C5">
      <w:pPr>
        <w:pStyle w:val="AbstractTitle"/>
      </w:pPr>
      <w:r>
        <w:br w:type="column"/>
      </w:r>
      <w:r w:rsidR="0038064E" w:rsidRPr="00A918C5">
        <w:t xml:space="preserve">Abstract </w:t>
      </w:r>
    </w:p>
    <w:p w14:paraId="63E9DD4A" w14:textId="21EFF93B" w:rsidR="002C01F0" w:rsidRDefault="00EB7467" w:rsidP="008C65AD">
      <w:pPr>
        <w:pStyle w:val="AbstractText"/>
        <w:ind w:right="-275"/>
      </w:pPr>
      <w:r w:rsidRPr="00EB7467">
        <w:t>Building renovation involves interacting decisions concerning the building envelope, heat supply, electricity demand, renewable generation, storage, costs, and user needs. These interactions are difficult to communicate through isolated descriptions of individual technologies. This paper presents The Renovation Game, a serious board game that translates selected building-energy and greenhouse-gas relationships into a discrete decision model. The game represents a 1,000 m² reference building over four five-year renovation rounds and includes 5</w:t>
      </w:r>
      <w:r w:rsidR="007E3078">
        <w:t>6</w:t>
      </w:r>
      <w:r w:rsidRPr="00EB7467">
        <w:t xml:space="preserve"> measure cards in nine categories. Engineering quantities are mapped to bounded game states while preserving the direction, ranking, approximate magnitude, and relevant interactions of real-world effects. The development method combines model abstraction, technical calibration, iterative game design, and computational testing. A Python implementation reproduces the central game rules and is used to explore score distributions, card frequencies, timing effects, and dominant strategies across 10,000 randomized games. The study shows how an engineering model can be reduced to a transparent tabletop system without reducing renovation to independent technology choices. The game is intended as a learning environment for systems thinking rather than as a substitute for building simulation or renovation planning.</w:t>
      </w:r>
    </w:p>
    <w:p w14:paraId="46692187" w14:textId="664E498C" w:rsidR="00604968" w:rsidRPr="007213F1" w:rsidRDefault="00604968" w:rsidP="00CB1F1E">
      <w:pPr>
        <w:pStyle w:val="AbstractText"/>
        <w:ind w:right="-275"/>
        <w:rPr>
          <w:rStyle w:val="AbstractTextCarattere"/>
        </w:rPr>
        <w:sectPr w:rsidR="00604968" w:rsidRPr="007213F1" w:rsidSect="00450C47">
          <w:type w:val="continuous"/>
          <w:pgSz w:w="11906" w:h="16838"/>
          <w:pgMar w:top="1151" w:right="1665" w:bottom="1729" w:left="1587" w:header="709" w:footer="527" w:gutter="0"/>
          <w:pgNumType w:start="1"/>
          <w:cols w:num="2" w:space="0" w:equalWidth="0">
            <w:col w:w="2408" w:space="0"/>
            <w:col w:w="5962"/>
          </w:cols>
          <w:titlePg/>
          <w:docGrid w:linePitch="360"/>
        </w:sectPr>
      </w:pPr>
    </w:p>
    <w:p w14:paraId="15F860A5" w14:textId="77777777" w:rsidR="000D61B6" w:rsidRPr="00646F70" w:rsidRDefault="000D61B6" w:rsidP="00646F70">
      <w:pPr>
        <w:pStyle w:val="Ligne"/>
      </w:pPr>
      <w:bookmarkStart w:id="0" w:name="_aknorpn0w7c9" w:colFirst="0" w:colLast="0"/>
      <w:bookmarkStart w:id="1" w:name="_s1hqmbopgupm" w:colFirst="0" w:colLast="0"/>
      <w:bookmarkStart w:id="2" w:name="_3znysh7" w:colFirst="0" w:colLast="0"/>
      <w:bookmarkStart w:id="3" w:name="_w1fnja4l0lwh" w:colFirst="0" w:colLast="0"/>
      <w:bookmarkEnd w:id="0"/>
      <w:bookmarkEnd w:id="1"/>
      <w:bookmarkEnd w:id="2"/>
      <w:bookmarkEnd w:id="3"/>
    </w:p>
    <w:p w14:paraId="34F7AD4A" w14:textId="20229267" w:rsidR="005A758C" w:rsidRPr="00C72FAD" w:rsidRDefault="005A758C" w:rsidP="00C72FAD">
      <w:pPr>
        <w:pStyle w:val="berschrift1"/>
      </w:pPr>
      <w:commentRangeStart w:id="4"/>
      <w:r w:rsidRPr="00C72FAD">
        <w:t>Introduction</w:t>
      </w:r>
      <w:commentRangeEnd w:id="4"/>
      <w:r w:rsidR="00757871" w:rsidRPr="00C72FAD">
        <w:rPr>
          <w:rStyle w:val="Kommentarzeichen"/>
          <w:sz w:val="28"/>
          <w:szCs w:val="22"/>
        </w:rPr>
        <w:commentReference w:id="4"/>
      </w:r>
    </w:p>
    <w:p w14:paraId="5C987C2D" w14:textId="77777777" w:rsidR="001B77EB" w:rsidRPr="001B77EB" w:rsidRDefault="001B77EB" w:rsidP="001B77EB">
      <w:pPr>
        <w:pStyle w:val="Articlenormaltextfirstparagraph"/>
        <w:rPr>
          <w:sz w:val="24"/>
          <w:szCs w:val="24"/>
        </w:rPr>
      </w:pPr>
      <w:bookmarkStart w:id="5" w:name="_jdh62ddtuj7b" w:colFirst="0" w:colLast="0"/>
      <w:bookmarkEnd w:id="5"/>
      <w:r w:rsidRPr="001B77EB">
        <w:t>Building renovation is a coupled decision problem. The effect of an intervention depends on the existing building, other measures, available resources, and the future energy system. Heat-pump performance, for example, depends on both remaining heat demand and heat-distribution temperature, while photovoltaic generation interacts with electricity demand and storage. Communicating renovation therefore requires more than presenting individual technologies and their isolated effects.</w:t>
      </w:r>
    </w:p>
    <w:p w14:paraId="60E0A35C" w14:textId="77777777" w:rsidR="001B77EB" w:rsidRPr="001B77EB" w:rsidRDefault="001B77EB" w:rsidP="001B77EB">
      <w:pPr>
        <w:pStyle w:val="Articlenormaltext"/>
      </w:pPr>
      <w:r w:rsidRPr="001B77EB">
        <w:t xml:space="preserve">Serious games provide one way to make such interactions directly observable through decisions and feedback. Players change a system state, observe the consequences, and adapt subsequent decisions. This judgment-action-feedback cycle can support learning about relationships that are difficult to communicate through isolated descriptions </w:t>
      </w:r>
      <w:r w:rsidRPr="001B77EB">
        <w:rPr>
          <w:rStyle w:val="text-token-text-primary"/>
        </w:rPr>
        <w:t>[1]</w:t>
      </w:r>
      <w:r w:rsidRPr="001B77EB">
        <w:t>.</w:t>
      </w:r>
    </w:p>
    <w:p w14:paraId="24E7F889" w14:textId="77777777" w:rsidR="001B77EB" w:rsidRPr="001B77EB" w:rsidRDefault="001B77EB" w:rsidP="001B77EB">
      <w:pPr>
        <w:pStyle w:val="Articlenormaltext"/>
      </w:pPr>
      <w:r w:rsidRPr="001B77EB">
        <w:lastRenderedPageBreak/>
        <w:t>Using an engineering model as the basis of a physical game, however, creates a design problem. Building-energy models can contain detailed geometry, hourly time series, component properties, control systems, costs, and emission factors. A tabletop game must reduce this complexity to a limited number of states and calculations that remain understandable during play. The relevant question is therefore not whether the game reproduces the engineering model numerically, but whether the abstraction preserves the relationships that matter for the intended decisions.</w:t>
      </w:r>
    </w:p>
    <w:p w14:paraId="2A1E7E4F" w14:textId="605D5738" w:rsidR="001B77EB" w:rsidRDefault="001B77EB" w:rsidP="001B77EB">
      <w:pPr>
        <w:pStyle w:val="Articlenormaltext"/>
      </w:pPr>
      <w:r w:rsidRPr="001B77EB">
        <w:rPr>
          <w:i/>
        </w:rPr>
        <w:t>The Renovation Game</w:t>
      </w:r>
      <w:r w:rsidRPr="001B77EB">
        <w:t xml:space="preserve"> addresses this problem by translating selected building-energy and greenhouse-gas relationships into a discrete tabletop model. Renovation measures modify linked states for thermal demand, heat generation, heat-pump efficiency, electricity demand, local generation, storage and flexibility, costs, user satisfaction, and cumulative emissions. The methodological contribution is a process of controlled discretization intended to preserve the direction of effects, the ordering and approximate magnitude of relevant differences, and important interactions between technologies.</w:t>
      </w:r>
      <w:r>
        <w:t xml:space="preserve"> </w:t>
      </w:r>
      <w:r w:rsidRPr="001B77EB">
        <w:t>The paper addresses two research questions:</w:t>
      </w:r>
    </w:p>
    <w:p w14:paraId="198FC7A7" w14:textId="77777777" w:rsidR="001B77EB" w:rsidRPr="001B77EB" w:rsidRDefault="001B77EB" w:rsidP="001B77EB">
      <w:pPr>
        <w:pStyle w:val="Articlenormaltext"/>
      </w:pPr>
    </w:p>
    <w:p w14:paraId="6EE068E6" w14:textId="77777777" w:rsidR="001B77EB" w:rsidRDefault="001B77EB" w:rsidP="001B77EB">
      <w:pPr>
        <w:pStyle w:val="Bulletlist"/>
      </w:pPr>
      <w:r>
        <w:rPr>
          <w:rStyle w:val="Fett"/>
        </w:rPr>
        <w:t>RQ1:</w:t>
      </w:r>
      <w:r>
        <w:t xml:space="preserve"> How can selected energy, emission, cost, and user-related relationships of building renovation be represented in a discrete tabletop model while retaining their strategically relevant interactions?</w:t>
      </w:r>
    </w:p>
    <w:p w14:paraId="32253558" w14:textId="77777777" w:rsidR="001B77EB" w:rsidRDefault="001B77EB" w:rsidP="001B77EB">
      <w:pPr>
        <w:pStyle w:val="Bulletlist"/>
      </w:pPr>
      <w:r>
        <w:rPr>
          <w:rStyle w:val="Fett"/>
        </w:rPr>
        <w:t>RQ2:</w:t>
      </w:r>
      <w:r>
        <w:t xml:space="preserve"> Does the resulting model create a sufficiently differentiated decision space in which outcomes depend on combinations, timing, and decision strategy rather than on a single dominant intervention?</w:t>
      </w:r>
    </w:p>
    <w:p w14:paraId="587C3920" w14:textId="77777777" w:rsidR="001B77EB" w:rsidRPr="001B77EB" w:rsidRDefault="001B77EB" w:rsidP="001B77EB">
      <w:pPr>
        <w:pStyle w:val="Articlenormaltextfirstparagraph"/>
      </w:pPr>
      <w:r w:rsidRPr="001B77EB">
        <w:t>The study focuses on model development and computational validation. A Python implementation reproduces the central game rules and is used to test the resulting decision space under alternative rule configurations and decision strategies. The present paper does not evaluate measured learning gains; participant-based educational evaluation is treated as a subsequent research step.</w:t>
      </w:r>
    </w:p>
    <w:p w14:paraId="30A85765" w14:textId="541ABA84" w:rsidR="001B77EB" w:rsidRDefault="001B77EB" w:rsidP="001B77EB">
      <w:pPr>
        <w:pStyle w:val="berschrift2"/>
      </w:pPr>
      <w:r>
        <w:t>Background</w:t>
      </w:r>
    </w:p>
    <w:p w14:paraId="452D7E34" w14:textId="77777777" w:rsidR="001B77EB" w:rsidRPr="001B77EB" w:rsidRDefault="001B77EB" w:rsidP="001B77EB">
      <w:pPr>
        <w:pStyle w:val="Articlenormaltextfirstparagraph"/>
      </w:pPr>
      <w:r w:rsidRPr="001B77EB">
        <w:t xml:space="preserve">Serious games combine a simplified representation of a system with goals, constraints, decisions, and feedback. For the present work, the important distinction is between the implemented mechanics and the behavior that emerges from them. In the Mechanics-Dynamics-Aesthetics framework, rules and state changes constitute mechanics, while the strategies and interactions that result from their use constitute dynamics </w:t>
      </w:r>
      <w:r w:rsidRPr="001B77EB">
        <w:rPr>
          <w:rStyle w:val="text-token-text-primary"/>
        </w:rPr>
        <w:t>[2]</w:t>
      </w:r>
      <w:r w:rsidRPr="001B77EB">
        <w:t xml:space="preserve">. For educational games, these mechanics should also be aligned with the intended learning content </w:t>
      </w:r>
      <w:r w:rsidRPr="001B77EB">
        <w:rPr>
          <w:rStyle w:val="text-token-text-primary"/>
        </w:rPr>
        <w:t>[3]</w:t>
      </w:r>
      <w:r w:rsidRPr="001B77EB">
        <w:t>. A technical relationship is therefore particularly relevant when understanding it changes the consequences of a player's decisions.</w:t>
      </w:r>
    </w:p>
    <w:p w14:paraId="7D4F79C9" w14:textId="7A53A2C5" w:rsidR="001B77EB" w:rsidRDefault="001B77EB" w:rsidP="001B77EB">
      <w:pPr>
        <w:pStyle w:val="Articlenormaltext"/>
      </w:pPr>
      <w:r w:rsidRPr="001B77EB">
        <w:t xml:space="preserve">Serious games have been applied to energy behaviour, renewable-energy planning, stakeholder interaction, and urban energy transitions </w:t>
      </w:r>
      <w:r w:rsidRPr="001B77EB">
        <w:rPr>
          <w:rStyle w:val="text-token-text-primary"/>
        </w:rPr>
        <w:t>[4]</w:t>
      </w:r>
      <w:r w:rsidRPr="001B77EB">
        <w:t xml:space="preserve">, </w:t>
      </w:r>
      <w:r w:rsidRPr="001B77EB">
        <w:rPr>
          <w:rStyle w:val="text-token-text-primary"/>
        </w:rPr>
        <w:t>[5]</w:t>
      </w:r>
      <w:r w:rsidRPr="001B77EB">
        <w:t xml:space="preserve">, </w:t>
      </w:r>
      <w:r w:rsidRPr="001B77EB">
        <w:rPr>
          <w:rStyle w:val="text-token-text-primary"/>
        </w:rPr>
        <w:t>[7]</w:t>
      </w:r>
      <w:r w:rsidRPr="001B77EB">
        <w:t xml:space="preserve">, </w:t>
      </w:r>
      <w:r w:rsidRPr="001B77EB">
        <w:rPr>
          <w:rStyle w:val="text-token-text-primary"/>
        </w:rPr>
        <w:t>[8]</w:t>
      </w:r>
      <w:r w:rsidRPr="001B77EB">
        <w:t>. These applications demonstrate the usefulness of games for exploring energy-related decisions, but they do not necessarily expose the coupled physical relationships of a building renovation. The Renovation Game instead focuses on the techno-physical configuration of a single building: reducing heat demand, selecting a heat supply system, improving heat-pump efficiency, changing electricity demand, adding local generation and flexibility, and balancing operational effects against construction-related emissions and financial constraints.</w:t>
      </w:r>
    </w:p>
    <w:p w14:paraId="630420F6" w14:textId="44B2A115" w:rsidR="005A758C" w:rsidRDefault="005A758C" w:rsidP="00C72FAD">
      <w:pPr>
        <w:pStyle w:val="berschrift1"/>
      </w:pPr>
      <w:commentRangeStart w:id="6"/>
      <w:r w:rsidRPr="00F551B7">
        <w:t xml:space="preserve">Methods </w:t>
      </w:r>
      <w:r w:rsidR="00F93C77">
        <w:t>and Material</w:t>
      </w:r>
      <w:commentRangeEnd w:id="6"/>
      <w:r w:rsidR="001B77EB">
        <w:rPr>
          <w:rStyle w:val="Kommentarzeichen"/>
          <w:sz w:val="28"/>
          <w:szCs w:val="22"/>
        </w:rPr>
        <w:commentReference w:id="6"/>
      </w:r>
    </w:p>
    <w:p w14:paraId="4887629C" w14:textId="24E41596" w:rsidR="00E022B7" w:rsidRDefault="001B77EB" w:rsidP="00E022B7">
      <w:pPr>
        <w:pStyle w:val="berschrift2"/>
      </w:pPr>
      <w:r>
        <w:t>Game and model design</w:t>
      </w:r>
    </w:p>
    <w:p w14:paraId="71D35414" w14:textId="7F8A1A45" w:rsidR="00E022B7" w:rsidRDefault="001B77EB" w:rsidP="00E022B7">
      <w:pPr>
        <w:pStyle w:val="berschrift3"/>
      </w:pPr>
      <w:r>
        <w:lastRenderedPageBreak/>
        <w:t>Scope, learning objectives and gameplay</w:t>
      </w:r>
    </w:p>
    <w:p w14:paraId="3C9A4722" w14:textId="77777777" w:rsidR="001B77EB" w:rsidRPr="001B77EB" w:rsidRDefault="001B77EB" w:rsidP="001B77EB">
      <w:pPr>
        <w:pStyle w:val="Articlenormaltextfirstparagraph"/>
        <w:rPr>
          <w:sz w:val="24"/>
          <w:szCs w:val="24"/>
        </w:rPr>
      </w:pPr>
      <w:r w:rsidRPr="001B77EB">
        <w:t>The Renovation Game represents the renovation of a nominal residential building with 1,000 m² of floor area. Four scored rounds represent approximately five years each, allowing immediate construction-related emissions to be considered alongside recurring operational effects over a twenty-year renovation pathway.</w:t>
      </w:r>
    </w:p>
    <w:p w14:paraId="05A7CA62" w14:textId="77777777" w:rsidR="001B77EB" w:rsidRPr="001B77EB" w:rsidRDefault="001B77EB" w:rsidP="001B77EB">
      <w:pPr>
        <w:pStyle w:val="Articlenormaltext"/>
      </w:pPr>
      <w:r w:rsidRPr="001B77EB">
        <w:t>The game is intended for players from approximately 14 years of age and requires no previous knowledge of building-energy calculation. Its learning objectives are to distinguish major renovation categories, recognize the difference between demand reduction, energy generation and flexibility, and identify dependencies between technologies. These objectives informed which physical relationships were retained in the game. For example, heat-pump performance depends on both remaining heat demand and the heat-distribution system, while storage interacts with local electricity generation rather than acting as generation itself.</w:t>
      </w:r>
    </w:p>
    <w:p w14:paraId="110BBBB7" w14:textId="4722E57B" w:rsidR="001B77EB" w:rsidRPr="001B77EB" w:rsidRDefault="001B77EB" w:rsidP="001B77EB">
      <w:pPr>
        <w:pStyle w:val="Articlenormaltext"/>
      </w:pPr>
      <w:r w:rsidRPr="001B77EB">
        <w:t>Players act as project developers with limited financial resources.</w:t>
      </w:r>
      <w:r w:rsidR="00EF3F07">
        <w:t xml:space="preserve"> Figure 1 shows the core gameplay loop: </w:t>
      </w:r>
      <w:r w:rsidRPr="001B77EB">
        <w:t>During each renovation phase they select measures from a constrained set of available cards. Measures can require prerequisites, exclude alternatives occupying the same building-system slot, or modify several state variables simultaneously. After each round, construction emissions, heating, electricity imports, operational costs and satisfaction are evaluated and the greenhouse-gas score and remaining budget are updated. Greenhouse-gas performance is the sole victory condition; financial resources constrain the feasible renovation pathway.</w:t>
      </w:r>
    </w:p>
    <w:p w14:paraId="0A2D121B" w14:textId="77777777" w:rsidR="001B77EB" w:rsidRDefault="001B77EB" w:rsidP="001B77EB">
      <w:pPr>
        <w:pStyle w:val="Articlenormaltext"/>
      </w:pPr>
      <w:r w:rsidRPr="001B77EB">
        <w:t>The model boundary follows decision relevance rather than completeness. Weather, hourly thermal behaviour, detailed geometry, hydraulic systems, individual component models and building controls are not simulated explicitly. Domestic hot water is included in aggregate thermal demand, while cooling is excluded from the current version. Effects were retained as explicit states where they create strategically relevant dependencies between renovation decisions.</w:t>
      </w:r>
    </w:p>
    <w:p w14:paraId="5BD36FED" w14:textId="77777777" w:rsidR="00EF3F07" w:rsidRDefault="00EF3F07" w:rsidP="001B77EB">
      <w:pPr>
        <w:pStyle w:val="Articlenormaltext"/>
      </w:pPr>
    </w:p>
    <w:p w14:paraId="3A37C7F5" w14:textId="77777777" w:rsidR="00EF3F07" w:rsidRDefault="00EF3F07" w:rsidP="00EF3F07">
      <w:pPr>
        <w:pStyle w:val="Articlenormaltext"/>
        <w:keepNext/>
      </w:pPr>
      <w:r>
        <w:rPr>
          <w:noProof/>
          <w:lang w:eastAsia="de-DE"/>
        </w:rPr>
        <w:drawing>
          <wp:inline distT="0" distB="0" distL="0" distR="0" wp14:anchorId="63E9C7F2" wp14:editId="3D1056C6">
            <wp:extent cx="5356860" cy="2842260"/>
            <wp:effectExtent l="0" t="0" r="0" b="0"/>
            <wp:docPr id="2019169584" name="Diagram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0B35B00" w14:textId="59F54D6B" w:rsidR="00EF3F07" w:rsidRDefault="00EF3F07" w:rsidP="00EF3F07">
      <w:pPr>
        <w:pStyle w:val="Figurecaption"/>
      </w:pPr>
      <w:r>
        <w:t>Core gameplay loop</w:t>
      </w:r>
    </w:p>
    <w:p w14:paraId="79603458" w14:textId="77777777" w:rsidR="001B77EB" w:rsidRPr="001B77EB" w:rsidRDefault="001B77EB" w:rsidP="001B77EB">
      <w:pPr>
        <w:pStyle w:val="berschrift3"/>
      </w:pPr>
      <w:r>
        <w:t xml:space="preserve">Measure cards and state </w:t>
      </w:r>
      <w:r w:rsidRPr="001B77EB">
        <w:t>model</w:t>
      </w:r>
    </w:p>
    <w:p w14:paraId="7AC50C60" w14:textId="77777777" w:rsidR="001B77EB" w:rsidRPr="001B77EB" w:rsidRDefault="001B77EB" w:rsidP="001B77EB">
      <w:pPr>
        <w:pStyle w:val="Articlenormaltextfirstparagraph"/>
      </w:pPr>
      <w:r w:rsidRPr="001B77EB">
        <w:t>The model contains 56 logical renovation measures distributed across nine categories: insulation, windows, heat generation, heat distribution, ventilation, roof use, electricity efficiency, flexibility and storage, and satisfaction-related measures. Individual cards modify one or several building states and can therefore combine beneficial and adverse effects.</w:t>
      </w:r>
    </w:p>
    <w:p w14:paraId="7478BB2E" w14:textId="497B62A6" w:rsidR="001B77EB" w:rsidRPr="001B77EB" w:rsidRDefault="001B77EB" w:rsidP="001B77EB">
      <w:pPr>
        <w:pStyle w:val="Articlenormaltext"/>
      </w:pPr>
      <w:r w:rsidRPr="001B77EB">
        <w:lastRenderedPageBreak/>
        <w:t xml:space="preserve">The principal states are thermal demand, heat-generation technology, heat-pump efficiency, electricity demand, local electricity production, storage and flexibility, construction-related emissions, user satisfaction, financial resources and cumulative greenhouse-gas performance. Their relationships are summarized in Figure </w:t>
      </w:r>
      <w:r w:rsidR="00917433">
        <w:t>2</w:t>
      </w:r>
      <w:r w:rsidRPr="001B77EB">
        <w:t>.</w:t>
      </w:r>
    </w:p>
    <w:p w14:paraId="56B1BABC" w14:textId="77777777" w:rsidR="001B77EB" w:rsidRPr="001B77EB" w:rsidRDefault="001B77EB" w:rsidP="001B77EB">
      <w:pPr>
        <w:pStyle w:val="Articlenormaltext"/>
      </w:pPr>
      <w:r w:rsidRPr="001B77EB">
        <w:t>This separation is central to the model. An insulation measure does not receive a generic emission score; it changes thermal demand, which subsequently affects heating emissions. A heat pump changes heat supply but also introduces electricity demand dependent on its efficiency. Photovoltaics increase local production, whereas efficiency measures reduce demand and storage modifies the use of available production. The game result therefore emerges from a sequence of coupled building states rather than from the sum of independent card scores.</w:t>
      </w:r>
    </w:p>
    <w:p w14:paraId="16CF4A17" w14:textId="77777777" w:rsidR="00DB1307" w:rsidRDefault="00DB1307" w:rsidP="00E022B7">
      <w:pPr>
        <w:pStyle w:val="Articlenormaltext"/>
        <w:rPr>
          <w:lang w:eastAsia="de-DE"/>
        </w:rPr>
      </w:pPr>
    </w:p>
    <w:p w14:paraId="54EAE154" w14:textId="727BBD2C" w:rsidR="00E022B7" w:rsidRDefault="00DB1307" w:rsidP="00DB1307">
      <w:pPr>
        <w:pStyle w:val="Tablecaption"/>
        <w:rPr>
          <w:lang w:eastAsia="de-DE"/>
        </w:rPr>
      </w:pPr>
      <w:r w:rsidRPr="00DB1307">
        <w:rPr>
          <w:lang w:eastAsia="de-DE"/>
        </w:rPr>
        <w:t>Alignment of engineering concepts and game mechanics</w:t>
      </w:r>
    </w:p>
    <w:tbl>
      <w:tblPr>
        <w:tblW w:w="8647" w:type="dxa"/>
        <w:tblBorders>
          <w:top w:val="single" w:sz="4" w:space="0" w:color="auto"/>
          <w:insideH w:val="single" w:sz="4" w:space="0" w:color="auto"/>
        </w:tblBorders>
        <w:tblLayout w:type="fixed"/>
        <w:tblLook w:val="0600" w:firstRow="0" w:lastRow="0" w:firstColumn="0" w:lastColumn="0" w:noHBand="1" w:noVBand="1"/>
      </w:tblPr>
      <w:tblGrid>
        <w:gridCol w:w="2882"/>
        <w:gridCol w:w="2882"/>
        <w:gridCol w:w="2883"/>
      </w:tblGrid>
      <w:tr w:rsidR="00E022B7" w:rsidRPr="00DB1307" w14:paraId="66141A73" w14:textId="77777777" w:rsidTr="008A428F">
        <w:trPr>
          <w:trHeight w:val="360"/>
        </w:trPr>
        <w:tc>
          <w:tcPr>
            <w:tcW w:w="2882" w:type="dxa"/>
            <w:tcMar>
              <w:top w:w="100" w:type="dxa"/>
              <w:left w:w="100" w:type="dxa"/>
              <w:bottom w:w="100" w:type="dxa"/>
              <w:right w:w="100" w:type="dxa"/>
            </w:tcMar>
          </w:tcPr>
          <w:p w14:paraId="50FA773F" w14:textId="5FA5D3A4" w:rsidR="00E022B7" w:rsidRPr="00DB1307" w:rsidRDefault="00E022B7" w:rsidP="00DB1307">
            <w:pPr>
              <w:pStyle w:val="TableText"/>
              <w:rPr>
                <w:b/>
              </w:rPr>
            </w:pPr>
            <w:r w:rsidRPr="00DB1307">
              <w:rPr>
                <w:b/>
              </w:rPr>
              <w:t>Engineering concept</w:t>
            </w:r>
          </w:p>
        </w:tc>
        <w:tc>
          <w:tcPr>
            <w:tcW w:w="2882" w:type="dxa"/>
            <w:tcMar>
              <w:top w:w="100" w:type="dxa"/>
              <w:left w:w="100" w:type="dxa"/>
              <w:bottom w:w="100" w:type="dxa"/>
              <w:right w:w="100" w:type="dxa"/>
            </w:tcMar>
          </w:tcPr>
          <w:p w14:paraId="33BD80C8" w14:textId="7AF6A65B" w:rsidR="00E022B7" w:rsidRPr="00DB1307" w:rsidRDefault="00E022B7" w:rsidP="00DB1307">
            <w:pPr>
              <w:pStyle w:val="TableText"/>
              <w:rPr>
                <w:b/>
              </w:rPr>
            </w:pPr>
            <w:r w:rsidRPr="00DB1307">
              <w:rPr>
                <w:b/>
              </w:rPr>
              <w:t>Game representation</w:t>
            </w:r>
          </w:p>
        </w:tc>
        <w:tc>
          <w:tcPr>
            <w:tcW w:w="2883" w:type="dxa"/>
            <w:tcMar>
              <w:top w:w="100" w:type="dxa"/>
              <w:left w:w="100" w:type="dxa"/>
              <w:bottom w:w="100" w:type="dxa"/>
              <w:right w:w="100" w:type="dxa"/>
            </w:tcMar>
          </w:tcPr>
          <w:p w14:paraId="08024AC8" w14:textId="659CAF8D" w:rsidR="00E022B7" w:rsidRPr="00DB1307" w:rsidRDefault="00E022B7" w:rsidP="00DB1307">
            <w:pPr>
              <w:pStyle w:val="TableText"/>
              <w:rPr>
                <w:b/>
              </w:rPr>
            </w:pPr>
            <w:r w:rsidRPr="00DB1307">
              <w:rPr>
                <w:b/>
              </w:rPr>
              <w:t>Intended interpretation</w:t>
            </w:r>
          </w:p>
        </w:tc>
      </w:tr>
      <w:tr w:rsidR="00E022B7" w:rsidRPr="00DB1307" w14:paraId="0E15321C" w14:textId="77777777" w:rsidTr="008A428F">
        <w:tc>
          <w:tcPr>
            <w:tcW w:w="2882" w:type="dxa"/>
            <w:tcMar>
              <w:top w:w="100" w:type="dxa"/>
              <w:left w:w="100" w:type="dxa"/>
              <w:bottom w:w="100" w:type="dxa"/>
              <w:right w:w="100" w:type="dxa"/>
            </w:tcMar>
          </w:tcPr>
          <w:p w14:paraId="2C478D2A" w14:textId="0AFE09AA" w:rsidR="00E022B7" w:rsidRPr="00DB1307" w:rsidRDefault="00E022B7" w:rsidP="00DB1307">
            <w:pPr>
              <w:pStyle w:val="TableText"/>
            </w:pPr>
            <w:r w:rsidRPr="00DB1307">
              <w:t>Envelope renovation reduces useful heat demand</w:t>
            </w:r>
          </w:p>
        </w:tc>
        <w:tc>
          <w:tcPr>
            <w:tcW w:w="2882" w:type="dxa"/>
            <w:tcMar>
              <w:top w:w="100" w:type="dxa"/>
              <w:left w:w="100" w:type="dxa"/>
              <w:bottom w:w="100" w:type="dxa"/>
              <w:right w:w="100" w:type="dxa"/>
            </w:tcMar>
          </w:tcPr>
          <w:p w14:paraId="4FFF4080" w14:textId="09124A15" w:rsidR="00E022B7" w:rsidRPr="00DB1307" w:rsidRDefault="00E022B7" w:rsidP="00DB1307">
            <w:pPr>
              <w:pStyle w:val="TableText"/>
            </w:pPr>
            <w:r w:rsidRPr="00DB1307">
              <w:t>Insulation and window cards change the thermal-demand state</w:t>
            </w:r>
          </w:p>
        </w:tc>
        <w:tc>
          <w:tcPr>
            <w:tcW w:w="2883" w:type="dxa"/>
            <w:tcMar>
              <w:top w:w="100" w:type="dxa"/>
              <w:left w:w="100" w:type="dxa"/>
              <w:bottom w:w="100" w:type="dxa"/>
              <w:right w:w="100" w:type="dxa"/>
            </w:tcMar>
          </w:tcPr>
          <w:p w14:paraId="0E5A49D7" w14:textId="21349EE7" w:rsidR="00E022B7" w:rsidRPr="00DB1307" w:rsidRDefault="00E022B7" w:rsidP="00DB1307">
            <w:pPr>
              <w:pStyle w:val="TableText"/>
            </w:pPr>
            <w:r w:rsidRPr="00DB1307">
              <w:t>Operational demand depends on building quality</w:t>
            </w:r>
          </w:p>
        </w:tc>
      </w:tr>
      <w:tr w:rsidR="00E022B7" w:rsidRPr="00DB1307" w14:paraId="592DA745" w14:textId="77777777" w:rsidTr="008A428F">
        <w:tc>
          <w:tcPr>
            <w:tcW w:w="2882" w:type="dxa"/>
            <w:tcMar>
              <w:top w:w="100" w:type="dxa"/>
              <w:left w:w="100" w:type="dxa"/>
              <w:bottom w:w="100" w:type="dxa"/>
              <w:right w:w="100" w:type="dxa"/>
            </w:tcMar>
          </w:tcPr>
          <w:p w14:paraId="5E300BAD" w14:textId="525BE06B" w:rsidR="00E022B7" w:rsidRPr="00DB1307" w:rsidRDefault="00E022B7" w:rsidP="00DB1307">
            <w:pPr>
              <w:pStyle w:val="TableText"/>
            </w:pPr>
            <w:r w:rsidRPr="00DB1307">
              <w:t>Construction causes immediate emissions</w:t>
            </w:r>
          </w:p>
        </w:tc>
        <w:tc>
          <w:tcPr>
            <w:tcW w:w="2882" w:type="dxa"/>
            <w:tcMar>
              <w:top w:w="100" w:type="dxa"/>
              <w:left w:w="100" w:type="dxa"/>
              <w:bottom w:w="100" w:type="dxa"/>
              <w:right w:w="100" w:type="dxa"/>
            </w:tcMar>
          </w:tcPr>
          <w:p w14:paraId="743CCBD4" w14:textId="5CAF520C" w:rsidR="00E022B7" w:rsidRPr="00DB1307" w:rsidRDefault="00E022B7" w:rsidP="00DB1307">
            <w:pPr>
              <w:pStyle w:val="TableText"/>
            </w:pPr>
            <w:r w:rsidRPr="00DB1307">
              <w:t>Selected cards add construction-emission values</w:t>
            </w:r>
          </w:p>
        </w:tc>
        <w:tc>
          <w:tcPr>
            <w:tcW w:w="2883" w:type="dxa"/>
            <w:tcMar>
              <w:top w:w="100" w:type="dxa"/>
              <w:left w:w="100" w:type="dxa"/>
              <w:bottom w:w="100" w:type="dxa"/>
              <w:right w:w="100" w:type="dxa"/>
            </w:tcMar>
          </w:tcPr>
          <w:p w14:paraId="5B647801" w14:textId="006718C1" w:rsidR="00E022B7" w:rsidRPr="00DB1307" w:rsidRDefault="00E022B7" w:rsidP="00DB1307">
            <w:pPr>
              <w:pStyle w:val="TableText"/>
            </w:pPr>
            <w:r w:rsidRPr="00DB1307">
              <w:t>Renovation has embodied as well as operational impacts</w:t>
            </w:r>
          </w:p>
        </w:tc>
      </w:tr>
      <w:tr w:rsidR="00E022B7" w:rsidRPr="00DB1307" w14:paraId="006DF0AE" w14:textId="77777777" w:rsidTr="008A428F">
        <w:tc>
          <w:tcPr>
            <w:tcW w:w="2882" w:type="dxa"/>
            <w:tcMar>
              <w:top w:w="100" w:type="dxa"/>
              <w:left w:w="100" w:type="dxa"/>
              <w:bottom w:w="100" w:type="dxa"/>
              <w:right w:w="100" w:type="dxa"/>
            </w:tcMar>
          </w:tcPr>
          <w:p w14:paraId="4776E319" w14:textId="7B77D9AF" w:rsidR="00E022B7" w:rsidRPr="00DB1307" w:rsidRDefault="00E022B7" w:rsidP="00DB1307">
            <w:pPr>
              <w:pStyle w:val="TableText"/>
            </w:pPr>
            <w:r w:rsidRPr="00DB1307">
              <w:t>Heat-pump performance depends on system temperature</w:t>
            </w:r>
          </w:p>
        </w:tc>
        <w:tc>
          <w:tcPr>
            <w:tcW w:w="2882" w:type="dxa"/>
            <w:tcMar>
              <w:top w:w="100" w:type="dxa"/>
              <w:left w:w="100" w:type="dxa"/>
              <w:bottom w:w="100" w:type="dxa"/>
              <w:right w:w="100" w:type="dxa"/>
            </w:tcMar>
          </w:tcPr>
          <w:p w14:paraId="36F3188A" w14:textId="1B14A5B6" w:rsidR="00E022B7" w:rsidRPr="00DB1307" w:rsidRDefault="00E022B7" w:rsidP="00DB1307">
            <w:pPr>
              <w:pStyle w:val="TableText"/>
            </w:pPr>
            <w:r w:rsidRPr="00DB1307">
              <w:t>Heat-generation and heat-distribution cards jointly affect efficiency</w:t>
            </w:r>
          </w:p>
        </w:tc>
        <w:tc>
          <w:tcPr>
            <w:tcW w:w="2883" w:type="dxa"/>
            <w:tcMar>
              <w:top w:w="100" w:type="dxa"/>
              <w:left w:w="100" w:type="dxa"/>
              <w:bottom w:w="100" w:type="dxa"/>
              <w:right w:w="100" w:type="dxa"/>
            </w:tcMar>
          </w:tcPr>
          <w:p w14:paraId="27013389" w14:textId="07B90BF3" w:rsidR="00E022B7" w:rsidRPr="00DB1307" w:rsidRDefault="00E022B7" w:rsidP="00DB1307">
            <w:pPr>
              <w:pStyle w:val="TableText"/>
            </w:pPr>
            <w:r w:rsidRPr="00DB1307">
              <w:t>Technologies can create synergies</w:t>
            </w:r>
          </w:p>
        </w:tc>
      </w:tr>
      <w:tr w:rsidR="00E022B7" w:rsidRPr="00DB1307" w14:paraId="3B19304E" w14:textId="77777777" w:rsidTr="008A428F">
        <w:tc>
          <w:tcPr>
            <w:tcW w:w="2882" w:type="dxa"/>
            <w:tcMar>
              <w:top w:w="100" w:type="dxa"/>
              <w:left w:w="100" w:type="dxa"/>
              <w:bottom w:w="100" w:type="dxa"/>
              <w:right w:w="100" w:type="dxa"/>
            </w:tcMar>
          </w:tcPr>
          <w:p w14:paraId="14B6F1D2" w14:textId="28AF612B" w:rsidR="00E022B7" w:rsidRPr="00DB1307" w:rsidRDefault="00E022B7" w:rsidP="00DB1307">
            <w:pPr>
              <w:pStyle w:val="TableText"/>
            </w:pPr>
            <w:r w:rsidRPr="00DB1307">
              <w:t>PV generates electricity</w:t>
            </w:r>
          </w:p>
        </w:tc>
        <w:tc>
          <w:tcPr>
            <w:tcW w:w="2882" w:type="dxa"/>
            <w:tcMar>
              <w:top w:w="100" w:type="dxa"/>
              <w:left w:w="100" w:type="dxa"/>
              <w:bottom w:w="100" w:type="dxa"/>
              <w:right w:w="100" w:type="dxa"/>
            </w:tcMar>
          </w:tcPr>
          <w:p w14:paraId="4967B804" w14:textId="17B5BE03" w:rsidR="00E022B7" w:rsidRPr="00DB1307" w:rsidRDefault="00E022B7" w:rsidP="00DB1307">
            <w:pPr>
              <w:pStyle w:val="TableText"/>
            </w:pPr>
            <w:r w:rsidRPr="00DB1307">
              <w:t>PV cards increase local electricity production</w:t>
            </w:r>
          </w:p>
        </w:tc>
        <w:tc>
          <w:tcPr>
            <w:tcW w:w="2883" w:type="dxa"/>
            <w:tcMar>
              <w:top w:w="100" w:type="dxa"/>
              <w:left w:w="100" w:type="dxa"/>
              <w:bottom w:w="100" w:type="dxa"/>
              <w:right w:w="100" w:type="dxa"/>
            </w:tcMar>
          </w:tcPr>
          <w:p w14:paraId="2B0B55AC" w14:textId="6E7D143E" w:rsidR="00E022B7" w:rsidRPr="00DB1307" w:rsidRDefault="00E022B7" w:rsidP="00DB1307">
            <w:pPr>
              <w:pStyle w:val="TableText"/>
            </w:pPr>
            <w:r w:rsidRPr="00DB1307">
              <w:t>Production is distinct from efficiency</w:t>
            </w:r>
          </w:p>
        </w:tc>
      </w:tr>
      <w:tr w:rsidR="00E022B7" w:rsidRPr="00DB1307" w14:paraId="18C6EDEE" w14:textId="77777777" w:rsidTr="008A428F">
        <w:tc>
          <w:tcPr>
            <w:tcW w:w="2882" w:type="dxa"/>
            <w:tcMar>
              <w:top w:w="100" w:type="dxa"/>
              <w:left w:w="100" w:type="dxa"/>
              <w:bottom w:w="100" w:type="dxa"/>
              <w:right w:w="100" w:type="dxa"/>
            </w:tcMar>
          </w:tcPr>
          <w:p w14:paraId="505EEE30" w14:textId="44788FDA" w:rsidR="00E022B7" w:rsidRPr="00DB1307" w:rsidRDefault="00E022B7" w:rsidP="00DB1307">
            <w:pPr>
              <w:pStyle w:val="TableText"/>
            </w:pPr>
            <w:r w:rsidRPr="00DB1307">
              <w:t>Storage does not generate electricity</w:t>
            </w:r>
          </w:p>
        </w:tc>
        <w:tc>
          <w:tcPr>
            <w:tcW w:w="2882" w:type="dxa"/>
            <w:tcMar>
              <w:top w:w="100" w:type="dxa"/>
              <w:left w:w="100" w:type="dxa"/>
              <w:bottom w:w="100" w:type="dxa"/>
              <w:right w:w="100" w:type="dxa"/>
            </w:tcMar>
          </w:tcPr>
          <w:p w14:paraId="64E476B6" w14:textId="330F11BE" w:rsidR="00E022B7" w:rsidRPr="00DB1307" w:rsidRDefault="00E022B7" w:rsidP="00DB1307">
            <w:pPr>
              <w:pStyle w:val="TableText"/>
            </w:pPr>
            <w:r w:rsidRPr="00DB1307">
              <w:t>Storage changes the grid-import relation but not production</w:t>
            </w:r>
          </w:p>
        </w:tc>
        <w:tc>
          <w:tcPr>
            <w:tcW w:w="2883" w:type="dxa"/>
            <w:tcMar>
              <w:top w:w="100" w:type="dxa"/>
              <w:left w:w="100" w:type="dxa"/>
              <w:bottom w:w="100" w:type="dxa"/>
              <w:right w:w="100" w:type="dxa"/>
            </w:tcMar>
          </w:tcPr>
          <w:p w14:paraId="2BAB04B4" w14:textId="7F0646BE" w:rsidR="00E022B7" w:rsidRPr="00DB1307" w:rsidRDefault="00E022B7" w:rsidP="00DB1307">
            <w:pPr>
              <w:pStyle w:val="TableText"/>
            </w:pPr>
            <w:r w:rsidRPr="00DB1307">
              <w:t>Flexibility is distinct from generation</w:t>
            </w:r>
          </w:p>
        </w:tc>
      </w:tr>
      <w:tr w:rsidR="00E022B7" w:rsidRPr="00DB1307" w14:paraId="286A7D51" w14:textId="77777777" w:rsidTr="008A428F">
        <w:tc>
          <w:tcPr>
            <w:tcW w:w="2882" w:type="dxa"/>
            <w:tcMar>
              <w:top w:w="100" w:type="dxa"/>
              <w:left w:w="100" w:type="dxa"/>
              <w:bottom w:w="100" w:type="dxa"/>
              <w:right w:w="100" w:type="dxa"/>
            </w:tcMar>
          </w:tcPr>
          <w:p w14:paraId="22A28267" w14:textId="356773E5" w:rsidR="00E022B7" w:rsidRPr="00DB1307" w:rsidRDefault="00E022B7" w:rsidP="00DB1307">
            <w:pPr>
              <w:pStyle w:val="TableText"/>
            </w:pPr>
            <w:r w:rsidRPr="00DB1307">
              <w:t>Some measures require infrastructure</w:t>
            </w:r>
          </w:p>
        </w:tc>
        <w:tc>
          <w:tcPr>
            <w:tcW w:w="2882" w:type="dxa"/>
            <w:tcMar>
              <w:top w:w="100" w:type="dxa"/>
              <w:left w:w="100" w:type="dxa"/>
              <w:bottom w:w="100" w:type="dxa"/>
              <w:right w:w="100" w:type="dxa"/>
            </w:tcMar>
          </w:tcPr>
          <w:p w14:paraId="4F717312" w14:textId="14D8A3EB" w:rsidR="00E022B7" w:rsidRPr="00DB1307" w:rsidRDefault="00E022B7" w:rsidP="00DB1307">
            <w:pPr>
              <w:pStyle w:val="TableText"/>
            </w:pPr>
            <w:r w:rsidRPr="00DB1307">
              <w:t>Selected cards contain prerequisites</w:t>
            </w:r>
          </w:p>
        </w:tc>
        <w:tc>
          <w:tcPr>
            <w:tcW w:w="2883" w:type="dxa"/>
            <w:tcMar>
              <w:top w:w="100" w:type="dxa"/>
              <w:left w:w="100" w:type="dxa"/>
              <w:bottom w:w="100" w:type="dxa"/>
              <w:right w:w="100" w:type="dxa"/>
            </w:tcMar>
          </w:tcPr>
          <w:p w14:paraId="4E586895" w14:textId="07D9844E" w:rsidR="00E022B7" w:rsidRPr="00DB1307" w:rsidRDefault="00E022B7" w:rsidP="00DB1307">
            <w:pPr>
              <w:pStyle w:val="TableText"/>
            </w:pPr>
            <w:r w:rsidRPr="00DB1307">
              <w:t>Renovation sequence can matter</w:t>
            </w:r>
          </w:p>
        </w:tc>
      </w:tr>
      <w:tr w:rsidR="00E022B7" w:rsidRPr="00DB1307" w14:paraId="239AA829" w14:textId="77777777" w:rsidTr="008A428F">
        <w:tc>
          <w:tcPr>
            <w:tcW w:w="2882" w:type="dxa"/>
            <w:tcMar>
              <w:top w:w="100" w:type="dxa"/>
              <w:left w:w="100" w:type="dxa"/>
              <w:bottom w:w="100" w:type="dxa"/>
              <w:right w:w="100" w:type="dxa"/>
            </w:tcMar>
          </w:tcPr>
          <w:p w14:paraId="18565855" w14:textId="4CB1C6D9" w:rsidR="00E022B7" w:rsidRPr="00DB1307" w:rsidRDefault="00E022B7" w:rsidP="00DB1307">
            <w:pPr>
              <w:pStyle w:val="TableText"/>
            </w:pPr>
            <w:r w:rsidRPr="00DB1307">
              <w:t>Building surfaces are limited</w:t>
            </w:r>
          </w:p>
        </w:tc>
        <w:tc>
          <w:tcPr>
            <w:tcW w:w="2882" w:type="dxa"/>
            <w:tcMar>
              <w:top w:w="100" w:type="dxa"/>
              <w:left w:w="100" w:type="dxa"/>
              <w:bottom w:w="100" w:type="dxa"/>
              <w:right w:w="100" w:type="dxa"/>
            </w:tcMar>
          </w:tcPr>
          <w:p w14:paraId="4387686E" w14:textId="68130BBF" w:rsidR="00E022B7" w:rsidRPr="00DB1307" w:rsidRDefault="00E022B7" w:rsidP="00DB1307">
            <w:pPr>
              <w:pStyle w:val="TableText"/>
            </w:pPr>
            <w:r w:rsidRPr="00DB1307">
              <w:t>Selected measures are mutually exclusive</w:t>
            </w:r>
          </w:p>
        </w:tc>
        <w:tc>
          <w:tcPr>
            <w:tcW w:w="2883" w:type="dxa"/>
            <w:tcMar>
              <w:top w:w="100" w:type="dxa"/>
              <w:left w:w="100" w:type="dxa"/>
              <w:bottom w:w="100" w:type="dxa"/>
              <w:right w:w="100" w:type="dxa"/>
            </w:tcMar>
          </w:tcPr>
          <w:p w14:paraId="3CBE1C9A" w14:textId="21F77824" w:rsidR="00E022B7" w:rsidRPr="00DB1307" w:rsidRDefault="00E022B7" w:rsidP="00DB1307">
            <w:pPr>
              <w:pStyle w:val="TableText"/>
            </w:pPr>
            <w:r w:rsidRPr="00DB1307">
              <w:t>Physical constraints affect strategy</w:t>
            </w:r>
          </w:p>
        </w:tc>
      </w:tr>
      <w:tr w:rsidR="00E022B7" w:rsidRPr="00DB1307" w14:paraId="20A04B46" w14:textId="77777777" w:rsidTr="008A428F">
        <w:tc>
          <w:tcPr>
            <w:tcW w:w="2882" w:type="dxa"/>
            <w:tcMar>
              <w:top w:w="100" w:type="dxa"/>
              <w:left w:w="100" w:type="dxa"/>
              <w:bottom w:w="100" w:type="dxa"/>
              <w:right w:w="100" w:type="dxa"/>
            </w:tcMar>
          </w:tcPr>
          <w:p w14:paraId="7F31E949" w14:textId="0AFE3D29" w:rsidR="00E022B7" w:rsidRPr="00DB1307" w:rsidRDefault="00E022B7" w:rsidP="00DB1307">
            <w:pPr>
              <w:pStyle w:val="TableText"/>
            </w:pPr>
            <w:r w:rsidRPr="00DB1307">
              <w:t>Electricity decarbonizes over time</w:t>
            </w:r>
          </w:p>
        </w:tc>
        <w:tc>
          <w:tcPr>
            <w:tcW w:w="2882" w:type="dxa"/>
            <w:tcMar>
              <w:top w:w="100" w:type="dxa"/>
              <w:left w:w="100" w:type="dxa"/>
              <w:bottom w:w="100" w:type="dxa"/>
              <w:right w:w="100" w:type="dxa"/>
            </w:tcMar>
          </w:tcPr>
          <w:p w14:paraId="38CF7ECB" w14:textId="16B87385" w:rsidR="00E022B7" w:rsidRPr="00DB1307" w:rsidRDefault="00E022B7" w:rsidP="00DB1307">
            <w:pPr>
              <w:pStyle w:val="TableText"/>
            </w:pPr>
            <w:r w:rsidRPr="00DB1307">
              <w:t>Grid-emission values decrease between rounds</w:t>
            </w:r>
          </w:p>
        </w:tc>
        <w:tc>
          <w:tcPr>
            <w:tcW w:w="2883" w:type="dxa"/>
            <w:tcMar>
              <w:top w:w="100" w:type="dxa"/>
              <w:left w:w="100" w:type="dxa"/>
              <w:bottom w:w="100" w:type="dxa"/>
              <w:right w:w="100" w:type="dxa"/>
            </w:tcMar>
          </w:tcPr>
          <w:p w14:paraId="0B401388" w14:textId="208ACF90" w:rsidR="00E022B7" w:rsidRPr="00DB1307" w:rsidRDefault="00E022B7" w:rsidP="00DB1307">
            <w:pPr>
              <w:pStyle w:val="TableText"/>
            </w:pPr>
            <w:r w:rsidRPr="00DB1307">
              <w:t>Timing changes operational emissions</w:t>
            </w:r>
          </w:p>
        </w:tc>
      </w:tr>
      <w:tr w:rsidR="00E022B7" w:rsidRPr="00DB1307" w14:paraId="142FD78E" w14:textId="77777777" w:rsidTr="008A428F">
        <w:tc>
          <w:tcPr>
            <w:tcW w:w="2882" w:type="dxa"/>
            <w:tcMar>
              <w:top w:w="100" w:type="dxa"/>
              <w:left w:w="100" w:type="dxa"/>
              <w:bottom w:w="100" w:type="dxa"/>
              <w:right w:w="100" w:type="dxa"/>
            </w:tcMar>
          </w:tcPr>
          <w:p w14:paraId="40748AF4" w14:textId="0AC3D1D6" w:rsidR="00E022B7" w:rsidRPr="00DB1307" w:rsidRDefault="00E022B7" w:rsidP="00DB1307">
            <w:pPr>
              <w:pStyle w:val="TableText"/>
            </w:pPr>
            <w:r w:rsidRPr="00DB1307">
              <w:t>User-oriented measures have non-energy value</w:t>
            </w:r>
          </w:p>
        </w:tc>
        <w:tc>
          <w:tcPr>
            <w:tcW w:w="2882" w:type="dxa"/>
            <w:tcMar>
              <w:top w:w="100" w:type="dxa"/>
              <w:left w:w="100" w:type="dxa"/>
              <w:bottom w:w="100" w:type="dxa"/>
              <w:right w:w="100" w:type="dxa"/>
            </w:tcMar>
          </w:tcPr>
          <w:p w14:paraId="52039A44" w14:textId="14523821" w:rsidR="00E022B7" w:rsidRPr="00DB1307" w:rsidRDefault="00E022B7" w:rsidP="00DB1307">
            <w:pPr>
              <w:pStyle w:val="TableText"/>
            </w:pPr>
            <w:r w:rsidRPr="00DB1307">
              <w:t>Satisfaction affects available resources</w:t>
            </w:r>
          </w:p>
        </w:tc>
        <w:tc>
          <w:tcPr>
            <w:tcW w:w="2883" w:type="dxa"/>
            <w:tcMar>
              <w:top w:w="100" w:type="dxa"/>
              <w:left w:w="100" w:type="dxa"/>
              <w:bottom w:w="100" w:type="dxa"/>
              <w:right w:w="100" w:type="dxa"/>
            </w:tcMar>
          </w:tcPr>
          <w:p w14:paraId="6F42048F" w14:textId="016C9311" w:rsidR="00E022B7" w:rsidRPr="00DB1307" w:rsidRDefault="00E022B7" w:rsidP="00DB1307">
            <w:pPr>
              <w:pStyle w:val="TableText"/>
            </w:pPr>
            <w:r w:rsidRPr="00DB1307">
              <w:t>Renovation is not a pure energy optimization problem</w:t>
            </w:r>
          </w:p>
        </w:tc>
      </w:tr>
    </w:tbl>
    <w:p w14:paraId="6C63C305" w14:textId="77777777" w:rsidR="00E022B7" w:rsidRDefault="00E022B7" w:rsidP="00E022B7">
      <w:pPr>
        <w:pStyle w:val="Articlenormaltext"/>
        <w:rPr>
          <w:lang w:eastAsia="de-DE"/>
        </w:rPr>
      </w:pPr>
    </w:p>
    <w:p w14:paraId="16CC7C21" w14:textId="1EDABDD6" w:rsidR="00472AAF" w:rsidRDefault="00472AAF" w:rsidP="00472AAF">
      <w:pPr>
        <w:pStyle w:val="Bulletlist"/>
        <w:numPr>
          <w:ilvl w:val="0"/>
          <w:numId w:val="0"/>
        </w:numPr>
        <w:ind w:left="357" w:hanging="357"/>
        <w:rPr>
          <w:rFonts w:eastAsia="Times New Roman"/>
          <w:sz w:val="24"/>
          <w:szCs w:val="24"/>
          <w:lang w:val="en-US" w:eastAsia="de-DE"/>
        </w:rPr>
      </w:pPr>
      <w:r w:rsidRPr="00472AAF">
        <w:rPr>
          <w:rFonts w:eastAsia="Times New Roman"/>
          <w:noProof/>
          <w:sz w:val="24"/>
          <w:szCs w:val="24"/>
          <w:lang w:val="en-US" w:eastAsia="de-DE"/>
        </w:rPr>
        <w:lastRenderedPageBreak/>
        <w:drawing>
          <wp:inline distT="0" distB="0" distL="0" distR="0" wp14:anchorId="48B16C1F" wp14:editId="2D70CD8B">
            <wp:extent cx="5491480" cy="3606800"/>
            <wp:effectExtent l="0" t="0" r="0" b="0"/>
            <wp:docPr id="20185696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9657" name=""/>
                    <pic:cNvPicPr/>
                  </pic:nvPicPr>
                  <pic:blipFill>
                    <a:blip r:embed="rId22"/>
                    <a:stretch>
                      <a:fillRect/>
                    </a:stretch>
                  </pic:blipFill>
                  <pic:spPr>
                    <a:xfrm>
                      <a:off x="0" y="0"/>
                      <a:ext cx="5491480" cy="3606800"/>
                    </a:xfrm>
                    <a:prstGeom prst="rect">
                      <a:avLst/>
                    </a:prstGeom>
                  </pic:spPr>
                </pic:pic>
              </a:graphicData>
            </a:graphic>
          </wp:inline>
        </w:drawing>
      </w:r>
    </w:p>
    <w:p w14:paraId="0461101A" w14:textId="7D4BDC42" w:rsidR="00472AAF" w:rsidRDefault="00472AAF" w:rsidP="00472AAF">
      <w:pPr>
        <w:pStyle w:val="Figurecaption"/>
        <w:rPr>
          <w:lang w:eastAsia="de-DE"/>
        </w:rPr>
      </w:pPr>
      <w:r>
        <w:rPr>
          <w:lang w:eastAsia="de-DE"/>
        </w:rPr>
        <w:t>Discrete game states and main influences</w:t>
      </w:r>
    </w:p>
    <w:p w14:paraId="47F80A98" w14:textId="77777777" w:rsidR="00011FD0" w:rsidRPr="00011FD0" w:rsidRDefault="00011FD0" w:rsidP="00011FD0">
      <w:pPr>
        <w:pStyle w:val="berschrift2"/>
        <w:ind w:left="578" w:hanging="578"/>
      </w:pPr>
      <w:r>
        <w:t>Engineering-to-game translation</w:t>
      </w:r>
    </w:p>
    <w:p w14:paraId="11BB4456" w14:textId="07530CB8" w:rsidR="00011FD0" w:rsidRDefault="00011FD0" w:rsidP="00011FD0">
      <w:pPr>
        <w:pStyle w:val="berschrift3"/>
      </w:pPr>
      <w:r w:rsidRPr="00011FD0">
        <w:t>Discretization</w:t>
      </w:r>
      <w:r>
        <w:t xml:space="preserve"> and calibration</w:t>
      </w:r>
    </w:p>
    <w:p w14:paraId="283C4ECB" w14:textId="0B4F2624" w:rsidR="00011FD0" w:rsidRDefault="00011FD0" w:rsidP="00011FD0">
      <w:pPr>
        <w:pStyle w:val="Articlenormaltextfirstparagraph"/>
      </w:pPr>
      <w:r w:rsidRPr="00011FD0">
        <w:t>Engineering quantities were translated into bounded game states through controlled discretization. The aim was not numerical equivalence with a detailed building simulation but preservation of the structure relevant to renovation decisions.</w:t>
      </w:r>
      <w:r>
        <w:t xml:space="preserve"> </w:t>
      </w:r>
      <w:r w:rsidRPr="00011FD0">
        <w:t>Four criteria guided the translation:</w:t>
      </w:r>
    </w:p>
    <w:p w14:paraId="4D80DB28" w14:textId="77777777" w:rsidR="00011FD0" w:rsidRPr="00011FD0" w:rsidRDefault="00011FD0" w:rsidP="00011FD0">
      <w:pPr>
        <w:pStyle w:val="Articlenormaltext"/>
      </w:pPr>
    </w:p>
    <w:p w14:paraId="2CA79657" w14:textId="77777777" w:rsidR="00011FD0" w:rsidRDefault="00011FD0" w:rsidP="00011FD0">
      <w:pPr>
        <w:pStyle w:val="Bulletlist"/>
      </w:pPr>
      <w:r>
        <w:rPr>
          <w:rStyle w:val="Fett"/>
        </w:rPr>
        <w:t>Direction:</w:t>
      </w:r>
      <w:r>
        <w:t xml:space="preserve"> beneficial and adverse effects retain their physical sign.</w:t>
      </w:r>
    </w:p>
    <w:p w14:paraId="343F6438" w14:textId="77777777" w:rsidR="00011FD0" w:rsidRDefault="00011FD0" w:rsidP="00011FD0">
      <w:pPr>
        <w:pStyle w:val="Bulletlist"/>
      </w:pPr>
      <w:r>
        <w:rPr>
          <w:rStyle w:val="Fett"/>
        </w:rPr>
        <w:t>Ordering:</w:t>
      </w:r>
      <w:r>
        <w:t xml:space="preserve"> clearly different technical alternatives retain a plausible relative ranking.</w:t>
      </w:r>
    </w:p>
    <w:p w14:paraId="7EF47F4C" w14:textId="77777777" w:rsidR="00011FD0" w:rsidRDefault="00011FD0" w:rsidP="00011FD0">
      <w:pPr>
        <w:pStyle w:val="Bulletlist"/>
      </w:pPr>
      <w:r>
        <w:rPr>
          <w:rStyle w:val="Fett"/>
        </w:rPr>
        <w:t>Magnitude:</w:t>
      </w:r>
      <w:r>
        <w:t xml:space="preserve"> differences large enough to matter technically remain distinguishable after discretization.</w:t>
      </w:r>
    </w:p>
    <w:p w14:paraId="04C48757" w14:textId="77777777" w:rsidR="00011FD0" w:rsidRDefault="00011FD0" w:rsidP="00011FD0">
      <w:pPr>
        <w:pStyle w:val="Bulletlist"/>
      </w:pPr>
      <w:r>
        <w:rPr>
          <w:rStyle w:val="Fett"/>
        </w:rPr>
        <w:t>Decision relevance:</w:t>
      </w:r>
      <w:r>
        <w:t xml:space="preserve"> differences remain large enough to affect gameplay without creating universally dominant choices.</w:t>
      </w:r>
    </w:p>
    <w:p w14:paraId="0288CA7C" w14:textId="77777777" w:rsidR="00011FD0" w:rsidRPr="00011FD0" w:rsidRDefault="00011FD0" w:rsidP="00011FD0">
      <w:pPr>
        <w:pStyle w:val="Articlenormaltextfirstparagraph"/>
      </w:pPr>
      <w:r w:rsidRPr="00011FD0">
        <w:t>For the 1,000 m² reference building, one thermal-demand unit represents approximately 20 kWh/m²a, while one unit of electricity demand, local generation and grid import represents approximately 5 kWh/m²a. One greenhouse-gas score unit corresponds to 1 kg CO₂e/m². Heat-pump performance is represented through discrete COP levels rather than a continuous efficiency model.</w:t>
      </w:r>
    </w:p>
    <w:p w14:paraId="328C952F" w14:textId="77777777" w:rsidR="00472AAF" w:rsidRPr="00472AAF" w:rsidRDefault="00472AAF" w:rsidP="00472AAF">
      <w:pPr>
        <w:pStyle w:val="Articlenormaltext"/>
      </w:pPr>
    </w:p>
    <w:p w14:paraId="7C0ADECD" w14:textId="27D2A750" w:rsidR="00472AAF" w:rsidRDefault="00011FD0" w:rsidP="00472AAF">
      <w:pPr>
        <w:pStyle w:val="Tablecaption"/>
      </w:pPr>
      <w:r>
        <w:t>Core</w:t>
      </w:r>
      <w:r>
        <w:t xml:space="preserve"> </w:t>
      </w:r>
      <w:r>
        <w:t>engineering-to-game mappings</w:t>
      </w:r>
    </w:p>
    <w:tbl>
      <w:tblPr>
        <w:tblStyle w:val="EinfacheTabelle2"/>
        <w:tblW w:w="0" w:type="auto"/>
        <w:jc w:val="center"/>
        <w:tblCellMar>
          <w:top w:w="113" w:type="dxa"/>
          <w:bottom w:w="113" w:type="dxa"/>
        </w:tblCellMar>
        <w:tblLook w:val="04A0" w:firstRow="1" w:lastRow="0" w:firstColumn="1" w:lastColumn="0" w:noHBand="0" w:noVBand="1"/>
      </w:tblPr>
      <w:tblGrid>
        <w:gridCol w:w="2552"/>
        <w:gridCol w:w="1559"/>
        <w:gridCol w:w="1559"/>
        <w:gridCol w:w="1843"/>
        <w:gridCol w:w="1055"/>
      </w:tblGrid>
      <w:tr w:rsidR="00011FD0" w:rsidRPr="00ED798B" w14:paraId="777B49AB" w14:textId="11F28E12" w:rsidTr="00011F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232F2869" w14:textId="5418D0AD" w:rsidR="00011FD0" w:rsidRPr="00ED798B" w:rsidRDefault="00011FD0" w:rsidP="002357BE">
            <w:pPr>
              <w:pStyle w:val="TableText"/>
              <w:rPr>
                <w:lang w:eastAsia="de-DE"/>
              </w:rPr>
            </w:pPr>
            <w:r>
              <w:t>Quantity</w:t>
            </w:r>
          </w:p>
        </w:tc>
        <w:tc>
          <w:tcPr>
            <w:tcW w:w="1559" w:type="dxa"/>
          </w:tcPr>
          <w:p w14:paraId="14488F9A" w14:textId="4A16F14A" w:rsidR="00011FD0" w:rsidRDefault="00011FD0" w:rsidP="002357BE">
            <w:pPr>
              <w:pStyle w:val="TableText"/>
              <w:jc w:val="center"/>
              <w:cnfStyle w:val="100000000000" w:firstRow="1" w:lastRow="0" w:firstColumn="0" w:lastColumn="0" w:oddVBand="0" w:evenVBand="0" w:oddHBand="0" w:evenHBand="0" w:firstRowFirstColumn="0" w:firstRowLastColumn="0" w:lastRowFirstColumn="0" w:lastRowLastColumn="0"/>
            </w:pPr>
            <w:r>
              <w:t>Game representation</w:t>
            </w:r>
          </w:p>
        </w:tc>
        <w:tc>
          <w:tcPr>
            <w:tcW w:w="1559" w:type="dxa"/>
            <w:vAlign w:val="center"/>
            <w:hideMark/>
          </w:tcPr>
          <w:p w14:paraId="632E04CE" w14:textId="3B891071" w:rsidR="00011FD0" w:rsidRPr="00ED798B" w:rsidRDefault="00011FD0" w:rsidP="002357BE">
            <w:pPr>
              <w:pStyle w:val="TableText"/>
              <w:jc w:val="center"/>
              <w:cnfStyle w:val="100000000000" w:firstRow="1" w:lastRow="0" w:firstColumn="0" w:lastColumn="0" w:oddVBand="0" w:evenVBand="0" w:oddHBand="0" w:evenHBand="0" w:firstRowFirstColumn="0" w:firstRowLastColumn="0" w:lastRowFirstColumn="0" w:lastRowLastColumn="0"/>
              <w:rPr>
                <w:lang w:eastAsia="de-DE"/>
              </w:rPr>
            </w:pPr>
            <w:r>
              <w:t>Symbol / game representation</w:t>
            </w:r>
          </w:p>
        </w:tc>
        <w:tc>
          <w:tcPr>
            <w:tcW w:w="1843" w:type="dxa"/>
            <w:vAlign w:val="center"/>
          </w:tcPr>
          <w:p w14:paraId="57DE7800" w14:textId="666EC3C3" w:rsidR="00011FD0" w:rsidRDefault="00011FD0" w:rsidP="002357BE">
            <w:pPr>
              <w:pStyle w:val="TableText"/>
              <w:jc w:val="right"/>
              <w:cnfStyle w:val="100000000000" w:firstRow="1" w:lastRow="0" w:firstColumn="0" w:lastColumn="0" w:oddVBand="0" w:evenVBand="0" w:oddHBand="0" w:evenHBand="0" w:firstRowFirstColumn="0" w:firstRowLastColumn="0" w:lastRowFirstColumn="0" w:lastRowLastColumn="0"/>
              <w:rPr>
                <w:lang w:eastAsia="de-DE"/>
              </w:rPr>
            </w:pPr>
            <w:r>
              <w:t>Physical value represented by one game unit</w:t>
            </w:r>
          </w:p>
        </w:tc>
        <w:tc>
          <w:tcPr>
            <w:tcW w:w="0" w:type="auto"/>
            <w:vAlign w:val="center"/>
          </w:tcPr>
          <w:p w14:paraId="2141156B" w14:textId="69A1B784" w:rsidR="00011FD0" w:rsidRPr="00ED798B" w:rsidRDefault="00011FD0" w:rsidP="002357BE">
            <w:pPr>
              <w:pStyle w:val="TableText"/>
              <w:cnfStyle w:val="100000000000" w:firstRow="1" w:lastRow="0" w:firstColumn="0" w:lastColumn="0" w:oddVBand="0" w:evenVBand="0" w:oddHBand="0" w:evenHBand="0" w:firstRowFirstColumn="0" w:firstRowLastColumn="0" w:lastRowFirstColumn="0" w:lastRowLastColumn="0"/>
              <w:rPr>
                <w:lang w:eastAsia="de-DE"/>
              </w:rPr>
            </w:pPr>
            <w:r>
              <w:t>Unit</w:t>
            </w:r>
          </w:p>
        </w:tc>
      </w:tr>
      <w:tr w:rsidR="00011FD0" w:rsidRPr="00ED798B" w14:paraId="51736152" w14:textId="58DF6B48" w:rsidTr="00011F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FC62878" w14:textId="2F3838CB" w:rsidR="00011FD0" w:rsidRPr="00ED798B" w:rsidRDefault="00011FD0" w:rsidP="002357BE">
            <w:pPr>
              <w:pStyle w:val="TableText"/>
              <w:rPr>
                <w:lang w:eastAsia="de-DE"/>
              </w:rPr>
            </w:pPr>
            <w:r>
              <w:t>Reference building area</w:t>
            </w:r>
          </w:p>
        </w:tc>
        <w:tc>
          <w:tcPr>
            <w:tcW w:w="1559" w:type="dxa"/>
          </w:tcPr>
          <w:p w14:paraId="77B5A172" w14:textId="7A67BF6C"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rFonts w:ascii="Arial Nova Cond" w:hAnsi="Arial Nova Cond" w:cs="Calibri"/>
              </w:rPr>
            </w:pPr>
            <w:r>
              <w:rPr>
                <w:rFonts w:ascii="Arial Nova Cond" w:hAnsi="Arial Nova Cond" w:cs="Calibri"/>
              </w:rPr>
              <w:t>Fixed</w:t>
            </w:r>
          </w:p>
        </w:tc>
        <w:tc>
          <w:tcPr>
            <w:tcW w:w="1559" w:type="dxa"/>
            <w:vAlign w:val="center"/>
            <w:hideMark/>
          </w:tcPr>
          <w:p w14:paraId="000B6D79" w14:textId="3EB9C489" w:rsidR="00011FD0" w:rsidRPr="00ED798B"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ref</m:t>
                    </m:r>
                  </m:sub>
                </m:sSub>
                <m:r>
                  <w:rPr>
                    <w:rFonts w:ascii="Cambria Math" w:hAnsi="Cambria Math"/>
                  </w:rPr>
                  <m:t>)</m:t>
                </m:r>
              </m:oMath>
            </m:oMathPara>
          </w:p>
        </w:tc>
        <w:tc>
          <w:tcPr>
            <w:tcW w:w="1843" w:type="dxa"/>
            <w:vAlign w:val="center"/>
          </w:tcPr>
          <w:p w14:paraId="1CFB83A4" w14:textId="15D4A3F4" w:rsidR="00011FD0" w:rsidRPr="00ED798B" w:rsidRDefault="00011FD0" w:rsidP="002357BE">
            <w:pPr>
              <w:pStyle w:val="TableText"/>
              <w:jc w:val="right"/>
              <w:cnfStyle w:val="000000100000" w:firstRow="0" w:lastRow="0" w:firstColumn="0" w:lastColumn="0" w:oddVBand="0" w:evenVBand="0" w:oddHBand="1" w:evenHBand="0" w:firstRowFirstColumn="0" w:firstRowLastColumn="0" w:lastRowFirstColumn="0" w:lastRowLastColumn="0"/>
              <w:rPr>
                <w:lang w:eastAsia="de-DE"/>
              </w:rPr>
            </w:pPr>
            <w:r>
              <w:t>1,000</w:t>
            </w:r>
          </w:p>
        </w:tc>
        <w:tc>
          <w:tcPr>
            <w:tcW w:w="0" w:type="auto"/>
            <w:vAlign w:val="center"/>
          </w:tcPr>
          <w:p w14:paraId="0E2398F4" w14:textId="19A2962B" w:rsidR="00011FD0" w:rsidRPr="00ED798B" w:rsidRDefault="00011FD0" w:rsidP="002357BE">
            <w:pPr>
              <w:pStyle w:val="TableText"/>
              <w:cnfStyle w:val="000000100000" w:firstRow="0" w:lastRow="0" w:firstColumn="0" w:lastColumn="0" w:oddVBand="0" w:evenVBand="0" w:oddHBand="1" w:evenHBand="0" w:firstRowFirstColumn="0" w:firstRowLastColumn="0" w:lastRowFirstColumn="0" w:lastRowLastColumn="0"/>
              <w:rPr>
                <w:lang w:eastAsia="de-DE"/>
              </w:rPr>
            </w:pPr>
            <w:r>
              <w:t>m²</w:t>
            </w:r>
          </w:p>
        </w:tc>
      </w:tr>
      <w:tr w:rsidR="00011FD0" w:rsidRPr="00ED798B" w14:paraId="161270C0" w14:textId="06AF7C6B" w:rsidTr="00011FD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526960A1" w14:textId="5DF9AFF5" w:rsidR="00011FD0" w:rsidRPr="00ED798B" w:rsidRDefault="00011FD0" w:rsidP="002357BE">
            <w:pPr>
              <w:pStyle w:val="TableText"/>
              <w:rPr>
                <w:lang w:eastAsia="de-DE"/>
              </w:rPr>
            </w:pPr>
            <w:r>
              <w:lastRenderedPageBreak/>
              <w:t>Duration of one round</w:t>
            </w:r>
          </w:p>
        </w:tc>
        <w:tc>
          <w:tcPr>
            <w:tcW w:w="1559" w:type="dxa"/>
          </w:tcPr>
          <w:p w14:paraId="1DB48B16" w14:textId="39A5A027" w:rsidR="00011FD0"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rFonts w:ascii="Arial Nova Cond" w:hAnsi="Arial Nova Cond" w:cs="Calibri"/>
              </w:rPr>
            </w:pPr>
            <w:r>
              <w:rPr>
                <w:rFonts w:ascii="Arial Nova Cond" w:hAnsi="Arial Nova Cond" w:cs="Calibri"/>
              </w:rPr>
              <w:t>Fixed</w:t>
            </w:r>
          </w:p>
        </w:tc>
        <w:tc>
          <w:tcPr>
            <w:tcW w:w="1559" w:type="dxa"/>
            <w:vAlign w:val="center"/>
            <w:hideMark/>
          </w:tcPr>
          <w:p w14:paraId="2FACDFCC" w14:textId="0DFF7EEA" w:rsidR="00011FD0" w:rsidRPr="00ED798B"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m:oMathPara>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e>
                </m:d>
              </m:oMath>
            </m:oMathPara>
          </w:p>
        </w:tc>
        <w:tc>
          <w:tcPr>
            <w:tcW w:w="1843" w:type="dxa"/>
            <w:vAlign w:val="center"/>
          </w:tcPr>
          <w:p w14:paraId="2ED8CACF" w14:textId="4FCA5101" w:rsidR="00011FD0" w:rsidRPr="0081016D" w:rsidRDefault="00011FD0" w:rsidP="002357BE">
            <w:pPr>
              <w:pStyle w:val="TableText"/>
              <w:jc w:val="right"/>
              <w:cnfStyle w:val="000000000000" w:firstRow="0" w:lastRow="0" w:firstColumn="0" w:lastColumn="0" w:oddVBand="0" w:evenVBand="0" w:oddHBand="0" w:evenHBand="0" w:firstRowFirstColumn="0" w:firstRowLastColumn="0" w:lastRowFirstColumn="0" w:lastRowLastColumn="0"/>
              <w:rPr>
                <w:rFonts w:ascii="Arial Nova" w:hAnsi="Arial Nova"/>
                <w:szCs w:val="14"/>
              </w:rPr>
            </w:pPr>
            <w:r>
              <w:t>5</w:t>
            </w:r>
          </w:p>
        </w:tc>
        <w:tc>
          <w:tcPr>
            <w:tcW w:w="0" w:type="auto"/>
            <w:vAlign w:val="center"/>
          </w:tcPr>
          <w:p w14:paraId="1544DC0E" w14:textId="4E5D621B" w:rsidR="00011FD0" w:rsidRPr="00ED798B" w:rsidRDefault="00011FD0" w:rsidP="002357BE">
            <w:pPr>
              <w:pStyle w:val="TableText"/>
              <w:cnfStyle w:val="000000000000" w:firstRow="0" w:lastRow="0" w:firstColumn="0" w:lastColumn="0" w:oddVBand="0" w:evenVBand="0" w:oddHBand="0" w:evenHBand="0" w:firstRowFirstColumn="0" w:firstRowLastColumn="0" w:lastRowFirstColumn="0" w:lastRowLastColumn="0"/>
              <w:rPr>
                <w:lang w:eastAsia="de-DE"/>
              </w:rPr>
            </w:pPr>
            <w:r>
              <w:t>years</w:t>
            </w:r>
          </w:p>
        </w:tc>
      </w:tr>
      <w:tr w:rsidR="00011FD0" w:rsidRPr="00ED798B" w14:paraId="50A7C336" w14:textId="0DBACDFF" w:rsidTr="00011F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5C7C2ED8" w14:textId="0B4B99F3" w:rsidR="00011FD0" w:rsidRPr="00ED798B" w:rsidRDefault="00011FD0" w:rsidP="002357BE">
            <w:pPr>
              <w:pStyle w:val="TableText"/>
              <w:rPr>
                <w:lang w:eastAsia="de-DE"/>
              </w:rPr>
            </w:pPr>
            <w:r>
              <w:t>Greenhouse-gas score</w:t>
            </w:r>
          </w:p>
        </w:tc>
        <w:tc>
          <w:tcPr>
            <w:tcW w:w="1559" w:type="dxa"/>
          </w:tcPr>
          <w:p w14:paraId="238A235C" w14:textId="6ABC1CB7"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pPr>
            <w:r>
              <w:t>1 VP</w:t>
            </w:r>
          </w:p>
        </w:tc>
        <w:tc>
          <w:tcPr>
            <w:tcW w:w="1559" w:type="dxa"/>
            <w:vAlign w:val="center"/>
            <w:hideMark/>
          </w:tcPr>
          <w:p w14:paraId="231DFE0B" w14:textId="4DA68C18" w:rsidR="00011FD0" w:rsidRPr="00ED798B"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w:p>
        </w:tc>
        <w:tc>
          <w:tcPr>
            <w:tcW w:w="1843" w:type="dxa"/>
            <w:vAlign w:val="center"/>
          </w:tcPr>
          <w:p w14:paraId="08B5EB34" w14:textId="31478D62" w:rsidR="00011FD0" w:rsidRPr="0081016D" w:rsidRDefault="00011FD0" w:rsidP="002357BE">
            <w:pPr>
              <w:pStyle w:val="TableText"/>
              <w:jc w:val="right"/>
              <w:cnfStyle w:val="000000100000" w:firstRow="0" w:lastRow="0" w:firstColumn="0" w:lastColumn="0" w:oddVBand="0" w:evenVBand="0" w:oddHBand="1" w:evenHBand="0" w:firstRowFirstColumn="0" w:firstRowLastColumn="0" w:lastRowFirstColumn="0" w:lastRowLastColumn="0"/>
              <w:rPr>
                <w:rFonts w:ascii="Arial Nova Cond" w:hAnsi="Arial Nova Cond" w:cs="Calibri"/>
              </w:rPr>
            </w:pPr>
            <w:r>
              <w:t>1</w:t>
            </w:r>
          </w:p>
        </w:tc>
        <w:tc>
          <w:tcPr>
            <w:tcW w:w="0" w:type="auto"/>
            <w:vAlign w:val="center"/>
          </w:tcPr>
          <w:p w14:paraId="527D58FF" w14:textId="4053EAE3" w:rsidR="00011FD0" w:rsidRPr="00ED798B" w:rsidRDefault="00011FD0" w:rsidP="002357BE">
            <w:pPr>
              <w:pStyle w:val="TableText"/>
              <w:cnfStyle w:val="000000100000" w:firstRow="0" w:lastRow="0" w:firstColumn="0" w:lastColumn="0" w:oddVBand="0" w:evenVBand="0" w:oddHBand="1" w:evenHBand="0" w:firstRowFirstColumn="0" w:firstRowLastColumn="0" w:lastRowFirstColumn="0" w:lastRowLastColumn="0"/>
              <w:rPr>
                <w:lang w:eastAsia="de-DE"/>
              </w:rPr>
            </w:pPr>
            <w:r>
              <w:t>kg CO</w:t>
            </w:r>
            <w:r>
              <w:rPr>
                <w:rFonts w:ascii="Cambria Math" w:hAnsi="Cambria Math" w:cs="Cambria Math"/>
              </w:rPr>
              <w:t>₂</w:t>
            </w:r>
            <w:r>
              <w:t>e/m²</w:t>
            </w:r>
          </w:p>
        </w:tc>
      </w:tr>
      <w:tr w:rsidR="00011FD0" w:rsidRPr="00ED798B" w14:paraId="00FAF99C" w14:textId="77777777" w:rsidTr="00011FD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0210161" w14:textId="40284DDA" w:rsidR="00011FD0" w:rsidRDefault="00011FD0" w:rsidP="00011FD0">
            <w:pPr>
              <w:pStyle w:val="TableText"/>
            </w:pPr>
            <w:r>
              <w:t>Thermal demand</w:t>
            </w:r>
          </w:p>
        </w:tc>
        <w:tc>
          <w:tcPr>
            <w:tcW w:w="1559" w:type="dxa"/>
          </w:tcPr>
          <w:p w14:paraId="3D3EC7DF" w14:textId="27D36462" w:rsidR="00011FD0" w:rsidRDefault="00011FD0" w:rsidP="00011FD0">
            <w:pPr>
              <w:pStyle w:val="TableText"/>
              <w:jc w:val="center"/>
              <w:cnfStyle w:val="000000000000" w:firstRow="0" w:lastRow="0" w:firstColumn="0" w:lastColumn="0" w:oddVBand="0" w:evenVBand="0" w:oddHBand="0" w:evenHBand="0" w:firstRowFirstColumn="0" w:firstRowLastColumn="0" w:lastRowFirstColumn="0" w:lastRowLastColumn="0"/>
            </w:pPr>
            <w:r>
              <w:t>1 level</w:t>
            </w:r>
          </w:p>
        </w:tc>
        <w:tc>
          <w:tcPr>
            <w:tcW w:w="1559" w:type="dxa"/>
            <w:vAlign w:val="center"/>
          </w:tcPr>
          <w:p w14:paraId="2C868390" w14:textId="653F6BD3" w:rsidR="00011FD0" w:rsidRPr="00ED798B" w:rsidRDefault="00011FD0" w:rsidP="00011FD0">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m:oMathPara>
              <m:oMath>
                <m:d>
                  <m:dPr>
                    <m:ctrlPr>
                      <w:rPr>
                        <w:rFonts w:ascii="Cambria Math" w:hAnsi="Cambria Math"/>
                      </w:rPr>
                    </m:ctrlPr>
                  </m:dPr>
                  <m:e>
                    <m:r>
                      <w:rPr>
                        <w:rFonts w:ascii="Cambria Math" w:hAnsi="Cambria Math"/>
                      </w:rPr>
                      <m:t>w</m:t>
                    </m:r>
                  </m:e>
                </m:d>
              </m:oMath>
            </m:oMathPara>
          </w:p>
        </w:tc>
        <w:tc>
          <w:tcPr>
            <w:tcW w:w="1843" w:type="dxa"/>
            <w:vAlign w:val="center"/>
          </w:tcPr>
          <w:p w14:paraId="3F720514" w14:textId="4D18705E" w:rsidR="00011FD0" w:rsidRDefault="00011FD0" w:rsidP="00011FD0">
            <w:pPr>
              <w:pStyle w:val="TableText"/>
              <w:jc w:val="right"/>
              <w:cnfStyle w:val="000000000000" w:firstRow="0" w:lastRow="0" w:firstColumn="0" w:lastColumn="0" w:oddVBand="0" w:evenVBand="0" w:oddHBand="0" w:evenHBand="0" w:firstRowFirstColumn="0" w:firstRowLastColumn="0" w:lastRowFirstColumn="0" w:lastRowLastColumn="0"/>
            </w:pPr>
            <w:r>
              <w:t>20</w:t>
            </w:r>
          </w:p>
        </w:tc>
        <w:tc>
          <w:tcPr>
            <w:tcW w:w="0" w:type="auto"/>
            <w:vAlign w:val="center"/>
          </w:tcPr>
          <w:p w14:paraId="14399AF9" w14:textId="3D9BA382" w:rsidR="00011FD0" w:rsidRDefault="00011FD0" w:rsidP="00011FD0">
            <w:pPr>
              <w:pStyle w:val="TableText"/>
              <w:cnfStyle w:val="000000000000" w:firstRow="0" w:lastRow="0" w:firstColumn="0" w:lastColumn="0" w:oddVBand="0" w:evenVBand="0" w:oddHBand="0" w:evenHBand="0" w:firstRowFirstColumn="0" w:firstRowLastColumn="0" w:lastRowFirstColumn="0" w:lastRowLastColumn="0"/>
            </w:pPr>
            <w:r>
              <w:t>kWh/m²a</w:t>
            </w:r>
          </w:p>
        </w:tc>
      </w:tr>
      <w:tr w:rsidR="00011FD0" w:rsidRPr="00ED798B" w14:paraId="594AF4BD" w14:textId="37B787CB" w:rsidTr="00011F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7A87A7E" w14:textId="1FE3DB7B" w:rsidR="00011FD0" w:rsidRPr="00ED798B" w:rsidRDefault="00011FD0" w:rsidP="002357BE">
            <w:pPr>
              <w:pStyle w:val="TableText"/>
              <w:rPr>
                <w:lang w:eastAsia="de-DE"/>
              </w:rPr>
            </w:pPr>
            <w:r>
              <w:t>Electricity demand</w:t>
            </w:r>
          </w:p>
        </w:tc>
        <w:tc>
          <w:tcPr>
            <w:tcW w:w="1559" w:type="dxa"/>
          </w:tcPr>
          <w:p w14:paraId="66F7FCE2" w14:textId="6ED6DD7E"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t xml:space="preserve">1 </w:t>
            </w:r>
            <w:r>
              <w:t>level</w:t>
            </w:r>
          </w:p>
        </w:tc>
        <w:tc>
          <w:tcPr>
            <w:tcW w:w="1559" w:type="dxa"/>
            <w:vAlign w:val="center"/>
            <w:hideMark/>
          </w:tcPr>
          <w:p w14:paraId="25701E66" w14:textId="057B51A6" w:rsidR="00011FD0" w:rsidRPr="00ED798B"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m:oMathPara>
              <m:oMath>
                <m:d>
                  <m:dPr>
                    <m:ctrlPr>
                      <w:rPr>
                        <w:rFonts w:ascii="Cambria Math" w:hAnsi="Cambria Math"/>
                      </w:rPr>
                    </m:ctrlPr>
                  </m:dPr>
                  <m:e>
                    <m:r>
                      <w:rPr>
                        <w:rFonts w:ascii="Cambria Math" w:hAnsi="Cambria Math"/>
                      </w:rPr>
                      <m:t>d</m:t>
                    </m:r>
                  </m:e>
                </m:d>
              </m:oMath>
            </m:oMathPara>
          </w:p>
        </w:tc>
        <w:tc>
          <w:tcPr>
            <w:tcW w:w="1843" w:type="dxa"/>
            <w:vAlign w:val="center"/>
          </w:tcPr>
          <w:p w14:paraId="5272C917" w14:textId="33C8C37A" w:rsidR="00011FD0" w:rsidRPr="00FF5A4A" w:rsidRDefault="00011FD0" w:rsidP="002357BE">
            <w:pPr>
              <w:pStyle w:val="TableText"/>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t>5</w:t>
            </w:r>
          </w:p>
        </w:tc>
        <w:tc>
          <w:tcPr>
            <w:tcW w:w="0" w:type="auto"/>
            <w:vAlign w:val="center"/>
          </w:tcPr>
          <w:p w14:paraId="16E15190" w14:textId="707C9D48" w:rsidR="00011FD0" w:rsidRPr="00ED798B" w:rsidRDefault="00011FD0" w:rsidP="002357BE">
            <w:pPr>
              <w:pStyle w:val="TableText"/>
              <w:cnfStyle w:val="000000100000" w:firstRow="0" w:lastRow="0" w:firstColumn="0" w:lastColumn="0" w:oddVBand="0" w:evenVBand="0" w:oddHBand="1" w:evenHBand="0" w:firstRowFirstColumn="0" w:firstRowLastColumn="0" w:lastRowFirstColumn="0" w:lastRowLastColumn="0"/>
              <w:rPr>
                <w:lang w:eastAsia="de-DE"/>
              </w:rPr>
            </w:pPr>
            <w:r>
              <w:t>kWh/m²a</w:t>
            </w:r>
          </w:p>
        </w:tc>
      </w:tr>
      <w:tr w:rsidR="00011FD0" w:rsidRPr="00ED798B" w14:paraId="4D260987" w14:textId="5D02BA7B" w:rsidTr="00011FD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2B9BCDA7" w14:textId="6DC9359F" w:rsidR="00011FD0" w:rsidRPr="00ED798B" w:rsidRDefault="00011FD0" w:rsidP="002357BE">
            <w:pPr>
              <w:pStyle w:val="TableText"/>
              <w:rPr>
                <w:lang w:eastAsia="de-DE"/>
              </w:rPr>
            </w:pPr>
            <w:r>
              <w:t>Local electricity generation</w:t>
            </w:r>
          </w:p>
        </w:tc>
        <w:tc>
          <w:tcPr>
            <w:tcW w:w="1559" w:type="dxa"/>
          </w:tcPr>
          <w:p w14:paraId="5E0B4F97" w14:textId="56E9A85F" w:rsidR="00011FD0"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t>1 level</w:t>
            </w:r>
          </w:p>
        </w:tc>
        <w:tc>
          <w:tcPr>
            <w:tcW w:w="1559" w:type="dxa"/>
            <w:vAlign w:val="center"/>
            <w:hideMark/>
          </w:tcPr>
          <w:p w14:paraId="132D5517" w14:textId="52AD510D" w:rsidR="00011FD0" w:rsidRPr="00ED798B"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m:oMathPara>
              <m:oMath>
                <m:d>
                  <m:dPr>
                    <m:ctrlPr>
                      <w:rPr>
                        <w:rFonts w:ascii="Cambria Math" w:hAnsi="Cambria Math"/>
                      </w:rPr>
                    </m:ctrlPr>
                  </m:dPr>
                  <m:e>
                    <m:r>
                      <w:rPr>
                        <w:rFonts w:ascii="Cambria Math" w:hAnsi="Cambria Math"/>
                      </w:rPr>
                      <m:t>p</m:t>
                    </m:r>
                  </m:e>
                </m:d>
              </m:oMath>
            </m:oMathPara>
          </w:p>
        </w:tc>
        <w:tc>
          <w:tcPr>
            <w:tcW w:w="1843" w:type="dxa"/>
            <w:vAlign w:val="center"/>
          </w:tcPr>
          <w:p w14:paraId="4FE33945" w14:textId="4CBF21DA" w:rsidR="00011FD0" w:rsidRDefault="00011FD0" w:rsidP="002357BE">
            <w:pPr>
              <w:pStyle w:val="TableText"/>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t>5</w:t>
            </w:r>
          </w:p>
        </w:tc>
        <w:tc>
          <w:tcPr>
            <w:tcW w:w="0" w:type="auto"/>
            <w:vAlign w:val="center"/>
          </w:tcPr>
          <w:p w14:paraId="4CB8F13A" w14:textId="36B83C7B" w:rsidR="00011FD0" w:rsidRPr="00ED798B" w:rsidRDefault="00011FD0" w:rsidP="002357BE">
            <w:pPr>
              <w:pStyle w:val="TableText"/>
              <w:cnfStyle w:val="000000000000" w:firstRow="0" w:lastRow="0" w:firstColumn="0" w:lastColumn="0" w:oddVBand="0" w:evenVBand="0" w:oddHBand="0" w:evenHBand="0" w:firstRowFirstColumn="0" w:firstRowLastColumn="0" w:lastRowFirstColumn="0" w:lastRowLastColumn="0"/>
              <w:rPr>
                <w:lang w:eastAsia="de-DE"/>
              </w:rPr>
            </w:pPr>
            <w:r>
              <w:t>kWh/m²a</w:t>
            </w:r>
          </w:p>
        </w:tc>
      </w:tr>
      <w:tr w:rsidR="00011FD0" w:rsidRPr="00ED798B" w14:paraId="218C0D10" w14:textId="6E0B112A" w:rsidTr="00011F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7486665" w14:textId="567AC8DF" w:rsidR="00011FD0" w:rsidRPr="00ED798B" w:rsidRDefault="00011FD0" w:rsidP="002357BE">
            <w:pPr>
              <w:pStyle w:val="TableText"/>
              <w:rPr>
                <w:lang w:eastAsia="de-DE"/>
              </w:rPr>
            </w:pPr>
            <w:r>
              <w:t>Storage / flexibility</w:t>
            </w:r>
          </w:p>
        </w:tc>
        <w:tc>
          <w:tcPr>
            <w:tcW w:w="1559" w:type="dxa"/>
          </w:tcPr>
          <w:p w14:paraId="5D71AACA" w14:textId="5CED3906"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t>1 level</w:t>
            </w:r>
          </w:p>
        </w:tc>
        <w:tc>
          <w:tcPr>
            <w:tcW w:w="1559" w:type="dxa"/>
            <w:vAlign w:val="center"/>
            <w:hideMark/>
          </w:tcPr>
          <w:p w14:paraId="3F8D0F2D" w14:textId="72F934F6" w:rsidR="00011FD0" w:rsidRPr="00ED798B"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m:oMathPara>
              <m:oMath>
                <m:d>
                  <m:dPr>
                    <m:ctrlPr>
                      <w:rPr>
                        <w:rFonts w:ascii="Cambria Math" w:hAnsi="Cambria Math"/>
                      </w:rPr>
                    </m:ctrlPr>
                  </m:dPr>
                  <m:e>
                    <m:r>
                      <w:rPr>
                        <w:rFonts w:ascii="Cambria Math" w:hAnsi="Cambria Math"/>
                      </w:rPr>
                      <m:t>s</m:t>
                    </m:r>
                  </m:e>
                </m:d>
              </m:oMath>
            </m:oMathPara>
          </w:p>
        </w:tc>
        <w:tc>
          <w:tcPr>
            <w:tcW w:w="1843" w:type="dxa"/>
            <w:vAlign w:val="center"/>
          </w:tcPr>
          <w:p w14:paraId="67CB0956" w14:textId="5F256F03" w:rsidR="00011FD0" w:rsidRPr="00FF5A4A" w:rsidRDefault="00011FD0" w:rsidP="002357BE">
            <w:pPr>
              <w:pStyle w:val="TableText"/>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t>5</w:t>
            </w:r>
          </w:p>
        </w:tc>
        <w:tc>
          <w:tcPr>
            <w:tcW w:w="0" w:type="auto"/>
            <w:vAlign w:val="center"/>
          </w:tcPr>
          <w:p w14:paraId="399E62F5" w14:textId="12EBC4E2" w:rsidR="00011FD0" w:rsidRPr="00ED798B" w:rsidRDefault="00011FD0" w:rsidP="002357BE">
            <w:pPr>
              <w:pStyle w:val="TableText"/>
              <w:cnfStyle w:val="000000100000" w:firstRow="0" w:lastRow="0" w:firstColumn="0" w:lastColumn="0" w:oddVBand="0" w:evenVBand="0" w:oddHBand="1" w:evenHBand="0" w:firstRowFirstColumn="0" w:firstRowLastColumn="0" w:lastRowFirstColumn="0" w:lastRowLastColumn="0"/>
              <w:rPr>
                <w:lang w:eastAsia="de-DE"/>
              </w:rPr>
            </w:pPr>
            <w:r>
              <w:t>kWh/m²</w:t>
            </w:r>
          </w:p>
        </w:tc>
      </w:tr>
      <w:tr w:rsidR="00011FD0" w:rsidRPr="00ED798B" w14:paraId="31AAC89C" w14:textId="0C471DA9" w:rsidTr="00011FD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14DDDEE1" w14:textId="0C6FE46A" w:rsidR="00011FD0" w:rsidRPr="00ED798B" w:rsidRDefault="00011FD0" w:rsidP="002357BE">
            <w:pPr>
              <w:pStyle w:val="TableText"/>
              <w:rPr>
                <w:lang w:eastAsia="de-DE"/>
              </w:rPr>
            </w:pPr>
            <w:r>
              <w:t>Grid electricity import</w:t>
            </w:r>
          </w:p>
        </w:tc>
        <w:tc>
          <w:tcPr>
            <w:tcW w:w="1559" w:type="dxa"/>
          </w:tcPr>
          <w:p w14:paraId="0261739F" w14:textId="13B18655" w:rsidR="00011FD0"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t>1 level</w:t>
            </w:r>
          </w:p>
        </w:tc>
        <w:tc>
          <w:tcPr>
            <w:tcW w:w="1559" w:type="dxa"/>
            <w:vAlign w:val="center"/>
            <w:hideMark/>
          </w:tcPr>
          <w:p w14:paraId="1EBC1CD5" w14:textId="6CB1F719" w:rsidR="00011FD0" w:rsidRPr="00ED798B" w:rsidRDefault="00011FD0" w:rsidP="002357BE">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m:oMathPara>
              <m:oMath>
                <m:d>
                  <m:dPr>
                    <m:ctrlPr>
                      <w:rPr>
                        <w:rFonts w:ascii="Cambria Math" w:hAnsi="Cambria Math"/>
                      </w:rPr>
                    </m:ctrlPr>
                  </m:dPr>
                  <m:e>
                    <m:r>
                      <w:rPr>
                        <w:rFonts w:ascii="Cambria Math" w:hAnsi="Cambria Math"/>
                      </w:rPr>
                      <m:t>g</m:t>
                    </m:r>
                  </m:e>
                </m:d>
              </m:oMath>
            </m:oMathPara>
          </w:p>
        </w:tc>
        <w:tc>
          <w:tcPr>
            <w:tcW w:w="1843" w:type="dxa"/>
            <w:vAlign w:val="center"/>
          </w:tcPr>
          <w:p w14:paraId="62C2B790" w14:textId="2154CFBC" w:rsidR="00011FD0" w:rsidRPr="00ED798B" w:rsidRDefault="00011FD0" w:rsidP="002357BE">
            <w:pPr>
              <w:pStyle w:val="TableText"/>
              <w:jc w:val="right"/>
              <w:cnfStyle w:val="000000000000" w:firstRow="0" w:lastRow="0" w:firstColumn="0" w:lastColumn="0" w:oddVBand="0" w:evenVBand="0" w:oddHBand="0" w:evenHBand="0" w:firstRowFirstColumn="0" w:firstRowLastColumn="0" w:lastRowFirstColumn="0" w:lastRowLastColumn="0"/>
              <w:rPr>
                <w:lang w:eastAsia="de-DE"/>
              </w:rPr>
            </w:pPr>
            <w:r>
              <w:t>5</w:t>
            </w:r>
          </w:p>
        </w:tc>
        <w:tc>
          <w:tcPr>
            <w:tcW w:w="0" w:type="auto"/>
            <w:vAlign w:val="center"/>
          </w:tcPr>
          <w:p w14:paraId="1F4988E7" w14:textId="4DB22D86" w:rsidR="00011FD0" w:rsidRPr="00ED798B" w:rsidRDefault="00011FD0" w:rsidP="002357BE">
            <w:pPr>
              <w:pStyle w:val="TableText"/>
              <w:cnfStyle w:val="000000000000" w:firstRow="0" w:lastRow="0" w:firstColumn="0" w:lastColumn="0" w:oddVBand="0" w:evenVBand="0" w:oddHBand="0" w:evenHBand="0" w:firstRowFirstColumn="0" w:firstRowLastColumn="0" w:lastRowFirstColumn="0" w:lastRowLastColumn="0"/>
              <w:rPr>
                <w:lang w:eastAsia="de-DE"/>
              </w:rPr>
            </w:pPr>
            <w:r>
              <w:t>kWh/m²a</w:t>
            </w:r>
          </w:p>
        </w:tc>
      </w:tr>
      <w:tr w:rsidR="00011FD0" w:rsidRPr="00ED798B" w14:paraId="1D222E0A" w14:textId="77777777" w:rsidTr="00011F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A6A5E5B" w14:textId="3087644C" w:rsidR="00011FD0" w:rsidRDefault="00011FD0" w:rsidP="002357BE">
            <w:pPr>
              <w:pStyle w:val="TableText"/>
            </w:pPr>
            <w:r>
              <w:t>Heat-pump efficiency</w:t>
            </w:r>
          </w:p>
        </w:tc>
        <w:tc>
          <w:tcPr>
            <w:tcW w:w="1559" w:type="dxa"/>
          </w:tcPr>
          <w:p w14:paraId="4BDF9C1A" w14:textId="181674B1"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pPr>
            <w:r>
              <w:t>Discrete state</w:t>
            </w:r>
          </w:p>
        </w:tc>
        <w:tc>
          <w:tcPr>
            <w:tcW w:w="1559" w:type="dxa"/>
            <w:vAlign w:val="center"/>
          </w:tcPr>
          <w:p w14:paraId="7DB292B6" w14:textId="13160F73" w:rsidR="00011FD0" w:rsidRDefault="00011FD0" w:rsidP="002357BE">
            <w:pPr>
              <w:pStyle w:val="TableText"/>
              <w:jc w:val="center"/>
              <w:cnfStyle w:val="000000100000" w:firstRow="0" w:lastRow="0" w:firstColumn="0" w:lastColumn="0" w:oddVBand="0" w:evenVBand="0" w:oddHBand="1" w:evenHBand="0" w:firstRowFirstColumn="0" w:firstRowLastColumn="0" w:lastRowFirstColumn="0" w:lastRowLastColumn="0"/>
            </w:pPr>
            <m:oMathPara>
              <m:oMath>
                <m:d>
                  <m:dPr>
                    <m:ctrlPr>
                      <w:rPr>
                        <w:rFonts w:ascii="Cambria Math" w:hAnsi="Cambria Math"/>
                      </w:rPr>
                    </m:ctrlPr>
                  </m:dPr>
                  <m:e>
                    <m:r>
                      <w:rPr>
                        <w:rFonts w:ascii="Cambria Math" w:hAnsi="Cambria Math"/>
                      </w:rPr>
                      <m:t>e</m:t>
                    </m:r>
                  </m:e>
                </m:d>
              </m:oMath>
            </m:oMathPara>
          </w:p>
        </w:tc>
        <w:tc>
          <w:tcPr>
            <w:tcW w:w="1843" w:type="dxa"/>
            <w:vAlign w:val="center"/>
          </w:tcPr>
          <w:p w14:paraId="46B33F29" w14:textId="5C1771D2" w:rsidR="00011FD0" w:rsidRDefault="00011FD0" w:rsidP="002357BE">
            <w:pPr>
              <w:pStyle w:val="TableText"/>
              <w:jc w:val="right"/>
              <w:cnfStyle w:val="000000100000" w:firstRow="0" w:lastRow="0" w:firstColumn="0" w:lastColumn="0" w:oddVBand="0" w:evenVBand="0" w:oddHBand="1" w:evenHBand="0" w:firstRowFirstColumn="0" w:firstRowLastColumn="0" w:lastRowFirstColumn="0" w:lastRowLastColumn="0"/>
            </w:pPr>
            <w:r>
              <w:t>COP level</w:t>
            </w:r>
          </w:p>
        </w:tc>
        <w:tc>
          <w:tcPr>
            <w:tcW w:w="0" w:type="auto"/>
            <w:vAlign w:val="center"/>
          </w:tcPr>
          <w:p w14:paraId="658AE939" w14:textId="42A2D3C9" w:rsidR="00011FD0" w:rsidRDefault="00011FD0" w:rsidP="002357BE">
            <w:pPr>
              <w:pStyle w:val="TableText"/>
              <w:cnfStyle w:val="000000100000" w:firstRow="0" w:lastRow="0" w:firstColumn="0" w:lastColumn="0" w:oddVBand="0" w:evenVBand="0" w:oddHBand="1" w:evenHBand="0" w:firstRowFirstColumn="0" w:firstRowLastColumn="0" w:lastRowFirstColumn="0" w:lastRowLastColumn="0"/>
            </w:pPr>
            <w:r>
              <w:t>–</w:t>
            </w:r>
          </w:p>
        </w:tc>
      </w:tr>
    </w:tbl>
    <w:p w14:paraId="69AA880D" w14:textId="77777777" w:rsidR="00011FD0" w:rsidRDefault="00011FD0" w:rsidP="00011FD0">
      <w:pPr>
        <w:pStyle w:val="Articlenormaltext"/>
      </w:pPr>
    </w:p>
    <w:p w14:paraId="29514417" w14:textId="275299B6" w:rsidR="00011FD0" w:rsidRPr="001411A8" w:rsidRDefault="00011FD0" w:rsidP="00011FD0">
      <w:pPr>
        <w:pStyle w:val="Articlenormaltextfirstparagraph"/>
      </w:pPr>
      <w:r>
        <w:t>Investment costs use a relative scale rather than validated project-specific costs. Likewise, individual cards represent reference interventions rather than complete technical specifications. Calibration was accepted when combined states remained physically recognizable, relative differences between measures were retained and no intervention became universally advantageous.</w:t>
      </w:r>
      <w:r>
        <w:t xml:space="preserve"> Game states use </w:t>
      </w:r>
      <w:r>
        <w:t>response curves</w:t>
      </w:r>
      <w:r>
        <w:t xml:space="preserve"> to translate into victory points</w:t>
      </w:r>
      <w:r w:rsidR="00917433">
        <w:t xml:space="preserve">. </w:t>
      </w:r>
      <w:r>
        <w:t>Electricity demand has an approximately linear effect on grid import, whereas the benefit of local generation is compressed to reflect limited direct self-consumption, and storage provides an additional flexibility effect. Satisfaction is converted into financial resources rather than directly into greenhouse-gas score.</w:t>
      </w:r>
    </w:p>
    <w:p w14:paraId="27DC7C8C" w14:textId="108FBF0C" w:rsidR="00472AAF" w:rsidRDefault="00472AAF" w:rsidP="00472AAF">
      <w:pPr>
        <w:pStyle w:val="berschrift3"/>
      </w:pPr>
      <w:r>
        <w:t>Thermal demand</w:t>
      </w:r>
      <w:bookmarkStart w:id="7" w:name="_lz2zo1npgmel" w:colFirst="0" w:colLast="0"/>
      <w:bookmarkStart w:id="8" w:name="_2zi19rghd3hj" w:colFirst="0" w:colLast="0"/>
      <w:bookmarkEnd w:id="7"/>
      <w:bookmarkEnd w:id="8"/>
      <w:r w:rsidR="00011FD0">
        <w:t xml:space="preserve"> and heat supply</w:t>
      </w:r>
    </w:p>
    <w:p w14:paraId="759FF2C5" w14:textId="18568189" w:rsidR="00472AAF" w:rsidRDefault="00472AAF" w:rsidP="00472AAF">
      <w:pPr>
        <w:pStyle w:val="Articlenormaltextfirstparagraph"/>
        <w:rPr>
          <w:lang w:eastAsia="de-DE"/>
        </w:rPr>
      </w:pPr>
      <w:r w:rsidRPr="00ED798B">
        <w:rPr>
          <w:lang w:eastAsia="de-DE"/>
        </w:rPr>
        <w:t>Thermal demand is represented through a discrete state. The game starts from a relatively poor existing-building condition and allows several levels of improvement.</w:t>
      </w:r>
      <w:r>
        <w:rPr>
          <w:lang w:eastAsia="de-DE"/>
        </w:rPr>
        <w:t xml:space="preserve"> </w:t>
      </w:r>
      <w:r w:rsidRPr="00ED798B">
        <w:rPr>
          <w:lang w:eastAsia="de-DE"/>
        </w:rPr>
        <w:t>A simplified representation of useful heating demand is:</w:t>
      </w:r>
    </w:p>
    <w:p w14:paraId="10F8EACE" w14:textId="77777777" w:rsidR="00FF5A4A" w:rsidRPr="00FF5A4A" w:rsidRDefault="00FF5A4A" w:rsidP="00FF5A4A">
      <w:pPr>
        <w:pStyle w:val="Articlenormaltext"/>
        <w:rPr>
          <w:lang w:eastAsia="de-DE"/>
        </w:rPr>
      </w:pPr>
    </w:p>
    <w:p w14:paraId="52BD06B7" w14:textId="5940726B" w:rsidR="00472AAF" w:rsidRPr="00FF5A4A" w:rsidRDefault="00000000" w:rsidP="00472AAF">
      <w:pPr>
        <w:pStyle w:val="Articlenormaltext"/>
        <w:rPr>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Q</m:t>
              </m:r>
            </m:e>
            <m:sub>
              <m:r>
                <w:rPr>
                  <w:rFonts w:ascii="Cambria Math" w:eastAsia="Times New Roman" w:hAnsi="Cambria Math"/>
                  <w:sz w:val="24"/>
                  <w:szCs w:val="24"/>
                </w:rPr>
                <m:t>H</m:t>
              </m:r>
            </m:sub>
          </m:sSub>
          <m:d>
            <m:dPr>
              <m:ctrlPr>
                <w:rPr>
                  <w:rFonts w:ascii="Cambria Math" w:eastAsia="Times New Roman" w:hAnsi="Cambria Math"/>
                  <w:sz w:val="24"/>
                  <w:szCs w:val="24"/>
                </w:rPr>
              </m:ctrlPr>
            </m:dPr>
            <m:e>
              <m:r>
                <w:rPr>
                  <w:rFonts w:ascii="Cambria Math" w:eastAsia="Times New Roman" w:hAnsi="Cambria Math"/>
                  <w:sz w:val="24"/>
                  <w:szCs w:val="24"/>
                </w:rPr>
                <m:t>w</m:t>
              </m:r>
            </m:e>
          </m:d>
          <m:r>
            <w:rPr>
              <w:rFonts w:ascii="Cambria Math" w:eastAsia="Times New Roman" w:hAnsi="Cambria Math"/>
              <w:sz w:val="24"/>
              <w:szCs w:val="24"/>
            </w:rPr>
            <m:t>=</m:t>
          </m:r>
          <m:sSub>
            <m:sSubPr>
              <m:ctrlPr>
                <w:rPr>
                  <w:rFonts w:ascii="Cambria Math" w:eastAsia="Times New Roman" w:hAnsi="Cambria Math"/>
                  <w:sz w:val="24"/>
                  <w:szCs w:val="24"/>
                </w:rPr>
              </m:ctrlPr>
            </m:sSubPr>
            <m:e>
              <m:r>
                <w:rPr>
                  <w:rFonts w:ascii="Cambria Math" w:eastAsia="Times New Roman" w:hAnsi="Cambria Math"/>
                  <w:sz w:val="24"/>
                  <w:szCs w:val="24"/>
                </w:rPr>
                <m:t>Q</m:t>
              </m:r>
            </m:e>
            <m:sub>
              <m:r>
                <w:rPr>
                  <w:rFonts w:ascii="Cambria Math" w:eastAsia="Times New Roman" w:hAnsi="Cambria Math"/>
                  <w:sz w:val="24"/>
                  <w:szCs w:val="24"/>
                </w:rPr>
                <m:t>H,0</m:t>
              </m:r>
            </m:sub>
          </m:sSub>
          <m:r>
            <w:rPr>
              <w:rFonts w:ascii="Cambria Math" w:eastAsia="Times New Roman" w:hAnsi="Cambria Math"/>
              <w:sz w:val="24"/>
              <w:szCs w:val="24"/>
            </w:rPr>
            <m:t>-w</m:t>
          </m:r>
          <m:r>
            <m:rPr>
              <m:sty m:val="p"/>
            </m:rPr>
            <w:rPr>
              <w:rFonts w:ascii="Cambria Math" w:eastAsia="Times New Roman" w:hAnsi="Cambria Math"/>
              <w:sz w:val="24"/>
              <w:szCs w:val="24"/>
            </w:rPr>
            <m:t>Δ</m:t>
          </m:r>
          <m:sSub>
            <m:sSubPr>
              <m:ctrlPr>
                <w:rPr>
                  <w:rFonts w:ascii="Cambria Math" w:eastAsia="Times New Roman" w:hAnsi="Cambria Math"/>
                  <w:sz w:val="24"/>
                  <w:szCs w:val="24"/>
                </w:rPr>
              </m:ctrlPr>
            </m:sSubPr>
            <m:e>
              <m:r>
                <w:rPr>
                  <w:rFonts w:ascii="Cambria Math" w:eastAsia="Times New Roman" w:hAnsi="Cambria Math"/>
                  <w:sz w:val="24"/>
                  <w:szCs w:val="24"/>
                </w:rPr>
                <m:t>Q</m:t>
              </m:r>
            </m:e>
            <m:sub>
              <m:r>
                <w:rPr>
                  <w:rFonts w:ascii="Cambria Math" w:eastAsia="Times New Roman" w:hAnsi="Cambria Math"/>
                  <w:sz w:val="24"/>
                  <w:szCs w:val="24"/>
                </w:rPr>
                <m:t>H</m:t>
              </m:r>
            </m:sub>
          </m:sSub>
          <m:r>
            <w:rPr>
              <w:rFonts w:ascii="Cambria Math" w:eastAsia="Times New Roman" w:hAnsi="Cambria Math"/>
              <w:sz w:val="24"/>
              <w:szCs w:val="24"/>
            </w:rPr>
            <m:t>,</m:t>
          </m:r>
        </m:oMath>
      </m:oMathPara>
    </w:p>
    <w:p w14:paraId="21CD1B96" w14:textId="77777777" w:rsidR="00FF5A4A" w:rsidRPr="00472AAF" w:rsidRDefault="00FF5A4A" w:rsidP="00472AAF">
      <w:pPr>
        <w:pStyle w:val="Articlenormaltext"/>
        <w:rPr>
          <w:sz w:val="24"/>
          <w:szCs w:val="24"/>
        </w:rPr>
      </w:pPr>
    </w:p>
    <w:p w14:paraId="4B46B2E8" w14:textId="77777777" w:rsidR="001411A8" w:rsidRDefault="00472AAF" w:rsidP="001411A8">
      <w:pPr>
        <w:pStyle w:val="Articlenormaltextfirstparagraph"/>
      </w:pPr>
      <w:r w:rsidRPr="00ED798B">
        <w:rPr>
          <w:lang w:eastAsia="de-DE"/>
        </w:rPr>
        <w:t>where (</w:t>
      </w:r>
      <m:oMath>
        <m:sSub>
          <m:sSubPr>
            <m:ctrlPr>
              <w:rPr>
                <w:rFonts w:ascii="Cambria Math" w:hAnsi="Cambria Math"/>
              </w:rPr>
            </m:ctrlPr>
          </m:sSubPr>
          <m:e>
            <m:r>
              <w:rPr>
                <w:rFonts w:ascii="Cambria Math" w:hAnsi="Cambria Math"/>
              </w:rPr>
              <m:t>Q</m:t>
            </m:r>
          </m:e>
          <m:sub>
            <m:r>
              <w:rPr>
                <w:rFonts w:ascii="Cambria Math" w:hAnsi="Cambria Math"/>
              </w:rPr>
              <m:t>H,0</m:t>
            </m:r>
          </m:sub>
        </m:sSub>
      </m:oMath>
      <w:r w:rsidRPr="00ED798B">
        <w:rPr>
          <w:lang w:eastAsia="de-DE"/>
        </w:rPr>
        <w:t>) is the reference useful heating demand</w:t>
      </w:r>
      <w:r w:rsidR="0081016D">
        <w:rPr>
          <w:lang w:eastAsia="de-DE"/>
        </w:rPr>
        <w:t>, set to</w:t>
      </w:r>
      <w:r>
        <w:rPr>
          <w:lang w:eastAsia="de-DE"/>
        </w:rPr>
        <w:t xml:space="preserve"> 200</w:t>
      </w:r>
      <w:r w:rsidR="0081016D">
        <w:rPr>
          <w:lang w:eastAsia="de-DE"/>
        </w:rPr>
        <w:t> </w:t>
      </w:r>
      <w:r>
        <w:rPr>
          <w:lang w:eastAsia="de-DE"/>
        </w:rPr>
        <w:t>kWh/m²a</w:t>
      </w:r>
      <w:r w:rsidRPr="00ED798B">
        <w:rPr>
          <w:lang w:eastAsia="de-DE"/>
        </w:rPr>
        <w:t>, (</w:t>
      </w:r>
      <m:oMath>
        <m:r>
          <w:rPr>
            <w:rFonts w:ascii="Cambria Math" w:hAnsi="Cambria Math"/>
          </w:rPr>
          <m:t>w</m:t>
        </m:r>
      </m:oMath>
      <w:r w:rsidRPr="00ED798B">
        <w:rPr>
          <w:lang w:eastAsia="de-DE"/>
        </w:rPr>
        <w:t xml:space="preserve">) is the current thermal-protection level, and </w:t>
      </w:r>
      <m:oMath>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H</m:t>
            </m:r>
          </m:sub>
        </m:sSub>
      </m:oMath>
      <w:r w:rsidRPr="00ED798B">
        <w:rPr>
          <w:lang w:eastAsia="de-DE"/>
        </w:rPr>
        <w:t>) is the nominal change associated with one level</w:t>
      </w:r>
      <w:r w:rsidR="0081016D">
        <w:rPr>
          <w:lang w:eastAsia="de-DE"/>
        </w:rPr>
        <w:t xml:space="preserve">, which </w:t>
      </w:r>
      <w:r>
        <w:rPr>
          <w:lang w:eastAsia="de-DE"/>
        </w:rPr>
        <w:t xml:space="preserve">uses increments of approximately 20 kWh/m²a. This range was selected so that the board can represent a transition from an inefficient existing building to a highly renovated state with </w:t>
      </w:r>
      <w:r w:rsidR="0081016D">
        <w:rPr>
          <w:lang w:eastAsia="de-DE"/>
        </w:rPr>
        <w:t xml:space="preserve">around </w:t>
      </w:r>
      <w:r>
        <w:rPr>
          <w:lang w:eastAsia="de-DE"/>
        </w:rPr>
        <w:t>ten steps.</w:t>
      </w:r>
      <w:r w:rsidR="001411A8">
        <w:rPr>
          <w:lang w:eastAsia="de-DE"/>
        </w:rPr>
        <w:t xml:space="preserve"> A</w:t>
      </w:r>
      <w:r w:rsidR="001411A8" w:rsidRPr="001411A8">
        <w:t xml:space="preserve">nnual heating expenditure </w:t>
      </w:r>
      <w:r w:rsidR="001411A8">
        <w:t>i</w:t>
      </w:r>
      <w:r w:rsidR="001411A8" w:rsidRPr="001411A8">
        <w:t>s:</w:t>
      </w:r>
    </w:p>
    <w:p w14:paraId="724A553B" w14:textId="77777777" w:rsidR="001411A8" w:rsidRDefault="001411A8" w:rsidP="001411A8">
      <w:pPr>
        <w:pStyle w:val="Articlenormaltext"/>
      </w:pPr>
    </w:p>
    <w:p w14:paraId="28B4A84E" w14:textId="77777777" w:rsidR="001411A8" w:rsidRDefault="00000000" w:rsidP="001411A8">
      <w:pPr>
        <w:pStyle w:val="Articlenormaltext"/>
      </w:pPr>
      <m:oMathPara>
        <m:oMath>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H</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 xml:space="preserve"> </m:t>
          </m:r>
        </m:oMath>
      </m:oMathPara>
    </w:p>
    <w:p w14:paraId="1E217B36" w14:textId="35A97328" w:rsidR="00472AAF" w:rsidRDefault="00472AAF" w:rsidP="0081016D">
      <w:pPr>
        <w:pStyle w:val="Articlenormaltextfirstparagraph"/>
        <w:rPr>
          <w:lang w:eastAsia="de-DE"/>
        </w:rPr>
      </w:pPr>
    </w:p>
    <w:p w14:paraId="4DB42ECE" w14:textId="47EB0457" w:rsidR="00472AAF" w:rsidRDefault="00472AAF" w:rsidP="00472AAF">
      <w:pPr>
        <w:pStyle w:val="Articlenormaltext"/>
        <w:rPr>
          <w:lang w:eastAsia="de-DE"/>
        </w:rPr>
      </w:pPr>
      <w:r>
        <w:rPr>
          <w:lang w:eastAsia="de-DE"/>
        </w:rPr>
        <w:t>The thermal-demand state is modified primarily by insulation, windows, and selected ventilation measures. A key design objective was to make the remaining demand visible because this state affects the performance of every subsequent heating technology.</w:t>
      </w:r>
    </w:p>
    <w:p w14:paraId="1647C882" w14:textId="73F0E723" w:rsidR="0081016D" w:rsidRDefault="0081016D" w:rsidP="00011FD0">
      <w:pPr>
        <w:pStyle w:val="Articlenormaltextfirstparagraph"/>
        <w:rPr>
          <w:lang w:eastAsia="de-DE"/>
        </w:rPr>
      </w:pPr>
      <w:r w:rsidRPr="00ED798B">
        <w:rPr>
          <w:lang w:eastAsia="de-DE"/>
        </w:rPr>
        <w:t xml:space="preserve">The model distinguishes several heating systems, including gas, biomass, district heating, green gas, and </w:t>
      </w:r>
      <w:r w:rsidRPr="0081016D">
        <w:t>heat</w:t>
      </w:r>
      <w:r w:rsidRPr="00ED798B">
        <w:rPr>
          <w:lang w:eastAsia="de-DE"/>
        </w:rPr>
        <w:t xml:space="preserve"> pumps. These systems are not represented by fixed points alone. Their operational effects depend on the current thermal-demand state.</w:t>
      </w:r>
      <w:r w:rsidR="00011FD0">
        <w:rPr>
          <w:lang w:eastAsia="de-DE"/>
        </w:rPr>
        <w:t xml:space="preserve"> </w:t>
      </w:r>
      <w:r w:rsidRPr="00ED798B">
        <w:rPr>
          <w:lang w:eastAsia="de-DE"/>
        </w:rPr>
        <w:t>For a non-electric heating system, operational emissions for round (r) can be represented as:</w:t>
      </w:r>
    </w:p>
    <w:p w14:paraId="2F21E906" w14:textId="77777777" w:rsidR="00FF5A4A" w:rsidRPr="00ED798B" w:rsidRDefault="00FF5A4A" w:rsidP="0081016D">
      <w:pPr>
        <w:pStyle w:val="Articlenormaltext"/>
        <w:rPr>
          <w:lang w:eastAsia="de-DE"/>
        </w:rPr>
      </w:pPr>
    </w:p>
    <w:p w14:paraId="713AAE5D" w14:textId="4AF94E5F" w:rsidR="0081016D" w:rsidRPr="00FF5A4A" w:rsidRDefault="00000000" w:rsidP="0081016D">
      <w:pPr>
        <w:pStyle w:val="Articlenormaltext"/>
        <w:rPr>
          <w:sz w:val="24"/>
          <w:szCs w:val="22"/>
        </w:rPr>
      </w:pPr>
      <m:oMathPara>
        <m:oMath>
          <m:sSub>
            <m:sSubPr>
              <m:ctrlPr>
                <w:rPr>
                  <w:rFonts w:ascii="Cambria Math" w:hAnsi="Cambria Math"/>
                  <w:sz w:val="24"/>
                  <w:szCs w:val="22"/>
                </w:rPr>
              </m:ctrlPr>
            </m:sSubPr>
            <m:e>
              <m:r>
                <w:rPr>
                  <w:rFonts w:ascii="Cambria Math" w:hAnsi="Cambria Math"/>
                  <w:sz w:val="24"/>
                  <w:szCs w:val="22"/>
                </w:rPr>
                <m:t>G</m:t>
              </m:r>
            </m:e>
            <m:sub>
              <m:r>
                <w:rPr>
                  <w:rFonts w:ascii="Cambria Math" w:hAnsi="Cambria Math"/>
                  <w:sz w:val="24"/>
                  <w:szCs w:val="22"/>
                </w:rPr>
                <m:t>H</m:t>
              </m:r>
              <m:r>
                <m:rPr>
                  <m:sty m:val="p"/>
                </m:rPr>
                <w:rPr>
                  <w:rFonts w:ascii="Cambria Math" w:hAnsi="Cambria Math"/>
                  <w:sz w:val="24"/>
                  <w:szCs w:val="22"/>
                </w:rPr>
                <m:t>,</m:t>
              </m:r>
              <m:r>
                <w:rPr>
                  <w:rFonts w:ascii="Cambria Math" w:hAnsi="Cambria Math"/>
                  <w:sz w:val="24"/>
                  <w:szCs w:val="22"/>
                </w:rPr>
                <m:t>r</m:t>
              </m:r>
            </m:sub>
          </m:sSub>
          <m:sSub>
            <m:sSubPr>
              <m:ctrlPr>
                <w:rPr>
                  <w:rFonts w:ascii="Cambria Math" w:hAnsi="Cambria Math"/>
                  <w:sz w:val="24"/>
                  <w:szCs w:val="22"/>
                </w:rPr>
              </m:ctrlPr>
            </m:sSubPr>
            <m:e>
              <m:r>
                <w:rPr>
                  <w:rFonts w:ascii="Cambria Math" w:hAnsi="Cambria Math"/>
                  <w:sz w:val="24"/>
                  <w:szCs w:val="22"/>
                </w:rPr>
                <m:t>=Q</m:t>
              </m:r>
            </m:e>
            <m:sub>
              <m:r>
                <w:rPr>
                  <w:rFonts w:ascii="Cambria Math" w:hAnsi="Cambria Math"/>
                  <w:sz w:val="24"/>
                  <w:szCs w:val="22"/>
                </w:rPr>
                <m:t>H</m:t>
              </m:r>
            </m:sub>
          </m:sSub>
          <m:d>
            <m:dPr>
              <m:ctrlPr>
                <w:rPr>
                  <w:rFonts w:ascii="Cambria Math" w:hAnsi="Cambria Math"/>
                  <w:sz w:val="24"/>
                  <w:szCs w:val="22"/>
                </w:rPr>
              </m:ctrlPr>
            </m:dPr>
            <m:e>
              <m:r>
                <w:rPr>
                  <w:rFonts w:ascii="Cambria Math" w:hAnsi="Cambria Math"/>
                  <w:sz w:val="24"/>
                  <w:szCs w:val="22"/>
                </w:rPr>
                <m:t>w</m:t>
              </m:r>
            </m:e>
          </m:d>
          <m:r>
            <m:rPr>
              <m:sty m:val="p"/>
            </m:rPr>
            <w:rPr>
              <w:rFonts w:ascii="Cambria Math" w:hAnsi="Cambria Math"/>
              <w:sz w:val="24"/>
              <w:szCs w:val="22"/>
            </w:rPr>
            <m:t>⋅</m:t>
          </m:r>
          <m:r>
            <w:rPr>
              <w:rFonts w:ascii="Cambria Math" w:hAnsi="Cambria Math"/>
              <w:sz w:val="24"/>
              <w:szCs w:val="22"/>
            </w:rPr>
            <m:t>E</m:t>
          </m:r>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H</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T</m:t>
              </m:r>
            </m:e>
            <m:sub>
              <m:r>
                <w:rPr>
                  <w:rFonts w:ascii="Cambria Math" w:hAnsi="Cambria Math"/>
                  <w:sz w:val="24"/>
                  <w:szCs w:val="22"/>
                </w:rPr>
                <m:t>r</m:t>
              </m:r>
            </m:sub>
          </m:sSub>
          <m:r>
            <w:rPr>
              <w:rFonts w:ascii="Cambria Math" w:hAnsi="Cambria Math"/>
              <w:sz w:val="24"/>
              <w:szCs w:val="22"/>
            </w:rPr>
            <m:t>,</m:t>
          </m:r>
        </m:oMath>
      </m:oMathPara>
    </w:p>
    <w:p w14:paraId="56999762" w14:textId="77777777" w:rsidR="00FF5A4A" w:rsidRPr="0081016D" w:rsidRDefault="00FF5A4A" w:rsidP="0081016D">
      <w:pPr>
        <w:pStyle w:val="Articlenormaltext"/>
        <w:rPr>
          <w:sz w:val="24"/>
          <w:szCs w:val="22"/>
        </w:rPr>
      </w:pPr>
    </w:p>
    <w:p w14:paraId="6555CA09" w14:textId="5CA2DA2D" w:rsidR="001411A8" w:rsidRDefault="0081016D" w:rsidP="001411A8">
      <w:pPr>
        <w:pStyle w:val="Articlenormaltextfirstparagraph"/>
      </w:pPr>
      <w:r w:rsidRPr="00ED798B">
        <w:rPr>
          <w:lang w:eastAsia="de-DE"/>
        </w:rPr>
        <w:t>where (</w:t>
      </w: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H</m:t>
            </m:r>
          </m:sub>
        </m:sSub>
      </m:oMath>
      <w:r w:rsidRPr="00ED798B">
        <w:rPr>
          <w:lang w:eastAsia="de-DE"/>
        </w:rPr>
        <w:t>) is the emission factor of the heat carrier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ED798B">
        <w:rPr>
          <w:lang w:eastAsia="de-DE"/>
        </w:rPr>
        <w:t>) is the duration of the round.</w:t>
      </w:r>
      <w:r>
        <w:rPr>
          <w:lang w:eastAsia="de-DE"/>
        </w:rPr>
        <w:t xml:space="preserve"> </w:t>
      </w:r>
    </w:p>
    <w:p w14:paraId="2D004305" w14:textId="77777777" w:rsidR="001411A8" w:rsidRPr="001411A8" w:rsidRDefault="001411A8" w:rsidP="001411A8">
      <w:pPr>
        <w:pStyle w:val="Articlenormaltext"/>
      </w:pPr>
    </w:p>
    <w:p w14:paraId="7B8034CD" w14:textId="433F5F07" w:rsidR="0081016D" w:rsidRPr="00ED798B" w:rsidRDefault="0081016D" w:rsidP="0081016D">
      <w:pPr>
        <w:pStyle w:val="Articlenormaltextfirstparagraph"/>
        <w:rPr>
          <w:lang w:eastAsia="de-DE"/>
        </w:rPr>
      </w:pPr>
      <w:r w:rsidRPr="00ED798B">
        <w:rPr>
          <w:lang w:eastAsia="de-DE"/>
        </w:rPr>
        <w:t>Heat pumps introduce an additional coupling. Useful heating demand is first converted into electricity demand:</w:t>
      </w:r>
    </w:p>
    <w:p w14:paraId="5DF0126D" w14:textId="1A8DBF87" w:rsidR="0081016D" w:rsidRDefault="00000000" w:rsidP="0081016D">
      <w:pPr>
        <w:pStyle w:val="Articlenormaltext"/>
        <w:jc w:val="center"/>
        <w:rPr>
          <w:sz w:val="24"/>
          <w:szCs w:val="22"/>
        </w:rPr>
      </w:pPr>
      <m:oMath>
        <m:sSub>
          <m:sSubPr>
            <m:ctrlPr>
              <w:rPr>
                <w:rFonts w:ascii="Cambria Math" w:hAnsi="Cambria Math"/>
                <w:sz w:val="24"/>
                <w:szCs w:val="22"/>
              </w:rPr>
            </m:ctrlPr>
          </m:sSubPr>
          <m:e>
            <m:r>
              <w:rPr>
                <w:rFonts w:ascii="Cambria Math" w:hAnsi="Cambria Math"/>
                <w:sz w:val="24"/>
                <w:szCs w:val="22"/>
              </w:rPr>
              <m:t>E</m:t>
            </m:r>
          </m:e>
          <m:sub>
            <m:r>
              <w:rPr>
                <w:rFonts w:ascii="Cambria Math" w:hAnsi="Cambria Math"/>
                <w:sz w:val="24"/>
                <w:szCs w:val="22"/>
              </w:rPr>
              <m:t>HP</m:t>
            </m:r>
          </m:sub>
        </m:sSub>
        <m:r>
          <w:rPr>
            <w:rFonts w:ascii="Cambria Math" w:hAnsi="Cambria Math"/>
            <w:sz w:val="24"/>
            <w:szCs w:val="22"/>
          </w:rPr>
          <m:t>=</m:t>
        </m:r>
        <m:f>
          <m:fPr>
            <m:ctrlPr>
              <w:rPr>
                <w:rFonts w:ascii="Cambria Math" w:hAnsi="Cambria Math"/>
                <w:sz w:val="24"/>
                <w:szCs w:val="22"/>
              </w:rPr>
            </m:ctrlPr>
          </m:fPr>
          <m:num>
            <m:sSub>
              <m:sSubPr>
                <m:ctrlPr>
                  <w:rPr>
                    <w:rFonts w:ascii="Cambria Math" w:hAnsi="Cambria Math"/>
                    <w:sz w:val="24"/>
                    <w:szCs w:val="22"/>
                  </w:rPr>
                </m:ctrlPr>
              </m:sSubPr>
              <m:e>
                <m:r>
                  <w:rPr>
                    <w:rFonts w:ascii="Cambria Math" w:hAnsi="Cambria Math"/>
                    <w:sz w:val="24"/>
                    <w:szCs w:val="22"/>
                  </w:rPr>
                  <m:t>Q</m:t>
                </m:r>
              </m:e>
              <m:sub>
                <m:r>
                  <w:rPr>
                    <w:rFonts w:ascii="Cambria Math" w:hAnsi="Cambria Math"/>
                    <w:sz w:val="24"/>
                    <w:szCs w:val="22"/>
                  </w:rPr>
                  <m:t>H</m:t>
                </m:r>
              </m:sub>
            </m:sSub>
            <m:d>
              <m:dPr>
                <m:ctrlPr>
                  <w:rPr>
                    <w:rFonts w:ascii="Cambria Math" w:hAnsi="Cambria Math"/>
                    <w:sz w:val="24"/>
                    <w:szCs w:val="22"/>
                  </w:rPr>
                </m:ctrlPr>
              </m:dPr>
              <m:e>
                <m:r>
                  <w:rPr>
                    <w:rFonts w:ascii="Cambria Math" w:hAnsi="Cambria Math"/>
                    <w:sz w:val="24"/>
                    <w:szCs w:val="22"/>
                  </w:rPr>
                  <m:t>w</m:t>
                </m:r>
              </m:e>
            </m:d>
          </m:num>
          <m:den>
            <m:r>
              <m:rPr>
                <m:sty m:val="p"/>
              </m:rPr>
              <w:rPr>
                <w:rFonts w:ascii="Cambria Math" w:hAnsi="Cambria Math"/>
                <w:sz w:val="24"/>
                <w:szCs w:val="22"/>
              </w:rPr>
              <m:t>COP</m:t>
            </m:r>
            <m:d>
              <m:dPr>
                <m:ctrlPr>
                  <w:rPr>
                    <w:rFonts w:ascii="Cambria Math" w:hAnsi="Cambria Math"/>
                    <w:sz w:val="24"/>
                    <w:szCs w:val="22"/>
                  </w:rPr>
                </m:ctrlPr>
              </m:dPr>
              <m:e>
                <m:r>
                  <w:rPr>
                    <w:rFonts w:ascii="Cambria Math" w:hAnsi="Cambria Math"/>
                    <w:sz w:val="24"/>
                    <w:szCs w:val="22"/>
                  </w:rPr>
                  <m:t>e</m:t>
                </m:r>
              </m:e>
            </m:d>
          </m:den>
        </m:f>
      </m:oMath>
      <w:r w:rsidR="0081016D" w:rsidRPr="0081016D">
        <w:rPr>
          <w:sz w:val="24"/>
          <w:szCs w:val="22"/>
        </w:rPr>
        <w:t>,</w:t>
      </w:r>
    </w:p>
    <w:p w14:paraId="39993AA6" w14:textId="77777777" w:rsidR="00FF5A4A" w:rsidRPr="0081016D" w:rsidRDefault="00FF5A4A" w:rsidP="0081016D">
      <w:pPr>
        <w:pStyle w:val="Articlenormaltext"/>
        <w:jc w:val="center"/>
        <w:rPr>
          <w:lang w:eastAsia="de-DE"/>
        </w:rPr>
      </w:pPr>
    </w:p>
    <w:p w14:paraId="37F269E2" w14:textId="3B2DE738" w:rsidR="0081016D" w:rsidRPr="00ED798B" w:rsidRDefault="0081016D" w:rsidP="0081016D">
      <w:pPr>
        <w:pStyle w:val="Articlenormaltextfirstparagraph"/>
        <w:rPr>
          <w:lang w:eastAsia="de-DE"/>
        </w:rPr>
      </w:pPr>
      <w:r w:rsidRPr="00ED798B">
        <w:rPr>
          <w:lang w:eastAsia="de-DE"/>
        </w:rPr>
        <w:t xml:space="preserve">where </w:t>
      </w:r>
      <w:r>
        <w:rPr>
          <w:lang w:eastAsia="de-DE"/>
        </w:rPr>
        <w:t>(</w:t>
      </w:r>
      <m:oMath>
        <m:r>
          <w:rPr>
            <w:rFonts w:ascii="Cambria Math" w:hAnsi="Cambria Math"/>
            <w:lang w:eastAsia="de-DE"/>
          </w:rPr>
          <m:t>COP</m:t>
        </m:r>
        <m:d>
          <m:dPr>
            <m:ctrlPr>
              <w:rPr>
                <w:rFonts w:ascii="Cambria Math" w:hAnsi="Cambria Math"/>
              </w:rPr>
            </m:ctrlPr>
          </m:dPr>
          <m:e>
            <m:r>
              <w:rPr>
                <w:rFonts w:ascii="Cambria Math" w:hAnsi="Cambria Math"/>
              </w:rPr>
              <m:t>e</m:t>
            </m:r>
          </m:e>
        </m:d>
      </m:oMath>
      <w:r>
        <w:t xml:space="preserve">) </w:t>
      </w:r>
      <w:r w:rsidRPr="00ED798B">
        <w:rPr>
          <w:lang w:eastAsia="de-DE"/>
        </w:rPr>
        <w:t>depends on the current heat-pump efficiency state.</w:t>
      </w:r>
      <w:r>
        <w:rPr>
          <w:lang w:eastAsia="de-DE"/>
        </w:rPr>
        <w:t xml:space="preserve"> </w:t>
      </w:r>
      <w:r w:rsidRPr="00ED798B">
        <w:rPr>
          <w:lang w:eastAsia="de-DE"/>
        </w:rPr>
        <w:t>Efficiency can be improved by the heat source and by compatible low-temperature heat-distribution systems. This representation is important educationally because a heat pump is not treated as an isolated replacement card. Its result depends on the building and on other interventions.</w:t>
      </w:r>
    </w:p>
    <w:p w14:paraId="69D4D1B3" w14:textId="77777777" w:rsidR="0081016D" w:rsidRDefault="0081016D" w:rsidP="0081016D">
      <w:pPr>
        <w:pStyle w:val="Articlenormaltext"/>
        <w:rPr>
          <w:lang w:eastAsia="de-DE"/>
        </w:rPr>
      </w:pPr>
      <w:r w:rsidRPr="00ED798B">
        <w:rPr>
          <w:lang w:eastAsia="de-DE"/>
        </w:rPr>
        <w:t>The game consequently distinguishes between three different actions: reducing useful heat demand, changing the heat-generation technology, and improving heat-pump efficiency. These actions affect different state variables even when all three ultimately influence operational emissions.</w:t>
      </w:r>
    </w:p>
    <w:p w14:paraId="2B00C1F7" w14:textId="302C96BA" w:rsidR="00011FD0" w:rsidRDefault="0081016D" w:rsidP="003C7CE3">
      <w:pPr>
        <w:pStyle w:val="berschrift3"/>
      </w:pPr>
      <w:r w:rsidRPr="0081016D">
        <w:t>Electricity</w:t>
      </w:r>
      <w:r w:rsidR="00011FD0">
        <w:t>, flexibility and temporal emissions</w:t>
      </w:r>
    </w:p>
    <w:p w14:paraId="651A8EA3" w14:textId="77777777" w:rsidR="00011FD0" w:rsidRPr="00396E1B" w:rsidRDefault="00011FD0" w:rsidP="00EF3F07">
      <w:pPr>
        <w:pStyle w:val="Articlenormaltextfirstparagraph"/>
      </w:pPr>
      <w:r w:rsidRPr="00011FD0">
        <w:t xml:space="preserve">Electricity demand and local production are represented as separate states. </w:t>
      </w:r>
      <w:r w:rsidRPr="00396E1B">
        <w:t>Efficiency measures reduce demand, while photovoltaics increase local production. Heat-pump operation adds demand according to remaining heat demand and COP.</w:t>
      </w:r>
    </w:p>
    <w:p w14:paraId="46DF0152" w14:textId="77777777" w:rsidR="00011FD0" w:rsidRDefault="00011FD0" w:rsidP="00EF3F07">
      <w:pPr>
        <w:pStyle w:val="Articlenormaltext"/>
      </w:pPr>
      <w:r w:rsidRPr="00396E1B">
        <w:t>The simplified grid-import relation can be expressed conceptually as</w:t>
      </w:r>
    </w:p>
    <w:p w14:paraId="2E11D09F" w14:textId="77777777" w:rsidR="00EF3F07" w:rsidRPr="00396E1B" w:rsidRDefault="00EF3F07" w:rsidP="00EF3F07">
      <w:pPr>
        <w:pStyle w:val="Articlenormaltext"/>
      </w:pPr>
    </w:p>
    <w:p w14:paraId="6BDF0F7A" w14:textId="77777777" w:rsidR="00396E1B" w:rsidRPr="00396E1B" w:rsidRDefault="00396E1B" w:rsidP="00396E1B">
      <w:pPr>
        <w:pStyle w:val="Articlenormaltex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grid</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demand</m:t>
              </m:r>
            </m:sub>
          </m:sSub>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HP</m:t>
              </m:r>
            </m:sub>
          </m:sSub>
          <m:r>
            <w:rPr>
              <w:rFonts w:ascii="Cambria Math" w:hAnsi="Cambria Math"/>
            </w:rPr>
            <m:t>(</m:t>
          </m:r>
          <m:r>
            <w:rPr>
              <w:rFonts w:ascii="Cambria Math" w:eastAsia="Times New Roman" w:hAnsi="Cambria Math"/>
              <w:sz w:val="24"/>
              <w:szCs w:val="24"/>
            </w:rPr>
            <m:t>w)</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PV</m:t>
              </m:r>
            </m:sub>
          </m:sSub>
          <m:r>
            <w:rPr>
              <w:rFonts w:ascii="Cambria Math" w:hAnsi="Cambria Math"/>
            </w:rPr>
            <m:t>(p)-min(</m:t>
          </m:r>
          <m:sSub>
            <m:sSubPr>
              <m:ctrlPr>
                <w:rPr>
                  <w:rFonts w:ascii="Cambria Math" w:hAnsi="Cambria Math"/>
                </w:rPr>
              </m:ctrlPr>
            </m:sSubPr>
            <m:e>
              <m:r>
                <w:rPr>
                  <w:rFonts w:ascii="Cambria Math" w:hAnsi="Cambria Math"/>
                </w:rPr>
                <m:t>E</m:t>
              </m:r>
            </m:e>
            <m:sub>
              <m:r>
                <w:rPr>
                  <w:rFonts w:ascii="Cambria Math" w:hAnsi="Cambria Math"/>
                </w:rPr>
                <m:t>PV</m:t>
              </m:r>
            </m:sub>
          </m:sSub>
          <m:r>
            <w:rPr>
              <w:rFonts w:ascii="Cambria Math" w:hAnsi="Cambria Math"/>
            </w:rPr>
            <m:t>(p), S</m:t>
          </m:r>
          <m:d>
            <m:dPr>
              <m:ctrlPr>
                <w:rPr>
                  <w:rFonts w:ascii="Cambria Math" w:hAnsi="Cambria Math"/>
                </w:rPr>
              </m:ctrlPr>
            </m:dPr>
            <m:e>
              <m:r>
                <w:rPr>
                  <w:rFonts w:ascii="Cambria Math" w:hAnsi="Cambria Math"/>
                </w:rPr>
                <m:t>s</m:t>
              </m:r>
            </m:e>
          </m:d>
          <m:r>
            <w:rPr>
              <w:rFonts w:ascii="Cambria Math" w:hAnsi="Cambria Math"/>
            </w:rPr>
            <m:t>),</m:t>
          </m:r>
        </m:oMath>
      </m:oMathPara>
    </w:p>
    <w:p w14:paraId="01928F38" w14:textId="77777777" w:rsidR="00396E1B" w:rsidRPr="00FF5A4A" w:rsidRDefault="00396E1B" w:rsidP="00396E1B">
      <w:pPr>
        <w:pStyle w:val="Articlenormaltext"/>
      </w:pPr>
    </w:p>
    <w:p w14:paraId="3495A5F3" w14:textId="77777777" w:rsidR="00011FD0" w:rsidRPr="00396E1B" w:rsidRDefault="00011FD0" w:rsidP="00396E1B">
      <w:pPr>
        <w:pStyle w:val="Articlenormaltextfirstparagraph"/>
      </w:pPr>
      <w:r w:rsidRPr="00396E1B">
        <w:t>where (d) is the electricity-demand level, (p) the local-production level and (s) the storage/flexibility state. Increasing demand or heat-pump electricity use increases grid import, while generation and usable flexibility reduce it.</w:t>
      </w:r>
    </w:p>
    <w:p w14:paraId="6C0C1F16" w14:textId="77777777" w:rsidR="00011FD0" w:rsidRPr="00396E1B" w:rsidRDefault="00011FD0" w:rsidP="00396E1B">
      <w:pPr>
        <w:pStyle w:val="Articlenormaltext"/>
      </w:pPr>
      <w:r w:rsidRPr="00396E1B">
        <w:t>The physical game evaluates this relation through predefined lookup functions rather than an hourly electricity balance. Storage is explicitly distinguished from generation and its benefit is limited by available local production. The representation therefore retains the dependency between generation and flexibility while omitting battery state of charge, hourly profiles, charging losses and control strategies.</w:t>
      </w:r>
    </w:p>
    <w:p w14:paraId="28117798" w14:textId="5CEFB9D6" w:rsidR="00011FD0" w:rsidRPr="00396E1B" w:rsidRDefault="00011FD0" w:rsidP="00396E1B">
      <w:pPr>
        <w:pStyle w:val="Articlenormaltext"/>
      </w:pPr>
      <w:r w:rsidRPr="00396E1B">
        <w:t>Grid-electricity emission factors decrease between rounds to represent progressive electricity-system decarbonization towards 2050</w:t>
      </w:r>
      <w:r w:rsidR="00396E1B">
        <w:t xml:space="preserve"> (shown in Table 6).</w:t>
      </w:r>
      <w:r w:rsidRPr="00396E1B">
        <w:t xml:space="preserve"> Consequently, the operational greenhouse-gas effect of electricity use changes over the renovation pathway, whereas construction emissions occur at the time of intervention</w:t>
      </w:r>
    </w:p>
    <w:p w14:paraId="03D05CAE" w14:textId="77777777" w:rsidR="00011FD0" w:rsidRDefault="00011FD0" w:rsidP="001A254F">
      <w:pPr>
        <w:pStyle w:val="Articlenormaltext"/>
      </w:pPr>
    </w:p>
    <w:p w14:paraId="6F08160D" w14:textId="3E040DCF" w:rsidR="001A254F" w:rsidRDefault="00011FD0" w:rsidP="00011FD0">
      <w:pPr>
        <w:pStyle w:val="Articlenormaltext"/>
      </w:pPr>
      <w:r w:rsidRPr="00EF3F07">
        <w:rPr>
          <w:b/>
        </w:rPr>
        <w:t>User satisfaction</w:t>
      </w:r>
      <w:r>
        <w:t xml:space="preserve"> and costs provide additional feedbacks rather than direct greenhouse-gas scores</w:t>
      </w:r>
      <w:r w:rsidR="00EF3F07">
        <w:t>:</w:t>
      </w:r>
      <w:r>
        <w:t xml:space="preserve"> Investment and operational costs affect remaining financial resources, while satisfaction contributes to the resources available for later renovation. These variables constrain the renovation pathway without becoming alternative victory conditions.</w:t>
      </w:r>
      <w:r w:rsidR="001A254F" w:rsidRPr="001A254F">
        <w:t>Calibration and Computational Validation</w:t>
      </w:r>
    </w:p>
    <w:p w14:paraId="412A7F4A" w14:textId="16620BB5" w:rsidR="00EF3F07" w:rsidRDefault="00EF3F07">
      <w:pPr>
        <w:spacing w:line="240" w:lineRule="auto"/>
        <w:rPr>
          <w:rFonts w:ascii="Times New Roman" w:hAnsi="Times New Roman"/>
          <w:spacing w:val="4"/>
          <w:szCs w:val="20"/>
          <w:lang w:val="en-US"/>
        </w:rPr>
      </w:pPr>
      <w:r>
        <w:br w:type="page"/>
      </w:r>
    </w:p>
    <w:p w14:paraId="4A67DFB7" w14:textId="3FCEAA7E" w:rsidR="00EF3F07" w:rsidRDefault="00EF3F07" w:rsidP="00EF3F07">
      <w:pPr>
        <w:pStyle w:val="berschrift2"/>
      </w:pPr>
      <w:r>
        <w:lastRenderedPageBreak/>
        <w:t>Computational validation</w:t>
      </w:r>
    </w:p>
    <w:p w14:paraId="2B80E0BF" w14:textId="2C96E1D9" w:rsidR="00EF3F07" w:rsidRDefault="00EF3F07" w:rsidP="00EF3F07">
      <w:pPr>
        <w:pStyle w:val="berschrift3"/>
      </w:pPr>
      <w:r>
        <w:t>Simulation model</w:t>
      </w:r>
    </w:p>
    <w:p w14:paraId="14AD172F" w14:textId="1E9B9D41" w:rsidR="00EF3F07" w:rsidRPr="00EF3F07" w:rsidRDefault="00EF3F07" w:rsidP="00EF3F07">
      <w:pPr>
        <w:pStyle w:val="Articlenormaltextfirstparagraph"/>
      </w:pPr>
      <w:r w:rsidRPr="00EF3F07">
        <w:t>A Python implementation reproduces the state variables, card effects, prerequisites, mutually exclusive slots, financial constraints and round scoring of the physical game. Each simulated decision records the available and playable cards, the selected card, resulting state changes and final game outcome.</w:t>
      </w:r>
      <w:r>
        <w:t xml:space="preserve"> </w:t>
      </w:r>
      <w:r w:rsidRPr="00EF3F07">
        <w:t>The simulation is not an optimization model and is not intended to reproduce human decision-making. It is used to test whether the implemented mechanics create a stable and strategically differentiated decision space.</w:t>
      </w:r>
    </w:p>
    <w:p w14:paraId="4F5F29E2" w14:textId="77777777" w:rsidR="00EF3F07" w:rsidRDefault="00EF3F07" w:rsidP="00EF3F07">
      <w:pPr>
        <w:pStyle w:val="Articlenormaltext"/>
      </w:pPr>
      <w:r>
        <w:t>Games ending before completion of all four rounds are retained when analysing completion probability but excluded from comparisons of final greenhouse-gas performance, because scores after different numbers of rounds are not directly comparable.</w:t>
      </w:r>
    </w:p>
    <w:p w14:paraId="7CC4A02B" w14:textId="796A4794" w:rsidR="00EF3F07" w:rsidRDefault="00EF3F07" w:rsidP="00EF3F07">
      <w:pPr>
        <w:pStyle w:val="berschrift3"/>
      </w:pPr>
      <w:r>
        <w:t>Rule-sensitivity experiment</w:t>
      </w:r>
    </w:p>
    <w:p w14:paraId="1B0515BA" w14:textId="77777777" w:rsidR="00EF3F07" w:rsidRPr="00EF3F07" w:rsidRDefault="00EF3F07" w:rsidP="00EF3F07">
      <w:pPr>
        <w:pStyle w:val="Articlenormaltextfirstparagraph"/>
        <w:rPr>
          <w:sz w:val="24"/>
          <w:szCs w:val="24"/>
        </w:rPr>
      </w:pPr>
      <w:r w:rsidRPr="00EF3F07">
        <w:t>The first experiment tests whether outcomes depend on the rules governing access to renovation measures and the probability of declining an available intervention.</w:t>
      </w:r>
    </w:p>
    <w:p w14:paraId="24000D33" w14:textId="55804937" w:rsidR="00EF3F07" w:rsidRDefault="00917433" w:rsidP="00917433">
      <w:pPr>
        <w:pStyle w:val="Articlenormaltext"/>
      </w:pPr>
      <w:r>
        <w:t xml:space="preserve">Five access conditions were combined with four passing probabilities, producing 20 experimental conditions. The access rules </w:t>
      </w:r>
      <w:r w:rsidRPr="00917433">
        <w:t>comprised</w:t>
      </w:r>
      <w:r w:rsidRPr="00917433">
        <w:rPr>
          <w:b/>
        </w:rPr>
        <w:t xml:space="preserve"> </w:t>
      </w:r>
      <w:r w:rsidRPr="00917433">
        <w:rPr>
          <w:rStyle w:val="Fett"/>
          <w:b w:val="0"/>
        </w:rPr>
        <w:t>one randomly selected category with three available cards</w:t>
      </w:r>
      <w:r w:rsidRPr="00917433">
        <w:rPr>
          <w:b/>
        </w:rPr>
        <w:t xml:space="preserve">, </w:t>
      </w:r>
      <w:r w:rsidRPr="00917433">
        <w:rPr>
          <w:rStyle w:val="Fett"/>
          <w:b w:val="0"/>
        </w:rPr>
        <w:t>two randomly selected categories with three available cards each (six cards in total)</w:t>
      </w:r>
      <w:r w:rsidRPr="00917433">
        <w:rPr>
          <w:b/>
        </w:rPr>
        <w:t>,</w:t>
      </w:r>
      <w:r>
        <w:t xml:space="preserve"> and random choice sets containing 10, 20, or 30 cards. Passing probabilities were 0, 0.10, 0.25, and 0.50.</w:t>
      </w:r>
      <w:r>
        <w:t xml:space="preserve"> </w:t>
      </w:r>
      <w:r w:rsidR="00EF3F07">
        <w:t>Each condition was simulated 10,000 times, resulting in 200,000 games. The experiment therefore separates effects caused by the underlying card model from effects caused by how many and which measures are visible to the simulated player.</w:t>
      </w:r>
      <w:r w:rsidR="00EF3F07">
        <w:t xml:space="preserve"> </w:t>
      </w:r>
      <w:r w:rsidR="00EF3F07">
        <w:t>The principal rule-level outcomes are completion probability, final greenhouse-gas score, remaining budget and number of installed measures.</w:t>
      </w:r>
    </w:p>
    <w:p w14:paraId="7449FA08" w14:textId="77777777" w:rsidR="00EF3F07" w:rsidRPr="00EF3F07" w:rsidRDefault="00EF3F07" w:rsidP="00EF3F07">
      <w:pPr>
        <w:pStyle w:val="berschrift3"/>
      </w:pPr>
      <w:r>
        <w:t>Strategy-sensitivity experiment</w:t>
      </w:r>
    </w:p>
    <w:p w14:paraId="5509FB38" w14:textId="77777777" w:rsidR="00EF3F07" w:rsidRDefault="00EF3F07" w:rsidP="00EF3F07">
      <w:pPr>
        <w:pStyle w:val="Articlenormaltextfirstparagraph"/>
      </w:pPr>
      <w:r w:rsidRPr="00EF3F07">
        <w:t xml:space="preserve">A second experiment holds the gameplay rules constant and varies only the card-selection heuristic. </w:t>
      </w:r>
      <w:r>
        <w:t>Four deliberately simple behavioural strategies are compared:</w:t>
      </w:r>
    </w:p>
    <w:p w14:paraId="10D8C7E4" w14:textId="77777777" w:rsidR="00EF3F07" w:rsidRPr="00EF3F07" w:rsidRDefault="00EF3F07" w:rsidP="00EF3F07">
      <w:pPr>
        <w:pStyle w:val="Articlenormaltext"/>
      </w:pPr>
    </w:p>
    <w:p w14:paraId="7AF765FD" w14:textId="77777777" w:rsidR="00EF3F07" w:rsidRDefault="00EF3F07" w:rsidP="00EF3F07">
      <w:pPr>
        <w:pStyle w:val="Bulletlist"/>
      </w:pPr>
      <w:r>
        <w:rPr>
          <w:rStyle w:val="Fett"/>
        </w:rPr>
        <w:t>Random:</w:t>
      </w:r>
      <w:r>
        <w:t xml:space="preserve"> random selection among playable cards;</w:t>
      </w:r>
    </w:p>
    <w:p w14:paraId="0010822A" w14:textId="77777777" w:rsidR="00EF3F07" w:rsidRDefault="00EF3F07" w:rsidP="00EF3F07">
      <w:pPr>
        <w:pStyle w:val="Bulletlist"/>
      </w:pPr>
      <w:r>
        <w:rPr>
          <w:rStyle w:val="Fett"/>
        </w:rPr>
        <w:t>Electrician:</w:t>
      </w:r>
      <w:r>
        <w:t xml:space="preserve"> prioritization of photovoltaics, electricity generation, storage and electricity-efficiency measures;</w:t>
      </w:r>
    </w:p>
    <w:p w14:paraId="145E446D" w14:textId="0229BE38" w:rsidR="00EF3F07" w:rsidRDefault="00EF3F07" w:rsidP="00EF3F07">
      <w:pPr>
        <w:pStyle w:val="Bulletlist"/>
      </w:pPr>
      <w:r>
        <w:rPr>
          <w:rStyle w:val="Fett"/>
        </w:rPr>
        <w:t>Decarbonizer:</w:t>
      </w:r>
      <w:r>
        <w:t xml:space="preserve"> prioritization of replacing the initial </w:t>
      </w:r>
      <w:r>
        <w:t xml:space="preserve">gas </w:t>
      </w:r>
      <w:r>
        <w:t>heating system and subsequently reducing operational emissions;</w:t>
      </w:r>
    </w:p>
    <w:p w14:paraId="7F73C1CB" w14:textId="77777777" w:rsidR="00EF3F07" w:rsidRDefault="00EF3F07" w:rsidP="00EF3F07">
      <w:pPr>
        <w:pStyle w:val="Bulletlist"/>
      </w:pPr>
      <w:r>
        <w:rPr>
          <w:rStyle w:val="Fett"/>
        </w:rPr>
        <w:t>Insulator:</w:t>
      </w:r>
      <w:r>
        <w:t xml:space="preserve"> prioritization of insulation, windows and ventilation.</w:t>
      </w:r>
    </w:p>
    <w:p w14:paraId="5AFAFF90" w14:textId="7AD5FE5C" w:rsidR="00EF3F07" w:rsidRDefault="00EF3F07" w:rsidP="00EF3F07">
      <w:pPr>
        <w:pStyle w:val="Bulletlist"/>
      </w:pPr>
      <w:r>
        <w:rPr>
          <w:rStyle w:val="Fett"/>
        </w:rPr>
        <w:t>People Pleaser:</w:t>
      </w:r>
      <w:r>
        <w:t xml:space="preserve"> prioritization of user satisfaction and amenities</w:t>
      </w:r>
    </w:p>
    <w:p w14:paraId="661F2559" w14:textId="7C437559" w:rsidR="00917433" w:rsidRPr="00917433" w:rsidRDefault="00EF3F07" w:rsidP="00917433">
      <w:pPr>
        <w:pStyle w:val="Articlenormaltextfirstparagraph"/>
        <w:rPr>
          <w:b/>
          <w:sz w:val="24"/>
          <w:szCs w:val="24"/>
        </w:rPr>
      </w:pPr>
      <w:r>
        <w:t xml:space="preserve">Far from </w:t>
      </w:r>
      <w:r w:rsidRPr="00EF3F07">
        <w:t>optimal player models</w:t>
      </w:r>
      <w:r>
        <w:t>, t</w:t>
      </w:r>
      <w:r w:rsidRPr="00EF3F07">
        <w:t>hey provide controlled behavioural archetypes for testing whether different renovation priorities lead to different pathways and final outcomes under the same opportunity structure.</w:t>
      </w:r>
      <w:r w:rsidR="00917433">
        <w:t xml:space="preserve"> </w:t>
      </w:r>
      <w:r w:rsidR="00917433" w:rsidRPr="00917433">
        <w:t xml:space="preserve">The strategy experiment used a fixed access rule in which </w:t>
      </w:r>
      <w:r w:rsidR="00917433" w:rsidRPr="00917433">
        <w:rPr>
          <w:rStyle w:val="Fett"/>
          <w:b w:val="0"/>
        </w:rPr>
        <w:t>20 cards were available per decision and the probability of passing on an available intervention was 0.05</w:t>
      </w:r>
      <w:r w:rsidR="00917433" w:rsidRPr="00917433">
        <w:t>.</w:t>
      </w:r>
    </w:p>
    <w:p w14:paraId="4B3D6C18" w14:textId="0C0A67CE" w:rsidR="00EF3F07" w:rsidRDefault="00EF3F07" w:rsidP="00EF3F07">
      <w:pPr>
        <w:pStyle w:val="berschrift3"/>
      </w:pPr>
      <w:r>
        <w:t>Analysis metrics</w:t>
      </w:r>
    </w:p>
    <w:p w14:paraId="0E68A2DF" w14:textId="77777777" w:rsidR="00EF3F07" w:rsidRPr="00EF3F07" w:rsidRDefault="00EF3F07" w:rsidP="00917433">
      <w:pPr>
        <w:pStyle w:val="Articlenormaltextfirstparagraph"/>
      </w:pPr>
      <w:r w:rsidRPr="00EF3F07">
        <w:t>Rule effects are evaluated first at game level using completion probability, final greenhouse-gas score, budget and number of cards played.</w:t>
      </w:r>
    </w:p>
    <w:p w14:paraId="5F3D09CB" w14:textId="77777777" w:rsidR="00EF3F07" w:rsidRDefault="00EF3F07" w:rsidP="00917433">
      <w:pPr>
        <w:pStyle w:val="Articlenormaltext"/>
      </w:pPr>
      <w:r w:rsidRPr="00EF3F07">
        <w:t xml:space="preserve">Card-level analysis is then performed separately within each rule condition to avoid confounding technology associations with differences in card exposure. No single statistic is interpreted as the intrinsic value of a card. </w:t>
      </w:r>
      <w:r>
        <w:t>The principal measures are:</w:t>
      </w:r>
    </w:p>
    <w:p w14:paraId="344CF0DE" w14:textId="77777777" w:rsidR="00917433" w:rsidRDefault="00917433" w:rsidP="00917433">
      <w:pPr>
        <w:pStyle w:val="Articlenormaltext"/>
      </w:pPr>
    </w:p>
    <w:p w14:paraId="43ADA735" w14:textId="77777777" w:rsidR="00EF3F07" w:rsidRDefault="00EF3F07" w:rsidP="00917433">
      <w:pPr>
        <w:pStyle w:val="Bulletlist"/>
      </w:pPr>
      <w:r>
        <w:rPr>
          <w:rStyle w:val="Fett"/>
        </w:rPr>
        <w:t>occurrence:</w:t>
      </w:r>
      <w:r>
        <w:t xml:space="preserve"> share of completed games containing the card;</w:t>
      </w:r>
    </w:p>
    <w:p w14:paraId="77F47CC2" w14:textId="77777777" w:rsidR="00EF3F07" w:rsidRDefault="00EF3F07" w:rsidP="00917433">
      <w:pPr>
        <w:pStyle w:val="Bulletlist"/>
      </w:pPr>
      <w:r>
        <w:rPr>
          <w:rStyle w:val="Fett"/>
        </w:rPr>
        <w:lastRenderedPageBreak/>
        <w:t>selection rate:</w:t>
      </w:r>
      <w:r>
        <w:t xml:space="preserve"> selections divided by opportunities in which the card was playable;</w:t>
      </w:r>
    </w:p>
    <w:p w14:paraId="79631CE1" w14:textId="77777777" w:rsidR="00EF3F07" w:rsidRDefault="00EF3F07" w:rsidP="00917433">
      <w:pPr>
        <w:pStyle w:val="Bulletlist"/>
      </w:pPr>
      <w:r>
        <w:rPr>
          <w:rStyle w:val="Fett"/>
        </w:rPr>
        <w:t>VP lift:</w:t>
      </w:r>
      <w:r>
        <w:t xml:space="preserve"> mean final VP without the card minus mean final VP with the card;</w:t>
      </w:r>
    </w:p>
    <w:p w14:paraId="6A57CE0F" w14:textId="77777777" w:rsidR="00EF3F07" w:rsidRDefault="00EF3F07" w:rsidP="00917433">
      <w:pPr>
        <w:pStyle w:val="Bulletlist"/>
      </w:pPr>
      <w:r>
        <w:rPr>
          <w:rStyle w:val="Fett"/>
        </w:rPr>
        <w:t>elite enrichment:</w:t>
      </w:r>
      <w:r>
        <w:t xml:space="preserve"> card occurrence among the best 5% of games divided by its occurrence in all completed games;</w:t>
      </w:r>
    </w:p>
    <w:p w14:paraId="45890C10" w14:textId="77777777" w:rsidR="00EF3F07" w:rsidRDefault="00EF3F07" w:rsidP="00917433">
      <w:pPr>
        <w:pStyle w:val="Bulletlist"/>
      </w:pPr>
      <w:r>
        <w:rPr>
          <w:rStyle w:val="Fett"/>
        </w:rPr>
        <w:t>mean round:</w:t>
      </w:r>
      <w:r>
        <w:t xml:space="preserve"> average timing of installation.</w:t>
      </w:r>
    </w:p>
    <w:p w14:paraId="35A089E5" w14:textId="77777777" w:rsidR="00EF3F07" w:rsidRPr="00EF3F07" w:rsidRDefault="00EF3F07" w:rsidP="00917433">
      <w:pPr>
        <w:pStyle w:val="Articlenormaltextfirstparagraph"/>
      </w:pPr>
      <w:r w:rsidRPr="00EF3F07">
        <w:t>Positive VP lift therefore indicates that games containing a card are associated with lower greenhouse-gas scores. It is descriptive rather than causal because card occurrence depends on budget, prerequisites, previous measures and the resulting building state.</w:t>
      </w:r>
    </w:p>
    <w:p w14:paraId="6AD6E5FD" w14:textId="77777777" w:rsidR="00EF3F07" w:rsidRPr="00EF3F07" w:rsidRDefault="00EF3F07" w:rsidP="00917433">
      <w:pPr>
        <w:pStyle w:val="Articlenormaltext"/>
      </w:pPr>
      <w:r w:rsidRPr="00EF3F07">
        <w:t>To assess robustness, card metrics are calculated independently for all 20 rule conditions. Category-level results use the unweighted mean across logical cards so categories containing more card copies do not receive additional weight.</w:t>
      </w:r>
    </w:p>
    <w:p w14:paraId="514205E8" w14:textId="77777777" w:rsidR="00EF3F07" w:rsidRPr="00EF3F07" w:rsidRDefault="00EF3F07" w:rsidP="00917433">
      <w:pPr>
        <w:pStyle w:val="Articlenormaltext"/>
      </w:pPr>
      <w:r w:rsidRPr="00EF3F07">
        <w:t>For the strategy experiment, behavioural validity is tested before performance is interpreted. Category shares and card-specific selection rates determine whether each heuristic actually produces its intended renovation priorities. Final greenhouse-gas distributions are then compared between strategies under the common rule environment.</w:t>
      </w:r>
    </w:p>
    <w:p w14:paraId="656CABCE" w14:textId="59D4C9B3" w:rsidR="005A758C" w:rsidRDefault="005A758C" w:rsidP="00917433">
      <w:pPr>
        <w:pStyle w:val="berschrift1"/>
      </w:pPr>
      <w:r w:rsidRPr="00F551B7">
        <w:t>Results</w:t>
      </w:r>
    </w:p>
    <w:p w14:paraId="276A5B16" w14:textId="773A648D" w:rsidR="00BF04B7" w:rsidRDefault="00BF04B7" w:rsidP="00BF04B7">
      <w:pPr>
        <w:pStyle w:val="berschrift2"/>
      </w:pPr>
      <w:r>
        <w:t>Resulting game model</w:t>
      </w:r>
    </w:p>
    <w:p w14:paraId="290B837D" w14:textId="77777777" w:rsidR="00BF04B7" w:rsidRDefault="00BF04B7" w:rsidP="00BF04B7">
      <w:pPr>
        <w:pStyle w:val="Articlenormaltextfirstparagraph"/>
      </w:pPr>
      <w:r w:rsidRPr="00BF04B7">
        <w:t xml:space="preserve">The resulting model contains 56 logical renovation measures distributed across nine intervention categories. Measures modify separate states for thermal demand, heat generation, heat-pump efficiency, electricity demand and production, flexibility, construction-related emissions, satisfaction and budget. </w:t>
      </w:r>
      <w:r>
        <w:t>The</w:t>
      </w:r>
      <w:r w:rsidRPr="00BF04B7">
        <w:t xml:space="preserve"> states are connected through the round calculation</w:t>
      </w:r>
      <w:r>
        <w:t xml:space="preserve"> rather than immediate effects. </w:t>
      </w:r>
      <w:r w:rsidRPr="00BF04B7">
        <w:t>Consequently, several interactions are endogenous to gameplay</w:t>
      </w:r>
      <w:r>
        <w:t>:</w:t>
      </w:r>
    </w:p>
    <w:p w14:paraId="70546225" w14:textId="77777777" w:rsidR="00BF04B7" w:rsidRDefault="00BF04B7" w:rsidP="00BF04B7">
      <w:pPr>
        <w:pStyle w:val="Bulletlist"/>
      </w:pPr>
      <w:r w:rsidRPr="00BF04B7">
        <w:t xml:space="preserve"> Heat-pump electricity demand depends on remaining thermal demand and efficiency</w:t>
      </w:r>
    </w:p>
    <w:p w14:paraId="6A17E340" w14:textId="77777777" w:rsidR="00BF04B7" w:rsidRDefault="00BF04B7" w:rsidP="00654E1C">
      <w:pPr>
        <w:pStyle w:val="Bulletlist"/>
      </w:pPr>
      <w:r w:rsidRPr="00BF04B7">
        <w:t>flexibility interacts with local electricity production</w:t>
      </w:r>
      <w:r>
        <w:t xml:space="preserve"> </w:t>
      </w:r>
      <w:r w:rsidRPr="00BF04B7">
        <w:t xml:space="preserve">and </w:t>
      </w:r>
    </w:p>
    <w:p w14:paraId="17240030" w14:textId="77777777" w:rsidR="00BF04B7" w:rsidRDefault="00BF04B7" w:rsidP="00654E1C">
      <w:pPr>
        <w:pStyle w:val="Bulletlist"/>
      </w:pPr>
      <w:r w:rsidRPr="00BF04B7">
        <w:t xml:space="preserve">envelope renovation creates an immediate construction-related emission effect while influencing operational emissions in subsequent rounds. </w:t>
      </w:r>
    </w:p>
    <w:p w14:paraId="3204E361" w14:textId="3176017E" w:rsidR="00BF04B7" w:rsidRPr="00BF04B7" w:rsidRDefault="00BF04B7" w:rsidP="00BF04B7">
      <w:pPr>
        <w:pStyle w:val="Bulletlist"/>
        <w:numPr>
          <w:ilvl w:val="0"/>
          <w:numId w:val="0"/>
        </w:numPr>
      </w:pPr>
      <w:r w:rsidRPr="00BF04B7">
        <w:t>The computational experiments examine whether these relationships produce a differentiated decision space rather than a single dominant pathway.</w:t>
      </w:r>
    </w:p>
    <w:p w14:paraId="0093D716" w14:textId="7E29F685" w:rsidR="00BF04B7" w:rsidRDefault="00BF04B7" w:rsidP="00BF04B7">
      <w:pPr>
        <w:pStyle w:val="berschrift2"/>
      </w:pPr>
      <w:r>
        <w:t>Sensitivity to card access and passing behaviour</w:t>
      </w:r>
    </w:p>
    <w:p w14:paraId="42AF081C" w14:textId="49353A65" w:rsidR="00BF04B7" w:rsidRPr="00BF04B7" w:rsidRDefault="00BF04B7" w:rsidP="00BF04B7">
      <w:pPr>
        <w:pStyle w:val="Articlenormaltextfirstparagraph"/>
      </w:pPr>
      <w:r w:rsidRPr="00BF04B7">
        <w:t>The rule-sensitivity experiment comprised 200,000 simulated games across 20 conditions, of which 178,702 completed all four rounds and were included in final-score comparisons</w:t>
      </w:r>
      <w:r>
        <w:t xml:space="preserve"> (others chose suboptimal strategies leading to premature bankruptcy)</w:t>
      </w:r>
      <w:r w:rsidRPr="00BF04B7">
        <w:t>. Lower victory-point (VP) values represent lower cumulative greenhouse-gas emissions</w:t>
      </w:r>
      <w:r>
        <w:t xml:space="preserve"> and are better</w:t>
      </w:r>
      <w:r w:rsidRPr="00BF04B7">
        <w:t>.</w:t>
      </w:r>
    </w:p>
    <w:p w14:paraId="4FD6FEF3" w14:textId="2816B27D" w:rsidR="00BF04B7" w:rsidRPr="00BF04B7" w:rsidRDefault="00BF04B7" w:rsidP="00BF04B7">
      <w:pPr>
        <w:pStyle w:val="Articlenormaltext"/>
      </w:pPr>
      <w:r w:rsidRPr="00BF04B7">
        <w:t>Both card access and passing behaviour affected the resulting game trajectories. Increasing the probability of passing reduced the number of measures implemented and consistently increased final greenhouse-gas scores. For example, with 20 randomly offered cards, increasing the passing probability from 0 to 0.50 reduced the mean number of installed measures from 14.80 to 3.74 and increased mean final VP from 222.6 to 553.4.</w:t>
      </w:r>
    </w:p>
    <w:p w14:paraId="05FFA159" w14:textId="4F562127" w:rsidR="00BF04B7" w:rsidRPr="00BF04B7" w:rsidRDefault="00BF04B7" w:rsidP="00BF04B7">
      <w:pPr>
        <w:pStyle w:val="Articlenormaltext"/>
      </w:pPr>
      <w:r w:rsidRPr="00BF04B7">
        <w:t xml:space="preserve">At the same time, </w:t>
      </w:r>
      <w:r w:rsidRPr="00BF04B7">
        <w:rPr>
          <w:b/>
        </w:rPr>
        <w:t>passing increased the probability of completing all four rounds</w:t>
      </w:r>
      <w:r w:rsidRPr="00BF04B7">
        <w:t xml:space="preserve">. Under the same 20-card access rule, completion increased from 84.5% without passing to 92.5% at a passing probability of 0.50. The simulation therefore exposes a trade-off embedded in the financial mechanics: implementing more measures generally improves greenhouse-gas performance but also increases the </w:t>
      </w:r>
      <w:r>
        <w:t xml:space="preserve">risk </w:t>
      </w:r>
      <w:r w:rsidRPr="00BF04B7">
        <w:t>of exhausting the resources required to complete the renovation pathway</w:t>
      </w:r>
      <w:r>
        <w:t>.</w:t>
      </w:r>
    </w:p>
    <w:p w14:paraId="60165E88" w14:textId="1FFE20F1" w:rsidR="00BF04B7" w:rsidRDefault="00BF04B7" w:rsidP="00BF04B7">
      <w:pPr>
        <w:pStyle w:val="Articlenormaltext"/>
      </w:pPr>
      <w:r w:rsidRPr="00BF04B7">
        <w:rPr>
          <w:b/>
        </w:rPr>
        <w:lastRenderedPageBreak/>
        <w:t>Card-access rules influenced performance</w:t>
      </w:r>
      <w:r w:rsidRPr="00BF04B7">
        <w:t>. Without passing, selecting three cards from one randomly chosen category resulted in a mean final VP of 386.7. Providing three cards from each of two randomly selected categories reduced this to 284.0. Random access to 10, 20 or 30 cards produced substantially lower and nearly identical mean values of 221.4, 222.6 and 219.4, respectively.</w:t>
      </w:r>
      <w:r>
        <w:t xml:space="preserve"> </w:t>
      </w:r>
      <w:r w:rsidRPr="00BF04B7">
        <w:t>The similarity between the 10-, 20- and 30-card conditions indicates that increasing an already broad random choice set had little additional effect. In contrast, restricting choice through technology categories materially changed outcomes. The relevant rule effect therefore appears to arise primarily from the structure of available choices rather than simply from the number of cards presented.</w:t>
      </w:r>
      <w:r>
        <w:t xml:space="preserve"> This insight will be taken up in different playmodes offering different card-access dynamics.</w:t>
      </w:r>
    </w:p>
    <w:p w14:paraId="0952C028" w14:textId="77777777" w:rsidR="00B20182" w:rsidRDefault="00B20182" w:rsidP="00BF04B7">
      <w:pPr>
        <w:pStyle w:val="Articlenormaltext"/>
      </w:pPr>
    </w:p>
    <w:p w14:paraId="5769E60A" w14:textId="0434F832" w:rsidR="00BF04B7" w:rsidRPr="00BF04B7" w:rsidRDefault="00B20182" w:rsidP="00B20182">
      <w:pPr>
        <w:pStyle w:val="Articlenormaltextfirstparagraph"/>
      </w:pPr>
      <w:r w:rsidRPr="00B20182">
        <w:drawing>
          <wp:inline distT="0" distB="0" distL="0" distR="0" wp14:anchorId="7F2253AE" wp14:editId="273C860B">
            <wp:extent cx="5491480" cy="3678555"/>
            <wp:effectExtent l="0" t="0" r="0" b="0"/>
            <wp:docPr id="339695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503" name=""/>
                    <pic:cNvPicPr/>
                  </pic:nvPicPr>
                  <pic:blipFill>
                    <a:blip r:embed="rId23"/>
                    <a:stretch>
                      <a:fillRect/>
                    </a:stretch>
                  </pic:blipFill>
                  <pic:spPr>
                    <a:xfrm>
                      <a:off x="0" y="0"/>
                      <a:ext cx="5491480" cy="3678555"/>
                    </a:xfrm>
                    <a:prstGeom prst="rect">
                      <a:avLst/>
                    </a:prstGeom>
                  </pic:spPr>
                </pic:pic>
              </a:graphicData>
            </a:graphic>
          </wp:inline>
        </w:drawing>
      </w:r>
    </w:p>
    <w:p w14:paraId="55357D0B" w14:textId="0705F222" w:rsidR="00BF04B7" w:rsidRPr="00BF04B7" w:rsidRDefault="00BF04B7" w:rsidP="00B20182">
      <w:pPr>
        <w:pStyle w:val="Figurecaption"/>
      </w:pPr>
      <w:r w:rsidRPr="00BF04B7">
        <w:t xml:space="preserve">Sensitivity </w:t>
      </w:r>
      <w:r w:rsidR="00B20182">
        <w:t>of (top)</w:t>
      </w:r>
      <w:r w:rsidRPr="00BF04B7">
        <w:t xml:space="preserve"> mean number of installed measures</w:t>
      </w:r>
      <w:r w:rsidR="00B20182">
        <w:t xml:space="preserve"> and (bottom) </w:t>
      </w:r>
      <w:r w:rsidR="00B20182" w:rsidRPr="00BF04B7">
        <w:t xml:space="preserve">mean final greenhouse-gas score </w:t>
      </w:r>
      <w:r w:rsidRPr="00BF04B7">
        <w:t>to card-access rule and passing probability.</w:t>
      </w:r>
    </w:p>
    <w:p w14:paraId="000AEF95" w14:textId="125932CF" w:rsidR="00BF04B7" w:rsidRDefault="00BF04B7" w:rsidP="00BF04B7">
      <w:pPr>
        <w:pStyle w:val="berschrift2"/>
      </w:pPr>
      <w:r>
        <w:t>Robustness of technology associations across rule conditions</w:t>
      </w:r>
    </w:p>
    <w:p w14:paraId="3E95DFC6" w14:textId="77777777" w:rsidR="00BF04B7" w:rsidRPr="00BF04B7" w:rsidRDefault="00BF04B7" w:rsidP="0064690E">
      <w:pPr>
        <w:pStyle w:val="Articlenormaltextfirstparagraph"/>
      </w:pPr>
      <w:r w:rsidRPr="00BF04B7">
        <w:t>Technology effects were analysed independently within each of the 20 rule conditions. This avoids pooling games with substantially different opportunities to encounter and select individual cards. VP lift was calculated as the difference between the mean final VP of games without and with a given technology; positive values therefore indicate an association with lower final greenhouse-gas emissions. These values remain descriptive rather than causal.</w:t>
      </w:r>
    </w:p>
    <w:p w14:paraId="16B69510" w14:textId="77777777" w:rsidR="00BF04B7" w:rsidRPr="00BF04B7" w:rsidRDefault="00BF04B7" w:rsidP="0064690E">
      <w:pPr>
        <w:pStyle w:val="Articlenormaltext"/>
      </w:pPr>
      <w:r w:rsidRPr="00BF04B7">
        <w:t>At category level, heat-generation measures showed the largest mean VP lift across rule conditions (101.6), followed by flexibility measures (82.6), heat distribution (55.8), insulation (47.5), and electricity-efficiency measures (46.9). Windows showed a smaller positive association (28.4), followed by satisfaction-related measures (21.7) and ventilation (18.3). Roof-use measures were close to neutral on average (3.4).</w:t>
      </w:r>
    </w:p>
    <w:p w14:paraId="758137AA" w14:textId="77777777" w:rsidR="00BF04B7" w:rsidRPr="00BF04B7" w:rsidRDefault="00BF04B7" w:rsidP="0064690E">
      <w:pPr>
        <w:pStyle w:val="Articlenormaltext"/>
      </w:pPr>
      <w:r w:rsidRPr="00BF04B7">
        <w:t xml:space="preserve">Considerable variation nevertheless occurred between individual technologies within the same categories. Several technologies showed consistently positive associations across all 20 rule conditions. The largest mean VP lifts were observed for thermal flexibility (211.4), shower-water heat recovery (198.0), efficient appliances (189.5), decentralized air-source heat </w:t>
      </w:r>
      <w:r w:rsidRPr="00BF04B7">
        <w:lastRenderedPageBreak/>
        <w:t>pumps (157.5), and groundwater heat pumps (142.6). All five showed positive VP lift and enrichment among the best-performing 5% of games in every analysed rule condition.</w:t>
      </w:r>
    </w:p>
    <w:p w14:paraId="79415F14" w14:textId="77777777" w:rsidR="00BF04B7" w:rsidRDefault="00BF04B7" w:rsidP="0064690E">
      <w:pPr>
        <w:pStyle w:val="Articlenormaltext"/>
      </w:pPr>
      <w:r w:rsidRPr="00BF04B7">
        <w:t>The results therefore identify strong technologies without implying a universal card ranking. Category averages conceal substantial within-category variation, while the magnitude of individual card associations changes with card access and passing behaviour. This supports using the simulation as a calibration instrument: technologies that remain unusually strong or weak across many rule conditions can be targeted for technical and game-balance review.</w:t>
      </w:r>
    </w:p>
    <w:p w14:paraId="66A467E8" w14:textId="77777777" w:rsidR="0064690E" w:rsidRDefault="0064690E" w:rsidP="0064690E">
      <w:pPr>
        <w:pStyle w:val="Articlenormaltext"/>
      </w:pPr>
    </w:p>
    <w:p w14:paraId="35B71EBE" w14:textId="749B5BD4" w:rsidR="0064690E" w:rsidRPr="00BF04B7" w:rsidRDefault="0064690E" w:rsidP="0064690E">
      <w:pPr>
        <w:pStyle w:val="Articlenormaltextfirstparagraph"/>
      </w:pPr>
      <w:r w:rsidRPr="0064690E">
        <w:drawing>
          <wp:inline distT="0" distB="0" distL="0" distR="0" wp14:anchorId="071EC41D" wp14:editId="40ED6A5A">
            <wp:extent cx="5491480" cy="2991485"/>
            <wp:effectExtent l="0" t="0" r="0" b="0"/>
            <wp:docPr id="2072316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6603" name=""/>
                    <pic:cNvPicPr/>
                  </pic:nvPicPr>
                  <pic:blipFill>
                    <a:blip r:embed="rId24"/>
                    <a:stretch>
                      <a:fillRect/>
                    </a:stretch>
                  </pic:blipFill>
                  <pic:spPr>
                    <a:xfrm>
                      <a:off x="0" y="0"/>
                      <a:ext cx="5491480" cy="2991485"/>
                    </a:xfrm>
                    <a:prstGeom prst="rect">
                      <a:avLst/>
                    </a:prstGeom>
                  </pic:spPr>
                </pic:pic>
              </a:graphicData>
            </a:graphic>
          </wp:inline>
        </w:drawing>
      </w:r>
    </w:p>
    <w:p w14:paraId="5BE978E0" w14:textId="239C4503" w:rsidR="00BF04B7" w:rsidRDefault="00BF04B7" w:rsidP="0064690E">
      <w:pPr>
        <w:pStyle w:val="Figurecaption"/>
      </w:pPr>
      <w:r w:rsidRPr="00BF04B7">
        <w:t xml:space="preserve">Mean technology VP lift across the 20 rule conditions, grouped by intervention category. </w:t>
      </w:r>
      <w:r>
        <w:t>Category means are shown together with individual technologies.</w:t>
      </w:r>
    </w:p>
    <w:p w14:paraId="26CF17E5" w14:textId="4C332957" w:rsidR="00BF04B7" w:rsidRDefault="00BF04B7" w:rsidP="00BF04B7">
      <w:pPr>
        <w:pStyle w:val="berschrift2"/>
      </w:pPr>
      <w:r>
        <w:t>Effect of decision strategy</w:t>
      </w:r>
    </w:p>
    <w:p w14:paraId="32C6DAB3" w14:textId="77777777" w:rsidR="00DE3008" w:rsidRPr="00DE3008" w:rsidRDefault="00DE3008" w:rsidP="00DE3008">
      <w:pPr>
        <w:pStyle w:val="Articlenormaltextfirstparagraph"/>
        <w:rPr>
          <w:sz w:val="24"/>
          <w:szCs w:val="24"/>
        </w:rPr>
      </w:pPr>
      <w:r w:rsidRPr="00DE3008">
        <w:t xml:space="preserve">The second experiment compared five decision strategies under an identical rule environment, with 20 randomly offered cards per decision and a passing probability of 0.05. A total of 50,000 games were simulated, with 10,000 games per strategy. </w:t>
      </w:r>
      <w:r>
        <w:t>Of these, 45,905 completed all four rounds and were included in comparisons of final game states.</w:t>
      </w:r>
    </w:p>
    <w:p w14:paraId="11C0D19B" w14:textId="77777777" w:rsidR="00DE3008" w:rsidRPr="00DE3008" w:rsidRDefault="00DE3008" w:rsidP="00DE3008">
      <w:pPr>
        <w:pStyle w:val="Articlenormaltext"/>
      </w:pPr>
      <w:r w:rsidRPr="00DE3008">
        <w:t>Decision strategy had a pronounced effect on cumulative greenhouse-gas performance. The Decarbonizer achieved the lowest mean final VP at 139.5, followed by the Insulator at 202.4 and the Random strategy at 247.6. The People Pleaser reached 389.5, while the Electrician produced the highest mean final VP at 547.9. Median values showed the same ordering, at 133, 192, 226, 384, and 571 VP, respectively.</w:t>
      </w:r>
    </w:p>
    <w:p w14:paraId="2D35F336" w14:textId="77777777" w:rsidR="00DE3008" w:rsidRPr="00DE3008" w:rsidRDefault="00DE3008" w:rsidP="00DE3008">
      <w:pPr>
        <w:pStyle w:val="Articlenormaltext"/>
      </w:pPr>
      <w:r w:rsidRPr="00DE3008">
        <w:t>The strategies also differed in financial robustness and renovation intensity. Completion rates were 83.7% for the Decarbonizer, 84.8% for Random, 95.0% for the Electrician, 95.7% for the People Pleaser, and 99.9% for the Insulator. The Decarbonizer therefore achieved the strongest greenhouse-gas performance but comparatively often failed to complete all four rounds. In contrast, the Insulator combined relatively low final VP with a high completion probability and a comparatively large number of implemented measures.</w:t>
      </w:r>
    </w:p>
    <w:p w14:paraId="09C03889" w14:textId="4A3D1DF2" w:rsidR="00DE3008" w:rsidRPr="00DE3008" w:rsidRDefault="00DE3008" w:rsidP="00DE3008">
      <w:pPr>
        <w:pStyle w:val="Articlenormaltext"/>
      </w:pPr>
      <w:r w:rsidRPr="00DE3008">
        <w:t xml:space="preserve">Figure </w:t>
      </w:r>
      <w:r>
        <w:t>6</w:t>
      </w:r>
      <w:r w:rsidRPr="00DE3008">
        <w:t xml:space="preserve"> illustrates that the strategies generated distinct outcomes across several dimensions of the final game state. The Electrician achieved the lowest mean grid-import state at 1.19, but nevertheless produced the highest cumulative VP. By comparison, the Decarbonizer reached a mean grid-import state of 1.56 while achieving by far the lowest greenhouse-gas score. Minimizing grid electricity imports alone was therefore not equivalent to minimizing the cumulative greenhouse-gas impact of the renovation pathway. The People Pleaser retained the </w:t>
      </w:r>
      <w:r w:rsidRPr="00DE3008">
        <w:lastRenderedPageBreak/>
        <w:t>highest financial resources and implemented many measures, but performed less strongly in greenhouse-gas terms.</w:t>
      </w:r>
    </w:p>
    <w:p w14:paraId="2E45920C" w14:textId="77777777" w:rsidR="00DE3008" w:rsidRPr="00DE3008" w:rsidRDefault="00DE3008" w:rsidP="00DE3008">
      <w:pPr>
        <w:pStyle w:val="Articlenormaltext"/>
      </w:pPr>
      <w:r w:rsidRPr="00DE3008">
        <w:t>The card-selection logs confirmed that these outcome differences were accompanied by distinct renovation priorities. Flexibility and electricity-efficiency measures accounted for approximately 30.1% and 24.9% of selections by the Electrician, respectively, while satisfaction-related measures accounted for approximately 30.1% of selections by the People Pleaser. The strategies therefore changed not only final outcomes but also the composition of the renovation pathways through which those outcomes were reached.</w:t>
      </w:r>
    </w:p>
    <w:p w14:paraId="0C36D9B2" w14:textId="77777777" w:rsidR="00DE3008" w:rsidRPr="00DE3008" w:rsidRDefault="00DE3008" w:rsidP="00DE3008">
      <w:pPr>
        <w:pStyle w:val="Articlenormaltext"/>
      </w:pPr>
    </w:p>
    <w:p w14:paraId="22FC4E39" w14:textId="0ECC751D" w:rsidR="00DE3008" w:rsidRDefault="00DE3008" w:rsidP="00DE3008">
      <w:pPr>
        <w:pStyle w:val="Articlenormaltextfirstparagraph"/>
      </w:pPr>
      <w:r w:rsidRPr="00DE3008">
        <w:drawing>
          <wp:inline distT="0" distB="0" distL="0" distR="0" wp14:anchorId="54B58C56" wp14:editId="2C6F5AA0">
            <wp:extent cx="5491480" cy="3834130"/>
            <wp:effectExtent l="0" t="0" r="0" b="0"/>
            <wp:docPr id="1270099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9032" name=""/>
                    <pic:cNvPicPr/>
                  </pic:nvPicPr>
                  <pic:blipFill>
                    <a:blip r:embed="rId25"/>
                    <a:stretch>
                      <a:fillRect/>
                    </a:stretch>
                  </pic:blipFill>
                  <pic:spPr>
                    <a:xfrm>
                      <a:off x="0" y="0"/>
                      <a:ext cx="5491480" cy="3834130"/>
                    </a:xfrm>
                    <a:prstGeom prst="rect">
                      <a:avLst/>
                    </a:prstGeom>
                  </pic:spPr>
                </pic:pic>
              </a:graphicData>
            </a:graphic>
          </wp:inline>
        </w:drawing>
      </w:r>
    </w:p>
    <w:p w14:paraId="4E95C34C" w14:textId="74570F02" w:rsidR="00DE3008" w:rsidRPr="00DE3008" w:rsidRDefault="00DE3008" w:rsidP="00DE3008">
      <w:pPr>
        <w:pStyle w:val="Figurecaption"/>
      </w:pPr>
      <w:r>
        <w:rPr>
          <w:rStyle w:val="Fett"/>
        </w:rPr>
        <w:t>Strategy effects on final game outcomes.</w:t>
      </w:r>
      <w:r>
        <w:t xml:space="preserve"> Distributions of cumulative greenhouse-gas score (VP), remaining budget, number of measures implemented, and final grid-import state for five decision strategies under identical card-access rules (20 randomly available cards; passing probability 0.05). Lower VP indicates lower cumulative greenhouse-gas emissions.</w:t>
      </w:r>
    </w:p>
    <w:p w14:paraId="682A9E5D" w14:textId="0C8D6269" w:rsidR="00BF04B7" w:rsidRDefault="00BF04B7" w:rsidP="00BF04B7">
      <w:pPr>
        <w:pStyle w:val="berschrift2"/>
      </w:pPr>
      <w:r>
        <w:t>Strategic differentiation of the decision space</w:t>
      </w:r>
    </w:p>
    <w:p w14:paraId="460A40EF" w14:textId="77777777" w:rsidR="00BF04B7" w:rsidRPr="00BF04B7" w:rsidRDefault="00BF04B7" w:rsidP="00DE3008">
      <w:pPr>
        <w:pStyle w:val="Articlenormaltextfirstparagraph"/>
      </w:pPr>
      <w:r w:rsidRPr="00BF04B7">
        <w:t>Taken together, the two experiments show that outcomes are sensitive to both the opportunity structure created by the rules and the decisions made within that structure. Restricting card access through categories changed performance even under random decision-making, while different selection heuristics produced substantially different outcomes when card access was held constant.</w:t>
      </w:r>
    </w:p>
    <w:p w14:paraId="1269E0ED" w14:textId="77777777" w:rsidR="00BF04B7" w:rsidRDefault="00BF04B7" w:rsidP="00DE3008">
      <w:pPr>
        <w:pStyle w:val="Articlenormaltext"/>
      </w:pPr>
      <w:r w:rsidRPr="00BF04B7">
        <w:t>No single state variable was sufficient to explain performance. In particular, the strategy producing the lowest grid imports performed worst in cumulative greenhouse-gas terms, while strategies emphasizing heat decarbonization or envelope improvement achieved substantially lower scores. At the same time, the rule-sensitivity analysis identified technologies whose associations with strong outcomes remained robust across substantially different opportunity structures.</w:t>
      </w:r>
    </w:p>
    <w:p w14:paraId="1E1A2EED" w14:textId="22B9DC84" w:rsidR="00DE3008" w:rsidRDefault="00DE3008" w:rsidP="00DE3008">
      <w:pPr>
        <w:pStyle w:val="Articlenormaltext"/>
      </w:pPr>
      <w:r>
        <w:t>A further indication of strategic interaction is that the descriptive VP lift of several technologies changed markedly across strategies, and in some cases even changed sign</w:t>
      </w:r>
      <w:r w:rsidR="00A96692">
        <w:t xml:space="preserve"> (see Suppl. Figure 1)</w:t>
      </w:r>
      <w:r>
        <w:t xml:space="preserve">. Technologies that were associated with lower final emissions under one </w:t>
      </w:r>
      <w:r>
        <w:lastRenderedPageBreak/>
        <w:t>decision strategy could be neutral or unfavorable under another. This supports the interpretation that technology performance in the game is context-dependent and emerges from combinations and sequencing of measures rather than from fixed intrinsic card values.</w:t>
      </w:r>
    </w:p>
    <w:p w14:paraId="02E69E3F" w14:textId="77777777" w:rsidR="00BF04B7" w:rsidRDefault="00BF04B7" w:rsidP="00DE3008">
      <w:pPr>
        <w:pStyle w:val="Articlenormaltext"/>
      </w:pPr>
      <w:r w:rsidRPr="00BF04B7">
        <w:t>The computational results therefore support the intended strategic structure of the model: successful renovation depends on the combination and sequencing of interventions rather than on maximizing one isolated building state.</w:t>
      </w:r>
    </w:p>
    <w:p w14:paraId="144C7E66" w14:textId="40E022F5" w:rsidR="00A96692" w:rsidRPr="00A96692" w:rsidRDefault="00A96692" w:rsidP="00A96692">
      <w:pPr>
        <w:pStyle w:val="berschrift1"/>
        <w:ind w:left="357" w:hanging="357"/>
      </w:pPr>
      <w:bookmarkStart w:id="9" w:name="_i9bo2fjpm3jt" w:colFirst="0" w:colLast="0"/>
      <w:bookmarkStart w:id="10" w:name="_3as4poj" w:colFirst="0" w:colLast="0"/>
      <w:bookmarkEnd w:id="9"/>
      <w:bookmarkEnd w:id="10"/>
      <w:r>
        <w:t>Discussion</w:t>
      </w:r>
    </w:p>
    <w:p w14:paraId="5599CD2B" w14:textId="304E35A5" w:rsidR="00A96692" w:rsidRDefault="00A96692" w:rsidP="00A96692">
      <w:pPr>
        <w:pStyle w:val="berschrift2"/>
      </w:pPr>
      <w:r>
        <w:t>Preserving relationships through model reduction</w:t>
      </w:r>
    </w:p>
    <w:p w14:paraId="0860DAB8" w14:textId="0A4A7092" w:rsidR="00A96692" w:rsidRPr="00A96692" w:rsidRDefault="00A96692" w:rsidP="00A96692">
      <w:pPr>
        <w:pStyle w:val="Articlenormaltextfirstparagraph"/>
      </w:pPr>
      <w:r w:rsidRPr="00A96692">
        <w:t xml:space="preserve">The central challenge addressed by </w:t>
      </w:r>
      <w:r w:rsidRPr="00A96692">
        <w:rPr>
          <w:i/>
        </w:rPr>
        <w:t>The Renovation Game</w:t>
      </w:r>
      <w:r w:rsidRPr="00A96692">
        <w:t xml:space="preserve"> </w:t>
      </w:r>
      <w:r>
        <w:t>was the</w:t>
      </w:r>
      <w:r w:rsidRPr="00A96692">
        <w:t xml:space="preserve"> preservation of relationships that matter for renovation decisions. A physical board game necessarily removes temporal resolution, component detail and many continuous variables. The relevant criterion is therefore whether this reduction retains a recognizable structure of the underlying engineering problem.</w:t>
      </w:r>
    </w:p>
    <w:p w14:paraId="06B36E22" w14:textId="7AA71BC9" w:rsidR="00A96692" w:rsidRPr="00A96692" w:rsidRDefault="00A96692" w:rsidP="00A96692">
      <w:pPr>
        <w:pStyle w:val="Articlenormaltext"/>
      </w:pPr>
      <w:r w:rsidRPr="00A96692">
        <w:t>The resulting model separates states that could otherwise be collapsed into a single technology score</w:t>
      </w:r>
      <w:r>
        <w:t>:</w:t>
      </w:r>
      <w:r w:rsidRPr="00A96692">
        <w:t xml:space="preserve"> Reducing thermal demand, changing heat supply, improving heat-pump efficiency, increasing local electricity production and adding flexibility are represented as different interventions because they act through different physical mechanisms. Construction-related emissions are likewise separated from recurring operational emissions. These distinctions allow the effect of one intervention to depend on the current configuration of the building.</w:t>
      </w:r>
    </w:p>
    <w:p w14:paraId="2C94C50D" w14:textId="38630445" w:rsidR="00A96692" w:rsidRPr="00A96692" w:rsidRDefault="00A96692" w:rsidP="00A96692">
      <w:pPr>
        <w:pStyle w:val="Articlenormaltext"/>
      </w:pPr>
      <w:r w:rsidRPr="00A96692">
        <w:t>The computational results support this form of abstraction. Different decision strategies produced substantially different renovation pathways and outcomes, and the apparent VP lift of individual technologies varied across strategies</w:t>
      </w:r>
      <w:r w:rsidR="00741E93">
        <w:t xml:space="preserve"> and within their respective category</w:t>
      </w:r>
      <w:r w:rsidRPr="00A96692">
        <w:t>. For some technologies, the association even changed sign between strategic contexts. This should not be interpreted as a causal estimate of technology performance or as proof of individual pairwise synergies, since card selection remains conditional on prerequisites, budget and previous decisions. It does, however, provide evidence that the game does not encode a universal ranking of measures. Technology performance emerges partly from the surrounding renovation pathway.</w:t>
      </w:r>
    </w:p>
    <w:p w14:paraId="62584E20" w14:textId="77777777" w:rsidR="00A96692" w:rsidRPr="00A96692" w:rsidRDefault="00A96692" w:rsidP="00741E93">
      <w:pPr>
        <w:pStyle w:val="Articlenormaltext"/>
      </w:pPr>
      <w:r w:rsidRPr="00A96692">
        <w:t>A particularly illustrative example is the Electrician strategy. It achieved the lowest grid-import state but the highest cumulative greenhouse-gas score of the tested strategies. Optimizing grid import alone was therefore not equivalent to optimizing the complete renovation pathway. This is precisely the type of distinction that would disappear if photovoltaics, efficiency, storage and heat supply were represented through independent points rather than coupled states.</w:t>
      </w:r>
    </w:p>
    <w:p w14:paraId="70BA099F" w14:textId="7E16814C" w:rsidR="00A96692" w:rsidRDefault="00A96692" w:rsidP="00A96692">
      <w:pPr>
        <w:pStyle w:val="berschrift2"/>
      </w:pPr>
      <w:r>
        <w:t>Strategic differentiation and rule dependence</w:t>
      </w:r>
    </w:p>
    <w:p w14:paraId="2C101D76" w14:textId="77777777" w:rsidR="00A96692" w:rsidRPr="00A96692" w:rsidRDefault="00A96692" w:rsidP="00741E93">
      <w:pPr>
        <w:pStyle w:val="Articlenormaltextfirstparagraph"/>
      </w:pPr>
      <w:r w:rsidRPr="00A96692">
        <w:t>The results also show that the decision space is shaped both by the underlying engineering relationships and by the rules governing access to them. Restricting players to cards from one or two randomly selected categories led to substantially different outcomes from providing broader random choice sets. In contrast, increasing an already broad random choice set from 10 to 30 cards produced comparatively little additional change. The structure of choice therefore mattered more than simply increasing the number of available alternatives.</w:t>
      </w:r>
    </w:p>
    <w:p w14:paraId="014705B9" w14:textId="77777777" w:rsidR="00A96692" w:rsidRPr="00A96692" w:rsidRDefault="00A96692" w:rsidP="00741E93">
      <w:pPr>
        <w:pStyle w:val="Articlenormaltext"/>
      </w:pPr>
      <w:r w:rsidRPr="00A96692">
        <w:t xml:space="preserve">Passing behaviour introduced a second important trade-off. More frequent passing reduced the number of implemented measures and worsened greenhouse-gas performance, but increased the probability of completing all four rounds. This reflects the intended role of financial resources: aggressive renovation can improve emissions while increasing the risk of </w:t>
      </w:r>
      <w:r w:rsidRPr="00A96692">
        <w:lastRenderedPageBreak/>
        <w:t>exhausting the available budget. Money therefore acts as a constraint on the renovation pathway rather than as an independent victory condition.</w:t>
      </w:r>
    </w:p>
    <w:p w14:paraId="1CB3331F" w14:textId="77777777" w:rsidR="00A96692" w:rsidRPr="00A96692" w:rsidRDefault="00A96692" w:rsidP="00741E93">
      <w:pPr>
        <w:pStyle w:val="Articlenormaltext"/>
      </w:pPr>
      <w:r w:rsidRPr="00A96692">
        <w:t>The strategy experiment provides a stronger test of strategic differentiation because the opportunity structure was held constant. The Decarbonizer, Insulator, Electrician, People Pleaser and Random strategies produced clearly different outcomes despite facing the same card-access and passing rules. The Decarbonizer performed best on cumulative greenhouse-gas emissions, while the Insulator combined relatively strong emission performance with particularly robust completion. The People Pleaser retained greater financial resources but performed less strongly on emissions, whereas the Electrician performed well on grid import but poorly on the overall greenhouse-gas objective.</w:t>
      </w:r>
    </w:p>
    <w:p w14:paraId="21BCE67C" w14:textId="77777777" w:rsidR="00A96692" w:rsidRPr="00A96692" w:rsidRDefault="00A96692" w:rsidP="00741E93">
      <w:pPr>
        <w:pStyle w:val="Articlenormaltext"/>
      </w:pPr>
      <w:r w:rsidRPr="00A96692">
        <w:t>These results answer RQ2 more directly than the frequency of cards among the best-performing games. A measure can be common simply because it is inexpensive, frequently available or a prerequisite for later interventions. By contrast, sensitivity to both decision strategy and rule configuration demonstrates that outcomes depend on how measures are combined and selected within the evolving building state.</w:t>
      </w:r>
    </w:p>
    <w:p w14:paraId="66E2E731" w14:textId="65F4E641" w:rsidR="00A96692" w:rsidRDefault="00A96692" w:rsidP="00A96692">
      <w:pPr>
        <w:pStyle w:val="berschrift2"/>
      </w:pPr>
      <w:r>
        <w:t>Computational testing as part of serious-game development</w:t>
      </w:r>
    </w:p>
    <w:p w14:paraId="29CC3794" w14:textId="77777777" w:rsidR="00A96692" w:rsidRPr="00A96692" w:rsidRDefault="00A96692" w:rsidP="00741E93">
      <w:pPr>
        <w:pStyle w:val="Articlenormaltextfirstparagraph"/>
      </w:pPr>
      <w:r w:rsidRPr="00A96692">
        <w:t>The simulations also demonstrate the usefulness of computational testing as a complement to physical playtesting. A conventional playtest can reveal whether rules are understandable, whether choices feel meaningful and whether the game produces engagement or discussion. It provides only limited coverage of the large number of possible card sequences and state combinations.</w:t>
      </w:r>
    </w:p>
    <w:p w14:paraId="1A7CF2CC" w14:textId="77777777" w:rsidR="00A96692" w:rsidRPr="00A96692" w:rsidRDefault="00A96692" w:rsidP="00741E93">
      <w:pPr>
        <w:pStyle w:val="Articlenormaltext"/>
      </w:pPr>
      <w:r w:rsidRPr="00A96692">
        <w:t xml:space="preserve">Automated simulation provides the opposite strengths. Large numbers of trajectories can be tested under controlled changes in </w:t>
      </w:r>
      <w:r w:rsidRPr="00741E93">
        <w:t>access</w:t>
      </w:r>
      <w:r w:rsidRPr="00A96692">
        <w:t xml:space="preserve"> rules, passing behaviour and decision strategy. This makes it possible to identify unusually dominant technologies, ineffective measures, unintended rule effects and states that are difficult to reach before or alongside repeated physical testing.</w:t>
      </w:r>
    </w:p>
    <w:p w14:paraId="467B4145" w14:textId="77777777" w:rsidR="00A96692" w:rsidRPr="00A96692" w:rsidRDefault="00A96692" w:rsidP="00741E93">
      <w:pPr>
        <w:pStyle w:val="Articlenormaltext"/>
      </w:pPr>
      <w:r w:rsidRPr="00A96692">
        <w:t>The analysis also shows why such simulations should not be reduced to a search for the "best card." Card-level VP lift, occurrence and elite enrichment are descriptive associations affected by the surrounding game state. Their value lies primarily in comparative calibration. A technology that appears unusually strong across many rule environments warrants review; variation between environments may instead indicate intended contextual dependence.</w:t>
      </w:r>
    </w:p>
    <w:p w14:paraId="0183C0A6" w14:textId="77777777" w:rsidR="00A96692" w:rsidRDefault="00A96692" w:rsidP="00741E93">
      <w:pPr>
        <w:pStyle w:val="Articlenormaltext"/>
      </w:pPr>
      <w:r w:rsidRPr="00A96692">
        <w:t xml:space="preserve">Computational and physical validation therefore address different aspects of the design. Simulation can test the internal behaviour of the rule system, whereas human playtests are required to determine whether players recognize and use the represented relationships. </w:t>
      </w:r>
      <w:r>
        <w:t>Neither substitutes for the other.</w:t>
      </w:r>
    </w:p>
    <w:p w14:paraId="368245D8" w14:textId="05275F30" w:rsidR="00A96692" w:rsidRDefault="00A96692" w:rsidP="00A96692">
      <w:pPr>
        <w:pStyle w:val="berschrift2"/>
      </w:pPr>
      <w:r>
        <w:t>Educational implications, limitations and transferability</w:t>
      </w:r>
    </w:p>
    <w:p w14:paraId="3EBE4962" w14:textId="18B7D862" w:rsidR="00A96692" w:rsidRPr="00A96692" w:rsidRDefault="00A96692" w:rsidP="00741E93">
      <w:pPr>
        <w:pStyle w:val="Articlenormaltextfirstparagraph"/>
      </w:pPr>
      <w:r w:rsidRPr="00A96692">
        <w:t xml:space="preserve">Embedding technical relationships directly in the mechanics creates opportunities for systems-oriented learning. A player who understands that low-temperature heat distribution can improve heat-pump performance, or that flexibility has different value depending on available generation, can use this knowledge when making decisions. </w:t>
      </w:r>
    </w:p>
    <w:p w14:paraId="251218B5" w14:textId="66299247" w:rsidR="00A96692" w:rsidRDefault="00A96692" w:rsidP="00741E93">
      <w:pPr>
        <w:pStyle w:val="Articlenormaltext"/>
      </w:pPr>
      <w:r w:rsidRPr="00A96692">
        <w:t xml:space="preserve">This does not </w:t>
      </w:r>
      <w:r w:rsidR="00741E93">
        <w:t xml:space="preserve">yet </w:t>
      </w:r>
      <w:r w:rsidRPr="00A96692">
        <w:t>demonstrate that players learn these relationships. Whether players understand the mechanics, transfer them to conceptual knowledge or improve their understanding of renovation requires participant data. The planned matched pre- and post-game evaluation therefore remains a separate validation step</w:t>
      </w:r>
      <w:r w:rsidR="00741E93">
        <w:t xml:space="preserve"> of future work</w:t>
      </w:r>
      <w:r w:rsidRPr="00A96692">
        <w:t>.</w:t>
      </w:r>
    </w:p>
    <w:p w14:paraId="424AA501" w14:textId="77777777" w:rsidR="00A96692" w:rsidRPr="00A96692" w:rsidRDefault="00A96692" w:rsidP="00741E93">
      <w:pPr>
        <w:pStyle w:val="Articlenormaltext"/>
      </w:pPr>
      <w:r w:rsidRPr="00A96692">
        <w:t xml:space="preserve">Several technical limitations also remain. The game represents a nominal reference building rather than a specific property and uses discrete annual states instead of hourly simulation. Weather, thermal mass, detailed component performance, hydraulic behaviour and controls are omitted. Storage and flexibility are simplified proxies rather than state-of-charge models; </w:t>
      </w:r>
      <w:r w:rsidRPr="00A96692">
        <w:lastRenderedPageBreak/>
        <w:t>investment costs are relative game values rather than project-specific estimates; embodied emissions do not constitute a complete life-cycle assessment; and the assumed electricity-decarbonization pathway influences the relative performance of electrification measures. User satisfaction combines heterogeneous comfort and social effects in a single state. The resulting card values should therefore not be interpreted as planning or investment recommendations.</w:t>
      </w:r>
    </w:p>
    <w:p w14:paraId="44A8FB9E" w14:textId="77777777" w:rsidR="00A96692" w:rsidRPr="00A96692" w:rsidRDefault="00A96692" w:rsidP="00741E93">
      <w:pPr>
        <w:pStyle w:val="Articlenormaltext"/>
      </w:pPr>
      <w:r w:rsidRPr="00A96692">
        <w:t>The computational experiments likewise use deliberately simplified decision heuristics rather than models of human behaviour or optimal control. Strategy-specific VP lift remains affected by selection and pathway effects, and sign changes between strategies indicate context dependence without isolating the individual interaction responsible. More targeted experiments could subsequently test individual technology combinations or alternative building archetypes.</w:t>
      </w:r>
    </w:p>
    <w:p w14:paraId="21C9B797" w14:textId="77777777" w:rsidR="00A96692" w:rsidRPr="00A96692" w:rsidRDefault="00A96692" w:rsidP="00741E93">
      <w:pPr>
        <w:pStyle w:val="Articlenormaltext"/>
      </w:pPr>
      <w:r w:rsidRPr="00A96692">
        <w:t>Despite these limitations, the underlying method is transferable. Different reference buildings can be represented by changing starting states, card mappings and lookup relationships. Building density could alter photovoltaic potential, climate could alter thermal-demand ranges, and alternative electricity scenarios could change round-dependent emission factors. More generally, the approach is applicable to engineering education problems in which interventions affect multiple coupled states but the complete quantitative model is too complex for direct use in a tabletop learning environment.</w:t>
      </w:r>
    </w:p>
    <w:p w14:paraId="1A9128B9" w14:textId="02B8A72D" w:rsidR="00C305D8" w:rsidRPr="00AA3CEB" w:rsidRDefault="00B45760" w:rsidP="00C72FAD">
      <w:pPr>
        <w:pStyle w:val="berschrift1"/>
      </w:pPr>
      <w:commentRangeStart w:id="11"/>
      <w:r>
        <w:t>Conclusions</w:t>
      </w:r>
      <w:commentRangeEnd w:id="11"/>
      <w:r w:rsidR="00903965" w:rsidRPr="00AA3CEB">
        <w:rPr>
          <w:rStyle w:val="Kommentarzeichen"/>
          <w:sz w:val="28"/>
          <w:szCs w:val="22"/>
        </w:rPr>
        <w:commentReference w:id="11"/>
      </w:r>
    </w:p>
    <w:p w14:paraId="59358DF5" w14:textId="77777777" w:rsidR="00741E93" w:rsidRPr="00741E93" w:rsidRDefault="00741E93" w:rsidP="00741E93">
      <w:pPr>
        <w:pStyle w:val="Articlenormaltextfirstparagraph"/>
        <w:rPr>
          <w:sz w:val="24"/>
          <w:szCs w:val="24"/>
        </w:rPr>
      </w:pPr>
      <w:r>
        <w:t xml:space="preserve">This study presents a method for translating selected building-energy relationships into the mechanics of a serious board game while preserving strategically relevant interactions. </w:t>
      </w:r>
      <w:r>
        <w:rPr>
          <w:rStyle w:val="Hervorhebung"/>
        </w:rPr>
        <w:t>The Renovation Game</w:t>
      </w:r>
      <w:r>
        <w:t xml:space="preserve"> represents renovation through coupled states for heat demand, heat supply, heat-pump efficiency, electricity demand and generation, flexibility, construction emissions, budget, and user satisfaction. Fifty-six renovation measures modify these states over four five-year rounds.</w:t>
      </w:r>
    </w:p>
    <w:p w14:paraId="7693D681" w14:textId="77777777" w:rsidR="00741E93" w:rsidRDefault="00741E93" w:rsidP="00741E93">
      <w:pPr>
        <w:pStyle w:val="Articlenormaltext"/>
      </w:pPr>
      <w:r>
        <w:t>Computational testing showed that outcomes depend on both the structure of available choices and the decision strategy applied. Rule variations affected completion probability, number of implemented measures, and greenhouse-gas performance, while different strategies produced clearly different renovation pathways under identical conditions. The fact that some technologies changed apparent effectiveness across strategies further indicates that performance depends on context and combinations rather than on a fixed ranking of individual measures.</w:t>
      </w:r>
    </w:p>
    <w:p w14:paraId="2098FF49" w14:textId="77777777" w:rsidR="00741E93" w:rsidRDefault="00741E93" w:rsidP="00741E93">
      <w:pPr>
        <w:pStyle w:val="Articlenormaltext"/>
      </w:pPr>
      <w:r>
        <w:t>The main contribution is therefore a model-reduction approach that embeds engineering relationships directly in game mechanics and combines this with computational balancing before or alongside physical playtesting. The game is not intended to replace building simulation or renovation planning, but to provide a transparent environment for exploring coupled renovation decisions.</w:t>
      </w:r>
    </w:p>
    <w:p w14:paraId="28866711" w14:textId="77777777" w:rsidR="00741E93" w:rsidRDefault="00741E93" w:rsidP="00741E93">
      <w:pPr>
        <w:pStyle w:val="Articlenormaltext"/>
      </w:pPr>
      <w:r>
        <w:t>Future work should focus on participant-based evaluation of learning outcomes and on testing alternative building archetypes and selected model assumptions.</w:t>
      </w:r>
    </w:p>
    <w:p w14:paraId="0F995420" w14:textId="77777777" w:rsidR="005A758C" w:rsidRPr="009C6AC4" w:rsidRDefault="005A758C" w:rsidP="00BA7FD2">
      <w:pPr>
        <w:pStyle w:val="berschrift1"/>
        <w:numPr>
          <w:ilvl w:val="0"/>
          <w:numId w:val="0"/>
        </w:numPr>
      </w:pPr>
      <w:r w:rsidRPr="009C6AC4">
        <w:t>Acknowledgments</w:t>
      </w:r>
    </w:p>
    <w:p w14:paraId="054ED7E6" w14:textId="0223CCFF" w:rsidR="00903965" w:rsidRDefault="00903965" w:rsidP="00903965">
      <w:pPr>
        <w:pStyle w:val="Articlenormaltextfirstparagraph"/>
        <w:rPr>
          <w:lang w:eastAsia="de-DE"/>
        </w:rPr>
      </w:pPr>
      <w:bookmarkStart w:id="12" w:name="_49x2ik5" w:colFirst="0" w:colLast="0"/>
      <w:bookmarkEnd w:id="12"/>
      <w:r w:rsidRPr="00ED798B">
        <w:rPr>
          <w:lang w:eastAsia="de-DE"/>
        </w:rPr>
        <w:t xml:space="preserve">The development of </w:t>
      </w:r>
      <w:r w:rsidRPr="00ED798B">
        <w:rPr>
          <w:i/>
          <w:iCs/>
          <w:lang w:eastAsia="de-DE"/>
        </w:rPr>
        <w:t>The Renovation Game</w:t>
      </w:r>
      <w:r w:rsidRPr="00ED798B">
        <w:rPr>
          <w:lang w:eastAsia="de-DE"/>
        </w:rPr>
        <w:t xml:space="preserve"> was carried out within the City of Vienna competence team for climate-fit urban renovation (“KlimSta”), funded by </w:t>
      </w:r>
      <w:r>
        <w:rPr>
          <w:lang w:eastAsia="de-DE"/>
        </w:rPr>
        <w:t>the City of Vienna Municipal department MA23.</w:t>
      </w:r>
    </w:p>
    <w:p w14:paraId="4BE06F9A" w14:textId="57EAC621" w:rsidR="00911C33" w:rsidRPr="005A758C" w:rsidRDefault="00911C33" w:rsidP="00911C33">
      <w:pPr>
        <w:pStyle w:val="berschrift1"/>
        <w:numPr>
          <w:ilvl w:val="0"/>
          <w:numId w:val="0"/>
        </w:numPr>
      </w:pPr>
      <w:r w:rsidRPr="00911C33">
        <w:rPr>
          <w:lang w:eastAsia="de-DE"/>
        </w:rPr>
        <w:t>Data and Software Availability</w:t>
      </w:r>
    </w:p>
    <w:p w14:paraId="2CD26E76" w14:textId="5D2EF966" w:rsidR="00911C33" w:rsidRPr="00ED798B" w:rsidRDefault="00911C33" w:rsidP="00911C33">
      <w:pPr>
        <w:pStyle w:val="Articlenormaltextfirstparagraph"/>
        <w:rPr>
          <w:lang w:eastAsia="de-DE"/>
        </w:rPr>
      </w:pPr>
      <w:r w:rsidRPr="00ED798B">
        <w:rPr>
          <w:lang w:eastAsia="de-DE"/>
        </w:rPr>
        <w:lastRenderedPageBreak/>
        <w:t>The game model is implemented in Python for automated simulation and balancing. The repository contains the simulation code, analysis notebooks, print material, and associated game data</w:t>
      </w:r>
      <w:r>
        <w:rPr>
          <w:lang w:eastAsia="de-DE"/>
        </w:rPr>
        <w:t xml:space="preserve"> and is available at </w:t>
      </w:r>
      <w:r w:rsidRPr="00911C33">
        <w:rPr>
          <w:lang w:eastAsia="de-DE"/>
        </w:rPr>
        <w:t>https://github.com/simonschaluppe/klimsta-Brettspiel</w:t>
      </w:r>
    </w:p>
    <w:p w14:paraId="61707927" w14:textId="77777777" w:rsidR="005A758C" w:rsidRPr="005A758C" w:rsidRDefault="005A758C" w:rsidP="00BA7FD2">
      <w:pPr>
        <w:pStyle w:val="berschrift1"/>
        <w:numPr>
          <w:ilvl w:val="0"/>
          <w:numId w:val="0"/>
        </w:numPr>
      </w:pPr>
      <w:r w:rsidRPr="005A758C">
        <w:t>Conflicts of interest</w:t>
      </w:r>
    </w:p>
    <w:p w14:paraId="06A6733B" w14:textId="31EEA5A4" w:rsidR="005B3963" w:rsidRDefault="00911C33" w:rsidP="00911C33">
      <w:pPr>
        <w:pStyle w:val="Articlenormaltextfirstparagraph"/>
      </w:pPr>
      <w:r>
        <w:t>The authors declare no conflicts of interest.</w:t>
      </w:r>
      <w:bookmarkStart w:id="13" w:name="_2p2csry" w:colFirst="0" w:colLast="0"/>
      <w:bookmarkEnd w:id="13"/>
    </w:p>
    <w:p w14:paraId="7EDB7A54" w14:textId="77777777" w:rsidR="008C65AD" w:rsidRPr="007A6D92" w:rsidRDefault="008C65AD" w:rsidP="006A62A8">
      <w:pPr>
        <w:pStyle w:val="berschrift1"/>
        <w:numPr>
          <w:ilvl w:val="0"/>
          <w:numId w:val="0"/>
        </w:numPr>
        <w:ind w:left="357" w:hanging="357"/>
        <w:rPr>
          <w:lang w:eastAsia="de-DE"/>
        </w:rPr>
      </w:pPr>
      <w:r w:rsidRPr="007A6D92">
        <w:rPr>
          <w:lang w:eastAsia="de-DE"/>
        </w:rPr>
        <w:t>References</w:t>
      </w:r>
    </w:p>
    <w:p w14:paraId="2E23BD9A" w14:textId="77777777" w:rsidR="00911C33" w:rsidRPr="00ED798B" w:rsidRDefault="00911C33" w:rsidP="00911C33">
      <w:pPr>
        <w:pStyle w:val="References"/>
        <w:rPr>
          <w:lang w:eastAsia="de-DE"/>
        </w:rPr>
      </w:pPr>
      <w:r w:rsidRPr="00ED798B">
        <w:rPr>
          <w:lang w:eastAsia="de-DE"/>
        </w:rPr>
        <w:t xml:space="preserve">[1] R. Garris, R. Ahlers, and J. E. Driskell, “Games, motivation, and learning: A research and practice model,” </w:t>
      </w:r>
      <w:r w:rsidRPr="00ED798B">
        <w:rPr>
          <w:i/>
          <w:iCs/>
          <w:lang w:eastAsia="de-DE"/>
        </w:rPr>
        <w:t>Simulation &amp; Gaming</w:t>
      </w:r>
      <w:r w:rsidRPr="00ED798B">
        <w:rPr>
          <w:lang w:eastAsia="de-DE"/>
        </w:rPr>
        <w:t>, vol. 33, no. 4, pp. 441–467, 2002, doi: 10.1177/1046878102238607.</w:t>
      </w:r>
    </w:p>
    <w:p w14:paraId="2C2D7B10" w14:textId="77777777" w:rsidR="00911C33" w:rsidRPr="00ED798B" w:rsidRDefault="00911C33" w:rsidP="00911C33">
      <w:pPr>
        <w:pStyle w:val="References"/>
        <w:rPr>
          <w:lang w:eastAsia="de-DE"/>
        </w:rPr>
      </w:pPr>
      <w:r w:rsidRPr="00ED798B">
        <w:rPr>
          <w:lang w:eastAsia="de-DE"/>
        </w:rPr>
        <w:t xml:space="preserve">[2] R. Hunicke, M. LeBlanc, and R. Zubek, “MDA: A formal approach to game design and game research,” in </w:t>
      </w:r>
      <w:r w:rsidRPr="00ED798B">
        <w:rPr>
          <w:i/>
          <w:iCs/>
          <w:lang w:eastAsia="de-DE"/>
        </w:rPr>
        <w:t>Proc. AAAI Workshop on Challenges in Game AI</w:t>
      </w:r>
      <w:r w:rsidRPr="00ED798B">
        <w:rPr>
          <w:lang w:eastAsia="de-DE"/>
        </w:rPr>
        <w:t>, San Jose, CA, USA, 2004.</w:t>
      </w:r>
    </w:p>
    <w:p w14:paraId="67D6DE8A" w14:textId="77777777" w:rsidR="00911C33" w:rsidRPr="00ED798B" w:rsidRDefault="00911C33" w:rsidP="00911C33">
      <w:pPr>
        <w:pStyle w:val="References"/>
        <w:rPr>
          <w:lang w:eastAsia="de-DE"/>
        </w:rPr>
      </w:pPr>
      <w:r w:rsidRPr="00ED798B">
        <w:rPr>
          <w:lang w:eastAsia="de-DE"/>
        </w:rPr>
        <w:t xml:space="preserve">[3] G. Kalmpourtzis and M. Romero, “Constructive alignment of learning mechanics and game mechanics in serious game design in higher education,” </w:t>
      </w:r>
      <w:r w:rsidRPr="00ED798B">
        <w:rPr>
          <w:i/>
          <w:iCs/>
          <w:lang w:eastAsia="de-DE"/>
        </w:rPr>
        <w:t>International Journal of Serious Games</w:t>
      </w:r>
      <w:r w:rsidRPr="00ED798B">
        <w:rPr>
          <w:lang w:eastAsia="de-DE"/>
        </w:rPr>
        <w:t>, vol. 7, no. 4, pp. 75–88, 2020, doi: 10.17083/ijsg.v7i4.361.</w:t>
      </w:r>
    </w:p>
    <w:p w14:paraId="39244A25" w14:textId="77777777" w:rsidR="00911C33" w:rsidRPr="00ED798B" w:rsidRDefault="00911C33" w:rsidP="00911C33">
      <w:pPr>
        <w:pStyle w:val="References"/>
        <w:rPr>
          <w:lang w:eastAsia="de-DE"/>
        </w:rPr>
      </w:pPr>
      <w:r w:rsidRPr="00ED798B">
        <w:rPr>
          <w:lang w:eastAsia="de-DE"/>
        </w:rPr>
        <w:t xml:space="preserve">[4] T. M. Connolly, E. A. Boyle, E. MacArthur, T. Hainey, and J. M. Boyle, “A systematic literature review of empirical evidence on computer games and serious games,” </w:t>
      </w:r>
      <w:r w:rsidRPr="00ED798B">
        <w:rPr>
          <w:i/>
          <w:iCs/>
          <w:lang w:eastAsia="de-DE"/>
        </w:rPr>
        <w:t>Computers &amp; Education</w:t>
      </w:r>
      <w:r w:rsidRPr="00ED798B">
        <w:rPr>
          <w:lang w:eastAsia="de-DE"/>
        </w:rPr>
        <w:t>, vol. 59, no. 2, pp. 661–686, 2012, doi: 10.1016/j.compedu.2012.03.004.</w:t>
      </w:r>
    </w:p>
    <w:p w14:paraId="403D4A81" w14:textId="77777777" w:rsidR="00911C33" w:rsidRPr="00ED798B" w:rsidRDefault="00911C33" w:rsidP="00911C33">
      <w:pPr>
        <w:pStyle w:val="References"/>
        <w:rPr>
          <w:lang w:eastAsia="de-DE"/>
        </w:rPr>
      </w:pPr>
      <w:r w:rsidRPr="00ED798B">
        <w:rPr>
          <w:lang w:eastAsia="de-DE"/>
        </w:rPr>
        <w:t xml:space="preserve">[5] R. L. Lamb, L. Annetta, J. Firestone, and E. Etopio, “A meta-analysis with examination of moderators of student cognition, affect, and learning outcomes while using serious educational games, serious games, and simulations,” </w:t>
      </w:r>
      <w:r w:rsidRPr="00ED798B">
        <w:rPr>
          <w:i/>
          <w:iCs/>
          <w:lang w:eastAsia="de-DE"/>
        </w:rPr>
        <w:t>Computers in Human Behavior</w:t>
      </w:r>
      <w:r w:rsidRPr="00ED798B">
        <w:rPr>
          <w:lang w:eastAsia="de-DE"/>
        </w:rPr>
        <w:t>, vol. 80, pp. 158–167, 2018, doi: 10.1016/j.chb.2017.10.040.</w:t>
      </w:r>
    </w:p>
    <w:p w14:paraId="0A600145" w14:textId="77777777" w:rsidR="00911C33" w:rsidRPr="00ED798B" w:rsidRDefault="00911C33" w:rsidP="00911C33">
      <w:pPr>
        <w:pStyle w:val="References"/>
        <w:rPr>
          <w:lang w:eastAsia="de-DE"/>
        </w:rPr>
      </w:pPr>
      <w:r w:rsidRPr="00ED798B">
        <w:rPr>
          <w:lang w:eastAsia="de-DE"/>
        </w:rPr>
        <w:t xml:space="preserve">[6] S. Schneider, T. Zelger, R. Drexel, M. Schindler, P. Krainer, and J. Baptista, “Declaration-ready climate-neutral PEDs: Budget-based, hourly LCA including mobility and flexibility,” </w:t>
      </w:r>
      <w:r w:rsidRPr="00ED798B">
        <w:rPr>
          <w:i/>
          <w:iCs/>
          <w:lang w:eastAsia="de-DE"/>
        </w:rPr>
        <w:t>Designs</w:t>
      </w:r>
      <w:r w:rsidRPr="00ED798B">
        <w:rPr>
          <w:lang w:eastAsia="de-DE"/>
        </w:rPr>
        <w:t>, vol. 9, no. 6, Art. no. 123, 2025.</w:t>
      </w:r>
    </w:p>
    <w:p w14:paraId="201D75B5" w14:textId="77777777" w:rsidR="00911C33" w:rsidRPr="00ED798B" w:rsidRDefault="00911C33" w:rsidP="00911C33">
      <w:pPr>
        <w:pStyle w:val="References"/>
        <w:rPr>
          <w:lang w:eastAsia="de-DE"/>
        </w:rPr>
      </w:pPr>
      <w:r w:rsidRPr="00ED798B">
        <w:rPr>
          <w:lang w:eastAsia="de-DE"/>
        </w:rPr>
        <w:t xml:space="preserve">[7] C. Boomsma, R. J. Hafner, S. Pahl, R. V. Jones, and A. Fuertes, “Should we play games where energy is concerned? Perceptions of serious gaming as a technology to motivate energy behaviour change among social housing residents,” </w:t>
      </w:r>
      <w:r w:rsidRPr="00ED798B">
        <w:rPr>
          <w:i/>
          <w:iCs/>
          <w:lang w:eastAsia="de-DE"/>
        </w:rPr>
        <w:t>Sustainability</w:t>
      </w:r>
      <w:r w:rsidRPr="00ED798B">
        <w:rPr>
          <w:lang w:eastAsia="de-DE"/>
        </w:rPr>
        <w:t>, vol. 10, no. 6, Art. no. 1729, 2018, doi: 10.3390/su10061729.</w:t>
      </w:r>
    </w:p>
    <w:p w14:paraId="253958BA" w14:textId="77777777" w:rsidR="00911C33" w:rsidRPr="00ED798B" w:rsidRDefault="00911C33" w:rsidP="00911C33">
      <w:pPr>
        <w:pStyle w:val="References"/>
        <w:rPr>
          <w:lang w:eastAsia="de-DE"/>
        </w:rPr>
      </w:pPr>
      <w:r w:rsidRPr="00ED798B">
        <w:rPr>
          <w:lang w:eastAsia="de-DE"/>
        </w:rPr>
        <w:t xml:space="preserve">[8] G. Bekebrede, E. van Bueren, and I. Wenzler, “Towards a joint local energy transition process in urban districts: The GO2Zero simulation game,” </w:t>
      </w:r>
      <w:r w:rsidRPr="00ED798B">
        <w:rPr>
          <w:i/>
          <w:iCs/>
          <w:lang w:eastAsia="de-DE"/>
        </w:rPr>
        <w:t>Sustainability</w:t>
      </w:r>
      <w:r w:rsidRPr="00ED798B">
        <w:rPr>
          <w:lang w:eastAsia="de-DE"/>
        </w:rPr>
        <w:t>, vol. 10, no. 8, Art. no. 2602, 2018.</w:t>
      </w:r>
    </w:p>
    <w:p w14:paraId="240DA559" w14:textId="77777777" w:rsidR="00911C33" w:rsidRPr="00ED798B" w:rsidRDefault="00911C33" w:rsidP="00911C33">
      <w:pPr>
        <w:pStyle w:val="References"/>
        <w:rPr>
          <w:lang w:eastAsia="de-DE"/>
        </w:rPr>
      </w:pPr>
      <w:r w:rsidRPr="00ED798B">
        <w:rPr>
          <w:lang w:eastAsia="de-DE"/>
        </w:rPr>
        <w:t xml:space="preserve">[9] M. Sailer and L. Homner, “The gamification of learning: A meta-analysis,” </w:t>
      </w:r>
      <w:r w:rsidRPr="00ED798B">
        <w:rPr>
          <w:i/>
          <w:iCs/>
          <w:lang w:eastAsia="de-DE"/>
        </w:rPr>
        <w:t>Educational Psychology Review</w:t>
      </w:r>
      <w:r w:rsidRPr="00ED798B">
        <w:rPr>
          <w:lang w:eastAsia="de-DE"/>
        </w:rPr>
        <w:t>, vol. 32, pp. 77–112, 2020, doi: 10.1007/s10648-019-09498-w.</w:t>
      </w:r>
    </w:p>
    <w:p w14:paraId="3A8D0FA3" w14:textId="77777777" w:rsidR="00911C33" w:rsidRPr="00ED798B" w:rsidRDefault="00911C33" w:rsidP="00911C33">
      <w:pPr>
        <w:pStyle w:val="References"/>
        <w:rPr>
          <w:lang w:eastAsia="de-DE"/>
        </w:rPr>
      </w:pPr>
      <w:r w:rsidRPr="00ED798B">
        <w:rPr>
          <w:lang w:eastAsia="de-DE"/>
        </w:rPr>
        <w:t xml:space="preserve">[10] S. Schneider, T. Zelger, D. Sengl, and J. Baptista, “A quantitative positive energy district definition with contextual targets,” </w:t>
      </w:r>
      <w:r w:rsidRPr="00ED798B">
        <w:rPr>
          <w:i/>
          <w:iCs/>
          <w:lang w:eastAsia="de-DE"/>
        </w:rPr>
        <w:t>Buildings</w:t>
      </w:r>
      <w:r w:rsidRPr="00ED798B">
        <w:rPr>
          <w:lang w:eastAsia="de-DE"/>
        </w:rPr>
        <w:t>, vol. 13, no. 5, Art. no. 1210, 2023, doi: 10.3390/buildings13051210.</w:t>
      </w:r>
    </w:p>
    <w:p w14:paraId="509DC4EB" w14:textId="77777777" w:rsidR="00911C33" w:rsidRPr="00ED798B" w:rsidRDefault="00911C33" w:rsidP="00911C33">
      <w:pPr>
        <w:pStyle w:val="References"/>
        <w:rPr>
          <w:lang w:eastAsia="de-DE"/>
        </w:rPr>
      </w:pPr>
      <w:r w:rsidRPr="00ED798B">
        <w:rPr>
          <w:lang w:eastAsia="de-DE"/>
        </w:rPr>
        <w:t>[11] [ADD SOURCE FOR AUSTRIAN BUILDING RENOVATION / KLIMAAKTIV MEASURE CATALOGUE.]</w:t>
      </w:r>
    </w:p>
    <w:p w14:paraId="4F984A01" w14:textId="77777777" w:rsidR="00911C33" w:rsidRPr="00ED798B" w:rsidRDefault="00911C33" w:rsidP="00911C33">
      <w:pPr>
        <w:pStyle w:val="References"/>
        <w:rPr>
          <w:lang w:eastAsia="de-DE"/>
        </w:rPr>
      </w:pPr>
      <w:r w:rsidRPr="00ED798B">
        <w:rPr>
          <w:lang w:eastAsia="de-DE"/>
        </w:rPr>
        <w:t>[12] [ADD SOURCE FOR ENERGY PRICES USED IN THE GAME.]</w:t>
      </w:r>
    </w:p>
    <w:p w14:paraId="205BF204" w14:textId="77777777" w:rsidR="00911C33" w:rsidRPr="00ED798B" w:rsidRDefault="00911C33" w:rsidP="00911C33">
      <w:pPr>
        <w:pStyle w:val="References"/>
        <w:rPr>
          <w:lang w:eastAsia="de-DE"/>
        </w:rPr>
      </w:pPr>
      <w:r w:rsidRPr="00ED798B">
        <w:rPr>
          <w:lang w:eastAsia="de-DE"/>
        </w:rPr>
        <w:t>[13] [ADD SOURCE FOR HEATING-SYSTEM GHG FACTORS.]</w:t>
      </w:r>
    </w:p>
    <w:p w14:paraId="02603B47" w14:textId="77777777" w:rsidR="00911C33" w:rsidRPr="00ED798B" w:rsidRDefault="00911C33" w:rsidP="00911C33">
      <w:pPr>
        <w:pStyle w:val="References"/>
        <w:rPr>
          <w:lang w:eastAsia="de-DE"/>
        </w:rPr>
      </w:pPr>
      <w:r w:rsidRPr="00ED798B">
        <w:rPr>
          <w:lang w:eastAsia="de-DE"/>
        </w:rPr>
        <w:t>[14] [ADD SOURCE FOR THE ELECTRICITY DECARBONIZATION PATHWAY IF DIFFERENT FROM REF. 6.]</w:t>
      </w:r>
    </w:p>
    <w:p w14:paraId="40CED2A2" w14:textId="77777777" w:rsidR="00911C33" w:rsidRPr="00ED798B" w:rsidRDefault="00911C33" w:rsidP="00911C33">
      <w:pPr>
        <w:pStyle w:val="References"/>
        <w:rPr>
          <w:lang w:eastAsia="de-DE"/>
        </w:rPr>
      </w:pPr>
      <w:r w:rsidRPr="00ED798B">
        <w:rPr>
          <w:lang w:eastAsia="de-DE"/>
        </w:rPr>
        <w:t>[15] [ADD SOURCE FOR EMBODIED-EMISSION VALUES USED FOR INDIVIDUAL CARDS.]</w:t>
      </w:r>
    </w:p>
    <w:p w14:paraId="07C7F889" w14:textId="77777777" w:rsidR="008C65AD" w:rsidRPr="007A6D92" w:rsidRDefault="008C65AD" w:rsidP="008C65AD">
      <w:pPr>
        <w:rPr>
          <w:lang w:val="en-US"/>
        </w:rPr>
      </w:pPr>
    </w:p>
    <w:p w14:paraId="7BE3DA26" w14:textId="4E90AF9A" w:rsidR="006A62A8" w:rsidRDefault="006A62A8">
      <w:pPr>
        <w:spacing w:line="240" w:lineRule="auto"/>
        <w:rPr>
          <w:rFonts w:ascii="Times New Roman" w:hAnsi="Times New Roman"/>
          <w:sz w:val="20"/>
          <w:szCs w:val="18"/>
          <w:lang w:val="en-US"/>
        </w:rPr>
      </w:pPr>
      <w:r>
        <w:br w:type="page"/>
      </w:r>
    </w:p>
    <w:p w14:paraId="1FAD856F" w14:textId="61855987" w:rsidR="008C65AD" w:rsidRDefault="006A62A8" w:rsidP="006A62A8">
      <w:pPr>
        <w:pStyle w:val="berschrift1"/>
      </w:pPr>
      <w:r>
        <w:lastRenderedPageBreak/>
        <w:t>Data Supplement</w:t>
      </w:r>
    </w:p>
    <w:p w14:paraId="1FC56744" w14:textId="5A7E711B" w:rsidR="006A62A8" w:rsidRDefault="006A62A8" w:rsidP="006A62A8">
      <w:pPr>
        <w:pStyle w:val="Tablecaption"/>
      </w:pPr>
      <w:r>
        <w:t>Supplementary Table S1. Complete card definitions and game-state effects.</w:t>
      </w:r>
    </w:p>
    <w:p w14:paraId="0CB19268" w14:textId="77777777" w:rsidR="00917433" w:rsidRDefault="00917433" w:rsidP="00917433">
      <w:pPr>
        <w:pStyle w:val="Articlenormaltext"/>
      </w:pPr>
    </w:p>
    <w:p w14:paraId="134A6192" w14:textId="77777777" w:rsidR="00917433" w:rsidRDefault="00917433" w:rsidP="00917433">
      <w:pPr>
        <w:pStyle w:val="Tablecaption"/>
      </w:pPr>
      <w:r>
        <w:t>Discrete state tracks and their downstream effects</w:t>
      </w:r>
    </w:p>
    <w:tbl>
      <w:tblPr>
        <w:tblStyle w:val="EinfacheTabelle2"/>
        <w:tblW w:w="0" w:type="auto"/>
        <w:tblLook w:val="04A0" w:firstRow="1" w:lastRow="0" w:firstColumn="1" w:lastColumn="0" w:noHBand="0" w:noVBand="1"/>
      </w:tblPr>
      <w:tblGrid>
        <w:gridCol w:w="2169"/>
        <w:gridCol w:w="956"/>
        <w:gridCol w:w="902"/>
        <w:gridCol w:w="3075"/>
        <w:gridCol w:w="1546"/>
      </w:tblGrid>
      <w:tr w:rsidR="00917433" w:rsidRPr="001411A8" w14:paraId="1F85E703" w14:textId="77777777" w:rsidTr="00B81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DE3F3" w14:textId="77777777" w:rsidR="00917433" w:rsidRPr="001411A8" w:rsidRDefault="00917433" w:rsidP="00B810B2">
            <w:pPr>
              <w:pStyle w:val="TableText"/>
              <w:rPr>
                <w:lang w:eastAsia="de-DE"/>
              </w:rPr>
            </w:pPr>
            <w:r w:rsidRPr="001411A8">
              <w:rPr>
                <w:lang w:eastAsia="de-DE"/>
              </w:rPr>
              <w:t>State</w:t>
            </w:r>
          </w:p>
        </w:tc>
        <w:tc>
          <w:tcPr>
            <w:tcW w:w="0" w:type="auto"/>
            <w:hideMark/>
          </w:tcPr>
          <w:p w14:paraId="096EA6D1"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Level range</w:t>
            </w:r>
          </w:p>
        </w:tc>
        <w:tc>
          <w:tcPr>
            <w:tcW w:w="0" w:type="auto"/>
            <w:hideMark/>
          </w:tcPr>
          <w:p w14:paraId="7502429D"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Initial level</w:t>
            </w:r>
          </w:p>
        </w:tc>
        <w:tc>
          <w:tcPr>
            <w:tcW w:w="0" w:type="auto"/>
            <w:hideMark/>
          </w:tcPr>
          <w:p w14:paraId="72C2850E"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Lookup contribution at levels 0–9</w:t>
            </w:r>
          </w:p>
        </w:tc>
        <w:tc>
          <w:tcPr>
            <w:tcW w:w="0" w:type="auto"/>
            <w:hideMark/>
          </w:tcPr>
          <w:p w14:paraId="2B776C63"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Affects</w:t>
            </w:r>
          </w:p>
        </w:tc>
      </w:tr>
      <w:tr w:rsidR="00917433" w:rsidRPr="001411A8" w14:paraId="77A0B5AD"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17C8" w14:textId="77777777" w:rsidR="00917433" w:rsidRPr="001411A8" w:rsidRDefault="00917433" w:rsidP="00B810B2">
            <w:pPr>
              <w:pStyle w:val="TableText"/>
              <w:rPr>
                <w:lang w:eastAsia="de-DE"/>
              </w:rPr>
            </w:pPr>
            <w:r w:rsidRPr="001411A8">
              <w:rPr>
                <w:lang w:eastAsia="de-DE"/>
              </w:rPr>
              <w:t>Construction-related emissions</w:t>
            </w:r>
          </w:p>
        </w:tc>
        <w:tc>
          <w:tcPr>
            <w:tcW w:w="0" w:type="auto"/>
            <w:hideMark/>
          </w:tcPr>
          <w:p w14:paraId="58294E9D"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0–9</w:t>
            </w:r>
          </w:p>
        </w:tc>
        <w:tc>
          <w:tcPr>
            <w:tcW w:w="0" w:type="auto"/>
            <w:hideMark/>
          </w:tcPr>
          <w:p w14:paraId="43B9B9B9"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9</w:t>
            </w:r>
          </w:p>
        </w:tc>
        <w:tc>
          <w:tcPr>
            <w:tcW w:w="0" w:type="auto"/>
            <w:hideMark/>
          </w:tcPr>
          <w:p w14:paraId="4716BC22"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(-45,-40,-35,-30,-25,-20,-15,-10,-5,0) score units</w:t>
            </w:r>
          </w:p>
        </w:tc>
        <w:tc>
          <w:tcPr>
            <w:tcW w:w="0" w:type="auto"/>
            <w:hideMark/>
          </w:tcPr>
          <w:p w14:paraId="4E3C3A98"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cumulative GHG score</w:t>
            </w:r>
          </w:p>
        </w:tc>
      </w:tr>
      <w:tr w:rsidR="00917433" w:rsidRPr="001411A8" w14:paraId="448F21B0"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6B66B398" w14:textId="77777777" w:rsidR="00917433" w:rsidRPr="001411A8" w:rsidRDefault="00917433" w:rsidP="00B810B2">
            <w:pPr>
              <w:pStyle w:val="TableText"/>
              <w:rPr>
                <w:lang w:eastAsia="de-DE"/>
              </w:rPr>
            </w:pPr>
            <w:r w:rsidRPr="001411A8">
              <w:rPr>
                <w:lang w:eastAsia="de-DE"/>
              </w:rPr>
              <w:t>Electricity demand (d)</w:t>
            </w:r>
          </w:p>
        </w:tc>
        <w:tc>
          <w:tcPr>
            <w:tcW w:w="0" w:type="auto"/>
            <w:hideMark/>
          </w:tcPr>
          <w:p w14:paraId="5E04B0E6"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0–9</w:t>
            </w:r>
          </w:p>
        </w:tc>
        <w:tc>
          <w:tcPr>
            <w:tcW w:w="0" w:type="auto"/>
            <w:hideMark/>
          </w:tcPr>
          <w:p w14:paraId="750349EF"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4</w:t>
            </w:r>
          </w:p>
        </w:tc>
        <w:tc>
          <w:tcPr>
            <w:tcW w:w="0" w:type="auto"/>
            <w:hideMark/>
          </w:tcPr>
          <w:p w14:paraId="1A38429F"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(4,5,6,7,8,9,10,11,12,13) grid-import units</w:t>
            </w:r>
          </w:p>
        </w:tc>
        <w:tc>
          <w:tcPr>
            <w:tcW w:w="0" w:type="auto"/>
            <w:hideMark/>
          </w:tcPr>
          <w:p w14:paraId="7B609DB5"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grid electricity import</w:t>
            </w:r>
          </w:p>
        </w:tc>
      </w:tr>
      <w:tr w:rsidR="00917433" w:rsidRPr="001411A8" w14:paraId="204DCF01"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C3D5F" w14:textId="77777777" w:rsidR="00917433" w:rsidRPr="001411A8" w:rsidRDefault="00917433" w:rsidP="00B810B2">
            <w:pPr>
              <w:pStyle w:val="TableText"/>
              <w:rPr>
                <w:lang w:eastAsia="de-DE"/>
              </w:rPr>
            </w:pPr>
            <w:r w:rsidRPr="001411A8">
              <w:rPr>
                <w:lang w:eastAsia="de-DE"/>
              </w:rPr>
              <w:t>Local generation (p)</w:t>
            </w:r>
          </w:p>
        </w:tc>
        <w:tc>
          <w:tcPr>
            <w:tcW w:w="0" w:type="auto"/>
            <w:hideMark/>
          </w:tcPr>
          <w:p w14:paraId="6A9B3695"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0–9</w:t>
            </w:r>
          </w:p>
        </w:tc>
        <w:tc>
          <w:tcPr>
            <w:tcW w:w="0" w:type="auto"/>
            <w:hideMark/>
          </w:tcPr>
          <w:p w14:paraId="5F89E07F"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w:t>
            </w:r>
          </w:p>
        </w:tc>
        <w:tc>
          <w:tcPr>
            <w:tcW w:w="0" w:type="auto"/>
            <w:hideMark/>
          </w:tcPr>
          <w:p w14:paraId="47765755"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(0,0,-1,-1,-2,-2,-3,-3,-4,-4) grid-import units</w:t>
            </w:r>
          </w:p>
        </w:tc>
        <w:tc>
          <w:tcPr>
            <w:tcW w:w="0" w:type="auto"/>
            <w:hideMark/>
          </w:tcPr>
          <w:p w14:paraId="220120A3"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grid electricity import</w:t>
            </w:r>
          </w:p>
        </w:tc>
      </w:tr>
      <w:tr w:rsidR="00917433" w:rsidRPr="001411A8" w14:paraId="7C6B0707"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640B1F45" w14:textId="77777777" w:rsidR="00917433" w:rsidRPr="001411A8" w:rsidRDefault="00917433" w:rsidP="00B810B2">
            <w:pPr>
              <w:pStyle w:val="TableText"/>
              <w:rPr>
                <w:lang w:eastAsia="de-DE"/>
              </w:rPr>
            </w:pPr>
            <w:r w:rsidRPr="001411A8">
              <w:rPr>
                <w:lang w:eastAsia="de-DE"/>
              </w:rPr>
              <w:t>Storage / flexibility (s)</w:t>
            </w:r>
          </w:p>
        </w:tc>
        <w:tc>
          <w:tcPr>
            <w:tcW w:w="0" w:type="auto"/>
            <w:hideMark/>
          </w:tcPr>
          <w:p w14:paraId="19BB85F7"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0–9</w:t>
            </w:r>
          </w:p>
        </w:tc>
        <w:tc>
          <w:tcPr>
            <w:tcW w:w="0" w:type="auto"/>
            <w:hideMark/>
          </w:tcPr>
          <w:p w14:paraId="4A0F1DC9"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w:t>
            </w:r>
          </w:p>
        </w:tc>
        <w:tc>
          <w:tcPr>
            <w:tcW w:w="0" w:type="auto"/>
            <w:hideMark/>
          </w:tcPr>
          <w:p w14:paraId="40F685AE"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(0,-1,-2,-3,-4,-5,-6,-7,-8,-9) grid-import units</w:t>
            </w:r>
          </w:p>
        </w:tc>
        <w:tc>
          <w:tcPr>
            <w:tcW w:w="0" w:type="auto"/>
            <w:hideMark/>
          </w:tcPr>
          <w:p w14:paraId="4C733FFF"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grid electricity import</w:t>
            </w:r>
          </w:p>
        </w:tc>
      </w:tr>
      <w:tr w:rsidR="00917433" w:rsidRPr="001411A8" w14:paraId="4DCF829F"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99F3D" w14:textId="77777777" w:rsidR="00917433" w:rsidRPr="001411A8" w:rsidRDefault="00917433" w:rsidP="00B810B2">
            <w:pPr>
              <w:pStyle w:val="TableText"/>
              <w:rPr>
                <w:lang w:eastAsia="de-DE"/>
              </w:rPr>
            </w:pPr>
            <w:r w:rsidRPr="001411A8">
              <w:rPr>
                <w:lang w:eastAsia="de-DE"/>
              </w:rPr>
              <w:t>User satisfaction</w:t>
            </w:r>
          </w:p>
        </w:tc>
        <w:tc>
          <w:tcPr>
            <w:tcW w:w="0" w:type="auto"/>
            <w:hideMark/>
          </w:tcPr>
          <w:p w14:paraId="735EBF33"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0–9</w:t>
            </w:r>
          </w:p>
        </w:tc>
        <w:tc>
          <w:tcPr>
            <w:tcW w:w="0" w:type="auto"/>
            <w:hideMark/>
          </w:tcPr>
          <w:p w14:paraId="14D9F1C7"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3</w:t>
            </w:r>
          </w:p>
        </w:tc>
        <w:tc>
          <w:tcPr>
            <w:tcW w:w="0" w:type="auto"/>
            <w:hideMark/>
          </w:tcPr>
          <w:p w14:paraId="081D28A7"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(2,3,3,4,4,5,5,6,6,7) budget units</w:t>
            </w:r>
          </w:p>
        </w:tc>
        <w:tc>
          <w:tcPr>
            <w:tcW w:w="0" w:type="auto"/>
            <w:hideMark/>
          </w:tcPr>
          <w:p w14:paraId="61AD3B79"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financial resources</w:t>
            </w:r>
          </w:p>
        </w:tc>
      </w:tr>
    </w:tbl>
    <w:p w14:paraId="1BB00113" w14:textId="77777777" w:rsidR="00917433" w:rsidRDefault="00917433" w:rsidP="00917433">
      <w:pPr>
        <w:pStyle w:val="Articlenormaltext"/>
        <w:rPr>
          <w:lang w:eastAsia="de-DE"/>
        </w:rPr>
      </w:pPr>
    </w:p>
    <w:p w14:paraId="4A25FA9C" w14:textId="77777777" w:rsidR="00917433" w:rsidRDefault="00917433" w:rsidP="00917433">
      <w:pPr>
        <w:pStyle w:val="Tablecaption"/>
        <w:rPr>
          <w:lang w:eastAsia="de-DE"/>
        </w:rPr>
      </w:pPr>
      <w:r>
        <w:t>Heat-pump efficiency levels</w:t>
      </w:r>
    </w:p>
    <w:tbl>
      <w:tblPr>
        <w:tblStyle w:val="EinfacheTabelle2"/>
        <w:tblW w:w="0" w:type="auto"/>
        <w:tblLook w:val="04A0" w:firstRow="1" w:lastRow="0" w:firstColumn="1" w:lastColumn="0" w:noHBand="0" w:noVBand="1"/>
      </w:tblPr>
      <w:tblGrid>
        <w:gridCol w:w="1613"/>
        <w:gridCol w:w="1968"/>
      </w:tblGrid>
      <w:tr w:rsidR="00917433" w:rsidRPr="001411A8" w14:paraId="44C1A122" w14:textId="77777777" w:rsidTr="00B81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C222B" w14:textId="77777777" w:rsidR="00917433" w:rsidRPr="001411A8" w:rsidRDefault="00917433" w:rsidP="00B810B2">
            <w:pPr>
              <w:pStyle w:val="TableText"/>
              <w:jc w:val="center"/>
              <w:rPr>
                <w:lang w:eastAsia="de-DE"/>
              </w:rPr>
            </w:pPr>
            <w:r w:rsidRPr="001411A8">
              <w:rPr>
                <w:lang w:eastAsia="de-DE"/>
              </w:rPr>
              <w:t>Efficiency level (e)</w:t>
            </w:r>
          </w:p>
        </w:tc>
        <w:tc>
          <w:tcPr>
            <w:tcW w:w="0" w:type="auto"/>
            <w:hideMark/>
          </w:tcPr>
          <w:p w14:paraId="228789E3" w14:textId="77777777" w:rsidR="00917433" w:rsidRPr="001411A8" w:rsidRDefault="00917433" w:rsidP="00B810B2">
            <w:pPr>
              <w:pStyle w:val="TableText"/>
              <w:jc w:val="center"/>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COP used in the model</w:t>
            </w:r>
          </w:p>
        </w:tc>
      </w:tr>
      <w:tr w:rsidR="00917433" w:rsidRPr="001411A8" w14:paraId="572F463E"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F5CC2" w14:textId="77777777" w:rsidR="00917433" w:rsidRPr="001411A8" w:rsidRDefault="00917433" w:rsidP="00B810B2">
            <w:pPr>
              <w:pStyle w:val="TableText"/>
              <w:jc w:val="center"/>
              <w:rPr>
                <w:lang w:eastAsia="de-DE"/>
              </w:rPr>
            </w:pPr>
            <w:r w:rsidRPr="001411A8">
              <w:rPr>
                <w:lang w:eastAsia="de-DE"/>
              </w:rPr>
              <w:t>1</w:t>
            </w:r>
          </w:p>
        </w:tc>
        <w:tc>
          <w:tcPr>
            <w:tcW w:w="0" w:type="auto"/>
            <w:hideMark/>
          </w:tcPr>
          <w:p w14:paraId="26A65C4A" w14:textId="77777777" w:rsidR="00917433" w:rsidRPr="001411A8" w:rsidRDefault="00917433" w:rsidP="00B810B2">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2.00</w:t>
            </w:r>
          </w:p>
        </w:tc>
      </w:tr>
      <w:tr w:rsidR="00917433" w:rsidRPr="001411A8" w14:paraId="45979662"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4BA69DAD" w14:textId="77777777" w:rsidR="00917433" w:rsidRPr="001411A8" w:rsidRDefault="00917433" w:rsidP="00B810B2">
            <w:pPr>
              <w:pStyle w:val="TableText"/>
              <w:jc w:val="center"/>
              <w:rPr>
                <w:lang w:eastAsia="de-DE"/>
              </w:rPr>
            </w:pPr>
            <w:r w:rsidRPr="001411A8">
              <w:rPr>
                <w:lang w:eastAsia="de-DE"/>
              </w:rPr>
              <w:t>2</w:t>
            </w:r>
          </w:p>
        </w:tc>
        <w:tc>
          <w:tcPr>
            <w:tcW w:w="0" w:type="auto"/>
            <w:hideMark/>
          </w:tcPr>
          <w:p w14:paraId="51FBD7EE" w14:textId="77777777" w:rsidR="00917433" w:rsidRPr="001411A8" w:rsidRDefault="00917433" w:rsidP="00B810B2">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2.50</w:t>
            </w:r>
          </w:p>
        </w:tc>
      </w:tr>
      <w:tr w:rsidR="00917433" w:rsidRPr="001411A8" w14:paraId="069537FB"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10E08" w14:textId="77777777" w:rsidR="00917433" w:rsidRPr="001411A8" w:rsidRDefault="00917433" w:rsidP="00B810B2">
            <w:pPr>
              <w:pStyle w:val="TableText"/>
              <w:jc w:val="center"/>
              <w:rPr>
                <w:lang w:eastAsia="de-DE"/>
              </w:rPr>
            </w:pPr>
            <w:r w:rsidRPr="001411A8">
              <w:rPr>
                <w:lang w:eastAsia="de-DE"/>
              </w:rPr>
              <w:t>3</w:t>
            </w:r>
          </w:p>
        </w:tc>
        <w:tc>
          <w:tcPr>
            <w:tcW w:w="0" w:type="auto"/>
            <w:hideMark/>
          </w:tcPr>
          <w:p w14:paraId="03344059" w14:textId="77777777" w:rsidR="00917433" w:rsidRPr="001411A8" w:rsidRDefault="00917433" w:rsidP="00B810B2">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3.33</w:t>
            </w:r>
          </w:p>
        </w:tc>
      </w:tr>
      <w:tr w:rsidR="00917433" w:rsidRPr="001411A8" w14:paraId="14DDF0B6"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25913AA8" w14:textId="77777777" w:rsidR="00917433" w:rsidRPr="001411A8" w:rsidRDefault="00917433" w:rsidP="00B810B2">
            <w:pPr>
              <w:pStyle w:val="TableText"/>
              <w:jc w:val="center"/>
              <w:rPr>
                <w:lang w:eastAsia="de-DE"/>
              </w:rPr>
            </w:pPr>
            <w:r w:rsidRPr="001411A8">
              <w:rPr>
                <w:lang w:eastAsia="de-DE"/>
              </w:rPr>
              <w:t>4</w:t>
            </w:r>
          </w:p>
        </w:tc>
        <w:tc>
          <w:tcPr>
            <w:tcW w:w="0" w:type="auto"/>
            <w:hideMark/>
          </w:tcPr>
          <w:p w14:paraId="4F83F86B" w14:textId="77777777" w:rsidR="00917433" w:rsidRPr="001411A8" w:rsidRDefault="00917433" w:rsidP="00B810B2">
            <w:pPr>
              <w:pStyle w:val="TableText"/>
              <w:jc w:val="center"/>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4.55</w:t>
            </w:r>
          </w:p>
        </w:tc>
      </w:tr>
      <w:tr w:rsidR="00917433" w:rsidRPr="001411A8" w14:paraId="26F44924"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82B05" w14:textId="77777777" w:rsidR="00917433" w:rsidRPr="001411A8" w:rsidRDefault="00917433" w:rsidP="00B810B2">
            <w:pPr>
              <w:pStyle w:val="TableText"/>
              <w:jc w:val="center"/>
              <w:rPr>
                <w:lang w:eastAsia="de-DE"/>
              </w:rPr>
            </w:pPr>
            <w:r w:rsidRPr="001411A8">
              <w:rPr>
                <w:lang w:eastAsia="de-DE"/>
              </w:rPr>
              <w:t>5</w:t>
            </w:r>
          </w:p>
        </w:tc>
        <w:tc>
          <w:tcPr>
            <w:tcW w:w="0" w:type="auto"/>
            <w:hideMark/>
          </w:tcPr>
          <w:p w14:paraId="34471B6F" w14:textId="77777777" w:rsidR="00917433" w:rsidRPr="001411A8" w:rsidRDefault="00917433" w:rsidP="00B810B2">
            <w:pPr>
              <w:pStyle w:val="TableText"/>
              <w:jc w:val="center"/>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6.66</w:t>
            </w:r>
          </w:p>
        </w:tc>
      </w:tr>
    </w:tbl>
    <w:p w14:paraId="330F142C" w14:textId="77777777" w:rsidR="00917433" w:rsidRDefault="00917433" w:rsidP="00917433">
      <w:pPr>
        <w:pStyle w:val="Articlenormaltext"/>
        <w:rPr>
          <w:lang w:eastAsia="de-DE"/>
        </w:rPr>
      </w:pPr>
    </w:p>
    <w:p w14:paraId="6485BA3E" w14:textId="77777777" w:rsidR="00917433" w:rsidRDefault="00917433" w:rsidP="00917433">
      <w:pPr>
        <w:pStyle w:val="Tablecaption"/>
        <w:rPr>
          <w:lang w:eastAsia="de-DE"/>
        </w:rPr>
      </w:pPr>
      <w:r>
        <w:rPr>
          <w:lang w:eastAsia="de-DE"/>
        </w:rPr>
        <w:t xml:space="preserve"> </w:t>
      </w:r>
      <w:r w:rsidRPr="001411A8">
        <w:rPr>
          <w:lang w:eastAsia="de-DE"/>
        </w:rPr>
        <w:t>Energy-carrier parameters used for operational heating</w:t>
      </w:r>
    </w:p>
    <w:tbl>
      <w:tblPr>
        <w:tblStyle w:val="EinfacheTabelle2"/>
        <w:tblW w:w="0" w:type="auto"/>
        <w:tblLook w:val="04A0" w:firstRow="1" w:lastRow="0" w:firstColumn="1" w:lastColumn="0" w:noHBand="0" w:noVBand="1"/>
      </w:tblPr>
      <w:tblGrid>
        <w:gridCol w:w="1706"/>
        <w:gridCol w:w="2009"/>
        <w:gridCol w:w="1459"/>
        <w:gridCol w:w="3474"/>
      </w:tblGrid>
      <w:tr w:rsidR="00917433" w:rsidRPr="001411A8" w14:paraId="76A7A8D2" w14:textId="77777777" w:rsidTr="00B81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6C9B1" w14:textId="77777777" w:rsidR="00917433" w:rsidRPr="001411A8" w:rsidRDefault="00917433" w:rsidP="00B810B2">
            <w:pPr>
              <w:pStyle w:val="TableText"/>
              <w:rPr>
                <w:lang w:eastAsia="de-DE"/>
              </w:rPr>
            </w:pPr>
            <w:r w:rsidRPr="001411A8">
              <w:rPr>
                <w:lang w:eastAsia="de-DE"/>
              </w:rPr>
              <w:t>Heat-generation system</w:t>
            </w:r>
          </w:p>
        </w:tc>
        <w:tc>
          <w:tcPr>
            <w:tcW w:w="0" w:type="auto"/>
            <w:hideMark/>
          </w:tcPr>
          <w:p w14:paraId="2BB47E18"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 xml:space="preserve">Heating emission factor </w:t>
            </w:r>
            <m:oMath>
              <m:d>
                <m:dPr>
                  <m:ctrlPr>
                    <w:rPr>
                      <w:rFonts w:ascii="Cambria Math" w:hAnsi="Cambria Math"/>
                    </w:rPr>
                  </m:ctrlPr>
                </m:dPr>
                <m:e>
                  <m:r>
                    <m:rPr>
                      <m:sty m:val="bi"/>
                    </m:rPr>
                    <w:rPr>
                      <w:rFonts w:ascii="Cambria Math" w:hAnsi="Cambria Math"/>
                    </w:rPr>
                    <m:t>E</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H</m:t>
                      </m:r>
                    </m:sub>
                  </m:sSub>
                </m:e>
              </m:d>
            </m:oMath>
          </w:p>
        </w:tc>
        <w:tc>
          <w:tcPr>
            <w:tcW w:w="0" w:type="auto"/>
            <w:hideMark/>
          </w:tcPr>
          <w:p w14:paraId="46561CAF"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 xml:space="preserve">Energy price </w:t>
            </w:r>
            <m:oMath>
              <m:d>
                <m:dPr>
                  <m:ctrlPr>
                    <w:rPr>
                      <w:rFonts w:ascii="Cambria Math" w:hAnsi="Cambria Math"/>
                    </w:rPr>
                  </m:ctrlPr>
                </m:dPr>
                <m:e>
                  <m:sSub>
                    <m:sSubPr>
                      <m:ctrlPr>
                        <w:rPr>
                          <w:rFonts w:ascii="Cambria Math" w:hAnsi="Cambria Math"/>
                        </w:rPr>
                      </m:ctrlPr>
                    </m:sSubPr>
                    <m:e>
                      <m:r>
                        <m:rPr>
                          <m:sty m:val="bi"/>
                        </m:rPr>
                        <w:rPr>
                          <w:rFonts w:ascii="Cambria Math" w:hAnsi="Cambria Math"/>
                        </w:rPr>
                        <m:t>c</m:t>
                      </m:r>
                    </m:e>
                    <m:sub>
                      <m:r>
                        <m:rPr>
                          <m:sty m:val="bi"/>
                        </m:rPr>
                        <w:rPr>
                          <w:rFonts w:ascii="Cambria Math" w:hAnsi="Cambria Math"/>
                        </w:rPr>
                        <m:t>H</m:t>
                      </m:r>
                    </m:sub>
                  </m:sSub>
                </m:e>
              </m:d>
            </m:oMath>
          </w:p>
        </w:tc>
        <w:tc>
          <w:tcPr>
            <w:tcW w:w="0" w:type="auto"/>
            <w:hideMark/>
          </w:tcPr>
          <w:p w14:paraId="709747BA" w14:textId="77777777" w:rsidR="00917433" w:rsidRPr="001411A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1411A8">
              <w:rPr>
                <w:lang w:eastAsia="de-DE"/>
              </w:rPr>
              <w:t>Representation in the game</w:t>
            </w:r>
          </w:p>
        </w:tc>
      </w:tr>
      <w:tr w:rsidR="00917433" w:rsidRPr="001411A8" w14:paraId="601CD250"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830B" w14:textId="77777777" w:rsidR="00917433" w:rsidRPr="001411A8" w:rsidRDefault="00917433" w:rsidP="00B810B2">
            <w:pPr>
              <w:pStyle w:val="TableText"/>
              <w:rPr>
                <w:lang w:eastAsia="de-DE"/>
              </w:rPr>
            </w:pPr>
            <w:r w:rsidRPr="001411A8">
              <w:rPr>
                <w:lang w:eastAsia="de-DE"/>
              </w:rPr>
              <w:t>Natural gas</w:t>
            </w:r>
          </w:p>
        </w:tc>
        <w:tc>
          <w:tcPr>
            <w:tcW w:w="0" w:type="auto"/>
            <w:hideMark/>
          </w:tcPr>
          <w:p w14:paraId="5D23EF1F"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0.20 kg CO</w:t>
            </w:r>
            <w:r w:rsidRPr="001411A8">
              <w:rPr>
                <w:rFonts w:ascii="Cambria Math" w:hAnsi="Cambria Math" w:cs="Cambria Math"/>
                <w:lang w:eastAsia="de-DE"/>
              </w:rPr>
              <w:t>₂</w:t>
            </w:r>
            <w:r w:rsidRPr="001411A8">
              <w:rPr>
                <w:lang w:eastAsia="de-DE"/>
              </w:rPr>
              <w:t>e/kWh</w:t>
            </w:r>
          </w:p>
        </w:tc>
        <w:tc>
          <w:tcPr>
            <w:tcW w:w="0" w:type="auto"/>
            <w:hideMark/>
          </w:tcPr>
          <w:p w14:paraId="469965F5"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0.10 €/kWh</w:t>
            </w:r>
          </w:p>
        </w:tc>
        <w:tc>
          <w:tcPr>
            <w:tcW w:w="0" w:type="auto"/>
            <w:hideMark/>
          </w:tcPr>
          <w:p w14:paraId="05E93EDA"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Direct heating emissions</w:t>
            </w:r>
          </w:p>
        </w:tc>
      </w:tr>
      <w:tr w:rsidR="00917433" w:rsidRPr="001411A8" w14:paraId="5F13F029"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4CBD2BD7" w14:textId="77777777" w:rsidR="00917433" w:rsidRPr="001411A8" w:rsidRDefault="00917433" w:rsidP="00B810B2">
            <w:pPr>
              <w:pStyle w:val="TableText"/>
              <w:rPr>
                <w:lang w:eastAsia="de-DE"/>
              </w:rPr>
            </w:pPr>
            <w:r w:rsidRPr="001411A8">
              <w:rPr>
                <w:lang w:eastAsia="de-DE"/>
              </w:rPr>
              <w:t>Biomass</w:t>
            </w:r>
          </w:p>
        </w:tc>
        <w:tc>
          <w:tcPr>
            <w:tcW w:w="0" w:type="auto"/>
            <w:hideMark/>
          </w:tcPr>
          <w:p w14:paraId="1047BCB6"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0.05 kg CO</w:t>
            </w:r>
            <w:r w:rsidRPr="001411A8">
              <w:rPr>
                <w:rFonts w:ascii="Cambria Math" w:hAnsi="Cambria Math" w:cs="Cambria Math"/>
                <w:lang w:eastAsia="de-DE"/>
              </w:rPr>
              <w:t>₂</w:t>
            </w:r>
            <w:r w:rsidRPr="001411A8">
              <w:rPr>
                <w:lang w:eastAsia="de-DE"/>
              </w:rPr>
              <w:t>e/kWh</w:t>
            </w:r>
          </w:p>
        </w:tc>
        <w:tc>
          <w:tcPr>
            <w:tcW w:w="0" w:type="auto"/>
            <w:hideMark/>
          </w:tcPr>
          <w:p w14:paraId="2B1F5149"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0.08 €/kWh</w:t>
            </w:r>
          </w:p>
        </w:tc>
        <w:tc>
          <w:tcPr>
            <w:tcW w:w="0" w:type="auto"/>
            <w:hideMark/>
          </w:tcPr>
          <w:p w14:paraId="6B7E15B7"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Direct heating emissions</w:t>
            </w:r>
          </w:p>
        </w:tc>
      </w:tr>
      <w:tr w:rsidR="00917433" w:rsidRPr="001411A8" w14:paraId="7229023F"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13747" w14:textId="77777777" w:rsidR="00917433" w:rsidRPr="001411A8" w:rsidRDefault="00917433" w:rsidP="00B810B2">
            <w:pPr>
              <w:pStyle w:val="TableText"/>
              <w:rPr>
                <w:lang w:eastAsia="de-DE"/>
              </w:rPr>
            </w:pPr>
            <w:r w:rsidRPr="001411A8">
              <w:rPr>
                <w:lang w:eastAsia="de-DE"/>
              </w:rPr>
              <w:t>District heating</w:t>
            </w:r>
          </w:p>
        </w:tc>
        <w:tc>
          <w:tcPr>
            <w:tcW w:w="0" w:type="auto"/>
            <w:hideMark/>
          </w:tcPr>
          <w:p w14:paraId="32E2653A"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0.05 kg CO</w:t>
            </w:r>
            <w:r w:rsidRPr="001411A8">
              <w:rPr>
                <w:rFonts w:ascii="Cambria Math" w:hAnsi="Cambria Math" w:cs="Cambria Math"/>
                <w:lang w:eastAsia="de-DE"/>
              </w:rPr>
              <w:t>₂</w:t>
            </w:r>
            <w:r w:rsidRPr="001411A8">
              <w:rPr>
                <w:lang w:eastAsia="de-DE"/>
              </w:rPr>
              <w:t>e/kWh</w:t>
            </w:r>
          </w:p>
        </w:tc>
        <w:tc>
          <w:tcPr>
            <w:tcW w:w="0" w:type="auto"/>
            <w:hideMark/>
          </w:tcPr>
          <w:p w14:paraId="32523205"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0.20 €/kWh</w:t>
            </w:r>
          </w:p>
        </w:tc>
        <w:tc>
          <w:tcPr>
            <w:tcW w:w="0" w:type="auto"/>
            <w:hideMark/>
          </w:tcPr>
          <w:p w14:paraId="1655BC64"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Direct heating emissions</w:t>
            </w:r>
          </w:p>
        </w:tc>
      </w:tr>
      <w:tr w:rsidR="00917433" w:rsidRPr="001411A8" w14:paraId="6C96D4AB"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2A481463" w14:textId="77777777" w:rsidR="00917433" w:rsidRPr="001411A8" w:rsidRDefault="00917433" w:rsidP="00B810B2">
            <w:pPr>
              <w:pStyle w:val="TableText"/>
              <w:rPr>
                <w:lang w:eastAsia="de-DE"/>
              </w:rPr>
            </w:pPr>
            <w:r w:rsidRPr="001411A8">
              <w:rPr>
                <w:lang w:eastAsia="de-DE"/>
              </w:rPr>
              <w:t>Green gas</w:t>
            </w:r>
          </w:p>
        </w:tc>
        <w:tc>
          <w:tcPr>
            <w:tcW w:w="0" w:type="auto"/>
            <w:hideMark/>
          </w:tcPr>
          <w:p w14:paraId="2A42EA37"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0.00 kg CO</w:t>
            </w:r>
            <w:r w:rsidRPr="001411A8">
              <w:rPr>
                <w:rFonts w:ascii="Cambria Math" w:hAnsi="Cambria Math" w:cs="Cambria Math"/>
                <w:lang w:eastAsia="de-DE"/>
              </w:rPr>
              <w:t>₂</w:t>
            </w:r>
            <w:r w:rsidRPr="001411A8">
              <w:rPr>
                <w:lang w:eastAsia="de-DE"/>
              </w:rPr>
              <w:t>e/kWh</w:t>
            </w:r>
          </w:p>
        </w:tc>
        <w:tc>
          <w:tcPr>
            <w:tcW w:w="0" w:type="auto"/>
            <w:hideMark/>
          </w:tcPr>
          <w:p w14:paraId="6420080F"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0.50 €/kWh</w:t>
            </w:r>
          </w:p>
        </w:tc>
        <w:tc>
          <w:tcPr>
            <w:tcW w:w="0" w:type="auto"/>
            <w:hideMark/>
          </w:tcPr>
          <w:p w14:paraId="3BE21D9D" w14:textId="77777777" w:rsidR="00917433" w:rsidRPr="001411A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1411A8">
              <w:rPr>
                <w:lang w:eastAsia="de-DE"/>
              </w:rPr>
              <w:t>No direct operational GHG emissions in the current scenario</w:t>
            </w:r>
          </w:p>
        </w:tc>
      </w:tr>
      <w:tr w:rsidR="00917433" w:rsidRPr="001411A8" w14:paraId="779C9CE5"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98CA5" w14:textId="77777777" w:rsidR="00917433" w:rsidRPr="001411A8" w:rsidRDefault="00917433" w:rsidP="00B810B2">
            <w:pPr>
              <w:pStyle w:val="TableText"/>
              <w:rPr>
                <w:lang w:eastAsia="de-DE"/>
              </w:rPr>
            </w:pPr>
            <w:r w:rsidRPr="001411A8">
              <w:rPr>
                <w:lang w:eastAsia="de-DE"/>
              </w:rPr>
              <w:t>Heat pump</w:t>
            </w:r>
          </w:p>
        </w:tc>
        <w:tc>
          <w:tcPr>
            <w:tcW w:w="0" w:type="auto"/>
            <w:hideMark/>
          </w:tcPr>
          <w:p w14:paraId="79457EC3"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via electricity balance</w:t>
            </w:r>
          </w:p>
        </w:tc>
        <w:tc>
          <w:tcPr>
            <w:tcW w:w="0" w:type="auto"/>
            <w:hideMark/>
          </w:tcPr>
          <w:p w14:paraId="7A1D0389"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0.15 €/kWh electricity</w:t>
            </w:r>
          </w:p>
        </w:tc>
        <w:tc>
          <w:tcPr>
            <w:tcW w:w="0" w:type="auto"/>
            <w:hideMark/>
          </w:tcPr>
          <w:p w14:paraId="461D92FC" w14:textId="77777777" w:rsidR="00917433" w:rsidRPr="001411A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1411A8">
              <w:rPr>
                <w:lang w:eastAsia="de-DE"/>
              </w:rPr>
              <w:t>Heat demand converted to electricity through COP</w:t>
            </w:r>
          </w:p>
        </w:tc>
      </w:tr>
    </w:tbl>
    <w:p w14:paraId="227F7C62" w14:textId="77777777" w:rsidR="00917433" w:rsidRDefault="00917433" w:rsidP="00917433">
      <w:pPr>
        <w:pStyle w:val="Articlenormaltext"/>
      </w:pPr>
    </w:p>
    <w:p w14:paraId="0FD37347" w14:textId="77777777" w:rsidR="00917433" w:rsidRDefault="00917433" w:rsidP="00917433">
      <w:pPr>
        <w:pStyle w:val="Tablecaption"/>
      </w:pPr>
      <w:r>
        <w:t xml:space="preserve"> Emission intensities of future grid electricity</w:t>
      </w:r>
    </w:p>
    <w:tbl>
      <w:tblPr>
        <w:tblStyle w:val="EinfacheTabelle2"/>
        <w:tblW w:w="0" w:type="auto"/>
        <w:tblLook w:val="04A0" w:firstRow="1" w:lastRow="0" w:firstColumn="1" w:lastColumn="0" w:noHBand="0" w:noVBand="1"/>
      </w:tblPr>
      <w:tblGrid>
        <w:gridCol w:w="812"/>
        <w:gridCol w:w="1633"/>
      </w:tblGrid>
      <w:tr w:rsidR="00917433" w:rsidRPr="007E3078" w14:paraId="0A439259" w14:textId="77777777" w:rsidTr="00B81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A1CB2" w14:textId="77777777" w:rsidR="00917433" w:rsidRPr="007E3078" w:rsidRDefault="00917433" w:rsidP="00B810B2">
            <w:pPr>
              <w:pStyle w:val="TableText"/>
              <w:rPr>
                <w:lang w:eastAsia="de-DE"/>
              </w:rPr>
            </w:pPr>
            <w:r w:rsidRPr="007E3078">
              <w:rPr>
                <w:lang w:eastAsia="de-DE"/>
              </w:rPr>
              <w:t>Round</w:t>
            </w:r>
          </w:p>
        </w:tc>
        <w:tc>
          <w:tcPr>
            <w:tcW w:w="0" w:type="auto"/>
            <w:hideMark/>
          </w:tcPr>
          <w:p w14:paraId="3F2BB174" w14:textId="77777777" w:rsidR="00917433" w:rsidRPr="007E3078" w:rsidRDefault="00917433" w:rsidP="00B810B2">
            <w:pPr>
              <w:pStyle w:val="TableText"/>
              <w:cnfStyle w:val="100000000000" w:firstRow="1" w:lastRow="0" w:firstColumn="0" w:lastColumn="0" w:oddVBand="0" w:evenVBand="0" w:oddHBand="0" w:evenHBand="0" w:firstRowFirstColumn="0" w:firstRowLastColumn="0" w:lastRowFirstColumn="0" w:lastRowLastColumn="0"/>
              <w:rPr>
                <w:lang w:eastAsia="de-DE"/>
              </w:rPr>
            </w:pPr>
            <w:r w:rsidRPr="007E3078">
              <w:rPr>
                <w:lang w:eastAsia="de-DE"/>
              </w:rPr>
              <w:t>(</w:t>
            </w:r>
            <m:oMath>
              <m:r>
                <m:rPr>
                  <m:sty m:val="bi"/>
                </m:rPr>
                <w:rPr>
                  <w:rFonts w:ascii="Cambria Math" w:hAnsi="Cambria Math"/>
                </w:rPr>
                <m:t>E</m:t>
              </m:r>
              <m:sSub>
                <m:sSubPr>
                  <m:ctrlPr>
                    <w:rPr>
                      <w:rFonts w:ascii="Cambria Math" w:hAnsi="Cambria Math"/>
                    </w:rPr>
                  </m:ctrlPr>
                </m:sSubPr>
                <m:e>
                  <m:r>
                    <m:rPr>
                      <m:sty m:val="bi"/>
                    </m:rPr>
                    <w:rPr>
                      <w:rFonts w:ascii="Cambria Math" w:hAnsi="Cambria Math"/>
                    </w:rPr>
                    <m:t>F</m:t>
                  </m:r>
                </m:e>
                <m:sub>
                  <m:r>
                    <m:rPr>
                      <m:sty m:val="b"/>
                    </m:rPr>
                    <w:rPr>
                      <w:rFonts w:ascii="Cambria Math" w:hAnsi="Cambria Math"/>
                    </w:rPr>
                    <m:t>grid</m:t>
                  </m:r>
                </m:sub>
              </m:sSub>
              <m:r>
                <m:rPr>
                  <m:sty m:val="bi"/>
                </m:rPr>
                <w:rPr>
                  <w:rFonts w:ascii="Cambria Math" w:hAnsi="Cambria Math"/>
                </w:rPr>
                <m:t>)</m:t>
              </m:r>
            </m:oMath>
          </w:p>
        </w:tc>
      </w:tr>
      <w:tr w:rsidR="00917433" w:rsidRPr="007E3078" w14:paraId="13A729DA"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226B0" w14:textId="77777777" w:rsidR="00917433" w:rsidRPr="007E3078" w:rsidRDefault="00917433" w:rsidP="00B810B2">
            <w:pPr>
              <w:pStyle w:val="TableText"/>
              <w:rPr>
                <w:lang w:eastAsia="de-DE"/>
              </w:rPr>
            </w:pPr>
            <w:r w:rsidRPr="007E3078">
              <w:rPr>
                <w:lang w:eastAsia="de-DE"/>
              </w:rPr>
              <w:t>1</w:t>
            </w:r>
            <w:r>
              <w:rPr>
                <w:lang w:eastAsia="de-DE"/>
              </w:rPr>
              <w:t xml:space="preserve"> (2030)</w:t>
            </w:r>
          </w:p>
        </w:tc>
        <w:tc>
          <w:tcPr>
            <w:tcW w:w="0" w:type="auto"/>
            <w:hideMark/>
          </w:tcPr>
          <w:p w14:paraId="33A31D48" w14:textId="77777777" w:rsidR="00917433" w:rsidRPr="007E307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7E3078">
              <w:rPr>
                <w:lang w:eastAsia="de-DE"/>
              </w:rPr>
              <w:t>0.100 kg CO</w:t>
            </w:r>
            <w:r w:rsidRPr="007E3078">
              <w:rPr>
                <w:rFonts w:ascii="Cambria Math" w:hAnsi="Cambria Math" w:cs="Cambria Math"/>
                <w:lang w:eastAsia="de-DE"/>
              </w:rPr>
              <w:t>₂</w:t>
            </w:r>
            <w:r w:rsidRPr="007E3078">
              <w:rPr>
                <w:lang w:eastAsia="de-DE"/>
              </w:rPr>
              <w:t>e/kWh</w:t>
            </w:r>
          </w:p>
        </w:tc>
      </w:tr>
      <w:tr w:rsidR="00917433" w:rsidRPr="007E3078" w14:paraId="53402C10"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0EFD49BE" w14:textId="77777777" w:rsidR="00917433" w:rsidRPr="007E3078" w:rsidRDefault="00917433" w:rsidP="00B810B2">
            <w:pPr>
              <w:pStyle w:val="TableText"/>
              <w:rPr>
                <w:lang w:eastAsia="de-DE"/>
              </w:rPr>
            </w:pPr>
            <w:r w:rsidRPr="007E3078">
              <w:rPr>
                <w:lang w:eastAsia="de-DE"/>
              </w:rPr>
              <w:t>2</w:t>
            </w:r>
            <w:r>
              <w:rPr>
                <w:lang w:eastAsia="de-DE"/>
              </w:rPr>
              <w:t xml:space="preserve"> (2035)</w:t>
            </w:r>
          </w:p>
        </w:tc>
        <w:tc>
          <w:tcPr>
            <w:tcW w:w="0" w:type="auto"/>
            <w:hideMark/>
          </w:tcPr>
          <w:p w14:paraId="2602C4AF" w14:textId="77777777" w:rsidR="00917433" w:rsidRPr="007E307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7E3078">
              <w:rPr>
                <w:lang w:eastAsia="de-DE"/>
              </w:rPr>
              <w:t>0.050</w:t>
            </w:r>
          </w:p>
        </w:tc>
      </w:tr>
      <w:tr w:rsidR="00917433" w:rsidRPr="007E3078" w14:paraId="4EC916A9" w14:textId="77777777" w:rsidTr="00B81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74E62" w14:textId="77777777" w:rsidR="00917433" w:rsidRPr="007E3078" w:rsidRDefault="00917433" w:rsidP="00B810B2">
            <w:pPr>
              <w:pStyle w:val="TableText"/>
              <w:rPr>
                <w:lang w:eastAsia="de-DE"/>
              </w:rPr>
            </w:pPr>
            <w:r w:rsidRPr="007E3078">
              <w:rPr>
                <w:lang w:eastAsia="de-DE"/>
              </w:rPr>
              <w:t>3</w:t>
            </w:r>
            <w:r>
              <w:rPr>
                <w:lang w:eastAsia="de-DE"/>
              </w:rPr>
              <w:t xml:space="preserve"> (2045)</w:t>
            </w:r>
          </w:p>
        </w:tc>
        <w:tc>
          <w:tcPr>
            <w:tcW w:w="0" w:type="auto"/>
            <w:hideMark/>
          </w:tcPr>
          <w:p w14:paraId="47B6E702" w14:textId="77777777" w:rsidR="00917433" w:rsidRPr="007E3078" w:rsidRDefault="00917433" w:rsidP="00B810B2">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7E3078">
              <w:rPr>
                <w:lang w:eastAsia="de-DE"/>
              </w:rPr>
              <w:t>0.030</w:t>
            </w:r>
          </w:p>
        </w:tc>
      </w:tr>
      <w:tr w:rsidR="00917433" w:rsidRPr="007E3078" w14:paraId="1C9C2939" w14:textId="77777777" w:rsidTr="00B810B2">
        <w:tc>
          <w:tcPr>
            <w:cnfStyle w:val="001000000000" w:firstRow="0" w:lastRow="0" w:firstColumn="1" w:lastColumn="0" w:oddVBand="0" w:evenVBand="0" w:oddHBand="0" w:evenHBand="0" w:firstRowFirstColumn="0" w:firstRowLastColumn="0" w:lastRowFirstColumn="0" w:lastRowLastColumn="0"/>
            <w:tcW w:w="0" w:type="auto"/>
            <w:hideMark/>
          </w:tcPr>
          <w:p w14:paraId="1377308E" w14:textId="77777777" w:rsidR="00917433" w:rsidRPr="007E3078" w:rsidRDefault="00917433" w:rsidP="00B810B2">
            <w:pPr>
              <w:pStyle w:val="TableText"/>
              <w:rPr>
                <w:lang w:eastAsia="de-DE"/>
              </w:rPr>
            </w:pPr>
            <w:r w:rsidRPr="007E3078">
              <w:rPr>
                <w:lang w:eastAsia="de-DE"/>
              </w:rPr>
              <w:t>4</w:t>
            </w:r>
            <w:r>
              <w:rPr>
                <w:lang w:eastAsia="de-DE"/>
              </w:rPr>
              <w:t xml:space="preserve"> (2050)</w:t>
            </w:r>
          </w:p>
        </w:tc>
        <w:tc>
          <w:tcPr>
            <w:tcW w:w="0" w:type="auto"/>
            <w:hideMark/>
          </w:tcPr>
          <w:p w14:paraId="5E8E8549" w14:textId="77777777" w:rsidR="00917433" w:rsidRPr="007E3078" w:rsidRDefault="00917433" w:rsidP="00B810B2">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7E3078">
              <w:rPr>
                <w:lang w:eastAsia="de-DE"/>
              </w:rPr>
              <w:t>0.015</w:t>
            </w:r>
          </w:p>
        </w:tc>
      </w:tr>
    </w:tbl>
    <w:p w14:paraId="11AF49DE" w14:textId="77777777" w:rsidR="00917433" w:rsidRDefault="00917433" w:rsidP="00917433">
      <w:pPr>
        <w:pStyle w:val="Articlenormaltext"/>
      </w:pPr>
    </w:p>
    <w:p w14:paraId="550684CD" w14:textId="741069D8" w:rsidR="00DE3008" w:rsidRDefault="00A96692" w:rsidP="00A96692">
      <w:pPr>
        <w:pStyle w:val="Articlenormaltext"/>
      </w:pPr>
      <w:r w:rsidRPr="00A96692">
        <w:lastRenderedPageBreak/>
        <w:drawing>
          <wp:inline distT="0" distB="0" distL="0" distR="0" wp14:anchorId="6B206884" wp14:editId="55568A9C">
            <wp:extent cx="4141470" cy="9078595"/>
            <wp:effectExtent l="0" t="0" r="0" b="8255"/>
            <wp:docPr id="1501444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44367" name=""/>
                    <pic:cNvPicPr/>
                  </pic:nvPicPr>
                  <pic:blipFill>
                    <a:blip r:embed="rId26"/>
                    <a:stretch>
                      <a:fillRect/>
                    </a:stretch>
                  </pic:blipFill>
                  <pic:spPr>
                    <a:xfrm>
                      <a:off x="0" y="0"/>
                      <a:ext cx="4141470" cy="9078595"/>
                    </a:xfrm>
                    <a:prstGeom prst="rect">
                      <a:avLst/>
                    </a:prstGeom>
                  </pic:spPr>
                </pic:pic>
              </a:graphicData>
            </a:graphic>
          </wp:inline>
        </w:drawing>
      </w:r>
    </w:p>
    <w:p w14:paraId="1818673F" w14:textId="77777777" w:rsidR="00A96692" w:rsidRDefault="00A96692" w:rsidP="00A96692">
      <w:pPr>
        <w:pStyle w:val="Figurecaption"/>
      </w:pPr>
    </w:p>
    <w:p w14:paraId="7FDF9495" w14:textId="2EE828C5" w:rsidR="00DE3008" w:rsidRDefault="00DE3008" w:rsidP="00917433">
      <w:pPr>
        <w:pStyle w:val="Articlenormaltext"/>
      </w:pPr>
      <w:r w:rsidRPr="00DE3008">
        <w:drawing>
          <wp:inline distT="0" distB="0" distL="0" distR="0" wp14:anchorId="1B70CBC2" wp14:editId="041EFFC2">
            <wp:extent cx="5491480" cy="6164580"/>
            <wp:effectExtent l="0" t="0" r="0" b="7620"/>
            <wp:docPr id="6083884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8427" name=""/>
                    <pic:cNvPicPr/>
                  </pic:nvPicPr>
                  <pic:blipFill>
                    <a:blip r:embed="rId27"/>
                    <a:stretch>
                      <a:fillRect/>
                    </a:stretch>
                  </pic:blipFill>
                  <pic:spPr>
                    <a:xfrm>
                      <a:off x="0" y="0"/>
                      <a:ext cx="5491480" cy="6164580"/>
                    </a:xfrm>
                    <a:prstGeom prst="rect">
                      <a:avLst/>
                    </a:prstGeom>
                  </pic:spPr>
                </pic:pic>
              </a:graphicData>
            </a:graphic>
          </wp:inline>
        </w:drawing>
      </w:r>
    </w:p>
    <w:p w14:paraId="5E9F19AB" w14:textId="77777777" w:rsidR="00A96692" w:rsidRPr="00917433" w:rsidRDefault="00A96692" w:rsidP="00A96692">
      <w:pPr>
        <w:pStyle w:val="Figurecaption"/>
      </w:pPr>
    </w:p>
    <w:sectPr w:rsidR="00A96692" w:rsidRPr="00917433" w:rsidSect="00012F26">
      <w:footerReference w:type="default" r:id="rId28"/>
      <w:type w:val="continuous"/>
      <w:pgSz w:w="11906" w:h="16838"/>
      <w:pgMar w:top="1151" w:right="1671" w:bottom="1390" w:left="1587" w:header="709" w:footer="527"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imon Schneider" w:date="2026-08-20T15:55:00Z" w:initials="SS">
    <w:p w14:paraId="6ED4ADE8" w14:textId="77777777" w:rsidR="00757871" w:rsidRDefault="00757871" w:rsidP="00757871">
      <w:pPr>
        <w:pStyle w:val="Kommentartext"/>
      </w:pPr>
      <w:r>
        <w:rPr>
          <w:rStyle w:val="Kommentarzeichen"/>
        </w:rPr>
        <w:annotationRef/>
      </w:r>
      <w:r>
        <w:rPr>
          <w:lang w:val="en-US"/>
        </w:rPr>
        <w:t>Provide a specific background, linked with your research, presenting the general context and what is already known in this field. Define the knowledge gap, your hypothesis, and the aim of your research. Define the approach used in your study and how it is different from what has been done before.</w:t>
      </w:r>
    </w:p>
    <w:p w14:paraId="7020831B" w14:textId="77777777" w:rsidR="00757871" w:rsidRDefault="00757871" w:rsidP="00757871">
      <w:pPr>
        <w:pStyle w:val="Kommentartext"/>
      </w:pPr>
      <w:r>
        <w:rPr>
          <w:lang w:val="en-US"/>
        </w:rPr>
        <w:t>Avoid a general literature survey, focus on the specific field of your research. Do not include the results in this section.</w:t>
      </w:r>
    </w:p>
    <w:p w14:paraId="2A529D51" w14:textId="77777777" w:rsidR="00757871" w:rsidRDefault="00757871" w:rsidP="00757871">
      <w:pPr>
        <w:pStyle w:val="Kommentartext"/>
      </w:pPr>
      <w:r>
        <w:rPr>
          <w:lang w:val="en-US"/>
        </w:rPr>
        <w:t xml:space="preserve">If needed, the introduction should be divided into subsections such as </w:t>
      </w:r>
    </w:p>
    <w:p w14:paraId="3E6A05AA" w14:textId="77777777" w:rsidR="00757871" w:rsidRDefault="00757871">
      <w:pPr>
        <w:pStyle w:val="Kommentartext"/>
        <w:numPr>
          <w:ilvl w:val="0"/>
          <w:numId w:val="10"/>
        </w:numPr>
      </w:pPr>
      <w:r>
        <w:rPr>
          <w:lang w:val="en-US"/>
        </w:rPr>
        <w:t>Background</w:t>
      </w:r>
    </w:p>
    <w:p w14:paraId="0468316A" w14:textId="77777777" w:rsidR="00757871" w:rsidRDefault="00757871">
      <w:pPr>
        <w:pStyle w:val="Kommentartext"/>
        <w:numPr>
          <w:ilvl w:val="0"/>
          <w:numId w:val="10"/>
        </w:numPr>
      </w:pPr>
      <w:r>
        <w:rPr>
          <w:lang w:val="en-US"/>
        </w:rPr>
        <w:t>Knowledge gap</w:t>
      </w:r>
    </w:p>
    <w:p w14:paraId="4844360D" w14:textId="77777777" w:rsidR="00757871" w:rsidRDefault="00757871">
      <w:pPr>
        <w:pStyle w:val="Kommentartext"/>
        <w:numPr>
          <w:ilvl w:val="0"/>
          <w:numId w:val="10"/>
        </w:numPr>
      </w:pPr>
      <w:r>
        <w:rPr>
          <w:lang w:val="en-US"/>
        </w:rPr>
        <w:t>Objectives of the study or Research questions.</w:t>
      </w:r>
    </w:p>
  </w:comment>
  <w:comment w:id="6" w:author="Simon Schneider" w:date="2026-08-20T16:06:00Z" w:initials="SS">
    <w:p w14:paraId="57D4C476" w14:textId="77777777" w:rsidR="00E022B7" w:rsidRDefault="00E022B7" w:rsidP="00E022B7">
      <w:pPr>
        <w:pStyle w:val="Kommentartext"/>
      </w:pPr>
      <w:r>
        <w:rPr>
          <w:rStyle w:val="Kommentarzeichen"/>
        </w:rPr>
        <w:annotationRef/>
      </w:r>
      <w:r>
        <w:rPr>
          <w:lang w:val="en-US"/>
        </w:rPr>
        <w:t>Explain what has been done in your study. Provide enough information to allow your study to be reproduced.</w:t>
      </w:r>
    </w:p>
    <w:p w14:paraId="1881CC4B" w14:textId="77777777" w:rsidR="00E022B7" w:rsidRDefault="00E022B7" w:rsidP="00E022B7">
      <w:pPr>
        <w:pStyle w:val="Kommentartext"/>
      </w:pPr>
      <w:r>
        <w:rPr>
          <w:lang w:val="en-US"/>
        </w:rPr>
        <w:t>If you refer to existing methods, a summary and a reference is sufficient. Describe the changes done to existing methods.</w:t>
      </w:r>
    </w:p>
    <w:p w14:paraId="3B1C2F43" w14:textId="77777777" w:rsidR="00E022B7" w:rsidRDefault="00E022B7" w:rsidP="00E022B7">
      <w:pPr>
        <w:pStyle w:val="Kommentartext"/>
      </w:pPr>
    </w:p>
  </w:comment>
  <w:comment w:id="11" w:author="Simon Schneider" w:date="2026-08-20T18:15:00Z" w:initials="SS">
    <w:p w14:paraId="313A290D" w14:textId="77777777" w:rsidR="00903965" w:rsidRDefault="00903965" w:rsidP="00903965">
      <w:pPr>
        <w:pStyle w:val="Kommentartext"/>
      </w:pPr>
      <w:r>
        <w:rPr>
          <w:rStyle w:val="Kommentarzeichen"/>
        </w:rPr>
        <w:annotationRef/>
      </w:r>
      <w:r>
        <w:rPr>
          <w:lang w:val="en-US"/>
        </w:rPr>
        <w:t>Write a conclusion that present your main findings and highlight the significance of your study. The conclusion should not exceed ½ page.</w:t>
      </w:r>
    </w:p>
    <w:p w14:paraId="70748E72" w14:textId="77777777" w:rsidR="00903965" w:rsidRDefault="00903965" w:rsidP="00903965">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44360D" w15:done="0"/>
  <w15:commentEx w15:paraId="3B1C2F43" w15:done="0"/>
  <w15:commentEx w15:paraId="70748E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DB730" w16cex:dateUtc="2026-08-20T13:55:00Z"/>
  <w16cex:commentExtensible w16cex:durableId="2480FCB7" w16cex:dateUtc="2026-08-20T14:06:00Z"/>
  <w16cex:commentExtensible w16cex:durableId="08FB0307" w16cex:dateUtc="2026-08-20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44360D" w16cid:durableId="667DB730"/>
  <w16cid:commentId w16cid:paraId="3B1C2F43" w16cid:durableId="2480FCB7"/>
  <w16cid:commentId w16cid:paraId="70748E72" w16cid:durableId="08FB03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DBEE" w14:textId="77777777" w:rsidR="00DF30ED" w:rsidRDefault="00DF30ED" w:rsidP="00BA6E38">
      <w:r>
        <w:separator/>
      </w:r>
    </w:p>
    <w:p w14:paraId="74F03B9C" w14:textId="77777777" w:rsidR="00DF30ED" w:rsidRDefault="00DF30ED" w:rsidP="00BA6E38"/>
    <w:p w14:paraId="3F2BBD24" w14:textId="77777777" w:rsidR="00DF30ED" w:rsidRDefault="00DF30ED" w:rsidP="00BA6E38"/>
    <w:p w14:paraId="0C03F675" w14:textId="77777777" w:rsidR="00DF30ED" w:rsidRDefault="00DF30ED" w:rsidP="00BA6E38"/>
    <w:p w14:paraId="0F129AF5" w14:textId="77777777" w:rsidR="00DF30ED" w:rsidRDefault="00DF30ED" w:rsidP="00BA6E38"/>
    <w:p w14:paraId="57CF622C" w14:textId="77777777" w:rsidR="00DF30ED" w:rsidRDefault="00DF30ED" w:rsidP="00BA6E38"/>
    <w:p w14:paraId="49F62287" w14:textId="77777777" w:rsidR="00DF30ED" w:rsidRDefault="00DF30ED"/>
  </w:endnote>
  <w:endnote w:type="continuationSeparator" w:id="0">
    <w:p w14:paraId="0582F16B" w14:textId="77777777" w:rsidR="00DF30ED" w:rsidRDefault="00DF30ED" w:rsidP="00BA6E38">
      <w:r>
        <w:continuationSeparator/>
      </w:r>
    </w:p>
    <w:p w14:paraId="0B743C2A" w14:textId="77777777" w:rsidR="00DF30ED" w:rsidRDefault="00DF30ED" w:rsidP="00BA6E38"/>
    <w:p w14:paraId="0534DAC3" w14:textId="77777777" w:rsidR="00DF30ED" w:rsidRDefault="00DF30ED" w:rsidP="00BA6E38"/>
    <w:p w14:paraId="57B9284F" w14:textId="77777777" w:rsidR="00DF30ED" w:rsidRDefault="00DF30ED" w:rsidP="00BA6E38"/>
    <w:p w14:paraId="754C3DD9" w14:textId="77777777" w:rsidR="00DF30ED" w:rsidRDefault="00DF30ED" w:rsidP="00BA6E38"/>
    <w:p w14:paraId="08ED929D" w14:textId="77777777" w:rsidR="00DF30ED" w:rsidRDefault="00DF30ED" w:rsidP="00BA6E38"/>
    <w:p w14:paraId="1D1E505A" w14:textId="77777777" w:rsidR="00DF30ED" w:rsidRDefault="00DF3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ova Cond">
    <w:charset w:val="00"/>
    <w:family w:val="swiss"/>
    <w:pitch w:val="variable"/>
    <w:sig w:usb0="0000028F" w:usb1="00000002" w:usb2="00000000" w:usb3="00000000" w:csb0="0000019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C9B" w14:textId="6EB88FA9" w:rsidR="008D421F" w:rsidRPr="00C321B5" w:rsidRDefault="008D421F" w:rsidP="00C321B5">
    <w:pPr>
      <w:pStyle w:val="Fuzeile"/>
    </w:pPr>
  </w:p>
  <w:p w14:paraId="5B6067CC" w14:textId="6F14AAFA" w:rsidR="008D421F" w:rsidRPr="00FE5DE4" w:rsidRDefault="0069117D" w:rsidP="00C321B5">
    <w:pPr>
      <w:pStyle w:val="Fuzeile"/>
      <w:tabs>
        <w:tab w:val="clear" w:pos="4819"/>
        <w:tab w:val="clear" w:pos="9638"/>
        <w:tab w:val="center" w:pos="8647"/>
      </w:tabs>
      <w:rPr>
        <w:rFonts w:ascii="Times New Roman" w:hAnsi="Times New Roman"/>
        <w:lang w:val="en-US"/>
      </w:rPr>
    </w:pPr>
    <w:r w:rsidRPr="00C321B5">
      <w:fldChar w:fldCharType="begin"/>
    </w:r>
    <w:r w:rsidRPr="00FE5DE4">
      <w:rPr>
        <w:lang w:val="en-US"/>
      </w:rPr>
      <w:instrText>PAGE   \* MERGEFORMAT</w:instrText>
    </w:r>
    <w:r w:rsidRPr="00C321B5">
      <w:fldChar w:fldCharType="separate"/>
    </w:r>
    <w:r w:rsidRPr="00FE5DE4">
      <w:rPr>
        <w:lang w:val="en-US"/>
      </w:rPr>
      <w:t>2</w:t>
    </w:r>
    <w:r w:rsidRPr="00C321B5">
      <w:fldChar w:fldCharType="end"/>
    </w:r>
    <w:r w:rsidR="004C78F6" w:rsidRPr="00FE5DE4">
      <w:rPr>
        <w:lang w:val="en-US"/>
      </w:rPr>
      <w:tab/>
    </w:r>
    <w:r w:rsidR="00AB77CE" w:rsidRPr="00FE5DE4">
      <w:rPr>
        <w:lang w:val="en-US"/>
      </w:rPr>
      <w:t xml:space="preserve">International Journal of Serious Games   I   Volume </w:t>
    </w:r>
    <w:r w:rsidR="00AB77CE">
      <w:rPr>
        <w:lang w:val="en-US"/>
      </w:rPr>
      <w:t>XXXX</w:t>
    </w:r>
    <w:r w:rsidR="00AB77CE" w:rsidRPr="00FE5DE4">
      <w:rPr>
        <w:lang w:val="en-US"/>
      </w:rPr>
      <w:t xml:space="preserve">, Issue </w:t>
    </w:r>
    <w:r w:rsidR="00AB77CE">
      <w:rPr>
        <w:lang w:val="en-US"/>
      </w:rPr>
      <w:t>XXXX</w:t>
    </w:r>
    <w:r w:rsidR="00AB77CE" w:rsidRPr="00FE5DE4">
      <w:rPr>
        <w:lang w:val="en-US"/>
      </w:rPr>
      <w:t xml:space="preserve">, </w:t>
    </w:r>
    <w:r w:rsidR="00AB77CE">
      <w:rPr>
        <w:lang w:val="en-US"/>
      </w:rPr>
      <w:t>XXXX</w:t>
    </w:r>
    <w:r w:rsidR="00AB77CE" w:rsidRPr="00FE5DE4">
      <w:rPr>
        <w:lang w:val="en-US"/>
      </w:rPr>
      <w:t xml:space="preserve"> 20</w:t>
    </w:r>
    <w:r w:rsidR="00AB77CE">
      <w:rPr>
        <w:lang w:val="en-US"/>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F977" w14:textId="396C3D4E" w:rsidR="009A6D1F" w:rsidRDefault="009A6D1F" w:rsidP="00C321B5">
    <w:pPr>
      <w:pStyle w:val="Fuzeile"/>
    </w:pPr>
  </w:p>
  <w:p w14:paraId="3A80D4D0" w14:textId="6D9CBD12" w:rsidR="00343C3D" w:rsidRPr="00FE5DE4" w:rsidRDefault="00280B39" w:rsidP="00C321B5">
    <w:pPr>
      <w:pStyle w:val="Fuzeile"/>
      <w:rPr>
        <w:lang w:val="en-US"/>
      </w:rPr>
    </w:pPr>
    <w:r w:rsidRPr="00FE5DE4">
      <w:rPr>
        <w:lang w:val="en-US"/>
      </w:rPr>
      <w:t>International Journal of Serious Games   I   Volume 9, Issue 4, December 2022</w:t>
    </w:r>
    <w:r w:rsidR="00637ED0" w:rsidRPr="00FE5DE4">
      <w:rPr>
        <w:lang w:val="en-US"/>
      </w:rPr>
      <w:tab/>
    </w:r>
    <w:r w:rsidRPr="0064705A">
      <w:fldChar w:fldCharType="begin"/>
    </w:r>
    <w:r w:rsidRPr="00FE5DE4">
      <w:rPr>
        <w:lang w:val="en-US"/>
      </w:rPr>
      <w:instrText>PAGE   \* MERGEFORMAT</w:instrText>
    </w:r>
    <w:r w:rsidRPr="0064705A">
      <w:fldChar w:fldCharType="separate"/>
    </w:r>
    <w:r w:rsidRPr="00FE5DE4">
      <w:rPr>
        <w:lang w:val="en-US"/>
      </w:rPr>
      <w:t>1</w:t>
    </w:r>
    <w:r w:rsidRPr="0064705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B18A" w14:textId="249A3B19" w:rsidR="008D421F" w:rsidRPr="00C321B5" w:rsidRDefault="008D421F" w:rsidP="00C321B5">
    <w:pPr>
      <w:pStyle w:val="Fuzeile"/>
    </w:pPr>
  </w:p>
  <w:p w14:paraId="1A7BB7E7" w14:textId="4D771974" w:rsidR="008D421F" w:rsidRPr="00FE5DE4" w:rsidRDefault="00451C99" w:rsidP="00C321B5">
    <w:pPr>
      <w:pStyle w:val="Fuzeile"/>
      <w:rPr>
        <w:lang w:val="en-US"/>
      </w:rPr>
    </w:pPr>
    <w:r w:rsidRPr="00FE5DE4">
      <w:rPr>
        <w:lang w:val="en-US"/>
      </w:rPr>
      <w:t>International Journal of Serious Games</w:t>
    </w:r>
    <w:r w:rsidR="00E65BF7" w:rsidRPr="00FE5DE4">
      <w:rPr>
        <w:lang w:val="en-US"/>
      </w:rPr>
      <w:t xml:space="preserve">   I   </w:t>
    </w:r>
    <w:r w:rsidRPr="00FE5DE4">
      <w:rPr>
        <w:lang w:val="en-US"/>
      </w:rPr>
      <w:t xml:space="preserve">Volume </w:t>
    </w:r>
    <w:r w:rsidR="00DE4C45">
      <w:rPr>
        <w:lang w:val="en-US"/>
      </w:rPr>
      <w:t>XXXX</w:t>
    </w:r>
    <w:r w:rsidRPr="00FE5DE4">
      <w:rPr>
        <w:lang w:val="en-US"/>
      </w:rPr>
      <w:t xml:space="preserve">, Issue </w:t>
    </w:r>
    <w:r w:rsidR="00DE4C45">
      <w:rPr>
        <w:lang w:val="en-US"/>
      </w:rPr>
      <w:t>XXXX</w:t>
    </w:r>
    <w:r w:rsidRPr="00FE5DE4">
      <w:rPr>
        <w:lang w:val="en-US"/>
      </w:rPr>
      <w:t xml:space="preserve">, </w:t>
    </w:r>
    <w:r w:rsidR="00DE4C45">
      <w:rPr>
        <w:lang w:val="en-US"/>
      </w:rPr>
      <w:t>XXXX</w:t>
    </w:r>
    <w:r w:rsidRPr="00FE5DE4">
      <w:rPr>
        <w:lang w:val="en-US"/>
      </w:rPr>
      <w:t xml:space="preserve"> </w:t>
    </w:r>
    <w:r w:rsidR="001D1DE1" w:rsidRPr="00FE5DE4">
      <w:rPr>
        <w:lang w:val="en-US"/>
      </w:rPr>
      <w:t>20</w:t>
    </w:r>
    <w:r w:rsidR="00AB77CE">
      <w:rPr>
        <w:lang w:val="en-US"/>
      </w:rPr>
      <w:t>23</w:t>
    </w:r>
    <w:r w:rsidR="008215DF" w:rsidRPr="00FE5DE4">
      <w:rPr>
        <w:lang w:val="en-US"/>
      </w:rPr>
      <w:tab/>
    </w:r>
    <w:r w:rsidR="00675709" w:rsidRPr="00C321B5">
      <w:fldChar w:fldCharType="begin"/>
    </w:r>
    <w:r w:rsidR="00675709" w:rsidRPr="00FE5DE4">
      <w:rPr>
        <w:lang w:val="en-US"/>
      </w:rPr>
      <w:instrText>PAGE   \* MERGEFORMAT</w:instrText>
    </w:r>
    <w:r w:rsidR="00675709" w:rsidRPr="00C321B5">
      <w:fldChar w:fldCharType="separate"/>
    </w:r>
    <w:r w:rsidR="00675709" w:rsidRPr="00FE5DE4">
      <w:rPr>
        <w:lang w:val="en-US"/>
      </w:rPr>
      <w:t>2</w:t>
    </w:r>
    <w:r w:rsidR="00675709" w:rsidRPr="00C321B5">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9CCA" w14:textId="77777777" w:rsidR="00D3421B" w:rsidRPr="00C321B5" w:rsidRDefault="00D3421B" w:rsidP="00D3421B">
    <w:pPr>
      <w:pStyle w:val="Fuzeile"/>
    </w:pPr>
  </w:p>
  <w:p w14:paraId="73354E09" w14:textId="328FE240" w:rsidR="00975D10" w:rsidRPr="00D3421B" w:rsidRDefault="00D3421B" w:rsidP="00D3421B">
    <w:pPr>
      <w:pStyle w:val="Fuzeile"/>
      <w:rPr>
        <w:lang w:val="en-US"/>
      </w:rPr>
    </w:pPr>
    <w:r w:rsidRPr="00FE5DE4">
      <w:rPr>
        <w:lang w:val="en-US"/>
      </w:rPr>
      <w:t xml:space="preserve">International Journal of Serious Games   I   Volume </w:t>
    </w:r>
    <w:r>
      <w:rPr>
        <w:lang w:val="en-US"/>
      </w:rPr>
      <w:t>XXXX</w:t>
    </w:r>
    <w:r w:rsidRPr="00FE5DE4">
      <w:rPr>
        <w:lang w:val="en-US"/>
      </w:rPr>
      <w:t xml:space="preserve">, Issue </w:t>
    </w:r>
    <w:r>
      <w:rPr>
        <w:lang w:val="en-US"/>
      </w:rPr>
      <w:t>XXXX</w:t>
    </w:r>
    <w:r w:rsidRPr="00FE5DE4">
      <w:rPr>
        <w:lang w:val="en-US"/>
      </w:rPr>
      <w:t xml:space="preserve">, </w:t>
    </w:r>
    <w:r>
      <w:rPr>
        <w:lang w:val="en-US"/>
      </w:rPr>
      <w:t>XXXX</w:t>
    </w:r>
    <w:r w:rsidRPr="00FE5DE4">
      <w:rPr>
        <w:lang w:val="en-US"/>
      </w:rPr>
      <w:t xml:space="preserve"> 20</w:t>
    </w:r>
    <w:r>
      <w:rPr>
        <w:lang w:val="en-US"/>
      </w:rPr>
      <w:t>23</w:t>
    </w:r>
    <w:r w:rsidRPr="00FE5DE4">
      <w:rPr>
        <w:lang w:val="en-US"/>
      </w:rPr>
      <w:tab/>
    </w:r>
    <w:r w:rsidRPr="00C321B5">
      <w:fldChar w:fldCharType="begin"/>
    </w:r>
    <w:r w:rsidRPr="00FE5DE4">
      <w:rPr>
        <w:lang w:val="en-US"/>
      </w:rPr>
      <w:instrText>PAGE   \* MERGEFORMAT</w:instrText>
    </w:r>
    <w:r w:rsidRPr="00C321B5">
      <w:fldChar w:fldCharType="separate"/>
    </w:r>
    <w:r w:rsidRPr="00D3421B">
      <w:rPr>
        <w:lang w:val="en-US"/>
      </w:rPr>
      <w:t>1</w:t>
    </w:r>
    <w:r w:rsidRPr="00C321B5">
      <w:fldChar w:fldCharType="end"/>
    </w:r>
  </w:p>
  <w:p w14:paraId="3597FB6D" w14:textId="77777777" w:rsidR="00870BD9" w:rsidRPr="00012F26" w:rsidRDefault="00870BD9">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99A1" w14:textId="77777777" w:rsidR="00DF30ED" w:rsidRDefault="00DF30ED" w:rsidP="00BA6E38">
      <w:r>
        <w:separator/>
      </w:r>
    </w:p>
    <w:p w14:paraId="70807CE4" w14:textId="77777777" w:rsidR="00DF30ED" w:rsidRDefault="00DF30ED" w:rsidP="00BA6E38"/>
    <w:p w14:paraId="0C443B01" w14:textId="77777777" w:rsidR="00DF30ED" w:rsidRDefault="00DF30ED" w:rsidP="00BA6E38"/>
    <w:p w14:paraId="309858BA" w14:textId="77777777" w:rsidR="00DF30ED" w:rsidRDefault="00DF30ED" w:rsidP="00BA6E38"/>
    <w:p w14:paraId="5F90965C" w14:textId="77777777" w:rsidR="00DF30ED" w:rsidRDefault="00DF30ED" w:rsidP="00BA6E38"/>
    <w:p w14:paraId="48E52981" w14:textId="77777777" w:rsidR="00DF30ED" w:rsidRDefault="00DF30ED" w:rsidP="00BA6E38"/>
    <w:p w14:paraId="1A760ACA" w14:textId="77777777" w:rsidR="00DF30ED" w:rsidRDefault="00DF30ED"/>
  </w:footnote>
  <w:footnote w:type="continuationSeparator" w:id="0">
    <w:p w14:paraId="3DA6B037" w14:textId="77777777" w:rsidR="00DF30ED" w:rsidRDefault="00DF30ED" w:rsidP="00BA6E38">
      <w:r>
        <w:continuationSeparator/>
      </w:r>
    </w:p>
    <w:p w14:paraId="3EC2F5FD" w14:textId="77777777" w:rsidR="00DF30ED" w:rsidRDefault="00DF30ED" w:rsidP="00BA6E38"/>
    <w:p w14:paraId="5863B3BD" w14:textId="77777777" w:rsidR="00DF30ED" w:rsidRDefault="00DF30ED" w:rsidP="00BA6E38"/>
    <w:p w14:paraId="03F348C8" w14:textId="77777777" w:rsidR="00DF30ED" w:rsidRDefault="00DF30ED" w:rsidP="00BA6E38"/>
    <w:p w14:paraId="273BE272" w14:textId="77777777" w:rsidR="00DF30ED" w:rsidRDefault="00DF30ED" w:rsidP="00BA6E38"/>
    <w:p w14:paraId="3F6AF553" w14:textId="77777777" w:rsidR="00DF30ED" w:rsidRDefault="00DF30ED" w:rsidP="00BA6E38"/>
    <w:p w14:paraId="055236B1" w14:textId="77777777" w:rsidR="00DF30ED" w:rsidRDefault="00DF3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1D0C" w14:textId="4AB4CFEF" w:rsidR="00343C3D" w:rsidRPr="003F34C2" w:rsidRDefault="009C639D" w:rsidP="00012F26">
    <w:pPr>
      <w:pStyle w:val="HeaderAuthors"/>
      <w:jc w:val="right"/>
    </w:pPr>
    <w:r w:rsidRPr="003F34C2">
      <w:t>M. Laurent</w:t>
    </w:r>
    <w:r w:rsidR="00937E2C" w:rsidRPr="003F34C2">
      <w:t xml:space="preserve"> et al.</w:t>
    </w:r>
    <w:r w:rsidR="001F673C" w:rsidRPr="003F34C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222E"/>
    <w:multiLevelType w:val="multilevel"/>
    <w:tmpl w:val="14D2115E"/>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ECB2ED7"/>
    <w:multiLevelType w:val="hybridMultilevel"/>
    <w:tmpl w:val="C8608384"/>
    <w:lvl w:ilvl="0" w:tplc="D18ED04E">
      <w:start w:val="1"/>
      <w:numFmt w:val="decimal"/>
      <w:pStyle w:val="Footnotes"/>
      <w:lvlText w:val="[%1]"/>
      <w:lvlJc w:val="left"/>
      <w:pPr>
        <w:tabs>
          <w:tab w:val="num" w:pos="644"/>
        </w:tabs>
        <w:ind w:left="644" w:hanging="360"/>
      </w:pPr>
      <w:rPr>
        <w:rFonts w:hint="default"/>
        <w:color w:val="auto"/>
      </w:r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2" w15:restartNumberingAfterBreak="0">
    <w:nsid w:val="112570A8"/>
    <w:multiLevelType w:val="hybridMultilevel"/>
    <w:tmpl w:val="647E8C16"/>
    <w:lvl w:ilvl="0" w:tplc="77D22310">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A636EA"/>
    <w:multiLevelType w:val="hybridMultilevel"/>
    <w:tmpl w:val="9648B164"/>
    <w:lvl w:ilvl="0" w:tplc="D2D6DC6C">
      <w:start w:val="1"/>
      <w:numFmt w:val="decimal"/>
      <w:pStyle w:val="Figurecaption"/>
      <w:lvlText w:val="Figure %1."/>
      <w:lvlJc w:val="left"/>
      <w:pPr>
        <w:ind w:left="360" w:hanging="360"/>
      </w:pPr>
      <w:rPr>
        <w:b/>
        <w:bCs/>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30241F6B"/>
    <w:multiLevelType w:val="multilevel"/>
    <w:tmpl w:val="0CA0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E132D3"/>
    <w:multiLevelType w:val="hybridMultilevel"/>
    <w:tmpl w:val="FA0C2510"/>
    <w:lvl w:ilvl="0" w:tplc="1846762A">
      <w:start w:val="1"/>
      <w:numFmt w:val="bullet"/>
      <w:lvlText w:val=""/>
      <w:lvlJc w:val="left"/>
      <w:pPr>
        <w:ind w:left="720" w:hanging="360"/>
      </w:pPr>
      <w:rPr>
        <w:rFonts w:ascii="Symbol" w:hAnsi="Symbol"/>
      </w:rPr>
    </w:lvl>
    <w:lvl w:ilvl="1" w:tplc="9AECC49C">
      <w:start w:val="1"/>
      <w:numFmt w:val="bullet"/>
      <w:lvlText w:val=""/>
      <w:lvlJc w:val="left"/>
      <w:pPr>
        <w:ind w:left="720" w:hanging="360"/>
      </w:pPr>
      <w:rPr>
        <w:rFonts w:ascii="Symbol" w:hAnsi="Symbol"/>
      </w:rPr>
    </w:lvl>
    <w:lvl w:ilvl="2" w:tplc="149AD746">
      <w:start w:val="1"/>
      <w:numFmt w:val="bullet"/>
      <w:lvlText w:val=""/>
      <w:lvlJc w:val="left"/>
      <w:pPr>
        <w:ind w:left="720" w:hanging="360"/>
      </w:pPr>
      <w:rPr>
        <w:rFonts w:ascii="Symbol" w:hAnsi="Symbol"/>
      </w:rPr>
    </w:lvl>
    <w:lvl w:ilvl="3" w:tplc="595EE342">
      <w:start w:val="1"/>
      <w:numFmt w:val="bullet"/>
      <w:lvlText w:val=""/>
      <w:lvlJc w:val="left"/>
      <w:pPr>
        <w:ind w:left="720" w:hanging="360"/>
      </w:pPr>
      <w:rPr>
        <w:rFonts w:ascii="Symbol" w:hAnsi="Symbol"/>
      </w:rPr>
    </w:lvl>
    <w:lvl w:ilvl="4" w:tplc="14AEB136">
      <w:start w:val="1"/>
      <w:numFmt w:val="bullet"/>
      <w:lvlText w:val=""/>
      <w:lvlJc w:val="left"/>
      <w:pPr>
        <w:ind w:left="720" w:hanging="360"/>
      </w:pPr>
      <w:rPr>
        <w:rFonts w:ascii="Symbol" w:hAnsi="Symbol"/>
      </w:rPr>
    </w:lvl>
    <w:lvl w:ilvl="5" w:tplc="D74072A4">
      <w:start w:val="1"/>
      <w:numFmt w:val="bullet"/>
      <w:lvlText w:val=""/>
      <w:lvlJc w:val="left"/>
      <w:pPr>
        <w:ind w:left="720" w:hanging="360"/>
      </w:pPr>
      <w:rPr>
        <w:rFonts w:ascii="Symbol" w:hAnsi="Symbol"/>
      </w:rPr>
    </w:lvl>
    <w:lvl w:ilvl="6" w:tplc="62E0AAFE">
      <w:start w:val="1"/>
      <w:numFmt w:val="bullet"/>
      <w:lvlText w:val=""/>
      <w:lvlJc w:val="left"/>
      <w:pPr>
        <w:ind w:left="720" w:hanging="360"/>
      </w:pPr>
      <w:rPr>
        <w:rFonts w:ascii="Symbol" w:hAnsi="Symbol"/>
      </w:rPr>
    </w:lvl>
    <w:lvl w:ilvl="7" w:tplc="52E4604A">
      <w:start w:val="1"/>
      <w:numFmt w:val="bullet"/>
      <w:lvlText w:val=""/>
      <w:lvlJc w:val="left"/>
      <w:pPr>
        <w:ind w:left="720" w:hanging="360"/>
      </w:pPr>
      <w:rPr>
        <w:rFonts w:ascii="Symbol" w:hAnsi="Symbol"/>
      </w:rPr>
    </w:lvl>
    <w:lvl w:ilvl="8" w:tplc="96048D00">
      <w:start w:val="1"/>
      <w:numFmt w:val="bullet"/>
      <w:lvlText w:val=""/>
      <w:lvlJc w:val="left"/>
      <w:pPr>
        <w:ind w:left="720" w:hanging="360"/>
      </w:pPr>
      <w:rPr>
        <w:rFonts w:ascii="Symbol" w:hAnsi="Symbol"/>
      </w:rPr>
    </w:lvl>
  </w:abstractNum>
  <w:abstractNum w:abstractNumId="6" w15:restartNumberingAfterBreak="0">
    <w:nsid w:val="46237D52"/>
    <w:multiLevelType w:val="multilevel"/>
    <w:tmpl w:val="44C2404C"/>
    <w:styleLink w:val="Listeactuelle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5ECE56FF"/>
    <w:multiLevelType w:val="multilevel"/>
    <w:tmpl w:val="FBEE66B2"/>
    <w:lvl w:ilvl="0">
      <w:start w:val="1"/>
      <w:numFmt w:val="decimal"/>
      <w:pStyle w:val="berschrift1"/>
      <w:lvlText w:val="%1."/>
      <w:lvlJc w:val="left"/>
      <w:pPr>
        <w:ind w:left="360" w:hanging="360"/>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5F4B14A1"/>
    <w:multiLevelType w:val="multilevel"/>
    <w:tmpl w:val="36A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27AC5"/>
    <w:multiLevelType w:val="hybridMultilevel"/>
    <w:tmpl w:val="00565BF8"/>
    <w:lvl w:ilvl="0" w:tplc="9E8CE468">
      <w:start w:val="1"/>
      <w:numFmt w:val="decimal"/>
      <w:pStyle w:val="Tablecaption"/>
      <w:lvlText w:val="Table %1."/>
      <w:lvlJc w:val="left"/>
      <w:pPr>
        <w:ind w:left="360" w:hanging="360"/>
      </w:pPr>
      <w:rPr>
        <w:rFonts w:hint="default"/>
        <w:b/>
        <w:i w:val="0"/>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0" w15:restartNumberingAfterBreak="0">
    <w:nsid w:val="6C8C10BA"/>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10F2F46"/>
    <w:multiLevelType w:val="multilevel"/>
    <w:tmpl w:val="9FA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0306A"/>
    <w:multiLevelType w:val="multilevel"/>
    <w:tmpl w:val="C006444C"/>
    <w:styleLink w:val="Listeactuelle2"/>
    <w:lvl w:ilvl="0">
      <w:start w:val="1"/>
      <w:numFmt w:val="decimal"/>
      <w:lvlText w:val="Table %1."/>
      <w:lvlJc w:val="left"/>
      <w:pPr>
        <w:ind w:left="3196" w:hanging="360"/>
      </w:pPr>
    </w:lvl>
    <w:lvl w:ilvl="1">
      <w:start w:val="1"/>
      <w:numFmt w:val="lowerLetter"/>
      <w:lvlText w:val="%2."/>
      <w:lvlJc w:val="left"/>
      <w:pPr>
        <w:ind w:left="3916" w:hanging="360"/>
      </w:pPr>
    </w:lvl>
    <w:lvl w:ilvl="2">
      <w:start w:val="1"/>
      <w:numFmt w:val="lowerRoman"/>
      <w:lvlText w:val="%3."/>
      <w:lvlJc w:val="right"/>
      <w:pPr>
        <w:ind w:left="4636" w:hanging="180"/>
      </w:pPr>
    </w:lvl>
    <w:lvl w:ilvl="3">
      <w:start w:val="1"/>
      <w:numFmt w:val="decimal"/>
      <w:lvlText w:val="%4."/>
      <w:lvlJc w:val="left"/>
      <w:pPr>
        <w:ind w:left="5356" w:hanging="360"/>
      </w:pPr>
    </w:lvl>
    <w:lvl w:ilvl="4">
      <w:start w:val="1"/>
      <w:numFmt w:val="lowerLetter"/>
      <w:lvlText w:val="%5."/>
      <w:lvlJc w:val="left"/>
      <w:pPr>
        <w:ind w:left="6076" w:hanging="360"/>
      </w:pPr>
    </w:lvl>
    <w:lvl w:ilvl="5">
      <w:start w:val="1"/>
      <w:numFmt w:val="lowerRoman"/>
      <w:lvlText w:val="%6."/>
      <w:lvlJc w:val="right"/>
      <w:pPr>
        <w:ind w:left="6796" w:hanging="180"/>
      </w:pPr>
    </w:lvl>
    <w:lvl w:ilvl="6">
      <w:start w:val="1"/>
      <w:numFmt w:val="decimal"/>
      <w:lvlText w:val="%7."/>
      <w:lvlJc w:val="left"/>
      <w:pPr>
        <w:ind w:left="7516" w:hanging="360"/>
      </w:pPr>
    </w:lvl>
    <w:lvl w:ilvl="7">
      <w:start w:val="1"/>
      <w:numFmt w:val="lowerLetter"/>
      <w:lvlText w:val="%8."/>
      <w:lvlJc w:val="left"/>
      <w:pPr>
        <w:ind w:left="8236" w:hanging="360"/>
      </w:pPr>
    </w:lvl>
    <w:lvl w:ilvl="8">
      <w:start w:val="1"/>
      <w:numFmt w:val="lowerRoman"/>
      <w:lvlText w:val="%9."/>
      <w:lvlJc w:val="right"/>
      <w:pPr>
        <w:ind w:left="8956" w:hanging="180"/>
      </w:pPr>
    </w:lvl>
  </w:abstractNum>
  <w:abstractNum w:abstractNumId="13" w15:restartNumberingAfterBreak="0">
    <w:nsid w:val="7AE61B37"/>
    <w:multiLevelType w:val="multilevel"/>
    <w:tmpl w:val="7CB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91606">
    <w:abstractNumId w:val="1"/>
  </w:num>
  <w:num w:numId="2" w16cid:durableId="1267156964">
    <w:abstractNumId w:val="0"/>
  </w:num>
  <w:num w:numId="3" w16cid:durableId="414206574">
    <w:abstractNumId w:val="3"/>
  </w:num>
  <w:num w:numId="4" w16cid:durableId="336227493">
    <w:abstractNumId w:val="9"/>
  </w:num>
  <w:num w:numId="5" w16cid:durableId="1593511656">
    <w:abstractNumId w:val="2"/>
  </w:num>
  <w:num w:numId="6" w16cid:durableId="2147119959">
    <w:abstractNumId w:val="7"/>
  </w:num>
  <w:num w:numId="7" w16cid:durableId="2013410766">
    <w:abstractNumId w:val="10"/>
  </w:num>
  <w:num w:numId="8" w16cid:durableId="268853742">
    <w:abstractNumId w:val="12"/>
  </w:num>
  <w:num w:numId="9" w16cid:durableId="217865267">
    <w:abstractNumId w:val="6"/>
  </w:num>
  <w:num w:numId="10" w16cid:durableId="1674919465">
    <w:abstractNumId w:val="5"/>
  </w:num>
  <w:num w:numId="11" w16cid:durableId="260453228">
    <w:abstractNumId w:val="13"/>
  </w:num>
  <w:num w:numId="12" w16cid:durableId="1199702887">
    <w:abstractNumId w:val="7"/>
  </w:num>
  <w:num w:numId="13" w16cid:durableId="763383558">
    <w:abstractNumId w:val="4"/>
  </w:num>
  <w:num w:numId="14" w16cid:durableId="1380207674">
    <w:abstractNumId w:val="7"/>
  </w:num>
  <w:num w:numId="15" w16cid:durableId="656225549">
    <w:abstractNumId w:val="8"/>
  </w:num>
  <w:num w:numId="16" w16cid:durableId="683435391">
    <w:abstractNumId w:val="11"/>
  </w:num>
  <w:num w:numId="17" w16cid:durableId="1085609563">
    <w:abstractNumId w:val="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Schneider">
    <w15:presenceInfo w15:providerId="AD" w15:userId="S::simon.schneider@technikum-wien.at::dfb9465c-ea24-45e7-9f0c-b1948f9238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1"/>
  <w:activeWritingStyle w:appName="MSWord" w:lang="en-US" w:vendorID="64" w:dllVersion="0" w:nlCheck="1" w:checkStyle="0"/>
  <w:activeWritingStyle w:appName="MSWord" w:lang="it-IT" w:vendorID="64" w:dllVersion="0" w:nlCheck="1" w:checkStyle="0"/>
  <w:activeWritingStyle w:appName="MSWord" w:lang="fr-CH" w:vendorID="64" w:dllVersion="0" w:nlCheck="1" w:checkStyle="0"/>
  <w:activeWritingStyle w:appName="MSWord" w:lang="fr-FR" w:vendorID="64" w:dllVersion="0" w:nlCheck="1" w:checkStyle="0"/>
  <w:activeWritingStyle w:appName="MSWord" w:lang="de-CH" w:vendorID="64" w:dllVersion="0" w:nlCheck="1" w:checkStyle="0"/>
  <w:activeWritingStyle w:appName="MSWord" w:lang="fr-FR" w:vendorID="64" w:dllVersion="6" w:nlCheck="1" w:checkStyle="1"/>
  <w:activeWritingStyle w:appName="MSWord" w:lang="fr-CH" w:vendorID="64" w:dllVersion="6" w:nlCheck="1" w:checkStyle="1"/>
  <w:activeWritingStyle w:appName="MSWord" w:lang="es-MX" w:vendorID="64" w:dllVersion="6" w:nlCheck="1" w:checkStyle="1"/>
  <w:activeWritingStyle w:appName="MSWord" w:lang="en-GB" w:vendorID="64" w:dllVersion="0" w:nlCheck="1" w:checkStyle="0"/>
  <w:activeWritingStyle w:appName="MSWord" w:lang="de-DE"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EwMDA2NLIwsTSzNDBX0lEKTi0uzszPAykwrAUAIuLjdywAAAA="/>
  </w:docVars>
  <w:rsids>
    <w:rsidRoot w:val="0038064E"/>
    <w:rsid w:val="000004CE"/>
    <w:rsid w:val="0000061C"/>
    <w:rsid w:val="000006A6"/>
    <w:rsid w:val="00000718"/>
    <w:rsid w:val="00000F94"/>
    <w:rsid w:val="0000212F"/>
    <w:rsid w:val="000026AD"/>
    <w:rsid w:val="00002A54"/>
    <w:rsid w:val="0000343C"/>
    <w:rsid w:val="0000671C"/>
    <w:rsid w:val="00006C9B"/>
    <w:rsid w:val="0001132E"/>
    <w:rsid w:val="00011FA3"/>
    <w:rsid w:val="00011FD0"/>
    <w:rsid w:val="000122D5"/>
    <w:rsid w:val="00012F26"/>
    <w:rsid w:val="000140A5"/>
    <w:rsid w:val="000172A5"/>
    <w:rsid w:val="0001773D"/>
    <w:rsid w:val="00017D8D"/>
    <w:rsid w:val="000203EF"/>
    <w:rsid w:val="00022680"/>
    <w:rsid w:val="000228F5"/>
    <w:rsid w:val="0002567C"/>
    <w:rsid w:val="00025A5A"/>
    <w:rsid w:val="00026DA8"/>
    <w:rsid w:val="00027F79"/>
    <w:rsid w:val="00030A68"/>
    <w:rsid w:val="00030D50"/>
    <w:rsid w:val="000315C9"/>
    <w:rsid w:val="000323B4"/>
    <w:rsid w:val="00033827"/>
    <w:rsid w:val="00034379"/>
    <w:rsid w:val="000358FF"/>
    <w:rsid w:val="00036057"/>
    <w:rsid w:val="00037136"/>
    <w:rsid w:val="00037ED0"/>
    <w:rsid w:val="00040257"/>
    <w:rsid w:val="000402C0"/>
    <w:rsid w:val="0004250D"/>
    <w:rsid w:val="00042A9C"/>
    <w:rsid w:val="00042CC6"/>
    <w:rsid w:val="0004540F"/>
    <w:rsid w:val="00050C3B"/>
    <w:rsid w:val="00050E4D"/>
    <w:rsid w:val="0005151B"/>
    <w:rsid w:val="00052688"/>
    <w:rsid w:val="00053650"/>
    <w:rsid w:val="00053701"/>
    <w:rsid w:val="00055EE7"/>
    <w:rsid w:val="0005723D"/>
    <w:rsid w:val="000604F5"/>
    <w:rsid w:val="00060EB3"/>
    <w:rsid w:val="00060F56"/>
    <w:rsid w:val="000614C7"/>
    <w:rsid w:val="00062B64"/>
    <w:rsid w:val="0006343F"/>
    <w:rsid w:val="00063684"/>
    <w:rsid w:val="00066610"/>
    <w:rsid w:val="00070022"/>
    <w:rsid w:val="000708D9"/>
    <w:rsid w:val="0007110E"/>
    <w:rsid w:val="00071E9B"/>
    <w:rsid w:val="000724DF"/>
    <w:rsid w:val="000750A4"/>
    <w:rsid w:val="000753CD"/>
    <w:rsid w:val="0007764E"/>
    <w:rsid w:val="00077E87"/>
    <w:rsid w:val="000810CC"/>
    <w:rsid w:val="0008129A"/>
    <w:rsid w:val="0008134D"/>
    <w:rsid w:val="00081D8B"/>
    <w:rsid w:val="000827BF"/>
    <w:rsid w:val="00082C97"/>
    <w:rsid w:val="00084467"/>
    <w:rsid w:val="000851F9"/>
    <w:rsid w:val="00086568"/>
    <w:rsid w:val="0008734E"/>
    <w:rsid w:val="000900C0"/>
    <w:rsid w:val="00090BCF"/>
    <w:rsid w:val="0009459D"/>
    <w:rsid w:val="00097792"/>
    <w:rsid w:val="000A2EE3"/>
    <w:rsid w:val="000A3870"/>
    <w:rsid w:val="000A6D02"/>
    <w:rsid w:val="000A6DBD"/>
    <w:rsid w:val="000B05B6"/>
    <w:rsid w:val="000B0DA0"/>
    <w:rsid w:val="000B20ED"/>
    <w:rsid w:val="000B3DF1"/>
    <w:rsid w:val="000B4237"/>
    <w:rsid w:val="000B5069"/>
    <w:rsid w:val="000B50C1"/>
    <w:rsid w:val="000B72CB"/>
    <w:rsid w:val="000B7710"/>
    <w:rsid w:val="000C0917"/>
    <w:rsid w:val="000C3E11"/>
    <w:rsid w:val="000C44D6"/>
    <w:rsid w:val="000C6F5F"/>
    <w:rsid w:val="000C76B5"/>
    <w:rsid w:val="000D2044"/>
    <w:rsid w:val="000D278F"/>
    <w:rsid w:val="000D4F62"/>
    <w:rsid w:val="000D5734"/>
    <w:rsid w:val="000D61B6"/>
    <w:rsid w:val="000D63E9"/>
    <w:rsid w:val="000D6768"/>
    <w:rsid w:val="000D7337"/>
    <w:rsid w:val="000E0FBE"/>
    <w:rsid w:val="000E2084"/>
    <w:rsid w:val="000E2908"/>
    <w:rsid w:val="000E7A0D"/>
    <w:rsid w:val="000F31C8"/>
    <w:rsid w:val="000F3621"/>
    <w:rsid w:val="000F3DBF"/>
    <w:rsid w:val="000F41F5"/>
    <w:rsid w:val="000F46F3"/>
    <w:rsid w:val="000F6B42"/>
    <w:rsid w:val="000F75A1"/>
    <w:rsid w:val="000F7757"/>
    <w:rsid w:val="00101DAA"/>
    <w:rsid w:val="00103EE2"/>
    <w:rsid w:val="001060CE"/>
    <w:rsid w:val="001062D2"/>
    <w:rsid w:val="001066A4"/>
    <w:rsid w:val="00107D25"/>
    <w:rsid w:val="00115983"/>
    <w:rsid w:val="00117F29"/>
    <w:rsid w:val="00120B81"/>
    <w:rsid w:val="00123119"/>
    <w:rsid w:val="001232C1"/>
    <w:rsid w:val="00124181"/>
    <w:rsid w:val="00125D7E"/>
    <w:rsid w:val="00126660"/>
    <w:rsid w:val="00127F70"/>
    <w:rsid w:val="00130B07"/>
    <w:rsid w:val="00131086"/>
    <w:rsid w:val="00132916"/>
    <w:rsid w:val="00133D23"/>
    <w:rsid w:val="001411A8"/>
    <w:rsid w:val="00141218"/>
    <w:rsid w:val="00141250"/>
    <w:rsid w:val="00141B8C"/>
    <w:rsid w:val="00145A84"/>
    <w:rsid w:val="00146146"/>
    <w:rsid w:val="00146285"/>
    <w:rsid w:val="00152972"/>
    <w:rsid w:val="0015628F"/>
    <w:rsid w:val="00156D41"/>
    <w:rsid w:val="00160989"/>
    <w:rsid w:val="00162C36"/>
    <w:rsid w:val="00162CBF"/>
    <w:rsid w:val="00163932"/>
    <w:rsid w:val="00163B5E"/>
    <w:rsid w:val="0016539E"/>
    <w:rsid w:val="00165B94"/>
    <w:rsid w:val="00165F55"/>
    <w:rsid w:val="00166581"/>
    <w:rsid w:val="00166A5E"/>
    <w:rsid w:val="0016721D"/>
    <w:rsid w:val="00170804"/>
    <w:rsid w:val="00170948"/>
    <w:rsid w:val="00170D53"/>
    <w:rsid w:val="00174037"/>
    <w:rsid w:val="00174D3F"/>
    <w:rsid w:val="00174E50"/>
    <w:rsid w:val="00177FA3"/>
    <w:rsid w:val="0018399A"/>
    <w:rsid w:val="00184122"/>
    <w:rsid w:val="00184986"/>
    <w:rsid w:val="00185B8C"/>
    <w:rsid w:val="00186550"/>
    <w:rsid w:val="0018673F"/>
    <w:rsid w:val="00190E53"/>
    <w:rsid w:val="0019297D"/>
    <w:rsid w:val="00193792"/>
    <w:rsid w:val="001937E8"/>
    <w:rsid w:val="00193DCC"/>
    <w:rsid w:val="0019475E"/>
    <w:rsid w:val="00195224"/>
    <w:rsid w:val="001963D6"/>
    <w:rsid w:val="001969AC"/>
    <w:rsid w:val="00197D36"/>
    <w:rsid w:val="001A0808"/>
    <w:rsid w:val="001A1CE7"/>
    <w:rsid w:val="001A2305"/>
    <w:rsid w:val="001A254F"/>
    <w:rsid w:val="001A260C"/>
    <w:rsid w:val="001A2787"/>
    <w:rsid w:val="001A2C0B"/>
    <w:rsid w:val="001A2CE4"/>
    <w:rsid w:val="001A4B7C"/>
    <w:rsid w:val="001A4E70"/>
    <w:rsid w:val="001A539A"/>
    <w:rsid w:val="001A5901"/>
    <w:rsid w:val="001A6290"/>
    <w:rsid w:val="001A764E"/>
    <w:rsid w:val="001B1306"/>
    <w:rsid w:val="001B1C7B"/>
    <w:rsid w:val="001B2D05"/>
    <w:rsid w:val="001B3203"/>
    <w:rsid w:val="001B3231"/>
    <w:rsid w:val="001B3DFB"/>
    <w:rsid w:val="001B4DCB"/>
    <w:rsid w:val="001B694A"/>
    <w:rsid w:val="001B6B68"/>
    <w:rsid w:val="001B7596"/>
    <w:rsid w:val="001B77EB"/>
    <w:rsid w:val="001C06FC"/>
    <w:rsid w:val="001C0946"/>
    <w:rsid w:val="001C19EB"/>
    <w:rsid w:val="001C22D0"/>
    <w:rsid w:val="001C2D7C"/>
    <w:rsid w:val="001C5334"/>
    <w:rsid w:val="001C7997"/>
    <w:rsid w:val="001D0E3E"/>
    <w:rsid w:val="001D1DE1"/>
    <w:rsid w:val="001D1EA4"/>
    <w:rsid w:val="001D272B"/>
    <w:rsid w:val="001D3AC5"/>
    <w:rsid w:val="001D72E0"/>
    <w:rsid w:val="001E2339"/>
    <w:rsid w:val="001E3589"/>
    <w:rsid w:val="001E393C"/>
    <w:rsid w:val="001E4F81"/>
    <w:rsid w:val="001E5692"/>
    <w:rsid w:val="001E7FAA"/>
    <w:rsid w:val="001F1488"/>
    <w:rsid w:val="001F2C1B"/>
    <w:rsid w:val="001F5874"/>
    <w:rsid w:val="001F673C"/>
    <w:rsid w:val="001F6BE7"/>
    <w:rsid w:val="001F7D65"/>
    <w:rsid w:val="002007C8"/>
    <w:rsid w:val="00200E47"/>
    <w:rsid w:val="00201002"/>
    <w:rsid w:val="00201192"/>
    <w:rsid w:val="00201604"/>
    <w:rsid w:val="00203A66"/>
    <w:rsid w:val="0020633A"/>
    <w:rsid w:val="00207247"/>
    <w:rsid w:val="0020731E"/>
    <w:rsid w:val="00207AC6"/>
    <w:rsid w:val="002103AC"/>
    <w:rsid w:val="002117DA"/>
    <w:rsid w:val="00214AF5"/>
    <w:rsid w:val="00216A7F"/>
    <w:rsid w:val="002174FD"/>
    <w:rsid w:val="002217DC"/>
    <w:rsid w:val="002217FC"/>
    <w:rsid w:val="00225E12"/>
    <w:rsid w:val="00226295"/>
    <w:rsid w:val="002263BC"/>
    <w:rsid w:val="00226792"/>
    <w:rsid w:val="00227D61"/>
    <w:rsid w:val="00230C67"/>
    <w:rsid w:val="00231C66"/>
    <w:rsid w:val="002324EA"/>
    <w:rsid w:val="002330A6"/>
    <w:rsid w:val="00234AB0"/>
    <w:rsid w:val="0023565B"/>
    <w:rsid w:val="002357BE"/>
    <w:rsid w:val="00236585"/>
    <w:rsid w:val="0023706C"/>
    <w:rsid w:val="0023778B"/>
    <w:rsid w:val="002410FE"/>
    <w:rsid w:val="002415F9"/>
    <w:rsid w:val="00241909"/>
    <w:rsid w:val="0024207C"/>
    <w:rsid w:val="00243596"/>
    <w:rsid w:val="00243C1F"/>
    <w:rsid w:val="00246490"/>
    <w:rsid w:val="002520DC"/>
    <w:rsid w:val="00252977"/>
    <w:rsid w:val="00253D84"/>
    <w:rsid w:val="00254420"/>
    <w:rsid w:val="00254AB4"/>
    <w:rsid w:val="002566F7"/>
    <w:rsid w:val="002575DA"/>
    <w:rsid w:val="00257AD4"/>
    <w:rsid w:val="002600EC"/>
    <w:rsid w:val="0026021D"/>
    <w:rsid w:val="00261397"/>
    <w:rsid w:val="00261720"/>
    <w:rsid w:val="002624ED"/>
    <w:rsid w:val="002625B3"/>
    <w:rsid w:val="00264F75"/>
    <w:rsid w:val="00265073"/>
    <w:rsid w:val="00271342"/>
    <w:rsid w:val="00271D53"/>
    <w:rsid w:val="00272096"/>
    <w:rsid w:val="0027262E"/>
    <w:rsid w:val="002736F4"/>
    <w:rsid w:val="002743DD"/>
    <w:rsid w:val="00274547"/>
    <w:rsid w:val="002751F6"/>
    <w:rsid w:val="002762FF"/>
    <w:rsid w:val="00280B39"/>
    <w:rsid w:val="002816CE"/>
    <w:rsid w:val="00283BF2"/>
    <w:rsid w:val="00293693"/>
    <w:rsid w:val="002936FC"/>
    <w:rsid w:val="00293E56"/>
    <w:rsid w:val="0029759B"/>
    <w:rsid w:val="00297E12"/>
    <w:rsid w:val="002A0F2C"/>
    <w:rsid w:val="002A14DA"/>
    <w:rsid w:val="002A181C"/>
    <w:rsid w:val="002A2D26"/>
    <w:rsid w:val="002A4DAA"/>
    <w:rsid w:val="002A53DE"/>
    <w:rsid w:val="002A6BE4"/>
    <w:rsid w:val="002A7B6B"/>
    <w:rsid w:val="002B04D6"/>
    <w:rsid w:val="002B2C77"/>
    <w:rsid w:val="002B3BE2"/>
    <w:rsid w:val="002B3C2B"/>
    <w:rsid w:val="002B4468"/>
    <w:rsid w:val="002B450D"/>
    <w:rsid w:val="002B4E75"/>
    <w:rsid w:val="002B51BC"/>
    <w:rsid w:val="002B5FF9"/>
    <w:rsid w:val="002B7818"/>
    <w:rsid w:val="002B7EBB"/>
    <w:rsid w:val="002C01F0"/>
    <w:rsid w:val="002C02F1"/>
    <w:rsid w:val="002C20FE"/>
    <w:rsid w:val="002C4625"/>
    <w:rsid w:val="002C6DE0"/>
    <w:rsid w:val="002C707C"/>
    <w:rsid w:val="002C719B"/>
    <w:rsid w:val="002C7F6C"/>
    <w:rsid w:val="002D07B2"/>
    <w:rsid w:val="002D419E"/>
    <w:rsid w:val="002D498A"/>
    <w:rsid w:val="002D610E"/>
    <w:rsid w:val="002D7E1D"/>
    <w:rsid w:val="002E1118"/>
    <w:rsid w:val="002E1860"/>
    <w:rsid w:val="002E3A54"/>
    <w:rsid w:val="002E507D"/>
    <w:rsid w:val="002E5AB0"/>
    <w:rsid w:val="002E6D3C"/>
    <w:rsid w:val="002E7162"/>
    <w:rsid w:val="002F07D8"/>
    <w:rsid w:val="002F1C7A"/>
    <w:rsid w:val="002F4BA9"/>
    <w:rsid w:val="002F6289"/>
    <w:rsid w:val="002F684D"/>
    <w:rsid w:val="00300920"/>
    <w:rsid w:val="00300D3F"/>
    <w:rsid w:val="0030244C"/>
    <w:rsid w:val="00302B08"/>
    <w:rsid w:val="00302B85"/>
    <w:rsid w:val="0030469D"/>
    <w:rsid w:val="0030620D"/>
    <w:rsid w:val="00306498"/>
    <w:rsid w:val="0030771A"/>
    <w:rsid w:val="003129A4"/>
    <w:rsid w:val="00312AC1"/>
    <w:rsid w:val="00312C52"/>
    <w:rsid w:val="003138BD"/>
    <w:rsid w:val="00313C7E"/>
    <w:rsid w:val="00313F8F"/>
    <w:rsid w:val="00314014"/>
    <w:rsid w:val="003152E4"/>
    <w:rsid w:val="003166B7"/>
    <w:rsid w:val="00320B7C"/>
    <w:rsid w:val="003220D5"/>
    <w:rsid w:val="00322167"/>
    <w:rsid w:val="00322E61"/>
    <w:rsid w:val="00324240"/>
    <w:rsid w:val="00324CDA"/>
    <w:rsid w:val="00325789"/>
    <w:rsid w:val="00327519"/>
    <w:rsid w:val="0032752B"/>
    <w:rsid w:val="0033172C"/>
    <w:rsid w:val="00333DF0"/>
    <w:rsid w:val="003346F7"/>
    <w:rsid w:val="0033599C"/>
    <w:rsid w:val="003371CA"/>
    <w:rsid w:val="00337456"/>
    <w:rsid w:val="00341124"/>
    <w:rsid w:val="003423C8"/>
    <w:rsid w:val="0034271F"/>
    <w:rsid w:val="00342D71"/>
    <w:rsid w:val="00343BA5"/>
    <w:rsid w:val="00343C3D"/>
    <w:rsid w:val="00344131"/>
    <w:rsid w:val="00344960"/>
    <w:rsid w:val="00344A68"/>
    <w:rsid w:val="003475D6"/>
    <w:rsid w:val="00351BE8"/>
    <w:rsid w:val="00351D55"/>
    <w:rsid w:val="003526A4"/>
    <w:rsid w:val="00352B19"/>
    <w:rsid w:val="00354F62"/>
    <w:rsid w:val="00355E93"/>
    <w:rsid w:val="0036133C"/>
    <w:rsid w:val="003616F7"/>
    <w:rsid w:val="003635EE"/>
    <w:rsid w:val="003648E4"/>
    <w:rsid w:val="00365838"/>
    <w:rsid w:val="00365F7F"/>
    <w:rsid w:val="00366F1A"/>
    <w:rsid w:val="00367C57"/>
    <w:rsid w:val="003721D6"/>
    <w:rsid w:val="003728A8"/>
    <w:rsid w:val="00372E38"/>
    <w:rsid w:val="003736D2"/>
    <w:rsid w:val="00373F2E"/>
    <w:rsid w:val="0037466D"/>
    <w:rsid w:val="00375B88"/>
    <w:rsid w:val="00376957"/>
    <w:rsid w:val="00380356"/>
    <w:rsid w:val="0038064E"/>
    <w:rsid w:val="00380BD1"/>
    <w:rsid w:val="003823D8"/>
    <w:rsid w:val="00384E81"/>
    <w:rsid w:val="00385409"/>
    <w:rsid w:val="0038670C"/>
    <w:rsid w:val="00386C4F"/>
    <w:rsid w:val="00387082"/>
    <w:rsid w:val="00387D02"/>
    <w:rsid w:val="00387D49"/>
    <w:rsid w:val="00392F35"/>
    <w:rsid w:val="003933C0"/>
    <w:rsid w:val="00393554"/>
    <w:rsid w:val="003941E0"/>
    <w:rsid w:val="00395B7F"/>
    <w:rsid w:val="00395BC3"/>
    <w:rsid w:val="00395FBF"/>
    <w:rsid w:val="00396E1B"/>
    <w:rsid w:val="00396F89"/>
    <w:rsid w:val="00397B86"/>
    <w:rsid w:val="003A0029"/>
    <w:rsid w:val="003A18CC"/>
    <w:rsid w:val="003A1C6A"/>
    <w:rsid w:val="003A2CD4"/>
    <w:rsid w:val="003A3361"/>
    <w:rsid w:val="003A33F1"/>
    <w:rsid w:val="003A4C44"/>
    <w:rsid w:val="003A56E5"/>
    <w:rsid w:val="003A672F"/>
    <w:rsid w:val="003A74C7"/>
    <w:rsid w:val="003B02AD"/>
    <w:rsid w:val="003B05AA"/>
    <w:rsid w:val="003B3F0F"/>
    <w:rsid w:val="003B53D4"/>
    <w:rsid w:val="003B5D6B"/>
    <w:rsid w:val="003B79DE"/>
    <w:rsid w:val="003C038D"/>
    <w:rsid w:val="003C26E1"/>
    <w:rsid w:val="003C37B4"/>
    <w:rsid w:val="003C43F1"/>
    <w:rsid w:val="003C6E54"/>
    <w:rsid w:val="003C6EDB"/>
    <w:rsid w:val="003C6F64"/>
    <w:rsid w:val="003C716B"/>
    <w:rsid w:val="003D0BD7"/>
    <w:rsid w:val="003D0D47"/>
    <w:rsid w:val="003D4255"/>
    <w:rsid w:val="003D61F4"/>
    <w:rsid w:val="003D63B0"/>
    <w:rsid w:val="003D6B53"/>
    <w:rsid w:val="003D6CB3"/>
    <w:rsid w:val="003D7EE0"/>
    <w:rsid w:val="003E22FC"/>
    <w:rsid w:val="003E291C"/>
    <w:rsid w:val="003E2BBF"/>
    <w:rsid w:val="003E3018"/>
    <w:rsid w:val="003E38A2"/>
    <w:rsid w:val="003E4997"/>
    <w:rsid w:val="003E55EF"/>
    <w:rsid w:val="003E7161"/>
    <w:rsid w:val="003F0EEC"/>
    <w:rsid w:val="003F1538"/>
    <w:rsid w:val="003F163B"/>
    <w:rsid w:val="003F34C2"/>
    <w:rsid w:val="003F3A62"/>
    <w:rsid w:val="003F404C"/>
    <w:rsid w:val="003F559A"/>
    <w:rsid w:val="003F7DB2"/>
    <w:rsid w:val="00401941"/>
    <w:rsid w:val="00401D85"/>
    <w:rsid w:val="00403410"/>
    <w:rsid w:val="004043FE"/>
    <w:rsid w:val="0040526B"/>
    <w:rsid w:val="00405ACB"/>
    <w:rsid w:val="00405FCB"/>
    <w:rsid w:val="00407CFD"/>
    <w:rsid w:val="004101BF"/>
    <w:rsid w:val="00411240"/>
    <w:rsid w:val="004115A1"/>
    <w:rsid w:val="004129C2"/>
    <w:rsid w:val="00413E72"/>
    <w:rsid w:val="00417A13"/>
    <w:rsid w:val="00420D78"/>
    <w:rsid w:val="004212B2"/>
    <w:rsid w:val="00421832"/>
    <w:rsid w:val="00423882"/>
    <w:rsid w:val="00423B2A"/>
    <w:rsid w:val="004242F3"/>
    <w:rsid w:val="00424625"/>
    <w:rsid w:val="00424DD0"/>
    <w:rsid w:val="004253B2"/>
    <w:rsid w:val="00425558"/>
    <w:rsid w:val="00425D91"/>
    <w:rsid w:val="0042741B"/>
    <w:rsid w:val="004311D6"/>
    <w:rsid w:val="00433145"/>
    <w:rsid w:val="00433397"/>
    <w:rsid w:val="004346F5"/>
    <w:rsid w:val="00436345"/>
    <w:rsid w:val="004372D8"/>
    <w:rsid w:val="004424E1"/>
    <w:rsid w:val="00443E68"/>
    <w:rsid w:val="00444F29"/>
    <w:rsid w:val="00445F87"/>
    <w:rsid w:val="0044715F"/>
    <w:rsid w:val="0045048F"/>
    <w:rsid w:val="00450B23"/>
    <w:rsid w:val="00450C47"/>
    <w:rsid w:val="00450F4D"/>
    <w:rsid w:val="00451C99"/>
    <w:rsid w:val="004547DF"/>
    <w:rsid w:val="004555AD"/>
    <w:rsid w:val="00455985"/>
    <w:rsid w:val="004576CA"/>
    <w:rsid w:val="00457B62"/>
    <w:rsid w:val="00457FBB"/>
    <w:rsid w:val="0046072F"/>
    <w:rsid w:val="00461365"/>
    <w:rsid w:val="00462734"/>
    <w:rsid w:val="00462D86"/>
    <w:rsid w:val="00463C80"/>
    <w:rsid w:val="00464025"/>
    <w:rsid w:val="004645A0"/>
    <w:rsid w:val="004656A3"/>
    <w:rsid w:val="0046687F"/>
    <w:rsid w:val="004669E2"/>
    <w:rsid w:val="00466D03"/>
    <w:rsid w:val="00470EB0"/>
    <w:rsid w:val="00471CE0"/>
    <w:rsid w:val="00471E91"/>
    <w:rsid w:val="0047230A"/>
    <w:rsid w:val="0047266A"/>
    <w:rsid w:val="00472AAF"/>
    <w:rsid w:val="0047408B"/>
    <w:rsid w:val="004758E8"/>
    <w:rsid w:val="00477795"/>
    <w:rsid w:val="00477C04"/>
    <w:rsid w:val="00477E62"/>
    <w:rsid w:val="004808B3"/>
    <w:rsid w:val="00482031"/>
    <w:rsid w:val="004830A4"/>
    <w:rsid w:val="00484A89"/>
    <w:rsid w:val="00485598"/>
    <w:rsid w:val="00485F62"/>
    <w:rsid w:val="004867A9"/>
    <w:rsid w:val="00487C4D"/>
    <w:rsid w:val="00490C08"/>
    <w:rsid w:val="00490E43"/>
    <w:rsid w:val="0049139F"/>
    <w:rsid w:val="00491D62"/>
    <w:rsid w:val="004924AB"/>
    <w:rsid w:val="0049312C"/>
    <w:rsid w:val="004938DA"/>
    <w:rsid w:val="0049409E"/>
    <w:rsid w:val="00495587"/>
    <w:rsid w:val="00497FB5"/>
    <w:rsid w:val="004A2239"/>
    <w:rsid w:val="004A40D7"/>
    <w:rsid w:val="004A4185"/>
    <w:rsid w:val="004A4404"/>
    <w:rsid w:val="004A4A43"/>
    <w:rsid w:val="004B21DD"/>
    <w:rsid w:val="004B2759"/>
    <w:rsid w:val="004B4F1E"/>
    <w:rsid w:val="004B57E1"/>
    <w:rsid w:val="004B6324"/>
    <w:rsid w:val="004B6B0A"/>
    <w:rsid w:val="004B7B65"/>
    <w:rsid w:val="004B7DE9"/>
    <w:rsid w:val="004C2A75"/>
    <w:rsid w:val="004C45BE"/>
    <w:rsid w:val="004C5D80"/>
    <w:rsid w:val="004C606A"/>
    <w:rsid w:val="004C653B"/>
    <w:rsid w:val="004C6A4B"/>
    <w:rsid w:val="004C6B87"/>
    <w:rsid w:val="004C73FA"/>
    <w:rsid w:val="004C78F6"/>
    <w:rsid w:val="004D0E92"/>
    <w:rsid w:val="004D19A6"/>
    <w:rsid w:val="004D3532"/>
    <w:rsid w:val="004D5166"/>
    <w:rsid w:val="004D66CA"/>
    <w:rsid w:val="004D7268"/>
    <w:rsid w:val="004E1D3E"/>
    <w:rsid w:val="004E2904"/>
    <w:rsid w:val="004E2F76"/>
    <w:rsid w:val="004E4308"/>
    <w:rsid w:val="004E4843"/>
    <w:rsid w:val="004E543C"/>
    <w:rsid w:val="004E6AC3"/>
    <w:rsid w:val="004E6D09"/>
    <w:rsid w:val="004F56A2"/>
    <w:rsid w:val="004F5D35"/>
    <w:rsid w:val="004F7E94"/>
    <w:rsid w:val="00503D9E"/>
    <w:rsid w:val="00504DC1"/>
    <w:rsid w:val="005051CF"/>
    <w:rsid w:val="005059E1"/>
    <w:rsid w:val="00506129"/>
    <w:rsid w:val="00507BB4"/>
    <w:rsid w:val="00507E86"/>
    <w:rsid w:val="00507F74"/>
    <w:rsid w:val="00507FA0"/>
    <w:rsid w:val="00511563"/>
    <w:rsid w:val="00511A1A"/>
    <w:rsid w:val="00512E51"/>
    <w:rsid w:val="005146A3"/>
    <w:rsid w:val="005153D8"/>
    <w:rsid w:val="005153EE"/>
    <w:rsid w:val="00515BB1"/>
    <w:rsid w:val="00515F54"/>
    <w:rsid w:val="005167AF"/>
    <w:rsid w:val="005178CF"/>
    <w:rsid w:val="005213EF"/>
    <w:rsid w:val="00522DA5"/>
    <w:rsid w:val="005232F2"/>
    <w:rsid w:val="005233D7"/>
    <w:rsid w:val="005245E6"/>
    <w:rsid w:val="005246F5"/>
    <w:rsid w:val="00525358"/>
    <w:rsid w:val="00530603"/>
    <w:rsid w:val="00530DFA"/>
    <w:rsid w:val="0053206B"/>
    <w:rsid w:val="00532089"/>
    <w:rsid w:val="005335F6"/>
    <w:rsid w:val="00533E7C"/>
    <w:rsid w:val="00534194"/>
    <w:rsid w:val="00534BD2"/>
    <w:rsid w:val="0053568D"/>
    <w:rsid w:val="00536C0A"/>
    <w:rsid w:val="00536E68"/>
    <w:rsid w:val="00537F12"/>
    <w:rsid w:val="0054067A"/>
    <w:rsid w:val="00541646"/>
    <w:rsid w:val="005424A4"/>
    <w:rsid w:val="00543373"/>
    <w:rsid w:val="00545C04"/>
    <w:rsid w:val="005477CB"/>
    <w:rsid w:val="005524F0"/>
    <w:rsid w:val="00555705"/>
    <w:rsid w:val="00562FCE"/>
    <w:rsid w:val="00563116"/>
    <w:rsid w:val="00567E08"/>
    <w:rsid w:val="00570825"/>
    <w:rsid w:val="00570D4C"/>
    <w:rsid w:val="00571AF9"/>
    <w:rsid w:val="005728B8"/>
    <w:rsid w:val="00572BE2"/>
    <w:rsid w:val="00573667"/>
    <w:rsid w:val="005737F3"/>
    <w:rsid w:val="005740E3"/>
    <w:rsid w:val="00574B4D"/>
    <w:rsid w:val="00575993"/>
    <w:rsid w:val="0057764E"/>
    <w:rsid w:val="00577A30"/>
    <w:rsid w:val="0058107A"/>
    <w:rsid w:val="00581447"/>
    <w:rsid w:val="00582110"/>
    <w:rsid w:val="005826A0"/>
    <w:rsid w:val="00582DC1"/>
    <w:rsid w:val="00584271"/>
    <w:rsid w:val="0058486D"/>
    <w:rsid w:val="00584FCD"/>
    <w:rsid w:val="00585077"/>
    <w:rsid w:val="00585459"/>
    <w:rsid w:val="005854E1"/>
    <w:rsid w:val="00585B57"/>
    <w:rsid w:val="00586FD9"/>
    <w:rsid w:val="005905BF"/>
    <w:rsid w:val="00592A6A"/>
    <w:rsid w:val="00592C54"/>
    <w:rsid w:val="00592E80"/>
    <w:rsid w:val="00594628"/>
    <w:rsid w:val="005959CC"/>
    <w:rsid w:val="00595D75"/>
    <w:rsid w:val="005A0740"/>
    <w:rsid w:val="005A0B72"/>
    <w:rsid w:val="005A2E7A"/>
    <w:rsid w:val="005A3673"/>
    <w:rsid w:val="005A4036"/>
    <w:rsid w:val="005A4583"/>
    <w:rsid w:val="005A5598"/>
    <w:rsid w:val="005A5C73"/>
    <w:rsid w:val="005A5DA1"/>
    <w:rsid w:val="005A61DE"/>
    <w:rsid w:val="005A71D8"/>
    <w:rsid w:val="005A758C"/>
    <w:rsid w:val="005A798F"/>
    <w:rsid w:val="005A7DF7"/>
    <w:rsid w:val="005B1F8D"/>
    <w:rsid w:val="005B3100"/>
    <w:rsid w:val="005B3963"/>
    <w:rsid w:val="005B3D5C"/>
    <w:rsid w:val="005B524D"/>
    <w:rsid w:val="005B7586"/>
    <w:rsid w:val="005C0D6D"/>
    <w:rsid w:val="005C12D8"/>
    <w:rsid w:val="005C14F6"/>
    <w:rsid w:val="005C3B58"/>
    <w:rsid w:val="005C530C"/>
    <w:rsid w:val="005C6649"/>
    <w:rsid w:val="005C69AA"/>
    <w:rsid w:val="005D37F7"/>
    <w:rsid w:val="005D3F82"/>
    <w:rsid w:val="005D4267"/>
    <w:rsid w:val="005D78D6"/>
    <w:rsid w:val="005E10AB"/>
    <w:rsid w:val="005E143D"/>
    <w:rsid w:val="005E1AA0"/>
    <w:rsid w:val="005E41AB"/>
    <w:rsid w:val="005E616E"/>
    <w:rsid w:val="005F0ECD"/>
    <w:rsid w:val="005F22F7"/>
    <w:rsid w:val="005F4986"/>
    <w:rsid w:val="005F524B"/>
    <w:rsid w:val="006005E1"/>
    <w:rsid w:val="0060138C"/>
    <w:rsid w:val="006015F2"/>
    <w:rsid w:val="00601DF8"/>
    <w:rsid w:val="006035EA"/>
    <w:rsid w:val="00604968"/>
    <w:rsid w:val="00604B4D"/>
    <w:rsid w:val="006053D0"/>
    <w:rsid w:val="006059FC"/>
    <w:rsid w:val="0060686F"/>
    <w:rsid w:val="00610A0D"/>
    <w:rsid w:val="00613B0B"/>
    <w:rsid w:val="00615618"/>
    <w:rsid w:val="00615829"/>
    <w:rsid w:val="0061606A"/>
    <w:rsid w:val="00616AE0"/>
    <w:rsid w:val="00617A46"/>
    <w:rsid w:val="00620463"/>
    <w:rsid w:val="00620BBC"/>
    <w:rsid w:val="00631AF9"/>
    <w:rsid w:val="006324F5"/>
    <w:rsid w:val="00632B58"/>
    <w:rsid w:val="00632F14"/>
    <w:rsid w:val="00634291"/>
    <w:rsid w:val="00635858"/>
    <w:rsid w:val="00635B7E"/>
    <w:rsid w:val="00636614"/>
    <w:rsid w:val="006367E1"/>
    <w:rsid w:val="00637BC8"/>
    <w:rsid w:val="00637ED0"/>
    <w:rsid w:val="0064193B"/>
    <w:rsid w:val="00641F46"/>
    <w:rsid w:val="00644B83"/>
    <w:rsid w:val="00644DDD"/>
    <w:rsid w:val="00644E36"/>
    <w:rsid w:val="006460AA"/>
    <w:rsid w:val="0064690E"/>
    <w:rsid w:val="00646F70"/>
    <w:rsid w:val="0064705A"/>
    <w:rsid w:val="006516E0"/>
    <w:rsid w:val="00653FD1"/>
    <w:rsid w:val="00654CD2"/>
    <w:rsid w:val="00655EF4"/>
    <w:rsid w:val="006572DD"/>
    <w:rsid w:val="00660C4B"/>
    <w:rsid w:val="00661F22"/>
    <w:rsid w:val="00662162"/>
    <w:rsid w:val="00662E84"/>
    <w:rsid w:val="00662F46"/>
    <w:rsid w:val="00664572"/>
    <w:rsid w:val="00665535"/>
    <w:rsid w:val="00665C97"/>
    <w:rsid w:val="006719CA"/>
    <w:rsid w:val="00673DAC"/>
    <w:rsid w:val="006744A3"/>
    <w:rsid w:val="006749CA"/>
    <w:rsid w:val="0067521E"/>
    <w:rsid w:val="00675709"/>
    <w:rsid w:val="00675EFF"/>
    <w:rsid w:val="00676351"/>
    <w:rsid w:val="006763ED"/>
    <w:rsid w:val="00682B4F"/>
    <w:rsid w:val="00686FC8"/>
    <w:rsid w:val="00687C8E"/>
    <w:rsid w:val="00690ADC"/>
    <w:rsid w:val="00691041"/>
    <w:rsid w:val="0069117D"/>
    <w:rsid w:val="00691485"/>
    <w:rsid w:val="006927D5"/>
    <w:rsid w:val="00692DC1"/>
    <w:rsid w:val="00692DEF"/>
    <w:rsid w:val="006933E5"/>
    <w:rsid w:val="006940E0"/>
    <w:rsid w:val="006947B7"/>
    <w:rsid w:val="00695F69"/>
    <w:rsid w:val="0069601D"/>
    <w:rsid w:val="00696075"/>
    <w:rsid w:val="00696408"/>
    <w:rsid w:val="00697C9E"/>
    <w:rsid w:val="006A0C52"/>
    <w:rsid w:val="006A19DE"/>
    <w:rsid w:val="006A3017"/>
    <w:rsid w:val="006A40FF"/>
    <w:rsid w:val="006A4E25"/>
    <w:rsid w:val="006A5969"/>
    <w:rsid w:val="006A62A8"/>
    <w:rsid w:val="006A7925"/>
    <w:rsid w:val="006A7CB0"/>
    <w:rsid w:val="006B0BEB"/>
    <w:rsid w:val="006B3120"/>
    <w:rsid w:val="006B4050"/>
    <w:rsid w:val="006B4E17"/>
    <w:rsid w:val="006C1ECE"/>
    <w:rsid w:val="006C23AB"/>
    <w:rsid w:val="006C324B"/>
    <w:rsid w:val="006C77C7"/>
    <w:rsid w:val="006D1ACF"/>
    <w:rsid w:val="006D2C02"/>
    <w:rsid w:val="006D30F4"/>
    <w:rsid w:val="006D57F2"/>
    <w:rsid w:val="006D5ABD"/>
    <w:rsid w:val="006D5ED4"/>
    <w:rsid w:val="006D5F2C"/>
    <w:rsid w:val="006D7F3B"/>
    <w:rsid w:val="006E23BE"/>
    <w:rsid w:val="006E33FC"/>
    <w:rsid w:val="006E43E7"/>
    <w:rsid w:val="006E6A9C"/>
    <w:rsid w:val="006F2549"/>
    <w:rsid w:val="006F25A4"/>
    <w:rsid w:val="006F25D9"/>
    <w:rsid w:val="006F298C"/>
    <w:rsid w:val="006F2B80"/>
    <w:rsid w:val="006F35E2"/>
    <w:rsid w:val="006F3783"/>
    <w:rsid w:val="006F4DB9"/>
    <w:rsid w:val="006F5977"/>
    <w:rsid w:val="006F5CD9"/>
    <w:rsid w:val="006F62B7"/>
    <w:rsid w:val="006F66B2"/>
    <w:rsid w:val="006F6817"/>
    <w:rsid w:val="00701DBE"/>
    <w:rsid w:val="007039B0"/>
    <w:rsid w:val="007044E7"/>
    <w:rsid w:val="0070451C"/>
    <w:rsid w:val="007067B2"/>
    <w:rsid w:val="007067F4"/>
    <w:rsid w:val="0071006E"/>
    <w:rsid w:val="0071190A"/>
    <w:rsid w:val="00711D1C"/>
    <w:rsid w:val="0071591D"/>
    <w:rsid w:val="007166F2"/>
    <w:rsid w:val="007204D4"/>
    <w:rsid w:val="007213F1"/>
    <w:rsid w:val="00721597"/>
    <w:rsid w:val="007236F2"/>
    <w:rsid w:val="00723BCB"/>
    <w:rsid w:val="00724BD8"/>
    <w:rsid w:val="00726555"/>
    <w:rsid w:val="00726FCE"/>
    <w:rsid w:val="007278D8"/>
    <w:rsid w:val="007335A6"/>
    <w:rsid w:val="007343D7"/>
    <w:rsid w:val="00736196"/>
    <w:rsid w:val="00736A4A"/>
    <w:rsid w:val="00737DB0"/>
    <w:rsid w:val="00741889"/>
    <w:rsid w:val="00741E93"/>
    <w:rsid w:val="00742B89"/>
    <w:rsid w:val="00746158"/>
    <w:rsid w:val="007473EE"/>
    <w:rsid w:val="00747D1D"/>
    <w:rsid w:val="00755C21"/>
    <w:rsid w:val="00756074"/>
    <w:rsid w:val="007563E6"/>
    <w:rsid w:val="00756D88"/>
    <w:rsid w:val="00757871"/>
    <w:rsid w:val="00761447"/>
    <w:rsid w:val="00762216"/>
    <w:rsid w:val="00763D0B"/>
    <w:rsid w:val="00764161"/>
    <w:rsid w:val="00764921"/>
    <w:rsid w:val="00764EA6"/>
    <w:rsid w:val="00765E5F"/>
    <w:rsid w:val="00766B4C"/>
    <w:rsid w:val="007679EC"/>
    <w:rsid w:val="00767A64"/>
    <w:rsid w:val="00770427"/>
    <w:rsid w:val="00772110"/>
    <w:rsid w:val="007728B1"/>
    <w:rsid w:val="007744A7"/>
    <w:rsid w:val="007772CA"/>
    <w:rsid w:val="00780E01"/>
    <w:rsid w:val="00780E75"/>
    <w:rsid w:val="00781A61"/>
    <w:rsid w:val="00781F10"/>
    <w:rsid w:val="00784F31"/>
    <w:rsid w:val="007906EE"/>
    <w:rsid w:val="00790736"/>
    <w:rsid w:val="00792130"/>
    <w:rsid w:val="00793A58"/>
    <w:rsid w:val="00795C39"/>
    <w:rsid w:val="00796523"/>
    <w:rsid w:val="00796BA1"/>
    <w:rsid w:val="007970CF"/>
    <w:rsid w:val="00797203"/>
    <w:rsid w:val="00797472"/>
    <w:rsid w:val="007A025E"/>
    <w:rsid w:val="007A0876"/>
    <w:rsid w:val="007A1A92"/>
    <w:rsid w:val="007A29BD"/>
    <w:rsid w:val="007A4BCE"/>
    <w:rsid w:val="007A4C34"/>
    <w:rsid w:val="007A4CBC"/>
    <w:rsid w:val="007A5A24"/>
    <w:rsid w:val="007A6CA8"/>
    <w:rsid w:val="007A6E9E"/>
    <w:rsid w:val="007A755F"/>
    <w:rsid w:val="007B18B2"/>
    <w:rsid w:val="007B3ECB"/>
    <w:rsid w:val="007B4FAC"/>
    <w:rsid w:val="007B6433"/>
    <w:rsid w:val="007B6C75"/>
    <w:rsid w:val="007B6E53"/>
    <w:rsid w:val="007B7DBB"/>
    <w:rsid w:val="007C0C47"/>
    <w:rsid w:val="007C0CE7"/>
    <w:rsid w:val="007C140D"/>
    <w:rsid w:val="007C5387"/>
    <w:rsid w:val="007C5FCD"/>
    <w:rsid w:val="007D0E96"/>
    <w:rsid w:val="007D2024"/>
    <w:rsid w:val="007D24D3"/>
    <w:rsid w:val="007D3E67"/>
    <w:rsid w:val="007D46F3"/>
    <w:rsid w:val="007D6295"/>
    <w:rsid w:val="007D64F4"/>
    <w:rsid w:val="007D6F59"/>
    <w:rsid w:val="007D7714"/>
    <w:rsid w:val="007D7E87"/>
    <w:rsid w:val="007E10E2"/>
    <w:rsid w:val="007E1172"/>
    <w:rsid w:val="007E1503"/>
    <w:rsid w:val="007E1732"/>
    <w:rsid w:val="007E1A73"/>
    <w:rsid w:val="007E225B"/>
    <w:rsid w:val="007E3078"/>
    <w:rsid w:val="007E3578"/>
    <w:rsid w:val="007E39AE"/>
    <w:rsid w:val="007E6C49"/>
    <w:rsid w:val="007E730D"/>
    <w:rsid w:val="007E7E91"/>
    <w:rsid w:val="007F0BC3"/>
    <w:rsid w:val="007F1495"/>
    <w:rsid w:val="007F3856"/>
    <w:rsid w:val="007F51DC"/>
    <w:rsid w:val="007F554B"/>
    <w:rsid w:val="007F5DE7"/>
    <w:rsid w:val="007F6039"/>
    <w:rsid w:val="007F679A"/>
    <w:rsid w:val="00801912"/>
    <w:rsid w:val="008036C7"/>
    <w:rsid w:val="0080430D"/>
    <w:rsid w:val="00804E7F"/>
    <w:rsid w:val="008052EA"/>
    <w:rsid w:val="00805B6B"/>
    <w:rsid w:val="00805D26"/>
    <w:rsid w:val="008100BC"/>
    <w:rsid w:val="00810123"/>
    <w:rsid w:val="0081016D"/>
    <w:rsid w:val="00810A23"/>
    <w:rsid w:val="0081143E"/>
    <w:rsid w:val="00811804"/>
    <w:rsid w:val="008138F6"/>
    <w:rsid w:val="00813BEE"/>
    <w:rsid w:val="00814437"/>
    <w:rsid w:val="00815779"/>
    <w:rsid w:val="008159C2"/>
    <w:rsid w:val="00815D29"/>
    <w:rsid w:val="00817EA7"/>
    <w:rsid w:val="00821322"/>
    <w:rsid w:val="008215DF"/>
    <w:rsid w:val="008226BE"/>
    <w:rsid w:val="00822C83"/>
    <w:rsid w:val="00825BEC"/>
    <w:rsid w:val="00831EB7"/>
    <w:rsid w:val="0083200B"/>
    <w:rsid w:val="0083335E"/>
    <w:rsid w:val="00833509"/>
    <w:rsid w:val="0083488E"/>
    <w:rsid w:val="00842143"/>
    <w:rsid w:val="0084226D"/>
    <w:rsid w:val="00843FCF"/>
    <w:rsid w:val="0084404A"/>
    <w:rsid w:val="0084423A"/>
    <w:rsid w:val="0084670B"/>
    <w:rsid w:val="008468F6"/>
    <w:rsid w:val="008474BA"/>
    <w:rsid w:val="008509E5"/>
    <w:rsid w:val="00851205"/>
    <w:rsid w:val="00851CF5"/>
    <w:rsid w:val="00851E2D"/>
    <w:rsid w:val="00852B8A"/>
    <w:rsid w:val="00852C44"/>
    <w:rsid w:val="0085344E"/>
    <w:rsid w:val="0085381E"/>
    <w:rsid w:val="00855AB8"/>
    <w:rsid w:val="008565DD"/>
    <w:rsid w:val="00860064"/>
    <w:rsid w:val="008609F5"/>
    <w:rsid w:val="008628A1"/>
    <w:rsid w:val="00865408"/>
    <w:rsid w:val="00865723"/>
    <w:rsid w:val="00865BA5"/>
    <w:rsid w:val="00870BD9"/>
    <w:rsid w:val="00871418"/>
    <w:rsid w:val="00873EC5"/>
    <w:rsid w:val="00873FE7"/>
    <w:rsid w:val="00876E28"/>
    <w:rsid w:val="00877373"/>
    <w:rsid w:val="00877671"/>
    <w:rsid w:val="008776D2"/>
    <w:rsid w:val="00877A6B"/>
    <w:rsid w:val="008806DA"/>
    <w:rsid w:val="00880D34"/>
    <w:rsid w:val="00881D74"/>
    <w:rsid w:val="00882995"/>
    <w:rsid w:val="00882FC9"/>
    <w:rsid w:val="008837A7"/>
    <w:rsid w:val="008844C6"/>
    <w:rsid w:val="008851AA"/>
    <w:rsid w:val="008856C0"/>
    <w:rsid w:val="00890562"/>
    <w:rsid w:val="008906E1"/>
    <w:rsid w:val="00893B77"/>
    <w:rsid w:val="00894028"/>
    <w:rsid w:val="00894440"/>
    <w:rsid w:val="0089456C"/>
    <w:rsid w:val="0089457F"/>
    <w:rsid w:val="008950EB"/>
    <w:rsid w:val="008A0556"/>
    <w:rsid w:val="008A15FF"/>
    <w:rsid w:val="008A18FB"/>
    <w:rsid w:val="008A226E"/>
    <w:rsid w:val="008A2DD7"/>
    <w:rsid w:val="008A3BDD"/>
    <w:rsid w:val="008A428F"/>
    <w:rsid w:val="008A4841"/>
    <w:rsid w:val="008A4E34"/>
    <w:rsid w:val="008A5317"/>
    <w:rsid w:val="008A5C14"/>
    <w:rsid w:val="008A5CFA"/>
    <w:rsid w:val="008A7504"/>
    <w:rsid w:val="008B104F"/>
    <w:rsid w:val="008B3DD3"/>
    <w:rsid w:val="008B49B8"/>
    <w:rsid w:val="008B58D3"/>
    <w:rsid w:val="008B746C"/>
    <w:rsid w:val="008C1116"/>
    <w:rsid w:val="008C1953"/>
    <w:rsid w:val="008C39B8"/>
    <w:rsid w:val="008C404D"/>
    <w:rsid w:val="008C4A3A"/>
    <w:rsid w:val="008C5F71"/>
    <w:rsid w:val="008C618A"/>
    <w:rsid w:val="008C65AD"/>
    <w:rsid w:val="008C6C10"/>
    <w:rsid w:val="008C6CF1"/>
    <w:rsid w:val="008D1D21"/>
    <w:rsid w:val="008D264F"/>
    <w:rsid w:val="008D421F"/>
    <w:rsid w:val="008D4789"/>
    <w:rsid w:val="008D4C85"/>
    <w:rsid w:val="008D52D0"/>
    <w:rsid w:val="008D695D"/>
    <w:rsid w:val="008E03D4"/>
    <w:rsid w:val="008E252D"/>
    <w:rsid w:val="008E274F"/>
    <w:rsid w:val="008E3190"/>
    <w:rsid w:val="008E40B0"/>
    <w:rsid w:val="008E41DD"/>
    <w:rsid w:val="008E7BEC"/>
    <w:rsid w:val="008F009E"/>
    <w:rsid w:val="008F1C9B"/>
    <w:rsid w:val="008F2787"/>
    <w:rsid w:val="008F4C18"/>
    <w:rsid w:val="008F5118"/>
    <w:rsid w:val="008F5922"/>
    <w:rsid w:val="008F75CA"/>
    <w:rsid w:val="008F789D"/>
    <w:rsid w:val="00901CC4"/>
    <w:rsid w:val="00902560"/>
    <w:rsid w:val="00902DE0"/>
    <w:rsid w:val="00903965"/>
    <w:rsid w:val="00905CCF"/>
    <w:rsid w:val="009064B2"/>
    <w:rsid w:val="0091013A"/>
    <w:rsid w:val="009109F7"/>
    <w:rsid w:val="00911C33"/>
    <w:rsid w:val="00911EBA"/>
    <w:rsid w:val="009124BF"/>
    <w:rsid w:val="00912C19"/>
    <w:rsid w:val="00912D48"/>
    <w:rsid w:val="00914551"/>
    <w:rsid w:val="0091629B"/>
    <w:rsid w:val="0091739A"/>
    <w:rsid w:val="00917433"/>
    <w:rsid w:val="00917855"/>
    <w:rsid w:val="00917C88"/>
    <w:rsid w:val="009209B1"/>
    <w:rsid w:val="00921177"/>
    <w:rsid w:val="0092128F"/>
    <w:rsid w:val="009223BE"/>
    <w:rsid w:val="00923A77"/>
    <w:rsid w:val="00923B5D"/>
    <w:rsid w:val="00924129"/>
    <w:rsid w:val="00926A1B"/>
    <w:rsid w:val="009279D6"/>
    <w:rsid w:val="009347C0"/>
    <w:rsid w:val="00935762"/>
    <w:rsid w:val="00935967"/>
    <w:rsid w:val="00936947"/>
    <w:rsid w:val="00937752"/>
    <w:rsid w:val="00937E2C"/>
    <w:rsid w:val="009405C7"/>
    <w:rsid w:val="00943119"/>
    <w:rsid w:val="00943AC6"/>
    <w:rsid w:val="00944E60"/>
    <w:rsid w:val="00945CE5"/>
    <w:rsid w:val="00946271"/>
    <w:rsid w:val="00946770"/>
    <w:rsid w:val="009471CC"/>
    <w:rsid w:val="009471D7"/>
    <w:rsid w:val="00947A0E"/>
    <w:rsid w:val="00953628"/>
    <w:rsid w:val="009540AD"/>
    <w:rsid w:val="00955450"/>
    <w:rsid w:val="009561DA"/>
    <w:rsid w:val="009572B1"/>
    <w:rsid w:val="00957EC0"/>
    <w:rsid w:val="00960ECF"/>
    <w:rsid w:val="00961600"/>
    <w:rsid w:val="00962D37"/>
    <w:rsid w:val="00963511"/>
    <w:rsid w:val="009662A1"/>
    <w:rsid w:val="009672A6"/>
    <w:rsid w:val="0097026E"/>
    <w:rsid w:val="00970F3F"/>
    <w:rsid w:val="009728E8"/>
    <w:rsid w:val="00973B5E"/>
    <w:rsid w:val="00975D10"/>
    <w:rsid w:val="00975DB6"/>
    <w:rsid w:val="00976023"/>
    <w:rsid w:val="00983504"/>
    <w:rsid w:val="009846C5"/>
    <w:rsid w:val="00986FAD"/>
    <w:rsid w:val="00987732"/>
    <w:rsid w:val="0098775C"/>
    <w:rsid w:val="009900F2"/>
    <w:rsid w:val="009904E0"/>
    <w:rsid w:val="0099078B"/>
    <w:rsid w:val="00990C17"/>
    <w:rsid w:val="009923ED"/>
    <w:rsid w:val="00994567"/>
    <w:rsid w:val="00995545"/>
    <w:rsid w:val="00996EC5"/>
    <w:rsid w:val="00996EF4"/>
    <w:rsid w:val="00997C98"/>
    <w:rsid w:val="009A1211"/>
    <w:rsid w:val="009A28E8"/>
    <w:rsid w:val="009A4102"/>
    <w:rsid w:val="009A4789"/>
    <w:rsid w:val="009A511F"/>
    <w:rsid w:val="009A6D1F"/>
    <w:rsid w:val="009A6E66"/>
    <w:rsid w:val="009B162A"/>
    <w:rsid w:val="009B2840"/>
    <w:rsid w:val="009B48D0"/>
    <w:rsid w:val="009B5781"/>
    <w:rsid w:val="009B5E53"/>
    <w:rsid w:val="009B5E56"/>
    <w:rsid w:val="009B716C"/>
    <w:rsid w:val="009B79E3"/>
    <w:rsid w:val="009B7C25"/>
    <w:rsid w:val="009C14AF"/>
    <w:rsid w:val="009C1D0A"/>
    <w:rsid w:val="009C5365"/>
    <w:rsid w:val="009C639D"/>
    <w:rsid w:val="009C6AC4"/>
    <w:rsid w:val="009C7556"/>
    <w:rsid w:val="009D17E6"/>
    <w:rsid w:val="009D4D0E"/>
    <w:rsid w:val="009D54A9"/>
    <w:rsid w:val="009D7234"/>
    <w:rsid w:val="009D7754"/>
    <w:rsid w:val="009E0F23"/>
    <w:rsid w:val="009E0F26"/>
    <w:rsid w:val="009E1DEA"/>
    <w:rsid w:val="009E24DF"/>
    <w:rsid w:val="009E29A5"/>
    <w:rsid w:val="009E39A7"/>
    <w:rsid w:val="009E4067"/>
    <w:rsid w:val="009E47D8"/>
    <w:rsid w:val="009E55BC"/>
    <w:rsid w:val="009E6C74"/>
    <w:rsid w:val="009F0D3E"/>
    <w:rsid w:val="009F0E16"/>
    <w:rsid w:val="009F5AED"/>
    <w:rsid w:val="009F5BAE"/>
    <w:rsid w:val="009F6389"/>
    <w:rsid w:val="009F7F83"/>
    <w:rsid w:val="00A022A4"/>
    <w:rsid w:val="00A02924"/>
    <w:rsid w:val="00A02BAE"/>
    <w:rsid w:val="00A0382A"/>
    <w:rsid w:val="00A06672"/>
    <w:rsid w:val="00A068F9"/>
    <w:rsid w:val="00A06DB7"/>
    <w:rsid w:val="00A07621"/>
    <w:rsid w:val="00A12D88"/>
    <w:rsid w:val="00A1440E"/>
    <w:rsid w:val="00A1483F"/>
    <w:rsid w:val="00A14EE5"/>
    <w:rsid w:val="00A16B00"/>
    <w:rsid w:val="00A17002"/>
    <w:rsid w:val="00A21132"/>
    <w:rsid w:val="00A22D1A"/>
    <w:rsid w:val="00A22FB0"/>
    <w:rsid w:val="00A23B00"/>
    <w:rsid w:val="00A2521C"/>
    <w:rsid w:val="00A25747"/>
    <w:rsid w:val="00A25785"/>
    <w:rsid w:val="00A276CD"/>
    <w:rsid w:val="00A34E24"/>
    <w:rsid w:val="00A3523B"/>
    <w:rsid w:val="00A36CE6"/>
    <w:rsid w:val="00A3716D"/>
    <w:rsid w:val="00A377B7"/>
    <w:rsid w:val="00A37E7B"/>
    <w:rsid w:val="00A4006A"/>
    <w:rsid w:val="00A405A6"/>
    <w:rsid w:val="00A42A41"/>
    <w:rsid w:val="00A42E2C"/>
    <w:rsid w:val="00A436E6"/>
    <w:rsid w:val="00A43A86"/>
    <w:rsid w:val="00A447CD"/>
    <w:rsid w:val="00A4632A"/>
    <w:rsid w:val="00A464BB"/>
    <w:rsid w:val="00A46F7E"/>
    <w:rsid w:val="00A515A9"/>
    <w:rsid w:val="00A51E78"/>
    <w:rsid w:val="00A529A2"/>
    <w:rsid w:val="00A52CAF"/>
    <w:rsid w:val="00A52CB6"/>
    <w:rsid w:val="00A54FFC"/>
    <w:rsid w:val="00A56452"/>
    <w:rsid w:val="00A56F35"/>
    <w:rsid w:val="00A60B00"/>
    <w:rsid w:val="00A65463"/>
    <w:rsid w:val="00A67E5D"/>
    <w:rsid w:val="00A704F2"/>
    <w:rsid w:val="00A709F1"/>
    <w:rsid w:val="00A7145F"/>
    <w:rsid w:val="00A733E5"/>
    <w:rsid w:val="00A74882"/>
    <w:rsid w:val="00A75C82"/>
    <w:rsid w:val="00A76D56"/>
    <w:rsid w:val="00A80C5C"/>
    <w:rsid w:val="00A80F36"/>
    <w:rsid w:val="00A813D8"/>
    <w:rsid w:val="00A8337E"/>
    <w:rsid w:val="00A835B0"/>
    <w:rsid w:val="00A852A7"/>
    <w:rsid w:val="00A85631"/>
    <w:rsid w:val="00A85FEB"/>
    <w:rsid w:val="00A865EC"/>
    <w:rsid w:val="00A86A9C"/>
    <w:rsid w:val="00A8780E"/>
    <w:rsid w:val="00A900F1"/>
    <w:rsid w:val="00A90139"/>
    <w:rsid w:val="00A918C5"/>
    <w:rsid w:val="00A919AD"/>
    <w:rsid w:val="00A922EF"/>
    <w:rsid w:val="00A953FB"/>
    <w:rsid w:val="00A959E9"/>
    <w:rsid w:val="00A96692"/>
    <w:rsid w:val="00A97022"/>
    <w:rsid w:val="00A97768"/>
    <w:rsid w:val="00AA00E3"/>
    <w:rsid w:val="00AA093E"/>
    <w:rsid w:val="00AA2E07"/>
    <w:rsid w:val="00AA3CEB"/>
    <w:rsid w:val="00AA53CB"/>
    <w:rsid w:val="00AB2B94"/>
    <w:rsid w:val="00AB57C5"/>
    <w:rsid w:val="00AB62CD"/>
    <w:rsid w:val="00AB657F"/>
    <w:rsid w:val="00AB77CE"/>
    <w:rsid w:val="00AC03BB"/>
    <w:rsid w:val="00AC2449"/>
    <w:rsid w:val="00AC36FF"/>
    <w:rsid w:val="00AC3A15"/>
    <w:rsid w:val="00AC49EA"/>
    <w:rsid w:val="00AC4BD9"/>
    <w:rsid w:val="00AC706F"/>
    <w:rsid w:val="00AD0725"/>
    <w:rsid w:val="00AD11E5"/>
    <w:rsid w:val="00AD15F3"/>
    <w:rsid w:val="00AD18BB"/>
    <w:rsid w:val="00AD44FF"/>
    <w:rsid w:val="00AD5475"/>
    <w:rsid w:val="00AD548D"/>
    <w:rsid w:val="00AD7426"/>
    <w:rsid w:val="00AD74F8"/>
    <w:rsid w:val="00AD762B"/>
    <w:rsid w:val="00AD7D39"/>
    <w:rsid w:val="00AE238B"/>
    <w:rsid w:val="00AE243A"/>
    <w:rsid w:val="00AE4DBB"/>
    <w:rsid w:val="00AE5AD3"/>
    <w:rsid w:val="00AE67F5"/>
    <w:rsid w:val="00AF178B"/>
    <w:rsid w:val="00AF3136"/>
    <w:rsid w:val="00AF3B27"/>
    <w:rsid w:val="00AF3D06"/>
    <w:rsid w:val="00AF43D4"/>
    <w:rsid w:val="00AF44A5"/>
    <w:rsid w:val="00AF530D"/>
    <w:rsid w:val="00AF713F"/>
    <w:rsid w:val="00B00628"/>
    <w:rsid w:val="00B026A7"/>
    <w:rsid w:val="00B037DF"/>
    <w:rsid w:val="00B04AD0"/>
    <w:rsid w:val="00B04F3F"/>
    <w:rsid w:val="00B0587F"/>
    <w:rsid w:val="00B0591D"/>
    <w:rsid w:val="00B10A93"/>
    <w:rsid w:val="00B13E07"/>
    <w:rsid w:val="00B14B87"/>
    <w:rsid w:val="00B15069"/>
    <w:rsid w:val="00B17FFC"/>
    <w:rsid w:val="00B20182"/>
    <w:rsid w:val="00B20B09"/>
    <w:rsid w:val="00B218E8"/>
    <w:rsid w:val="00B2348A"/>
    <w:rsid w:val="00B25541"/>
    <w:rsid w:val="00B25575"/>
    <w:rsid w:val="00B26B6C"/>
    <w:rsid w:val="00B27983"/>
    <w:rsid w:val="00B30A96"/>
    <w:rsid w:val="00B30CA8"/>
    <w:rsid w:val="00B31A55"/>
    <w:rsid w:val="00B32A92"/>
    <w:rsid w:val="00B33092"/>
    <w:rsid w:val="00B34D02"/>
    <w:rsid w:val="00B34F8F"/>
    <w:rsid w:val="00B363F7"/>
    <w:rsid w:val="00B40135"/>
    <w:rsid w:val="00B40176"/>
    <w:rsid w:val="00B42801"/>
    <w:rsid w:val="00B4286D"/>
    <w:rsid w:val="00B428E7"/>
    <w:rsid w:val="00B42CA0"/>
    <w:rsid w:val="00B43353"/>
    <w:rsid w:val="00B43436"/>
    <w:rsid w:val="00B44F2C"/>
    <w:rsid w:val="00B45760"/>
    <w:rsid w:val="00B504AD"/>
    <w:rsid w:val="00B51527"/>
    <w:rsid w:val="00B52ACD"/>
    <w:rsid w:val="00B534D5"/>
    <w:rsid w:val="00B542BA"/>
    <w:rsid w:val="00B54A94"/>
    <w:rsid w:val="00B55C7D"/>
    <w:rsid w:val="00B570A5"/>
    <w:rsid w:val="00B60104"/>
    <w:rsid w:val="00B6226A"/>
    <w:rsid w:val="00B62D52"/>
    <w:rsid w:val="00B63106"/>
    <w:rsid w:val="00B6468A"/>
    <w:rsid w:val="00B64F3F"/>
    <w:rsid w:val="00B6510E"/>
    <w:rsid w:val="00B65D09"/>
    <w:rsid w:val="00B67463"/>
    <w:rsid w:val="00B70BC0"/>
    <w:rsid w:val="00B757C3"/>
    <w:rsid w:val="00B75B83"/>
    <w:rsid w:val="00B81BA4"/>
    <w:rsid w:val="00B829E6"/>
    <w:rsid w:val="00B83DA2"/>
    <w:rsid w:val="00B83E1D"/>
    <w:rsid w:val="00B85741"/>
    <w:rsid w:val="00B85B28"/>
    <w:rsid w:val="00B87700"/>
    <w:rsid w:val="00B9092B"/>
    <w:rsid w:val="00B92715"/>
    <w:rsid w:val="00B93892"/>
    <w:rsid w:val="00B942F9"/>
    <w:rsid w:val="00B96FD3"/>
    <w:rsid w:val="00B97955"/>
    <w:rsid w:val="00B97968"/>
    <w:rsid w:val="00BA0F46"/>
    <w:rsid w:val="00BA1B5F"/>
    <w:rsid w:val="00BA2152"/>
    <w:rsid w:val="00BA23CD"/>
    <w:rsid w:val="00BA2678"/>
    <w:rsid w:val="00BA3A8F"/>
    <w:rsid w:val="00BA3B5A"/>
    <w:rsid w:val="00BA3D34"/>
    <w:rsid w:val="00BA4E29"/>
    <w:rsid w:val="00BA5DAE"/>
    <w:rsid w:val="00BA6357"/>
    <w:rsid w:val="00BA6E38"/>
    <w:rsid w:val="00BA7FD2"/>
    <w:rsid w:val="00BB0A3F"/>
    <w:rsid w:val="00BB18BA"/>
    <w:rsid w:val="00BB31BA"/>
    <w:rsid w:val="00BB5941"/>
    <w:rsid w:val="00BB6242"/>
    <w:rsid w:val="00BB6769"/>
    <w:rsid w:val="00BB6AED"/>
    <w:rsid w:val="00BB6EC1"/>
    <w:rsid w:val="00BC1D8C"/>
    <w:rsid w:val="00BC1E60"/>
    <w:rsid w:val="00BC4306"/>
    <w:rsid w:val="00BC4AB8"/>
    <w:rsid w:val="00BC6C3A"/>
    <w:rsid w:val="00BC727F"/>
    <w:rsid w:val="00BC7325"/>
    <w:rsid w:val="00BD0664"/>
    <w:rsid w:val="00BD07D6"/>
    <w:rsid w:val="00BD2360"/>
    <w:rsid w:val="00BD30B5"/>
    <w:rsid w:val="00BD3636"/>
    <w:rsid w:val="00BD4BE3"/>
    <w:rsid w:val="00BD7794"/>
    <w:rsid w:val="00BE0646"/>
    <w:rsid w:val="00BE11D4"/>
    <w:rsid w:val="00BE2375"/>
    <w:rsid w:val="00BE294B"/>
    <w:rsid w:val="00BE327A"/>
    <w:rsid w:val="00BE33CD"/>
    <w:rsid w:val="00BE33F5"/>
    <w:rsid w:val="00BE6C1C"/>
    <w:rsid w:val="00BF0160"/>
    <w:rsid w:val="00BF04B7"/>
    <w:rsid w:val="00BF06DC"/>
    <w:rsid w:val="00BF0AD5"/>
    <w:rsid w:val="00BF147E"/>
    <w:rsid w:val="00BF2F84"/>
    <w:rsid w:val="00C02D97"/>
    <w:rsid w:val="00C130D3"/>
    <w:rsid w:val="00C14E9A"/>
    <w:rsid w:val="00C15F6A"/>
    <w:rsid w:val="00C17298"/>
    <w:rsid w:val="00C17BB7"/>
    <w:rsid w:val="00C20119"/>
    <w:rsid w:val="00C2082B"/>
    <w:rsid w:val="00C20C38"/>
    <w:rsid w:val="00C2233E"/>
    <w:rsid w:val="00C25B7D"/>
    <w:rsid w:val="00C25B94"/>
    <w:rsid w:val="00C260A2"/>
    <w:rsid w:val="00C30473"/>
    <w:rsid w:val="00C305D8"/>
    <w:rsid w:val="00C30BF6"/>
    <w:rsid w:val="00C31302"/>
    <w:rsid w:val="00C31ABF"/>
    <w:rsid w:val="00C321B5"/>
    <w:rsid w:val="00C35023"/>
    <w:rsid w:val="00C3512D"/>
    <w:rsid w:val="00C35A57"/>
    <w:rsid w:val="00C36453"/>
    <w:rsid w:val="00C365CC"/>
    <w:rsid w:val="00C36A4D"/>
    <w:rsid w:val="00C36C2E"/>
    <w:rsid w:val="00C37255"/>
    <w:rsid w:val="00C4196D"/>
    <w:rsid w:val="00C427C8"/>
    <w:rsid w:val="00C441DE"/>
    <w:rsid w:val="00C4559B"/>
    <w:rsid w:val="00C45B41"/>
    <w:rsid w:val="00C5011D"/>
    <w:rsid w:val="00C510E5"/>
    <w:rsid w:val="00C52DD4"/>
    <w:rsid w:val="00C54904"/>
    <w:rsid w:val="00C54E65"/>
    <w:rsid w:val="00C56763"/>
    <w:rsid w:val="00C600FB"/>
    <w:rsid w:val="00C606B4"/>
    <w:rsid w:val="00C61004"/>
    <w:rsid w:val="00C61CF7"/>
    <w:rsid w:val="00C6355B"/>
    <w:rsid w:val="00C64E53"/>
    <w:rsid w:val="00C65447"/>
    <w:rsid w:val="00C67998"/>
    <w:rsid w:val="00C72FAD"/>
    <w:rsid w:val="00C74BD6"/>
    <w:rsid w:val="00C76B20"/>
    <w:rsid w:val="00C81E8C"/>
    <w:rsid w:val="00C84763"/>
    <w:rsid w:val="00C8492F"/>
    <w:rsid w:val="00C84F8B"/>
    <w:rsid w:val="00C85F52"/>
    <w:rsid w:val="00C9214C"/>
    <w:rsid w:val="00C93261"/>
    <w:rsid w:val="00C9346D"/>
    <w:rsid w:val="00C94A9D"/>
    <w:rsid w:val="00C94CBF"/>
    <w:rsid w:val="00C94D89"/>
    <w:rsid w:val="00C97176"/>
    <w:rsid w:val="00C97FDD"/>
    <w:rsid w:val="00CA1B8F"/>
    <w:rsid w:val="00CA3567"/>
    <w:rsid w:val="00CA390B"/>
    <w:rsid w:val="00CA4030"/>
    <w:rsid w:val="00CA41B4"/>
    <w:rsid w:val="00CA4B83"/>
    <w:rsid w:val="00CA6FD3"/>
    <w:rsid w:val="00CA769B"/>
    <w:rsid w:val="00CB0587"/>
    <w:rsid w:val="00CB15E9"/>
    <w:rsid w:val="00CB1F1E"/>
    <w:rsid w:val="00CB4E74"/>
    <w:rsid w:val="00CC0841"/>
    <w:rsid w:val="00CC2F57"/>
    <w:rsid w:val="00CC4629"/>
    <w:rsid w:val="00CC544C"/>
    <w:rsid w:val="00CC6CF1"/>
    <w:rsid w:val="00CC7D74"/>
    <w:rsid w:val="00CD03D3"/>
    <w:rsid w:val="00CD0C7B"/>
    <w:rsid w:val="00CD12A4"/>
    <w:rsid w:val="00CD1EA5"/>
    <w:rsid w:val="00CD2CC7"/>
    <w:rsid w:val="00CD3322"/>
    <w:rsid w:val="00CD47AB"/>
    <w:rsid w:val="00CD4B1F"/>
    <w:rsid w:val="00CD53C1"/>
    <w:rsid w:val="00CD654F"/>
    <w:rsid w:val="00CE2774"/>
    <w:rsid w:val="00CE3396"/>
    <w:rsid w:val="00CE675C"/>
    <w:rsid w:val="00CF10ED"/>
    <w:rsid w:val="00CF18EA"/>
    <w:rsid w:val="00CF38D5"/>
    <w:rsid w:val="00CF3D68"/>
    <w:rsid w:val="00CF3EE9"/>
    <w:rsid w:val="00CF43D7"/>
    <w:rsid w:val="00CF68A0"/>
    <w:rsid w:val="00D005F0"/>
    <w:rsid w:val="00D00C36"/>
    <w:rsid w:val="00D00C95"/>
    <w:rsid w:val="00D00E96"/>
    <w:rsid w:val="00D024DA"/>
    <w:rsid w:val="00D02FF6"/>
    <w:rsid w:val="00D03C15"/>
    <w:rsid w:val="00D04EAB"/>
    <w:rsid w:val="00D05DA4"/>
    <w:rsid w:val="00D06C6F"/>
    <w:rsid w:val="00D075E8"/>
    <w:rsid w:val="00D07A58"/>
    <w:rsid w:val="00D1046A"/>
    <w:rsid w:val="00D10CDA"/>
    <w:rsid w:val="00D11B1B"/>
    <w:rsid w:val="00D12541"/>
    <w:rsid w:val="00D14F71"/>
    <w:rsid w:val="00D15180"/>
    <w:rsid w:val="00D15728"/>
    <w:rsid w:val="00D15DBC"/>
    <w:rsid w:val="00D16D17"/>
    <w:rsid w:val="00D171D8"/>
    <w:rsid w:val="00D215EF"/>
    <w:rsid w:val="00D2357D"/>
    <w:rsid w:val="00D252E4"/>
    <w:rsid w:val="00D27464"/>
    <w:rsid w:val="00D27ABB"/>
    <w:rsid w:val="00D3269B"/>
    <w:rsid w:val="00D32C05"/>
    <w:rsid w:val="00D3322F"/>
    <w:rsid w:val="00D337F2"/>
    <w:rsid w:val="00D33B3F"/>
    <w:rsid w:val="00D3421B"/>
    <w:rsid w:val="00D34492"/>
    <w:rsid w:val="00D34DED"/>
    <w:rsid w:val="00D34F1A"/>
    <w:rsid w:val="00D35870"/>
    <w:rsid w:val="00D37BB4"/>
    <w:rsid w:val="00D40955"/>
    <w:rsid w:val="00D41D30"/>
    <w:rsid w:val="00D42440"/>
    <w:rsid w:val="00D42F53"/>
    <w:rsid w:val="00D45794"/>
    <w:rsid w:val="00D45982"/>
    <w:rsid w:val="00D4679C"/>
    <w:rsid w:val="00D46B58"/>
    <w:rsid w:val="00D46FFD"/>
    <w:rsid w:val="00D47423"/>
    <w:rsid w:val="00D47AD4"/>
    <w:rsid w:val="00D47E51"/>
    <w:rsid w:val="00D50276"/>
    <w:rsid w:val="00D50569"/>
    <w:rsid w:val="00D50679"/>
    <w:rsid w:val="00D50DAA"/>
    <w:rsid w:val="00D51CE1"/>
    <w:rsid w:val="00D52722"/>
    <w:rsid w:val="00D56A1C"/>
    <w:rsid w:val="00D57727"/>
    <w:rsid w:val="00D57E77"/>
    <w:rsid w:val="00D622E7"/>
    <w:rsid w:val="00D625A2"/>
    <w:rsid w:val="00D628AF"/>
    <w:rsid w:val="00D63063"/>
    <w:rsid w:val="00D64C3D"/>
    <w:rsid w:val="00D65739"/>
    <w:rsid w:val="00D67A9B"/>
    <w:rsid w:val="00D7210B"/>
    <w:rsid w:val="00D72128"/>
    <w:rsid w:val="00D735CD"/>
    <w:rsid w:val="00D74CC6"/>
    <w:rsid w:val="00D75B75"/>
    <w:rsid w:val="00D7619F"/>
    <w:rsid w:val="00D77150"/>
    <w:rsid w:val="00D80AB6"/>
    <w:rsid w:val="00D823BE"/>
    <w:rsid w:val="00D82941"/>
    <w:rsid w:val="00D8646C"/>
    <w:rsid w:val="00D90F8D"/>
    <w:rsid w:val="00D92CA1"/>
    <w:rsid w:val="00D938BF"/>
    <w:rsid w:val="00D94528"/>
    <w:rsid w:val="00D9576D"/>
    <w:rsid w:val="00D96103"/>
    <w:rsid w:val="00DA2928"/>
    <w:rsid w:val="00DA483C"/>
    <w:rsid w:val="00DA4A3C"/>
    <w:rsid w:val="00DA61E2"/>
    <w:rsid w:val="00DA734C"/>
    <w:rsid w:val="00DA77AE"/>
    <w:rsid w:val="00DB03B5"/>
    <w:rsid w:val="00DB03E3"/>
    <w:rsid w:val="00DB0ACF"/>
    <w:rsid w:val="00DB10B5"/>
    <w:rsid w:val="00DB1307"/>
    <w:rsid w:val="00DB1386"/>
    <w:rsid w:val="00DB17D9"/>
    <w:rsid w:val="00DB1843"/>
    <w:rsid w:val="00DB2DBF"/>
    <w:rsid w:val="00DB2FE0"/>
    <w:rsid w:val="00DB3080"/>
    <w:rsid w:val="00DB643A"/>
    <w:rsid w:val="00DB7EDD"/>
    <w:rsid w:val="00DC140D"/>
    <w:rsid w:val="00DC5054"/>
    <w:rsid w:val="00DC5ED1"/>
    <w:rsid w:val="00DC6034"/>
    <w:rsid w:val="00DC62A9"/>
    <w:rsid w:val="00DC67E9"/>
    <w:rsid w:val="00DC7794"/>
    <w:rsid w:val="00DC7D49"/>
    <w:rsid w:val="00DD1655"/>
    <w:rsid w:val="00DD18A1"/>
    <w:rsid w:val="00DD18EB"/>
    <w:rsid w:val="00DD1C24"/>
    <w:rsid w:val="00DD328A"/>
    <w:rsid w:val="00DD3B38"/>
    <w:rsid w:val="00DD3C83"/>
    <w:rsid w:val="00DD4AF5"/>
    <w:rsid w:val="00DD5955"/>
    <w:rsid w:val="00DD5C44"/>
    <w:rsid w:val="00DD6833"/>
    <w:rsid w:val="00DD6E46"/>
    <w:rsid w:val="00DD7338"/>
    <w:rsid w:val="00DD7A8D"/>
    <w:rsid w:val="00DE0BDE"/>
    <w:rsid w:val="00DE2099"/>
    <w:rsid w:val="00DE2398"/>
    <w:rsid w:val="00DE3008"/>
    <w:rsid w:val="00DE3283"/>
    <w:rsid w:val="00DE3587"/>
    <w:rsid w:val="00DE4459"/>
    <w:rsid w:val="00DE45EA"/>
    <w:rsid w:val="00DE4807"/>
    <w:rsid w:val="00DE4C45"/>
    <w:rsid w:val="00DE5700"/>
    <w:rsid w:val="00DE6321"/>
    <w:rsid w:val="00DE64A3"/>
    <w:rsid w:val="00DF1D07"/>
    <w:rsid w:val="00DF30ED"/>
    <w:rsid w:val="00DF59C9"/>
    <w:rsid w:val="00DF66D2"/>
    <w:rsid w:val="00DF6792"/>
    <w:rsid w:val="00DF681F"/>
    <w:rsid w:val="00DF6B06"/>
    <w:rsid w:val="00DF7EC6"/>
    <w:rsid w:val="00E00C9B"/>
    <w:rsid w:val="00E022B7"/>
    <w:rsid w:val="00E02D01"/>
    <w:rsid w:val="00E03C91"/>
    <w:rsid w:val="00E04844"/>
    <w:rsid w:val="00E05F03"/>
    <w:rsid w:val="00E0612D"/>
    <w:rsid w:val="00E0714A"/>
    <w:rsid w:val="00E079BD"/>
    <w:rsid w:val="00E10103"/>
    <w:rsid w:val="00E10199"/>
    <w:rsid w:val="00E10EEE"/>
    <w:rsid w:val="00E11BE0"/>
    <w:rsid w:val="00E1209F"/>
    <w:rsid w:val="00E14CAE"/>
    <w:rsid w:val="00E169E4"/>
    <w:rsid w:val="00E16CCA"/>
    <w:rsid w:val="00E17819"/>
    <w:rsid w:val="00E2048F"/>
    <w:rsid w:val="00E2080A"/>
    <w:rsid w:val="00E21427"/>
    <w:rsid w:val="00E21C37"/>
    <w:rsid w:val="00E221F6"/>
    <w:rsid w:val="00E22B2B"/>
    <w:rsid w:val="00E22F6B"/>
    <w:rsid w:val="00E23B23"/>
    <w:rsid w:val="00E30271"/>
    <w:rsid w:val="00E320B1"/>
    <w:rsid w:val="00E331B0"/>
    <w:rsid w:val="00E33CAA"/>
    <w:rsid w:val="00E33D84"/>
    <w:rsid w:val="00E34262"/>
    <w:rsid w:val="00E35094"/>
    <w:rsid w:val="00E3510E"/>
    <w:rsid w:val="00E35BB6"/>
    <w:rsid w:val="00E36137"/>
    <w:rsid w:val="00E369EF"/>
    <w:rsid w:val="00E36E61"/>
    <w:rsid w:val="00E4115B"/>
    <w:rsid w:val="00E4256B"/>
    <w:rsid w:val="00E43B78"/>
    <w:rsid w:val="00E45976"/>
    <w:rsid w:val="00E47758"/>
    <w:rsid w:val="00E50D40"/>
    <w:rsid w:val="00E51FBA"/>
    <w:rsid w:val="00E52750"/>
    <w:rsid w:val="00E52BAE"/>
    <w:rsid w:val="00E53BFD"/>
    <w:rsid w:val="00E53CA2"/>
    <w:rsid w:val="00E561EF"/>
    <w:rsid w:val="00E56BD8"/>
    <w:rsid w:val="00E60343"/>
    <w:rsid w:val="00E62406"/>
    <w:rsid w:val="00E635E0"/>
    <w:rsid w:val="00E6457A"/>
    <w:rsid w:val="00E658E2"/>
    <w:rsid w:val="00E65BF7"/>
    <w:rsid w:val="00E674DB"/>
    <w:rsid w:val="00E70DB5"/>
    <w:rsid w:val="00E73868"/>
    <w:rsid w:val="00E73A34"/>
    <w:rsid w:val="00E7638C"/>
    <w:rsid w:val="00E80695"/>
    <w:rsid w:val="00E80A29"/>
    <w:rsid w:val="00E80C4F"/>
    <w:rsid w:val="00E80F76"/>
    <w:rsid w:val="00E81DFE"/>
    <w:rsid w:val="00E82B4C"/>
    <w:rsid w:val="00E831C1"/>
    <w:rsid w:val="00E8325D"/>
    <w:rsid w:val="00E8404D"/>
    <w:rsid w:val="00E9063A"/>
    <w:rsid w:val="00E922A7"/>
    <w:rsid w:val="00E9287C"/>
    <w:rsid w:val="00E932B0"/>
    <w:rsid w:val="00E945E2"/>
    <w:rsid w:val="00E950CA"/>
    <w:rsid w:val="00E95EC2"/>
    <w:rsid w:val="00E975B6"/>
    <w:rsid w:val="00E97749"/>
    <w:rsid w:val="00E97A2A"/>
    <w:rsid w:val="00EA0061"/>
    <w:rsid w:val="00EA06A0"/>
    <w:rsid w:val="00EA12C0"/>
    <w:rsid w:val="00EA12E9"/>
    <w:rsid w:val="00EA2556"/>
    <w:rsid w:val="00EA4915"/>
    <w:rsid w:val="00EA523F"/>
    <w:rsid w:val="00EA54FC"/>
    <w:rsid w:val="00EA5502"/>
    <w:rsid w:val="00EA57CA"/>
    <w:rsid w:val="00EB2A69"/>
    <w:rsid w:val="00EB2CC9"/>
    <w:rsid w:val="00EB3D62"/>
    <w:rsid w:val="00EB6709"/>
    <w:rsid w:val="00EB6DF2"/>
    <w:rsid w:val="00EB7467"/>
    <w:rsid w:val="00EC082C"/>
    <w:rsid w:val="00EC11F2"/>
    <w:rsid w:val="00EC2B2A"/>
    <w:rsid w:val="00EC3C71"/>
    <w:rsid w:val="00EC4F1B"/>
    <w:rsid w:val="00EC5937"/>
    <w:rsid w:val="00ED08AD"/>
    <w:rsid w:val="00ED0A2B"/>
    <w:rsid w:val="00ED1021"/>
    <w:rsid w:val="00ED3C62"/>
    <w:rsid w:val="00ED4E8C"/>
    <w:rsid w:val="00ED5283"/>
    <w:rsid w:val="00EE0F88"/>
    <w:rsid w:val="00EE3A62"/>
    <w:rsid w:val="00EE3CD6"/>
    <w:rsid w:val="00EF0A3D"/>
    <w:rsid w:val="00EF12E3"/>
    <w:rsid w:val="00EF192A"/>
    <w:rsid w:val="00EF2D29"/>
    <w:rsid w:val="00EF3F07"/>
    <w:rsid w:val="00EF55A5"/>
    <w:rsid w:val="00EF5BD9"/>
    <w:rsid w:val="00EF6A49"/>
    <w:rsid w:val="00EF7C5E"/>
    <w:rsid w:val="00F005A6"/>
    <w:rsid w:val="00F068DB"/>
    <w:rsid w:val="00F069BA"/>
    <w:rsid w:val="00F06A96"/>
    <w:rsid w:val="00F07F06"/>
    <w:rsid w:val="00F1166F"/>
    <w:rsid w:val="00F130D1"/>
    <w:rsid w:val="00F148E1"/>
    <w:rsid w:val="00F15E51"/>
    <w:rsid w:val="00F16C21"/>
    <w:rsid w:val="00F2128C"/>
    <w:rsid w:val="00F2180C"/>
    <w:rsid w:val="00F24312"/>
    <w:rsid w:val="00F24D49"/>
    <w:rsid w:val="00F24DD0"/>
    <w:rsid w:val="00F24F34"/>
    <w:rsid w:val="00F257B8"/>
    <w:rsid w:val="00F302E2"/>
    <w:rsid w:val="00F30358"/>
    <w:rsid w:val="00F30EDC"/>
    <w:rsid w:val="00F33363"/>
    <w:rsid w:val="00F33959"/>
    <w:rsid w:val="00F342A6"/>
    <w:rsid w:val="00F34AD9"/>
    <w:rsid w:val="00F37091"/>
    <w:rsid w:val="00F404EF"/>
    <w:rsid w:val="00F40890"/>
    <w:rsid w:val="00F40C47"/>
    <w:rsid w:val="00F41561"/>
    <w:rsid w:val="00F4357A"/>
    <w:rsid w:val="00F44B82"/>
    <w:rsid w:val="00F470E5"/>
    <w:rsid w:val="00F5063C"/>
    <w:rsid w:val="00F53288"/>
    <w:rsid w:val="00F53D94"/>
    <w:rsid w:val="00F5462E"/>
    <w:rsid w:val="00F54C6C"/>
    <w:rsid w:val="00F551B7"/>
    <w:rsid w:val="00F5563A"/>
    <w:rsid w:val="00F55A9F"/>
    <w:rsid w:val="00F55AA1"/>
    <w:rsid w:val="00F56757"/>
    <w:rsid w:val="00F607B0"/>
    <w:rsid w:val="00F615E1"/>
    <w:rsid w:val="00F62E02"/>
    <w:rsid w:val="00F632BC"/>
    <w:rsid w:val="00F63B01"/>
    <w:rsid w:val="00F64E63"/>
    <w:rsid w:val="00F6510B"/>
    <w:rsid w:val="00F720FD"/>
    <w:rsid w:val="00F721BA"/>
    <w:rsid w:val="00F72335"/>
    <w:rsid w:val="00F7365A"/>
    <w:rsid w:val="00F74154"/>
    <w:rsid w:val="00F7548B"/>
    <w:rsid w:val="00F75AE4"/>
    <w:rsid w:val="00F76192"/>
    <w:rsid w:val="00F77136"/>
    <w:rsid w:val="00F8078C"/>
    <w:rsid w:val="00F8206D"/>
    <w:rsid w:val="00F8237B"/>
    <w:rsid w:val="00F83650"/>
    <w:rsid w:val="00F83CA9"/>
    <w:rsid w:val="00F83D82"/>
    <w:rsid w:val="00F8577F"/>
    <w:rsid w:val="00F858BF"/>
    <w:rsid w:val="00F871EB"/>
    <w:rsid w:val="00F901BE"/>
    <w:rsid w:val="00F916B3"/>
    <w:rsid w:val="00F93C77"/>
    <w:rsid w:val="00F94095"/>
    <w:rsid w:val="00F96251"/>
    <w:rsid w:val="00F96412"/>
    <w:rsid w:val="00F96836"/>
    <w:rsid w:val="00FA01AA"/>
    <w:rsid w:val="00FA2C20"/>
    <w:rsid w:val="00FA3819"/>
    <w:rsid w:val="00FA4069"/>
    <w:rsid w:val="00FA4F35"/>
    <w:rsid w:val="00FA62DE"/>
    <w:rsid w:val="00FB05F8"/>
    <w:rsid w:val="00FB14E3"/>
    <w:rsid w:val="00FB1A81"/>
    <w:rsid w:val="00FB1FF5"/>
    <w:rsid w:val="00FB36D5"/>
    <w:rsid w:val="00FB39E8"/>
    <w:rsid w:val="00FB3E78"/>
    <w:rsid w:val="00FB503D"/>
    <w:rsid w:val="00FB52F0"/>
    <w:rsid w:val="00FB5D79"/>
    <w:rsid w:val="00FB6C56"/>
    <w:rsid w:val="00FB7BDB"/>
    <w:rsid w:val="00FC03B6"/>
    <w:rsid w:val="00FC18E0"/>
    <w:rsid w:val="00FC626B"/>
    <w:rsid w:val="00FC6CCF"/>
    <w:rsid w:val="00FC76A3"/>
    <w:rsid w:val="00FD1166"/>
    <w:rsid w:val="00FD118A"/>
    <w:rsid w:val="00FD13AD"/>
    <w:rsid w:val="00FD1560"/>
    <w:rsid w:val="00FD1598"/>
    <w:rsid w:val="00FD1D99"/>
    <w:rsid w:val="00FD2305"/>
    <w:rsid w:val="00FD353C"/>
    <w:rsid w:val="00FD446A"/>
    <w:rsid w:val="00FD516E"/>
    <w:rsid w:val="00FD51AE"/>
    <w:rsid w:val="00FD728D"/>
    <w:rsid w:val="00FD74C4"/>
    <w:rsid w:val="00FD7F75"/>
    <w:rsid w:val="00FE0088"/>
    <w:rsid w:val="00FE102E"/>
    <w:rsid w:val="00FE126C"/>
    <w:rsid w:val="00FE1583"/>
    <w:rsid w:val="00FE1814"/>
    <w:rsid w:val="00FE2716"/>
    <w:rsid w:val="00FE3B01"/>
    <w:rsid w:val="00FE3EBC"/>
    <w:rsid w:val="00FE5DE4"/>
    <w:rsid w:val="00FE5EFE"/>
    <w:rsid w:val="00FE6276"/>
    <w:rsid w:val="00FE6C25"/>
    <w:rsid w:val="00FE7296"/>
    <w:rsid w:val="00FE72D6"/>
    <w:rsid w:val="00FF1409"/>
    <w:rsid w:val="00FF1E46"/>
    <w:rsid w:val="00FF3815"/>
    <w:rsid w:val="00FF391B"/>
    <w:rsid w:val="00FF44D0"/>
    <w:rsid w:val="00FF4F9F"/>
    <w:rsid w:val="00FF57D6"/>
    <w:rsid w:val="00FF5A09"/>
    <w:rsid w:val="00FF5A4A"/>
    <w:rsid w:val="00FF5BF6"/>
    <w:rsid w:val="00FF6D4A"/>
    <w:rsid w:val="00FF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B7F2C"/>
  <w15:chartTrackingRefBased/>
  <w15:docId w15:val="{F1F3F0B3-963F-4325-8FAB-5902B9A9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A6E38"/>
    <w:pPr>
      <w:spacing w:line="276" w:lineRule="auto"/>
    </w:pPr>
    <w:rPr>
      <w:sz w:val="22"/>
      <w:szCs w:val="22"/>
      <w:lang w:val="it-IT"/>
    </w:rPr>
  </w:style>
  <w:style w:type="paragraph" w:styleId="berschrift1">
    <w:name w:val="heading 1"/>
    <w:aliases w:val="Title 1"/>
    <w:next w:val="Articlenormaltextfirstparagraph"/>
    <w:link w:val="berschrift1Zchn"/>
    <w:uiPriority w:val="9"/>
    <w:qFormat/>
    <w:rsid w:val="00C72FAD"/>
    <w:pPr>
      <w:numPr>
        <w:numId w:val="6"/>
      </w:numPr>
      <w:pBdr>
        <w:bottom w:val="single" w:sz="4" w:space="4" w:color="17365D"/>
      </w:pBdr>
      <w:spacing w:before="400" w:after="120"/>
      <w:outlineLvl w:val="0"/>
    </w:pPr>
    <w:rPr>
      <w:rFonts w:ascii="Arial Nova" w:hAnsi="Arial Nova" w:cs="Arial"/>
      <w:b/>
      <w:bCs/>
      <w:color w:val="1B8ABC"/>
      <w:sz w:val="28"/>
      <w:szCs w:val="22"/>
    </w:rPr>
  </w:style>
  <w:style w:type="paragraph" w:styleId="berschrift2">
    <w:name w:val="heading 2"/>
    <w:aliases w:val="Title 2"/>
    <w:next w:val="Articlenormaltextfirstparagraph"/>
    <w:link w:val="berschrift2Zchn"/>
    <w:uiPriority w:val="9"/>
    <w:unhideWhenUsed/>
    <w:qFormat/>
    <w:rsid w:val="00C72FAD"/>
    <w:pPr>
      <w:numPr>
        <w:ilvl w:val="1"/>
        <w:numId w:val="6"/>
      </w:numPr>
      <w:spacing w:before="360" w:after="60"/>
      <w:outlineLvl w:val="1"/>
    </w:pPr>
    <w:rPr>
      <w:rFonts w:ascii="Arial Nova" w:eastAsia="Times New Roman" w:hAnsi="Arial Nova" w:cs="Arial"/>
      <w:b/>
      <w:bCs/>
    </w:rPr>
  </w:style>
  <w:style w:type="paragraph" w:styleId="berschrift3">
    <w:name w:val="heading 3"/>
    <w:aliases w:val="Title 3"/>
    <w:basedOn w:val="Standard"/>
    <w:next w:val="Standard"/>
    <w:link w:val="berschrift3Zchn"/>
    <w:uiPriority w:val="9"/>
    <w:unhideWhenUsed/>
    <w:qFormat/>
    <w:rsid w:val="00482031"/>
    <w:pPr>
      <w:keepNext/>
      <w:keepLines/>
      <w:numPr>
        <w:ilvl w:val="2"/>
        <w:numId w:val="6"/>
      </w:numPr>
      <w:spacing w:before="240"/>
      <w:outlineLvl w:val="2"/>
    </w:pPr>
    <w:rPr>
      <w:rFonts w:ascii="Arial Nova" w:eastAsiaTheme="majorEastAsia" w:hAnsi="Arial Nova" w:cs="Arial"/>
      <w:i/>
      <w:iCs/>
      <w:sz w:val="20"/>
      <w:szCs w:val="20"/>
      <w:lang w:val="en-US"/>
    </w:rPr>
  </w:style>
  <w:style w:type="paragraph" w:styleId="berschrift4">
    <w:name w:val="heading 4"/>
    <w:basedOn w:val="Standard"/>
    <w:next w:val="Standard"/>
    <w:link w:val="berschrift4Zchn"/>
    <w:uiPriority w:val="9"/>
    <w:semiHidden/>
    <w:unhideWhenUsed/>
    <w:qFormat/>
    <w:rsid w:val="00B25575"/>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B25575"/>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B25575"/>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B25575"/>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B25575"/>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25575"/>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7209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272096"/>
    <w:rPr>
      <w:sz w:val="22"/>
      <w:szCs w:val="22"/>
      <w:lang w:val="it-IT"/>
    </w:rPr>
  </w:style>
  <w:style w:type="paragraph" w:styleId="Fuzeile">
    <w:name w:val="footer"/>
    <w:basedOn w:val="Standard"/>
    <w:link w:val="FuzeileZchn"/>
    <w:uiPriority w:val="99"/>
    <w:unhideWhenUsed/>
    <w:rsid w:val="00C321B5"/>
    <w:pPr>
      <w:tabs>
        <w:tab w:val="center" w:pos="4819"/>
        <w:tab w:val="right" w:pos="9638"/>
      </w:tabs>
      <w:spacing w:line="240" w:lineRule="auto"/>
      <w:jc w:val="both"/>
    </w:pPr>
    <w:rPr>
      <w:rFonts w:ascii="Arial" w:hAnsi="Arial" w:cs="Arial"/>
      <w:noProof/>
      <w:sz w:val="18"/>
      <w:szCs w:val="18"/>
      <w:lang w:eastAsia="it-IT"/>
    </w:rPr>
  </w:style>
  <w:style w:type="character" w:customStyle="1" w:styleId="FuzeileZchn">
    <w:name w:val="Fußzeile Zchn"/>
    <w:basedOn w:val="Absatz-Standardschriftart"/>
    <w:link w:val="Fuzeile"/>
    <w:uiPriority w:val="99"/>
    <w:rsid w:val="00C321B5"/>
    <w:rPr>
      <w:rFonts w:ascii="Arial" w:hAnsi="Arial" w:cs="Arial"/>
      <w:noProof/>
      <w:sz w:val="18"/>
      <w:szCs w:val="18"/>
      <w:lang w:val="it-IT" w:eastAsia="it-IT"/>
    </w:rPr>
  </w:style>
  <w:style w:type="paragraph" w:styleId="Sprechblasentext">
    <w:name w:val="Balloon Text"/>
    <w:basedOn w:val="Standard"/>
    <w:link w:val="SprechblasentextZchn"/>
    <w:uiPriority w:val="99"/>
    <w:semiHidden/>
    <w:unhideWhenUsed/>
    <w:rsid w:val="002D07B2"/>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2D07B2"/>
    <w:rPr>
      <w:rFonts w:ascii="Tahoma" w:hAnsi="Tahoma" w:cs="Tahoma"/>
      <w:sz w:val="16"/>
      <w:szCs w:val="16"/>
    </w:rPr>
  </w:style>
  <w:style w:type="paragraph" w:styleId="Textkrper-Zeileneinzug">
    <w:name w:val="Body Text Indent"/>
    <w:basedOn w:val="Standard"/>
    <w:link w:val="Textkrper-ZeileneinzugZchn"/>
    <w:semiHidden/>
    <w:rsid w:val="009572B1"/>
    <w:pPr>
      <w:spacing w:line="240" w:lineRule="auto"/>
      <w:ind w:firstLine="245"/>
      <w:jc w:val="both"/>
    </w:pPr>
    <w:rPr>
      <w:rFonts w:ascii="Times New Roman" w:eastAsia="Malgun Gothic" w:hAnsi="Times New Roman"/>
      <w:spacing w:val="6"/>
      <w:szCs w:val="20"/>
      <w:lang w:val="en-US"/>
    </w:rPr>
  </w:style>
  <w:style w:type="character" w:customStyle="1" w:styleId="Textkrper-ZeileneinzugZchn">
    <w:name w:val="Textkörper-Zeileneinzug Zchn"/>
    <w:link w:val="Textkrper-Zeileneinzug"/>
    <w:semiHidden/>
    <w:rsid w:val="009572B1"/>
    <w:rPr>
      <w:rFonts w:ascii="Times New Roman" w:eastAsia="Malgun Gothic" w:hAnsi="Times New Roman" w:cs="Times New Roman"/>
      <w:spacing w:val="6"/>
      <w:szCs w:val="20"/>
      <w:lang w:val="en-US"/>
    </w:rPr>
  </w:style>
  <w:style w:type="paragraph" w:customStyle="1" w:styleId="AbstractText">
    <w:name w:val="Abstract Text"/>
    <w:basedOn w:val="Standard"/>
    <w:link w:val="AbstractTextCarattere"/>
    <w:qFormat/>
    <w:rsid w:val="007213F1"/>
    <w:pPr>
      <w:ind w:right="28"/>
      <w:jc w:val="both"/>
    </w:pPr>
    <w:rPr>
      <w:rFonts w:ascii="Times New Roman" w:hAnsi="Times New Roman"/>
      <w:sz w:val="20"/>
      <w:szCs w:val="20"/>
      <w:lang w:val="en-US"/>
    </w:rPr>
  </w:style>
  <w:style w:type="paragraph" w:customStyle="1" w:styleId="AbstractTitle">
    <w:name w:val="Abstract Title"/>
    <w:link w:val="AbstractTitleCarattere"/>
    <w:qFormat/>
    <w:rsid w:val="00A918C5"/>
    <w:pPr>
      <w:spacing w:after="120"/>
    </w:pPr>
    <w:rPr>
      <w:rFonts w:ascii="Arial Nova Cond" w:hAnsi="Arial Nova Cond" w:cs="Arial"/>
      <w:b/>
      <w:bCs/>
      <w:sz w:val="22"/>
    </w:rPr>
  </w:style>
  <w:style w:type="character" w:customStyle="1" w:styleId="AbstractTextCarattere">
    <w:name w:val="Abstract Text Carattere"/>
    <w:link w:val="AbstractText"/>
    <w:rsid w:val="007213F1"/>
    <w:rPr>
      <w:rFonts w:ascii="Times New Roman" w:hAnsi="Times New Roman"/>
    </w:rPr>
  </w:style>
  <w:style w:type="paragraph" w:customStyle="1" w:styleId="ArticleTitle">
    <w:name w:val="Article Title"/>
    <w:basedOn w:val="Standard"/>
    <w:link w:val="ArticleTitleCarattere"/>
    <w:qFormat/>
    <w:rsid w:val="00963511"/>
    <w:pPr>
      <w:suppressAutoHyphens/>
      <w:spacing w:before="240" w:after="240" w:line="240" w:lineRule="auto"/>
    </w:pPr>
    <w:rPr>
      <w:rFonts w:ascii="Arial Nova Cond" w:hAnsi="Arial Nova Cond" w:cstheme="minorHAnsi"/>
      <w:b/>
      <w:bCs/>
      <w:sz w:val="36"/>
      <w:szCs w:val="32"/>
      <w:lang w:val="en-US" w:eastAsia="zh-CN"/>
    </w:rPr>
  </w:style>
  <w:style w:type="character" w:customStyle="1" w:styleId="AbstractTitleCarattere">
    <w:name w:val="Abstract Title Carattere"/>
    <w:link w:val="AbstractTitle"/>
    <w:rsid w:val="00A918C5"/>
    <w:rPr>
      <w:rFonts w:ascii="Arial Nova Cond" w:hAnsi="Arial Nova Cond" w:cs="Arial"/>
      <w:b/>
      <w:bCs/>
      <w:sz w:val="22"/>
    </w:rPr>
  </w:style>
  <w:style w:type="character" w:customStyle="1" w:styleId="ArticleTitleCarattere">
    <w:name w:val="Article Title Carattere"/>
    <w:link w:val="ArticleTitle"/>
    <w:rsid w:val="00963511"/>
    <w:rPr>
      <w:rFonts w:ascii="Arial Nova Cond" w:hAnsi="Arial Nova Cond" w:cstheme="minorHAnsi"/>
      <w:b/>
      <w:bCs/>
      <w:sz w:val="36"/>
      <w:szCs w:val="32"/>
      <w:lang w:eastAsia="zh-CN"/>
    </w:rPr>
  </w:style>
  <w:style w:type="paragraph" w:customStyle="1" w:styleId="Footnotes">
    <w:name w:val="Footnotes"/>
    <w:basedOn w:val="Standard"/>
    <w:link w:val="FootnotesCarattere"/>
    <w:uiPriority w:val="99"/>
    <w:qFormat/>
    <w:rsid w:val="00BA23CD"/>
    <w:pPr>
      <w:numPr>
        <w:numId w:val="1"/>
      </w:numPr>
      <w:overflowPunct w:val="0"/>
      <w:autoSpaceDE w:val="0"/>
      <w:autoSpaceDN w:val="0"/>
      <w:adjustRightInd w:val="0"/>
      <w:snapToGrid w:val="0"/>
      <w:spacing w:line="240" w:lineRule="auto"/>
      <w:ind w:left="357" w:hanging="357"/>
      <w:jc w:val="both"/>
      <w:textAlignment w:val="baseline"/>
    </w:pPr>
    <w:rPr>
      <w:rFonts w:ascii="Times New Roman" w:eastAsia="Batang" w:hAnsi="Times New Roman"/>
      <w:sz w:val="20"/>
      <w:szCs w:val="20"/>
      <w:lang w:val="en-US" w:eastAsia="ko-KR"/>
    </w:rPr>
  </w:style>
  <w:style w:type="numbering" w:customStyle="1" w:styleId="Style1">
    <w:name w:val="Style1"/>
    <w:uiPriority w:val="99"/>
    <w:rsid w:val="00562FCE"/>
    <w:pPr>
      <w:numPr>
        <w:numId w:val="2"/>
      </w:numPr>
    </w:pPr>
  </w:style>
  <w:style w:type="character" w:customStyle="1" w:styleId="FootnotesCarattere">
    <w:name w:val="Footnotes Carattere"/>
    <w:link w:val="Footnotes"/>
    <w:uiPriority w:val="99"/>
    <w:rsid w:val="006059FC"/>
    <w:rPr>
      <w:rFonts w:ascii="Times New Roman" w:eastAsia="Batang" w:hAnsi="Times New Roman"/>
      <w:lang w:eastAsia="ko-KR"/>
    </w:rPr>
  </w:style>
  <w:style w:type="paragraph" w:customStyle="1" w:styleId="Articlenormaltextfirstparagraph">
    <w:name w:val="Article normal text first paragraph"/>
    <w:basedOn w:val="Standard"/>
    <w:next w:val="Articlenormaltext"/>
    <w:link w:val="ArticlenormaltextfirstparagraphChar"/>
    <w:qFormat/>
    <w:rsid w:val="00AF3136"/>
    <w:pPr>
      <w:autoSpaceDE w:val="0"/>
      <w:autoSpaceDN w:val="0"/>
      <w:adjustRightInd w:val="0"/>
      <w:spacing w:line="264" w:lineRule="auto"/>
      <w:jc w:val="both"/>
    </w:pPr>
    <w:rPr>
      <w:rFonts w:ascii="Times New Roman" w:hAnsi="Times New Roman"/>
      <w:spacing w:val="4"/>
      <w:szCs w:val="20"/>
      <w:lang w:val="en-US"/>
    </w:rPr>
  </w:style>
  <w:style w:type="paragraph" w:customStyle="1" w:styleId="Figurecaption">
    <w:name w:val="Figure caption"/>
    <w:basedOn w:val="Articlenormaltextfirstparagraph"/>
    <w:next w:val="Articlenormaltext"/>
    <w:qFormat/>
    <w:rsid w:val="00581447"/>
    <w:pPr>
      <w:numPr>
        <w:numId w:val="3"/>
      </w:numPr>
      <w:tabs>
        <w:tab w:val="left" w:pos="851"/>
      </w:tabs>
      <w:spacing w:before="120" w:after="360"/>
      <w:ind w:left="0" w:firstLine="0"/>
    </w:pPr>
    <w:rPr>
      <w:rFonts w:ascii="Arial" w:hAnsi="Arial" w:cs="Arial"/>
      <w:sz w:val="18"/>
      <w:szCs w:val="18"/>
    </w:rPr>
  </w:style>
  <w:style w:type="character" w:customStyle="1" w:styleId="ArticlenormaltextfirstparagraphChar">
    <w:name w:val="Article normal text first paragraph Char"/>
    <w:link w:val="Articlenormaltextfirstparagraph"/>
    <w:rsid w:val="00AF3136"/>
    <w:rPr>
      <w:rFonts w:ascii="Times New Roman" w:hAnsi="Times New Roman"/>
      <w:spacing w:val="4"/>
      <w:sz w:val="22"/>
    </w:rPr>
  </w:style>
  <w:style w:type="paragraph" w:customStyle="1" w:styleId="Tablecaption">
    <w:name w:val="Table caption"/>
    <w:next w:val="Articlenormaltext"/>
    <w:qFormat/>
    <w:rsid w:val="00581447"/>
    <w:pPr>
      <w:numPr>
        <w:numId w:val="4"/>
      </w:numPr>
      <w:tabs>
        <w:tab w:val="left" w:pos="0"/>
      </w:tabs>
      <w:spacing w:after="120"/>
    </w:pPr>
    <w:rPr>
      <w:rFonts w:ascii="Arial" w:hAnsi="Arial" w:cs="Arial"/>
      <w:sz w:val="18"/>
      <w:szCs w:val="18"/>
    </w:rPr>
  </w:style>
  <w:style w:type="paragraph" w:customStyle="1" w:styleId="Bulletlist">
    <w:name w:val="Bullet list"/>
    <w:basedOn w:val="Articlenormaltextfirstparagraph"/>
    <w:qFormat/>
    <w:rsid w:val="002C707C"/>
    <w:pPr>
      <w:numPr>
        <w:numId w:val="5"/>
      </w:numPr>
      <w:spacing w:after="180"/>
      <w:ind w:left="357" w:hanging="357"/>
      <w:contextualSpacing/>
    </w:pPr>
    <w:rPr>
      <w:lang w:val="en-GB"/>
    </w:rPr>
  </w:style>
  <w:style w:type="table" w:styleId="Tabellenraster">
    <w:name w:val="Table Grid"/>
    <w:basedOn w:val="NormaleTabelle"/>
    <w:uiPriority w:val="59"/>
    <w:rsid w:val="00FB7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aliases w:val="Title 2 Zchn"/>
    <w:link w:val="berschrift2"/>
    <w:uiPriority w:val="9"/>
    <w:rsid w:val="00C72FAD"/>
    <w:rPr>
      <w:rFonts w:ascii="Arial Nova" w:eastAsia="Times New Roman" w:hAnsi="Arial Nova" w:cs="Arial"/>
      <w:b/>
      <w:bCs/>
    </w:rPr>
  </w:style>
  <w:style w:type="paragraph" w:customStyle="1" w:styleId="Articlenormaltext">
    <w:name w:val="Article normal text"/>
    <w:qFormat/>
    <w:rsid w:val="00AF3136"/>
    <w:pPr>
      <w:spacing w:line="264" w:lineRule="auto"/>
      <w:ind w:firstLine="284"/>
      <w:jc w:val="both"/>
    </w:pPr>
    <w:rPr>
      <w:rFonts w:ascii="Times New Roman" w:hAnsi="Times New Roman"/>
      <w:spacing w:val="4"/>
      <w:sz w:val="22"/>
    </w:rPr>
  </w:style>
  <w:style w:type="character" w:customStyle="1" w:styleId="berschrift1Zchn">
    <w:name w:val="Überschrift 1 Zchn"/>
    <w:aliases w:val="Title 1 Zchn"/>
    <w:basedOn w:val="Absatz-Standardschriftart"/>
    <w:link w:val="berschrift1"/>
    <w:uiPriority w:val="9"/>
    <w:rsid w:val="00C72FAD"/>
    <w:rPr>
      <w:rFonts w:ascii="Arial Nova" w:hAnsi="Arial Nova" w:cs="Arial"/>
      <w:b/>
      <w:bCs/>
      <w:color w:val="1B8ABC"/>
      <w:sz w:val="28"/>
      <w:szCs w:val="22"/>
    </w:rPr>
  </w:style>
  <w:style w:type="character" w:customStyle="1" w:styleId="berschrift3Zchn">
    <w:name w:val="Überschrift 3 Zchn"/>
    <w:aliases w:val="Title 3 Zchn"/>
    <w:basedOn w:val="Absatz-Standardschriftart"/>
    <w:link w:val="berschrift3"/>
    <w:uiPriority w:val="9"/>
    <w:rsid w:val="00482031"/>
    <w:rPr>
      <w:rFonts w:ascii="Arial Nova" w:eastAsiaTheme="majorEastAsia" w:hAnsi="Arial Nova" w:cs="Arial"/>
      <w:i/>
      <w:iCs/>
    </w:rPr>
  </w:style>
  <w:style w:type="character" w:customStyle="1" w:styleId="berschrift4Zchn">
    <w:name w:val="Überschrift 4 Zchn"/>
    <w:basedOn w:val="Absatz-Standardschriftart"/>
    <w:link w:val="berschrift4"/>
    <w:uiPriority w:val="9"/>
    <w:semiHidden/>
    <w:rsid w:val="00B25575"/>
    <w:rPr>
      <w:rFonts w:asciiTheme="majorHAnsi" w:eastAsiaTheme="majorEastAsia" w:hAnsiTheme="majorHAnsi" w:cstheme="majorBidi"/>
      <w:i/>
      <w:iCs/>
      <w:color w:val="2E74B5" w:themeColor="accent1" w:themeShade="BF"/>
      <w:sz w:val="22"/>
      <w:szCs w:val="22"/>
      <w:lang w:val="it-IT"/>
    </w:rPr>
  </w:style>
  <w:style w:type="character" w:customStyle="1" w:styleId="berschrift5Zchn">
    <w:name w:val="Überschrift 5 Zchn"/>
    <w:basedOn w:val="Absatz-Standardschriftart"/>
    <w:link w:val="berschrift5"/>
    <w:uiPriority w:val="9"/>
    <w:semiHidden/>
    <w:rsid w:val="00B25575"/>
    <w:rPr>
      <w:rFonts w:asciiTheme="majorHAnsi" w:eastAsiaTheme="majorEastAsia" w:hAnsiTheme="majorHAnsi" w:cstheme="majorBidi"/>
      <w:color w:val="2E74B5" w:themeColor="accent1" w:themeShade="BF"/>
      <w:sz w:val="22"/>
      <w:szCs w:val="22"/>
      <w:lang w:val="it-IT"/>
    </w:rPr>
  </w:style>
  <w:style w:type="character" w:customStyle="1" w:styleId="berschrift6Zchn">
    <w:name w:val="Überschrift 6 Zchn"/>
    <w:basedOn w:val="Absatz-Standardschriftart"/>
    <w:link w:val="berschrift6"/>
    <w:uiPriority w:val="9"/>
    <w:semiHidden/>
    <w:rsid w:val="00B25575"/>
    <w:rPr>
      <w:rFonts w:asciiTheme="majorHAnsi" w:eastAsiaTheme="majorEastAsia" w:hAnsiTheme="majorHAnsi" w:cstheme="majorBidi"/>
      <w:color w:val="1F4D78" w:themeColor="accent1" w:themeShade="7F"/>
      <w:sz w:val="22"/>
      <w:szCs w:val="22"/>
      <w:lang w:val="it-IT"/>
    </w:rPr>
  </w:style>
  <w:style w:type="character" w:customStyle="1" w:styleId="berschrift7Zchn">
    <w:name w:val="Überschrift 7 Zchn"/>
    <w:basedOn w:val="Absatz-Standardschriftart"/>
    <w:link w:val="berschrift7"/>
    <w:uiPriority w:val="9"/>
    <w:semiHidden/>
    <w:rsid w:val="00B25575"/>
    <w:rPr>
      <w:rFonts w:asciiTheme="majorHAnsi" w:eastAsiaTheme="majorEastAsia" w:hAnsiTheme="majorHAnsi" w:cstheme="majorBidi"/>
      <w:i/>
      <w:iCs/>
      <w:color w:val="1F4D78" w:themeColor="accent1" w:themeShade="7F"/>
      <w:sz w:val="22"/>
      <w:szCs w:val="22"/>
      <w:lang w:val="it-IT"/>
    </w:rPr>
  </w:style>
  <w:style w:type="character" w:customStyle="1" w:styleId="berschrift8Zchn">
    <w:name w:val="Überschrift 8 Zchn"/>
    <w:basedOn w:val="Absatz-Standardschriftart"/>
    <w:link w:val="berschrift8"/>
    <w:uiPriority w:val="9"/>
    <w:semiHidden/>
    <w:rsid w:val="00B25575"/>
    <w:rPr>
      <w:rFonts w:asciiTheme="majorHAnsi" w:eastAsiaTheme="majorEastAsia" w:hAnsiTheme="majorHAnsi" w:cstheme="majorBidi"/>
      <w:color w:val="272727" w:themeColor="text1" w:themeTint="D8"/>
      <w:sz w:val="21"/>
      <w:szCs w:val="21"/>
      <w:lang w:val="it-IT"/>
    </w:rPr>
  </w:style>
  <w:style w:type="character" w:customStyle="1" w:styleId="berschrift9Zchn">
    <w:name w:val="Überschrift 9 Zchn"/>
    <w:basedOn w:val="Absatz-Standardschriftart"/>
    <w:link w:val="berschrift9"/>
    <w:uiPriority w:val="9"/>
    <w:semiHidden/>
    <w:rsid w:val="00B25575"/>
    <w:rPr>
      <w:rFonts w:asciiTheme="majorHAnsi" w:eastAsiaTheme="majorEastAsia" w:hAnsiTheme="majorHAnsi" w:cstheme="majorBidi"/>
      <w:i/>
      <w:iCs/>
      <w:color w:val="272727" w:themeColor="text1" w:themeTint="D8"/>
      <w:sz w:val="21"/>
      <w:szCs w:val="21"/>
      <w:lang w:val="it-IT"/>
    </w:rPr>
  </w:style>
  <w:style w:type="character" w:styleId="Kommentarzeichen">
    <w:name w:val="annotation reference"/>
    <w:basedOn w:val="Absatz-Standardschriftart"/>
    <w:uiPriority w:val="99"/>
    <w:semiHidden/>
    <w:unhideWhenUsed/>
    <w:rsid w:val="00485598"/>
    <w:rPr>
      <w:sz w:val="16"/>
      <w:szCs w:val="16"/>
    </w:rPr>
  </w:style>
  <w:style w:type="paragraph" w:styleId="Kommentartext">
    <w:name w:val="annotation text"/>
    <w:basedOn w:val="Standard"/>
    <w:link w:val="KommentartextZchn"/>
    <w:uiPriority w:val="99"/>
    <w:unhideWhenUsed/>
    <w:rsid w:val="00485598"/>
    <w:pPr>
      <w:spacing w:line="240" w:lineRule="auto"/>
    </w:pPr>
    <w:rPr>
      <w:sz w:val="20"/>
      <w:szCs w:val="20"/>
    </w:rPr>
  </w:style>
  <w:style w:type="character" w:customStyle="1" w:styleId="KommentartextZchn">
    <w:name w:val="Kommentartext Zchn"/>
    <w:basedOn w:val="Absatz-Standardschriftart"/>
    <w:link w:val="Kommentartext"/>
    <w:uiPriority w:val="99"/>
    <w:rsid w:val="00485598"/>
    <w:rPr>
      <w:lang w:val="it-IT"/>
    </w:rPr>
  </w:style>
  <w:style w:type="paragraph" w:styleId="Kommentarthema">
    <w:name w:val="annotation subject"/>
    <w:basedOn w:val="Kommentartext"/>
    <w:next w:val="Kommentartext"/>
    <w:link w:val="KommentarthemaZchn"/>
    <w:uiPriority w:val="99"/>
    <w:semiHidden/>
    <w:unhideWhenUsed/>
    <w:rsid w:val="00485598"/>
    <w:rPr>
      <w:b/>
      <w:bCs/>
    </w:rPr>
  </w:style>
  <w:style w:type="character" w:customStyle="1" w:styleId="KommentarthemaZchn">
    <w:name w:val="Kommentarthema Zchn"/>
    <w:basedOn w:val="KommentartextZchn"/>
    <w:link w:val="Kommentarthema"/>
    <w:uiPriority w:val="99"/>
    <w:semiHidden/>
    <w:rsid w:val="00485598"/>
    <w:rPr>
      <w:b/>
      <w:bCs/>
      <w:lang w:val="it-IT"/>
    </w:rPr>
  </w:style>
  <w:style w:type="numbering" w:customStyle="1" w:styleId="Listeactuelle1">
    <w:name w:val="Liste actuelle1"/>
    <w:uiPriority w:val="99"/>
    <w:rsid w:val="00B26B6C"/>
    <w:pPr>
      <w:numPr>
        <w:numId w:val="7"/>
      </w:numPr>
    </w:pPr>
  </w:style>
  <w:style w:type="paragraph" w:customStyle="1" w:styleId="Articletype">
    <w:name w:val="Article type"/>
    <w:basedOn w:val="Standard"/>
    <w:next w:val="Standard"/>
    <w:qFormat/>
    <w:rsid w:val="000323B4"/>
    <w:pPr>
      <w:pBdr>
        <w:top w:val="single" w:sz="24" w:space="10" w:color="auto"/>
      </w:pBdr>
    </w:pPr>
    <w:rPr>
      <w:rFonts w:ascii="Arial Nova" w:hAnsi="Arial Nova"/>
      <w:lang w:val="en-US"/>
    </w:rPr>
  </w:style>
  <w:style w:type="paragraph" w:customStyle="1" w:styleId="Authors">
    <w:name w:val="Authors"/>
    <w:basedOn w:val="HeaderAuthors"/>
    <w:qFormat/>
    <w:rsid w:val="003F34C2"/>
    <w:rPr>
      <w:i w:val="0"/>
      <w:iCs w:val="0"/>
      <w:lang w:val="fr-CH"/>
    </w:rPr>
  </w:style>
  <w:style w:type="numbering" w:customStyle="1" w:styleId="Listeactuelle2">
    <w:name w:val="Liste actuelle2"/>
    <w:uiPriority w:val="99"/>
    <w:rsid w:val="0070451C"/>
    <w:pPr>
      <w:numPr>
        <w:numId w:val="8"/>
      </w:numPr>
    </w:pPr>
  </w:style>
  <w:style w:type="character" w:styleId="NichtaufgelsteErwhnung">
    <w:name w:val="Unresolved Mention"/>
    <w:basedOn w:val="Absatz-Standardschriftart"/>
    <w:uiPriority w:val="99"/>
    <w:semiHidden/>
    <w:unhideWhenUsed/>
    <w:rsid w:val="009846C5"/>
    <w:rPr>
      <w:color w:val="605E5C"/>
      <w:shd w:val="clear" w:color="auto" w:fill="E1DFDD"/>
    </w:rPr>
  </w:style>
  <w:style w:type="paragraph" w:customStyle="1" w:styleId="IJSGTitle">
    <w:name w:val="IJSG Title"/>
    <w:qFormat/>
    <w:rsid w:val="0046687F"/>
    <w:rPr>
      <w:rFonts w:ascii="Arial Nova" w:hAnsi="Arial Nova" w:cs="Arial"/>
      <w:color w:val="000000" w:themeColor="text1"/>
      <w:sz w:val="21"/>
      <w:szCs w:val="21"/>
    </w:rPr>
  </w:style>
  <w:style w:type="paragraph" w:customStyle="1" w:styleId="Authorsaffiliation">
    <w:name w:val="Authors affiliation"/>
    <w:qFormat/>
    <w:rsid w:val="003B79DE"/>
    <w:rPr>
      <w:rFonts w:ascii="Times New Roman" w:hAnsi="Times New Roman"/>
      <w:i/>
      <w:iCs/>
      <w:sz w:val="18"/>
      <w:szCs w:val="18"/>
      <w:lang w:val="fr-CH"/>
    </w:rPr>
  </w:style>
  <w:style w:type="paragraph" w:customStyle="1" w:styleId="ArticleInfo">
    <w:name w:val="Article Info"/>
    <w:qFormat/>
    <w:rsid w:val="004B6324"/>
    <w:rPr>
      <w:rFonts w:ascii="Times New Roman" w:hAnsi="Times New Roman"/>
      <w:sz w:val="18"/>
      <w:szCs w:val="18"/>
    </w:rPr>
  </w:style>
  <w:style w:type="paragraph" w:customStyle="1" w:styleId="HeaderAuthors">
    <w:name w:val="Header Authors"/>
    <w:basedOn w:val="Standard"/>
    <w:qFormat/>
    <w:rsid w:val="00BE0646"/>
    <w:pPr>
      <w:tabs>
        <w:tab w:val="center" w:pos="4819"/>
        <w:tab w:val="right" w:pos="9638"/>
      </w:tabs>
      <w:spacing w:line="240" w:lineRule="auto"/>
    </w:pPr>
    <w:rPr>
      <w:rFonts w:ascii="Times New Roman" w:hAnsi="Times New Roman"/>
      <w:i/>
      <w:iCs/>
      <w:sz w:val="20"/>
      <w:lang w:val="en-US"/>
    </w:rPr>
  </w:style>
  <w:style w:type="paragraph" w:customStyle="1" w:styleId="FooterIJSG">
    <w:name w:val="Footer IJSG"/>
    <w:basedOn w:val="Standard"/>
    <w:qFormat/>
    <w:rsid w:val="00E05F03"/>
    <w:rPr>
      <w:sz w:val="18"/>
      <w:szCs w:val="18"/>
      <w:lang w:val="en-US"/>
    </w:rPr>
  </w:style>
  <w:style w:type="paragraph" w:customStyle="1" w:styleId="FooterPagenumber">
    <w:name w:val="Footer Page number"/>
    <w:qFormat/>
    <w:rsid w:val="008215DF"/>
    <w:rPr>
      <w:b/>
    </w:rPr>
  </w:style>
  <w:style w:type="paragraph" w:customStyle="1" w:styleId="References">
    <w:name w:val="References"/>
    <w:basedOn w:val="Standard"/>
    <w:qFormat/>
    <w:rsid w:val="00126660"/>
    <w:pPr>
      <w:tabs>
        <w:tab w:val="left" w:pos="426"/>
      </w:tabs>
    </w:pPr>
    <w:rPr>
      <w:rFonts w:ascii="Times New Roman" w:hAnsi="Times New Roman"/>
      <w:sz w:val="20"/>
      <w:szCs w:val="18"/>
      <w:lang w:val="en-US"/>
    </w:rPr>
  </w:style>
  <w:style w:type="paragraph" w:customStyle="1" w:styleId="Ligne">
    <w:name w:val="Ligne"/>
    <w:basedOn w:val="Standard"/>
    <w:next w:val="AbstractText"/>
    <w:qFormat/>
    <w:rsid w:val="00646F70"/>
    <w:pPr>
      <w:pBdr>
        <w:bottom w:val="single" w:sz="4" w:space="1" w:color="auto"/>
      </w:pBdr>
      <w:spacing w:after="120"/>
    </w:pPr>
    <w:rPr>
      <w:sz w:val="10"/>
      <w:szCs w:val="10"/>
      <w:lang w:val="en-US"/>
    </w:rPr>
  </w:style>
  <w:style w:type="paragraph" w:customStyle="1" w:styleId="TableText">
    <w:name w:val="Table Text"/>
    <w:basedOn w:val="Standard"/>
    <w:qFormat/>
    <w:rsid w:val="00A922EF"/>
    <w:rPr>
      <w:rFonts w:ascii="Arial" w:hAnsi="Arial" w:cs="Arial"/>
      <w:sz w:val="16"/>
      <w:szCs w:val="16"/>
      <w:lang w:val="en-US"/>
    </w:rPr>
  </w:style>
  <w:style w:type="numbering" w:customStyle="1" w:styleId="Listeactuelle3">
    <w:name w:val="Liste actuelle3"/>
    <w:uiPriority w:val="99"/>
    <w:rsid w:val="00482031"/>
    <w:pPr>
      <w:numPr>
        <w:numId w:val="9"/>
      </w:numPr>
    </w:pPr>
  </w:style>
  <w:style w:type="table" w:styleId="TabellemithellemGitternetz">
    <w:name w:val="Grid Table Light"/>
    <w:basedOn w:val="NormaleTabelle"/>
    <w:uiPriority w:val="40"/>
    <w:rsid w:val="008C65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ervorhebung">
    <w:name w:val="Emphasis"/>
    <w:basedOn w:val="Absatz-Standardschriftart"/>
    <w:uiPriority w:val="20"/>
    <w:qFormat/>
    <w:rsid w:val="00757871"/>
    <w:rPr>
      <w:i/>
      <w:iCs/>
    </w:rPr>
  </w:style>
  <w:style w:type="table" w:styleId="EinfacheTabelle2">
    <w:name w:val="Plain Table 2"/>
    <w:basedOn w:val="NormaleTabelle"/>
    <w:uiPriority w:val="42"/>
    <w:rsid w:val="00E022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Standard"/>
    <w:rsid w:val="008A428F"/>
    <w:pPr>
      <w:spacing w:before="100" w:beforeAutospacing="1" w:after="100" w:afterAutospacing="1" w:line="240" w:lineRule="auto"/>
    </w:pPr>
    <w:rPr>
      <w:rFonts w:ascii="Times New Roman" w:eastAsia="Times New Roman" w:hAnsi="Times New Roman"/>
      <w:sz w:val="24"/>
      <w:szCs w:val="24"/>
      <w:lang w:val="de-DE" w:eastAsia="de-DE"/>
    </w:rPr>
  </w:style>
  <w:style w:type="character" w:styleId="Fett">
    <w:name w:val="Strong"/>
    <w:basedOn w:val="Absatz-Standardschriftart"/>
    <w:uiPriority w:val="22"/>
    <w:qFormat/>
    <w:rsid w:val="008A428F"/>
    <w:rPr>
      <w:b/>
      <w:bCs/>
    </w:rPr>
  </w:style>
  <w:style w:type="paragraph" w:customStyle="1" w:styleId="isselectedend">
    <w:name w:val="isselectedend"/>
    <w:basedOn w:val="Standard"/>
    <w:rsid w:val="00E932B0"/>
    <w:pPr>
      <w:spacing w:before="100" w:beforeAutospacing="1" w:after="100" w:afterAutospacing="1" w:line="240" w:lineRule="auto"/>
    </w:pPr>
    <w:rPr>
      <w:rFonts w:ascii="Times New Roman" w:eastAsia="Times New Roman" w:hAnsi="Times New Roman"/>
      <w:sz w:val="24"/>
      <w:szCs w:val="24"/>
      <w:lang w:val="de-DE" w:eastAsia="de-DE"/>
    </w:rPr>
  </w:style>
  <w:style w:type="paragraph" w:styleId="StandardWeb">
    <w:name w:val="Normal (Web)"/>
    <w:basedOn w:val="Standard"/>
    <w:uiPriority w:val="99"/>
    <w:semiHidden/>
    <w:unhideWhenUsed/>
    <w:rsid w:val="00E932B0"/>
    <w:pPr>
      <w:spacing w:before="100" w:beforeAutospacing="1" w:after="100" w:afterAutospacing="1" w:line="240" w:lineRule="auto"/>
    </w:pPr>
    <w:rPr>
      <w:rFonts w:ascii="Times New Roman" w:eastAsia="Times New Roman" w:hAnsi="Times New Roman"/>
      <w:sz w:val="24"/>
      <w:szCs w:val="24"/>
      <w:lang w:val="de-DE" w:eastAsia="de-DE"/>
    </w:rPr>
  </w:style>
  <w:style w:type="character" w:styleId="Platzhaltertext">
    <w:name w:val="Placeholder Text"/>
    <w:basedOn w:val="Absatz-Standardschriftart"/>
    <w:uiPriority w:val="99"/>
    <w:semiHidden/>
    <w:rsid w:val="00472AAF"/>
    <w:rPr>
      <w:color w:val="666666"/>
    </w:rPr>
  </w:style>
  <w:style w:type="character" w:customStyle="1" w:styleId="text-token-text-primary">
    <w:name w:val="text-token-text-primary"/>
    <w:basedOn w:val="Absatz-Standardschriftart"/>
    <w:rsid w:val="001B77EB"/>
  </w:style>
  <w:style w:type="character" w:styleId="HTMLCode">
    <w:name w:val="HTML Code"/>
    <w:basedOn w:val="Absatz-Standardschriftart"/>
    <w:uiPriority w:val="99"/>
    <w:semiHidden/>
    <w:unhideWhenUsed/>
    <w:rsid w:val="00EF3F07"/>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EF3F0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631975">
      <w:bodyDiv w:val="1"/>
      <w:marLeft w:val="0"/>
      <w:marRight w:val="0"/>
      <w:marTop w:val="0"/>
      <w:marBottom w:val="0"/>
      <w:divBdr>
        <w:top w:val="none" w:sz="0" w:space="0" w:color="auto"/>
        <w:left w:val="none" w:sz="0" w:space="0" w:color="auto"/>
        <w:bottom w:val="none" w:sz="0" w:space="0" w:color="auto"/>
        <w:right w:val="none" w:sz="0" w:space="0" w:color="auto"/>
      </w:divBdr>
      <w:divsChild>
        <w:div w:id="1376540774">
          <w:marLeft w:val="0"/>
          <w:marRight w:val="0"/>
          <w:marTop w:val="0"/>
          <w:marBottom w:val="105"/>
          <w:divBdr>
            <w:top w:val="none" w:sz="0" w:space="0" w:color="auto"/>
            <w:left w:val="none" w:sz="0" w:space="0" w:color="auto"/>
            <w:bottom w:val="none" w:sz="0" w:space="0" w:color="auto"/>
            <w:right w:val="none" w:sz="0" w:space="0" w:color="auto"/>
          </w:divBdr>
        </w:div>
      </w:divsChild>
    </w:div>
    <w:div w:id="1578317834">
      <w:bodyDiv w:val="1"/>
      <w:marLeft w:val="0"/>
      <w:marRight w:val="0"/>
      <w:marTop w:val="0"/>
      <w:marBottom w:val="0"/>
      <w:divBdr>
        <w:top w:val="none" w:sz="0" w:space="0" w:color="auto"/>
        <w:left w:val="none" w:sz="0" w:space="0" w:color="auto"/>
        <w:bottom w:val="none" w:sz="0" w:space="0" w:color="auto"/>
        <w:right w:val="none" w:sz="0" w:space="0" w:color="auto"/>
      </w:divBdr>
      <w:divsChild>
        <w:div w:id="2036886985">
          <w:marLeft w:val="0"/>
          <w:marRight w:val="0"/>
          <w:marTop w:val="0"/>
          <w:marBottom w:val="105"/>
          <w:divBdr>
            <w:top w:val="none" w:sz="0" w:space="0" w:color="auto"/>
            <w:left w:val="none" w:sz="0" w:space="0" w:color="auto"/>
            <w:bottom w:val="none" w:sz="0" w:space="0" w:color="auto"/>
            <w:right w:val="none" w:sz="0" w:space="0" w:color="auto"/>
          </w:divBdr>
        </w:div>
      </w:divsChild>
    </w:div>
    <w:div w:id="201086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diagramLayout" Target="diagrams/layout1.xml"/><Relationship Id="rId26" Type="http://schemas.openxmlformats.org/officeDocument/2006/relationships/image" Target="media/image6.png"/><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diagramData" Target="diagrams/data1.xml"/><Relationship Id="rId25" Type="http://schemas.openxmlformats.org/officeDocument/2006/relationships/image" Target="media/image5.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2.png"/><Relationship Id="rId27" Type="http://schemas.openxmlformats.org/officeDocument/2006/relationships/image" Target="media/image7.png"/><Relationship Id="rId30"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1C4FC3-3D06-430C-BB19-BA6B668E2B9F}"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de-DE"/>
        </a:p>
      </dgm:t>
    </dgm:pt>
    <dgm:pt modelId="{7F65A4E7-E715-4F42-9AEB-DBEEB62BE6B8}">
      <dgm:prSet phldrT="[Text]"/>
      <dgm:spPr/>
      <dgm:t>
        <a:bodyPr/>
        <a:lstStyle/>
        <a:p>
          <a:pPr>
            <a:buNone/>
          </a:pPr>
          <a:r>
            <a:rPr lang="de-DE"/>
            <a:t>🎴</a:t>
          </a:r>
          <a:r>
            <a:rPr lang="it-IT"/>
            <a:t>select measure</a:t>
          </a:r>
          <a:endParaRPr lang="de-DE"/>
        </a:p>
      </dgm:t>
    </dgm:pt>
    <dgm:pt modelId="{077886B3-C2B3-4B35-B271-B597804BDA35}" type="parTrans" cxnId="{DC06D48B-5E67-4ACE-B94E-89B05436ED9A}">
      <dgm:prSet/>
      <dgm:spPr/>
      <dgm:t>
        <a:bodyPr/>
        <a:lstStyle/>
        <a:p>
          <a:endParaRPr lang="de-DE"/>
        </a:p>
      </dgm:t>
    </dgm:pt>
    <dgm:pt modelId="{16013E1A-42BD-4F33-84C4-CE45A60132DF}" type="sibTrans" cxnId="{DC06D48B-5E67-4ACE-B94E-89B05436ED9A}">
      <dgm:prSet/>
      <dgm:spPr/>
      <dgm:t>
        <a:bodyPr/>
        <a:lstStyle/>
        <a:p>
          <a:endParaRPr lang="de-DE"/>
        </a:p>
      </dgm:t>
    </dgm:pt>
    <dgm:pt modelId="{F8561E45-569F-44B8-BE9A-7A6748C1A795}">
      <dgm:prSet phldrT="[Text]"/>
      <dgm:spPr/>
      <dgm:t>
        <a:bodyPr/>
        <a:lstStyle/>
        <a:p>
          <a:pPr>
            <a:buNone/>
          </a:pPr>
          <a:r>
            <a:rPr lang="de-DE"/>
            <a:t>🛠️ </a:t>
          </a:r>
          <a:r>
            <a:rPr lang="it-IT"/>
            <a:t>change building state</a:t>
          </a:r>
          <a:endParaRPr lang="de-DE"/>
        </a:p>
      </dgm:t>
    </dgm:pt>
    <dgm:pt modelId="{BC2789A4-AD87-4455-8DD1-1649B55379AB}" type="parTrans" cxnId="{3286FF8C-7575-42D1-A204-D38194538B00}">
      <dgm:prSet/>
      <dgm:spPr/>
      <dgm:t>
        <a:bodyPr/>
        <a:lstStyle/>
        <a:p>
          <a:endParaRPr lang="de-DE"/>
        </a:p>
      </dgm:t>
    </dgm:pt>
    <dgm:pt modelId="{ABFF71B5-0656-4694-8D76-F2E0D9A41545}" type="sibTrans" cxnId="{3286FF8C-7575-42D1-A204-D38194538B00}">
      <dgm:prSet/>
      <dgm:spPr/>
      <dgm:t>
        <a:bodyPr/>
        <a:lstStyle/>
        <a:p>
          <a:endParaRPr lang="de-DE"/>
        </a:p>
      </dgm:t>
    </dgm:pt>
    <dgm:pt modelId="{D4B884FE-6649-4837-B312-E8C41C6A17E0}">
      <dgm:prSet phldrT="[Text]"/>
      <dgm:spPr/>
      <dgm:t>
        <a:bodyPr/>
        <a:lstStyle/>
        <a:p>
          <a:pPr>
            <a:buNone/>
          </a:pPr>
          <a:r>
            <a:rPr lang="de-DE"/>
            <a:t>🧮</a:t>
          </a:r>
          <a:r>
            <a:rPr lang="it-IT"/>
            <a:t>calculate operation</a:t>
          </a:r>
          <a:endParaRPr lang="de-DE"/>
        </a:p>
      </dgm:t>
    </dgm:pt>
    <dgm:pt modelId="{6E943919-97C0-4056-B6CB-C38BEAC73000}" type="parTrans" cxnId="{1E0A2643-61AF-4061-8D00-30FDDB629B06}">
      <dgm:prSet/>
      <dgm:spPr/>
      <dgm:t>
        <a:bodyPr/>
        <a:lstStyle/>
        <a:p>
          <a:endParaRPr lang="de-DE"/>
        </a:p>
      </dgm:t>
    </dgm:pt>
    <dgm:pt modelId="{315E59B2-F97B-459A-9152-6F0DF6405796}" type="sibTrans" cxnId="{1E0A2643-61AF-4061-8D00-30FDDB629B06}">
      <dgm:prSet/>
      <dgm:spPr/>
      <dgm:t>
        <a:bodyPr/>
        <a:lstStyle/>
        <a:p>
          <a:endParaRPr lang="de-DE"/>
        </a:p>
      </dgm:t>
    </dgm:pt>
    <dgm:pt modelId="{0C16A099-9616-4E97-AEB3-A01D67C7E727}">
      <dgm:prSet phldrT="[Text]"/>
      <dgm:spPr/>
      <dgm:t>
        <a:bodyPr/>
        <a:lstStyle/>
        <a:p>
          <a:pPr>
            <a:buNone/>
          </a:pPr>
          <a:r>
            <a:rPr lang="de-DE"/>
            <a:t>💯</a:t>
          </a:r>
          <a:r>
            <a:rPr lang="it-IT"/>
            <a:t>update score and budget</a:t>
          </a:r>
          <a:endParaRPr lang="de-DE"/>
        </a:p>
      </dgm:t>
    </dgm:pt>
    <dgm:pt modelId="{6EFE707B-C78B-4F24-9E8E-A1C6E7E4050C}" type="parTrans" cxnId="{9969FE38-D349-4BC3-A5C9-891B502E3D15}">
      <dgm:prSet/>
      <dgm:spPr/>
      <dgm:t>
        <a:bodyPr/>
        <a:lstStyle/>
        <a:p>
          <a:endParaRPr lang="de-DE"/>
        </a:p>
      </dgm:t>
    </dgm:pt>
    <dgm:pt modelId="{D2A6C13E-0160-492D-AB04-1A82DCF8DD97}" type="sibTrans" cxnId="{9969FE38-D349-4BC3-A5C9-891B502E3D15}">
      <dgm:prSet/>
      <dgm:spPr/>
      <dgm:t>
        <a:bodyPr/>
        <a:lstStyle/>
        <a:p>
          <a:endParaRPr lang="de-DE"/>
        </a:p>
      </dgm:t>
    </dgm:pt>
    <dgm:pt modelId="{9AD36484-FEB1-49A6-BA8A-34C2507A2E67}">
      <dgm:prSet phldrT="[Text]"/>
      <dgm:spPr/>
      <dgm:t>
        <a:bodyPr/>
        <a:lstStyle/>
        <a:p>
          <a:pPr>
            <a:buNone/>
          </a:pPr>
          <a:r>
            <a:rPr lang="de-DE"/>
            <a:t>🤔 </a:t>
          </a:r>
          <a:r>
            <a:rPr lang="it-IT"/>
            <a:t>next decision</a:t>
          </a:r>
          <a:endParaRPr lang="de-DE"/>
        </a:p>
      </dgm:t>
    </dgm:pt>
    <dgm:pt modelId="{F8FA0A62-955F-4A84-A532-9F5B11CF438D}" type="parTrans" cxnId="{5BC96B25-A26D-406E-99D3-C629262E7595}">
      <dgm:prSet/>
      <dgm:spPr/>
      <dgm:t>
        <a:bodyPr/>
        <a:lstStyle/>
        <a:p>
          <a:endParaRPr lang="de-DE"/>
        </a:p>
      </dgm:t>
    </dgm:pt>
    <dgm:pt modelId="{E73F2F6C-EC5B-41C8-AA10-361C7B284847}" type="sibTrans" cxnId="{5BC96B25-A26D-406E-99D3-C629262E7595}">
      <dgm:prSet/>
      <dgm:spPr/>
      <dgm:t>
        <a:bodyPr/>
        <a:lstStyle/>
        <a:p>
          <a:endParaRPr lang="de-DE"/>
        </a:p>
      </dgm:t>
    </dgm:pt>
    <dgm:pt modelId="{B5CD87A9-7F72-44B8-9DCC-6EF076BF1C85}" type="pres">
      <dgm:prSet presAssocID="{CF1C4FC3-3D06-430C-BB19-BA6B668E2B9F}" presName="Name0" presStyleCnt="0">
        <dgm:presLayoutVars>
          <dgm:dir/>
          <dgm:resizeHandles val="exact"/>
        </dgm:presLayoutVars>
      </dgm:prSet>
      <dgm:spPr/>
    </dgm:pt>
    <dgm:pt modelId="{16B86BC3-D7EE-4EE6-8705-ED70FC2C1182}" type="pres">
      <dgm:prSet presAssocID="{CF1C4FC3-3D06-430C-BB19-BA6B668E2B9F}" presName="cycle" presStyleCnt="0"/>
      <dgm:spPr/>
    </dgm:pt>
    <dgm:pt modelId="{17F5E1BF-C4EB-4BEE-8183-9434693CC868}" type="pres">
      <dgm:prSet presAssocID="{7F65A4E7-E715-4F42-9AEB-DBEEB62BE6B8}" presName="nodeFirstNode" presStyleLbl="node1" presStyleIdx="0" presStyleCnt="5" custRadScaleRad="92466" custRadScaleInc="8137">
        <dgm:presLayoutVars>
          <dgm:bulletEnabled val="1"/>
        </dgm:presLayoutVars>
      </dgm:prSet>
      <dgm:spPr/>
    </dgm:pt>
    <dgm:pt modelId="{8DB9F856-737B-4CAB-9AF6-3EFC5C2437A8}" type="pres">
      <dgm:prSet presAssocID="{16013E1A-42BD-4F33-84C4-CE45A60132DF}" presName="sibTransFirstNode" presStyleLbl="bgShp" presStyleIdx="0" presStyleCnt="1"/>
      <dgm:spPr/>
    </dgm:pt>
    <dgm:pt modelId="{385B7662-6741-4FE2-AE27-E7E6C46ED027}" type="pres">
      <dgm:prSet presAssocID="{F8561E45-569F-44B8-BE9A-7A6748C1A795}" presName="nodeFollowingNodes" presStyleLbl="node1" presStyleIdx="1" presStyleCnt="5">
        <dgm:presLayoutVars>
          <dgm:bulletEnabled val="1"/>
        </dgm:presLayoutVars>
      </dgm:prSet>
      <dgm:spPr/>
    </dgm:pt>
    <dgm:pt modelId="{F810A2ED-A1D3-4330-95CF-F8D524EA952D}" type="pres">
      <dgm:prSet presAssocID="{D4B884FE-6649-4837-B312-E8C41C6A17E0}" presName="nodeFollowingNodes" presStyleLbl="node1" presStyleIdx="2" presStyleCnt="5" custRadScaleRad="73930" custRadScaleInc="-40000">
        <dgm:presLayoutVars>
          <dgm:bulletEnabled val="1"/>
        </dgm:presLayoutVars>
      </dgm:prSet>
      <dgm:spPr/>
    </dgm:pt>
    <dgm:pt modelId="{0D2891A0-BA79-4FA6-897C-541000DE4482}" type="pres">
      <dgm:prSet presAssocID="{0C16A099-9616-4E97-AEB3-A01D67C7E727}" presName="nodeFollowingNodes" presStyleLbl="node1" presStyleIdx="3" presStyleCnt="5" custRadScaleRad="61468" custRadScaleInc="29656">
        <dgm:presLayoutVars>
          <dgm:bulletEnabled val="1"/>
        </dgm:presLayoutVars>
      </dgm:prSet>
      <dgm:spPr/>
    </dgm:pt>
    <dgm:pt modelId="{278A200D-9BA6-4091-B04F-1AACA0D64030}" type="pres">
      <dgm:prSet presAssocID="{9AD36484-FEB1-49A6-BA8A-34C2507A2E67}" presName="nodeFollowingNodes" presStyleLbl="node1" presStyleIdx="4" presStyleCnt="5">
        <dgm:presLayoutVars>
          <dgm:bulletEnabled val="1"/>
        </dgm:presLayoutVars>
      </dgm:prSet>
      <dgm:spPr/>
    </dgm:pt>
  </dgm:ptLst>
  <dgm:cxnLst>
    <dgm:cxn modelId="{17201712-363F-48DA-AAB2-F68ED6405747}" type="presOf" srcId="{7F65A4E7-E715-4F42-9AEB-DBEEB62BE6B8}" destId="{17F5E1BF-C4EB-4BEE-8183-9434693CC868}" srcOrd="0" destOrd="0" presId="urn:microsoft.com/office/officeart/2005/8/layout/cycle3"/>
    <dgm:cxn modelId="{5BC96B25-A26D-406E-99D3-C629262E7595}" srcId="{CF1C4FC3-3D06-430C-BB19-BA6B668E2B9F}" destId="{9AD36484-FEB1-49A6-BA8A-34C2507A2E67}" srcOrd="4" destOrd="0" parTransId="{F8FA0A62-955F-4A84-A532-9F5B11CF438D}" sibTransId="{E73F2F6C-EC5B-41C8-AA10-361C7B284847}"/>
    <dgm:cxn modelId="{9969FE38-D349-4BC3-A5C9-891B502E3D15}" srcId="{CF1C4FC3-3D06-430C-BB19-BA6B668E2B9F}" destId="{0C16A099-9616-4E97-AEB3-A01D67C7E727}" srcOrd="3" destOrd="0" parTransId="{6EFE707B-C78B-4F24-9E8E-A1C6E7E4050C}" sibTransId="{D2A6C13E-0160-492D-AB04-1A82DCF8DD97}"/>
    <dgm:cxn modelId="{29933941-2241-4F2D-8F03-54FCD150608B}" type="presOf" srcId="{F8561E45-569F-44B8-BE9A-7A6748C1A795}" destId="{385B7662-6741-4FE2-AE27-E7E6C46ED027}" srcOrd="0" destOrd="0" presId="urn:microsoft.com/office/officeart/2005/8/layout/cycle3"/>
    <dgm:cxn modelId="{1E0A2643-61AF-4061-8D00-30FDDB629B06}" srcId="{CF1C4FC3-3D06-430C-BB19-BA6B668E2B9F}" destId="{D4B884FE-6649-4837-B312-E8C41C6A17E0}" srcOrd="2" destOrd="0" parTransId="{6E943919-97C0-4056-B6CB-C38BEAC73000}" sibTransId="{315E59B2-F97B-459A-9152-6F0DF6405796}"/>
    <dgm:cxn modelId="{2B63284C-02D3-47C9-9FF9-0C97D05C3561}" type="presOf" srcId="{16013E1A-42BD-4F33-84C4-CE45A60132DF}" destId="{8DB9F856-737B-4CAB-9AF6-3EFC5C2437A8}" srcOrd="0" destOrd="0" presId="urn:microsoft.com/office/officeart/2005/8/layout/cycle3"/>
    <dgm:cxn modelId="{C0C51081-4D84-41FE-A00D-8B58ACED4C7B}" type="presOf" srcId="{CF1C4FC3-3D06-430C-BB19-BA6B668E2B9F}" destId="{B5CD87A9-7F72-44B8-9DCC-6EF076BF1C85}" srcOrd="0" destOrd="0" presId="urn:microsoft.com/office/officeart/2005/8/layout/cycle3"/>
    <dgm:cxn modelId="{DC06D48B-5E67-4ACE-B94E-89B05436ED9A}" srcId="{CF1C4FC3-3D06-430C-BB19-BA6B668E2B9F}" destId="{7F65A4E7-E715-4F42-9AEB-DBEEB62BE6B8}" srcOrd="0" destOrd="0" parTransId="{077886B3-C2B3-4B35-B271-B597804BDA35}" sibTransId="{16013E1A-42BD-4F33-84C4-CE45A60132DF}"/>
    <dgm:cxn modelId="{3286FF8C-7575-42D1-A204-D38194538B00}" srcId="{CF1C4FC3-3D06-430C-BB19-BA6B668E2B9F}" destId="{F8561E45-569F-44B8-BE9A-7A6748C1A795}" srcOrd="1" destOrd="0" parTransId="{BC2789A4-AD87-4455-8DD1-1649B55379AB}" sibTransId="{ABFF71B5-0656-4694-8D76-F2E0D9A41545}"/>
    <dgm:cxn modelId="{338EC192-9115-41AA-AB52-92E84A92FBCC}" type="presOf" srcId="{D4B884FE-6649-4837-B312-E8C41C6A17E0}" destId="{F810A2ED-A1D3-4330-95CF-F8D524EA952D}" srcOrd="0" destOrd="0" presId="urn:microsoft.com/office/officeart/2005/8/layout/cycle3"/>
    <dgm:cxn modelId="{6C7DEF97-0B86-47C9-BD64-CFB4B8A83168}" type="presOf" srcId="{0C16A099-9616-4E97-AEB3-A01D67C7E727}" destId="{0D2891A0-BA79-4FA6-897C-541000DE4482}" srcOrd="0" destOrd="0" presId="urn:microsoft.com/office/officeart/2005/8/layout/cycle3"/>
    <dgm:cxn modelId="{E4DC949E-8132-4665-9E17-E89F13179098}" type="presOf" srcId="{9AD36484-FEB1-49A6-BA8A-34C2507A2E67}" destId="{278A200D-9BA6-4091-B04F-1AACA0D64030}" srcOrd="0" destOrd="0" presId="urn:microsoft.com/office/officeart/2005/8/layout/cycle3"/>
    <dgm:cxn modelId="{D13F5BC8-B376-481E-A306-479526C3B65B}" type="presParOf" srcId="{B5CD87A9-7F72-44B8-9DCC-6EF076BF1C85}" destId="{16B86BC3-D7EE-4EE6-8705-ED70FC2C1182}" srcOrd="0" destOrd="0" presId="urn:microsoft.com/office/officeart/2005/8/layout/cycle3"/>
    <dgm:cxn modelId="{93305D64-A243-46AC-9F68-90563F1A4618}" type="presParOf" srcId="{16B86BC3-D7EE-4EE6-8705-ED70FC2C1182}" destId="{17F5E1BF-C4EB-4BEE-8183-9434693CC868}" srcOrd="0" destOrd="0" presId="urn:microsoft.com/office/officeart/2005/8/layout/cycle3"/>
    <dgm:cxn modelId="{645D833D-BF81-4C35-9696-CADE9C581419}" type="presParOf" srcId="{16B86BC3-D7EE-4EE6-8705-ED70FC2C1182}" destId="{8DB9F856-737B-4CAB-9AF6-3EFC5C2437A8}" srcOrd="1" destOrd="0" presId="urn:microsoft.com/office/officeart/2005/8/layout/cycle3"/>
    <dgm:cxn modelId="{BAF94085-4D7D-46E6-82D1-359BB3B07607}" type="presParOf" srcId="{16B86BC3-D7EE-4EE6-8705-ED70FC2C1182}" destId="{385B7662-6741-4FE2-AE27-E7E6C46ED027}" srcOrd="2" destOrd="0" presId="urn:microsoft.com/office/officeart/2005/8/layout/cycle3"/>
    <dgm:cxn modelId="{5534BB06-99EF-4246-AEE3-8EFFA6DC8505}" type="presParOf" srcId="{16B86BC3-D7EE-4EE6-8705-ED70FC2C1182}" destId="{F810A2ED-A1D3-4330-95CF-F8D524EA952D}" srcOrd="3" destOrd="0" presId="urn:microsoft.com/office/officeart/2005/8/layout/cycle3"/>
    <dgm:cxn modelId="{3BFB611E-4F0C-4C8E-B06C-E25F8D94D6E2}" type="presParOf" srcId="{16B86BC3-D7EE-4EE6-8705-ED70FC2C1182}" destId="{0D2891A0-BA79-4FA6-897C-541000DE4482}" srcOrd="4" destOrd="0" presId="urn:microsoft.com/office/officeart/2005/8/layout/cycle3"/>
    <dgm:cxn modelId="{FE6C5739-DD29-469F-90A7-710A36041156}" type="presParOf" srcId="{16B86BC3-D7EE-4EE6-8705-ED70FC2C1182}" destId="{278A200D-9BA6-4091-B04F-1AACA0D64030}" srcOrd="5" destOrd="0" presId="urn:microsoft.com/office/officeart/2005/8/layout/cycle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B9F856-737B-4CAB-9AF6-3EFC5C2437A8}">
      <dsp:nvSpPr>
        <dsp:cNvPr id="0" name=""/>
        <dsp:cNvSpPr/>
      </dsp:nvSpPr>
      <dsp:spPr>
        <a:xfrm>
          <a:off x="1352190" y="80314"/>
          <a:ext cx="2843315" cy="2843315"/>
        </a:xfrm>
        <a:prstGeom prst="circularArrow">
          <a:avLst>
            <a:gd name="adj1" fmla="val 5544"/>
            <a:gd name="adj2" fmla="val 330680"/>
            <a:gd name="adj3" fmla="val 13839473"/>
            <a:gd name="adj4" fmla="val 17347409"/>
            <a:gd name="adj5" fmla="val 575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7F5E1BF-C4EB-4BEE-8183-9434693CC868}">
      <dsp:nvSpPr>
        <dsp:cNvPr id="0" name=""/>
        <dsp:cNvSpPr/>
      </dsp:nvSpPr>
      <dsp:spPr>
        <a:xfrm>
          <a:off x="2126473" y="96142"/>
          <a:ext cx="1294748" cy="6473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DE" sz="1300" kern="1200"/>
            <a:t>🎴</a:t>
          </a:r>
          <a:r>
            <a:rPr lang="it-IT" sz="1300" kern="1200"/>
            <a:t>select measure</a:t>
          </a:r>
          <a:endParaRPr lang="de-DE" sz="1300" kern="1200"/>
        </a:p>
      </dsp:txBody>
      <dsp:txXfrm>
        <a:off x="2158075" y="127744"/>
        <a:ext cx="1231544" cy="584170"/>
      </dsp:txXfrm>
    </dsp:sp>
    <dsp:sp modelId="{385B7662-6741-4FE2-AE27-E7E6C46ED027}">
      <dsp:nvSpPr>
        <dsp:cNvPr id="0" name=""/>
        <dsp:cNvSpPr/>
      </dsp:nvSpPr>
      <dsp:spPr>
        <a:xfrm>
          <a:off x="3184212" y="838542"/>
          <a:ext cx="1294748" cy="6473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DE" sz="1300" kern="1200"/>
            <a:t>🛠️ </a:t>
          </a:r>
          <a:r>
            <a:rPr lang="it-IT" sz="1300" kern="1200"/>
            <a:t>change building state</a:t>
          </a:r>
          <a:endParaRPr lang="de-DE" sz="1300" kern="1200"/>
        </a:p>
      </dsp:txBody>
      <dsp:txXfrm>
        <a:off x="3215814" y="870144"/>
        <a:ext cx="1231544" cy="584170"/>
      </dsp:txXfrm>
    </dsp:sp>
    <dsp:sp modelId="{F810A2ED-A1D3-4330-95CF-F8D524EA952D}">
      <dsp:nvSpPr>
        <dsp:cNvPr id="0" name=""/>
        <dsp:cNvSpPr/>
      </dsp:nvSpPr>
      <dsp:spPr>
        <a:xfrm>
          <a:off x="2807362" y="1661427"/>
          <a:ext cx="1294748" cy="6473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DE" sz="1300" kern="1200"/>
            <a:t>🧮</a:t>
          </a:r>
          <a:r>
            <a:rPr lang="it-IT" sz="1300" kern="1200"/>
            <a:t>calculate operation</a:t>
          </a:r>
          <a:endParaRPr lang="de-DE" sz="1300" kern="1200"/>
        </a:p>
      </dsp:txBody>
      <dsp:txXfrm>
        <a:off x="2838964" y="1693029"/>
        <a:ext cx="1231544" cy="584170"/>
      </dsp:txXfrm>
    </dsp:sp>
    <dsp:sp modelId="{0D2891A0-BA79-4FA6-897C-541000DE4482}">
      <dsp:nvSpPr>
        <dsp:cNvPr id="0" name=""/>
        <dsp:cNvSpPr/>
      </dsp:nvSpPr>
      <dsp:spPr>
        <a:xfrm>
          <a:off x="1429677" y="1653472"/>
          <a:ext cx="1294748" cy="6473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DE" sz="1300" kern="1200"/>
            <a:t>💯</a:t>
          </a:r>
          <a:r>
            <a:rPr lang="it-IT" sz="1300" kern="1200"/>
            <a:t>update score and budget</a:t>
          </a:r>
          <a:endParaRPr lang="de-DE" sz="1300" kern="1200"/>
        </a:p>
      </dsp:txBody>
      <dsp:txXfrm>
        <a:off x="1461279" y="1685074"/>
        <a:ext cx="1231544" cy="584170"/>
      </dsp:txXfrm>
    </dsp:sp>
    <dsp:sp modelId="{278A200D-9BA6-4091-B04F-1AACA0D64030}">
      <dsp:nvSpPr>
        <dsp:cNvPr id="0" name=""/>
        <dsp:cNvSpPr/>
      </dsp:nvSpPr>
      <dsp:spPr>
        <a:xfrm>
          <a:off x="877898" y="838542"/>
          <a:ext cx="1294748" cy="6473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de-DE" sz="1300" kern="1200"/>
            <a:t>🤔 </a:t>
          </a:r>
          <a:r>
            <a:rPr lang="it-IT" sz="1300" kern="1200"/>
            <a:t>next decision</a:t>
          </a:r>
          <a:endParaRPr lang="de-DE" sz="1300" kern="1200"/>
        </a:p>
      </dsp:txBody>
      <dsp:txXfrm>
        <a:off x="909500" y="870144"/>
        <a:ext cx="1231544" cy="58417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3D0EF-E673-47D2-A073-8A915FA1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6383</Words>
  <Characters>40218</Characters>
  <Application>Microsoft Office Word</Application>
  <DocSecurity>0</DocSecurity>
  <Lines>335</Lines>
  <Paragraphs>93</Paragraphs>
  <ScaleCrop>false</ScaleCrop>
  <HeadingPairs>
    <vt:vector size="10" baseType="variant">
      <vt:variant>
        <vt:lpstr>Titel</vt:lpstr>
      </vt:variant>
      <vt:variant>
        <vt:i4>1</vt:i4>
      </vt:variant>
      <vt:variant>
        <vt:lpstr>Titolo</vt:lpstr>
      </vt:variant>
      <vt:variant>
        <vt:i4>1</vt:i4>
      </vt:variant>
      <vt:variant>
        <vt:lpstr>Titre</vt:lpstr>
      </vt:variant>
      <vt:variant>
        <vt:i4>1</vt:i4>
      </vt:variant>
      <vt:variant>
        <vt:lpstr>Título</vt:lpstr>
      </vt:variant>
      <vt:variant>
        <vt:i4>1</vt:i4>
      </vt:variant>
      <vt:variant>
        <vt:lpstr>Title</vt:lpstr>
      </vt:variant>
      <vt:variant>
        <vt:i4>1</vt:i4>
      </vt:variant>
    </vt:vector>
  </HeadingPairs>
  <TitlesOfParts>
    <vt:vector size="5" baseType="lpstr">
      <vt:lpstr/>
      <vt:lpstr/>
      <vt:lpstr/>
      <vt:lpstr/>
      <vt:lpstr/>
    </vt:vector>
  </TitlesOfParts>
  <Company/>
  <LinksUpToDate>false</LinksUpToDate>
  <CharactersWithSpaces>46508</CharactersWithSpaces>
  <SharedDoc>false</SharedDoc>
  <HLinks>
    <vt:vector size="24" baseType="variant">
      <vt:variant>
        <vt:i4>5439550</vt:i4>
      </vt:variant>
      <vt:variant>
        <vt:i4>0</vt:i4>
      </vt:variant>
      <vt:variant>
        <vt:i4>0</vt:i4>
      </vt:variant>
      <vt:variant>
        <vt:i4>5</vt:i4>
      </vt:variant>
      <vt:variant>
        <vt:lpwstr>http://www.sensegraphics.com/datasheet/H3DAPI_datasheet.pdf</vt:lpwstr>
      </vt:variant>
      <vt:variant>
        <vt:lpwstr/>
      </vt:variant>
      <vt:variant>
        <vt:i4>2818165</vt:i4>
      </vt:variant>
      <vt:variant>
        <vt:i4>15</vt:i4>
      </vt:variant>
      <vt:variant>
        <vt:i4>0</vt:i4>
      </vt:variant>
      <vt:variant>
        <vt:i4>5</vt:i4>
      </vt:variant>
      <vt:variant>
        <vt:lpwstr>http://journal.seriousgamessociety.org/</vt:lpwstr>
      </vt:variant>
      <vt:variant>
        <vt:lpwstr/>
      </vt:variant>
      <vt:variant>
        <vt:i4>2818165</vt:i4>
      </vt:variant>
      <vt:variant>
        <vt:i4>9</vt:i4>
      </vt:variant>
      <vt:variant>
        <vt:i4>0</vt:i4>
      </vt:variant>
      <vt:variant>
        <vt:i4>5</vt:i4>
      </vt:variant>
      <vt:variant>
        <vt:lpwstr>http://journal.seriousgamessociety.org/</vt:lpwstr>
      </vt:variant>
      <vt:variant>
        <vt:lpwstr/>
      </vt:variant>
      <vt:variant>
        <vt:i4>2818165</vt:i4>
      </vt:variant>
      <vt:variant>
        <vt:i4>6</vt:i4>
      </vt:variant>
      <vt:variant>
        <vt:i4>0</vt:i4>
      </vt:variant>
      <vt:variant>
        <vt:i4>5</vt:i4>
      </vt:variant>
      <vt:variant>
        <vt:lpwstr>http://journal.seriousgamessociety.org/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Carmosino</dc:creator>
  <cp:keywords/>
  <dc:description/>
  <cp:lastModifiedBy>Simon Schneider</cp:lastModifiedBy>
  <cp:revision>11</cp:revision>
  <cp:lastPrinted>2022-08-24T12:59:00Z</cp:lastPrinted>
  <dcterms:created xsi:type="dcterms:W3CDTF">2023-04-13T11:11:00Z</dcterms:created>
  <dcterms:modified xsi:type="dcterms:W3CDTF">2026-08-21T15:04:00Z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id="7VmXXIfM"/&gt;&lt;style id="http://www.zotero.org/styles/ieee" locale="en-US" hasBibliography="1" bibliographyStyleHasBeenSet="1"/&gt;&lt;prefs&gt;&lt;pref name="fieldType" value="Field"/&gt;&lt;/prefs&gt;&lt;/data&gt;</vt:lpwstr>
  </property>
</Properties>
</file>