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2df67ab9a4c3ff2cbfe79922edb6b8d8df9d4c"/>
    <w:p>
      <w:pPr>
        <w:pStyle w:val="Heading1"/>
      </w:pPr>
      <w:r>
        <w:t xml:space="preserve">The Renovation Game: A Physics-Informed Serious Board Game for Building Renovation and Decarbonization Education</w:t>
      </w:r>
    </w:p>
    <w:bookmarkStart w:id="20" w:name="abstract"/>
    <w:p>
      <w:pPr>
        <w:pStyle w:val="Heading2"/>
      </w:pPr>
      <w:r>
        <w:t xml:space="preserve">Abstract</w:t>
      </w:r>
    </w:p>
    <w:p>
      <w:pPr>
        <w:pStyle w:val="FirstParagraph"/>
      </w:pPr>
      <w:r>
        <w:t xml:space="preserve">The decarbonization of existing buildings requires coordinated decisions concerning the building envelope, heating system, heat distribution, ventilation, renewable electricity generation, storage, and occupant needs. These decisions are technically interdependent, unfold over long time horizons, and involve trade-offs between investment costs, operational emissions, embodied emissions, energy demand, and user satisfaction. Such relationships are difficult to communicate through isolated technology descriptions or conventional teaching formats.</w:t>
      </w:r>
    </w:p>
    <w:p>
      <w:pPr>
        <w:pStyle w:val="BodyText"/>
      </w:pPr>
      <w:r>
        <w:t xml:space="preserve">This paper presents</w:t>
      </w:r>
      <w:r>
        <w:t xml:space="preserve"> </w:t>
      </w:r>
      <w:r>
        <w:rPr>
          <w:i/>
          <w:iCs/>
        </w:rPr>
        <w:t xml:space="preserve">The Renovation Game</w:t>
      </w:r>
      <w:r>
        <w:t xml:space="preserve">, a serious board game that represents the renovation of a residential building as a discrete, quantitative decision model. Players select renovation measures over successive rounds and observe their effects on thermal demand, electricity demand and production, storage, heating-system efficiency, investment resources, occupant satisfaction, and greenhouse-gas emissions. The game model translates engineering quantities into bounded game states while aiming to preserve the direction, approximate relative magnitude, and relevant interactions of real-world effects. The current version includes 51 measure cards in nine intervention categories and represents a nominal 1,000 m² building over five-year game rounds.</w:t>
      </w:r>
    </w:p>
    <w:p>
      <w:pPr>
        <w:pStyle w:val="BodyText"/>
      </w:pPr>
      <w:r>
        <w:t xml:space="preserve">The study has two objectives. First, it documents the development, calibration, and computational validation of the game model. Second, it evaluates the game as a learning intervention using matched pre- and post-game knowledge assessments, gameplay outcomes, usability indicators, and participant feedback. The proposed evaluation distinguishes objective learning gains from perceived learning, enjoyment, rule comprehension, and strategic confidence. Results from [N] participants indicate [INSERT PRINCIPAL LEARNING RESULT], while gameplay and qualitative findings show [INSERT PRINCIPAL ENGAGEMENT OR DESIGN RESULT]. The study demonstrates how a simplified but quantitatively traceable building model can be embedded within the mechanics of a tabletop game and identifies the limitations of using discrete simulation games to communicate context-dependent renovation strategies.</w:t>
      </w:r>
    </w:p>
    <w:p>
      <w:pPr>
        <w:pStyle w:val="BodyText"/>
      </w:pPr>
      <w:r>
        <w:rPr>
          <w:b/>
          <w:bCs/>
        </w:rPr>
        <w:t xml:space="preserve">Keywords:</w:t>
      </w:r>
      <w:r>
        <w:t xml:space="preserve"> </w:t>
      </w:r>
      <w:r>
        <w:t xml:space="preserve">serious games; game-based learning; building renovation; building energy; decarbonization; climate education; energy engineering; tabletop simulation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renovation of existing buildings is central to reducing operational greenhouse-gas emissions and adapting the building stock to energy systems with increasing shares of renewable electricity. Renovation decisions are nevertheless difficult to communicate because individual measures cannot be evaluated independently. The benefit of a heat pump depends on building heat demand, heat-distribution temperatures, electricity supply, and future grid emissions. Photovoltaic generation interacts with electricity demand and storage. Envelope improvements reduce operational demand but cause immediate embodied emissions. Measures that reduce emissions may also affect costs, architectural quality, comfort, accessibility, and occupant acceptance.</w:t>
      </w:r>
    </w:p>
    <w:p>
      <w:pPr>
        <w:pStyle w:val="BodyText"/>
      </w:pPr>
      <w:r>
        <w:t xml:space="preserve">Conventional educational materials frequently explain these technologies separately. This can communicate factual knowledge about individual components but may underrepresent the system-level relationships that determine the performance of a renovation strategy. Learners need opportunities not only to recall available measures, but also to compare alternatives, recognize prerequisites, identify synergies, and manage competing objectives over time.</w:t>
      </w:r>
    </w:p>
    <w:p>
      <w:pPr>
        <w:pStyle w:val="BodyText"/>
      </w:pPr>
      <w:r>
        <w:t xml:space="preserve">Serious games provide one possible approach. They combine a rule-governed decision environment with feedback and repeated player action. Reviews and meta-analyses indicate that games and simulations can support cognitive and affective learning outcomes, although effectiveness depends on the alignment between the game, its learning objectives, the instructional setting, and the assessment method. Games should therefore not be assumed to produce learning merely because they are engaging.</w:t>
      </w:r>
    </w:p>
    <w:p>
      <w:pPr>
        <w:pStyle w:val="BodyText"/>
      </w:pPr>
      <w:r>
        <w:rPr>
          <w:i/>
          <w:iCs/>
        </w:rPr>
        <w:t xml:space="preserve">The Renovation Game</w:t>
      </w:r>
      <w:r>
        <w:t xml:space="preserve"> </w:t>
      </w:r>
      <w:r>
        <w:t xml:space="preserve">was developed to make the causal structure of building renovation directly playable. The player’s objective—reducing cumulative greenhouse-gas emissions while retaining sufficient financial resources—is analogous to the real-world decarbonization objective. Renovation measures are not presented only as factual information on cards. Their effects alter the game state and thereby determine subsequent choices, operating costs, and emission outcomes.</w:t>
      </w:r>
    </w:p>
    <w:p>
      <w:pPr>
        <w:pStyle w:val="BodyText"/>
      </w:pPr>
      <w:r>
        <w:t xml:space="preserve">This paper makes three contributions:</w:t>
      </w:r>
    </w:p>
    <w:p>
      <w:pPr>
        <w:pStyle w:val="Compact"/>
        <w:numPr>
          <w:ilvl w:val="0"/>
          <w:numId w:val="1001"/>
        </w:numPr>
      </w:pPr>
      <w:r>
        <w:t xml:space="preserve">It presents a discrete, physics-informed representation of building renovation suitable for a tabletop game.</w:t>
      </w:r>
    </w:p>
    <w:p>
      <w:pPr>
        <w:pStyle w:val="Compact"/>
        <w:numPr>
          <w:ilvl w:val="0"/>
          <w:numId w:val="1001"/>
        </w:numPr>
      </w:pPr>
      <w:r>
        <w:t xml:space="preserve">It documents a calibration and validation process that combines engineering mappings, expert review, playtesting, and computational simulation.</w:t>
      </w:r>
    </w:p>
    <w:p>
      <w:pPr>
        <w:pStyle w:val="Compact"/>
        <w:numPr>
          <w:ilvl w:val="0"/>
          <w:numId w:val="1001"/>
        </w:numPr>
      </w:pPr>
      <w:r>
        <w:t xml:space="preserve">It proposes and applies an empirical framework for distinguishing objective learning outcomes from usability, enjoyment, perceived learning, and gameplay performance.</w:t>
      </w:r>
    </w:p>
    <w:p>
      <w:pPr>
        <w:pStyle w:val="FirstParagraph"/>
      </w:pPr>
      <w:r>
        <w:t xml:space="preserve">The central research problem is not whether a board game can reproduce a complete building simulation. Rather, it is whether a deliberately simplified model can preserve the relationships most important for introductory renovation education while remaining understandable, playable, and strategically meaningful.</w:t>
      </w:r>
    </w:p>
    <w:p>
      <w:r>
        <w:pict>
          <v:rect style="width:0;height:1.5pt" o:hralign="center" o:hrstd="t" o:hr="t"/>
        </w:pict>
      </w:r>
    </w:p>
    <w:bookmarkEnd w:id="21"/>
    <w:bookmarkStart w:id="25" w:name="conceptual-background"/>
    <w:p>
      <w:pPr>
        <w:pStyle w:val="Heading2"/>
      </w:pPr>
      <w:r>
        <w:t xml:space="preserve">2. Conceptual Background</w:t>
      </w:r>
    </w:p>
    <w:bookmarkStart w:id="22" w:name="serious-games-and-game-based-learning"/>
    <w:p>
      <w:pPr>
        <w:pStyle w:val="Heading3"/>
      </w:pPr>
      <w:r>
        <w:t xml:space="preserve">2.1 Serious games and game-based learning</w:t>
      </w:r>
    </w:p>
    <w:p>
      <w:pPr>
        <w:pStyle w:val="FirstParagraph"/>
      </w:pPr>
      <w:r>
        <w:t xml:space="preserve">Serious games are complete games developed or applied for purposes extending beyond entertainment, including education, training, communication, and participatory decision-making. Game-based learning describes the educational use of such games within a broader learning process.</w:t>
      </w:r>
    </w:p>
    <w:p>
      <w:pPr>
        <w:pStyle w:val="BodyText"/>
      </w:pPr>
      <w:r>
        <w:t xml:space="preserve">This differs from gamification, which generally introduces selected game elements—such as points, badges, challenges, or progress indicators—into activities that remain non-game activities. Gamification and serious games may overlap in individual design elements, but they should not be treated as opposing or neurologically distinct teaching philosophies. Meta-analytic evidence suggests that gamification can affect cognitive, motivational, and behavioral outcomes, with results depending on the particular elements and learning arrangements used.</w:t>
      </w:r>
    </w:p>
    <w:p>
      <w:pPr>
        <w:pStyle w:val="BodyText"/>
      </w:pPr>
      <w:r>
        <w:rPr>
          <w:i/>
          <w:iCs/>
        </w:rPr>
        <w:t xml:space="preserve">The Renovation Game</w:t>
      </w:r>
      <w:r>
        <w:t xml:space="preserve"> </w:t>
      </w:r>
      <w:r>
        <w:t xml:space="preserve">is classified as a serious simulation game rather than a gamified worksheet. The subject matter is endogenous to the game: energy demand, investment constraints, technology interactions, and emissions are the mechanics through which the game is played and won.</w:t>
      </w:r>
    </w:p>
    <w:bookmarkEnd w:id="22"/>
    <w:bookmarkStart w:id="23" w:name="games-as-models-of-real-systems"/>
    <w:p>
      <w:pPr>
        <w:pStyle w:val="Heading3"/>
      </w:pPr>
      <w:r>
        <w:t xml:space="preserve">2.2 Games as models of real systems</w:t>
      </w:r>
    </w:p>
    <w:p>
      <w:pPr>
        <w:pStyle w:val="FirstParagraph"/>
      </w:pPr>
      <w:r>
        <w:t xml:space="preserve">A simulation represents selected relationships of a real system, while a game adds goals, constraints, uncertainty, feedback, and player agency. The distinction is not absolute: instructional games frequently combine simplified simulation with rules and scoring mechanisms that do not exist in the represented system. Garris et al. describe learning games through a repeated cycle of player judgment, action, system feedback, and revised behavior. This cycle is particularly relevant to renovation education because players can test a strategy, observe its consequences, and modify subsequent decisions.</w:t>
      </w:r>
    </w:p>
    <w:p>
      <w:pPr>
        <w:pStyle w:val="BodyText"/>
      </w:pPr>
      <w:r>
        <w:t xml:space="preserve">The Mechanics–Dynamics–Aesthetics framework similarly distinguishes between the implemented rules and data structures, the behavior emerging during play, and the resulting player experience. For the present game:</w:t>
      </w:r>
    </w:p>
    <w:p>
      <w:pPr>
        <w:pStyle w:val="Compact"/>
        <w:numPr>
          <w:ilvl w:val="0"/>
          <w:numId w:val="1002"/>
        </w:numPr>
      </w:pPr>
      <w:r>
        <w:rPr>
          <w:b/>
          <w:bCs/>
        </w:rPr>
        <w:t xml:space="preserve">Mechanics</w:t>
      </w:r>
      <w:r>
        <w:t xml:space="preserve"> </w:t>
      </w:r>
      <w:r>
        <w:t xml:space="preserve">include card costs, energy-state changes, technology prerequisites, round-dependent emission factors, and scoring.</w:t>
      </w:r>
    </w:p>
    <w:p>
      <w:pPr>
        <w:pStyle w:val="Compact"/>
        <w:numPr>
          <w:ilvl w:val="0"/>
          <w:numId w:val="1002"/>
        </w:numPr>
      </w:pPr>
      <w:r>
        <w:rPr>
          <w:b/>
          <w:bCs/>
        </w:rPr>
        <w:t xml:space="preserve">Dynamics</w:t>
      </w:r>
      <w:r>
        <w:t xml:space="preserve"> </w:t>
      </w:r>
      <w:r>
        <w:t xml:space="preserve">include competition for limited funds, sequencing of measures, specialization, trade-offs, and the emergence of technology combinations.</w:t>
      </w:r>
    </w:p>
    <w:p>
      <w:pPr>
        <w:pStyle w:val="Compact"/>
        <w:numPr>
          <w:ilvl w:val="0"/>
          <w:numId w:val="1002"/>
        </w:numPr>
      </w:pPr>
      <w:r>
        <w:rPr>
          <w:b/>
          <w:bCs/>
        </w:rPr>
        <w:t xml:space="preserve">Intended experiences</w:t>
      </w:r>
      <w:r>
        <w:t xml:space="preserve"> </w:t>
      </w:r>
      <w:r>
        <w:t xml:space="preserve">include strategic agency, discovery of system interactions, tension between short- and long-term effects, and reflection on renovation pathways.</w:t>
      </w:r>
    </w:p>
    <w:p>
      <w:pPr>
        <w:pStyle w:val="FirstParagraph"/>
      </w:pPr>
      <w:r>
        <w:t xml:space="preserve">The framework is useful for describing the game, but educational design additionally requires explicit alignment between learning objectives, game mechanics, learning activities, and assessment.</w:t>
      </w:r>
    </w:p>
    <w:bookmarkEnd w:id="23"/>
    <w:bookmarkStart w:id="24" w:name="Xd83116f0777cefaee927558f134d03293945655"/>
    <w:p>
      <w:pPr>
        <w:pStyle w:val="Heading3"/>
      </w:pPr>
      <w:r>
        <w:t xml:space="preserve">2.3 Serious games in energy and sustainability education</w:t>
      </w:r>
    </w:p>
    <w:p>
      <w:pPr>
        <w:pStyle w:val="FirstParagraph"/>
      </w:pPr>
      <w:r>
        <w:t xml:space="preserve">Energy and sustainability games have been used to communicate household energy behavior, renewable technologies, circular-economy principles, and urban energy transitions. Previous work shows that games can support engagement with complex systems and stakeholder trade-offs, but also that participants may reject games they perceive as trivializing a serious issue. Clear learning relevance and actionable content are therefore important.</w:t>
      </w:r>
    </w:p>
    <w:p>
      <w:pPr>
        <w:pStyle w:val="BodyText"/>
      </w:pPr>
      <w:r>
        <w:t xml:space="preserve">Existing energy games often emphasize either household behavior or stakeholder negotiation.</w:t>
      </w:r>
      <w:r>
        <w:t xml:space="preserve"> </w:t>
      </w:r>
      <w:r>
        <w:rPr>
          <w:i/>
          <w:iCs/>
        </w:rPr>
        <w:t xml:space="preserve">The Renovation Game</w:t>
      </w:r>
      <w:r>
        <w:t xml:space="preserve"> </w:t>
      </w:r>
      <w:r>
        <w:t xml:space="preserve">instead focuses on the techno-economic and environmental configuration of a single building renovation. Its distinctive design problem is the translation of engineering quantities and technology interactions into a compact tabletop state space.</w:t>
      </w:r>
    </w:p>
    <w:p>
      <w:r>
        <w:pict>
          <v:rect style="width:0;height:1.5pt" o:hralign="center" o:hrstd="t" o:hr="t"/>
        </w:pict>
      </w:r>
    </w:p>
    <w:bookmarkEnd w:id="24"/>
    <w:bookmarkEnd w:id="25"/>
    <w:bookmarkStart w:id="26" w:name="research-questions"/>
    <w:p>
      <w:pPr>
        <w:pStyle w:val="Heading2"/>
      </w:pPr>
      <w:r>
        <w:t xml:space="preserve">3. Research Questions</w:t>
      </w:r>
    </w:p>
    <w:p>
      <w:pPr>
        <w:pStyle w:val="FirstParagraph"/>
      </w:pPr>
      <w:r>
        <w:t xml:space="preserve">The study addresses four research questions.</w:t>
      </w:r>
    </w:p>
    <w:p>
      <w:pPr>
        <w:pStyle w:val="BodyText"/>
      </w:pPr>
      <w:r>
        <w:rPr>
          <w:b/>
          <w:bCs/>
        </w:rPr>
        <w:t xml:space="preserve">RQ1 — Model representation:</w:t>
      </w:r>
      <w:r>
        <w:br/>
      </w:r>
      <w:r>
        <w:t xml:space="preserve">How can the principal energy, emission, cost, and comfort relationships of building renovation be represented in a discrete tabletop model without losing their direction and strategically relevant interactions?</w:t>
      </w:r>
    </w:p>
    <w:p>
      <w:pPr>
        <w:pStyle w:val="BodyText"/>
      </w:pPr>
      <w:r>
        <w:rPr>
          <w:b/>
          <w:bCs/>
        </w:rPr>
        <w:t xml:space="preserve">RQ2 — Game behavior:</w:t>
      </w:r>
      <w:r>
        <w:br/>
      </w:r>
      <w:r>
        <w:t xml:space="preserve">Does the calibrated model produce a sufficiently broad and strategically differentiated solution space, without a single measure or strategy dominating across plausible game states?</w:t>
      </w:r>
    </w:p>
    <w:p>
      <w:pPr>
        <w:pStyle w:val="BodyText"/>
      </w:pPr>
      <w:r>
        <w:rPr>
          <w:b/>
          <w:bCs/>
        </w:rPr>
        <w:t xml:space="preserve">RQ3 — Learning outcomes:</w:t>
      </w:r>
      <w:r>
        <w:br/>
      </w:r>
      <w:r>
        <w:t xml:space="preserve">Does participation in</w:t>
      </w:r>
      <w:r>
        <w:t xml:space="preserve"> </w:t>
      </w:r>
      <w:r>
        <w:rPr>
          <w:i/>
          <w:iCs/>
        </w:rPr>
        <w:t xml:space="preserve">The Renovation Game</w:t>
      </w:r>
      <w:r>
        <w:t xml:space="preserve"> </w:t>
      </w:r>
      <w:r>
        <w:t xml:space="preserve">improve learners’ knowledge of renovation measures, relative effects, technology prerequisites, and system interactions?</w:t>
      </w:r>
    </w:p>
    <w:p>
      <w:pPr>
        <w:pStyle w:val="BodyText"/>
      </w:pPr>
      <w:r>
        <w:rPr>
          <w:b/>
          <w:bCs/>
        </w:rPr>
        <w:t xml:space="preserve">RQ4 — Player experience:</w:t>
      </w:r>
      <w:r>
        <w:br/>
      </w:r>
      <w:r>
        <w:t xml:space="preserve">How do participants evaluate rule comprehensibility, strategic agency, enjoyment, perceived learning, and willingness to play again?</w:t>
      </w:r>
    </w:p>
    <w:p>
      <w:pPr>
        <w:pStyle w:val="BodyText"/>
      </w:pPr>
      <w:r>
        <w:t xml:space="preserve">For a pilot study without a comparison group, RQ3 should be interpreted as evidence of pre–post change rather than definitive evidence that the game caused the observed change. A controlled study would be required for a stronger causal claim.</w:t>
      </w:r>
    </w:p>
    <w:p>
      <w:r>
        <w:pict>
          <v:rect style="width:0;height:1.5pt" o:hralign="center" o:hrstd="t" o:hr="t"/>
        </w:pict>
      </w:r>
    </w:p>
    <w:bookmarkEnd w:id="26"/>
    <w:bookmarkStart w:id="36" w:name="design-methodology"/>
    <w:p>
      <w:pPr>
        <w:pStyle w:val="Heading2"/>
      </w:pPr>
      <w:r>
        <w:t xml:space="preserve">4. Design Methodology</w:t>
      </w:r>
    </w:p>
    <w:bookmarkStart w:id="27" w:name="target-groups-and-intended-use"/>
    <w:p>
      <w:pPr>
        <w:pStyle w:val="Heading3"/>
      </w:pPr>
      <w:r>
        <w:t xml:space="preserve">4.1 Target groups and intended use</w:t>
      </w:r>
    </w:p>
    <w:p>
      <w:pPr>
        <w:pStyle w:val="FirstParagraph"/>
      </w:pPr>
      <w:r>
        <w:t xml:space="preserve">The game is intended for learners aged approximately 14 years and above, including upper-secondary students, university students, building-sector professionals, and interested members of the public. These groups differ substantially in prior technical knowledge. The design therefore aims to be accessible without assuming familiarity with building-energy equations while retaining sufficient depth for discussion with technically trained participants.</w:t>
      </w:r>
    </w:p>
    <w:p>
      <w:pPr>
        <w:pStyle w:val="BodyText"/>
      </w:pPr>
      <w:r>
        <w:t xml:space="preserve">The game can be used in two formats:</w:t>
      </w:r>
    </w:p>
    <w:p>
      <w:pPr>
        <w:pStyle w:val="Compact"/>
        <w:numPr>
          <w:ilvl w:val="0"/>
          <w:numId w:val="1003"/>
        </w:numPr>
      </w:pPr>
      <w:r>
        <w:t xml:space="preserve">a short introductory session of approximately 20–30 minutes; and</w:t>
      </w:r>
    </w:p>
    <w:p>
      <w:pPr>
        <w:pStyle w:val="Compact"/>
        <w:numPr>
          <w:ilvl w:val="0"/>
          <w:numId w:val="1003"/>
        </w:numPr>
      </w:pPr>
      <w:r>
        <w:t xml:space="preserve">an extended workshop of approximately 90–120 minutes, including explanation, gameplay, and structured debriefing.</w:t>
      </w:r>
    </w:p>
    <w:p>
      <w:pPr>
        <w:pStyle w:val="FirstParagraph"/>
      </w:pPr>
      <w:r>
        <w:t xml:space="preserve">The empirical study should record the format used for each participant because playing time and debriefing may influence learning outcomes.</w:t>
      </w:r>
    </w:p>
    <w:bookmarkEnd w:id="27"/>
    <w:bookmarkStart w:id="28" w:name="intended-learning-outcomes"/>
    <w:p>
      <w:pPr>
        <w:pStyle w:val="Heading3"/>
      </w:pPr>
      <w:r>
        <w:t xml:space="preserve">4.2 Intended learning outcomes</w:t>
      </w:r>
    </w:p>
    <w:p>
      <w:pPr>
        <w:pStyle w:val="FirstParagraph"/>
      </w:pPr>
      <w:r>
        <w:t xml:space="preserve">After playing and discussing the game, participants should be able to:</w:t>
      </w:r>
    </w:p>
    <w:p>
      <w:pPr>
        <w:pStyle w:val="Compact"/>
        <w:numPr>
          <w:ilvl w:val="0"/>
          <w:numId w:val="1004"/>
        </w:numPr>
      </w:pPr>
      <w:r>
        <w:t xml:space="preserve">name the main categories of building-renovation measures;</w:t>
      </w:r>
    </w:p>
    <w:p>
      <w:pPr>
        <w:pStyle w:val="Compact"/>
        <w:numPr>
          <w:ilvl w:val="0"/>
          <w:numId w:val="1004"/>
        </w:numPr>
      </w:pPr>
      <w:r>
        <w:t xml:space="preserve">distinguish measures affecting thermal demand, electricity demand, electricity production, storage, and heating efficiency;</w:t>
      </w:r>
    </w:p>
    <w:p>
      <w:pPr>
        <w:pStyle w:val="Compact"/>
        <w:numPr>
          <w:ilvl w:val="0"/>
          <w:numId w:val="1004"/>
        </w:numPr>
      </w:pPr>
      <w:r>
        <w:t xml:space="preserve">explain why the effect of a measure depends on the existing building and other installed technologies;</w:t>
      </w:r>
    </w:p>
    <w:p>
      <w:pPr>
        <w:pStyle w:val="Compact"/>
        <w:numPr>
          <w:ilvl w:val="0"/>
          <w:numId w:val="1004"/>
        </w:numPr>
      </w:pPr>
      <w:r>
        <w:t xml:space="preserve">identify important technology combinations, particularly envelope improvement, low-temperature heat distribution, heat pumps, photovoltaics, and flexibility;</w:t>
      </w:r>
    </w:p>
    <w:p>
      <w:pPr>
        <w:pStyle w:val="Compact"/>
        <w:numPr>
          <w:ilvl w:val="0"/>
          <w:numId w:val="1004"/>
        </w:numPr>
      </w:pPr>
      <w:r>
        <w:t xml:space="preserve">recognize the difference between operational and embodied emissions;</w:t>
      </w:r>
    </w:p>
    <w:p>
      <w:pPr>
        <w:pStyle w:val="Compact"/>
        <w:numPr>
          <w:ilvl w:val="0"/>
          <w:numId w:val="1004"/>
        </w:numPr>
      </w:pPr>
      <w:r>
        <w:t xml:space="preserve">explain why the emission effect of electricity consumption changes as the electricity system decarbonizes;</w:t>
      </w:r>
    </w:p>
    <w:p>
      <w:pPr>
        <w:pStyle w:val="Compact"/>
        <w:numPr>
          <w:ilvl w:val="0"/>
          <w:numId w:val="1004"/>
        </w:numPr>
      </w:pPr>
      <w:r>
        <w:t xml:space="preserve">recognize that comfort, accessibility, cost, and user acceptance can constrain purely emission-oriented decisions; and</w:t>
      </w:r>
    </w:p>
    <w:p>
      <w:pPr>
        <w:pStyle w:val="Compact"/>
        <w:numPr>
          <w:ilvl w:val="0"/>
          <w:numId w:val="1004"/>
        </w:numPr>
      </w:pPr>
      <w:r>
        <w:t xml:space="preserve">compare renovation pathways rather than searching for one universally optimal individual measure.</w:t>
      </w:r>
    </w:p>
    <w:p>
      <w:pPr>
        <w:pStyle w:val="FirstParagraph"/>
      </w:pPr>
      <w:r>
        <w:t xml:space="preserve">These outcomes should determine both the game mechanics and the pre–post assessment. Enjoyment and perceived learning are relevant implementation outcomes but are not substitutes for demonstrating these learning outcomes.</w:t>
      </w:r>
    </w:p>
    <w:bookmarkEnd w:id="28"/>
    <w:bookmarkStart w:id="29" w:name="scope-of-the-represented-building-system"/>
    <w:p>
      <w:pPr>
        <w:pStyle w:val="Heading3"/>
      </w:pPr>
      <w:r>
        <w:t xml:space="preserve">4.3 Scope of the represented building system</w:t>
      </w:r>
    </w:p>
    <w:p>
      <w:pPr>
        <w:pStyle w:val="FirstParagraph"/>
      </w:pPr>
      <w:r>
        <w:t xml:space="preserve">The model represents a nominal residential building with a reference floor area of 1,000 m². The model does not simulate hourly thermal behavior, individual building components, weather, or detailed hydraulic systems. Instead, it represents selected annual or cumulative quantities through bounded state tracks.</w:t>
      </w:r>
    </w:p>
    <w:p>
      <w:pPr>
        <w:pStyle w:val="BodyText"/>
      </w:pPr>
      <w:r>
        <w:t xml:space="preserve">The current version contains 51 active measure cards distributed across nine categories:</w:t>
      </w:r>
    </w:p>
    <w:p>
      <w:pPr>
        <w:pStyle w:val="Compact"/>
        <w:numPr>
          <w:ilvl w:val="0"/>
          <w:numId w:val="1005"/>
        </w:numPr>
      </w:pPr>
      <w:r>
        <w:t xml:space="preserve">envelope insulation;</w:t>
      </w:r>
    </w:p>
    <w:p>
      <w:pPr>
        <w:pStyle w:val="Compact"/>
        <w:numPr>
          <w:ilvl w:val="0"/>
          <w:numId w:val="1005"/>
        </w:numPr>
      </w:pPr>
      <w:r>
        <w:t xml:space="preserve">windows;</w:t>
      </w:r>
    </w:p>
    <w:p>
      <w:pPr>
        <w:pStyle w:val="Compact"/>
        <w:numPr>
          <w:ilvl w:val="0"/>
          <w:numId w:val="1005"/>
        </w:numPr>
      </w:pPr>
      <w:r>
        <w:t xml:space="preserve">heat generation;</w:t>
      </w:r>
    </w:p>
    <w:p>
      <w:pPr>
        <w:pStyle w:val="Compact"/>
        <w:numPr>
          <w:ilvl w:val="0"/>
          <w:numId w:val="1005"/>
        </w:numPr>
      </w:pPr>
      <w:r>
        <w:t xml:space="preserve">heat distribution;</w:t>
      </w:r>
    </w:p>
    <w:p>
      <w:pPr>
        <w:pStyle w:val="Compact"/>
        <w:numPr>
          <w:ilvl w:val="0"/>
          <w:numId w:val="1005"/>
        </w:numPr>
      </w:pPr>
      <w:r>
        <w:t xml:space="preserve">ventilation;</w:t>
      </w:r>
    </w:p>
    <w:p>
      <w:pPr>
        <w:pStyle w:val="Compact"/>
        <w:numPr>
          <w:ilvl w:val="0"/>
          <w:numId w:val="1005"/>
        </w:numPr>
      </w:pPr>
      <w:r>
        <w:t xml:space="preserve">roof use;</w:t>
      </w:r>
    </w:p>
    <w:p>
      <w:pPr>
        <w:pStyle w:val="Compact"/>
        <w:numPr>
          <w:ilvl w:val="0"/>
          <w:numId w:val="1005"/>
        </w:numPr>
      </w:pPr>
      <w:r>
        <w:t xml:space="preserve">electricity efficiency;</w:t>
      </w:r>
    </w:p>
    <w:p>
      <w:pPr>
        <w:pStyle w:val="Compact"/>
        <w:numPr>
          <w:ilvl w:val="0"/>
          <w:numId w:val="1005"/>
        </w:numPr>
      </w:pPr>
      <w:r>
        <w:t xml:space="preserve">flexibility and storage; and</w:t>
      </w:r>
    </w:p>
    <w:p>
      <w:pPr>
        <w:pStyle w:val="Compact"/>
        <w:numPr>
          <w:ilvl w:val="0"/>
          <w:numId w:val="1005"/>
        </w:numPr>
      </w:pPr>
      <w:r>
        <w:t xml:space="preserve">occupant satisfaction and amenities.</w:t>
      </w:r>
    </w:p>
    <w:p>
      <w:pPr>
        <w:pStyle w:val="FirstParagraph"/>
      </w:pPr>
      <w:r>
        <w:t xml:space="preserve">Each measure may modify one or more game states:</w:t>
      </w:r>
    </w:p>
    <w:p>
      <w:pPr>
        <w:pStyle w:val="Compact"/>
        <w:numPr>
          <w:ilvl w:val="0"/>
          <w:numId w:val="1006"/>
        </w:numPr>
      </w:pPr>
      <w:r>
        <w:t xml:space="preserve">investment resources;</w:t>
      </w:r>
    </w:p>
    <w:p>
      <w:pPr>
        <w:pStyle w:val="Compact"/>
        <w:numPr>
          <w:ilvl w:val="0"/>
          <w:numId w:val="1006"/>
        </w:numPr>
      </w:pPr>
      <w:r>
        <w:t xml:space="preserve">immediate or embodied emission effects;</w:t>
      </w:r>
    </w:p>
    <w:p>
      <w:pPr>
        <w:pStyle w:val="Compact"/>
        <w:numPr>
          <w:ilvl w:val="0"/>
          <w:numId w:val="1006"/>
        </w:numPr>
      </w:pPr>
      <w:r>
        <w:t xml:space="preserve">electricity demand;</w:t>
      </w:r>
    </w:p>
    <w:p>
      <w:pPr>
        <w:pStyle w:val="Compact"/>
        <w:numPr>
          <w:ilvl w:val="0"/>
          <w:numId w:val="1006"/>
        </w:numPr>
      </w:pPr>
      <w:r>
        <w:t xml:space="preserve">electricity generation;</w:t>
      </w:r>
    </w:p>
    <w:p>
      <w:pPr>
        <w:pStyle w:val="Compact"/>
        <w:numPr>
          <w:ilvl w:val="0"/>
          <w:numId w:val="1006"/>
        </w:numPr>
      </w:pPr>
      <w:r>
        <w:t xml:space="preserve">electricity-storage capacity;</w:t>
      </w:r>
    </w:p>
    <w:p>
      <w:pPr>
        <w:pStyle w:val="Compact"/>
        <w:numPr>
          <w:ilvl w:val="0"/>
          <w:numId w:val="1006"/>
        </w:numPr>
      </w:pPr>
      <w:r>
        <w:t xml:space="preserve">thermal protection or heating demand;</w:t>
      </w:r>
    </w:p>
    <w:p>
      <w:pPr>
        <w:pStyle w:val="Compact"/>
        <w:numPr>
          <w:ilvl w:val="0"/>
          <w:numId w:val="1006"/>
        </w:numPr>
      </w:pPr>
      <w:r>
        <w:t xml:space="preserve">heat-pump efficiency;</w:t>
      </w:r>
    </w:p>
    <w:p>
      <w:pPr>
        <w:pStyle w:val="Compact"/>
        <w:numPr>
          <w:ilvl w:val="0"/>
          <w:numId w:val="1006"/>
        </w:numPr>
      </w:pPr>
      <w:r>
        <w:t xml:space="preserve">heating-system type; and</w:t>
      </w:r>
    </w:p>
    <w:p>
      <w:pPr>
        <w:pStyle w:val="Compact"/>
        <w:numPr>
          <w:ilvl w:val="0"/>
          <w:numId w:val="1006"/>
        </w:numPr>
      </w:pPr>
      <w:r>
        <w:t xml:space="preserve">occupant satisfaction.</w:t>
      </w:r>
    </w:p>
    <w:p>
      <w:pPr>
        <w:pStyle w:val="FirstParagraph"/>
      </w:pPr>
      <w:r>
        <w:t xml:space="preserve">Some cards additionally contain prerequisites or mutual exclusions. Examples include heat-recovery measures that require a heat pump, bidirectional charging that requires electric-vehicle charging infrastructure, and competition between façade-integrated photovoltaics and façade greening.</w:t>
      </w:r>
    </w:p>
    <w:bookmarkEnd w:id="29"/>
    <w:bookmarkStart w:id="30" w:name="real-to-game-mappings"/>
    <w:p>
      <w:pPr>
        <w:pStyle w:val="Heading3"/>
      </w:pPr>
      <w:r>
        <w:t xml:space="preserve">4.4 Real-to-game mappings</w:t>
      </w:r>
    </w:p>
    <w:p>
      <w:pPr>
        <w:pStyle w:val="FirstParagraph"/>
      </w:pPr>
      <w:r>
        <w:t xml:space="preserve">The engineering model is translated into game units using fixed scaling factors. Table 1 summarizes the principal mappings in the current workbook.</w:t>
      </w:r>
    </w:p>
    <w:p>
      <w:pPr>
        <w:pStyle w:val="BodyText"/>
      </w:pPr>
      <w:r>
        <w:rPr>
          <w:b/>
          <w:bCs/>
        </w:rPr>
        <w:t xml:space="preserve">Table 1. Current real-to-game scaling parameters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Model quantity</w:t>
            </w:r>
          </w:p>
        </w:tc>
        <w:tc>
          <w:tcPr/>
          <w:p>
            <w:pPr>
              <w:pStyle w:val="Compact"/>
              <w:jc w:val="right"/>
            </w:pPr>
            <w:r>
              <w:t xml:space="preserve">One game unit represents</w:t>
            </w:r>
          </w:p>
        </w:tc>
        <w:tc>
          <w:tcPr/>
          <w:p>
            <w:pPr>
              <w:pStyle w:val="Compact"/>
            </w:pPr>
            <w:r>
              <w:t xml:space="preserve">Unit or interpretation</w:t>
            </w:r>
          </w:p>
        </w:tc>
      </w:tr>
      <w:tr>
        <w:tc>
          <w:tcPr/>
          <w:p>
            <w:pPr>
              <w:pStyle w:val="Compact"/>
            </w:pPr>
            <w:r>
              <w:t xml:space="preserve">Game round</w:t>
            </w:r>
          </w:p>
        </w:tc>
        <w:tc>
          <w:tcPr/>
          <w:p>
            <w:pPr>
              <w:pStyle w:val="Compact"/>
              <w:jc w:val="right"/>
            </w:pPr>
            <w:r>
              <w:t xml:space="preserve">5</w:t>
            </w:r>
          </w:p>
        </w:tc>
        <w:tc>
          <w:tcPr/>
          <w:p>
            <w:pPr>
              <w:pStyle w:val="Compact"/>
            </w:pPr>
            <w:r>
              <w:t xml:space="preserve">years</w:t>
            </w:r>
          </w:p>
        </w:tc>
      </w:tr>
      <w:tr>
        <w:tc>
          <w:tcPr/>
          <w:p>
            <w:pPr>
              <w:pStyle w:val="Compact"/>
            </w:pPr>
            <w:r>
              <w:t xml:space="preserve">Reference building area</w:t>
            </w:r>
          </w:p>
        </w:tc>
        <w:tc>
          <w:tcPr/>
          <w:p>
            <w:pPr>
              <w:pStyle w:val="Compact"/>
              <w:jc w:val="right"/>
            </w:pPr>
            <w:r>
              <w:t xml:space="preserve">1,000</w:t>
            </w:r>
          </w:p>
        </w:tc>
        <w:tc>
          <w:tcPr/>
          <w:p>
            <w:pPr>
              <w:pStyle w:val="Compact"/>
            </w:pPr>
            <w:r>
              <w:t xml:space="preserve">m²</w:t>
            </w:r>
          </w:p>
        </w:tc>
      </w:tr>
      <w:tr>
        <w:tc>
          <w:tcPr/>
          <w:p>
            <w:pPr>
              <w:pStyle w:val="Compact"/>
            </w:pPr>
            <w:r>
              <w:t xml:space="preserve">Emission score</w:t>
            </w:r>
          </w:p>
        </w:tc>
        <w:tc>
          <w:tcPr/>
          <w:p>
            <w:pPr>
              <w:pStyle w:val="Compact"/>
              <w:jc w:val="right"/>
            </w:pPr>
            <w:r>
              <w:t xml:space="preserve">1</w:t>
            </w:r>
          </w:p>
        </w:tc>
        <w:tc>
          <w:tcPr/>
          <w:p>
            <w:pPr>
              <w:pStyle w:val="Compact"/>
            </w:pPr>
            <w:r>
              <w:t xml:space="preserve">kg CO₂e/m²</w:t>
            </w:r>
          </w:p>
        </w:tc>
      </w:tr>
      <w:tr>
        <w:tc>
          <w:tcPr/>
          <w:p>
            <w:pPr>
              <w:pStyle w:val="Compact"/>
            </w:pPr>
            <w:r>
              <w:t xml:space="preserve">Nominal investment unit</w:t>
            </w:r>
          </w:p>
        </w:tc>
        <w:tc>
          <w:tcPr/>
          <w:p>
            <w:pPr>
              <w:pStyle w:val="Compact"/>
              <w:jc w:val="right"/>
            </w:pPr>
            <w:r>
              <w:t xml:space="preserve">10,000</w:t>
            </w:r>
          </w:p>
        </w:tc>
        <w:tc>
          <w:tcPr/>
          <w:p>
            <w:pPr>
              <w:pStyle w:val="Compact"/>
            </w:pPr>
            <w:r>
              <w:t xml:space="preserve">€</w:t>
            </w:r>
          </w:p>
        </w:tc>
      </w:tr>
      <w:tr>
        <w:tc>
          <w:tcPr/>
          <w:p>
            <w:pPr>
              <w:pStyle w:val="Compact"/>
            </w:pPr>
            <w:r>
              <w:t xml:space="preserve">Electricity demand</w:t>
            </w:r>
          </w:p>
        </w:tc>
        <w:tc>
          <w:tcPr/>
          <w:p>
            <w:pPr>
              <w:pStyle w:val="Compact"/>
              <w:jc w:val="right"/>
            </w:pPr>
            <w:r>
              <w:t xml:space="preserve">5</w:t>
            </w:r>
          </w:p>
        </w:tc>
        <w:tc>
          <w:tcPr/>
          <w:p>
            <w:pPr>
              <w:pStyle w:val="Compact"/>
            </w:pPr>
            <w:r>
              <w:t xml:space="preserve">kWh/m²</w:t>
            </w:r>
          </w:p>
        </w:tc>
      </w:tr>
      <w:tr>
        <w:tc>
          <w:tcPr/>
          <w:p>
            <w:pPr>
              <w:pStyle w:val="Compact"/>
            </w:pPr>
            <w:r>
              <w:t xml:space="preserve">Electricity production</w:t>
            </w:r>
          </w:p>
        </w:tc>
        <w:tc>
          <w:tcPr/>
          <w:p>
            <w:pPr>
              <w:pStyle w:val="Compact"/>
              <w:jc w:val="right"/>
            </w:pPr>
            <w:r>
              <w:t xml:space="preserve">5</w:t>
            </w:r>
          </w:p>
        </w:tc>
        <w:tc>
          <w:tcPr/>
          <w:p>
            <w:pPr>
              <w:pStyle w:val="Compact"/>
            </w:pPr>
            <w:r>
              <w:t xml:space="preserve">kWh/m²</w:t>
            </w:r>
          </w:p>
        </w:tc>
      </w:tr>
      <w:tr>
        <w:tc>
          <w:tcPr/>
          <w:p>
            <w:pPr>
              <w:pStyle w:val="Compact"/>
            </w:pPr>
            <w:r>
              <w:t xml:space="preserve">Storage</w:t>
            </w:r>
          </w:p>
        </w:tc>
        <w:tc>
          <w:tcPr/>
          <w:p>
            <w:pPr>
              <w:pStyle w:val="Compact"/>
              <w:jc w:val="right"/>
            </w:pPr>
            <w:r>
              <w:t xml:space="preserve">5</w:t>
            </w:r>
          </w:p>
        </w:tc>
        <w:tc>
          <w:tcPr/>
          <w:p>
            <w:pPr>
              <w:pStyle w:val="Compact"/>
            </w:pPr>
            <w:r>
              <w:t xml:space="preserve">kWh/m²</w:t>
            </w:r>
          </w:p>
        </w:tc>
      </w:tr>
      <w:tr>
        <w:tc>
          <w:tcPr/>
          <w:p>
            <w:pPr>
              <w:pStyle w:val="Compact"/>
            </w:pPr>
            <w:r>
              <w:t xml:space="preserve">Grid import</w:t>
            </w:r>
          </w:p>
        </w:tc>
        <w:tc>
          <w:tcPr/>
          <w:p>
            <w:pPr>
              <w:pStyle w:val="Compact"/>
              <w:jc w:val="right"/>
            </w:pPr>
            <w:r>
              <w:t xml:space="preserve">5</w:t>
            </w:r>
          </w:p>
        </w:tc>
        <w:tc>
          <w:tcPr/>
          <w:p>
            <w:pPr>
              <w:pStyle w:val="Compact"/>
            </w:pPr>
            <w:r>
              <w:t xml:space="preserve">kWh/m²</w:t>
            </w:r>
          </w:p>
        </w:tc>
      </w:tr>
      <w:tr>
        <w:tc>
          <w:tcPr/>
          <w:p>
            <w:pPr>
              <w:pStyle w:val="Compact"/>
            </w:pPr>
            <w:r>
              <w:t xml:space="preserve">Thermal-demand level</w:t>
            </w:r>
          </w:p>
        </w:tc>
        <w:tc>
          <w:tcPr/>
          <w:p>
            <w:pPr>
              <w:pStyle w:val="Compact"/>
              <w:jc w:val="right"/>
            </w:pPr>
            <w:r>
              <w:t xml:space="preserve">20</w:t>
            </w:r>
          </w:p>
        </w:tc>
        <w:tc>
          <w:tcPr/>
          <w:p>
            <w:pPr>
              <w:pStyle w:val="Compact"/>
            </w:pPr>
            <w:r>
              <w:t xml:space="preserve">kWh/m²</w:t>
            </w:r>
          </w:p>
        </w:tc>
      </w:tr>
      <w:tr>
        <w:tc>
          <w:tcPr/>
          <w:p>
            <w:pPr>
              <w:pStyle w:val="Compact"/>
            </w:pPr>
            <w:r>
              <w:t xml:space="preserve">Heat-pump efficiency</w:t>
            </w:r>
          </w:p>
        </w:tc>
        <w:tc>
          <w:tcPr/>
          <w:p>
            <w:pPr>
              <w:pStyle w:val="Compact"/>
              <w:jc w:val="right"/>
            </w:pPr>
            <w:r>
              <w:t xml:space="preserve">technology-specific</w:t>
            </w:r>
          </w:p>
        </w:tc>
        <w:tc>
          <w:tcPr/>
          <w:p>
            <w:pPr>
              <w:pStyle w:val="Compact"/>
            </w:pPr>
            <w:r>
              <w:t xml:space="preserve">coefficient-of-performance level</w:t>
            </w:r>
          </w:p>
        </w:tc>
      </w:tr>
    </w:tbl>
    <w:p>
      <w:pPr>
        <w:pStyle w:val="BodyText"/>
      </w:pPr>
      <w:r>
        <w:t xml:space="preserve">The mapping is not intended to make every token equivalent to a detailed engineering estimate. It is intended to retain selected system relationships within a manageable numerical range. Three preservation criteria guided the discretization:</w:t>
      </w:r>
    </w:p>
    <w:p>
      <w:pPr>
        <w:pStyle w:val="Compact"/>
        <w:numPr>
          <w:ilvl w:val="0"/>
          <w:numId w:val="1007"/>
        </w:numPr>
      </w:pPr>
      <w:r>
        <w:rPr>
          <w:b/>
          <w:bCs/>
        </w:rPr>
        <w:t xml:space="preserve">Directional preservation:</w:t>
      </w:r>
      <w:r>
        <w:t xml:space="preserve"> </w:t>
      </w:r>
      <w:r>
        <w:t xml:space="preserve">a reduction or increase in a real quantity should move the corresponding game state in the same conceptual direction.</w:t>
      </w:r>
    </w:p>
    <w:p>
      <w:pPr>
        <w:pStyle w:val="Compact"/>
        <w:numPr>
          <w:ilvl w:val="0"/>
          <w:numId w:val="1007"/>
        </w:numPr>
      </w:pPr>
      <w:r>
        <w:rPr>
          <w:b/>
          <w:bCs/>
        </w:rPr>
        <w:t xml:space="preserve">Order preservation:</w:t>
      </w:r>
      <w:r>
        <w:t xml:space="preserve"> </w:t>
      </w:r>
      <w:r>
        <w:t xml:space="preserve">clearly stronger measures should generally have larger effects than weaker measures in the same category.</w:t>
      </w:r>
    </w:p>
    <w:p>
      <w:pPr>
        <w:pStyle w:val="Compact"/>
        <w:numPr>
          <w:ilvl w:val="0"/>
          <w:numId w:val="1007"/>
        </w:numPr>
      </w:pPr>
      <w:r>
        <w:rPr>
          <w:b/>
          <w:bCs/>
        </w:rPr>
        <w:t xml:space="preserve">Approximate ratio preservation:</w:t>
      </w:r>
      <w:r>
        <w:t xml:space="preserve"> </w:t>
      </w:r>
      <w:r>
        <w:t xml:space="preserve">where relevant and feasible, differences between measures and energy carriers should remain proportionally recognizable.</w:t>
      </w:r>
    </w:p>
    <w:p>
      <w:pPr>
        <w:pStyle w:val="FirstParagraph"/>
      </w:pPr>
      <w:r>
        <w:t xml:space="preserve">This approach is more accurately described as a</w:t>
      </w:r>
      <w:r>
        <w:t xml:space="preserve"> </w:t>
      </w:r>
      <w:r>
        <w:rPr>
          <w:b/>
          <w:bCs/>
        </w:rPr>
        <w:t xml:space="preserve">physics-informed, order- and ratio-preserving abstraction</w:t>
      </w:r>
      <w:r>
        <w:t xml:space="preserve"> </w:t>
      </w:r>
      <w:r>
        <w:t xml:space="preserve">than as a physically accurate building simulation.</w:t>
      </w:r>
    </w:p>
    <w:bookmarkEnd w:id="30"/>
    <w:bookmarkStart w:id="31" w:name="thermal-demand-and-heat-supply"/>
    <w:p>
      <w:pPr>
        <w:pStyle w:val="Heading3"/>
      </w:pPr>
      <w:r>
        <w:t xml:space="preserve">4.5 Thermal demand and heat supply</w:t>
      </w:r>
    </w:p>
    <w:p>
      <w:pPr>
        <w:pStyle w:val="FirstParagraph"/>
      </w:pPr>
      <w:r>
        <w:t xml:space="preserve">Thermal protection is represented on a discrete scale with nominal steps of 20 kWh/m². The board covers approximately the range from poorly performing existing buildings to highly renovated buildings.</w:t>
      </w:r>
    </w:p>
    <w:p>
      <w:pPr>
        <w:pStyle w:val="BodyText"/>
      </w:pPr>
      <w:r>
        <w:t xml:space="preserve">For a thermal-demand state (w), the annual useful heating demand can be written generically as:</w:t>
      </w:r>
    </w:p>
    <w:p>
      <w:pPr>
        <w:pStyle w:val="BodyText"/>
      </w:pPr>
      <w:r>
        <w:t xml:space="preserve">[</w:t>
      </w:r>
      <w:r>
        <w:t xml:space="preserve"> </w:t>
      </w:r>
      <w:r>
        <w:t xml:space="preserve">Q_</w:t>
      </w:r>
      <w:r>
        <w:t xml:space="preserve">(w)=Q_{</w:t>
      </w:r>
      <w:r>
        <w:t xml:space="preserve">,0}-</w:t>
      </w:r>
      <w:r>
        <w:t xml:space="preserve">Q_</w:t>
      </w:r>
      <w:r>
        <w:t xml:space="preserve">w</w:t>
      </w:r>
      <w:r>
        <w:t xml:space="preserve"> </w:t>
      </w:r>
      <w:r>
        <w:t xml:space="preserve">]</w:t>
      </w:r>
    </w:p>
    <w:p>
      <w:pPr>
        <w:pStyle w:val="BodyText"/>
      </w:pPr>
      <w:r>
        <w:t xml:space="preserve">where (Q_{</w:t>
      </w:r>
      <w:r>
        <w:t xml:space="preserve">,0}) is the reference demand and (</w:t>
      </w:r>
      <w:r>
        <w:t xml:space="preserve">Q_</w:t>
      </w:r>
      <w:r>
        <w:t xml:space="preserve">) is the demand reduction associated with one thermal-protection level.</w:t>
      </w:r>
    </w:p>
    <w:p>
      <w:pPr>
        <w:pStyle w:val="BodyText"/>
      </w:pPr>
      <w:r>
        <w:t xml:space="preserve">For combustion-based or district heating systems, operational emissions over a game round are calculated as:</w:t>
      </w:r>
    </w:p>
    <w:p>
      <w:pPr>
        <w:pStyle w:val="BodyText"/>
      </w:pPr>
      <w:r>
        <w:t xml:space="preserve">[</w:t>
      </w:r>
      <w:r>
        <w:t xml:space="preserve"> </w:t>
      </w:r>
      <w:r>
        <w:t xml:space="preserve">G_{</w:t>
      </w:r>
      <w:r>
        <w:t xml:space="preserve">,r}</w:t>
      </w:r>
      <w:r>
        <w:t xml:space="preserve"> </w:t>
      </w:r>
      <w:r>
        <w:t xml:space="preserve">=</w:t>
      </w:r>
      <w:r>
        <w:t xml:space="preserve"> </w:t>
      </w:r>
      <w:r>
        <w:t xml:space="preserve">Q_</w:t>
      </w:r>
      <w:r>
        <w:t xml:space="preserve">(w)</w:t>
      </w:r>
      <w:r>
        <w:t xml:space="preserve"> </w:t>
      </w:r>
      <w:r>
        <w:t xml:space="preserve">EF_</w:t>
      </w:r>
      <w:r>
        <w:t xml:space="preserve"> </w:t>
      </w:r>
      <w:r>
        <w:t xml:space="preserve">T_r</w:t>
      </w:r>
      <w:r>
        <w:t xml:space="preserve"> </w:t>
      </w:r>
      <w:r>
        <w:t xml:space="preserve">]</w:t>
      </w:r>
    </w:p>
    <w:p>
      <w:pPr>
        <w:pStyle w:val="BodyText"/>
      </w:pPr>
      <w:r>
        <w:t xml:space="preserve">where (EF_</w:t>
      </w:r>
      <w:r>
        <w:t xml:space="preserve">) is the carrier-specific emission factor and (T_r) is the five-year duration represented by one round.</w:t>
      </w:r>
    </w:p>
    <w:p>
      <w:pPr>
        <w:pStyle w:val="BodyText"/>
      </w:pPr>
      <w:r>
        <w:t xml:space="preserve">The current calibration uses differentiated emission effects for gas, biomass, district heating, green gas, and heat pumps. Heat-pump emissions are not assigned directly in the heat table. Instead, useful heat demand is converted into electricity demand through an efficiency level:</w:t>
      </w:r>
    </w:p>
    <w:p>
      <w:pPr>
        <w:pStyle w:val="BodyText"/>
      </w:pPr>
      <w:r>
        <w:t xml:space="preserve">[</w:t>
      </w:r>
      <w:r>
        <w:t xml:space="preserve"> </w:t>
      </w:r>
      <w:r>
        <w:t xml:space="preserve">E_</w:t>
      </w:r>
      <w:r>
        <w:t xml:space="preserve"> </w:t>
      </w:r>
      <w:r>
        <w:t xml:space="preserve">=</w:t>
      </w:r>
      <w:r>
        <w:t xml:space="preserve"> </w:t>
      </w:r>
      <w:r>
        <w:t xml:space="preserve"> </w:t>
      </w:r>
      <w:r>
        <w:t xml:space="preserve">]</w:t>
      </w:r>
    </w:p>
    <w:p>
      <w:pPr>
        <w:pStyle w:val="BodyText"/>
      </w:pPr>
      <w:r>
        <w:t xml:space="preserve">where (e) represents the combined efficiency effects of the heat source and heat-distribution system.</w:t>
      </w:r>
    </w:p>
    <w:p>
      <w:pPr>
        <w:pStyle w:val="BodyText"/>
      </w:pPr>
      <w:r>
        <w:t xml:space="preserve">This structure makes the performance of a heat pump dependent on both envelope renovation and heat-distribution temperature. It thereby embeds an important learning relationship in the game mechanics: changing the heating technology alone is not necessarily equivalent to optimizing the entire heating system.</w:t>
      </w:r>
    </w:p>
    <w:bookmarkEnd w:id="31"/>
    <w:bookmarkStart w:id="32" w:name="X8fbccd0d7e44612ff3da9c3e847ba4cefe0007e"/>
    <w:p>
      <w:pPr>
        <w:pStyle w:val="Heading3"/>
      </w:pPr>
      <w:r>
        <w:t xml:space="preserve">4.6 Electricity, photovoltaics, and flexibility</w:t>
      </w:r>
    </w:p>
    <w:p>
      <w:pPr>
        <w:pStyle w:val="FirstParagraph"/>
      </w:pPr>
      <w:r>
        <w:t xml:space="preserve">The electricity state combines base electricity demand, additional electricity consumption, heat-pump demand, local generation, and flexibility effects.</w:t>
      </w:r>
    </w:p>
    <w:p>
      <w:pPr>
        <w:pStyle w:val="BodyText"/>
      </w:pPr>
      <w:r>
        <w:t xml:space="preserve">A simplified representation is:</w:t>
      </w:r>
    </w:p>
    <w:p>
      <w:pPr>
        <w:pStyle w:val="BodyText"/>
      </w:pPr>
      <w:r>
        <w:t xml:space="preserve">[</w:t>
      </w:r>
      <w:r>
        <w:t xml:space="preserve"> </w:t>
      </w:r>
      <w:r>
        <w:t xml:space="preserve">E_{</w:t>
      </w:r>
      <w:r>
        <w:t xml:space="preserve">}</w:t>
      </w:r>
      <w:r>
        <w:t xml:space="preserve"> </w:t>
      </w:r>
      <w:r>
        <w:t xml:space="preserve">=</w:t>
      </w:r>
      <w:r>
        <w:t xml:space="preserve"> </w:t>
      </w:r>
      <w:r>
        <w:t xml:space="preserve">f</w:t>
      </w:r>
      <w:r>
        <w:t xml:space="preserve">(</w:t>
      </w:r>
      <w:r>
        <w:t xml:space="preserve"> </w:t>
      </w:r>
      <w:r>
        <w:t xml:space="preserve">E_{</w:t>
      </w:r>
      <w:r>
        <w:t xml:space="preserve">},</w:t>
      </w:r>
      <w:r>
        <w:t xml:space="preserve"> </w:t>
      </w:r>
      <w:r>
        <w:t xml:space="preserve">E_{</w:t>
      </w:r>
      <w:r>
        <w:t xml:space="preserve">},</w:t>
      </w:r>
      <w:r>
        <w:t xml:space="preserve"> </w:t>
      </w:r>
      <w:r>
        <w:t xml:space="preserve">E_{</w:t>
      </w:r>
      <w:r>
        <w:t xml:space="preserve">},</w:t>
      </w:r>
      <w:r>
        <w:t xml:space="preserve"> </w:t>
      </w:r>
      <w:r>
        <w:t xml:space="preserve">E_{</w:t>
      </w:r>
      <w:r>
        <w:t xml:space="preserve">},</w:t>
      </w:r>
      <w:r>
        <w:t xml:space="preserve"> </w:t>
      </w:r>
      <w:r>
        <w:t xml:space="preserve">S</w:t>
      </w:r>
      <w:r>
        <w:t xml:space="preserve"> </w:t>
      </w:r>
      <w:r>
        <w:t xml:space="preserve">)</w:t>
      </w:r>
      <w:r>
        <w:t xml:space="preserve"> </w:t>
      </w:r>
      <w:r>
        <w:t xml:space="preserve">]</w:t>
      </w:r>
    </w:p>
    <w:p>
      <w:pPr>
        <w:pStyle w:val="BodyText"/>
      </w:pPr>
      <w:r>
        <w:t xml:space="preserve">where (S) represents storage or flexible-load capacity. In the board implementation, electricity demand, production, and storage are tracked separately and converted through lookup relationships into net grid-import effects.</w:t>
      </w:r>
    </w:p>
    <w:p>
      <w:pPr>
        <w:pStyle w:val="BodyText"/>
      </w:pPr>
      <w:r>
        <w:t xml:space="preserve">Photovoltaic cards range from small balcony systems to large roof systems and façade-integrated photovoltaics. One electricity-production unit represents 5 kWh/m². The active cards currently span approximately 5–40 kWh/m² of annual production.</w:t>
      </w:r>
    </w:p>
    <w:p>
      <w:pPr>
        <w:pStyle w:val="BodyText"/>
      </w:pPr>
      <w:r>
        <w:t xml:space="preserve">Storage and flexibility measures include home batteries, larger batteries, thermal flexibility, flexible load management, and bidirectional electric-vehicle charging. These measures reduce effective grid dependence within the simplified board model. They do not constitute an hourly dispatch simulation and should therefore be interpreted as proxies for increased self-consumption and load-shifting capability.</w:t>
      </w:r>
    </w:p>
    <w:bookmarkEnd w:id="32"/>
    <w:bookmarkStart w:id="33" w:name="temporal-grid-decarbonization"/>
    <w:p>
      <w:pPr>
        <w:pStyle w:val="Heading3"/>
      </w:pPr>
      <w:r>
        <w:t xml:space="preserve">4.7 Temporal grid decarbonization</w:t>
      </w:r>
    </w:p>
    <w:p>
      <w:pPr>
        <w:pStyle w:val="FirstParagraph"/>
      </w:pPr>
      <w:r>
        <w:t xml:space="preserve">The game uses round-dependent electricity emission factors to demonstrate that the same electricity demand may cause different emissions at different points in the transition.</w:t>
      </w:r>
    </w:p>
    <w:p>
      <w:pPr>
        <w:pStyle w:val="BodyText"/>
      </w:pPr>
      <w:r>
        <w:t xml:space="preserve">The current workbook includes four scored grid-emission states:</w:t>
      </w:r>
    </w:p>
    <w:p>
      <w:pPr>
        <w:pStyle w:val="BodyText"/>
      </w:pPr>
      <w:r>
        <w:t xml:space="preserve">[</w:t>
      </w:r>
      <w:r>
        <w:t xml:space="preserve"> </w:t>
      </w:r>
      <w:r>
        <w:t xml:space="preserve">EF_{</w:t>
      </w:r>
      <w:r>
        <w:t xml:space="preserve">,r}</w:t>
      </w:r>
      <w:r>
        <w:t xml:space="preserve"> </w:t>
      </w:r>
      <w:r>
        <w:t xml:space="preserve">=</w:t>
      </w:r>
      <w:r>
        <w:t xml:space="preserve"> </w:t>
      </w:r>
      <w:r>
        <w:t xml:space="preserve">{0.100,;0.050,;0.030,;0.015}</w:t>
      </w:r>
      <w:r>
        <w:t xml:space="preserve"> </w:t>
      </w:r>
      <w:r>
        <w:t xml:space="preserve"> </w:t>
      </w:r>
      <w:r>
        <w:t xml:space="preserve"> </w:t>
      </w:r>
      <w:r>
        <w:t xml:space="preserve">]</w:t>
      </w:r>
    </w:p>
    <w:p>
      <w:pPr>
        <w:pStyle w:val="BodyText"/>
      </w:pPr>
      <w:r>
        <w:t xml:space="preserve">and a terminal value of zero. Grid-related emissions in round (r) are calculated as:</w:t>
      </w:r>
    </w:p>
    <w:p>
      <w:pPr>
        <w:pStyle w:val="BodyText"/>
      </w:pPr>
      <w:r>
        <w:t xml:space="preserve">[</w:t>
      </w:r>
      <w:r>
        <w:t xml:space="preserve"> </w:t>
      </w:r>
      <w:r>
        <w:t xml:space="preserve">G_{</w:t>
      </w:r>
      <w:r>
        <w:t xml:space="preserve">,r}</w:t>
      </w:r>
      <w:r>
        <w:t xml:space="preserve"> </w:t>
      </w:r>
      <w:r>
        <w:t xml:space="preserve">=</w:t>
      </w:r>
      <w:r>
        <w:t xml:space="preserve"> </w:t>
      </w:r>
      <w:r>
        <w:t xml:space="preserve">E_{</w:t>
      </w:r>
      <w:r>
        <w:t xml:space="preserve">,r}</w:t>
      </w:r>
      <w:r>
        <w:t xml:space="preserve"> </w:t>
      </w:r>
      <w:r>
        <w:t xml:space="preserve">EF_{</w:t>
      </w:r>
      <w:r>
        <w:t xml:space="preserve">,r}</w:t>
      </w:r>
      <w:r>
        <w:t xml:space="preserve"> </w:t>
      </w:r>
      <w:r>
        <w:t xml:space="preserve">T_r</w:t>
      </w:r>
      <w:r>
        <w:t xml:space="preserve"> </w:t>
      </w:r>
      <w:r>
        <w:t xml:space="preserve">]</w:t>
      </w:r>
    </w:p>
    <w:p>
      <w:pPr>
        <w:pStyle w:val="BodyText"/>
      </w:pPr>
      <w:r>
        <w:t xml:space="preserve">The factors represent a pedagogical decarbonization pathway rather than a short-term electricity-market forecast. The final paper should document the derivation of these factors and clearly identify the scenario, geographic scope, and accounting boundary used, for example through Schneider [2025].</w:t>
      </w:r>
    </w:p>
    <w:bookmarkEnd w:id="33"/>
    <w:bookmarkStart w:id="34" w:name="costs-and-occupant-satisfaction"/>
    <w:p>
      <w:pPr>
        <w:pStyle w:val="Heading3"/>
      </w:pPr>
      <w:r>
        <w:t xml:space="preserve">4.8 Costs and occupant satisfaction</w:t>
      </w:r>
    </w:p>
    <w:p>
      <w:pPr>
        <w:pStyle w:val="FirstParagraph"/>
      </w:pPr>
      <w:r>
        <w:t xml:space="preserve">Investment costs are represented by discrete card costs from zero to five units. Although the global scale defines one unit as €10,000, the current card-level</w:t>
      </w:r>
      <w:r>
        <w:t xml:space="preserve"> </w:t>
      </w:r>
      <w:r>
        <w:t xml:space="preserve">“real cost”</w:t>
      </w:r>
      <w:r>
        <w:t xml:space="preserve"> </w:t>
      </w:r>
      <w:r>
        <w:t xml:space="preserve">fields are not populated. Card costs were instead calibrated as relative investment barriers. Consequently, the model can support statements about relative affordability and budget competition, but not detailed claims regarding actual renovation costs.</w:t>
      </w:r>
    </w:p>
    <w:p>
      <w:pPr>
        <w:pStyle w:val="BodyText"/>
      </w:pPr>
      <w:r>
        <w:t xml:space="preserve">Operational energy costs use differentiated prices for gas, biomass, district heating, green gas, and electricity. Cost effects are expressed relative to a baseline heating-cost state. Heat-pump electricity costs are incorporated through the grid-import relationship.</w:t>
      </w:r>
    </w:p>
    <w:p>
      <w:pPr>
        <w:pStyle w:val="BodyText"/>
      </w:pPr>
      <w:r>
        <w:t xml:space="preserve">Occupant satisfaction has two functions. First, it represents non-energy outcomes such as accessibility, private outdoor space, thermal comfort, noise, and architectural quality. Second, satisfaction affects the financial resources available to the player, representing increased willingness to invest or the value associated with a more desirable property.</w:t>
      </w:r>
    </w:p>
    <w:p>
      <w:pPr>
        <w:pStyle w:val="BodyText"/>
      </w:pPr>
      <w:r>
        <w:t xml:space="preserve">This mechanism intentionally prevents the game from reducing renovation to energy efficiency alone. However, because satisfaction is represented by a single aggregate track, it should be described as a gameplay proxy rather than a validated social-science model of occupant preferences.</w:t>
      </w:r>
    </w:p>
    <w:bookmarkEnd w:id="34"/>
    <w:bookmarkStart w:id="35" w:name="measure-effects-and-embedded-trade-offs"/>
    <w:p>
      <w:pPr>
        <w:pStyle w:val="Heading3"/>
      </w:pPr>
      <w:r>
        <w:t xml:space="preserve">4.9 Measure effects and embedded trade-offs</w:t>
      </w:r>
    </w:p>
    <w:p>
      <w:pPr>
        <w:pStyle w:val="FirstParagraph"/>
      </w:pPr>
      <w:r>
        <w:t xml:space="preserve">Table 2 illustrates how learning content is embedded within selected game mechanics.</w:t>
      </w:r>
    </w:p>
    <w:p>
      <w:pPr>
        <w:pStyle w:val="BodyText"/>
      </w:pPr>
      <w:r>
        <w:rPr>
          <w:b/>
          <w:bCs/>
        </w:rPr>
        <w:t xml:space="preserve">Table 2. Examples of aligned engineering concepts and game mechanics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Engineering concept</w:t>
            </w:r>
          </w:p>
        </w:tc>
        <w:tc>
          <w:tcPr/>
          <w:p>
            <w:pPr>
              <w:pStyle w:val="Compact"/>
            </w:pPr>
            <w:r>
              <w:t xml:space="preserve">Game representation</w:t>
            </w:r>
          </w:p>
        </w:tc>
        <w:tc>
          <w:tcPr/>
          <w:p>
            <w:pPr>
              <w:pStyle w:val="Compact"/>
            </w:pPr>
            <w:r>
              <w:t xml:space="preserve">Intended learning process</w:t>
            </w:r>
          </w:p>
        </w:tc>
      </w:tr>
      <w:tr>
        <w:tc>
          <w:tcPr/>
          <w:p>
            <w:pPr>
              <w:pStyle w:val="Compact"/>
            </w:pPr>
            <w:r>
              <w:t xml:space="preserve">Stronger insulation lowers useful heat demand</w:t>
            </w:r>
          </w:p>
        </w:tc>
        <w:tc>
          <w:tcPr/>
          <w:p>
            <w:pPr>
              <w:pStyle w:val="Compact"/>
            </w:pPr>
            <w:r>
              <w:t xml:space="preserve">Insulation cards move the thermal-protection track by three to five levels</w:t>
            </w:r>
          </w:p>
        </w:tc>
        <w:tc>
          <w:tcPr/>
          <w:p>
            <w:pPr>
              <w:pStyle w:val="Compact"/>
            </w:pPr>
            <w:r>
              <w:t xml:space="preserve">Compare long-term operational savings</w:t>
            </w:r>
          </w:p>
        </w:tc>
      </w:tr>
      <w:tr>
        <w:tc>
          <w:tcPr/>
          <w:p>
            <w:pPr>
              <w:pStyle w:val="Compact"/>
            </w:pPr>
            <w:r>
              <w:t xml:space="preserve">Construction causes immediate emissions</w:t>
            </w:r>
          </w:p>
        </w:tc>
        <w:tc>
          <w:tcPr/>
          <w:p>
            <w:pPr>
              <w:pStyle w:val="Compact"/>
            </w:pPr>
            <w:r>
              <w:t xml:space="preserve">Conventional and ecological envelope cards have different immediate emission effects</w:t>
            </w:r>
          </w:p>
        </w:tc>
        <w:tc>
          <w:tcPr/>
          <w:p>
            <w:pPr>
              <w:pStyle w:val="Compact"/>
            </w:pPr>
            <w:r>
              <w:t xml:space="preserve">Distinguish embodied and operational emissions</w:t>
            </w:r>
          </w:p>
        </w:tc>
      </w:tr>
      <w:tr>
        <w:tc>
          <w:tcPr/>
          <w:p>
            <w:pPr>
              <w:pStyle w:val="Compact"/>
            </w:pPr>
            <w:r>
              <w:t xml:space="preserve">Heat pumps perform better at lower supply temperatures</w:t>
            </w:r>
          </w:p>
        </w:tc>
        <w:tc>
          <w:tcPr/>
          <w:p>
            <w:pPr>
              <w:pStyle w:val="Compact"/>
            </w:pPr>
            <w:r>
              <w:t xml:space="preserve">Heat-source and heat-distribution cards jointly increase the efficiency level</w:t>
            </w:r>
          </w:p>
        </w:tc>
        <w:tc>
          <w:tcPr/>
          <w:p>
            <w:pPr>
              <w:pStyle w:val="Compact"/>
            </w:pPr>
            <w:r>
              <w:t xml:space="preserve">Discover technology synergies</w:t>
            </w:r>
          </w:p>
        </w:tc>
      </w:tr>
      <w:tr>
        <w:tc>
          <w:tcPr/>
          <w:p>
            <w:pPr>
              <w:pStyle w:val="Compact"/>
            </w:pPr>
            <w:r>
              <w:t xml:space="preserve">PV affects electricity supply rather than heat demand</w:t>
            </w:r>
          </w:p>
        </w:tc>
        <w:tc>
          <w:tcPr/>
          <w:p>
            <w:pPr>
              <w:pStyle w:val="Compact"/>
            </w:pPr>
            <w:r>
              <w:t xml:space="preserve">PV cards increase electricity production</w:t>
            </w:r>
          </w:p>
        </w:tc>
        <w:tc>
          <w:tcPr/>
          <w:p>
            <w:pPr>
              <w:pStyle w:val="Compact"/>
            </w:pPr>
            <w:r>
              <w:t xml:space="preserve">Differentiate energy flows</w:t>
            </w:r>
          </w:p>
        </w:tc>
      </w:tr>
      <w:tr>
        <w:tc>
          <w:tcPr/>
          <w:p>
            <w:pPr>
              <w:pStyle w:val="Compact"/>
            </w:pPr>
            <w:r>
              <w:t xml:space="preserve">Storage does not generate energy</w:t>
            </w:r>
          </w:p>
        </w:tc>
        <w:tc>
          <w:tcPr/>
          <w:p>
            <w:pPr>
              <w:pStyle w:val="Compact"/>
            </w:pPr>
            <w:r>
              <w:t xml:space="preserve">Storage cards change the flexibility or grid-import state but not production</w:t>
            </w:r>
          </w:p>
        </w:tc>
        <w:tc>
          <w:tcPr/>
          <w:p>
            <w:pPr>
              <w:pStyle w:val="Compact"/>
            </w:pPr>
            <w:r>
              <w:t xml:space="preserve">Distinguish generation from temporal shifting</w:t>
            </w:r>
          </w:p>
        </w:tc>
      </w:tr>
      <w:tr>
        <w:tc>
          <w:tcPr/>
          <w:p>
            <w:pPr>
              <w:pStyle w:val="Compact"/>
            </w:pPr>
            <w:r>
              <w:t xml:space="preserve">Amenities may increase costs and emissions</w:t>
            </w:r>
          </w:p>
        </w:tc>
        <w:tc>
          <w:tcPr/>
          <w:p>
            <w:pPr>
              <w:pStyle w:val="Compact"/>
            </w:pPr>
            <w:r>
              <w:t xml:space="preserve">Lifts and balconies improve satisfaction but require resources and may add immediate emissions or electricity use</w:t>
            </w:r>
          </w:p>
        </w:tc>
        <w:tc>
          <w:tcPr/>
          <w:p>
            <w:pPr>
              <w:pStyle w:val="Compact"/>
            </w:pPr>
            <w:r>
              <w:t xml:space="preserve">Consider multi-objective renovation</w:t>
            </w:r>
          </w:p>
        </w:tc>
      </w:tr>
      <w:tr>
        <w:tc>
          <w:tcPr/>
          <w:p>
            <w:pPr>
              <w:pStyle w:val="Compact"/>
            </w:pPr>
            <w:r>
              <w:t xml:space="preserve">Some technologies require enabling infrastructure</w:t>
            </w:r>
          </w:p>
        </w:tc>
        <w:tc>
          <w:tcPr/>
          <w:p>
            <w:pPr>
              <w:pStyle w:val="Compact"/>
            </w:pPr>
            <w:r>
              <w:t xml:space="preserve">Bidirectional charging requires charging infrastructure; thermal flexibility requires a heat pump</w:t>
            </w:r>
          </w:p>
        </w:tc>
        <w:tc>
          <w:tcPr/>
          <w:p>
            <w:pPr>
              <w:pStyle w:val="Compact"/>
            </w:pPr>
            <w:r>
              <w:t xml:space="preserve">Recognize prerequisites and sequencing</w:t>
            </w:r>
          </w:p>
        </w:tc>
      </w:tr>
      <w:tr>
        <w:tc>
          <w:tcPr/>
          <w:p>
            <w:pPr>
              <w:pStyle w:val="Compact"/>
            </w:pPr>
            <w:r>
              <w:t xml:space="preserve">Building surfaces are limited</w:t>
            </w:r>
          </w:p>
        </w:tc>
        <w:tc>
          <w:tcPr/>
          <w:p>
            <w:pPr>
              <w:pStyle w:val="Compact"/>
            </w:pPr>
            <w:r>
              <w:t xml:space="preserve">Façade greening and façade-integrated PV are mutually exclusive</w:t>
            </w:r>
          </w:p>
        </w:tc>
        <w:tc>
          <w:tcPr/>
          <w:p>
            <w:pPr>
              <w:pStyle w:val="Compact"/>
            </w:pPr>
            <w:r>
              <w:t xml:space="preserve">Experience spatial trade-offs</w:t>
            </w:r>
          </w:p>
        </w:tc>
      </w:tr>
      <w:tr>
        <w:tc>
          <w:tcPr/>
          <w:p>
            <w:pPr>
              <w:pStyle w:val="Compact"/>
            </w:pPr>
            <w:r>
              <w:t xml:space="preserve">Grid emissions decline over time</w:t>
            </w:r>
          </w:p>
        </w:tc>
        <w:tc>
          <w:tcPr/>
          <w:p>
            <w:pPr>
              <w:pStyle w:val="Compact"/>
            </w:pPr>
            <w:r>
              <w:t xml:space="preserve">Electricity has a different emission effect in each round</w:t>
            </w:r>
          </w:p>
        </w:tc>
        <w:tc>
          <w:tcPr/>
          <w:p>
            <w:pPr>
              <w:pStyle w:val="Compact"/>
            </w:pPr>
            <w:r>
              <w:t xml:space="preserve">Understand temporal context</w:t>
            </w:r>
          </w:p>
        </w:tc>
      </w:tr>
    </w:tbl>
    <w:p>
      <w:pPr>
        <w:pStyle w:val="BodyText"/>
      </w:pPr>
      <w:r>
        <w:t xml:space="preserve">This alignment is central to the educational claim. The player does not receive a reward for memorizing that a heat pump works efficiently with low-temperature heat distribution. Instead, the combination changes the game state and affects the player’s outcome.</w:t>
      </w:r>
    </w:p>
    <w:p>
      <w:r>
        <w:pict>
          <v:rect style="width:0;height:1.5pt" o:hralign="center" o:hrstd="t" o:hr="t"/>
        </w:pict>
      </w:r>
    </w:p>
    <w:bookmarkEnd w:id="35"/>
    <w:bookmarkEnd w:id="36"/>
    <w:bookmarkStart w:id="41" w:name="calibration-and-validation"/>
    <w:p>
      <w:pPr>
        <w:pStyle w:val="Heading2"/>
      </w:pPr>
      <w:r>
        <w:t xml:space="preserve">5. Calibration and Validation</w:t>
      </w:r>
    </w:p>
    <w:bookmarkStart w:id="37" w:name="iterative-calibration"/>
    <w:p>
      <w:pPr>
        <w:pStyle w:val="Heading3"/>
      </w:pPr>
      <w:r>
        <w:t xml:space="preserve">5.1 Iterative calibration</w:t>
      </w:r>
    </w:p>
    <w:p>
      <w:pPr>
        <w:pStyle w:val="FirstParagraph"/>
      </w:pPr>
      <w:r>
        <w:t xml:space="preserve">The design process combined engineering estimates, measure catalogues, expert judgment, spreadsheet-based model development, physical prototypes, and playtesting. Measure descriptions and technology options were informed by building-renovation guidance and catalogues, including klimaaktiv and sectoral renovation resources.</w:t>
      </w:r>
    </w:p>
    <w:p>
      <w:pPr>
        <w:pStyle w:val="BodyText"/>
      </w:pPr>
      <w:r>
        <w:t xml:space="preserve">Calibration involved significant interpretive freedom. A card such as</w:t>
      </w:r>
      <w:r>
        <w:t xml:space="preserve"> </w:t>
      </w:r>
      <w:r>
        <w:t xml:space="preserve">“large roof-mounted photovoltaic system”</w:t>
      </w:r>
      <w:r>
        <w:t xml:space="preserve"> </w:t>
      </w:r>
      <w:r>
        <w:t xml:space="preserve">does not define an unambiguous physical system unless roof area, building density, module efficiency, orientation, and usable roof fraction are specified. The measure effects therefore represent reference interpretations chosen for the nominal building.</w:t>
      </w:r>
    </w:p>
    <w:p>
      <w:pPr>
        <w:pStyle w:val="BodyText"/>
      </w:pPr>
      <w:r>
        <w:t xml:space="preserve">The calibration objective was not to identify one universally correct value for each card. It was to construct a state space in which:</w:t>
      </w:r>
    </w:p>
    <w:p>
      <w:pPr>
        <w:pStyle w:val="Compact"/>
        <w:numPr>
          <w:ilvl w:val="0"/>
          <w:numId w:val="1008"/>
        </w:numPr>
      </w:pPr>
      <w:r>
        <w:t xml:space="preserve">realistic low- and high-performance building states remained recognizable;</w:t>
      </w:r>
    </w:p>
    <w:p>
      <w:pPr>
        <w:pStyle w:val="Compact"/>
        <w:numPr>
          <w:ilvl w:val="0"/>
          <w:numId w:val="1008"/>
        </w:numPr>
      </w:pPr>
      <w:r>
        <w:t xml:space="preserve">stronger and weaker measures remained distinguishable;</w:t>
      </w:r>
    </w:p>
    <w:p>
      <w:pPr>
        <w:pStyle w:val="Compact"/>
        <w:numPr>
          <w:ilvl w:val="0"/>
          <w:numId w:val="1008"/>
        </w:numPr>
      </w:pPr>
      <w:r>
        <w:t xml:space="preserve">important technology interactions affected outcomes;</w:t>
      </w:r>
    </w:p>
    <w:p>
      <w:pPr>
        <w:pStyle w:val="Compact"/>
        <w:numPr>
          <w:ilvl w:val="0"/>
          <w:numId w:val="1008"/>
        </w:numPr>
      </w:pPr>
      <w:r>
        <w:t xml:space="preserve">no single card determined the result independently of context;</w:t>
      </w:r>
    </w:p>
    <w:p>
      <w:pPr>
        <w:pStyle w:val="Compact"/>
        <w:numPr>
          <w:ilvl w:val="0"/>
          <w:numId w:val="1008"/>
        </w:numPr>
      </w:pPr>
      <w:r>
        <w:t xml:space="preserve">different renovation strategies remained viable; and</w:t>
      </w:r>
    </w:p>
    <w:p>
      <w:pPr>
        <w:pStyle w:val="Compact"/>
        <w:numPr>
          <w:ilvl w:val="0"/>
          <w:numId w:val="1008"/>
        </w:numPr>
      </w:pPr>
      <w:r>
        <w:t xml:space="preserve">arithmetic could be performed using board tracks and tokens.</w:t>
      </w:r>
    </w:p>
    <w:bookmarkEnd w:id="37"/>
    <w:bookmarkStart w:id="38" w:name="engineering-and-content-validation"/>
    <w:p>
      <w:pPr>
        <w:pStyle w:val="Heading3"/>
      </w:pPr>
      <w:r>
        <w:t xml:space="preserve">5.2 Engineering and content validation</w:t>
      </w:r>
    </w:p>
    <w:p>
      <w:pPr>
        <w:pStyle w:val="FirstParagraph"/>
      </w:pPr>
      <w:r>
        <w:t xml:space="preserve">Content validation should be documented separately from playtesting. A panel of building-energy and renovation experts should review:</w:t>
      </w:r>
    </w:p>
    <w:p>
      <w:pPr>
        <w:pStyle w:val="Compact"/>
        <w:numPr>
          <w:ilvl w:val="0"/>
          <w:numId w:val="1009"/>
        </w:numPr>
      </w:pPr>
      <w:r>
        <w:t xml:space="preserve">the selected measure categories;</w:t>
      </w:r>
    </w:p>
    <w:p>
      <w:pPr>
        <w:pStyle w:val="Compact"/>
        <w:numPr>
          <w:ilvl w:val="0"/>
          <w:numId w:val="1009"/>
        </w:numPr>
      </w:pPr>
      <w:r>
        <w:t xml:space="preserve">omitted technologies and boundaries;</w:t>
      </w:r>
    </w:p>
    <w:p>
      <w:pPr>
        <w:pStyle w:val="Compact"/>
        <w:numPr>
          <w:ilvl w:val="0"/>
          <w:numId w:val="1009"/>
        </w:numPr>
      </w:pPr>
      <w:r>
        <w:t xml:space="preserve">relative card effects;</w:t>
      </w:r>
    </w:p>
    <w:p>
      <w:pPr>
        <w:pStyle w:val="Compact"/>
        <w:numPr>
          <w:ilvl w:val="0"/>
          <w:numId w:val="1009"/>
        </w:numPr>
      </w:pPr>
      <w:r>
        <w:t xml:space="preserve">energy-carrier emission relationships;</w:t>
      </w:r>
    </w:p>
    <w:p>
      <w:pPr>
        <w:pStyle w:val="Compact"/>
        <w:numPr>
          <w:ilvl w:val="0"/>
          <w:numId w:val="1009"/>
        </w:numPr>
      </w:pPr>
      <w:r>
        <w:t xml:space="preserve">heat-pump efficiency relationships;</w:t>
      </w:r>
    </w:p>
    <w:p>
      <w:pPr>
        <w:pStyle w:val="Compact"/>
        <w:numPr>
          <w:ilvl w:val="0"/>
          <w:numId w:val="1009"/>
        </w:numPr>
      </w:pPr>
      <w:r>
        <w:t xml:space="preserve">embodied-emission effects;</w:t>
      </w:r>
    </w:p>
    <w:p>
      <w:pPr>
        <w:pStyle w:val="Compact"/>
        <w:numPr>
          <w:ilvl w:val="0"/>
          <w:numId w:val="1009"/>
        </w:numPr>
      </w:pPr>
      <w:r>
        <w:t xml:space="preserve">technology prerequisites;</w:t>
      </w:r>
    </w:p>
    <w:p>
      <w:pPr>
        <w:pStyle w:val="Compact"/>
        <w:numPr>
          <w:ilvl w:val="0"/>
          <w:numId w:val="1009"/>
        </w:numPr>
      </w:pPr>
      <w:r>
        <w:t xml:space="preserve">cost ordering; and</w:t>
      </w:r>
    </w:p>
    <w:p>
      <w:pPr>
        <w:pStyle w:val="Compact"/>
        <w:numPr>
          <w:ilvl w:val="0"/>
          <w:numId w:val="1009"/>
        </w:numPr>
      </w:pPr>
      <w:r>
        <w:t xml:space="preserve">potentially misleading simplifications.</w:t>
      </w:r>
    </w:p>
    <w:p>
      <w:pPr>
        <w:pStyle w:val="FirstParagraph"/>
      </w:pPr>
      <w:r>
        <w:t xml:space="preserve">Reviewers can rate each relationship for relevance, direction, and approximate magnitude. Disagreements should be documented and used to revise the calibration.</w:t>
      </w:r>
    </w:p>
    <w:p>
      <w:pPr>
        <w:pStyle w:val="BodyText"/>
      </w:pPr>
      <w:r>
        <w:t xml:space="preserve">Before publication, two workbook inconsistencies should be resolved or explained:</w:t>
      </w:r>
    </w:p>
    <w:p>
      <w:pPr>
        <w:pStyle w:val="Compact"/>
        <w:numPr>
          <w:ilvl w:val="0"/>
          <w:numId w:val="1010"/>
        </w:numPr>
      </w:pPr>
      <w:r>
        <w:t xml:space="preserve">The general heating table and the heat-pump electricity table currently use slightly different thermal-demand sequences.</w:t>
      </w:r>
    </w:p>
    <w:p>
      <w:pPr>
        <w:pStyle w:val="Compact"/>
        <w:numPr>
          <w:ilvl w:val="0"/>
          <w:numId w:val="1010"/>
        </w:numPr>
      </w:pPr>
      <w:r>
        <w:t xml:space="preserve">Several prerequisite assignments should be reviewed for semantic correctness, including the heat-pump prerequisite currently associated with efficient household appliances.</w:t>
      </w:r>
    </w:p>
    <w:bookmarkEnd w:id="38"/>
    <w:bookmarkStart w:id="39" w:name="computational-validation"/>
    <w:p>
      <w:pPr>
        <w:pStyle w:val="Heading3"/>
      </w:pPr>
      <w:r>
        <w:t xml:space="preserve">5.3 Computational validation</w:t>
      </w:r>
    </w:p>
    <w:p>
      <w:pPr>
        <w:pStyle w:val="FirstParagraph"/>
      </w:pPr>
      <w:r>
        <w:t xml:space="preserve">Playtesting alone cannot explore the full combinatorial solution space. Monte Carlo simulation is therefore used to assess the consequences of card availability, costs, prerequisites, and state mappings.</w:t>
      </w:r>
    </w:p>
    <w:p>
      <w:pPr>
        <w:pStyle w:val="BodyText"/>
      </w:pPr>
      <w:r>
        <w:t xml:space="preserve">The simulations should report at least:</w:t>
      </w:r>
    </w:p>
    <w:p>
      <w:pPr>
        <w:pStyle w:val="Compact"/>
        <w:numPr>
          <w:ilvl w:val="0"/>
          <w:numId w:val="1011"/>
        </w:numPr>
      </w:pPr>
      <w:r>
        <w:t xml:space="preserve">distribution of final emission scores;</w:t>
      </w:r>
    </w:p>
    <w:p>
      <w:pPr>
        <w:pStyle w:val="Compact"/>
        <w:numPr>
          <w:ilvl w:val="0"/>
          <w:numId w:val="1011"/>
        </w:numPr>
      </w:pPr>
      <w:r>
        <w:t xml:space="preserve">distribution of remaining budgets;</w:t>
      </w:r>
    </w:p>
    <w:p>
      <w:pPr>
        <w:pStyle w:val="Compact"/>
        <w:numPr>
          <w:ilvl w:val="0"/>
          <w:numId w:val="1011"/>
        </w:numPr>
      </w:pPr>
      <w:r>
        <w:t xml:space="preserve">frequency with which individual cards and categories are selected;</w:t>
      </w:r>
    </w:p>
    <w:p>
      <w:pPr>
        <w:pStyle w:val="Compact"/>
        <w:numPr>
          <w:ilvl w:val="0"/>
          <w:numId w:val="1011"/>
        </w:numPr>
      </w:pPr>
      <w:r>
        <w:t xml:space="preserve">frequency of unreachable or invalid states;</w:t>
      </w:r>
    </w:p>
    <w:p>
      <w:pPr>
        <w:pStyle w:val="Compact"/>
        <w:numPr>
          <w:ilvl w:val="0"/>
          <w:numId w:val="1011"/>
        </w:numPr>
      </w:pPr>
      <w:r>
        <w:t xml:space="preserve">outcome variance attributable to card order;</w:t>
      </w:r>
    </w:p>
    <w:p>
      <w:pPr>
        <w:pStyle w:val="Compact"/>
        <w:numPr>
          <w:ilvl w:val="0"/>
          <w:numId w:val="1011"/>
        </w:numPr>
      </w:pPr>
      <w:r>
        <w:t xml:space="preserve">highest- and lowest-performing strategies;</w:t>
      </w:r>
    </w:p>
    <w:p>
      <w:pPr>
        <w:pStyle w:val="Compact"/>
        <w:numPr>
          <w:ilvl w:val="0"/>
          <w:numId w:val="1011"/>
        </w:numPr>
      </w:pPr>
      <w:r>
        <w:t xml:space="preserve">marginal score effects of individual cards;</w:t>
      </w:r>
    </w:p>
    <w:p>
      <w:pPr>
        <w:pStyle w:val="Compact"/>
        <w:numPr>
          <w:ilvl w:val="0"/>
          <w:numId w:val="1011"/>
        </w:numPr>
      </w:pPr>
      <w:r>
        <w:t xml:space="preserve">common measure combinations among high-performing games; and</w:t>
      </w:r>
    </w:p>
    <w:p>
      <w:pPr>
        <w:pStyle w:val="Compact"/>
        <w:numPr>
          <w:ilvl w:val="0"/>
          <w:numId w:val="1011"/>
        </w:numPr>
      </w:pPr>
      <w:r>
        <w:t xml:space="preserve">whether any measure is dominant across most states.</w:t>
      </w:r>
    </w:p>
    <w:p>
      <w:pPr>
        <w:pStyle w:val="FirstParagraph"/>
      </w:pPr>
      <w:r>
        <w:t xml:space="preserve">A purely random decision policy is useful for testing reachability and outcome dispersion but is insufficient for assessing strategic balance. The final analysis should compare several policies:</w:t>
      </w:r>
    </w:p>
    <w:p>
      <w:pPr>
        <w:pStyle w:val="Compact"/>
        <w:numPr>
          <w:ilvl w:val="0"/>
          <w:numId w:val="1012"/>
        </w:numPr>
      </w:pPr>
      <w:r>
        <w:t xml:space="preserve">random affordable selection;</w:t>
      </w:r>
    </w:p>
    <w:p>
      <w:pPr>
        <w:pStyle w:val="Compact"/>
        <w:numPr>
          <w:ilvl w:val="0"/>
          <w:numId w:val="1012"/>
        </w:numPr>
      </w:pPr>
      <w:r>
        <w:t xml:space="preserve">greedy emission reduction;</w:t>
      </w:r>
    </w:p>
    <w:p>
      <w:pPr>
        <w:pStyle w:val="Compact"/>
        <w:numPr>
          <w:ilvl w:val="0"/>
          <w:numId w:val="1012"/>
        </w:numPr>
      </w:pPr>
      <w:r>
        <w:t xml:space="preserve">highest emission reduction per cost unit;</w:t>
      </w:r>
    </w:p>
    <w:p>
      <w:pPr>
        <w:pStyle w:val="Compact"/>
        <w:numPr>
          <w:ilvl w:val="0"/>
          <w:numId w:val="1012"/>
        </w:numPr>
      </w:pPr>
      <w:r>
        <w:t xml:space="preserve">balanced cost–emission–satisfaction selection; and</w:t>
      </w:r>
    </w:p>
    <w:p>
      <w:pPr>
        <w:pStyle w:val="Compact"/>
        <w:numPr>
          <w:ilvl w:val="0"/>
          <w:numId w:val="1012"/>
        </w:numPr>
      </w:pPr>
      <w:r>
        <w:t xml:space="preserve">synergy-aware selection that prioritizes prerequisites and technology combinations.</w:t>
      </w:r>
    </w:p>
    <w:p>
      <w:pPr>
        <w:pStyle w:val="FirstParagraph"/>
      </w:pPr>
      <w:r>
        <w:t xml:space="preserve">The model can be considered strategically more credible when different policies produce distinguishable outcomes, synergy-aware strategies outperform naïve strategies, and no individual card dominates independently of the building state.</w:t>
      </w:r>
    </w:p>
    <w:bookmarkEnd w:id="39"/>
    <w:bookmarkStart w:id="40" w:name="playtesting"/>
    <w:p>
      <w:pPr>
        <w:pStyle w:val="Heading3"/>
      </w:pPr>
      <w:r>
        <w:t xml:space="preserve">5.4 Playtesting</w:t>
      </w:r>
    </w:p>
    <w:p>
      <w:pPr>
        <w:pStyle w:val="FirstParagraph"/>
      </w:pPr>
      <w:r>
        <w:t xml:space="preserve">Formative playtests were used to assess:</w:t>
      </w:r>
    </w:p>
    <w:p>
      <w:pPr>
        <w:pStyle w:val="Compact"/>
        <w:numPr>
          <w:ilvl w:val="0"/>
          <w:numId w:val="1013"/>
        </w:numPr>
      </w:pPr>
      <w:r>
        <w:t xml:space="preserve">rule comprehension;</w:t>
      </w:r>
    </w:p>
    <w:p>
      <w:pPr>
        <w:pStyle w:val="Compact"/>
        <w:numPr>
          <w:ilvl w:val="0"/>
          <w:numId w:val="1013"/>
        </w:numPr>
      </w:pPr>
      <w:r>
        <w:t xml:space="preserve">setup and playing time;</w:t>
      </w:r>
    </w:p>
    <w:p>
      <w:pPr>
        <w:pStyle w:val="Compact"/>
        <w:numPr>
          <w:ilvl w:val="0"/>
          <w:numId w:val="1013"/>
        </w:numPr>
      </w:pPr>
      <w:r>
        <w:t xml:space="preserve">frequency of facilitator intervention;</w:t>
      </w:r>
    </w:p>
    <w:p>
      <w:pPr>
        <w:pStyle w:val="Compact"/>
        <w:numPr>
          <w:ilvl w:val="0"/>
          <w:numId w:val="1013"/>
        </w:numPr>
      </w:pPr>
      <w:r>
        <w:t xml:space="preserve">arithmetic burden;</w:t>
      </w:r>
    </w:p>
    <w:p>
      <w:pPr>
        <w:pStyle w:val="Compact"/>
        <w:numPr>
          <w:ilvl w:val="0"/>
          <w:numId w:val="1013"/>
        </w:numPr>
      </w:pPr>
      <w:r>
        <w:t xml:space="preserve">visibility of cause-and-effect relationships;</w:t>
      </w:r>
    </w:p>
    <w:p>
      <w:pPr>
        <w:pStyle w:val="Compact"/>
        <w:numPr>
          <w:ilvl w:val="0"/>
          <w:numId w:val="1013"/>
        </w:numPr>
      </w:pPr>
      <w:r>
        <w:t xml:space="preserve">decision relevance;</w:t>
      </w:r>
    </w:p>
    <w:p>
      <w:pPr>
        <w:pStyle w:val="Compact"/>
        <w:numPr>
          <w:ilvl w:val="0"/>
          <w:numId w:val="1013"/>
        </w:numPr>
      </w:pPr>
      <w:r>
        <w:t xml:space="preserve">downtime and player interaction;</w:t>
      </w:r>
    </w:p>
    <w:p>
      <w:pPr>
        <w:pStyle w:val="Compact"/>
        <w:numPr>
          <w:ilvl w:val="0"/>
          <w:numId w:val="1013"/>
        </w:numPr>
      </w:pPr>
      <w:r>
        <w:t xml:space="preserve">perceived fairness;</w:t>
      </w:r>
    </w:p>
    <w:p>
      <w:pPr>
        <w:pStyle w:val="Compact"/>
        <w:numPr>
          <w:ilvl w:val="0"/>
          <w:numId w:val="1013"/>
        </w:numPr>
      </w:pPr>
      <w:r>
        <w:t xml:space="preserve">frustration;</w:t>
      </w:r>
    </w:p>
    <w:p>
      <w:pPr>
        <w:pStyle w:val="Compact"/>
        <w:numPr>
          <w:ilvl w:val="0"/>
          <w:numId w:val="1013"/>
        </w:numPr>
      </w:pPr>
      <w:r>
        <w:t xml:space="preserve">replayability; and</w:t>
      </w:r>
    </w:p>
    <w:p>
      <w:pPr>
        <w:pStyle w:val="Compact"/>
        <w:numPr>
          <w:ilvl w:val="0"/>
          <w:numId w:val="1013"/>
        </w:numPr>
      </w:pPr>
      <w:r>
        <w:t xml:space="preserve">spontaneous discussion of renovation concepts.</w:t>
      </w:r>
    </w:p>
    <w:p>
      <w:pPr>
        <w:pStyle w:val="FirstParagraph"/>
      </w:pPr>
      <w:r>
        <w:t xml:space="preserve">Observations should be documented using a structured protocol rather than only informal developer notes. Each rule or component change should be traceable to an observed problem, expert recommendation, or computational result.</w:t>
      </w:r>
    </w:p>
    <w:p>
      <w:r>
        <w:pict>
          <v:rect style="width:0;height:1.5pt" o:hralign="center" o:hrstd="t" o:hr="t"/>
        </w:pict>
      </w:r>
    </w:p>
    <w:bookmarkEnd w:id="40"/>
    <w:bookmarkEnd w:id="41"/>
    <w:bookmarkStart w:id="47" w:name="X9b12c27fe5fba0c322bb03b63a84372ee15c066"/>
    <w:p>
      <w:pPr>
        <w:pStyle w:val="Heading2"/>
      </w:pPr>
      <w:r>
        <w:t xml:space="preserve">6. Empirical Evaluation of Learning Outcomes</w:t>
      </w:r>
    </w:p>
    <w:bookmarkStart w:id="42" w:name="study-design"/>
    <w:p>
      <w:pPr>
        <w:pStyle w:val="Heading3"/>
      </w:pPr>
      <w:r>
        <w:t xml:space="preserve">6.1 Study design</w:t>
      </w:r>
    </w:p>
    <w:p>
      <w:pPr>
        <w:pStyle w:val="FirstParagraph"/>
      </w:pPr>
      <w:r>
        <w:t xml:space="preserve">The initial evaluation can be conducted as a one-group matched pre–post pilot study. Participants complete a short knowledge assessment immediately before the game and the same or an equivalent assessment immediately afterward. The post-game questionnaire additionally measures rule comprehension, strategic confidence, enjoyment, perceived learning, and willingness to replay.</w:t>
      </w:r>
    </w:p>
    <w:p>
      <w:pPr>
        <w:pStyle w:val="BodyText"/>
      </w:pPr>
      <w:r>
        <w:t xml:space="preserve">Where feasible, the study should include either:</w:t>
      </w:r>
    </w:p>
    <w:p>
      <w:pPr>
        <w:pStyle w:val="Compact"/>
        <w:numPr>
          <w:ilvl w:val="0"/>
          <w:numId w:val="1014"/>
        </w:numPr>
      </w:pPr>
      <w:r>
        <w:t xml:space="preserve">a comparison group receiving a conventional short lesson covering the same content; or</w:t>
      </w:r>
    </w:p>
    <w:p>
      <w:pPr>
        <w:pStyle w:val="Compact"/>
        <w:numPr>
          <w:ilvl w:val="0"/>
          <w:numId w:val="1014"/>
        </w:numPr>
      </w:pPr>
      <w:r>
        <w:t xml:space="preserve">a delayed-game group completing the knowledge assessment twice before playing.</w:t>
      </w:r>
    </w:p>
    <w:p>
      <w:pPr>
        <w:pStyle w:val="FirstParagraph"/>
      </w:pPr>
      <w:r>
        <w:t xml:space="preserve">A comparison condition would help distinguish game-related learning from repeated testing, facilitator explanation, or general exposure to the topic.</w:t>
      </w:r>
    </w:p>
    <w:p>
      <w:pPr>
        <w:pStyle w:val="BodyText"/>
      </w:pPr>
      <w:r>
        <w:t xml:space="preserve">Participants seated at the same game table are not statistically independent. The table or session identifier should therefore be recorded. Game scores should also be classified as individual or group outcomes.</w:t>
      </w:r>
    </w:p>
    <w:bookmarkEnd w:id="42"/>
    <w:bookmarkStart w:id="43" w:name="assessment-alignment"/>
    <w:p>
      <w:pPr>
        <w:pStyle w:val="Heading3"/>
      </w:pPr>
      <w:r>
        <w:t xml:space="preserve">6.2 Assessment alignment</w:t>
      </w:r>
    </w:p>
    <w:p>
      <w:pPr>
        <w:pStyle w:val="FirstParagraph"/>
      </w:pPr>
      <w:r>
        <w:t xml:space="preserve">The original questionnaire contains useful usability and acceptance questions, but only one objective knowledge item. This is insufficient to evaluate the proposed learning outcomes.</w:t>
      </w:r>
    </w:p>
    <w:p>
      <w:pPr>
        <w:pStyle w:val="BodyText"/>
      </w:pPr>
      <w:r>
        <w:t xml:space="preserve">The question</w:t>
      </w:r>
      <w:r>
        <w:t xml:space="preserve"> </w:t>
      </w:r>
      <w:r>
        <w:t xml:space="preserve">“Which individual measure has the greatest effect?”</w:t>
      </w:r>
      <w:r>
        <w:t xml:space="preserve"> </w:t>
      </w:r>
      <w:r>
        <w:t xml:space="preserve">is also problematic because the correct answer depends on the initial building, energy carrier, time horizon, emission factors, and measure combinations. Presenting one universally correct measure would conflict with the system-oriented learning objective of the game.</w:t>
      </w:r>
    </w:p>
    <w:p>
      <w:pPr>
        <w:pStyle w:val="BodyText"/>
      </w:pPr>
      <w:r>
        <w:t xml:space="preserve">The revised assessment should use approximately six to eight scenario-based items, administered both before and after gameplay.</w:t>
      </w:r>
    </w:p>
    <w:p>
      <w:pPr>
        <w:pStyle w:val="BodyText"/>
      </w:pPr>
      <w:r>
        <w:rPr>
          <w:b/>
          <w:bCs/>
        </w:rPr>
        <w:t xml:space="preserve">Table 3. Proposed learning assessment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Learning outcome</w:t>
            </w:r>
          </w:p>
        </w:tc>
        <w:tc>
          <w:tcPr/>
          <w:p>
            <w:pPr>
              <w:pStyle w:val="Compact"/>
            </w:pPr>
            <w:r>
              <w:t xml:space="preserve">Example assessment item</w:t>
            </w:r>
          </w:p>
        </w:tc>
      </w:tr>
      <w:tr>
        <w:tc>
          <w:tcPr/>
          <w:p>
            <w:pPr>
              <w:pStyle w:val="Compact"/>
            </w:pPr>
            <w:r>
              <w:t xml:space="preserve">Recognize major measure categories</w:t>
            </w:r>
          </w:p>
        </w:tc>
        <w:tc>
          <w:tcPr/>
          <w:p>
            <w:pPr>
              <w:pStyle w:val="Compact"/>
            </w:pPr>
            <w:r>
              <w:t xml:space="preserve">“Which measure primarily reduces useful heating demand?”</w:t>
            </w:r>
          </w:p>
        </w:tc>
      </w:tr>
      <w:tr>
        <w:tc>
          <w:tcPr/>
          <w:p>
            <w:pPr>
              <w:pStyle w:val="Compact"/>
            </w:pPr>
            <w:r>
              <w:t xml:space="preserve">Distinguish energy flows</w:t>
            </w:r>
          </w:p>
        </w:tc>
        <w:tc>
          <w:tcPr/>
          <w:p>
            <w:pPr>
              <w:pStyle w:val="Compact"/>
            </w:pPr>
            <w:r>
              <w:t xml:space="preserve">“Which measure increases local electricity generation without directly reducing heating demand?”</w:t>
            </w:r>
          </w:p>
        </w:tc>
      </w:tr>
      <w:tr>
        <w:tc>
          <w:tcPr/>
          <w:p>
            <w:pPr>
              <w:pStyle w:val="Compact"/>
            </w:pPr>
            <w:r>
              <w:t xml:space="preserve">Understand heat-pump interactions</w:t>
            </w:r>
          </w:p>
        </w:tc>
        <w:tc>
          <w:tcPr/>
          <w:p>
            <w:pPr>
              <w:pStyle w:val="Compact"/>
            </w:pPr>
            <w:r>
              <w:t xml:space="preserve">“Which combination is most likely to improve heat-pump efficiency?”</w:t>
            </w:r>
          </w:p>
        </w:tc>
      </w:tr>
      <w:tr>
        <w:tc>
          <w:tcPr/>
          <w:p>
            <w:pPr>
              <w:pStyle w:val="Compact"/>
            </w:pPr>
            <w:r>
              <w:t xml:space="preserve">Understand flexibility</w:t>
            </w:r>
          </w:p>
        </w:tc>
        <w:tc>
          <w:tcPr/>
          <w:p>
            <w:pPr>
              <w:pStyle w:val="Compact"/>
            </w:pPr>
            <w:r>
              <w:t xml:space="preserve">“What is the main effect of a battery: producing electricity, reducing heat demand, or shifting electricity use?”</w:t>
            </w:r>
          </w:p>
        </w:tc>
      </w:tr>
      <w:tr>
        <w:tc>
          <w:tcPr/>
          <w:p>
            <w:pPr>
              <w:pStyle w:val="Compact"/>
            </w:pPr>
            <w:r>
              <w:t xml:space="preserve">Recognize embodied emissions</w:t>
            </w:r>
          </w:p>
        </w:tc>
        <w:tc>
          <w:tcPr/>
          <w:p>
            <w:pPr>
              <w:pStyle w:val="Compact"/>
            </w:pPr>
            <w:r>
              <w:t xml:space="preserve">“Why can a deep renovation initially increase cumulative emissions?”</w:t>
            </w:r>
          </w:p>
        </w:tc>
      </w:tr>
      <w:tr>
        <w:tc>
          <w:tcPr/>
          <w:p>
            <w:pPr>
              <w:pStyle w:val="Compact"/>
            </w:pPr>
            <w:r>
              <w:t xml:space="preserve">Understand temporal grid effects</w:t>
            </w:r>
          </w:p>
        </w:tc>
        <w:tc>
          <w:tcPr/>
          <w:p>
            <w:pPr>
              <w:pStyle w:val="Compact"/>
            </w:pPr>
            <w:r>
              <w:t xml:space="preserve">“Why can the emission benefit of electrification change between early and later rounds?”</w:t>
            </w:r>
          </w:p>
        </w:tc>
      </w:tr>
      <w:tr>
        <w:tc>
          <w:tcPr/>
          <w:p>
            <w:pPr>
              <w:pStyle w:val="Compact"/>
            </w:pPr>
            <w:r>
              <w:t xml:space="preserve">Identify prerequisites</w:t>
            </w:r>
          </w:p>
        </w:tc>
        <w:tc>
          <w:tcPr/>
          <w:p>
            <w:pPr>
              <w:pStyle w:val="Compact"/>
            </w:pPr>
            <w:r>
              <w:t xml:space="preserve">“Which measure must be present before bidirectional vehicle charging can provide storage?”</w:t>
            </w:r>
          </w:p>
        </w:tc>
      </w:tr>
      <w:tr>
        <w:tc>
          <w:tcPr/>
          <w:p>
            <w:pPr>
              <w:pStyle w:val="Compact"/>
            </w:pPr>
            <w:r>
              <w:t xml:space="preserve">Apply systems thinking</w:t>
            </w:r>
          </w:p>
        </w:tc>
        <w:tc>
          <w:tcPr/>
          <w:p>
            <w:pPr>
              <w:pStyle w:val="Compact"/>
            </w:pPr>
            <w:r>
              <w:t xml:space="preserve">A short renovation scenario requiring selection of two or three complementary measures</w:t>
            </w:r>
          </w:p>
        </w:tc>
      </w:tr>
    </w:tbl>
    <w:p>
      <w:pPr>
        <w:pStyle w:val="BodyText"/>
      </w:pPr>
      <w:r>
        <w:t xml:space="preserve">The same conceptual items should be used before and after play, with answer order randomized where possible. Each item should have one defensible answer under an explicitly stated scenario.</w:t>
      </w:r>
    </w:p>
    <w:bookmarkEnd w:id="43"/>
    <w:bookmarkStart w:id="44" w:name="secondary-outcomes"/>
    <w:p>
      <w:pPr>
        <w:pStyle w:val="Heading3"/>
      </w:pPr>
      <w:r>
        <w:t xml:space="preserve">6.3 Secondary outcomes</w:t>
      </w:r>
    </w:p>
    <w:p>
      <w:pPr>
        <w:pStyle w:val="FirstParagraph"/>
      </w:pPr>
      <w:r>
        <w:t xml:space="preserve">The following post-game indicators are appropriate as secondary outcomes:</w:t>
      </w:r>
    </w:p>
    <w:p>
      <w:pPr>
        <w:pStyle w:val="Compact"/>
        <w:numPr>
          <w:ilvl w:val="0"/>
          <w:numId w:val="1015"/>
        </w:numPr>
      </w:pPr>
      <w:r>
        <w:t xml:space="preserve">confidence in understanding the rules;</w:t>
      </w:r>
    </w:p>
    <w:p>
      <w:pPr>
        <w:pStyle w:val="Compact"/>
        <w:numPr>
          <w:ilvl w:val="0"/>
          <w:numId w:val="1015"/>
        </w:numPr>
      </w:pPr>
      <w:r>
        <w:t xml:space="preserve">confidence in the selected strategy;</w:t>
      </w:r>
    </w:p>
    <w:p>
      <w:pPr>
        <w:pStyle w:val="Compact"/>
        <w:numPr>
          <w:ilvl w:val="0"/>
          <w:numId w:val="1015"/>
        </w:numPr>
      </w:pPr>
      <w:r>
        <w:t xml:space="preserve">perceived knowledge of building-sector mitigation measures;</w:t>
      </w:r>
    </w:p>
    <w:p>
      <w:pPr>
        <w:pStyle w:val="Compact"/>
        <w:numPr>
          <w:ilvl w:val="0"/>
          <w:numId w:val="1015"/>
        </w:numPr>
      </w:pPr>
      <w:r>
        <w:t xml:space="preserve">perceived contribution of the mechanics to learning;</w:t>
      </w:r>
    </w:p>
    <w:p>
      <w:pPr>
        <w:pStyle w:val="Compact"/>
        <w:numPr>
          <w:ilvl w:val="0"/>
          <w:numId w:val="1015"/>
        </w:numPr>
      </w:pPr>
      <w:r>
        <w:t xml:space="preserve">enjoyment;</w:t>
      </w:r>
    </w:p>
    <w:p>
      <w:pPr>
        <w:pStyle w:val="Compact"/>
        <w:numPr>
          <w:ilvl w:val="0"/>
          <w:numId w:val="1015"/>
        </w:numPr>
      </w:pPr>
      <w:r>
        <w:t xml:space="preserve">willingness to play again;</w:t>
      </w:r>
    </w:p>
    <w:p>
      <w:pPr>
        <w:pStyle w:val="Compact"/>
        <w:numPr>
          <w:ilvl w:val="0"/>
          <w:numId w:val="1015"/>
        </w:numPr>
      </w:pPr>
      <w:r>
        <w:t xml:space="preserve">most-liked component;</w:t>
      </w:r>
    </w:p>
    <w:p>
      <w:pPr>
        <w:pStyle w:val="Compact"/>
        <w:numPr>
          <w:ilvl w:val="0"/>
          <w:numId w:val="1015"/>
        </w:numPr>
      </w:pPr>
      <w:r>
        <w:t xml:space="preserve">sources of frustration; and</w:t>
      </w:r>
    </w:p>
    <w:p>
      <w:pPr>
        <w:pStyle w:val="Compact"/>
        <w:numPr>
          <w:ilvl w:val="0"/>
          <w:numId w:val="1015"/>
        </w:numPr>
      </w:pPr>
      <w:r>
        <w:t xml:space="preserve">missing or expected content.</w:t>
      </w:r>
    </w:p>
    <w:p>
      <w:pPr>
        <w:pStyle w:val="FirstParagraph"/>
      </w:pPr>
      <w:r>
        <w:t xml:space="preserve">These variables measure usability, affect, and acceptance. The item</w:t>
      </w:r>
      <w:r>
        <w:t xml:space="preserve"> </w:t>
      </w:r>
      <w:r>
        <w:t xml:space="preserve">“The game mechanics helped me learn”</w:t>
      </w:r>
      <w:r>
        <w:t xml:space="preserve"> </w:t>
      </w:r>
      <w:r>
        <w:t xml:space="preserve">measures perceived learning and should not be reported as direct evidence of knowledge acquisition.</w:t>
      </w:r>
    </w:p>
    <w:p>
      <w:pPr>
        <w:pStyle w:val="BodyText"/>
      </w:pPr>
      <w:r>
        <w:t xml:space="preserve">A consistent four- or five-point response format should be used throughout the questionnaire. Rule comprehension and strategic confidence should not use the same</w:t>
      </w:r>
      <w:r>
        <w:t xml:space="preserve"> </w:t>
      </w:r>
      <w:r>
        <w:t xml:space="preserve">“agreement”</w:t>
      </w:r>
      <w:r>
        <w:t xml:space="preserve"> </w:t>
      </w:r>
      <w:r>
        <w:t xml:space="preserve">wording as attitudinal statements.</w:t>
      </w:r>
    </w:p>
    <w:bookmarkEnd w:id="44"/>
    <w:bookmarkStart w:id="45" w:name="participant-matching-and-data-protection"/>
    <w:p>
      <w:pPr>
        <w:pStyle w:val="Heading3"/>
      </w:pPr>
      <w:r>
        <w:t xml:space="preserve">6.4 Participant matching and data protection</w:t>
      </w:r>
    </w:p>
    <w:p>
      <w:pPr>
        <w:pStyle w:val="FirstParagraph"/>
      </w:pPr>
      <w:r>
        <w:t xml:space="preserve">The proposed code consisting of name initials and birth-year digits may permit re-identification in small classes. Participants should instead receive a random study code that is used on both questionnaires.</w:t>
      </w:r>
    </w:p>
    <w:p>
      <w:pPr>
        <w:pStyle w:val="BodyText"/>
      </w:pPr>
      <w:r>
        <w:t xml:space="preserve">The study protocol should specify:</w:t>
      </w:r>
    </w:p>
    <w:p>
      <w:pPr>
        <w:pStyle w:val="Compact"/>
        <w:numPr>
          <w:ilvl w:val="0"/>
          <w:numId w:val="1016"/>
        </w:numPr>
      </w:pPr>
      <w:r>
        <w:t xml:space="preserve">voluntary participation;</w:t>
      </w:r>
    </w:p>
    <w:p>
      <w:pPr>
        <w:pStyle w:val="Compact"/>
        <w:numPr>
          <w:ilvl w:val="0"/>
          <w:numId w:val="1016"/>
        </w:numPr>
      </w:pPr>
      <w:r>
        <w:t xml:space="preserve">informed consent;</w:t>
      </w:r>
    </w:p>
    <w:p>
      <w:pPr>
        <w:pStyle w:val="Compact"/>
        <w:numPr>
          <w:ilvl w:val="0"/>
          <w:numId w:val="1016"/>
        </w:numPr>
      </w:pPr>
      <w:r>
        <w:t xml:space="preserve">procedures for participants below the applicable age of consent;</w:t>
      </w:r>
    </w:p>
    <w:p>
      <w:pPr>
        <w:pStyle w:val="Compact"/>
        <w:numPr>
          <w:ilvl w:val="0"/>
          <w:numId w:val="1016"/>
        </w:numPr>
      </w:pPr>
      <w:r>
        <w:t xml:space="preserve">data minimization;</w:t>
      </w:r>
    </w:p>
    <w:p>
      <w:pPr>
        <w:pStyle w:val="Compact"/>
        <w:numPr>
          <w:ilvl w:val="0"/>
          <w:numId w:val="1016"/>
        </w:numPr>
      </w:pPr>
      <w:r>
        <w:t xml:space="preserve">storage duration;</w:t>
      </w:r>
    </w:p>
    <w:p>
      <w:pPr>
        <w:pStyle w:val="Compact"/>
        <w:numPr>
          <w:ilvl w:val="0"/>
          <w:numId w:val="1016"/>
        </w:numPr>
      </w:pPr>
      <w:r>
        <w:t xml:space="preserve">separation of study codes from participant identities;</w:t>
      </w:r>
    </w:p>
    <w:p>
      <w:pPr>
        <w:pStyle w:val="Compact"/>
        <w:numPr>
          <w:ilvl w:val="0"/>
          <w:numId w:val="1016"/>
        </w:numPr>
      </w:pPr>
      <w:r>
        <w:t xml:space="preserve">ethics approval or institutional review requirements; and</w:t>
      </w:r>
    </w:p>
    <w:p>
      <w:pPr>
        <w:pStyle w:val="Compact"/>
        <w:numPr>
          <w:ilvl w:val="0"/>
          <w:numId w:val="1016"/>
        </w:numPr>
      </w:pPr>
      <w:r>
        <w:t xml:space="preserve">whether teachers or facilitators can access individual responses.</w:t>
      </w:r>
    </w:p>
    <w:bookmarkEnd w:id="45"/>
    <w:bookmarkStart w:id="46" w:name="statistical-analysis"/>
    <w:p>
      <w:pPr>
        <w:pStyle w:val="Heading3"/>
      </w:pPr>
      <w:r>
        <w:t xml:space="preserve">6.5 Statistical analysis</w:t>
      </w:r>
    </w:p>
    <w:p>
      <w:pPr>
        <w:pStyle w:val="FirstParagraph"/>
      </w:pPr>
      <w:r>
        <w:t xml:space="preserve">For each participant, objective knowledge items should be summed into a total score. Internal consistency should be reported where the items form a sufficiently coherent scale, although a low coefficient may reflect the deliberate coverage of distinct concepts.</w:t>
      </w:r>
    </w:p>
    <w:p>
      <w:pPr>
        <w:pStyle w:val="BodyText"/>
      </w:pPr>
      <w:r>
        <w:t xml:space="preserve">For a small pilot sample, pre–post change can be analyzed using:</w:t>
      </w:r>
    </w:p>
    <w:p>
      <w:pPr>
        <w:pStyle w:val="Compact"/>
        <w:numPr>
          <w:ilvl w:val="0"/>
          <w:numId w:val="1017"/>
        </w:numPr>
      </w:pPr>
      <w:r>
        <w:t xml:space="preserve">paired differences and confidence intervals;</w:t>
      </w:r>
    </w:p>
    <w:p>
      <w:pPr>
        <w:pStyle w:val="Compact"/>
        <w:numPr>
          <w:ilvl w:val="0"/>
          <w:numId w:val="1017"/>
        </w:numPr>
      </w:pPr>
      <w:r>
        <w:t xml:space="preserve">a paired-samples test or Wilcoxon signed-rank test for the total score;</w:t>
      </w:r>
    </w:p>
    <w:p>
      <w:pPr>
        <w:pStyle w:val="Compact"/>
        <w:numPr>
          <w:ilvl w:val="0"/>
          <w:numId w:val="1017"/>
        </w:numPr>
      </w:pPr>
      <w:r>
        <w:t xml:space="preserve">McNemar tests for individual binary knowledge items; and</w:t>
      </w:r>
    </w:p>
    <w:p>
      <w:pPr>
        <w:pStyle w:val="Compact"/>
        <w:numPr>
          <w:ilvl w:val="0"/>
          <w:numId w:val="1017"/>
        </w:numPr>
      </w:pPr>
      <w:r>
        <w:t xml:space="preserve">an effect size for the overall change.</w:t>
      </w:r>
    </w:p>
    <w:p>
      <w:pPr>
        <w:pStyle w:val="FirstParagraph"/>
      </w:pPr>
      <w:r>
        <w:t xml:space="preserve">For larger samples across multiple sessions, a mixed-effects model is preferable:</w:t>
      </w:r>
    </w:p>
    <w:p>
      <w:pPr>
        <w:pStyle w:val="BodyText"/>
      </w:pPr>
      <w:r>
        <w:t xml:space="preserve">[</w:t>
      </w:r>
      <w:r>
        <w:t xml:space="preserve"> </w:t>
      </w:r>
      <w:r>
        <w:t xml:space="preserve">Knowledge_{it}</w:t>
      </w:r>
      <w:r>
        <w:t xml:space="preserve"> </w:t>
      </w:r>
      <w:r>
        <w:t xml:space="preserve">=</w:t>
      </w:r>
      <w:r>
        <w:t xml:space="preserve"> </w:t>
      </w:r>
      <w:r>
        <w:t xml:space="preserve">_0</w:t>
      </w:r>
    </w:p>
    <w:p>
      <w:pPr>
        <w:numPr>
          <w:ilvl w:val="0"/>
          <w:numId w:val="1018"/>
        </w:numPr>
      </w:pPr>
      <w:r>
        <w:t xml:space="preserve">_1 Post_t</w:t>
      </w:r>
    </w:p>
    <w:p>
      <w:pPr>
        <w:numPr>
          <w:ilvl w:val="0"/>
          <w:numId w:val="1018"/>
        </w:numPr>
      </w:pPr>
      <w:r>
        <w:t xml:space="preserve">_2 PriorKnowledge_i</w:t>
      </w:r>
    </w:p>
    <w:p>
      <w:pPr>
        <w:numPr>
          <w:ilvl w:val="0"/>
          <w:numId w:val="1018"/>
        </w:numPr>
      </w:pPr>
      <w:r>
        <w:t xml:space="preserve">u_{</w:t>
      </w:r>
      <w:r>
        <w:t xml:space="preserve">}</w:t>
      </w:r>
    </w:p>
    <w:p>
      <w:pPr>
        <w:numPr>
          <w:ilvl w:val="0"/>
          <w:numId w:val="1018"/>
        </w:numPr>
      </w:pPr>
      <w:r>
        <w:t xml:space="preserve">u_{</w:t>
      </w:r>
      <w:r>
        <w:t xml:space="preserve">}</w:t>
      </w:r>
    </w:p>
    <w:p>
      <w:pPr>
        <w:numPr>
          <w:ilvl w:val="0"/>
          <w:numId w:val="1018"/>
        </w:numPr>
      </w:pPr>
      <w:r>
        <w:t xml:space="preserve">_{it}</w:t>
      </w:r>
      <w:r>
        <w:t xml:space="preserve"> </w:t>
      </w:r>
      <w:r>
        <w:t xml:space="preserve">]</w:t>
      </w:r>
    </w:p>
    <w:p>
      <w:pPr>
        <w:pStyle w:val="FirstParagraph"/>
      </w:pPr>
      <w:r>
        <w:t xml:space="preserve">where (Post_t) indicates the post-game assessment and the random effects account for participants being clustered within sessions and game tables.</w:t>
      </w:r>
    </w:p>
    <w:p>
      <w:pPr>
        <w:pStyle w:val="BodyText"/>
      </w:pPr>
      <w:r>
        <w:t xml:space="preserve">Exploratory analyses may test whether learning gain is associated with:</w:t>
      </w:r>
    </w:p>
    <w:p>
      <w:pPr>
        <w:pStyle w:val="Compact"/>
        <w:numPr>
          <w:ilvl w:val="0"/>
          <w:numId w:val="1019"/>
        </w:numPr>
      </w:pPr>
      <w:r>
        <w:t xml:space="preserve">final game score;</w:t>
      </w:r>
    </w:p>
    <w:p>
      <w:pPr>
        <w:pStyle w:val="Compact"/>
        <w:numPr>
          <w:ilvl w:val="0"/>
          <w:numId w:val="1019"/>
        </w:numPr>
      </w:pPr>
      <w:r>
        <w:t xml:space="preserve">number of completed rounds;</w:t>
      </w:r>
    </w:p>
    <w:p>
      <w:pPr>
        <w:pStyle w:val="Compact"/>
        <w:numPr>
          <w:ilvl w:val="0"/>
          <w:numId w:val="1019"/>
        </w:numPr>
      </w:pPr>
      <w:r>
        <w:t xml:space="preserve">prior knowledge;</w:t>
      </w:r>
    </w:p>
    <w:p>
      <w:pPr>
        <w:pStyle w:val="Compact"/>
        <w:numPr>
          <w:ilvl w:val="0"/>
          <w:numId w:val="1019"/>
        </w:numPr>
      </w:pPr>
      <w:r>
        <w:t xml:space="preserve">rule confidence;</w:t>
      </w:r>
    </w:p>
    <w:p>
      <w:pPr>
        <w:pStyle w:val="Compact"/>
        <w:numPr>
          <w:ilvl w:val="0"/>
          <w:numId w:val="1019"/>
        </w:numPr>
      </w:pPr>
      <w:r>
        <w:t xml:space="preserve">strategic confidence; and</w:t>
      </w:r>
    </w:p>
    <w:p>
      <w:pPr>
        <w:pStyle w:val="Compact"/>
        <w:numPr>
          <w:ilvl w:val="0"/>
          <w:numId w:val="1019"/>
        </w:numPr>
      </w:pPr>
      <w:r>
        <w:t xml:space="preserve">session duration.</w:t>
      </w:r>
    </w:p>
    <w:p>
      <w:pPr>
        <w:pStyle w:val="FirstParagraph"/>
      </w:pPr>
      <w:r>
        <w:t xml:space="preserve">A relationship between game score and learning should not be assumed. Score may be influenced by card order, group decision-making, or prior gaming experience.</w:t>
      </w:r>
    </w:p>
    <w:p>
      <w:pPr>
        <w:pStyle w:val="BodyText"/>
      </w:pPr>
      <w:r>
        <w:t xml:space="preserve">Open-text responses should be coded thematically. At minimum, the analysis should distinguish comments concerning learning, strategy, rules, complexity, balancing, visual design, social interaction, and missing content. A subset should be independently coded by a second researcher if qualitative findings form a substantial part of the paper.</w:t>
      </w:r>
    </w:p>
    <w:p>
      <w:r>
        <w:pict>
          <v:rect style="width:0;height:1.5pt" o:hralign="center" o:hrstd="t" o:hr="t"/>
        </w:pict>
      </w:r>
    </w:p>
    <w:bookmarkEnd w:id="46"/>
    <w:bookmarkEnd w:id="47"/>
    <w:bookmarkStart w:id="54" w:name="results"/>
    <w:p>
      <w:pPr>
        <w:pStyle w:val="Heading2"/>
      </w:pPr>
      <w:r>
        <w:t xml:space="preserve">7. Results</w:t>
      </w:r>
    </w:p>
    <w:bookmarkStart w:id="48" w:name="model-and-content-validation-results"/>
    <w:p>
      <w:pPr>
        <w:pStyle w:val="Heading3"/>
      </w:pPr>
      <w:r>
        <w:t xml:space="preserve">7.1 Model and content-validation results</w:t>
      </w:r>
    </w:p>
    <w:p>
      <w:pPr>
        <w:pStyle w:val="FirstParagraph"/>
      </w:pPr>
      <w:r>
        <w:t xml:space="preserve">Report:</w:t>
      </w:r>
    </w:p>
    <w:p>
      <w:pPr>
        <w:pStyle w:val="Compact"/>
        <w:numPr>
          <w:ilvl w:val="0"/>
          <w:numId w:val="1020"/>
        </w:numPr>
      </w:pPr>
      <w:r>
        <w:t xml:space="preserve">number and disciplinary background of experts;</w:t>
      </w:r>
    </w:p>
    <w:p>
      <w:pPr>
        <w:pStyle w:val="Compact"/>
        <w:numPr>
          <w:ilvl w:val="0"/>
          <w:numId w:val="1020"/>
        </w:numPr>
      </w:pPr>
      <w:r>
        <w:t xml:space="preserve">number of measure effects accepted or revised;</w:t>
      </w:r>
    </w:p>
    <w:p>
      <w:pPr>
        <w:pStyle w:val="Compact"/>
        <w:numPr>
          <w:ilvl w:val="0"/>
          <w:numId w:val="1020"/>
        </w:numPr>
      </w:pPr>
      <w:r>
        <w:t xml:space="preserve">principal disagreements;</w:t>
      </w:r>
    </w:p>
    <w:p>
      <w:pPr>
        <w:pStyle w:val="Compact"/>
        <w:numPr>
          <w:ilvl w:val="0"/>
          <w:numId w:val="1020"/>
        </w:numPr>
      </w:pPr>
      <w:r>
        <w:t xml:space="preserve">changes made to the model;</w:t>
      </w:r>
    </w:p>
    <w:p>
      <w:pPr>
        <w:pStyle w:val="Compact"/>
        <w:numPr>
          <w:ilvl w:val="0"/>
          <w:numId w:val="1020"/>
        </w:numPr>
      </w:pPr>
      <w:r>
        <w:t xml:space="preserve">final scaling parameters; and</w:t>
      </w:r>
    </w:p>
    <w:p>
      <w:pPr>
        <w:pStyle w:val="Compact"/>
        <w:numPr>
          <w:ilvl w:val="0"/>
          <w:numId w:val="1020"/>
        </w:numPr>
      </w:pPr>
      <w:r>
        <w:t xml:space="preserve">remaining areas of uncertainty.</w:t>
      </w:r>
    </w:p>
    <w:p>
      <w:pPr>
        <w:pStyle w:val="FirstParagraph"/>
      </w:pPr>
      <w:r>
        <w:t xml:space="preserve">Suggested opening:</w:t>
      </w:r>
    </w:p>
    <w:p>
      <w:pPr>
        <w:pStyle w:val="BlockText"/>
      </w:pPr>
      <w:r>
        <w:t xml:space="preserve">Expert review confirmed the relevance of the nine measure categories and the direction of most energy-state relationships. Revisions focused primarily on [COST CALIBRATION], [HEATING-SYSTEM EFFECT], and [EMBODIED-EMISSION ASSUMPTION]. The reviewers considered the model suitable for introductory education provided that the values were presented as representative mappings rather than building-specific predictions.</w:t>
      </w:r>
    </w:p>
    <w:bookmarkEnd w:id="48"/>
    <w:bookmarkStart w:id="49" w:name="computational-results"/>
    <w:p>
      <w:pPr>
        <w:pStyle w:val="Heading3"/>
      </w:pPr>
      <w:r>
        <w:t xml:space="preserve">7.2 Computational results</w:t>
      </w:r>
    </w:p>
    <w:p>
      <w:pPr>
        <w:pStyle w:val="FirstParagraph"/>
      </w:pPr>
      <w:r>
        <w:t xml:space="preserve">Report the outcome distributions for all simulated strategies. Useful figures include:</w:t>
      </w:r>
    </w:p>
    <w:p>
      <w:pPr>
        <w:pStyle w:val="Compact"/>
        <w:numPr>
          <w:ilvl w:val="0"/>
          <w:numId w:val="1021"/>
        </w:numPr>
      </w:pPr>
      <w:r>
        <w:t xml:space="preserve">final score distribution by policy;</w:t>
      </w:r>
    </w:p>
    <w:p>
      <w:pPr>
        <w:pStyle w:val="Compact"/>
        <w:numPr>
          <w:ilvl w:val="0"/>
          <w:numId w:val="1021"/>
        </w:numPr>
      </w:pPr>
      <w:r>
        <w:t xml:space="preserve">final score against total investment;</w:t>
      </w:r>
    </w:p>
    <w:p>
      <w:pPr>
        <w:pStyle w:val="Compact"/>
        <w:numPr>
          <w:ilvl w:val="0"/>
          <w:numId w:val="1021"/>
        </w:numPr>
      </w:pPr>
      <w:r>
        <w:t xml:space="preserve">measure-selection frequency among the top-performing games;</w:t>
      </w:r>
    </w:p>
    <w:p>
      <w:pPr>
        <w:pStyle w:val="Compact"/>
        <w:numPr>
          <w:ilvl w:val="0"/>
          <w:numId w:val="1021"/>
        </w:numPr>
      </w:pPr>
      <w:r>
        <w:t xml:space="preserve">marginal score contribution by measure and round;</w:t>
      </w:r>
    </w:p>
    <w:p>
      <w:pPr>
        <w:pStyle w:val="Compact"/>
        <w:numPr>
          <w:ilvl w:val="0"/>
          <w:numId w:val="1021"/>
        </w:numPr>
      </w:pPr>
      <w:r>
        <w:t xml:space="preserve">category effects by round;</w:t>
      </w:r>
    </w:p>
    <w:p>
      <w:pPr>
        <w:pStyle w:val="Compact"/>
        <w:numPr>
          <w:ilvl w:val="0"/>
          <w:numId w:val="1021"/>
        </w:numPr>
      </w:pPr>
      <w:r>
        <w:t xml:space="preserve">frequency of major technology combinations; and</w:t>
      </w:r>
    </w:p>
    <w:p>
      <w:pPr>
        <w:pStyle w:val="Compact"/>
        <w:numPr>
          <w:ilvl w:val="0"/>
          <w:numId w:val="1021"/>
        </w:numPr>
      </w:pPr>
      <w:r>
        <w:t xml:space="preserve">sensitivity to grid factors, card costs, and initial building state.</w:t>
      </w:r>
    </w:p>
    <w:p>
      <w:pPr>
        <w:pStyle w:val="FirstParagraph"/>
      </w:pPr>
      <w:r>
        <w:t xml:space="preserve">A strong result would show that high-performing games use coherent combinations rather than simply selecting the individually strongest cards.</w:t>
      </w:r>
    </w:p>
    <w:bookmarkEnd w:id="49"/>
    <w:bookmarkStart w:id="50" w:name="participant-characteristics"/>
    <w:p>
      <w:pPr>
        <w:pStyle w:val="Heading3"/>
      </w:pPr>
      <w:r>
        <w:t xml:space="preserve">7.3 Participant characteristics</w:t>
      </w:r>
    </w:p>
    <w:p>
      <w:pPr>
        <w:pStyle w:val="FirstParagraph"/>
      </w:pPr>
      <w:r>
        <w:t xml:space="preserve">Report:</w:t>
      </w:r>
    </w:p>
    <w:p>
      <w:pPr>
        <w:pStyle w:val="Compact"/>
        <w:numPr>
          <w:ilvl w:val="0"/>
          <w:numId w:val="1022"/>
        </w:numPr>
      </w:pPr>
      <w:r>
        <w:t xml:space="preserve">total sample;</w:t>
      </w:r>
    </w:p>
    <w:p>
      <w:pPr>
        <w:pStyle w:val="Compact"/>
        <w:numPr>
          <w:ilvl w:val="0"/>
          <w:numId w:val="1022"/>
        </w:numPr>
      </w:pPr>
      <w:r>
        <w:t xml:space="preserve">age group;</w:t>
      </w:r>
    </w:p>
    <w:p>
      <w:pPr>
        <w:pStyle w:val="Compact"/>
        <w:numPr>
          <w:ilvl w:val="0"/>
          <w:numId w:val="1022"/>
        </w:numPr>
      </w:pPr>
      <w:r>
        <w:t xml:space="preserve">educational background;</w:t>
      </w:r>
    </w:p>
    <w:p>
      <w:pPr>
        <w:pStyle w:val="Compact"/>
        <w:numPr>
          <w:ilvl w:val="0"/>
          <w:numId w:val="1022"/>
        </w:numPr>
      </w:pPr>
      <w:r>
        <w:t xml:space="preserve">prior building-energy knowledge;</w:t>
      </w:r>
    </w:p>
    <w:p>
      <w:pPr>
        <w:pStyle w:val="Compact"/>
        <w:numPr>
          <w:ilvl w:val="0"/>
          <w:numId w:val="1022"/>
        </w:numPr>
      </w:pPr>
      <w:r>
        <w:t xml:space="preserve">game format and duration;</w:t>
      </w:r>
    </w:p>
    <w:p>
      <w:pPr>
        <w:pStyle w:val="Compact"/>
        <w:numPr>
          <w:ilvl w:val="0"/>
          <w:numId w:val="1022"/>
        </w:numPr>
      </w:pPr>
      <w:r>
        <w:t xml:space="preserve">group size;</w:t>
      </w:r>
    </w:p>
    <w:p>
      <w:pPr>
        <w:pStyle w:val="Compact"/>
        <w:numPr>
          <w:ilvl w:val="0"/>
          <w:numId w:val="1022"/>
        </w:numPr>
      </w:pPr>
      <w:r>
        <w:t xml:space="preserve">number of sessions; and</w:t>
      </w:r>
    </w:p>
    <w:p>
      <w:pPr>
        <w:pStyle w:val="Compact"/>
        <w:numPr>
          <w:ilvl w:val="0"/>
          <w:numId w:val="1022"/>
        </w:numPr>
      </w:pPr>
      <w:r>
        <w:t xml:space="preserve">missing or unmatched questionnaires.</w:t>
      </w:r>
    </w:p>
    <w:bookmarkEnd w:id="50"/>
    <w:bookmarkStart w:id="51" w:name="learning-outcomes"/>
    <w:p>
      <w:pPr>
        <w:pStyle w:val="Heading3"/>
      </w:pPr>
      <w:r>
        <w:t xml:space="preserve">7.4 Learning outcomes</w:t>
      </w:r>
    </w:p>
    <w:p>
      <w:pPr>
        <w:pStyle w:val="FirstParagraph"/>
      </w:pPr>
      <w:r>
        <w:t xml:space="preserve">Suggested results structure:</w:t>
      </w:r>
    </w:p>
    <w:p>
      <w:pPr>
        <w:pStyle w:val="BlockText"/>
      </w:pPr>
      <w:r>
        <w:t xml:space="preserve">The mean objective knowledge score increased from [PRE] to [POST], corresponding to a paired difference of [DIFFERENCE] points and an effect size of [EFFECT]. The greatest improvements concerned [CONCEPTS], while little change was observed for [CONCEPTS]. [NUMBER]% of participants correctly identified the interaction between heat-pump efficiency and low-temperature heat distribution after playing, compared with [NUMBER]% before playing.</w:t>
      </w:r>
    </w:p>
    <w:p>
      <w:pPr>
        <w:pStyle w:val="FirstParagraph"/>
      </w:pPr>
      <w:r>
        <w:t xml:space="preserve">Avoid describing changes in self-reported knowledge as proof of learning.</w:t>
      </w:r>
    </w:p>
    <w:bookmarkEnd w:id="51"/>
    <w:bookmarkStart w:id="52" w:name="usability-and-player-experience"/>
    <w:p>
      <w:pPr>
        <w:pStyle w:val="Heading3"/>
      </w:pPr>
      <w:r>
        <w:t xml:space="preserve">7.5 Usability and player experience</w:t>
      </w:r>
    </w:p>
    <w:p>
      <w:pPr>
        <w:pStyle w:val="FirstParagraph"/>
      </w:pPr>
      <w:r>
        <w:t xml:space="preserve">Report rule comprehension, strategy confidence, enjoyment, replay intention, and perceived learning separately.</w:t>
      </w:r>
    </w:p>
    <w:p>
      <w:pPr>
        <w:pStyle w:val="BodyText"/>
      </w:pPr>
      <w:r>
        <w:t xml:space="preserve">Suggested wording:</w:t>
      </w:r>
    </w:p>
    <w:p>
      <w:pPr>
        <w:pStyle w:val="BlockText"/>
      </w:pPr>
      <w:r>
        <w:t xml:space="preserve">Most participants reported that the rules were understandable after the initial round, although [NUMBER]% remained uncertain about [SPECIFIC RULE]. Enjoyment ratings were generally positive, but open-text feedback identified [ARITHMETIC / DOWNTIME / CARD WORDING / RANDOMNESS] as the most frequent source of frustration.</w:t>
      </w:r>
    </w:p>
    <w:bookmarkEnd w:id="52"/>
    <w:bookmarkStart w:id="53" w:name="qualitative-findings"/>
    <w:p>
      <w:pPr>
        <w:pStyle w:val="Heading3"/>
      </w:pPr>
      <w:r>
        <w:t xml:space="preserve">7.6 Qualitative findings</w:t>
      </w:r>
    </w:p>
    <w:p>
      <w:pPr>
        <w:pStyle w:val="FirstParagraph"/>
      </w:pPr>
      <w:r>
        <w:t xml:space="preserve">Organize comments into a small number of themes and provide brief representative excerpts. Themes may include:</w:t>
      </w:r>
    </w:p>
    <w:p>
      <w:pPr>
        <w:pStyle w:val="Compact"/>
        <w:numPr>
          <w:ilvl w:val="0"/>
          <w:numId w:val="1023"/>
        </w:numPr>
      </w:pPr>
      <w:r>
        <w:t xml:space="preserve">discovery of technology interactions;</w:t>
      </w:r>
    </w:p>
    <w:p>
      <w:pPr>
        <w:pStyle w:val="Compact"/>
        <w:numPr>
          <w:ilvl w:val="0"/>
          <w:numId w:val="1023"/>
        </w:numPr>
      </w:pPr>
      <w:r>
        <w:t xml:space="preserve">perceived realism;</w:t>
      </w:r>
    </w:p>
    <w:p>
      <w:pPr>
        <w:pStyle w:val="Compact"/>
        <w:numPr>
          <w:ilvl w:val="0"/>
          <w:numId w:val="1023"/>
        </w:numPr>
      </w:pPr>
      <w:r>
        <w:t xml:space="preserve">strategic choice;</w:t>
      </w:r>
    </w:p>
    <w:p>
      <w:pPr>
        <w:pStyle w:val="Compact"/>
        <w:numPr>
          <w:ilvl w:val="0"/>
          <w:numId w:val="1023"/>
        </w:numPr>
      </w:pPr>
      <w:r>
        <w:t xml:space="preserve">competition or collaboration;</w:t>
      </w:r>
    </w:p>
    <w:p>
      <w:pPr>
        <w:pStyle w:val="Compact"/>
        <w:numPr>
          <w:ilvl w:val="0"/>
          <w:numId w:val="1023"/>
        </w:numPr>
      </w:pPr>
      <w:r>
        <w:t xml:space="preserve">information overload;</w:t>
      </w:r>
    </w:p>
    <w:p>
      <w:pPr>
        <w:pStyle w:val="Compact"/>
        <w:numPr>
          <w:ilvl w:val="0"/>
          <w:numId w:val="1023"/>
        </w:numPr>
      </w:pPr>
      <w:r>
        <w:t xml:space="preserve">rule ambiguity;</w:t>
      </w:r>
    </w:p>
    <w:p>
      <w:pPr>
        <w:pStyle w:val="Compact"/>
        <w:numPr>
          <w:ilvl w:val="0"/>
          <w:numId w:val="1023"/>
        </w:numPr>
      </w:pPr>
      <w:r>
        <w:t xml:space="preserve">frustration with card availability; and</w:t>
      </w:r>
    </w:p>
    <w:p>
      <w:pPr>
        <w:pStyle w:val="Compact"/>
        <w:numPr>
          <w:ilvl w:val="0"/>
          <w:numId w:val="1023"/>
        </w:numPr>
      </w:pPr>
      <w:r>
        <w:t xml:space="preserve">requests for additional measures or building types.</w:t>
      </w:r>
    </w:p>
    <w:p>
      <w:r>
        <w:pict>
          <v:rect style="width:0;height:1.5pt" o:hralign="center" o:hrstd="t" o:hr="t"/>
        </w:pict>
      </w:r>
    </w:p>
    <w:bookmarkEnd w:id="53"/>
    <w:bookmarkEnd w:id="54"/>
    <w:bookmarkStart w:id="59" w:name="discussion"/>
    <w:p>
      <w:pPr>
        <w:pStyle w:val="Heading2"/>
      </w:pPr>
      <w:r>
        <w:t xml:space="preserve">8. Discussion</w:t>
      </w:r>
    </w:p>
    <w:bookmarkStart w:id="55" w:name="Xe556d6a34076d4f6a08c7204928418768a900e5"/>
    <w:p>
      <w:pPr>
        <w:pStyle w:val="Heading3"/>
      </w:pPr>
      <w:r>
        <w:t xml:space="preserve">8.1 Representation of renovation as a playable system</w:t>
      </w:r>
    </w:p>
    <w:p>
      <w:pPr>
        <w:pStyle w:val="FirstParagraph"/>
      </w:pPr>
      <w:r>
        <w:t xml:space="preserve">The game translates building renovation into a bounded state model rather than reproducing a detailed building simulation. Its educational value therefore depends less on numerical precision at individual card level than on whether the relationships players encounter are scientifically defensible.</w:t>
      </w:r>
    </w:p>
    <w:p>
      <w:pPr>
        <w:pStyle w:val="BodyText"/>
      </w:pPr>
      <w:r>
        <w:t xml:space="preserve">The strongest aspect of the design is the integration of multiple state dimensions. Envelope renovation changes thermal demand but may cause immediate emissions. Heat-pump performance depends on both the source technology and heat distribution. Photovoltaics, batteries, and flexible demand alter different parts of the electricity balance. Amenities may improve satisfaction while using funds, electricity, or embodied carbon.</w:t>
      </w:r>
    </w:p>
    <w:p>
      <w:pPr>
        <w:pStyle w:val="BodyText"/>
      </w:pPr>
      <w:r>
        <w:t xml:space="preserve">These mechanics make it possible for players to encounter renovation as a sequence of interacting decisions rather than a catalogue of independent technologies.</w:t>
      </w:r>
    </w:p>
    <w:bookmarkEnd w:id="55"/>
    <w:bookmarkStart w:id="56" w:name="educational-alignment"/>
    <w:p>
      <w:pPr>
        <w:pStyle w:val="Heading3"/>
      </w:pPr>
      <w:r>
        <w:t xml:space="preserve">8.2 Educational alignment</w:t>
      </w:r>
    </w:p>
    <w:p>
      <w:pPr>
        <w:pStyle w:val="FirstParagraph"/>
      </w:pPr>
      <w:r>
        <w:t xml:space="preserve">The game follows constructive-alignment principles when the intended concepts are necessary for successful play and are measured directly in the assessment. The heat-pump example demonstrates this relationship: the learning objective concerns technology interaction; the mechanic requires combined efficiency improvements; the gameplay consequence affects electricity demand and emissions; and the assessment asks participants to apply the same relationship in a new scenario.</w:t>
      </w:r>
    </w:p>
    <w:p>
      <w:pPr>
        <w:pStyle w:val="BodyText"/>
      </w:pPr>
      <w:r>
        <w:t xml:space="preserve">The same alignment is weaker for concepts that appear only in card descriptions. Such content may be read but is not necessarily processed or retained. Future versions should identify which learning outcomes are mechanized, which are communicated through text, and which depend on facilitator debriefing.</w:t>
      </w:r>
    </w:p>
    <w:bookmarkEnd w:id="56"/>
    <w:bookmarkStart w:id="57" w:name="role-of-debriefing"/>
    <w:p>
      <w:pPr>
        <w:pStyle w:val="Heading3"/>
      </w:pPr>
      <w:r>
        <w:t xml:space="preserve">8.3 Role of debriefing</w:t>
      </w:r>
    </w:p>
    <w:p>
      <w:pPr>
        <w:pStyle w:val="FirstParagraph"/>
      </w:pPr>
      <w:r>
        <w:t xml:space="preserve">The game itself provides numerical and strategic feedback, but not every simplified relationship is self-explanatory. A structured debriefing is likely to be important for translating game events into real-building interpretation.</w:t>
      </w:r>
    </w:p>
    <w:p>
      <w:pPr>
        <w:pStyle w:val="BodyText"/>
      </w:pPr>
      <w:r>
        <w:t xml:space="preserve">The debriefing should address:</w:t>
      </w:r>
    </w:p>
    <w:p>
      <w:pPr>
        <w:pStyle w:val="Compact"/>
        <w:numPr>
          <w:ilvl w:val="0"/>
          <w:numId w:val="1024"/>
        </w:numPr>
      </w:pPr>
      <w:r>
        <w:t xml:space="preserve">why the winning strategy performed well;</w:t>
      </w:r>
    </w:p>
    <w:p>
      <w:pPr>
        <w:pStyle w:val="Compact"/>
        <w:numPr>
          <w:ilvl w:val="0"/>
          <w:numId w:val="1024"/>
        </w:numPr>
      </w:pPr>
      <w:r>
        <w:t xml:space="preserve">which results were specific to the model assumptions;</w:t>
      </w:r>
    </w:p>
    <w:p>
      <w:pPr>
        <w:pStyle w:val="Compact"/>
        <w:numPr>
          <w:ilvl w:val="0"/>
          <w:numId w:val="1024"/>
        </w:numPr>
      </w:pPr>
      <w:r>
        <w:t xml:space="preserve">where real projects would require more detailed analysis;</w:t>
      </w:r>
    </w:p>
    <w:p>
      <w:pPr>
        <w:pStyle w:val="Compact"/>
        <w:numPr>
          <w:ilvl w:val="0"/>
          <w:numId w:val="1024"/>
        </w:numPr>
      </w:pPr>
      <w:r>
        <w:t xml:space="preserve">how embodied and operational emissions were represented;</w:t>
      </w:r>
    </w:p>
    <w:p>
      <w:pPr>
        <w:pStyle w:val="Compact"/>
        <w:numPr>
          <w:ilvl w:val="0"/>
          <w:numId w:val="1024"/>
        </w:numPr>
      </w:pPr>
      <w:r>
        <w:t xml:space="preserve">why costs and satisfaction were simplified; and</w:t>
      </w:r>
    </w:p>
    <w:p>
      <w:pPr>
        <w:pStyle w:val="Compact"/>
        <w:numPr>
          <w:ilvl w:val="0"/>
          <w:numId w:val="1024"/>
        </w:numPr>
      </w:pPr>
      <w:r>
        <w:t xml:space="preserve">whether alternative initial buildings would change the preferred strategy.</w:t>
      </w:r>
    </w:p>
    <w:p>
      <w:pPr>
        <w:pStyle w:val="FirstParagraph"/>
      </w:pPr>
      <w:r>
        <w:t xml:space="preserve">The empirical study should record whether a debriefing was provided and how long it lasted.</w:t>
      </w:r>
    </w:p>
    <w:bookmarkEnd w:id="57"/>
    <w:bookmarkStart w:id="58" w:name="interpretation-of-empirical-evidence"/>
    <w:p>
      <w:pPr>
        <w:pStyle w:val="Heading3"/>
      </w:pPr>
      <w:r>
        <w:t xml:space="preserve">8.4 Interpretation of empirical evidence</w:t>
      </w:r>
    </w:p>
    <w:p>
      <w:pPr>
        <w:pStyle w:val="FirstParagraph"/>
      </w:pPr>
      <w:r>
        <w:t xml:space="preserve">A pre–post improvement would provide evidence that participants learned during the complete intervention, including rule explanation, gameplay, peer discussion, facilitator support, and debriefing. It would not isolate the effect of the board mechanics alone.</w:t>
      </w:r>
    </w:p>
    <w:p>
      <w:pPr>
        <w:pStyle w:val="BodyText"/>
      </w:pPr>
      <w:r>
        <w:t xml:space="preserve">Enjoyment and replay intention are relevant because voluntary engagement and repeated play may increase exposure to the content. They should nevertheless remain secondary to objective knowledge outcomes. Previous research similarly stresses that engaging game characteristics must be paired with instructional content and appropriate assessment.</w:t>
      </w:r>
    </w:p>
    <w:p>
      <w:r>
        <w:pict>
          <v:rect style="width:0;height:1.5pt" o:hralign="center" o:hrstd="t" o:hr="t"/>
        </w:pict>
      </w:r>
    </w:p>
    <w:bookmarkEnd w:id="58"/>
    <w:bookmarkEnd w:id="59"/>
    <w:bookmarkStart w:id="60" w:name="limitations"/>
    <w:p>
      <w:pPr>
        <w:pStyle w:val="Heading2"/>
      </w:pPr>
      <w:r>
        <w:t xml:space="preserve">9. Limitations</w:t>
      </w:r>
    </w:p>
    <w:p>
      <w:pPr>
        <w:pStyle w:val="FirstParagraph"/>
      </w:pPr>
      <w:r>
        <w:t xml:space="preserve">The game and study have several limitations.</w:t>
      </w:r>
    </w:p>
    <w:p>
      <w:pPr>
        <w:pStyle w:val="BodyText"/>
      </w:pPr>
      <w:r>
        <w:t xml:space="preserve">First, the physical model is discrete and intentionally simplified. It omits climate variation, building geometry, hourly load profiles, thermal mass, detailed self-consumption calculation, installation constraints, rebound effects, maintenance, and uncertainty.</w:t>
      </w:r>
    </w:p>
    <w:p>
      <w:pPr>
        <w:pStyle w:val="BodyText"/>
      </w:pPr>
      <w:r>
        <w:t xml:space="preserve">Second, measure values represent a nominal building. The effect of photovoltaics, insulation, or heating replacement can differ substantially between actual buildings.</w:t>
      </w:r>
    </w:p>
    <w:p>
      <w:pPr>
        <w:pStyle w:val="BodyText"/>
      </w:pPr>
      <w:r>
        <w:t xml:space="preserve">Third, investment costs are currently relative game values rather than validated card-level cost estimates. The nominal euro conversion should therefore not be used to infer project budgets.</w:t>
      </w:r>
    </w:p>
    <w:p>
      <w:pPr>
        <w:pStyle w:val="BodyText"/>
      </w:pPr>
      <w:r>
        <w:t xml:space="preserve">Fourth, the grid-decarbonization pathway is a scenario assumption. Other electricity-system trajectories may change the ranking and timing of measures.</w:t>
      </w:r>
    </w:p>
    <w:p>
      <w:pPr>
        <w:pStyle w:val="BodyText"/>
      </w:pPr>
      <w:r>
        <w:t xml:space="preserve">Fifth, satisfaction is aggregated into one state and cannot capture differences between owners, tenants, vulnerable households, or other stakeholders.</w:t>
      </w:r>
    </w:p>
    <w:p>
      <w:pPr>
        <w:pStyle w:val="BodyText"/>
      </w:pPr>
      <w:r>
        <w:t xml:space="preserve">Sixth, player performance may depend on card availability and group interaction as well as technical understanding.</w:t>
      </w:r>
    </w:p>
    <w:p>
      <w:pPr>
        <w:pStyle w:val="BodyText"/>
      </w:pPr>
      <w:r>
        <w:t xml:space="preserve">Seventh, a one-group pre–post pilot cannot rule out testing effects, facilitator effects, or learning from accompanying explanations.</w:t>
      </w:r>
    </w:p>
    <w:p>
      <w:pPr>
        <w:pStyle w:val="BodyText"/>
      </w:pPr>
      <w:r>
        <w:t xml:space="preserve">Finally, immediate post-game learning does not demonstrate long-term retention or transfer to real renovation decisions. A delayed follow-up assessment would strengthen the evaluation.</w:t>
      </w:r>
    </w:p>
    <w:p>
      <w:r>
        <w:pict>
          <v:rect style="width:0;height:1.5pt" o:hralign="center" o:hrstd="t" o:hr="t"/>
        </w:pict>
      </w:r>
    </w:p>
    <w:bookmarkEnd w:id="60"/>
    <w:bookmarkStart w:id="61" w:name="conclusion"/>
    <w:p>
      <w:pPr>
        <w:pStyle w:val="Heading2"/>
      </w:pPr>
      <w:r>
        <w:t xml:space="preserve">10. Conclusion</w:t>
      </w:r>
    </w:p>
    <w:p>
      <w:pPr>
        <w:pStyle w:val="FirstParagraph"/>
      </w:pPr>
      <w:r>
        <w:rPr>
          <w:i/>
          <w:iCs/>
        </w:rPr>
        <w:t xml:space="preserve">The Renovation Game</w:t>
      </w:r>
      <w:r>
        <w:t xml:space="preserve"> </w:t>
      </w:r>
      <w:r>
        <w:t xml:space="preserve">represents building renovation as a serious tabletop simulation in which energy demand, heating technology, renewable generation, flexibility, costs, satisfaction, and greenhouse-gas emissions are causally linked through the rules of play.</w:t>
      </w:r>
    </w:p>
    <w:p>
      <w:pPr>
        <w:pStyle w:val="BodyText"/>
      </w:pPr>
      <w:r>
        <w:t xml:space="preserve">The design does not attempt to replace engineering calculation. Its purpose is to preserve selected relationships that are central to understanding renovation pathways and to make those relationships available for repeated, consequence-based decision-making.</w:t>
      </w:r>
    </w:p>
    <w:p>
      <w:pPr>
        <w:pStyle w:val="BodyText"/>
      </w:pPr>
      <w:r>
        <w:t xml:space="preserve">The study proposes a validation framework that separates engineering-model credibility, gameplay behavior, and educational effectiveness. This distinction is necessary because a technically plausible game may be unplayable, an engaging game may teach incorrect relationships, and positive participant feedback may occur without measurable learning.</w:t>
      </w:r>
    </w:p>
    <w:p>
      <w:pPr>
        <w:pStyle w:val="BodyText"/>
      </w:pPr>
      <w:r>
        <w:t xml:space="preserve">The empirical findings [INSERT FINAL CONCLUSION BASED ON RESULTS]. Future work should evaluate alternative building archetypes, longer-term knowledge retention, controlled comparison conditions, and the transfer of game-based understanding to simplified real-world renovation tasks.</w:t>
      </w:r>
    </w:p>
    <w:p>
      <w:r>
        <w:pict>
          <v:rect style="width:0;height:1.5pt" o:hralign="center" o:hrstd="t" o:hr="t"/>
        </w:pict>
      </w:r>
    </w:p>
    <w:bookmarkEnd w:id="61"/>
    <w:bookmarkStart w:id="62" w:name="references"/>
    <w:p>
      <w:pPr>
        <w:pStyle w:val="Heading2"/>
      </w:pPr>
      <w:r>
        <w:t xml:space="preserve">References</w:t>
      </w:r>
    </w:p>
    <w:p>
      <w:pPr>
        <w:pStyle w:val="FirstParagraph"/>
      </w:pPr>
      <w:r>
        <w:t xml:space="preserve">Bekebrede, G., van Bueren, E., and Wenzler, I. (2018). Towards a joint local energy transition process in urban districts: The GO2Zero simulation game.</w:t>
      </w:r>
      <w:r>
        <w:t xml:space="preserve"> </w:t>
      </w:r>
      <w:r>
        <w:rPr>
          <w:i/>
          <w:iCs/>
        </w:rPr>
        <w:t xml:space="preserve">Sustainability</w:t>
      </w:r>
      <w:r>
        <w:t xml:space="preserve">, 10(8), 2602. doi:10.3390/su10082602.</w:t>
      </w:r>
    </w:p>
    <w:p>
      <w:pPr>
        <w:pStyle w:val="BodyText"/>
      </w:pPr>
      <w:r>
        <w:t xml:space="preserve">Boomsma, C., Hafner, R. J., Pahl, S., Jones, R. V., and Fuertes, A. (2018). Should we play games where energy is concerned? Perceptions of serious gaming as a technology to motivate energy behaviour change among social housing residents.</w:t>
      </w:r>
      <w:r>
        <w:t xml:space="preserve"> </w:t>
      </w:r>
      <w:r>
        <w:rPr>
          <w:i/>
          <w:iCs/>
        </w:rPr>
        <w:t xml:space="preserve">Sustainability</w:t>
      </w:r>
      <w:r>
        <w:t xml:space="preserve">, 10(6), 1729. doi:10.3390/su10061729.</w:t>
      </w:r>
    </w:p>
    <w:p>
      <w:pPr>
        <w:pStyle w:val="BodyText"/>
      </w:pPr>
      <w:r>
        <w:t xml:space="preserve">Connolly, T. M., Boyle, E. A., MacArthur, E., Hainey, T., and Boyle, J. M. (2012). A systematic literature review of empirical evidence on computer games and serious games.</w:t>
      </w:r>
      <w:r>
        <w:t xml:space="preserve"> </w:t>
      </w:r>
      <w:r>
        <w:rPr>
          <w:i/>
          <w:iCs/>
        </w:rPr>
        <w:t xml:space="preserve">Computers &amp; Education</w:t>
      </w:r>
      <w:r>
        <w:t xml:space="preserve">, 59, 661–686. doi:10.1016/j.compedu.2012.03.004.</w:t>
      </w:r>
    </w:p>
    <w:p>
      <w:pPr>
        <w:pStyle w:val="BodyText"/>
      </w:pPr>
      <w:r>
        <w:t xml:space="preserve">Garris, R., Ahlers, R., and Driskell, J. E. (2002). Games, motivation, and learning: A research and practice model.</w:t>
      </w:r>
      <w:r>
        <w:t xml:space="preserve"> </w:t>
      </w:r>
      <w:r>
        <w:rPr>
          <w:i/>
          <w:iCs/>
        </w:rPr>
        <w:t xml:space="preserve">Simulation &amp; Gaming</w:t>
      </w:r>
      <w:r>
        <w:t xml:space="preserve">, 33(4), 441–467. doi:10.1177/1046878102238607.</w:t>
      </w:r>
    </w:p>
    <w:p>
      <w:pPr>
        <w:pStyle w:val="BodyText"/>
      </w:pPr>
      <w:r>
        <w:t xml:space="preserve">Hunicke, R., LeBlanc, M., and Zubek, R. (2004). MDA: A formal approach to game design and game research. Proceedings of the AAAI Workshop on Challenges in Game AI.</w:t>
      </w:r>
    </w:p>
    <w:p>
      <w:pPr>
        <w:pStyle w:val="BodyText"/>
      </w:pPr>
      <w:r>
        <w:t xml:space="preserve">Kalmpourtzis, G., and Romero, M. (2020). Constructive alignment of learning mechanics and game mechanics in serious game design in higher education.</w:t>
      </w:r>
      <w:r>
        <w:t xml:space="preserve"> </w:t>
      </w:r>
      <w:r>
        <w:rPr>
          <w:i/>
          <w:iCs/>
        </w:rPr>
        <w:t xml:space="preserve">International Journal of Serious Games</w:t>
      </w:r>
      <w:r>
        <w:t xml:space="preserve">, 7(4), 75–88. doi:10.17083/ijsg.v7i4.361.</w:t>
      </w:r>
    </w:p>
    <w:p>
      <w:pPr>
        <w:pStyle w:val="BodyText"/>
      </w:pPr>
      <w:r>
        <w:t xml:space="preserve">Lamb, R. L., Annetta, L., Firestone, J., and Etopio, E. (2018). A meta-analysis with examination of moderators of student cognition, affect, and learning outcomes while using serious educational games, serious games, and simulations.</w:t>
      </w:r>
      <w:r>
        <w:t xml:space="preserve"> </w:t>
      </w:r>
      <w:r>
        <w:rPr>
          <w:i/>
          <w:iCs/>
        </w:rPr>
        <w:t xml:space="preserve">Computers in Human Behavior</w:t>
      </w:r>
      <w:r>
        <w:t xml:space="preserve">, 80, 158–167. doi:10.1016/j.chb.2017.10.040.</w:t>
      </w:r>
    </w:p>
    <w:p>
      <w:pPr>
        <w:pStyle w:val="BodyText"/>
      </w:pPr>
      <w:r>
        <w:t xml:space="preserve">Roba, J., Kuppens, T., Janssens, L., Smeets, A., Manshoven, S., and Struyven, K. (2021). Serious games in secondary education to introduce circular economy: Experiences with the game ecoCEO.</w:t>
      </w:r>
      <w:r>
        <w:t xml:space="preserve"> </w:t>
      </w:r>
      <w:r>
        <w:rPr>
          <w:i/>
          <w:iCs/>
        </w:rPr>
        <w:t xml:space="preserve">Frontiers in Sustainability</w:t>
      </w:r>
      <w:r>
        <w:t xml:space="preserve">, 2, 690232. doi:10.3389/frsus.2021.690232.</w:t>
      </w:r>
    </w:p>
    <w:p>
      <w:pPr>
        <w:pStyle w:val="BodyText"/>
      </w:pPr>
      <w:r>
        <w:t xml:space="preserve">Sailer, M., and Homner, L. (2020). The gamification of learning: A meta-analysis.</w:t>
      </w:r>
      <w:r>
        <w:t xml:space="preserve"> </w:t>
      </w:r>
      <w:r>
        <w:rPr>
          <w:i/>
          <w:iCs/>
        </w:rPr>
        <w:t xml:space="preserve">Educational Psychology Review</w:t>
      </w:r>
      <w:r>
        <w:t xml:space="preserve">, 32(1), 77–112. doi:10.1007/s10648-019-09498-w.</w:t>
      </w:r>
    </w:p>
    <w:p>
      <w:pPr>
        <w:pStyle w:val="BodyText"/>
      </w:pPr>
      <w:r>
        <w:t xml:space="preserve">Schneider, S. ([YEAR]). [INSERT SOURCE FOR TEMPORALLY VARYING ELECTRICITY EMISSION FACTORS AND DECARBONIZATION PATHWAY].</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