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1.svg" ContentType="image/svg+xml"/>
  <Override PartName="/word/media/rId12.jpg" ContentType="image/jpeg"/>
  <Override PartName="/word/media/rId513.png" ContentType="image/png"/>
  <Override PartName="/word/media/rId517.png" ContentType="image/png"/>
  <Override PartName="/word/media/rId522.png" ContentType="image/png"/>
  <Override PartName="/word/media/rId528.png" ContentType="image/png"/>
  <Override PartName="/word/media/rId477.png" ContentType="image/png"/>
  <Override PartName="/word/media/rId471.png" ContentType="image/png"/>
  <Override PartName="/word/media/rId486.png" ContentType="image/png"/>
  <Override PartName="/word/media/rId482.png" ContentType="image/png"/>
  <Override PartName="/word/media/rId454.png" ContentType="image/png"/>
  <Override PartName="/word/media/rId460.png" ContentType="image/png"/>
  <Override PartName="/word/media/rId464.png" ContentType="image/png"/>
  <Override PartName="/word/media/rId491.png" ContentType="image/png"/>
  <Override PartName="/word/media/rId449.png" ContentType="image/png"/>
  <Override PartName="/word/media/rId324.png" ContentType="image/png"/>
  <Override PartName="/word/media/rId28.png" ContentType="image/png"/>
  <Override PartName="/word/media/rId160.png" ContentType="image/png"/>
  <Override PartName="/word/media/rId315.svg" ContentType="image/svg+xml"/>
  <Override PartName="/word/media/rId54.svg" ContentType="image/svg+xml"/>
  <Override PartName="/word/media/rId335.svg" ContentType="image/svg+xml"/>
  <Override PartName="/word/media/rId341.svg" ContentType="image/svg+xml"/>
  <Override PartName="/word/media/rId153.svg" ContentType="image/svg+xml"/>
  <Override PartName="/word/media/rId259.png" ContentType="image/png"/>
  <Override PartName="/word/media/rId254.png" ContentType="image/png"/>
  <Override PartName="/word/media/rId362.svg" ContentType="image/svg+xml"/>
  <Override PartName="/word/media/rId357.svg" ContentType="image/svg+xml"/>
  <Override PartName="/word/media/rId330.svg" ContentType="image/svg+xml"/>
  <Override PartName="/word/media/rId166.svg" ContentType="image/svg+xml"/>
  <Override PartName="/word/media/rId348.png" ContentType="image/png"/>
  <Override PartName="/word/media/rId38.svg" ContentType="image/svg+xml"/>
  <Override PartName="/word/media/rId64.jpg" ContentType="image/jpeg"/>
  <Override PartName="/word/media/rId82.svg" ContentType="image/svg+xml"/>
  <Override PartName="/word/media/rId78.svg" ContentType="image/svg+xml"/>
  <Override PartName="/word/media/rId71.png" ContentType="image/png"/>
  <Override PartName="/word/media/rId87.png" ContentType="image/png"/>
  <Override PartName="/word/media/rId112.jpg" ContentType="image/jpeg"/>
  <Override PartName="/word/media/rId122.svg" ContentType="image/svg+xml"/>
  <Override PartName="/word/media/rId108.svg" ContentType="image/svg+xml"/>
  <Override PartName="/word/media/rId117.svg" ContentType="image/svg+xml"/>
  <Override PartName="/word/media/rId100.jpg" ContentType="image/jpeg"/>
  <Override PartName="/word/media/rId174.svg" ContentType="image/svg+xml"/>
  <Override PartName="/word/media/rId97.svg" ContentType="image/svg+xml"/>
  <Override PartName="/word/media/rId61.svg" ContentType="image/svg+xml"/>
  <Override PartName="/word/media/rId139.svg" ContentType="image/svg+xml"/>
  <Override PartName="/word/media/rId144.svg" ContentType="image/svg+xml"/>
  <Override PartName="/word/media/rId200.png" ContentType="image/png"/>
  <Override PartName="/word/media/rId284.png" ContentType="image/png"/>
  <Override PartName="/word/media/rId288.svg" ContentType="image/svg+xml"/>
  <Override PartName="/word/media/rId237.png" ContentType="image/png"/>
  <Override PartName="/word/media/rId225.png" ContentType="image/png"/>
  <Override PartName="/word/media/rId243.png" ContentType="image/png"/>
  <Override PartName="/word/media/rId231.png" ContentType="image/png"/>
  <Override PartName="/word/media/rId183.png" ContentType="image/png"/>
  <Override PartName="/word/media/rId4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Klimaneutrale Plus-Energie-Quartiere</w:t>
      </w:r>
    </w:p>
    <w:p>
      <w:pPr>
        <w:pStyle w:val="Subtitle"/>
      </w:pPr>
      <w:r>
        <w:t xml:space="preserve">Wissenschaftliche Grundlagen des klimaaktiv Standards – Arbeitsfassung</w:t>
      </w:r>
    </w:p>
    <w:p>
      <w:pPr>
        <w:pStyle w:val="Date"/>
      </w:pPr>
      <w:r>
        <w:t xml:space="preserve">2026-10-14</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3" w:name="überblick"/>
    <w:p>
      <w:pPr>
        <w:pStyle w:val="Heading1"/>
      </w:pPr>
      <w:r>
        <w:t xml:space="preserve">Überblick</w:t>
      </w:r>
    </w:p>
    <w:p>
      <w:pPr>
        <w:pStyle w:val="FirstParagraph"/>
      </w:pPr>
      <w:r>
        <w:t xml:space="preserve">Plus-Energie-Quartiere planen und nachweisen</w:t>
      </w:r>
    </w:p>
    <w:p>
      <w:pPr>
        <w:pStyle w:val="BodyText"/>
      </w:pPr>
      <w:r>
        <w:t xml:space="preserve">Welche Energie- und Klimaziele soll ein Bauprojekt erreichen – und wie lässt sich das überprüfen? Der</w:t>
      </w:r>
      <w:r>
        <w:t xml:space="preserve"> </w:t>
      </w:r>
      <w:r>
        <w:rPr>
          <w:b/>
          <w:bCs/>
        </w:rPr>
        <w:t xml:space="preserve">klimaaktiv Standard für Plus-Energie-Quartiere</w:t>
      </w:r>
      <w:r>
        <w:t xml:space="preserve"> </w:t>
      </w:r>
      <w:r>
        <w:t xml:space="preserve">übersetzt übergeordnete Ziele in quantitative Anforderungen an Neubau und Sanierung. Gemeinden und Bauträger können damit Konzepte bewerten, Varianten vergleichen und erreichte Qualität dokumentieren.</w:t>
      </w:r>
    </w:p>
    <w:bookmarkStart w:id="10" w:name="was-bringt-der-standard-für-ihr-projekt"/>
    <w:p>
      <w:pPr>
        <w:pStyle w:val="Heading2"/>
      </w:pPr>
      <w:r>
        <w:t xml:space="preserve">Was bringt der Standard für Ihr Projekt?</w:t>
      </w:r>
    </w:p>
    <w:p>
      <w:pPr>
        <w:pStyle w:val="FirstParagraph"/>
      </w:pPr>
      <w:r>
        <w:rPr>
          <w:b/>
          <w:bCs/>
        </w:rPr>
        <w:t xml:space="preserve">Gemeinden können konkrete Ziele formulieren.</w:t>
      </w:r>
      <w:r>
        <w:t xml:space="preserve"> </w:t>
      </w:r>
      <w:r>
        <w:t xml:space="preserve">Welche energetische Qualität soll ein neues Quartier erreichen? Wie passen Bebauung, Energieversorgung und Mobilität zu den kommunalen Klimazielen?</w:t>
      </w:r>
    </w:p>
    <w:p>
      <w:pPr>
        <w:pStyle w:val="BodyText"/>
      </w:pPr>
      <w:r>
        <w:rPr>
          <w:b/>
          <w:bCs/>
        </w:rPr>
        <w:t xml:space="preserve">Bauträger können Entscheidungen früh absichern.</w:t>
      </w:r>
      <w:r>
        <w:t xml:space="preserve"> </w:t>
      </w:r>
      <w:r>
        <w:t xml:space="preserve">Welche PV-Flächen braucht das Projekt? Welche Kombination aus Gebäudequalität und Versorgung erreicht das Ziel? Eine frühe Bewertung macht den Einfluss dieser Entscheidungen nachvollziehbar.</w:t>
      </w:r>
    </w:p>
    <w:p>
      <w:pPr>
        <w:pStyle w:val="BodyText"/>
      </w:pPr>
      <w:r>
        <w:rPr>
          <w:b/>
          <w:bCs/>
        </w:rPr>
        <w:t xml:space="preserve">Fachplanende können Varianten gemeinsam bewerten.</w:t>
      </w:r>
      <w:r>
        <w:t xml:space="preserve"> </w:t>
      </w:r>
      <w:r>
        <w:t xml:space="preserve">Der Standard bietet einen gemeinsamen Maßstab für Energieeffizienz, erneuerbare Erzeugung und Energieflexibilität. Je nach Qualitätsstufe kommen Mobilität und Lebenszyklusemissionen hinzu.</w:t>
      </w:r>
    </w:p>
    <w:p>
      <w:pPr>
        <w:pStyle w:val="BodyText"/>
      </w:pPr>
      <w:hyperlink r:id="rId9">
        <w:r>
          <w:rPr>
            <w:rStyle w:val="Hyperlink"/>
          </w:rPr>
          <w:t xml:space="preserve">Mehr zu Nutzen und Anwendung</w:t>
        </w:r>
      </w:hyperlink>
    </w:p>
    <w:bookmarkEnd w:id="10"/>
    <w:bookmarkStart w:id="20" w:name="was-zeigen-reale-projekte"/>
    <w:p>
      <w:pPr>
        <w:pStyle w:val="Heading2"/>
      </w:pPr>
      <w:r>
        <w:t xml:space="preserve">Was zeigen reale Projekte?</w:t>
      </w:r>
    </w:p>
    <w:bookmarkStart w:id="15" w:name="am-bichl-iii"/>
    <w:p>
      <w:pPr>
        <w:pStyle w:val="Heading3"/>
      </w:pPr>
      <w:hyperlink r:id="rId11">
        <w:r>
          <w:rPr>
            <w:rStyle w:val="Hyperlink"/>
          </w:rPr>
          <w:t xml:space="preserve">Am Bichl III</w:t>
        </w:r>
      </w:hyperlink>
    </w:p>
    <w:p>
      <w:pPr>
        <w:pStyle w:val="CaptionedFigure"/>
      </w:pPr>
      <w:r>
        <w:drawing>
          <wp:inline>
            <wp:extent cx="5334000" cy="3000223"/>
            <wp:effectExtent b="0" l="0" r="0" t="0"/>
            <wp:docPr descr="Wohnquartier Am Bichl III in Innsbruck-Igls." title="" id="13" name="Picture"/>
            <a:graphic>
              <a:graphicData uri="http://schemas.openxmlformats.org/drawingml/2006/picture">
                <pic:pic>
                  <pic:nvPicPr>
                    <pic:cNvPr descr="Abbildungen/praxis/am-bichl-ansicht.jpeg" id="14" name="Picture"/>
                    <pic:cNvPicPr>
                      <a:picLocks noChangeArrowheads="1" noChangeAspect="1"/>
                    </pic:cNvPicPr>
                  </pic:nvPicPr>
                  <pic:blipFill>
                    <a:blip r:embed="rId12"/>
                    <a:stretch>
                      <a:fillRect/>
                    </a:stretch>
                  </pic:blipFill>
                  <pic:spPr bwMode="auto">
                    <a:xfrm>
                      <a:off x="0" y="0"/>
                      <a:ext cx="5334000" cy="3000223"/>
                    </a:xfrm>
                    <a:prstGeom prst="rect">
                      <a:avLst/>
                    </a:prstGeom>
                    <a:noFill/>
                    <a:ln w="9525">
                      <a:noFill/>
                      <a:headEnd/>
                      <a:tailEnd/>
                    </a:ln>
                  </pic:spPr>
                </pic:pic>
              </a:graphicData>
            </a:graphic>
          </wp:inline>
        </w:drawing>
      </w:r>
    </w:p>
    <w:p>
      <w:pPr>
        <w:pStyle w:val="ImageCaption"/>
      </w:pPr>
      <w:r>
        <w:t xml:space="preserve">Wohnquartier Am Bichl III in Innsbruck-Igls.</w:t>
      </w:r>
    </w:p>
    <w:p>
      <w:pPr>
        <w:pStyle w:val="BodyText"/>
      </w:pPr>
      <w:r>
        <w:t xml:space="preserve">Neubau</w:t>
      </w:r>
      <w:r>
        <w:t xml:space="preserve"> </w:t>
      </w:r>
      <w:r>
        <w:t xml:space="preserve">Photovoltaik</w:t>
      </w:r>
      <w:r>
        <w:t xml:space="preserve"> </w:t>
      </w:r>
      <w:r>
        <w:t xml:space="preserve">Energieflexibilität</w:t>
      </w:r>
    </w:p>
    <w:p>
      <w:pPr>
        <w:pStyle w:val="BodyText"/>
      </w:pPr>
      <w:r>
        <w:t xml:space="preserve">Ein umgesetztes Wohnquartier zeigt, wie ambitionierte Energieziele bis zur Fertigstellung nachgewiesen werden können.</w:t>
      </w:r>
    </w:p>
    <w:bookmarkEnd w:id="15"/>
    <w:bookmarkStart w:id="17" w:name="ruginnovation"/>
    <w:p>
      <w:pPr>
        <w:pStyle w:val="Heading3"/>
      </w:pPr>
      <w:hyperlink r:id="rId16">
        <w:r>
          <w:rPr>
            <w:rStyle w:val="Hyperlink"/>
          </w:rPr>
          <w:t xml:space="preserve">RUGInnovation</w:t>
        </w:r>
      </w:hyperlink>
    </w:p>
    <w:p>
      <w:pPr>
        <w:pStyle w:val="FirstParagraph"/>
      </w:pPr>
      <w:r>
        <w:t xml:space="preserve">Sanierung</w:t>
      </w:r>
      <w:r>
        <w:t xml:space="preserve"> </w:t>
      </w:r>
      <w:r>
        <w:t xml:space="preserve">Wärmeversorgung</w:t>
      </w:r>
      <w:r>
        <w:t xml:space="preserve"> </w:t>
      </w:r>
      <w:r>
        <w:t xml:space="preserve">Photovoltaik</w:t>
      </w:r>
    </w:p>
    <w:p>
      <w:pPr>
        <w:pStyle w:val="BodyText"/>
      </w:pPr>
      <w:r>
        <w:t xml:space="preserve">Gebäudehülle, erneuerbare Wärme und Stromerzeugung werden gemeinsam betrachtet: ein Einblick in die Bewertung eines bestehenden Wohnquartiers.</w:t>
      </w:r>
    </w:p>
    <w:bookmarkEnd w:id="17"/>
    <w:bookmarkStart w:id="19" w:name="campo-breitenlee"/>
    <w:p>
      <w:pPr>
        <w:pStyle w:val="Heading3"/>
      </w:pPr>
      <w:hyperlink r:id="rId18">
        <w:r>
          <w:rPr>
            <w:rStyle w:val="Hyperlink"/>
          </w:rPr>
          <w:t xml:space="preserve">Campo Breitenlee</w:t>
        </w:r>
      </w:hyperlink>
    </w:p>
    <w:p>
      <w:pPr>
        <w:pStyle w:val="FirstParagraph"/>
      </w:pPr>
      <w:r>
        <w:t xml:space="preserve">Neubau</w:t>
      </w:r>
      <w:r>
        <w:t xml:space="preserve"> </w:t>
      </w:r>
      <w:r>
        <w:t xml:space="preserve">Mobilität</w:t>
      </w:r>
      <w:r>
        <w:t xml:space="preserve"> </w:t>
      </w:r>
      <w:r>
        <w:t xml:space="preserve">Nutzungsmix</w:t>
      </w:r>
    </w:p>
    <w:p>
      <w:pPr>
        <w:pStyle w:val="BodyText"/>
      </w:pPr>
      <w:r>
        <w:t xml:space="preserve">Wie hängen Mobilität, unterschiedliche Nutzungen und Nutzungsdichten zusammen? Das nächste Projektporträt widmet sich dieser Planungsfrage; die Auswertung ist in Vorbereitung.</w:t>
      </w:r>
    </w:p>
    <w:bookmarkEnd w:id="19"/>
    <w:bookmarkEnd w:id="20"/>
    <w:bookmarkStart w:id="22" w:name="welche-qualität-wird-bewertet"/>
    <w:p>
      <w:pPr>
        <w:pStyle w:val="Heading2"/>
      </w:pPr>
      <w:r>
        <w:t xml:space="preserve">Welche Qualität wird bewertet?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Qualitätsstufe</w:t>
            </w:r>
          </w:p>
        </w:tc>
        <w:tc>
          <w:tcPr/>
          <w:p>
            <w:pPr>
              <w:pStyle w:val="Compact"/>
            </w:pPr>
            <w:r>
              <w:t xml:space="preserve">Bewertungsumfang</w:t>
            </w:r>
          </w:p>
        </w:tc>
      </w:tr>
      <w:tr>
        <w:tc>
          <w:tcPr/>
          <w:p>
            <w:pPr>
              <w:pStyle w:val="Compact"/>
            </w:pPr>
            <w:r>
              <w:rPr>
                <w:b/>
                <w:bCs/>
              </w:rPr>
              <w:t xml:space="preserve">Plus-Energie-Quartier</w:t>
            </w:r>
          </w:p>
        </w:tc>
        <w:tc>
          <w:tcPr/>
          <w:p>
            <w:pPr>
              <w:pStyle w:val="Compact"/>
            </w:pPr>
            <w:r>
              <w:t xml:space="preserve">Primärenergiebilanz des Gebäudebetriebs</w:t>
            </w:r>
          </w:p>
        </w:tc>
      </w:tr>
      <w:tr>
        <w:tc>
          <w:tcPr/>
          <w:p>
            <w:pPr>
              <w:pStyle w:val="Compact"/>
            </w:pPr>
            <w:r>
              <w:rPr>
                <w:b/>
                <w:bCs/>
              </w:rPr>
              <w:t xml:space="preserve">Plus-Energie-Quartier mit Mobilität</w:t>
            </w:r>
          </w:p>
        </w:tc>
        <w:tc>
          <w:tcPr/>
          <w:p>
            <w:pPr>
              <w:pStyle w:val="Compact"/>
            </w:pPr>
            <w:r>
              <w:t xml:space="preserve">Zusätzlich die zugeordnete motorisierte Individualmobilität</w:t>
            </w:r>
          </w:p>
        </w:tc>
      </w:tr>
      <w:tr>
        <w:tc>
          <w:tcPr/>
          <w:p>
            <w:pPr>
              <w:pStyle w:val="Compact"/>
            </w:pPr>
            <w:r>
              <w:rPr>
                <w:b/>
                <w:bCs/>
              </w:rPr>
              <w:t xml:space="preserve">Klimaneutrales Plus-Energie-Quartier</w:t>
            </w:r>
          </w:p>
        </w:tc>
        <w:tc>
          <w:tcPr/>
          <w:p>
            <w:pPr>
              <w:pStyle w:val="Compact"/>
            </w:pPr>
            <w:r>
              <w:t xml:space="preserve">Zusätzlich die Einhaltung eines Lebenszyklus-Treibhausgasbudgets</w:t>
            </w:r>
          </w:p>
        </w:tc>
      </w:tr>
    </w:tbl>
    <w:p>
      <w:pPr>
        <w:pStyle w:val="BodyText"/>
      </w:pPr>
      <w:r>
        <w:t xml:space="preserve">Die Anforderungen berücksichtigen den Kontext des Projekts. Eine positive bewertete Bilanz bedeutet deshalb nicht automatisch Energieautarkie.</w:t>
      </w:r>
      <w:r>
        <w:t xml:space="preserve"> </w:t>
      </w:r>
      <w:hyperlink r:id="rId21">
        <w:r>
          <w:rPr>
            <w:rStyle w:val="Hyperlink"/>
          </w:rPr>
          <w:t xml:space="preserve">Qualitätsstufen, Anforderungen und Aussagegrenzen</w:t>
        </w:r>
      </w:hyperlink>
      <w:r>
        <w:t xml:space="preserve"> </w:t>
      </w:r>
      <w:r>
        <w:t xml:space="preserve">erläutern den Maßstab.</w:t>
      </w:r>
    </w:p>
    <w:bookmarkEnd w:id="22"/>
    <w:bookmarkStart w:id="25" w:name="X4ba98acb5b636a83b68553126a7d5673560801f"/>
    <w:p>
      <w:pPr>
        <w:pStyle w:val="Heading2"/>
      </w:pPr>
      <w:r>
        <w:t xml:space="preserve">Von der Planung zur überprüften Umsetzung</w:t>
      </w:r>
    </w:p>
    <w:p>
      <w:pPr>
        <w:pStyle w:val="FirstParagraph"/>
      </w:pPr>
      <w:r>
        <w:t xml:space="preserve">Die</w:t>
      </w:r>
      <w:r>
        <w:t xml:space="preserve"> </w:t>
      </w:r>
      <w:r>
        <w:rPr>
          <w:b/>
          <w:bCs/>
        </w:rPr>
        <w:t xml:space="preserve">Planungsdeklaration</w:t>
      </w:r>
      <w:r>
        <w:t xml:space="preserve"> </w:t>
      </w:r>
      <w:r>
        <w:t xml:space="preserve">bewertet ein untersuchtes Konzept. Die</w:t>
      </w:r>
      <w:r>
        <w:t xml:space="preserve"> </w:t>
      </w:r>
      <w:r>
        <w:rPr>
          <w:b/>
          <w:bCs/>
        </w:rPr>
        <w:t xml:space="preserve">Fertigstellungsdeklaration</w:t>
      </w:r>
      <w:r>
        <w:t xml:space="preserve"> </w:t>
      </w:r>
      <w:r>
        <w:t xml:space="preserve">gleicht die Bewertung mit dem ausgeführten Projekt ab. Eine</w:t>
      </w:r>
      <w:r>
        <w:t xml:space="preserve"> </w:t>
      </w:r>
      <w:r>
        <w:rPr>
          <w:b/>
          <w:bCs/>
        </w:rPr>
        <w:t xml:space="preserve">Betriebsdeklaration</w:t>
      </w:r>
      <w:r>
        <w:t xml:space="preserve"> </w:t>
      </w:r>
      <w:r>
        <w:t xml:space="preserve">ergänzt die Nachweise um Messdaten. Qualitätsstufe und Projektphase werden dabei getrennt ausgewiesen.</w:t>
      </w:r>
    </w:p>
    <w:p>
      <w:pPr>
        <w:pStyle w:val="BodyText"/>
      </w:pPr>
      <w:hyperlink r:id="rId23">
        <w:r>
          <w:rPr>
            <w:rStyle w:val="Hyperlink"/>
          </w:rPr>
          <w:t xml:space="preserve">Deklaration und Projektphasen</w:t>
        </w:r>
      </w:hyperlink>
      <w:r>
        <w:t xml:space="preserve"> </w:t>
      </w:r>
      <w:r>
        <w:t xml:space="preserve">·</w:t>
      </w:r>
      <w:r>
        <w:t xml:space="preserve"> </w:t>
      </w:r>
      <w:hyperlink r:id="rId24">
        <w:r>
          <w:rPr>
            <w:rStyle w:val="Hyperlink"/>
          </w:rPr>
          <w:t xml:space="preserve">Einstieg und Kontakt</w:t>
        </w:r>
      </w:hyperlink>
    </w:p>
    <w:bookmarkEnd w:id="25"/>
    <w:bookmarkStart w:id="32" w:name="Xb68ec2a1cff92b5166ca0ce6f0301b3ae344464"/>
    <w:p>
      <w:pPr>
        <w:pStyle w:val="Heading2"/>
      </w:pPr>
      <w:r>
        <w:t xml:space="preserve">Wissenschaftliche Grundlagen und Nachweistool</w:t>
      </w:r>
    </w:p>
    <w:p>
      <w:pPr>
        <w:pStyle w:val="FirstParagraph"/>
      </w:pPr>
      <w:r>
        <w:t xml:space="preserve">Die</w:t>
      </w:r>
      <w:r>
        <w:t xml:space="preserve"> </w:t>
      </w:r>
      <w:hyperlink r:id="rId26">
        <w:r>
          <w:rPr>
            <w:rStyle w:val="Hyperlink"/>
          </w:rPr>
          <w:t xml:space="preserve">wissenschaftlichen Grundlagen</w:t>
        </w:r>
      </w:hyperlink>
      <w:r>
        <w:t xml:space="preserve"> </w:t>
      </w:r>
      <w:r>
        <w:t xml:space="preserve">legen Herleitungen, Annahmen und Grenzen offen. Nationale Energie- und Klimaziele werden auf Sektoren und Quartiere übertragen; das konkrete Projekt wird anhand seiner Energie- und Emissionsbilanz bewertet. Kontextfaktoren verändern den Bewertungsmaßstab, nicht die tatsächlichen Energieflüsse.</w:t>
      </w:r>
    </w:p>
    <w:p>
      <w:pPr>
        <w:pStyle w:val="BodyText"/>
      </w:pPr>
      <w:r>
        <w:t xml:space="preserve">Das</w:t>
      </w:r>
      <w:r>
        <w:t xml:space="preserve"> </w:t>
      </w:r>
      <w:hyperlink r:id="rId27">
        <w:r>
          <w:rPr>
            <w:rStyle w:val="Hyperlink"/>
          </w:rPr>
          <w:t xml:space="preserve">PEExcel-Nachweistool</w:t>
        </w:r>
      </w:hyperlink>
      <w:r>
        <w:t xml:space="preserve"> </w:t>
      </w:r>
      <w:r>
        <w:t xml:space="preserve">unterstützt Modellierung, Variantenvergleich und technische Nachweisführung. Seine Wissensplattform erläutert Bedienung und Ergebnisanalyse.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C:\Users\schneids\AppData\Local\Program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 Die wissenschaftliche Grundlage und der Geltungsbereich sind unter</w:t>
            </w:r>
            <w:r>
              <w:t xml:space="preserve"> </w:t>
            </w:r>
            <w:hyperlink r:id="rId31">
              <w:r>
                <w:rPr>
                  <w:rStyle w:val="Hyperlink"/>
                </w:rPr>
                <w:t xml:space="preserve">Über diesen Bericht</w:t>
              </w:r>
            </w:hyperlink>
            <w:r>
              <w:t xml:space="preserve"> </w:t>
            </w:r>
            <w:r>
              <w:t xml:space="preserve">dokumentiert</w:t>
            </w:r>
            <w:r>
              <w:t xml:space="preserve"> </w:t>
            </w:r>
            <w:r>
              <w:t xml:space="preserve">(Schneider 2026; Schneider u. a. 2023, 2025)</w:t>
            </w:r>
            <w:r>
              <w:t xml:space="preserve">. Eine ergänzende Einführung bietet die klimaaktiv-Broschüre</w:t>
            </w:r>
            <w:r>
              <w:t xml:space="preserve"> </w:t>
            </w:r>
            <w:r>
              <w:t xml:space="preserve">(Schneider u. a. 2026)</w:t>
            </w:r>
            <w:r>
              <w:t xml:space="preserve">.</w:t>
            </w:r>
          </w:p>
        </w:tc>
      </w:tr>
    </w:tbl>
    <w:bookmarkEnd w:id="32"/>
    <w:bookmarkEnd w:id="33"/>
    <w:bookmarkStart w:id="46" w:name="sec-einfuehrung"/>
    <w:p>
      <w:pPr>
        <w:pStyle w:val="Heading1"/>
      </w:pPr>
      <w:r>
        <w:t xml:space="preserve">1. Nutzen und Anwendung</w:t>
      </w:r>
    </w:p>
    <w:p>
      <w:pPr>
        <w:pStyle w:val="FirstParagraph"/>
      </w:pPr>
      <w:r>
        <w:t xml:space="preserve">Von klimaneutralem Bauen zu quantitativen Anforderungen an Gebäude und Quartiere</w:t>
      </w:r>
    </w:p>
    <w:bookmarkStart w:id="37" w:name="X1a05154972566129232e19cbe3616bbfef26896"/>
    <w:p>
      <w:pPr>
        <w:pStyle w:val="Heading2"/>
      </w:pPr>
      <w:r>
        <w:t xml:space="preserve">1.1 Welche Entscheidungen unterstützt die Bewertung?</w:t>
      </w:r>
    </w:p>
    <w:p>
      <w:pPr>
        <w:pStyle w:val="FirstParagraph"/>
      </w:pPr>
      <w:r>
        <w:t xml:space="preserve">Für</w:t>
      </w:r>
      <w:r>
        <w:t xml:space="preserve"> </w:t>
      </w:r>
      <w:r>
        <w:rPr>
          <w:b/>
          <w:bCs/>
        </w:rPr>
        <w:t xml:space="preserve">Gemeinden</w:t>
      </w:r>
      <w:r>
        <w:t xml:space="preserve"> </w:t>
      </w:r>
      <w:r>
        <w:t xml:space="preserve">macht der Standard Energie- und Klimaziele als Anforderungen an konkrete Vorhaben überprüfbar. Er unterstützt die Abstimmung zwischen räumlicher Entwicklung, Energieversorgung und Mobilität.</w:t>
      </w:r>
    </w:p>
    <w:p>
      <w:pPr>
        <w:pStyle w:val="BodyText"/>
      </w:pPr>
      <w:r>
        <w:t xml:space="preserve">Für</w:t>
      </w:r>
      <w:r>
        <w:t xml:space="preserve"> </w:t>
      </w:r>
      <w:r>
        <w:rPr>
          <w:b/>
          <w:bCs/>
        </w:rPr>
        <w:t xml:space="preserve">Bauträger und Projektentwicklung</w:t>
      </w:r>
      <w:r>
        <w:t xml:space="preserve"> </w:t>
      </w:r>
      <w:r>
        <w:t xml:space="preserve">hilft die frühe Bewertung, erforderliche Maßnahmen und Zielkonflikte zu erkennen. Varianten lassen sich anhand eines gemeinsamen Maßstabs vergleichen; wichtige Qualitäten können über den Planungsverlauf hinweg dokumentiert werden.</w:t>
      </w:r>
    </w:p>
    <w:p>
      <w:pPr>
        <w:pStyle w:val="BodyText"/>
      </w:pPr>
      <w:r>
        <w:t xml:space="preserve">Für</w:t>
      </w:r>
      <w:r>
        <w:t xml:space="preserve"> </w:t>
      </w:r>
      <w:r>
        <w:rPr>
          <w:b/>
          <w:bCs/>
        </w:rPr>
        <w:t xml:space="preserve">Fachplanende und Kompetenzpartner:innen</w:t>
      </w:r>
      <w:r>
        <w:t xml:space="preserve"> </w:t>
      </w:r>
      <w:r>
        <w:t xml:space="preserve">verbindet das Energie- und Bilanzmodell Beiträge aus Architektur, Bauphysik, Versorgung und Mobilität. Die Bewertung zeigt, welche Annahmen für die Zielerreichung entscheidend sind.</w:t>
      </w:r>
    </w:p>
    <w:p>
      <w:pPr>
        <w:pStyle w:val="BodyText"/>
      </w:pPr>
      <w:hyperlink r:id="rId34">
        <w:r>
          <w:rPr>
            <w:rStyle w:val="Hyperlink"/>
          </w:rPr>
          <w:t xml:space="preserve">Am Bichl III</w:t>
        </w:r>
      </w:hyperlink>
      <w:r>
        <w:t xml:space="preserve"> </w:t>
      </w:r>
      <w:r>
        <w:t xml:space="preserve">veranschaulicht den Abgleich zwischen Planung und Fertigstellung.</w:t>
      </w:r>
      <w:r>
        <w:t xml:space="preserve"> </w:t>
      </w:r>
      <w:hyperlink r:id="rId35">
        <w:r>
          <w:rPr>
            <w:rStyle w:val="Hyperlink"/>
          </w:rPr>
          <w:t xml:space="preserve">Weitere Praxisbeispiele</w:t>
        </w:r>
      </w:hyperlink>
      <w:r>
        <w:t xml:space="preserve"> </w:t>
      </w:r>
      <w:r>
        <w:t xml:space="preserve">behandeln Sanierung und Mobilität. Bei schrittweisen Maßnahmen helfen</w:t>
      </w:r>
      <w:r>
        <w:t xml:space="preserve"> </w:t>
      </w:r>
      <w:hyperlink r:id="rId36">
        <w:r>
          <w:rPr>
            <w:rStyle w:val="Hyperlink"/>
          </w:rPr>
          <w:t xml:space="preserve">Sanierungsfahrpläne</w:t>
        </w:r>
      </w:hyperlink>
      <w:r>
        <w:t xml:space="preserve">, den Entwicklungspfad zu beschreiben.</w:t>
      </w:r>
    </w:p>
    <w:bookmarkEnd w:id="37"/>
    <w:bookmarkStart w:id="42" w:name="X8d7fcd7d515587f7e9eb96e187de498d6e3d696"/>
    <w:p>
      <w:pPr>
        <w:pStyle w:val="Heading2"/>
      </w:pPr>
      <w:r>
        <w:t xml:space="preserve">1.2 Herausforderungen des klimaneutralen Bauens</w:t>
      </w:r>
    </w:p>
    <w:p>
      <w:pPr>
        <w:pStyle w:val="FirstParagraph"/>
      </w:pPr>
      <w:r>
        <w:t xml:space="preserve">Klimaneutrales Bauen erfordert mehr als die Reduktion des Heizwärmebedarfs. Gebäude müssen mit erneuerbarer Energie versorgt werden, fossile Energieträger ersetzen und die Treibhausgasemissionen aus Errichtung, Instandhaltung und Betrieb begrenzen. Hinzu kommen die Auswirkungen der Alltagsmobilität, die wesentlich von Standort und Quartiersgestaltung beeinflusst werden.</w:t>
      </w:r>
    </w:p>
    <w:p>
      <w:pPr>
        <w:pStyle w:val="BodyText"/>
      </w:pPr>
      <w:r>
        <w:t xml:space="preserve">Gleichzeitig verändert die Umstellung auf erneuerbare Energieträger die Rolle der Gebäude im Energiesystem. Bei Photovoltaik und anderen zeitlich schwankenden erneuerbaren Quellen kommt es auch darauf an, wann Energie benötigt, gespeichert, bezogen oder abgegeben wird. Gebäudebetrieb, Energieversorgung und Mobilität sind deshalb zunehmend gemeinsam zu betrachten.</w:t>
      </w:r>
    </w:p>
    <w:p>
      <w:pPr>
        <w:pStyle w:val="BodyText"/>
      </w:pPr>
      <w:r>
        <w:t xml:space="preserve">Ein erneuerbares Zielenergiesystem macht Energieeffizienz und Flexibilität auf Gebäudeebene nicht überflüssig – im Gegenteil: Nationale Energie- und Klimaszenarien setzen erhebliche Energieeinsparungen voraus. Damit die angestrebten Ausbau- und Klimaziele erreicht werden können, müssen Gebäude ihren Energiebedarf entsprechend reduzieren und zunehmend flexibel gestalten.</w:t>
      </w:r>
    </w:p>
    <w:p>
      <w:pPr>
        <w:pStyle w:val="BodyText"/>
      </w:pPr>
      <w:r>
        <w:rPr>
          <w:b/>
          <w:bCs/>
        </w:rPr>
        <w:t xml:space="preserve">Energieeffizienz, lokale erneuerbare Energieerzeugung und Energieflexibilität</w:t>
      </w:r>
      <w:r>
        <w:t xml:space="preserve"> </w:t>
      </w:r>
      <w:r>
        <w:t xml:space="preserve">bilden daher drei sich ergänzende Handlungsfelder. Ihr Zusammenspiel ist sowohl auf Gebäude- als auch auf Quartiersebene relevant.</w:t>
      </w:r>
    </w:p>
    <w:tbl>
      <w:tblPr>
        <w:tblStyle w:val="Table"/>
        <w:tblW w:type="pct" w:w="5000"/>
        <w:tblLayout w:type="fixed"/>
        <w:tblLook w:firstRow="0" w:lastRow="0" w:firstColumn="0" w:lastColumn="0" w:noHBand="0" w:noVBand="0" w:val="0000"/>
      </w:tblPr>
      <w:tblGrid>
        <w:gridCol w:w="7920"/>
      </w:tblGrid>
      <w:tr>
        <w:tc>
          <w:tcPr/>
          <w:bookmarkStart w:id="41" w:name="fig-peq-saeulen"/>
          <w:p>
            <w:pPr>
              <w:pStyle w:val="Compact"/>
              <w:jc w:val="center"/>
            </w:pPr>
            <w:r>
              <w:drawing>
                <wp:inline>
                  <wp:extent cx="3467100" cy="2325982"/>
                  <wp:effectExtent b="0" l="0" r="0" t="0"/>
                  <wp:docPr descr="" title="" id="39" name="Picture"/>
                  <a:graphic>
                    <a:graphicData uri="http://schemas.openxmlformats.org/drawingml/2006/picture">
                      <pic:pic>
                        <pic:nvPicPr>
                          <pic:cNvPr descr="Kapitel/../Abbildungen/peq_saeulen.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467100" cy="23259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1.1:</w:t>
            </w:r>
            <w:r>
              <w:t xml:space="preserve"> </w:t>
            </w:r>
            <w:r>
              <w:rPr>
                <w:b/>
                <w:bCs/>
              </w:rPr>
              <w:t xml:space="preserve">Plus-Energie-Quartiere</w:t>
            </w:r>
            <w:r>
              <w:t xml:space="preserve"> </w:t>
            </w:r>
            <w:r>
              <w:t xml:space="preserve">verbinden drei zentrale Handlungsfelder der energetischen Quartiersentwicklung: Energieeffizienz, lokale erneuerbare Energie und Energieflexibilität.</w:t>
            </w:r>
          </w:p>
          <w:bookmarkEnd w:id="41"/>
        </w:tc>
      </w:tr>
    </w:tbl>
    <w:bookmarkEnd w:id="42"/>
    <w:bookmarkStart w:id="45" w:name="X5166841a036803938dc713f059ae0c83c10e189"/>
    <w:p>
      <w:pPr>
        <w:pStyle w:val="Heading2"/>
      </w:pPr>
      <w:r>
        <w:t xml:space="preserve">1.3 Vom Nachhaltigkeitskriterium zum quantitativen Klimaziel</w:t>
      </w:r>
    </w:p>
    <w:p>
      <w:pPr>
        <w:pStyle w:val="FirstParagraph"/>
      </w:pPr>
      <w:r>
        <w:t xml:space="preserve">Bestehende Instrumente zur Gebäude- und Quartiersbewertung berücksichtigen wichtige Qualitäten wie Energieeffizienz, Ressourcenschonung, Komfort und Standort. Eine gute Gesamtbewertung beantwortet jedoch nicht automatisch die Frage,</w:t>
      </w:r>
      <w:r>
        <w:t xml:space="preserve"> </w:t>
      </w:r>
      <w:r>
        <w:rPr>
          <w:b/>
          <w:bCs/>
        </w:rPr>
        <w:t xml:space="preserve">welchen messbaren Beitrag ein konkretes Vorhaben zur Erreichung übergeordneter Energie- und Klimaziele leisten muss</w:t>
      </w:r>
      <w:r>
        <w:t xml:space="preserve">.</w:t>
      </w:r>
    </w:p>
    <w:p>
      <w:pPr>
        <w:pStyle w:val="BodyText"/>
      </w:pPr>
      <w:r>
        <w:t xml:space="preserve">Dafür sind zwei Festlegungen erforderlich: Einerseits müssen Energie- und Treibhausgaswirkungen innerhalb nachvollziehbarer räumlicher, zeitlicher und funktionaler Grenzen bilanziert werden. Andererseits ist zu begründen,</w:t>
      </w:r>
      <w:r>
        <w:t xml:space="preserve"> </w:t>
      </w:r>
      <w:r>
        <w:rPr>
          <w:b/>
          <w:bCs/>
        </w:rPr>
        <w:t xml:space="preserve">welches Ergebnis als ausreichend gilt</w:t>
      </w:r>
      <w:r>
        <w:t xml:space="preserve"> </w:t>
      </w:r>
      <w:r>
        <w:t xml:space="preserve">und wie Anforderungen auf Projekte mit unterschiedlichen Voraussetzungen verteilt werden.</w:t>
      </w:r>
    </w:p>
    <w:p>
      <w:pPr>
        <w:pStyle w:val="BodyText"/>
      </w:pPr>
      <w:r>
        <w:t xml:space="preserve">Eine reine Jahresbetrachtung kann sommerliche Überschüsse und winterlichen Netzbezug verdecken. Eine positive Betriebsenergiebilanz wiederum sagt für sich genommen noch nichts darüber aus, ob die Emissionen aus Baustoffen und Errichtung mit einem langfristigen Klimaziel vereinbar sind. Für eine quantitative Bewertung müssen solche Unterschiede ausdrücklich berücksichtigt werden.</w:t>
      </w:r>
    </w:p>
    <w:p>
      <w:pPr>
        <w:pStyle w:val="BodyText"/>
      </w:pPr>
      <w:r>
        <w:t xml:space="preserve">Hier setzt der klimaaktiv Standard für Plus-Energie-Quartiere an. Er verbindet einen aus nationalen Energie- und Klimazielen abgeleiteten Bewertungsmaßstab mit der Bilanzierung konkreter Projekte.</w:t>
      </w:r>
      <w:r>
        <w:t xml:space="preserve"> </w:t>
      </w:r>
      <w:r>
        <w:rPr>
          <w:b/>
          <w:bCs/>
        </w:rPr>
        <w:t xml:space="preserve">Was</w:t>
      </w:r>
      <w:r>
        <w:t xml:space="preserve"> </w:t>
      </w:r>
      <w:r>
        <w:t xml:space="preserve">der Standard fordert, beschreibt</w:t>
      </w:r>
      <w:r>
        <w:t xml:space="preserve"> </w:t>
      </w:r>
      <w:hyperlink w:anchor="sec-standard">
        <w:r>
          <w:rPr>
            <w:rStyle w:val="Hyperlink"/>
          </w:rPr>
          <w:t xml:space="preserve">Kapitel 7</w:t>
        </w:r>
      </w:hyperlink>
      <w:r>
        <w:t xml:space="preserve">.</w:t>
      </w:r>
      <w:r>
        <w:t xml:space="preserve"> </w:t>
      </w:r>
      <w:r>
        <w:rPr>
          <w:b/>
          <w:bCs/>
        </w:rPr>
        <w:t xml:space="preserve">Wie</w:t>
      </w:r>
      <w:r>
        <w:t xml:space="preserve"> </w:t>
      </w:r>
      <w:r>
        <w:t xml:space="preserve">die Zielwerte hergeleitet werden, erläutert</w:t>
      </w:r>
      <w:r>
        <w:t xml:space="preserve"> </w:t>
      </w:r>
      <w:hyperlink w:anchor="sec-allokation">
        <w:r>
          <w:rPr>
            <w:rStyle w:val="Hyperlink"/>
          </w:rPr>
          <w:t xml:space="preserve">Kapitel 11</w:t>
        </w:r>
      </w:hyperlink>
      <w:r>
        <w:t xml:space="preserve"> </w:t>
      </w:r>
      <w:r>
        <w:t xml:space="preserve">und</w:t>
      </w:r>
      <w:r>
        <w:t xml:space="preserve"> </w:t>
      </w:r>
      <w:hyperlink w:anchor="sec-zielwert-thg">
        <w:r>
          <w:rPr>
            <w:rStyle w:val="Hyperlink"/>
          </w:rPr>
          <w:t xml:space="preserve">Kapitel 16</w:t>
        </w:r>
      </w:hyperlink>
      <w:r>
        <w:t xml:space="preserve">; die Systemgrenzen und Bilanzierungsregeln sind in</w:t>
      </w:r>
      <w:r>
        <w:t xml:space="preserve"> </w:t>
      </w:r>
      <w:hyperlink w:anchor="sec-bilanzregeln">
        <w:r>
          <w:rPr>
            <w:rStyle w:val="Hyperlink"/>
          </w:rPr>
          <w:t xml:space="preserve">Kapitel 17</w:t>
        </w:r>
      </w:hyperlink>
      <w:r>
        <w:t xml:space="preserve"> </w:t>
      </w:r>
      <w:r>
        <w:t xml:space="preserve">dokumentiert.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schneids\AppData\Local\Programs\Quarto\share\formats\docx\note.png" id="44"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Gebäude oder Quartier?</w:t>
            </w:r>
          </w:p>
        </w:tc>
      </w:tr>
      <w:tr>
        <w:trPr>
          <w:cantSplit/>
        </w:trPr>
        <w:tc>
          <w:tcPr>
            <w:tcMar>
              <w:top w:w="108" w:type="dxa"/>
              <w:bottom w:w="108" w:type="dxa"/>
            </w:tcMar>
          </w:tcPr>
          <w:p>
            <w:pPr>
              <w:pStyle w:val="BodyText"/>
            </w:pPr>
            <w:pPr>
              <w:spacing w:before="16" w:after="16"/>
            </w:pPr>
            <w:r>
              <w:t xml:space="preserve">Obwohl der Standard aus dem Konzept der Plus-Energie-Quartiere hervorgegangen ist, lässt sich seine Bewertungsmethodik sowohl auf einzelne Gebäude als auch auf Gebäudegruppen und ganze Quartiere anwenden. Unterschiedliche Standort- und Bebauungsbedingungen werden durch entsprechende Kontextfaktoren berücksichtigt.</w:t>
            </w:r>
          </w:p>
          <w:p/>
        </w:tc>
      </w:tr>
    </w:tbl>
    <w:bookmarkEnd w:id="45"/>
    <w:bookmarkEnd w:id="46"/>
    <w:bookmarkStart w:id="51" w:name="sec-renovierungsfahrplan"/>
    <w:p>
      <w:pPr>
        <w:pStyle w:val="Heading1"/>
      </w:pPr>
      <w:r>
        <w:t xml:space="preserve">2. Sanierungsfahrpläne und Entwicklungspfade</w:t>
      </w:r>
    </w:p>
    <w:p>
      <w:pPr>
        <w:pStyle w:val="FirstParagraph"/>
      </w:pPr>
      <w:r>
        <w:t xml:space="preserve">„Auf dem Weg“ zum klimaneutralen Plus-Energie-Quartier</w:t>
      </w:r>
    </w:p>
    <w:p>
      <w:pPr>
        <w:pStyle w:val="BodyText"/>
      </w:pPr>
      <w:r>
        <w:t xml:space="preserve">Bestandsquartiere werden häufig schrittweise saniert. Ein Renovierungsfahrplan kann deshalb mit einer Folge von Quartiersbewertungen verbunden werden. Die Darstellung zeigt den erwarteten Zustand nach jeder Etappe, die noch erforderlichen Maßnahmen und die bis dahin verursachten Emissionen.</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Entwicklungsperspektive – keine zusätzliche Deklarationsstufe</w:t>
            </w:r>
          </w:p>
          <w:p>
            <w:pPr>
              <w:pStyle w:val="BodyText"/>
            </w:pPr>
            <w:pPr>
              <w:spacing w:before="16" w:after="16"/>
            </w:pPr>
            <w:r>
              <w:t xml:space="preserve">Der hier beschriebene Ansatz „Auf dem Weg“ ist</w:t>
            </w:r>
            <w:r>
              <w:t xml:space="preserve"> </w:t>
            </w:r>
            <w:r>
              <w:rPr>
                <w:b/>
                <w:bCs/>
              </w:rPr>
              <w:t xml:space="preserve">noch kein verbindlich operationalisierter klimaaktiv-Deklarationsweg</w:t>
            </w:r>
            <w:r>
              <w:t xml:space="preserve">. Kriterien für Etappen, zulässige Übergangsfristen und Nachweise sind gesondert festzulegen.</w:t>
            </w:r>
          </w:p>
        </w:tc>
      </w:tr>
    </w:tbl>
    <w:bookmarkStart w:id="47" w:name="maßnahmenfolge-als-planungsentscheidung"/>
    <w:p>
      <w:pPr>
        <w:pStyle w:val="Heading2"/>
      </w:pPr>
      <w:r>
        <w:t xml:space="preserve">2.1 Maßnahmenfolge als Planungsentscheidung</w:t>
      </w:r>
    </w:p>
    <w:p>
      <w:pPr>
        <w:pStyle w:val="FirstParagraph"/>
      </w:pPr>
      <w:r>
        <w:t xml:space="preserve">Ein Fahrplan kann beispielsweise zuerst die Wärmeversorgung, anschließend die Gebäudehülle und danach die lokale Erzeugung verändern – oder eine andere Reihenfolge wählen. Dabei sind technische Abhängigkeiten zu beachten: Erneuerte Wärmeerzeuger müssen zum späteren Leistungsbedarf und zu den Systemtemperaturen passen. Umgekehrt kann das Warten auf eine umfassende Sanierung fortgesetzte Betriebsemissionen bedeuten.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F1 · Etappenfahrplan</w:t>
            </w:r>
          </w:p>
          <w:p>
            <w:pPr>
              <w:pStyle w:val="BodyText"/>
            </w:pPr>
            <w:pPr>
              <w:spacing w:before="16"/>
            </w:pPr>
            <w:r>
              <w:rPr>
                <w:b/>
                <w:bCs/>
              </w:rPr>
              <w:t xml:space="preserve">Zeitachse:</w:t>
            </w:r>
            <w:r>
              <w:t xml:space="preserve"> </w:t>
            </w:r>
            <w:r>
              <w:t xml:space="preserve">Ausgangszustand → Hüllensanierung → Umstellung Wärmeversorgung → PV-/Flexibilitätsausbau, jeweils mit Zustand und bilanzieller Wirkung. Die Reihenfolge ist ein</w:t>
            </w:r>
            <w:r>
              <w:t xml:space="preserve"> </w:t>
            </w:r>
            <w:r>
              <w:rPr>
                <w:b/>
                <w:bCs/>
              </w:rPr>
              <w:t xml:space="preserve">illustratives Beispiel</w:t>
            </w:r>
            <w:r>
              <w:t xml:space="preserve">, kein vorgeschriebener Pfad.</w:t>
            </w:r>
          </w:p>
        </w:tc>
      </w:tr>
    </w:tbl>
    <w:bookmarkEnd w:id="47"/>
    <w:bookmarkStart w:id="49" w:name="X33a75b9778a227426797d5e1bed1ceca23a4b0e"/>
    <w:p>
      <w:pPr>
        <w:pStyle w:val="Heading2"/>
      </w:pPr>
      <w:r>
        <w:t xml:space="preserve">2.2 Emissionen entstehen zu unterschiedlichen Zeitpunkten</w:t>
      </w:r>
    </w:p>
    <w:p>
      <w:pPr>
        <w:pStyle w:val="FirstParagraph"/>
      </w:pPr>
      <w:r>
        <w:t xml:space="preserve">Bauliche Maßnahmen beanspruchen das THG-Budget zum Zeitpunkt ihres Anfalls; Betrieb und Mobilität verursachen im gewählten Szenario jährliche Beiträge. Schematisch ergibt sich innerhalb des Bewertungszeitraums:</w:t>
      </w:r>
    </w:p>
    <w:p>
      <w:pPr>
        <w:pStyle w:val="BodyText"/>
      </w:pPr>
      <w:bookmarkStart w:id="48" w:name="eq-etappenbudget"/>
      <m:oMathPara>
        <m:oMathParaPr>
          <m:jc m:val="center"/>
        </m:oMathParaPr>
        <m:oMath>
          <m:sSub>
            <m:e>
              <m:r>
                <m:t>G</m:t>
              </m:r>
            </m:e>
            <m:sub>
              <m:r>
                <m:rPr>
                  <m:sty m:val="p"/>
                </m:rPr>
                <m:t>k</m:t>
              </m:r>
              <m:r>
                <m:rPr>
                  <m:sty m:val="p"/>
                </m:rPr>
                <m:t>u</m:t>
              </m:r>
              <m:r>
                <m:rPr>
                  <m:sty m:val="p"/>
                </m:rPr>
                <m:t>m</m:t>
              </m:r>
              <m:r>
                <m:rPr>
                  <m:sty m:val="p"/>
                </m:rPr>
                <m:t>u</m:t>
              </m:r>
              <m:r>
                <m:rPr>
                  <m:sty m:val="p"/>
                </m:rPr>
                <m:t>l</m:t>
              </m:r>
              <m:r>
                <m:rPr>
                  <m:sty m:val="p"/>
                </m:rPr>
                <m:t>i</m:t>
              </m:r>
              <m:r>
                <m:rPr>
                  <m:sty m:val="p"/>
                </m:rPr>
                <m:t>e</m:t>
              </m:r>
              <m:r>
                <m:rPr>
                  <m:sty m:val="p"/>
                </m:rPr>
                <m:t>r</m:t>
              </m:r>
              <m:r>
                <m:rPr>
                  <m:sty m:val="p"/>
                </m:rPr>
                <m:t>t</m:t>
              </m:r>
            </m:sub>
          </m:sSub>
          <m:r>
            <m:rPr>
              <m:sty m:val="p"/>
            </m:rPr>
            <m:t>(</m:t>
          </m:r>
          <m:r>
            <m:t>t</m:t>
          </m:r>
          <m:r>
            <m:rPr>
              <m:sty m:val="p"/>
            </m:rPr>
            <m:t>)</m:t>
          </m:r>
          <m:r>
            <m:rPr>
              <m:sty m:val="p"/>
            </m:rPr>
            <m:t>=</m:t>
          </m:r>
          <m:nary>
            <m:naryPr>
              <m:chr m:val="∑"/>
              <m:limLoc m:val="undOvr"/>
              <m:subHide m:val="off"/>
              <m:supHide m:val="on"/>
            </m:naryPr>
            <m:sub>
              <m:r>
                <m:t>j</m:t>
              </m:r>
              <m:r>
                <m:rPr>
                  <m:sty m:val="p"/>
                </m:rPr>
                <m:t>:</m:t>
              </m:r>
              <m:r>
                <m:t> </m:t>
              </m:r>
              <m:sSub>
                <m:e>
                  <m:r>
                    <m:t>t</m:t>
                  </m:r>
                </m:e>
                <m:sub>
                  <m:r>
                    <m:t>j</m:t>
                  </m:r>
                </m:sub>
              </m:sSub>
              <m:r>
                <m:rPr>
                  <m:sty m:val="p"/>
                </m:rPr>
                <m:t>≤</m:t>
              </m:r>
              <m:r>
                <m:t>t</m:t>
              </m:r>
            </m:sub>
            <m:sup>
              <m:r>
                <m:t>​</m:t>
              </m:r>
            </m:sup>
            <m:e>
              <m:sSub>
                <m:e>
                  <m:r>
                    <m:t>G</m:t>
                  </m:r>
                </m:e>
                <m:sub>
                  <m:r>
                    <m:rPr>
                      <m:sty m:val="p"/>
                    </m:rPr>
                    <m:t>b</m:t>
                  </m:r>
                  <m:r>
                    <m:rPr>
                      <m:sty m:val="p"/>
                    </m:rPr>
                    <m:t>a</m:t>
                  </m:r>
                  <m:r>
                    <m:rPr>
                      <m:sty m:val="p"/>
                    </m:rPr>
                    <m:t>u</m:t>
                  </m:r>
                  <m:r>
                    <m:rPr>
                      <m:sty m:val="p"/>
                    </m:rPr>
                    <m:t>l</m:t>
                  </m:r>
                  <m:r>
                    <m:rPr>
                      <m:sty m:val="p"/>
                    </m:rPr>
                    <m:t>i</m:t>
                  </m:r>
                  <m:r>
                    <m:rPr>
                      <m:sty m:val="p"/>
                    </m:rPr>
                    <m:t>c</m:t>
                  </m:r>
                  <m:r>
                    <m:rPr>
                      <m:sty m:val="p"/>
                    </m:rPr>
                    <m:t>h</m:t>
                  </m:r>
                  <m:r>
                    <m:rPr>
                      <m:sty m:val="p"/>
                    </m:rPr>
                    <m:t>,</m:t>
                  </m:r>
                  <m:r>
                    <m:t>j</m:t>
                  </m:r>
                </m:sub>
              </m:sSub>
            </m:e>
          </m:nary>
          <m:r>
            <m:rPr>
              <m:sty m:val="p"/>
            </m:rPr>
            <m:t>+</m:t>
          </m:r>
          <m:nary>
            <m:naryPr>
              <m:chr m:val="∑"/>
              <m:limLoc m:val="undOvr"/>
              <m:subHide m:val="off"/>
              <m:supHide m:val="off"/>
            </m:naryPr>
            <m:sub>
              <m:r>
                <m:t>y</m:t>
              </m:r>
              <m:r>
                <m:rPr>
                  <m:sty m:val="p"/>
                </m:rPr>
                <m:t>=</m:t>
              </m:r>
              <m:r>
                <m:t>2025</m:t>
              </m:r>
            </m:sub>
            <m:sup>
              <m:r>
                <m:t>t</m:t>
              </m:r>
            </m:sup>
            <m:e>
              <m:sSub>
                <m:e>
                  <m:r>
                    <m:t>G</m:t>
                  </m:r>
                </m:e>
                <m:sub>
                  <m:r>
                    <m:rPr>
                      <m:sty m:val="p"/>
                    </m:rPr>
                    <m:t>B</m:t>
                  </m:r>
                  <m:r>
                    <m:rPr>
                      <m:sty m:val="p"/>
                    </m:rPr>
                    <m:t>e</m:t>
                  </m:r>
                  <m:r>
                    <m:rPr>
                      <m:sty m:val="p"/>
                    </m:rPr>
                    <m:t>t</m:t>
                  </m:r>
                  <m:r>
                    <m:rPr>
                      <m:sty m:val="p"/>
                    </m:rPr>
                    <m:t>r</m:t>
                  </m:r>
                  <m:r>
                    <m:rPr>
                      <m:sty m:val="p"/>
                    </m:rPr>
                    <m:t>i</m:t>
                  </m:r>
                  <m:r>
                    <m:rPr>
                      <m:sty m:val="p"/>
                    </m:rPr>
                    <m:t>e</m:t>
                  </m:r>
                  <m:r>
                    <m:rPr>
                      <m:sty m:val="p"/>
                    </m:rPr>
                    <m:t>b</m:t>
                  </m:r>
                  <m:r>
                    <m:rPr>
                      <m:sty m:val="p"/>
                    </m:rPr>
                    <m:t>+</m:t>
                  </m:r>
                  <m:r>
                    <m:rPr>
                      <m:sty m:val="p"/>
                    </m:rPr>
                    <m:t>M</m:t>
                  </m:r>
                  <m:r>
                    <m:rPr>
                      <m:sty m:val="p"/>
                    </m:rPr>
                    <m:t>I</m:t>
                  </m:r>
                  <m:r>
                    <m:rPr>
                      <m:sty m:val="p"/>
                    </m:rPr>
                    <m:t>V</m:t>
                  </m:r>
                  <m:r>
                    <m:rPr>
                      <m:sty m:val="p"/>
                    </m:rPr>
                    <m:t>,</m:t>
                  </m:r>
                  <m:r>
                    <m:t>y</m:t>
                  </m:r>
                </m:sub>
              </m:sSub>
            </m:e>
          </m:nary>
          <m:r>
            <m:rPr>
              <m:sty m:val="p"/>
            </m:rPr>
            <m:t>.</m:t>
          </m:r>
          <m:r>
            <m:t>  </m:t>
          </m:r>
          <m:r>
            <m:rPr>
              <m:sty m:val="p"/>
            </m:rPr>
            <m:t>(</m:t>
          </m:r>
          <m:r>
            <m:t>2.1</m:t>
          </m:r>
          <m:r>
            <m:rPr>
              <m:sty m:val="p"/>
            </m:rPr>
            <m:t>)</m:t>
          </m:r>
        </m:oMath>
      </m:oMathPara>
      <w:bookmarkEnd w:id="48"/>
    </w:p>
    <w:p>
      <w:pPr>
        <w:pStyle w:val="FirstParagraph"/>
      </w:pPr>
      <w:r>
        <w:t xml:space="preserve">Alle Beiträge sind in einer gemeinsamen Einheit und auf dieselbe Quartiersgrenze zu beziehen. Der für eine Etappe erreichte Betriebszustand allein belegt nicht, dass das kumulierte Budget über den gesamten Bewertungszeitraum bis 2075 eingehalten wird; hierfür gelten die Regeln aus</w:t>
      </w:r>
      <w:r>
        <w:t xml:space="preserve"> </w:t>
      </w:r>
      <w:hyperlink w:anchor="sec-bilanzregeln">
        <w:r>
          <w:rPr>
            <w:rStyle w:val="Hyperlink"/>
          </w:rPr>
          <w:t xml:space="preserve">Kapitel 17</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F2 · Kumulierte THG-Emissionen</w:t>
            </w:r>
          </w:p>
          <w:p>
            <w:pPr>
              <w:pStyle w:val="BodyText"/>
            </w:pPr>
            <w:pPr>
              <w:spacing w:before="16"/>
            </w:pPr>
            <w:r>
              <w:rPr>
                <w:b/>
                <w:bCs/>
              </w:rPr>
              <w:t xml:space="preserve">Interaktiver Plot:</w:t>
            </w:r>
            <w:r>
              <w:t xml:space="preserve"> </w:t>
            </w:r>
            <w:r>
              <w:t xml:space="preserve">Jährliche Betriebs- und Mobilitätsemissionen, bauliche Emissionssprünge bei Maßnahmen und kumulierte Summe gegenüber dem Budget. Etappen als anklickbare Marker; statische PDF-Fassung ergänzen.</w:t>
            </w:r>
          </w:p>
        </w:tc>
      </w:tr>
    </w:tbl>
    <w:bookmarkEnd w:id="49"/>
    <w:bookmarkStart w:id="50" w:name="welche-annahmen-sind-besonders-kritisch"/>
    <w:p>
      <w:pPr>
        <w:pStyle w:val="Heading2"/>
      </w:pPr>
      <w:r>
        <w:t xml:space="preserve">2.3 Welche Annahmen sind besonders kritisch?</w:t>
      </w:r>
    </w:p>
    <w:p>
      <w:pPr>
        <w:pStyle w:val="FirstParagraph"/>
      </w:pPr>
      <w:r>
        <w:t xml:space="preserve">Die Emissionen späterer Baustoffe und Bauweisen können sich durch Veränderungen in der Produktion und im Materialeinsatz verringern. Eine solche Entlastung ist jedoch nur mit einem dokumentierten Szenario und passenden Ökobilanzdaten anzusetzen. Europäische Szenarioarbeiten liefern dafür methodische Anknüpfungspunkte</w:t>
      </w:r>
      <w:r>
        <w:t xml:space="preserve"> </w:t>
      </w:r>
      <w:r>
        <w:t xml:space="preserve">(Le Den u. a. 2024)</w:t>
      </w:r>
      <w:r>
        <w:t xml:space="preserve">.</w:t>
      </w:r>
    </w:p>
    <w:p>
      <w:pPr>
        <w:pStyle w:val="BodyText"/>
      </w:pPr>
      <w:r>
        <w:t xml:space="preserve">Bei einer Gegenüberstellung unterschiedlicher Pfade sind insbesondere Zeitpunkt und Umfang der Eingriffe, technische Nutzungsdauern, Energieversorgung, Mobilität und verwendete Dekarbonisierungsannahmen offenzulegen.</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Abbildungsvorschlag F3 · Pfadvergleich</w:t>
            </w:r>
          </w:p>
          <w:p>
            <w:pPr>
              <w:pStyle w:val="BodyText"/>
            </w:pPr>
            <w:pPr>
              <w:spacing w:before="16" w:after="16"/>
            </w:pPr>
            <w:r>
              <w:rPr>
                <w:b/>
                <w:bCs/>
              </w:rPr>
              <w:t xml:space="preserve">Variantenvergleich:</w:t>
            </w:r>
            <w:r>
              <w:t xml:space="preserve"> </w:t>
            </w:r>
            <w:r>
              <w:t xml:space="preserve">Frühe versus gestaffelte Sanierung: kumuliertes THG-Ergebnis, verbleibender Budgetspielraum und Energiebedarf. Keine vorgetäuschte Prognosesicherheit; alle Werte als Szenarioannahmen ausweisen.</w:t>
            </w:r>
          </w:p>
        </w:tc>
      </w:tr>
    </w:tbl>
    <w:p>
      <w:pPr>
        <w:pStyle w:val="BodyText"/>
      </w:pPr>
      <w:r>
        <w:t xml:space="preserve">Die Diskussion um Etappen ergänzt die Nachweisführung aus</w:t>
      </w:r>
      <w:r>
        <w:t xml:space="preserve"> </w:t>
      </w:r>
      <w:hyperlink w:anchor="sec-anwendung">
        <w:r>
          <w:rPr>
            <w:rStyle w:val="Hyperlink"/>
          </w:rPr>
          <w:t xml:space="preserve">Kapitel 8</w:t>
        </w:r>
      </w:hyperlink>
      <w:r>
        <w:t xml:space="preserve"> </w:t>
      </w:r>
      <w:r>
        <w:t xml:space="preserve">und die Darstellung von Projektergebnissen aus</w:t>
      </w:r>
      <w:r>
        <w:t xml:space="preserve"> </w:t>
      </w:r>
      <w:hyperlink w:anchor="sec-ergebnisse">
        <w:r>
          <w:rPr>
            <w:rStyle w:val="Hyperlink"/>
          </w:rPr>
          <w:t xml:space="preserve">Kapitel 18</w:t>
        </w:r>
      </w:hyperlink>
      <w:r>
        <w:t xml:space="preserve">. Die normative Weiterentwicklung ist in</w:t>
      </w:r>
      <w:r>
        <w:t xml:space="preserve"> </w:t>
      </w:r>
      <w:hyperlink w:anchor="sec-fortschreibung">
        <w:r>
          <w:rPr>
            <w:rStyle w:val="Hyperlink"/>
          </w:rPr>
          <w:t xml:space="preserve">Kapitel 19</w:t>
        </w:r>
      </w:hyperlink>
      <w:r>
        <w:t xml:space="preserve"> </w:t>
      </w:r>
      <w:r>
        <w:t xml:space="preserve">eingeordnet.</w:t>
      </w:r>
    </w:p>
    <w:bookmarkEnd w:id="50"/>
    <w:bookmarkEnd w:id="51"/>
    <w:bookmarkStart w:id="60" w:name="sec-praxisbeispiele"/>
    <w:p>
      <w:pPr>
        <w:pStyle w:val="Heading1"/>
      </w:pPr>
      <w:r>
        <w:t xml:space="preserve">3. Praxisbeispiele</w:t>
      </w:r>
    </w:p>
    <w:p>
      <w:pPr>
        <w:pStyle w:val="FirstParagraph"/>
      </w:pPr>
      <w:r>
        <w:t xml:space="preserve">Konkrete Planungsfragen, nachvollziehbare Ergebnisse und Erfahrungen aus der Umsetzung</w:t>
      </w:r>
    </w:p>
    <w:p>
      <w:pPr>
        <w:pStyle w:val="BodyText"/>
      </w:pPr>
      <w:r>
        <w:t xml:space="preserve">Die Projekte zeigen unterschiedliche Anwendungen des Standards. Qualitätsstufe, Deklarationsphase und Berechnungsstand werden jeweils getrennt angegeben. Ein untersuchtes Potenzial ist noch kein Nachweis einer umgesetzten Qualität.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Projekt</w:t>
            </w:r>
          </w:p>
        </w:tc>
        <w:tc>
          <w:tcPr/>
          <w:p>
            <w:pPr>
              <w:pStyle w:val="Compact"/>
            </w:pPr>
            <w:r>
              <w:t xml:space="preserve">Planungsfrage</w:t>
            </w:r>
          </w:p>
        </w:tc>
        <w:tc>
          <w:tcPr/>
          <w:p>
            <w:pPr>
              <w:pStyle w:val="Compact"/>
            </w:pPr>
            <w:r>
              <w:t xml:space="preserve">Dokumentationsstand</w:t>
            </w:r>
          </w:p>
        </w:tc>
      </w:tr>
      <w:tr>
        <w:tc>
          <w:tcPr/>
          <w:p>
            <w:pPr>
              <w:pStyle w:val="Compact"/>
            </w:pPr>
            <w:hyperlink r:id="rId34">
              <w:r>
                <w:rPr>
                  <w:rStyle w:val="Hyperlink"/>
                </w:rPr>
                <w:t xml:space="preserve">Am Bichl III</w:t>
              </w:r>
            </w:hyperlink>
          </w:p>
        </w:tc>
        <w:tc>
          <w:tcPr/>
          <w:p>
            <w:pPr>
              <w:pStyle w:val="Compact"/>
            </w:pPr>
            <w:r>
              <w:t xml:space="preserve">Wie lassen sich ambitionierte Energieziele im Wohnneubau bis zur Fertigstellung sichern?</w:t>
            </w:r>
          </w:p>
        </w:tc>
        <w:tc>
          <w:tcPr/>
          <w:p>
            <w:pPr>
              <w:pStyle w:val="Compact"/>
            </w:pPr>
            <w:r>
              <w:t xml:space="preserve">Fertigstellung, Bewertungsumfang Gebäudebetrieb</w:t>
            </w:r>
          </w:p>
        </w:tc>
      </w:tr>
      <w:tr>
        <w:tc>
          <w:tcPr/>
          <w:p>
            <w:pPr>
              <w:pStyle w:val="Compact"/>
            </w:pPr>
            <w:hyperlink r:id="rId52">
              <w:r>
                <w:rPr>
                  <w:rStyle w:val="Hyperlink"/>
                </w:rPr>
                <w:t xml:space="preserve">RUGInnovation</w:t>
              </w:r>
            </w:hyperlink>
          </w:p>
        </w:tc>
        <w:tc>
          <w:tcPr/>
          <w:p>
            <w:pPr>
              <w:pStyle w:val="Compact"/>
            </w:pPr>
            <w:r>
              <w:t xml:space="preserve">Wie wirken Sanierung, erneuerbare Wärme und Photovoltaik zusammen?</w:t>
            </w:r>
          </w:p>
        </w:tc>
        <w:tc>
          <w:tcPr/>
          <w:p>
            <w:pPr>
              <w:pStyle w:val="Compact"/>
            </w:pPr>
            <w:r>
              <w:t xml:space="preserve">Kurzporträt; vertiefte Projektauswertung folgt</w:t>
            </w:r>
          </w:p>
        </w:tc>
      </w:tr>
      <w:tr>
        <w:tc>
          <w:tcPr/>
          <w:p>
            <w:pPr>
              <w:pStyle w:val="Compact"/>
            </w:pPr>
            <w:hyperlink r:id="rId53">
              <w:r>
                <w:rPr>
                  <w:rStyle w:val="Hyperlink"/>
                </w:rPr>
                <w:t xml:space="preserve">Campo Breitenlee</w:t>
              </w:r>
            </w:hyperlink>
          </w:p>
        </w:tc>
        <w:tc>
          <w:tcPr/>
          <w:p>
            <w:pPr>
              <w:pStyle w:val="Compact"/>
            </w:pPr>
            <w:r>
              <w:t xml:space="preserve">Welche Rolle spielen Mobilität, Nutzungsmix und Nutzungsdichte im Neubau?</w:t>
            </w:r>
          </w:p>
        </w:tc>
        <w:tc>
          <w:tcPr/>
          <w:p>
            <w:pPr>
              <w:pStyle w:val="Compact"/>
            </w:pPr>
            <w:r>
              <w:t xml:space="preserve">Projektporträt in Vorbereitung</w:t>
            </w:r>
          </w:p>
        </w:tc>
      </w:tr>
    </w:tbl>
    <w:bookmarkStart w:id="59" w:name="unterschiedliche-ausgangssituationen"/>
    <w:p>
      <w:pPr>
        <w:pStyle w:val="Heading2"/>
      </w:pPr>
      <w:r>
        <w:t xml:space="preserve">3.1 Unterschiedliche Ausgangssituationen</w:t>
      </w:r>
    </w:p>
    <w:p>
      <w:pPr>
        <w:pStyle w:val="FirstParagraph"/>
      </w:pPr>
      <w:r>
        <w:t xml:space="preserve">Niedrige bauliche Dichte, gemischte Nutzungen und bestehende Bausubstanz führen zu unterschiedlichen Planungsaufgaben. Die Kontextfaktoren berücksichtigen diese Voraussetzungen bei der Bewertung. Die tatsächlich erreichten Ergebnisse hängen von den konkreten Maßnahmen ab.</w:t>
      </w:r>
    </w:p>
    <w:tbl>
      <w:tblPr>
        <w:tblStyle w:val="Table"/>
        <w:tblW w:type="pct" w:w="5000"/>
        <w:tblLayout w:type="fixed"/>
        <w:tblLook w:firstRow="0" w:lastRow="0" w:firstColumn="0" w:lastColumn="0" w:noHBand="0" w:noVBand="0" w:val="0000"/>
      </w:tblPr>
      <w:tblGrid>
        <w:gridCol w:w="7920"/>
      </w:tblGrid>
      <w:tr>
        <w:tc>
          <w:tcPr/>
          <w:bookmarkStart w:id="57" w:name="fig-quartierstypologien-vergleich"/>
          <w:p>
            <w:pPr>
              <w:pStyle w:val="Compact"/>
              <w:jc w:val="center"/>
            </w:pPr>
            <w:r>
              <w:drawing>
                <wp:inline>
                  <wp:extent cx="5334000" cy="3408862"/>
                  <wp:effectExtent b="0" l="0" r="0" t="0"/>
                  <wp:docPr descr="" title="" id="55" name="Picture"/>
                  <a:graphic>
                    <a:graphicData uri="http://schemas.openxmlformats.org/drawingml/2006/picture">
                      <pic:pic>
                        <pic:nvPicPr>
                          <pic:cNvPr descr="Kapitel/../Abbildungen/beispiele.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40886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3.1: Vergleich exemplarischer Quartierstypologien anhand ihrer Primärenergiebedarfe, Energieaufbringung und Kontextkomponenten. Die Illustration ersetzt nicht den jeweiligen Projektnachweis.</w:t>
            </w:r>
          </w:p>
          <w:bookmarkEnd w:id="57"/>
        </w:tc>
      </w:tr>
    </w:tbl>
    <w:p>
      <w:pPr>
        <w:pStyle w:val="BodyText"/>
      </w:pPr>
      <w:r>
        <w:t xml:space="preserve">Die methodische Einordnung erläutern die</w:t>
      </w:r>
      <w:r>
        <w:t xml:space="preserve"> </w:t>
      </w:r>
      <w:hyperlink r:id="rId58">
        <w:r>
          <w:rPr>
            <w:rStyle w:val="Hyperlink"/>
          </w:rPr>
          <w:t xml:space="preserve">Qualitätsstufen und Anforderungen</w:t>
        </w:r>
      </w:hyperlink>
      <w:r>
        <w:t xml:space="preserve">. Technische Modellierung und Ergebnisanalyse beschreibt die</w:t>
      </w:r>
      <w:r>
        <w:t xml:space="preserve"> </w:t>
      </w:r>
      <w:hyperlink r:id="rId27">
        <w:r>
          <w:rPr>
            <w:rStyle w:val="Hyperlink"/>
          </w:rPr>
          <w:t xml:space="preserve">PEExcel-Wissensplattform</w:t>
        </w:r>
      </w:hyperlink>
      <w:r>
        <w:t xml:space="preserve">.</w:t>
      </w:r>
    </w:p>
    <w:bookmarkEnd w:id="59"/>
    <w:bookmarkEnd w:id="60"/>
    <w:bookmarkStart w:id="96" w:name="sec-am-bichl"/>
    <w:p>
      <w:pPr>
        <w:pStyle w:val="Heading1"/>
      </w:pPr>
      <w:r>
        <w:t xml:space="preserve">4. Am Bichl III</w:t>
      </w:r>
    </w:p>
    <w:p>
      <w:pPr>
        <w:pStyle w:val="FirstParagraph"/>
      </w:pPr>
      <w:r>
        <w:t xml:space="preserve">Ambitionierte Energieziele bis zur Fertigstellung sichern</w:t>
      </w:r>
    </w:p>
    <w:p>
      <w:pPr>
        <w:pStyle w:val="BodyText"/>
      </w:pPr>
      <w:hyperlink r:id="rId58">
        <w:r>
          <w:drawing>
            <wp:inline>
              <wp:extent cx="2085975" cy="2000250"/>
              <wp:effectExtent b="0" l="0" r="0" t="0"/>
              <wp:docPr descr="PEQ-Symbol" title="" id="62" name="Picture"/>
              <a:graphic>
                <a:graphicData uri="http://schemas.openxmlformats.org/drawingml/2006/picture">
                  <pic:pic>
                    <pic:nvPicPr>
                      <pic:cNvPr descr="Kapitel/../Abbildungen/siegel_peq.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085975" cy="2000250"/>
                      </a:xfrm>
                      <a:prstGeom prst="rect">
                        <a:avLst/>
                      </a:prstGeom>
                      <a:noFill/>
                      <a:ln w="9525">
                        <a:noFill/>
                        <a:headEnd/>
                        <a:tailEnd/>
                      </a:ln>
                    </pic:spPr>
                  </pic:pic>
                </a:graphicData>
              </a:graphic>
            </wp:inline>
          </w:drawing>
        </w:r>
        <w:r>
          <w:rPr>
            <w:rStyle w:val="Hyperlink"/>
          </w:rPr>
          <w:t xml:space="preserve"> </w:t>
        </w:r>
        <w:r>
          <w:rPr>
            <w:rStyle w:val="Hyperlink"/>
          </w:rPr>
          <w:t xml:space="preserve">Plus-Energie-Quartier</w:t>
        </w:r>
      </w:hyperlink>
      <w:r>
        <w:t xml:space="preserve"> </w:t>
      </w:r>
      <w:r>
        <w:t xml:space="preserve">Neubau</w:t>
      </w:r>
      <w:r>
        <w:t xml:space="preserve"> </w:t>
      </w:r>
      <w:r>
        <w:t xml:space="preserve">Wohnen</w:t>
      </w:r>
      <w:r>
        <w:t xml:space="preserve"> </w:t>
      </w:r>
      <w:r>
        <w:t xml:space="preserve">Photovoltaik</w:t>
      </w:r>
      <w:r>
        <w:t xml:space="preserve"> </w:t>
      </w:r>
      <w:r>
        <w:t xml:space="preserve">Energieflexibilität</w:t>
      </w:r>
    </w:p>
    <w:p>
      <w:pPr>
        <w:pStyle w:val="CaptionedFigure"/>
      </w:pPr>
      <w:r>
        <w:drawing>
          <wp:inline>
            <wp:extent cx="5334000" cy="3000223"/>
            <wp:effectExtent b="0" l="0" r="0" t="0"/>
            <wp:docPr descr="Am Bichl III in Innsbruck-Igls: fünf Wohngebäude mit umfangreichen Photovoltaikflächen." title="" id="65" name="Picture"/>
            <a:graphic>
              <a:graphicData uri="http://schemas.openxmlformats.org/drawingml/2006/picture">
                <pic:pic>
                  <pic:nvPicPr>
                    <pic:cNvPr descr="Kapitel/../Abbildungen/praxis/am-bichl-ansicht.jpeg" id="66" name="Picture"/>
                    <pic:cNvPicPr>
                      <a:picLocks noChangeArrowheads="1" noChangeAspect="1"/>
                    </pic:cNvPicPr>
                  </pic:nvPicPr>
                  <pic:blipFill>
                    <a:blip r:embed="rId64"/>
                    <a:stretch>
                      <a:fillRect/>
                    </a:stretch>
                  </pic:blipFill>
                  <pic:spPr bwMode="auto">
                    <a:xfrm>
                      <a:off x="0" y="0"/>
                      <a:ext cx="5334000" cy="3000223"/>
                    </a:xfrm>
                    <a:prstGeom prst="rect">
                      <a:avLst/>
                    </a:prstGeom>
                    <a:noFill/>
                    <a:ln w="9525">
                      <a:noFill/>
                      <a:headEnd/>
                      <a:tailEnd/>
                    </a:ln>
                  </pic:spPr>
                </pic:pic>
              </a:graphicData>
            </a:graphic>
          </wp:inline>
        </w:drawing>
      </w:r>
    </w:p>
    <w:p>
      <w:pPr>
        <w:pStyle w:val="ImageCaption"/>
      </w:pPr>
      <w:r>
        <w:t xml:space="preserve">Am Bichl III in Innsbruck-Igls: fünf Wohngebäude mit umfangreichen Photovoltaikflächen.</w:t>
      </w:r>
    </w:p>
    <w:p>
      <w:pPr>
        <w:pStyle w:val="BodyText"/>
      </w:pPr>
      <w:r>
        <w:t xml:space="preserve">Das Wohnquartier Am Bichl III zeigt, dass ambitionierte Neubauten die Anforderungen an ein Plus-Energie-Quartier erreichen können. Fünf Gebäude mit 50 Wohnungen verbinden eine effiziente Gebäudehülle, Wärmepumpen und umfangreiche Photovoltaik. Die Primärenergiebilanz des Gebäudebetriebs übertrifft den projektspezifischen Zielwert.</w:t>
      </w:r>
      <w:r>
        <w:rPr>
          <w:rStyle w:val="FootnoteReference"/>
        </w:rPr>
        <w:footnoteReference w:id="67"/>
      </w:r>
    </w:p>
    <w:bookmarkStart w:id="69" w:name="projekt-auf-einen-blick"/>
    <w:p>
      <w:pPr>
        <w:pStyle w:val="Heading2"/>
      </w:pPr>
      <w:r>
        <w:t xml:space="preserve">4.1 Projekt auf einen Blick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Angabe</w:t>
            </w:r>
          </w:p>
        </w:tc>
      </w:tr>
      <w:tr>
        <w:tc>
          <w:tcPr/>
          <w:p>
            <w:pPr>
              <w:pStyle w:val="Compact"/>
            </w:pPr>
            <w:r>
              <w:t xml:space="preserve">Standort</w:t>
            </w:r>
          </w:p>
        </w:tc>
        <w:tc>
          <w:tcPr/>
          <w:p>
            <w:pPr>
              <w:pStyle w:val="Compact"/>
            </w:pPr>
            <w:r>
              <w:t xml:space="preserve">Am Bichl 31–35, Innsbruck-Igls, Tirol</w:t>
            </w:r>
          </w:p>
        </w:tc>
      </w:tr>
      <w:tr>
        <w:tc>
          <w:tcPr/>
          <w:p>
            <w:pPr>
              <w:pStyle w:val="Compact"/>
            </w:pPr>
            <w:r>
              <w:t xml:space="preserve">Bauträger</w:t>
            </w:r>
          </w:p>
        </w:tc>
        <w:tc>
          <w:tcPr/>
          <w:p>
            <w:pPr>
              <w:pStyle w:val="Compact"/>
            </w:pPr>
            <w:r>
              <w:t xml:space="preserve">IIG – Innsbrucker Immobiliengesellschaft</w:t>
            </w:r>
          </w:p>
        </w:tc>
      </w:tr>
      <w:tr>
        <w:tc>
          <w:tcPr/>
          <w:p>
            <w:pPr>
              <w:pStyle w:val="Compact"/>
            </w:pPr>
            <w:r>
              <w:t xml:space="preserve">Architektur</w:t>
            </w:r>
          </w:p>
        </w:tc>
        <w:tc>
          <w:tcPr/>
          <w:p>
            <w:pPr>
              <w:pStyle w:val="Compact"/>
            </w:pPr>
            <w:r>
              <w:t xml:space="preserve">he &amp; du ZT KG</w:t>
            </w:r>
          </w:p>
        </w:tc>
      </w:tr>
      <w:tr>
        <w:tc>
          <w:tcPr/>
          <w:p>
            <w:pPr>
              <w:pStyle w:val="Compact"/>
            </w:pPr>
            <w:r>
              <w:t xml:space="preserve">Nutzung</w:t>
            </w:r>
          </w:p>
        </w:tc>
        <w:tc>
          <w:tcPr/>
          <w:p>
            <w:pPr>
              <w:pStyle w:val="Compact"/>
            </w:pPr>
            <w:r>
              <w:t xml:space="preserve">Wohnen, 50 Wohnungen in fünf Gebäuden</w:t>
            </w:r>
          </w:p>
        </w:tc>
      </w:tr>
      <w:tr>
        <w:tc>
          <w:tcPr/>
          <w:p>
            <w:pPr>
              <w:pStyle w:val="Compact"/>
            </w:pPr>
            <w:r>
              <w:t xml:space="preserve">Bruttogrundfläche</w:t>
            </w:r>
          </w:p>
        </w:tc>
        <w:tc>
          <w:tcPr/>
          <w:p>
            <w:pPr>
              <w:pStyle w:val="Compact"/>
            </w:pPr>
            <w:r>
              <w:t xml:space="preserve">5.360 m²</w:t>
            </w:r>
          </w:p>
        </w:tc>
      </w:tr>
      <w:tr>
        <w:tc>
          <w:tcPr/>
          <w:p>
            <w:pPr>
              <w:pStyle w:val="Compact"/>
            </w:pPr>
            <w:r>
              <w:t xml:space="preserve">Geschossflächenzahl</w:t>
            </w:r>
          </w:p>
        </w:tc>
        <w:tc>
          <w:tcPr/>
          <w:p>
            <w:pPr>
              <w:pStyle w:val="Compact"/>
            </w:pPr>
            <w:r>
              <w:t xml:space="preserve">0,73</w:t>
            </w:r>
          </w:p>
        </w:tc>
      </w:tr>
      <w:tr>
        <w:tc>
          <w:tcPr/>
          <w:p>
            <w:pPr>
              <w:pStyle w:val="Compact"/>
            </w:pPr>
            <w:r>
              <w:t xml:space="preserve">Qualitätsstufe</w:t>
            </w:r>
          </w:p>
        </w:tc>
        <w:tc>
          <w:tcPr/>
          <w:p>
            <w:pPr>
              <w:pStyle w:val="Compact"/>
            </w:pPr>
            <w:r>
              <w:t xml:space="preserve">Plus-Energie-Quartier, Gebäudebetrieb</w:t>
            </w:r>
          </w:p>
        </w:tc>
      </w:tr>
      <w:tr>
        <w:tc>
          <w:tcPr/>
          <w:p>
            <w:pPr>
              <w:pStyle w:val="Compact"/>
            </w:pPr>
            <w:r>
              <w:t xml:space="preserve">Deklarationsphase</w:t>
            </w:r>
          </w:p>
        </w:tc>
        <w:tc>
          <w:tcPr/>
          <w:p>
            <w:pPr>
              <w:pStyle w:val="Compact"/>
            </w:pPr>
            <w:r>
              <w:t xml:space="preserve">Fertigstellung</w:t>
            </w:r>
          </w:p>
        </w:tc>
      </w:tr>
      <w:tr>
        <w:tc>
          <w:tcPr/>
          <w:p>
            <w:pPr>
              <w:pStyle w:val="Compact"/>
            </w:pPr>
            <w:r>
              <w:t xml:space="preserve">Bewertungsstand</w:t>
            </w:r>
          </w:p>
        </w:tc>
        <w:tc>
          <w:tcPr/>
          <w:p>
            <w:pPr>
              <w:pStyle w:val="Compact"/>
            </w:pPr>
            <w:r>
              <w:t xml:space="preserve">August 2026, PEQ-Nachweistool v1.10</w:t>
            </w:r>
          </w:p>
        </w:tc>
      </w:tr>
    </w:tbl>
    <w:p>
      <w:pPr>
        <w:pStyle w:val="BodyText"/>
      </w:pPr>
      <w:r>
        <w:t xml:space="preserve">Mobilität und die Lebenszyklus-Treibhausgasbilanz sind</w:t>
      </w:r>
      <w:r>
        <w:t xml:space="preserve"> </w:t>
      </w:r>
      <w:r>
        <w:rPr>
          <w:b/>
          <w:bCs/>
        </w:rPr>
        <w:t xml:space="preserve">nicht Bestandteil dieser Deklaration</w:t>
      </w:r>
      <w:r>
        <w:t xml:space="preserve">. Die</w:t>
      </w:r>
      <w:r>
        <w:t xml:space="preserve"> </w:t>
      </w:r>
      <w:hyperlink r:id="rId68">
        <w:r>
          <w:rPr>
            <w:rStyle w:val="Hyperlink"/>
          </w:rPr>
          <w:t xml:space="preserve">Fertigstellungsdeklaration</w:t>
        </w:r>
      </w:hyperlink>
      <w:r>
        <w:t xml:space="preserve"> </w:t>
      </w:r>
      <w:r>
        <w:t xml:space="preserve">zeichnet die erreichte Qualität des umgesetzten Projekts aus.</w:t>
      </w:r>
    </w:p>
    <w:bookmarkEnd w:id="69"/>
    <w:bookmarkStart w:id="70" w:name="die-planungsfrage"/>
    <w:p>
      <w:pPr>
        <w:pStyle w:val="Heading2"/>
      </w:pPr>
      <w:r>
        <w:t xml:space="preserve">4.2 Die Planungsfrage</w:t>
      </w:r>
    </w:p>
    <w:p>
      <w:pPr>
        <w:pStyle w:val="FirstParagraph"/>
      </w:pPr>
      <w:r>
        <w:t xml:space="preserve">Wie lässt sich eine ambitionierte Energiequalität in einem Wohnquartier mit vergleichsweise geringer baulicher Dichte erreichen und bis zur Umsetzung erhalten? Der</w:t>
      </w:r>
      <w:r>
        <w:t xml:space="preserve"> </w:t>
      </w:r>
      <w:hyperlink w:anchor="sec-kontext-dichte">
        <w:r>
          <w:rPr>
            <w:rStyle w:val="Hyperlink"/>
          </w:rPr>
          <w:t xml:space="preserve">Dichtefaktor</w:t>
        </w:r>
      </w:hyperlink>
      <w:r>
        <w:t xml:space="preserve"> </w:t>
      </w:r>
      <w:r>
        <w:t xml:space="preserve">führt bei dieser baulichen Dichte zu einer zusätzlichen energetischen Anforderung. Gute Gebäudequalität, lokale Erzeugung und Energieflexibilität wirken zusammen, um diese zu erfüllen. Die</w:t>
      </w:r>
      <w:r>
        <w:t xml:space="preserve"> </w:t>
      </w:r>
      <w:hyperlink r:id="rId68">
        <w:r>
          <w:rPr>
            <w:rStyle w:val="Hyperlink"/>
          </w:rPr>
          <w:t xml:space="preserve">Begleitung von der Planung bis zur Fertigstellungsdeklaration</w:t>
        </w:r>
      </w:hyperlink>
      <w:r>
        <w:t xml:space="preserve"> </w:t>
      </w:r>
      <w:r>
        <w:t xml:space="preserve">macht die Zielerreichung über den Projektverlauf nachvollziehbar.</w:t>
      </w:r>
    </w:p>
    <w:bookmarkEnd w:id="70"/>
    <w:bookmarkStart w:id="75" w:name="maßnahmen-im-quartier"/>
    <w:p>
      <w:pPr>
        <w:pStyle w:val="Heading2"/>
      </w:pPr>
      <w:r>
        <w:t xml:space="preserve">4.3 Maßnahmen im Quartier</w:t>
      </w:r>
    </w:p>
    <w:p>
      <w:pPr>
        <w:pStyle w:val="FirstParagraph"/>
      </w:pPr>
      <w:r>
        <w:t xml:space="preserve">Die Gebäude verbinden eine hochwertige thermische Hülle mit Komfortlüftung und Wärmerückgewinnung. Drei zentral geregelte Luft-Wärmepumpen versorgen die Fußbodenheizung. Die Warmwasserbereitung erfolgt wohnungsweise über Wärmepumpen-Booster, die den Heizungsrücklauf als Wärmequelle nutzen.</w:t>
      </w:r>
    </w:p>
    <w:p>
      <w:pPr>
        <w:pStyle w:val="BodyText"/>
      </w:pPr>
      <w:r>
        <w:t xml:space="preserve">Photovoltaik nutzt die Gebäudedächer, eine Südfassade und den Carport. Insgesamt stehen</w:t>
      </w:r>
      <w:r>
        <w:t xml:space="preserve"> </w:t>
      </w:r>
      <w:r>
        <w:rPr>
          <w:b/>
          <w:bCs/>
        </w:rPr>
        <w:t xml:space="preserve">198,4 kWp</w:t>
      </w:r>
      <w:r>
        <w:t xml:space="preserve"> </w:t>
      </w:r>
      <w:r>
        <w:t xml:space="preserve">installierte PV-Leistung zur Verfügung.</w:t>
      </w:r>
    </w:p>
    <w:tbl>
      <w:tblPr>
        <w:tblStyle w:val="Table"/>
        <w:tblW w:type="pct" w:w="5000"/>
        <w:tblLayout w:type="fixed"/>
        <w:tblLook w:firstRow="0" w:lastRow="0" w:firstColumn="0" w:lastColumn="0" w:noHBand="0" w:noVBand="0" w:val="0000"/>
      </w:tblPr>
      <w:tblGrid>
        <w:gridCol w:w="7920"/>
      </w:tblGrid>
      <w:tr>
        <w:tc>
          <w:tcPr/>
          <w:bookmarkStart w:id="74" w:name="fig-am-bichl-pv"/>
          <w:p>
            <w:pPr>
              <w:pStyle w:val="Compact"/>
              <w:jc w:val="center"/>
            </w:pPr>
            <w:r>
              <w:drawing>
                <wp:inline>
                  <wp:extent cx="5334000" cy="2422901"/>
                  <wp:effectExtent b="0" l="0" r="0" t="0"/>
                  <wp:docPr descr="" title="" id="72" name="Picture"/>
                  <a:graphic>
                    <a:graphicData uri="http://schemas.openxmlformats.org/drawingml/2006/picture">
                      <pic:pic>
                        <pic:nvPicPr>
                          <pic:cNvPr descr="Kapitel/../Abbildungen/praxis/am-bichl-pv.png" id="73" name="Picture"/>
                          <pic:cNvPicPr>
                            <a:picLocks noChangeArrowheads="1" noChangeAspect="1"/>
                          </pic:cNvPicPr>
                        </pic:nvPicPr>
                        <pic:blipFill>
                          <a:blip r:embed="rId71"/>
                          <a:stretch>
                            <a:fillRect/>
                          </a:stretch>
                        </pic:blipFill>
                        <pic:spPr bwMode="auto">
                          <a:xfrm>
                            <a:off x="0" y="0"/>
                            <a:ext cx="5334000" cy="242290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4.1: PV-Belegung im Quartier: Dachflächen, Südfassade und Carport tragen zur lokalen Stromerzeugung bei.</w:t>
            </w:r>
          </w:p>
          <w:bookmarkEnd w:id="74"/>
        </w:tc>
      </w:tr>
    </w:tbl>
    <w:bookmarkEnd w:id="75"/>
    <w:bookmarkStart w:id="86" w:name="das-ergebnis"/>
    <w:p>
      <w:pPr>
        <w:pStyle w:val="Heading2"/>
      </w:pPr>
      <w:r>
        <w:t xml:space="preserve">4.4 Das Ergebnis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Kennzahl</w:t>
            </w:r>
          </w:p>
        </w:tc>
        <w:tc>
          <w:tcPr/>
          <w:p>
            <w:pPr>
              <w:pStyle w:val="Compact"/>
              <w:jc w:val="right"/>
            </w:pPr>
            <w:r>
              <w:t xml:space="preserve">Ergebnis</w:t>
            </w:r>
          </w:p>
        </w:tc>
      </w:tr>
      <w:tr>
        <w:tc>
          <w:tcPr/>
          <w:p>
            <w:pPr>
              <w:pStyle w:val="Compact"/>
            </w:pPr>
            <w:r>
              <w:t xml:space="preserve">Primärenergiesaldo des Projekts</w:t>
            </w:r>
          </w:p>
        </w:tc>
        <w:tc>
          <w:tcPr/>
          <w:p>
            <w:pPr>
              <w:pStyle w:val="Compact"/>
              <w:jc w:val="right"/>
            </w:pPr>
            <w:r>
              <w:rPr>
                <w:b/>
                <w:bCs/>
              </w:rPr>
              <w:t xml:space="preserve">20,4 kWhₚₑ,ges/(m² NGF·a)</w:t>
            </w:r>
          </w:p>
        </w:tc>
      </w:tr>
      <w:tr>
        <w:tc>
          <w:tcPr/>
          <w:p>
            <w:pPr>
              <w:pStyle w:val="Compact"/>
            </w:pPr>
            <w:r>
              <w:t xml:space="preserve">Projektspezifischer Zielwert</w:t>
            </w:r>
          </w:p>
        </w:tc>
        <w:tc>
          <w:tcPr/>
          <w:p>
            <w:pPr>
              <w:pStyle w:val="Compact"/>
              <w:jc w:val="right"/>
            </w:pPr>
            <w:r>
              <w:rPr>
                <w:b/>
                <w:bCs/>
              </w:rPr>
              <w:t xml:space="preserve">16,6 kWhₚₑ,ges/(m² NGF·a)</w:t>
            </w:r>
          </w:p>
        </w:tc>
      </w:tr>
      <w:tr>
        <w:tc>
          <w:tcPr/>
          <w:p>
            <w:pPr>
              <w:pStyle w:val="Compact"/>
            </w:pPr>
            <w:r>
              <w:t xml:space="preserve">Abstand zum Zielwert</w:t>
            </w:r>
          </w:p>
        </w:tc>
        <w:tc>
          <w:tcPr/>
          <w:p>
            <w:pPr>
              <w:pStyle w:val="Compact"/>
              <w:jc w:val="right"/>
            </w:pPr>
            <w:r>
              <w:rPr>
                <w:b/>
                <w:bCs/>
              </w:rPr>
              <w:t xml:space="preserve">+3,8 kWhₚₑ,ges/(m² NGF·a)</w:t>
            </w:r>
          </w:p>
        </w:tc>
      </w:tr>
      <w:tr>
        <w:tc>
          <w:tcPr/>
          <w:p>
            <w:pPr>
              <w:pStyle w:val="Compact"/>
            </w:pPr>
            <w:r>
              <w:t xml:space="preserve">Installierte PV-Leistung</w:t>
            </w:r>
          </w:p>
        </w:tc>
        <w:tc>
          <w:tcPr/>
          <w:p>
            <w:pPr>
              <w:pStyle w:val="Compact"/>
              <w:jc w:val="right"/>
            </w:pPr>
            <w:r>
              <w:rPr>
                <w:b/>
                <w:bCs/>
              </w:rPr>
              <w:t xml:space="preserve">198,4 kWp</w:t>
            </w:r>
          </w:p>
        </w:tc>
      </w:tr>
      <w:tr>
        <w:tc>
          <w:tcPr/>
          <w:p>
            <w:pPr>
              <w:pStyle w:val="Compact"/>
            </w:pPr>
            <w:r>
              <w:t xml:space="preserve">PV-Leistung bezogen auf BGF</w:t>
            </w:r>
          </w:p>
        </w:tc>
        <w:tc>
          <w:tcPr/>
          <w:p>
            <w:pPr>
              <w:pStyle w:val="Compact"/>
              <w:jc w:val="right"/>
            </w:pPr>
            <w:r>
              <w:t xml:space="preserve">rund</w:t>
            </w:r>
            <w:r>
              <w:t xml:space="preserve"> </w:t>
            </w:r>
            <w:r>
              <w:rPr>
                <w:b/>
                <w:bCs/>
              </w:rPr>
              <w:t xml:space="preserve">37 Wp/m² BGF</w:t>
            </w:r>
            <w:r>
              <w:rPr>
                <w:rStyle w:val="FootnoteReference"/>
              </w:rPr>
              <w:footnoteReference w:id="76"/>
            </w:r>
          </w:p>
        </w:tc>
      </w:tr>
      <w:tr>
        <w:tc>
          <w:tcPr/>
          <w:p>
            <w:pPr>
              <w:pStyle w:val="Compact"/>
            </w:pPr>
            <w:r>
              <w:t xml:space="preserve">Heizwärmebedarf</w:t>
            </w:r>
          </w:p>
        </w:tc>
        <w:tc>
          <w:tcPr/>
          <w:p>
            <w:pPr>
              <w:pStyle w:val="Compact"/>
              <w:jc w:val="right"/>
            </w:pPr>
            <w:r>
              <w:rPr>
                <w:b/>
                <w:bCs/>
              </w:rPr>
              <w:t xml:space="preserve">7,5 kWh/(m² NGF·a)</w:t>
            </w:r>
            <w:r>
              <w:rPr>
                <w:rStyle w:val="FootnoteReference"/>
              </w:rPr>
              <w:footnoteReference w:id="77"/>
            </w:r>
          </w:p>
        </w:tc>
      </w:tr>
    </w:tbl>
    <w:p>
      <w:pPr>
        <w:pStyle w:val="BodyText"/>
      </w:pPr>
      <w:r>
        <w:t xml:space="preserve">Der Primärenergiesaldo liegt um</w:t>
      </w:r>
      <w:r>
        <w:t xml:space="preserve"> </w:t>
      </w:r>
      <w:r>
        <w:rPr>
          <w:b/>
          <w:bCs/>
        </w:rPr>
        <w:t xml:space="preserve">3,8 kWh pro Quadratmeter Nettogrundfläche und Jahr</w:t>
      </w:r>
      <w:r>
        <w:t xml:space="preserve"> </w:t>
      </w:r>
      <w:r>
        <w:t xml:space="preserve">über dem Zielwert. Das Quartier erfüllt damit die Anforderungen an ein Plus-Energie-Quartier im Gebäudebetrieb.</w:t>
      </w:r>
    </w:p>
    <w:tbl>
      <w:tblPr>
        <w:tblStyle w:val="Table"/>
        <w:tblW w:type="pct" w:w="5000"/>
        <w:tblLayout w:type="fixed"/>
        <w:tblLook w:firstRow="0" w:lastRow="0" w:firstColumn="0" w:lastColumn="0" w:noHBand="0" w:noVBand="0" w:val="0000"/>
      </w:tblPr>
      <w:tblGrid>
        <w:gridCol w:w="7920"/>
      </w:tblGrid>
      <w:tr>
        <w:tc>
          <w:tcPr/>
          <w:bookmarkStart w:id="81" w:name="fig-am-bichl-pe"/>
          <w:p>
            <w:pPr>
              <w:pStyle w:val="Compact"/>
              <w:jc w:val="center"/>
            </w:pPr>
            <w:r>
              <w:drawing>
                <wp:inline>
                  <wp:extent cx="5334000" cy="2488324"/>
                  <wp:effectExtent b="0" l="0" r="0" t="0"/>
                  <wp:docPr descr="" title="" id="79" name="Picture"/>
                  <a:graphic>
                    <a:graphicData uri="http://schemas.openxmlformats.org/drawingml/2006/picture">
                      <pic:pic>
                        <pic:nvPicPr>
                          <pic:cNvPr descr="Kapitel/../Abbildungen/praxis/am-bichl-primaerenergie.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248832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4.2: Primärenergiebilanz: Lokale erneuerbare Erzeugung und energieflexibler Bezug decken den bewerteten Bedarf und die zusätzliche Anforderung aus der baulichen Dichte. Der verbleibende Abstand zum Zielwert beträgt +3,8 kWhₚₑ,ges/(m² NGF·a).</w:t>
            </w:r>
          </w:p>
          <w:bookmarkEnd w:id="81"/>
        </w:tc>
      </w:tr>
    </w:tbl>
    <w:p>
      <w:pPr>
        <w:pStyle w:val="BodyText"/>
      </w:pPr>
      <w:r>
        <w:t xml:space="preserve">Die Endenergiebetrachtung zeigt, wofür Strom im Quartier benötigt wird. Neben dem Nutzerstrom prägt insbesondere die Warmwasserbereitung den Bedarf. Photovoltaik und flexibler Netzbezug ergänzen den konventionellen Netzstrom in den einzelnen Anwendungen.</w:t>
      </w:r>
    </w:p>
    <w:tbl>
      <w:tblPr>
        <w:tblStyle w:val="Table"/>
        <w:tblW w:type="pct" w:w="5000"/>
        <w:tblLayout w:type="fixed"/>
        <w:tblLook w:firstRow="0" w:lastRow="0" w:firstColumn="0" w:lastColumn="0" w:noHBand="0" w:noVBand="0" w:val="0000"/>
      </w:tblPr>
      <w:tblGrid>
        <w:gridCol w:w="7920"/>
      </w:tblGrid>
      <w:tr>
        <w:tc>
          <w:tcPr/>
          <w:bookmarkStart w:id="85" w:name="fig-am-bichl-ee"/>
          <w:p>
            <w:pPr>
              <w:pStyle w:val="Compact"/>
              <w:jc w:val="center"/>
            </w:pPr>
            <w:r>
              <w:drawing>
                <wp:inline>
                  <wp:extent cx="5334000" cy="2339381"/>
                  <wp:effectExtent b="0" l="0" r="0" t="0"/>
                  <wp:docPr descr="" title="" id="83" name="Picture"/>
                  <a:graphic>
                    <a:graphicData uri="http://schemas.openxmlformats.org/drawingml/2006/picture">
                      <pic:pic>
                        <pic:nvPicPr>
                          <pic:cNvPr descr="Kapitel/../Abbildungen/praxis/am-bichl-endenergie.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334000" cy="233938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4.3: Endenergiedeckung nach Nutzung: Nutzerstrom, Heizen, Kühlen, Warmwasser und Lüftung werden getrennt dargestellt. Die Farben unterscheiden PV-Deckung, flexible Deckung und verbleibenden Netzstrombezug.</w:t>
            </w:r>
          </w:p>
          <w:bookmarkEnd w:id="85"/>
        </w:tc>
      </w:tr>
    </w:tbl>
    <w:bookmarkEnd w:id="86"/>
    <w:bookmarkStart w:id="92" w:name="welche-rolle-spielt-energieflexibilität"/>
    <w:p>
      <w:pPr>
        <w:pStyle w:val="Heading2"/>
      </w:pPr>
      <w:r>
        <w:t xml:space="preserve">4.5 Welche Rolle spielt Energieflexibilität?</w:t>
      </w:r>
    </w:p>
    <w:p>
      <w:pPr>
        <w:pStyle w:val="FirstParagraph"/>
      </w:pPr>
      <w:r>
        <w:t xml:space="preserve">Zentral regelbare Wärmepumpen, thermische Speichermasse und Wärmespeicher ermöglichen es, die Wärmebereitstellung zeitlich anzupassen. Die zentrale Gebäudeleittechnik und die modulierenden Wärmepumpen bieten dafür eine wichtige Voraussetzung: Die heute außentemperaturgeführte Regelung kann künftig um Signale der lokalen PV-Erzeugung oder des Stromsystems erweitert werden. Damit wird eine gezielte Verschiebung der Wärmebereitstellung möglich.</w:t>
      </w:r>
    </w:p>
    <w:p>
      <w:pPr>
        <w:pStyle w:val="BodyText"/>
      </w:pPr>
      <w:r>
        <w:t xml:space="preserve">Im zukünftigen Stromsystem ergänzen sich lokale Sonnenenergie und Strom aus überregionaler Windkraft. Wärmepumpen können windreiche Stunden nutzen, um Wärme bereitzustellen und thermische Speicher zu laden. Das verbessert die Nutzung erneuerbarer Energie auch dann, wenn die lokale PV-Erzeugung gering ist.</w:t>
      </w:r>
    </w:p>
    <w:tbl>
      <w:tblPr>
        <w:tblStyle w:val="Table"/>
        <w:tblW w:type="pct" w:w="5000"/>
        <w:tblLayout w:type="fixed"/>
        <w:tblLook w:firstRow="0" w:lastRow="0" w:firstColumn="0" w:lastColumn="0" w:noHBand="0" w:noVBand="0" w:val="0000"/>
      </w:tblPr>
      <w:tblGrid>
        <w:gridCol w:w="7920"/>
      </w:tblGrid>
      <w:tr>
        <w:tc>
          <w:tcPr/>
          <w:bookmarkStart w:id="90" w:name="fig-am-bichl-winter"/>
          <w:p>
            <w:pPr>
              <w:pStyle w:val="Compact"/>
              <w:jc w:val="center"/>
            </w:pPr>
            <w:r>
              <w:drawing>
                <wp:inline>
                  <wp:extent cx="5334000" cy="1604254"/>
                  <wp:effectExtent b="0" l="0" r="0" t="0"/>
                  <wp:docPr descr="" title="" id="88" name="Picture"/>
                  <a:graphic>
                    <a:graphicData uri="http://schemas.openxmlformats.org/drawingml/2006/picture">
                      <pic:pic>
                        <pic:nvPicPr>
                          <pic:cNvPr descr="Kapitel/../Abbildungen/praxis/am-bichl-winterwoche.png" id="89" name="Picture"/>
                          <pic:cNvPicPr>
                            <a:picLocks noChangeArrowheads="1" noChangeAspect="1"/>
                          </pic:cNvPicPr>
                        </pic:nvPicPr>
                        <pic:blipFill>
                          <a:blip r:embed="rId87"/>
                          <a:stretch>
                            <a:fillRect/>
                          </a:stretch>
                        </pic:blipFill>
                        <pic:spPr bwMode="auto">
                          <a:xfrm>
                            <a:off x="0" y="0"/>
                            <a:ext cx="5334000" cy="160425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4.4: Stromdeckung in einer beispielhaften Winterwoche: Die grünen PV-Beiträge treten überwiegend tagsüber auf. Der limettengelb markierte flexible Netzbezug ergänzt sie zu Zeiten mit Windspitzen. So können lokale Solarerträge und überregional verfügbarer Windstrom gemeinsam zur Versorgung beitragen; der dunkelviolette Anteil zeigt den verbleibenden konventionellen Netzbezug.</w:t>
            </w:r>
          </w:p>
          <w:bookmarkEnd w:id="90"/>
        </w:tc>
      </w:tr>
    </w:tbl>
    <w:p>
      <w:pPr>
        <w:pStyle w:val="BodyText"/>
      </w:pPr>
      <w:r>
        <w:t xml:space="preserve">Die bilanzielle Flexibilitätsgutschrift beträgt</w:t>
      </w:r>
      <w:r>
        <w:t xml:space="preserve"> </w:t>
      </w:r>
      <w:r>
        <w:rPr>
          <w:b/>
          <w:bCs/>
        </w:rPr>
        <w:t xml:space="preserve">8,9 kWhₚₑ,ges/(m² NGF·a)</w:t>
      </w:r>
      <w:r>
        <w:t xml:space="preserve">.</w:t>
      </w:r>
      <w:r>
        <w:rPr>
          <w:rStyle w:val="FootnoteReference"/>
        </w:rPr>
        <w:footnoteReference w:id="91"/>
      </w:r>
      <w:r>
        <w:t xml:space="preserve"> </w:t>
      </w:r>
      <w:r>
        <w:t xml:space="preserve">Am Bichl III verbindet damit bereits berücksichtigte Flexibilitätsbeiträge mit technischen Voraussetzungen für eine weiterentwickelte Betriebsführung.</w:t>
      </w:r>
    </w:p>
    <w:bookmarkEnd w:id="92"/>
    <w:bookmarkStart w:id="94" w:name="was-hat-die-begleitung-beigetragen"/>
    <w:p>
      <w:pPr>
        <w:pStyle w:val="Heading2"/>
      </w:pPr>
      <w:r>
        <w:t xml:space="preserve">4.6 Was hat die Begleitung beigetragen?</w:t>
      </w:r>
    </w:p>
    <w:p>
      <w:pPr>
        <w:pStyle w:val="FirstParagraph"/>
      </w:pPr>
      <w:r>
        <w:t xml:space="preserve">Im Übergang von Planung zu Fertigstellung wurden Gebäudeparameter, Bezugsflächen, PV-Auslegung und Flexibilitätsannahmen mit dem aktualisierten Projektstand abgeglichen. So blieb nachvollziehbar, welche Qualität die ausgeführte Lösung erreicht.</w:t>
      </w:r>
    </w:p>
    <w:p>
      <w:pPr>
        <w:pStyle w:val="BodyText"/>
      </w:pPr>
      <w:r>
        <w:t xml:space="preserve">Die frühe Kenntnis der Bilanzanforderungen half dabei, die umfangreichen PV-Flächen im weiteren Planungsprozess weitgehend zu sichern und zu realisieren.</w:t>
      </w:r>
      <w:r>
        <w:rPr>
          <w:rStyle w:val="FootnoteReference"/>
        </w:rPr>
        <w:footnoteReference w:id="93"/>
      </w:r>
      <w:r>
        <w:t xml:space="preserve"> </w:t>
      </w:r>
      <w:r>
        <w:t xml:space="preserve">Ein früh vereinbartes Ziel bietet eine Grundlage, um die Bedeutung einzelner Maßnahmen auch bei späteren Änderungen zu beurteilen.</w:t>
      </w:r>
    </w:p>
    <w:bookmarkEnd w:id="94"/>
    <w:bookmarkStart w:id="95" w:name="was-können-andere-projekte-daraus-lernen"/>
    <w:p>
      <w:pPr>
        <w:pStyle w:val="Heading2"/>
      </w:pPr>
      <w:r>
        <w:t xml:space="preserve">4.7 Was können andere Projekte daraus lernen?</w:t>
      </w:r>
    </w:p>
    <w:p>
      <w:pPr>
        <w:pStyle w:val="FirstParagraph"/>
      </w:pPr>
      <w:r>
        <w:t xml:space="preserve">Die Bilanzierung sollte beginnen, solange Gebäudequalität, PV-Flächen und Versorgungskonzept noch gestaltet werden können. Der Abgleich zur Fertigstellung macht Änderungen sichtbar. Bei Energieflexibilität lohnt es sich, Regelung, technische Voraussetzungen und tatsächlich bewerteten Betrieb von Anfang an zu unterscheiden.</w:t>
      </w:r>
    </w:p>
    <w:p>
      <w:pPr>
        <w:pStyle w:val="BodyText"/>
      </w:pPr>
      <w:hyperlink r:id="rId58">
        <w:r>
          <w:rPr>
            <w:rStyle w:val="Hyperlink"/>
          </w:rPr>
          <w:t xml:space="preserve">Qualitätsstufen und Anforderungen</w:t>
        </w:r>
      </w:hyperlink>
      <w:r>
        <w:t xml:space="preserve"> </w:t>
      </w:r>
      <w:r>
        <w:t xml:space="preserve">·</w:t>
      </w:r>
      <w:r>
        <w:t xml:space="preserve"> </w:t>
      </w:r>
      <w:hyperlink r:id="rId68">
        <w:r>
          <w:rPr>
            <w:rStyle w:val="Hyperlink"/>
          </w:rPr>
          <w:t xml:space="preserve">Deklaration und Projektphasen</w:t>
        </w:r>
      </w:hyperlink>
      <w:r>
        <w:t xml:space="preserve"> </w:t>
      </w:r>
      <w:r>
        <w:t xml:space="preserve">·</w:t>
      </w:r>
      <w:r>
        <w:t xml:space="preserve"> </w:t>
      </w:r>
      <w:hyperlink w:anchor="sec-praxisbeispiele">
        <w:r>
          <w:rPr>
            <w:rStyle w:val="Hyperlink"/>
          </w:rPr>
          <w:t xml:space="preserve">Weitere Praxisbeispiele</w:t>
        </w:r>
      </w:hyperlink>
    </w:p>
    <w:bookmarkEnd w:id="95"/>
    <w:bookmarkEnd w:id="96"/>
    <w:bookmarkStart w:id="129" w:name="sec-ruginnovation"/>
    <w:p>
      <w:pPr>
        <w:pStyle w:val="Heading1"/>
      </w:pPr>
      <w:r>
        <w:t xml:space="preserve">5. RUGInnovation</w:t>
      </w:r>
    </w:p>
    <w:p>
      <w:pPr>
        <w:pStyle w:val="FirstParagraph"/>
      </w:pPr>
      <w:r>
        <w:t xml:space="preserve">Ein Wohnquartier für die erneuerbare Wärmeversorgung weiterentwickeln</w:t>
      </w:r>
    </w:p>
    <w:p>
      <w:pPr>
        <w:pStyle w:val="BodyText"/>
      </w:pPr>
      <w:hyperlink r:id="rId58">
        <w:r>
          <w:drawing>
            <wp:inline>
              <wp:extent cx="3143250" cy="3009900"/>
              <wp:effectExtent b="0" l="0" r="0" t="0"/>
              <wp:docPr descr="KN PEQ-Symbol" title="" id="98" name="Picture"/>
              <a:graphic>
                <a:graphicData uri="http://schemas.openxmlformats.org/drawingml/2006/picture">
                  <pic:pic>
                    <pic:nvPicPr>
                      <pic:cNvPr descr="Kapitel/../Abbildungen/siegel_knpeq.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143250" cy="3009900"/>
                      </a:xfrm>
                      <a:prstGeom prst="rect">
                        <a:avLst/>
                      </a:prstGeom>
                      <a:noFill/>
                      <a:ln w="9525">
                        <a:noFill/>
                        <a:headEnd/>
                        <a:tailEnd/>
                      </a:ln>
                    </pic:spPr>
                  </pic:pic>
                </a:graphicData>
              </a:graphic>
            </wp:inline>
          </w:drawing>
        </w:r>
        <w:r>
          <w:rPr>
            <w:rStyle w:val="Hyperlink"/>
          </w:rPr>
          <w:t xml:space="preserve"> </w:t>
        </w:r>
        <w:r>
          <w:rPr>
            <w:rStyle w:val="Hyperlink"/>
          </w:rPr>
          <w:t xml:space="preserve">klimaneutrales Plus-Energie-Quartier</w:t>
        </w:r>
      </w:hyperlink>
      <w:r>
        <w:t xml:space="preserve"> </w:t>
      </w:r>
      <w:r>
        <w:t xml:space="preserve">Sanierung</w:t>
      </w:r>
      <w:r>
        <w:t xml:space="preserve"> </w:t>
      </w:r>
      <w:r>
        <w:t xml:space="preserve">Wohnen</w:t>
      </w:r>
      <w:r>
        <w:t xml:space="preserve"> </w:t>
      </w:r>
      <w:r>
        <w:t xml:space="preserve">Wärmeversorgung</w:t>
      </w:r>
      <w:r>
        <w:t xml:space="preserve"> </w:t>
      </w:r>
      <w:r>
        <w:t xml:space="preserve">Photovoltaik</w:t>
      </w:r>
    </w:p>
    <w:p>
      <w:pPr>
        <w:pStyle w:val="CaptionedFigure"/>
      </w:pPr>
      <w:r>
        <w:drawing>
          <wp:inline>
            <wp:extent cx="5334000" cy="4000500"/>
            <wp:effectExtent b="0" l="0" r="0" t="0"/>
            <wp:docPr descr="RUGInnovation während der Sanierung: Die Gebäudehülle und die Energieversorgung werden gemeinsam erneuert. © wohnbund:consult." title="" id="101" name="Picture"/>
            <a:graphic>
              <a:graphicData uri="http://schemas.openxmlformats.org/drawingml/2006/picture">
                <pic:pic>
                  <pic:nvPicPr>
                    <pic:cNvPr descr="Kapitel/../Abbildungen/praxis/ruginnovation-sanierung.jpg" id="102" name="Picture"/>
                    <pic:cNvPicPr>
                      <a:picLocks noChangeArrowheads="1" noChangeAspect="1"/>
                    </pic:cNvPicPr>
                  </pic:nvPicPr>
                  <pic:blipFill>
                    <a:blip r:embed="rId10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RUGInnovation während der Sanierung: Die Gebäudehülle und die Energieversorgung werden gemeinsam erneuert. © wohnbund:consult.</w:t>
      </w:r>
    </w:p>
    <w:p>
      <w:pPr>
        <w:pStyle w:val="BodyText"/>
      </w:pPr>
      <w:r>
        <w:t xml:space="preserve">Wie kann ein bestehendes Wohnquartier einen Beitrag zum klimaneutralen Energiesystem leisten? RUGInnovation verbindet die thermische Sanierung der Wohnhausanlage Rugierstraße 28 mit dem Umstieg auf eine Grundwasserwärmepumpe und zusätzlicher Photovoltaik. Die Maßnahmen betreffen sowohl den Energiebedarf als auch die Versorgung und den sommerlichen Komfort.</w:t>
      </w:r>
      <w:r>
        <w:rPr>
          <w:rStyle w:val="FootnoteReference"/>
        </w:rPr>
        <w:footnoteReference w:id="103"/>
      </w:r>
    </w:p>
    <w:bookmarkStart w:id="104" w:name="projekt-auf-einen-blick-1"/>
    <w:p>
      <w:pPr>
        <w:pStyle w:val="Heading2"/>
      </w:pPr>
      <w:r>
        <w:t xml:space="preserve">5.1 Projekt auf einen Blick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Angabe</w:t>
            </w:r>
          </w:p>
        </w:tc>
      </w:tr>
      <w:tr>
        <w:tc>
          <w:tcPr/>
          <w:p>
            <w:pPr>
              <w:pStyle w:val="Compact"/>
            </w:pPr>
            <w:r>
              <w:t xml:space="preserve">Standort</w:t>
            </w:r>
          </w:p>
        </w:tc>
        <w:tc>
          <w:tcPr/>
          <w:p>
            <w:pPr>
              <w:pStyle w:val="Compact"/>
            </w:pPr>
            <w:r>
              <w:t xml:space="preserve">Rugierstraße 28, Wien-Donaustadt</w:t>
            </w:r>
          </w:p>
        </w:tc>
      </w:tr>
      <w:tr>
        <w:tc>
          <w:tcPr/>
          <w:p>
            <w:pPr>
              <w:pStyle w:val="Compact"/>
            </w:pPr>
            <w:r>
              <w:t xml:space="preserve">Projektträger</w:t>
            </w:r>
          </w:p>
        </w:tc>
        <w:tc>
          <w:tcPr/>
          <w:p>
            <w:pPr>
              <w:pStyle w:val="Compact"/>
            </w:pPr>
            <w:r>
              <w:t xml:space="preserve">Österreichisches Siedlungswerk (ÖSW)</w:t>
            </w:r>
          </w:p>
        </w:tc>
      </w:tr>
      <w:tr>
        <w:tc>
          <w:tcPr/>
          <w:p>
            <w:pPr>
              <w:pStyle w:val="Compact"/>
            </w:pPr>
            <w:r>
              <w:t xml:space="preserve">Bestand</w:t>
            </w:r>
          </w:p>
        </w:tc>
        <w:tc>
          <w:tcPr/>
          <w:p>
            <w:pPr>
              <w:pStyle w:val="Compact"/>
            </w:pPr>
            <w:r>
              <w:t xml:space="preserve">Wohnhausanlage, Baujahr 1990</w:t>
            </w:r>
          </w:p>
        </w:tc>
      </w:tr>
      <w:tr>
        <w:tc>
          <w:tcPr/>
          <w:p>
            <w:pPr>
              <w:pStyle w:val="Compact"/>
            </w:pPr>
            <w:r>
              <w:t xml:space="preserve">Vorhaben</w:t>
            </w:r>
          </w:p>
        </w:tc>
        <w:tc>
          <w:tcPr/>
          <w:p>
            <w:pPr>
              <w:pStyle w:val="Compact"/>
            </w:pPr>
            <w:r>
              <w:t xml:space="preserve">Umfassende thermische und energietechnische Sanierung</w:t>
            </w:r>
          </w:p>
        </w:tc>
      </w:tr>
      <w:tr>
        <w:tc>
          <w:tcPr/>
          <w:p>
            <w:pPr>
              <w:pStyle w:val="Compact"/>
            </w:pPr>
            <w:r>
              <w:t xml:space="preserve">Wärmeversorgung</w:t>
            </w:r>
          </w:p>
        </w:tc>
        <w:tc>
          <w:tcPr/>
          <w:p>
            <w:pPr>
              <w:pStyle w:val="Compact"/>
            </w:pPr>
            <w:r>
              <w:t xml:space="preserve">Umstellung von Fernwärme auf Grundwasserwärmepumpe</w:t>
            </w:r>
          </w:p>
        </w:tc>
      </w:tr>
      <w:tr>
        <w:tc>
          <w:tcPr/>
          <w:p>
            <w:pPr>
              <w:pStyle w:val="Compact"/>
            </w:pPr>
            <w:r>
              <w:t xml:space="preserve">Lokale Stromerzeugung</w:t>
            </w:r>
          </w:p>
        </w:tc>
        <w:tc>
          <w:tcPr/>
          <w:p>
            <w:pPr>
              <w:pStyle w:val="Compact"/>
            </w:pPr>
            <w:r>
              <w:t xml:space="preserve">Photovoltaik auf Dächern, an Fassaden und Terrassenbrüstungen vorgesehen</w:t>
            </w:r>
          </w:p>
        </w:tc>
      </w:tr>
      <w:tr>
        <w:tc>
          <w:tcPr/>
          <w:p>
            <w:pPr>
              <w:pStyle w:val="Compact"/>
            </w:pPr>
            <w:r>
              <w:t xml:space="preserve">Sommerlicher Komfort</w:t>
            </w:r>
          </w:p>
        </w:tc>
        <w:tc>
          <w:tcPr/>
          <w:p>
            <w:pPr>
              <w:pStyle w:val="Compact"/>
            </w:pPr>
            <w:r>
              <w:t xml:space="preserve">Außenliegender Sonnenschutz und Deckenpaneele zur Temperierung</w:t>
            </w:r>
          </w:p>
        </w:tc>
      </w:tr>
    </w:tbl>
    <w:bookmarkEnd w:id="104"/>
    <w:bookmarkStart w:id="107" w:name="die-planungsfrage-1"/>
    <w:p>
      <w:pPr>
        <w:pStyle w:val="Heading2"/>
      </w:pPr>
      <w:r>
        <w:t xml:space="preserve">5.2 Die Planungsfrage</w:t>
      </w:r>
    </w:p>
    <w:p>
      <w:pPr>
        <w:pStyle w:val="FirstParagraph"/>
      </w:pPr>
      <w:r>
        <w:t xml:space="preserve">Im Bestand müssen Gebäudehülle, vorhandene Wärmeverteilung und die Möglichkeiten erneuerbarer Versorgung aufeinander abgestimmt werden. Bei RUGInnovation wird deshalb die Verbesserung der Hülle mit einem neuen Wärme- und Temperierungskonzept verbunden. Der</w:t>
      </w:r>
      <w:r>
        <w:t xml:space="preserve"> </w:t>
      </w:r>
      <w:hyperlink r:id="rId105">
        <w:r>
          <w:rPr>
            <w:rStyle w:val="Hyperlink"/>
          </w:rPr>
          <w:t xml:space="preserve">Sanierungskontext</w:t>
        </w:r>
      </w:hyperlink>
      <w:r>
        <w:t xml:space="preserve"> </w:t>
      </w:r>
      <w:r>
        <w:t xml:space="preserve">berücksichtigt die besonderen Ausgangsbedingungen bei der PEQ-Bewertung.</w:t>
      </w:r>
    </w:p>
    <w:p>
      <w:pPr>
        <w:pStyle w:val="BodyText"/>
      </w:pPr>
      <w:r>
        <w:t xml:space="preserve">Die Berechnungsvarianten untersuchen unter anderem Verschattung, Wärmepumpeneffizienz, Mobilität und unterschiedliche PV-Belegungen. Damit lässt sich nachvollziehen, welche planerischen Entscheidungen für Energie- und Klimaziele besonders relevant sind.</w:t>
      </w:r>
      <w:r>
        <w:rPr>
          <w:rStyle w:val="FootnoteReference"/>
        </w:rPr>
        <w:footnoteReference w:id="106"/>
      </w:r>
    </w:p>
    <w:bookmarkEnd w:id="107"/>
    <w:bookmarkStart w:id="115" w:name="X07ce71a5952f1b1ab1e76d132bbd10d246d331d"/>
    <w:p>
      <w:pPr>
        <w:pStyle w:val="Heading2"/>
      </w:pPr>
      <w:r>
        <w:t xml:space="preserve">5.3 Gebäudehülle und Versorgung gemeinsam verbessern</w:t>
      </w:r>
    </w:p>
    <w:tbl>
      <w:tblPr>
        <w:tblStyle w:val="Table"/>
        <w:tblW w:type="pct" w:w="5000"/>
        <w:tblLayout w:type="fixed"/>
        <w:tblLook w:firstRow="0" w:lastRow="0" w:firstColumn="0" w:lastColumn="0" w:noHBand="0" w:noVBand="0" w:val="0000"/>
      </w:tblPr>
      <w:tblGrid>
        <w:gridCol w:w="7920"/>
      </w:tblGrid>
      <w:tr>
        <w:tc>
          <w:tcPr/>
          <w:bookmarkStart w:id="111" w:name="fig-rug-massnahmen"/>
          <w:p>
            <w:pPr>
              <w:pStyle w:val="Compact"/>
              <w:jc w:val="center"/>
            </w:pPr>
            <w:r>
              <w:drawing>
                <wp:inline>
                  <wp:extent cx="3810000" cy="2540000"/>
                  <wp:effectExtent b="0" l="0" r="0" t="0"/>
                  <wp:docPr descr="" title="" id="109" name="Picture"/>
                  <a:graphic>
                    <a:graphicData uri="http://schemas.openxmlformats.org/drawingml/2006/picture">
                      <pic:pic>
                        <pic:nvPicPr>
                          <pic:cNvPr descr="Kapitel/../Abbildungen/praxis/ruginnovation-massnahmen.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5.1: Die Maßnahmen im Überblick: thermische Sanierung, erneuerte Bauteile, Photovoltaik und die Umstellung von Heizung und Temperierung greifen ineinander.</w:t>
            </w:r>
          </w:p>
          <w:bookmarkEnd w:id="111"/>
        </w:tc>
      </w:tr>
    </w:tbl>
    <w:p>
      <w:pPr>
        <w:pStyle w:val="BodyText"/>
      </w:pPr>
      <w:r>
        <w:t xml:space="preserve">Das Sanierungskonzept umfasst Fassadendämmung, Dämmung von Keller- und Garagendecken sowie der obersten Geschossdecke. Fenster und Türen erhalten eine Dreifachverglasung. Raffstores verbessern den Sonnenschutz; Deckenpaneele ermöglichen eine Temperierung im Sommer.</w:t>
      </w:r>
    </w:p>
    <w:p>
      <w:pPr>
        <w:pStyle w:val="BodyText"/>
      </w:pPr>
      <w:r>
        <w:t xml:space="preserve">Die Umstellung auf eine Grundwasserwärmepumpe verbindet Heizen und sommerliche Temperierung. Photovoltaik erschließt zusätzlich zu den Dächern auch Teile der Ost- und Westfassaden sowie Terrassenbrüstungen. Dadurch wird die nutzbare Erzeugungsfläche über die Dachflächen hinaus erweitert.</w:t>
      </w:r>
    </w:p>
    <w:p>
      <w:pPr>
        <w:pStyle w:val="CaptionedFigure"/>
      </w:pPr>
      <w:r>
        <w:drawing>
          <wp:inline>
            <wp:extent cx="5334000" cy="4000500"/>
            <wp:effectExtent b="0" l="0" r="0" t="0"/>
            <wp:docPr descr="Arbeiten am Dach und an den oberen Geschossen: Die Sanierung verbindet bauliche Erneuerung mit der Vorbereitung zusätzlicher Energiequalitäten. © wohnbund:consult." title="" id="113" name="Picture"/>
            <a:graphic>
              <a:graphicData uri="http://schemas.openxmlformats.org/drawingml/2006/picture">
                <pic:pic>
                  <pic:nvPicPr>
                    <pic:cNvPr descr="Kapitel/../Abbildungen/praxis/ruginnovation-dach.jpg" id="114" name="Picture"/>
                    <pic:cNvPicPr>
                      <a:picLocks noChangeArrowheads="1" noChangeAspect="1"/>
                    </pic:cNvPicPr>
                  </pic:nvPicPr>
                  <pic:blipFill>
                    <a:blip r:embed="rId11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Arbeiten am Dach und an den oberen Geschossen: Die Sanierung verbindet bauliche Erneuerung mit der Vorbereitung zusätzlicher Energiequalitäten. © wohnbund:consult.</w:t>
      </w:r>
    </w:p>
    <w:bookmarkEnd w:id="115"/>
    <w:bookmarkStart w:id="127" w:name="energie--und-klimabilanz"/>
    <w:p>
      <w:pPr>
        <w:pStyle w:val="Heading2"/>
      </w:pPr>
      <w:r>
        <w:t xml:space="preserve">5.4 Energie- und Klimabilanz</w:t>
      </w:r>
    </w:p>
    <w:p>
      <w:pPr>
        <w:pStyle w:val="FirstParagraph"/>
      </w:pPr>
      <w:r>
        <w:t xml:space="preserve">Die finale Variante erreicht den projektspezifischen Primärenergie-Zielwert mit einem Abstand von</w:t>
      </w:r>
      <w:r>
        <w:t xml:space="preserve"> </w:t>
      </w:r>
      <w:r>
        <w:rPr>
          <w:b/>
          <w:bCs/>
        </w:rPr>
        <w:t xml:space="preserve">+2,0 kWhₚₑ,ges/(m² NGF·a)</w:t>
      </w:r>
      <w:r>
        <w:t xml:space="preserve">. Dabei werden der Gebäudebetrieb, die Mobilität und die Kontextbeiträge gemeinsam betrachtet.</w:t>
      </w:r>
      <w:r>
        <w:rPr>
          <w:rStyle w:val="FootnoteReference"/>
        </w:rPr>
        <w:footnoteReference w:id="116"/>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Kennzahl</w:t>
            </w:r>
          </w:p>
        </w:tc>
        <w:tc>
          <w:tcPr/>
          <w:p>
            <w:pPr>
              <w:pStyle w:val="Compact"/>
              <w:jc w:val="right"/>
            </w:pPr>
            <w:r>
              <w:t xml:space="preserve">Wert</w:t>
            </w:r>
          </w:p>
        </w:tc>
      </w:tr>
      <w:tr>
        <w:tc>
          <w:tcPr/>
          <w:p>
            <w:pPr>
              <w:pStyle w:val="Compact"/>
            </w:pPr>
            <w:r>
              <w:t xml:space="preserve">Bruttogrundfläche</w:t>
            </w:r>
          </w:p>
        </w:tc>
        <w:tc>
          <w:tcPr/>
          <w:p>
            <w:pPr>
              <w:pStyle w:val="Compact"/>
              <w:jc w:val="right"/>
            </w:pPr>
            <w:r>
              <w:t xml:space="preserve">10.570,1 m²</w:t>
            </w:r>
          </w:p>
        </w:tc>
      </w:tr>
      <w:tr>
        <w:tc>
          <w:tcPr/>
          <w:p>
            <w:pPr>
              <w:pStyle w:val="Compact"/>
            </w:pPr>
            <w:r>
              <w:t xml:space="preserve">Geschossflächenzahl</w:t>
            </w:r>
          </w:p>
        </w:tc>
        <w:tc>
          <w:tcPr/>
          <w:p>
            <w:pPr>
              <w:pStyle w:val="Compact"/>
              <w:jc w:val="right"/>
            </w:pPr>
            <w:r>
              <w:t xml:space="preserve">2,27</w:t>
            </w:r>
          </w:p>
        </w:tc>
      </w:tr>
      <w:tr>
        <w:tc>
          <w:tcPr/>
          <w:p>
            <w:pPr>
              <w:pStyle w:val="Compact"/>
            </w:pPr>
            <w:r>
              <w:t xml:space="preserve">PV-Leistung</w:t>
            </w:r>
          </w:p>
        </w:tc>
        <w:tc>
          <w:tcPr/>
          <w:p>
            <w:pPr>
              <w:pStyle w:val="Compact"/>
              <w:jc w:val="right"/>
            </w:pPr>
            <w:r>
              <w:t xml:space="preserve">117 kWp</w:t>
            </w:r>
          </w:p>
        </w:tc>
      </w:tr>
      <w:tr>
        <w:tc>
          <w:tcPr/>
          <w:p>
            <w:pPr>
              <w:pStyle w:val="Compact"/>
            </w:pPr>
            <w:r>
              <w:t xml:space="preserve">Primärenergie-Bilanz</w:t>
            </w:r>
          </w:p>
        </w:tc>
        <w:tc>
          <w:tcPr/>
          <w:p>
            <w:pPr>
              <w:pStyle w:val="Compact"/>
              <w:jc w:val="right"/>
            </w:pPr>
            <w:r>
              <w:rPr>
                <w:b/>
                <w:bCs/>
              </w:rPr>
              <w:t xml:space="preserve">+2,0 kWhₚₑ,ges/(m² NGF·a)</w:t>
            </w:r>
          </w:p>
        </w:tc>
      </w:tr>
    </w:tbl>
    <w:p>
      <w:pPr>
        <w:pStyle w:val="BodyText"/>
      </w:pPr>
      <w:r>
        <w:t xml:space="preserve">Die bauliche Dichte und der Sanierungskontext prägen den Bewertungsmaßstab. Die Kombination aus Photovoltaik, Energieflexibilität und den Kontextbeiträgen ermöglicht die rechnerische Zielerreichung. Eine positive Bewertung bedeutet dabei keine Energieautarkie.</w:t>
      </w:r>
    </w:p>
    <w:tbl>
      <w:tblPr>
        <w:tblStyle w:val="Table"/>
        <w:tblW w:type="pct" w:w="5000"/>
        <w:tblLayout w:type="fixed"/>
        <w:tblLook w:firstRow="0" w:lastRow="0" w:firstColumn="0" w:lastColumn="0" w:noHBand="0" w:noVBand="0" w:val="0000"/>
      </w:tblPr>
      <w:tblGrid>
        <w:gridCol w:w="7920"/>
      </w:tblGrid>
      <w:tr>
        <w:tc>
          <w:tcPr/>
          <w:bookmarkStart w:id="120" w:name="fig-rug-pe"/>
          <w:p>
            <w:pPr>
              <w:pStyle w:val="Compact"/>
              <w:jc w:val="center"/>
            </w:pPr>
            <w:r>
              <w:drawing>
                <wp:inline>
                  <wp:extent cx="5334000" cy="3810000"/>
                  <wp:effectExtent b="0" l="0" r="0" t="0"/>
                  <wp:docPr descr="" title="" id="118" name="Picture"/>
                  <a:graphic>
                    <a:graphicData uri="http://schemas.openxmlformats.org/drawingml/2006/picture">
                      <pic:pic>
                        <pic:nvPicPr>
                          <pic:cNvPr descr="Kapitel/../Abbildungen/praxis/ruginnovation-primary_energy_balance.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5.2: Primärenergiebilanz einschließlich Mobilität: Bedarf und bewertete Deckung mit den Beiträgen aus Photovoltaik, Energieflexibilität, Dichte, Mobilität und Sanierung.</w:t>
            </w:r>
          </w:p>
          <w:bookmarkEnd w:id="120"/>
        </w:tc>
      </w:tr>
    </w:tbl>
    <w:bookmarkStart w:id="126" w:name="lebenszyklus-treibhausgasbilanz"/>
    <w:p>
      <w:pPr>
        <w:pStyle w:val="Heading3"/>
      </w:pPr>
      <w:r>
        <w:t xml:space="preserve">5.4.1 Lebenszyklus-Treibhausgasbilanz</w:t>
      </w:r>
    </w:p>
    <w:p>
      <w:pPr>
        <w:pStyle w:val="FirstParagraph"/>
      </w:pPr>
      <w:r>
        <w:t xml:space="preserve">Die untersuchte Variante weist</w:t>
      </w:r>
      <w:r>
        <w:t xml:space="preserve"> </w:t>
      </w:r>
      <w:r>
        <w:rPr>
          <w:b/>
          <w:bCs/>
        </w:rPr>
        <w:t xml:space="preserve">185,81 kg CO₂e/m² BGF</w:t>
      </w:r>
      <w:r>
        <w:t xml:space="preserve"> </w:t>
      </w:r>
      <w:r>
        <w:t xml:space="preserve">über den bilanzierten Lebenszyklus aus. Gegenüber dem Referenzbudget von</w:t>
      </w:r>
      <w:r>
        <w:t xml:space="preserve"> </w:t>
      </w:r>
      <w:r>
        <w:rPr>
          <w:b/>
          <w:bCs/>
        </w:rPr>
        <w:t xml:space="preserve">320 kg CO₂e/m² BGF</w:t>
      </w:r>
      <w:r>
        <w:t xml:space="preserve"> </w:t>
      </w:r>
      <w:r>
        <w:t xml:space="preserve">verbleibt ein Spielraum von</w:t>
      </w:r>
      <w:r>
        <w:t xml:space="preserve"> </w:t>
      </w:r>
      <w:r>
        <w:rPr>
          <w:b/>
          <w:bCs/>
        </w:rPr>
        <w:t xml:space="preserve">134,19 kg CO₂e/m² BGF</w:t>
      </w:r>
      <w:r>
        <w:t xml:space="preserve">. Die Grafik unterscheidet die baulichen und betrieblichen Emissionen und stellt ihre Summe dem Budget gegenüber.</w:t>
      </w:r>
      <w:r>
        <w:rPr>
          <w:rStyle w:val="FootnoteReference"/>
        </w:rPr>
        <w:footnoteReference w:id="121"/>
      </w:r>
    </w:p>
    <w:tbl>
      <w:tblPr>
        <w:tblStyle w:val="Table"/>
        <w:tblW w:type="pct" w:w="5000"/>
        <w:tblLayout w:type="fixed"/>
        <w:tblLook w:firstRow="0" w:lastRow="0" w:firstColumn="0" w:lastColumn="0" w:noHBand="0" w:noVBand="0" w:val="0000"/>
      </w:tblPr>
      <w:tblGrid>
        <w:gridCol w:w="7920"/>
      </w:tblGrid>
      <w:tr>
        <w:tc>
          <w:tcPr/>
          <w:bookmarkStart w:id="125" w:name="fig-rug-thg"/>
          <w:p>
            <w:pPr>
              <w:pStyle w:val="Compact"/>
              <w:jc w:val="center"/>
            </w:pPr>
            <w:r>
              <w:drawing>
                <wp:inline>
                  <wp:extent cx="5334000" cy="3307080"/>
                  <wp:effectExtent b="0" l="0" r="0" t="0"/>
                  <wp:docPr descr="" title="" id="123" name="Picture"/>
                  <a:graphic>
                    <a:graphicData uri="http://schemas.openxmlformats.org/drawingml/2006/picture">
                      <pic:pic>
                        <pic:nvPicPr>
                          <pic:cNvPr descr="Kapitel/../Abbildungen/praxis/ruginnovation-gwp_ee.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334000" cy="330708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5.3: Lebenszyklus-Treibhausgasbilanz mit Referenzbudget und verbleibendem Spielraum.</w:t>
            </w:r>
          </w:p>
          <w:bookmarkEnd w:id="125"/>
        </w:tc>
      </w:tr>
    </w:tbl>
    <w:p>
      <w:pPr>
        <w:pStyle w:val="BodyText"/>
      </w:pPr>
      <w:r>
        <w:t xml:space="preserve">Die Angaben beschreiben die untersuchte Variante. Qualitätsstufe und Deklarationsphase werden nach Abgleich mit den Deklarationsunterlagen ergänzt.</w:t>
      </w:r>
    </w:p>
    <w:bookmarkEnd w:id="126"/>
    <w:bookmarkEnd w:id="127"/>
    <w:bookmarkStart w:id="128" w:name="X728f546e4bb2d90c50c8066bf4340ec896cbdb2"/>
    <w:p>
      <w:pPr>
        <w:pStyle w:val="Heading2"/>
      </w:pPr>
      <w:r>
        <w:t xml:space="preserve">5.5 Was können andere Sanierungsprojekte daraus lernen?</w:t>
      </w:r>
    </w:p>
    <w:p>
      <w:pPr>
        <w:pStyle w:val="FirstParagraph"/>
      </w:pPr>
      <w:r>
        <w:t xml:space="preserve">Eine Sanierung eröffnet die Möglichkeit, Gebäudehülle, Wärmeversorgung, sommerlichen Komfort und lokale Stromerzeugung gemeinsam weiterzuentwickeln. Die PEQ-Bewertung macht die Beiträge der einzelnen Maßnahmen vergleichbar. Entscheidend ist, welche Kombination unter den konkreten Bedingungen des Bestands die angestrebte Qualität erreicht.</w:t>
      </w:r>
    </w:p>
    <w:p>
      <w:pPr>
        <w:pStyle w:val="BodyText"/>
      </w:pPr>
      <w:hyperlink w:anchor="sec-renovierungsfahrplan">
        <w:r>
          <w:rPr>
            <w:rStyle w:val="Hyperlink"/>
          </w:rPr>
          <w:t xml:space="preserve">Sanierungsfahrpläne</w:t>
        </w:r>
      </w:hyperlink>
      <w:r>
        <w:t xml:space="preserve"> </w:t>
      </w:r>
      <w:r>
        <w:t xml:space="preserve">·</w:t>
      </w:r>
      <w:r>
        <w:t xml:space="preserve"> </w:t>
      </w:r>
      <w:hyperlink r:id="rId58">
        <w:r>
          <w:rPr>
            <w:rStyle w:val="Hyperlink"/>
          </w:rPr>
          <w:t xml:space="preserve">Qualitätsstufen und Anforderungen</w:t>
        </w:r>
      </w:hyperlink>
      <w:r>
        <w:t xml:space="preserve"> </w:t>
      </w:r>
      <w:r>
        <w:t xml:space="preserve">·</w:t>
      </w:r>
      <w:r>
        <w:t xml:space="preserve"> </w:t>
      </w:r>
      <w:hyperlink w:anchor="sec-praxisbeispiele">
        <w:r>
          <w:rPr>
            <w:rStyle w:val="Hyperlink"/>
          </w:rPr>
          <w:t xml:space="preserve">Alle Praxisbeispiele</w:t>
        </w:r>
      </w:hyperlink>
    </w:p>
    <w:bookmarkEnd w:id="128"/>
    <w:bookmarkEnd w:id="129"/>
    <w:bookmarkStart w:id="133" w:name="sec-campo-breitenlee"/>
    <w:p>
      <w:pPr>
        <w:pStyle w:val="Heading1"/>
      </w:pPr>
      <w:r>
        <w:t xml:space="preserve">6. Campo Breitenlee</w:t>
      </w:r>
    </w:p>
    <w:p>
      <w:pPr>
        <w:pStyle w:val="FirstParagraph"/>
      </w:pPr>
      <w:r>
        <w:t xml:space="preserve">Neubau, Mobilität und unterschiedliche Nutzungen</w:t>
      </w:r>
    </w:p>
    <w:p>
      <w:pPr>
        <w:pStyle w:val="BodyText"/>
      </w:pPr>
      <w:r>
        <w:t xml:space="preserve">Neubau</w:t>
      </w:r>
      <w:r>
        <w:t xml:space="preserve"> </w:t>
      </w:r>
      <w:r>
        <w:t xml:space="preserve">Mobilität</w:t>
      </w:r>
      <w:r>
        <w:t xml:space="preserve"> </w:t>
      </w:r>
      <w:r>
        <w:t xml:space="preserve">Nutzungsmix</w:t>
      </w:r>
    </w:p>
    <w:p>
      <w:pPr>
        <w:pStyle w:val="BodyText"/>
      </w:pPr>
      <w:r>
        <w:t xml:space="preserve">Das geplante Projektporträt untersucht, wie Mobilität, unterschiedliche Nutzungen und Nutzungsdichten in der Quartiersbewertung zusammenwirken. Diese Fragestellung erweitert den Blick von der Gebäudeenergie auf die mit dem Quartier verbundene Mobilität.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C:\Users\schneids\AppData\Local\Programs\Quarto\share\formats\docx\note.png" id="13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Auswertung in Vorbereitung</w:t>
            </w:r>
          </w:p>
        </w:tc>
      </w:tr>
      <w:tr>
        <w:trPr>
          <w:cantSplit/>
        </w:trPr>
        <w:tc>
          <w:tcPr>
            <w:tcMar>
              <w:top w:w="108" w:type="dxa"/>
              <w:bottom w:w="108" w:type="dxa"/>
            </w:tcMar>
          </w:tcPr>
          <w:p>
            <w:pPr>
              <w:pStyle w:val="BodyText"/>
            </w:pPr>
            <w:pPr>
              <w:spacing w:before="16" w:after="16"/>
            </w:pPr>
            <w:r>
              <w:t xml:space="preserve">Die finale Berechnungsfassung wird derzeit vorbereitet. Kennzahlen, untersuchte Maßnahmen und Deklarationsstatus werden nach Prüfung der Projektunterlagen ergänzt. Aus dieser Vorschau lässt sich noch keine erreichte Qualitätsstufe ableiten.</w:t>
            </w:r>
          </w:p>
          <w:p/>
        </w:tc>
      </w:tr>
    </w:tbl>
    <w:p>
      <w:pPr>
        <w:pStyle w:val="BodyText"/>
      </w:pPr>
      <w:hyperlink r:id="rId58">
        <w:r>
          <w:rPr>
            <w:rStyle w:val="Hyperlink"/>
          </w:rPr>
          <w:t xml:space="preserve">Anforderungen einschließlich Mobilität</w:t>
        </w:r>
      </w:hyperlink>
      <w:r>
        <w:t xml:space="preserve"> </w:t>
      </w:r>
      <w:r>
        <w:t xml:space="preserve">·</w:t>
      </w:r>
      <w:r>
        <w:t xml:space="preserve"> </w:t>
      </w:r>
      <w:hyperlink r:id="rId132">
        <w:r>
          <w:rPr>
            <w:rStyle w:val="Hyperlink"/>
          </w:rPr>
          <w:t xml:space="preserve">Mobilitätskontext</w:t>
        </w:r>
      </w:hyperlink>
      <w:r>
        <w:t xml:space="preserve"> </w:t>
      </w:r>
      <w:r>
        <w:t xml:space="preserve">·</w:t>
      </w:r>
      <w:r>
        <w:t xml:space="preserve"> </w:t>
      </w:r>
      <w:hyperlink w:anchor="sec-praxisbeispiele">
        <w:r>
          <w:rPr>
            <w:rStyle w:val="Hyperlink"/>
          </w:rPr>
          <w:t xml:space="preserve">Alle Praxisbeispiele</w:t>
        </w:r>
      </w:hyperlink>
    </w:p>
    <w:bookmarkEnd w:id="133"/>
    <w:bookmarkStart w:id="152" w:name="sec-standard"/>
    <w:p>
      <w:pPr>
        <w:pStyle w:val="Heading1"/>
      </w:pPr>
      <w:r>
        <w:t xml:space="preserve">7. Qualitätsstufen und Anforderungen</w:t>
      </w:r>
    </w:p>
    <w:p>
      <w:pPr>
        <w:pStyle w:val="FirstParagraph"/>
      </w:pPr>
      <w:r>
        <w:t xml:space="preserve">Der klimaaktiv Standard für Plus-Energie-Quartiere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34" name="Picture"/>
                  <a:graphic>
                    <a:graphicData uri="http://schemas.openxmlformats.org/drawingml/2006/picture">
                      <pic:pic>
                        <pic:nvPicPr>
                          <pic:cNvPr descr="C:\Users\schneids\AppData\Local\Programs\Quarto\share\formats\docx\note.png" id="13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w:t>
            </w:r>
          </w:p>
        </w:tc>
      </w:tr>
    </w:tbl>
    <w:p>
      <w:pPr>
        <w:pStyle w:val="BodyText"/>
      </w:pPr>
      <w:r>
        <w:t xml:space="preserve">Der klimaaktiv Standard für Plus-Energie-Quartiere definiert quantitative Anforderungen an die Energie- und Treibhausgasbilanz von Quartieren. Er ermöglicht es, Neubau- und Sanierungsvorhaben anhand eines gemeinsamen, aus übergeordneten Energie- und Klimazielen abgeleiteten Bewertungsmaßstabs zu beurteilen.</w:t>
      </w:r>
    </w:p>
    <w:bookmarkStart w:id="136" w:name="ziel-und-bewertungsanspruch"/>
    <w:p>
      <w:pPr>
        <w:pStyle w:val="Heading2"/>
      </w:pPr>
      <w:r>
        <w:t xml:space="preserve">7.1 Ziel und Bewertungsanspruch</w:t>
      </w:r>
    </w:p>
    <w:p>
      <w:pPr>
        <w:pStyle w:val="FirstParagraph"/>
      </w:pPr>
      <w:r>
        <w:t xml:space="preserve">Ein Quartier soll nicht nur möglichst wenig Energie benötigen, sondern einen angemessenen Beitrag zu einem erneuerbaren und klimaneutralen Energiesystem leisten. Der Standard betrachtet dafür das Zusammenspiel von Energiebedarf, erneuerbarer Energieaufbringung, Mobilität und Lebenszyklusemissionen.</w:t>
      </w:r>
    </w:p>
    <w:p>
      <w:pPr>
        <w:pStyle w:val="BodyText"/>
      </w:pPr>
      <w:r>
        <w:t xml:space="preserve">Die Anforderungen sind</w:t>
      </w:r>
      <w:r>
        <w:t xml:space="preserve"> </w:t>
      </w:r>
      <w:r>
        <w:rPr>
          <w:b/>
          <w:bCs/>
        </w:rPr>
        <w:t xml:space="preserve">quantitativ, kontextabhängig und überprüfbar</w:t>
      </w:r>
      <w:r>
        <w:t xml:space="preserve">. Sie berücksichtigen unterschiedliche bauliche und räumliche Ausgangsbedingungen, ohne die Ausrichtung an den übergeordneten Zielen aufzugeben.</w:t>
      </w:r>
    </w:p>
    <w:bookmarkEnd w:id="136"/>
    <w:bookmarkStart w:id="148" w:name="die-drei-qualitätsstufen"/>
    <w:p>
      <w:pPr>
        <w:pStyle w:val="Heading2"/>
      </w:pPr>
      <w:r>
        <w:t xml:space="preserve">7.2 Die drei Qualitätsstufen</w:t>
      </w:r>
    </w:p>
    <w:p>
      <w:pPr>
        <w:pStyle w:val="FirstParagraph"/>
      </w:pPr>
      <w:r>
        <w:t xml:space="preserve">Der Standard unterscheidet drei aufeinander aufbauende Qualitätsstufen: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Qualitätsstufe</w:t>
            </w:r>
          </w:p>
        </w:tc>
        <w:tc>
          <w:tcPr/>
          <w:p>
            <w:pPr>
              <w:pStyle w:val="Compact"/>
            </w:pPr>
            <w:r>
              <w:t xml:space="preserve">Bewertungsumfang</w:t>
            </w:r>
          </w:p>
        </w:tc>
        <w:tc>
          <w:tcPr/>
          <w:p>
            <w:pPr>
              <w:pStyle w:val="Compact"/>
            </w:pPr>
            <w:r>
              <w:t xml:space="preserve">Zentrales Kriterium</w:t>
            </w:r>
          </w:p>
        </w:tc>
      </w:tr>
      <w:tr>
        <w:tc>
          <w:tcPr/>
          <w:p>
            <w:pPr>
              <w:pStyle w:val="Compact"/>
            </w:pPr>
            <w:r>
              <w:drawing>
                <wp:inline>
                  <wp:extent cx="2085975" cy="2000250"/>
                  <wp:effectExtent b="0" l="0" r="0" t="0"/>
                  <wp:docPr descr="PEQ" title="" id="137" name="Picture"/>
                  <a:graphic>
                    <a:graphicData uri="http://schemas.openxmlformats.org/drawingml/2006/picture">
                      <pic:pic>
                        <pic:nvPicPr>
                          <pic:cNvPr descr="Kapitel/../Abbildungen/siegel_peq.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2085975" cy="2000250"/>
                          </a:xfrm>
                          <a:prstGeom prst="rect">
                            <a:avLst/>
                          </a:prstGeom>
                          <a:noFill/>
                          <a:ln w="9525">
                            <a:noFill/>
                            <a:headEnd/>
                            <a:tailEnd/>
                          </a:ln>
                        </pic:spPr>
                      </pic:pic>
                    </a:graphicData>
                  </a:graphic>
                </wp:inline>
              </w:drawing>
            </w:r>
            <w:r>
              <w:t xml:space="preserve"> </w:t>
            </w:r>
            <w:r>
              <w:rPr>
                <w:b/>
                <w:bCs/>
              </w:rPr>
              <w:t xml:space="preserve">Plus-Energie-Qartier</w:t>
            </w:r>
          </w:p>
        </w:tc>
        <w:tc>
          <w:tcPr/>
          <w:p>
            <w:pPr>
              <w:pStyle w:val="Compact"/>
            </w:pPr>
            <w:r>
              <w:t xml:space="preserve">Gebäudebetrieb einschließlich gebäudebezogener Stromanwendungen</w:t>
            </w:r>
          </w:p>
        </w:tc>
        <w:tc>
          <w:tcPr/>
          <w:p>
            <w:pPr>
              <w:pStyle w:val="Compact"/>
            </w:pPr>
            <w:r>
              <w:t xml:space="preserve">Positive bewertete Primärenergiebilanz</w:t>
            </w:r>
          </w:p>
        </w:tc>
      </w:tr>
      <w:tr>
        <w:tc>
          <w:tcPr/>
          <w:p>
            <w:pPr>
              <w:pStyle w:val="Compact"/>
            </w:pPr>
            <w:r>
              <w:drawing>
                <wp:inline>
                  <wp:extent cx="2838450" cy="2819400"/>
                  <wp:effectExtent b="0" l="0" r="0" t="0"/>
                  <wp:docPr descr="PEQ+M" title="" id="140" name="Picture"/>
                  <a:graphic>
                    <a:graphicData uri="http://schemas.openxmlformats.org/drawingml/2006/picture">
                      <pic:pic>
                        <pic:nvPicPr>
                          <pic:cNvPr descr="Kapitel/../Abbildungen/siegel_peqm.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2838450" cy="2819400"/>
                          </a:xfrm>
                          <a:prstGeom prst="rect">
                            <a:avLst/>
                          </a:prstGeom>
                          <a:noFill/>
                          <a:ln w="9525">
                            <a:noFill/>
                            <a:headEnd/>
                            <a:tailEnd/>
                          </a:ln>
                        </pic:spPr>
                      </pic:pic>
                    </a:graphicData>
                  </a:graphic>
                </wp:inline>
              </w:drawing>
            </w:r>
            <w:r>
              <w:t xml:space="preserve"> </w:t>
            </w:r>
            <w:r>
              <w:rPr>
                <w:b/>
                <w:bCs/>
              </w:rPr>
              <w:t xml:space="preserve">Plus-Energie-Quartier mit Mobilität</w:t>
            </w:r>
          </w:p>
        </w:tc>
        <w:tc>
          <w:tcPr/>
          <w:p>
            <w:pPr>
              <w:pStyle w:val="Compact"/>
            </w:pPr>
            <w:r>
              <w:t xml:space="preserve">Gebäudebetrieb und zugeordnete motorisierte Individualmobilität</w:t>
            </w:r>
          </w:p>
        </w:tc>
        <w:tc>
          <w:tcPr/>
          <w:p>
            <w:pPr>
              <w:pStyle w:val="Compact"/>
            </w:pPr>
            <w:r>
              <w:t xml:space="preserve">Positive bewertete Primärenergiebilanz einschließlich Mobilität</w:t>
            </w:r>
          </w:p>
        </w:tc>
      </w:tr>
      <w:tr>
        <w:tc>
          <w:tcPr/>
          <w:p>
            <w:pPr>
              <w:pStyle w:val="Compact"/>
            </w:pPr>
            <w:r>
              <w:drawing>
                <wp:inline>
                  <wp:extent cx="3143250" cy="3009900"/>
                  <wp:effectExtent b="0" l="0" r="0" t="0"/>
                  <wp:docPr descr="KNPEQ" title="" id="142" name="Picture"/>
                  <a:graphic>
                    <a:graphicData uri="http://schemas.openxmlformats.org/drawingml/2006/picture">
                      <pic:pic>
                        <pic:nvPicPr>
                          <pic:cNvPr descr="Kapitel/../Abbildungen/siegel_knpeq.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143250" cy="3009900"/>
                          </a:xfrm>
                          <a:prstGeom prst="rect">
                            <a:avLst/>
                          </a:prstGeom>
                          <a:noFill/>
                          <a:ln w="9525">
                            <a:noFill/>
                            <a:headEnd/>
                            <a:tailEnd/>
                          </a:ln>
                        </pic:spPr>
                      </pic:pic>
                    </a:graphicData>
                  </a:graphic>
                </wp:inline>
              </w:drawing>
            </w:r>
            <w:r>
              <w:t xml:space="preserve"> </w:t>
            </w:r>
            <w:r>
              <w:rPr>
                <w:b/>
                <w:bCs/>
              </w:rPr>
              <w:t xml:space="preserve">Klimaneutrales Plus-Energie-Quartier</w:t>
            </w:r>
          </w:p>
        </w:tc>
        <w:tc>
          <w:tcPr/>
          <w:p>
            <w:pPr>
              <w:pStyle w:val="Compact"/>
            </w:pPr>
            <w:r>
              <w:t xml:space="preserve">Zusätzlich Lebenszyklusemissionen aus baulichen Prozessen, Betrieb und Mobilität</w:t>
            </w:r>
          </w:p>
        </w:tc>
        <w:tc>
          <w:tcPr/>
          <w:p>
            <w:pPr>
              <w:pStyle w:val="Compact"/>
            </w:pPr>
            <w:r>
              <w:t xml:space="preserve">Positive bewertete Primärenergiebilanz und Einhaltung des kumulierten THG-Budgets</w:t>
            </w:r>
          </w:p>
        </w:tc>
      </w:tr>
    </w:tbl>
    <w:p>
      <w:pPr>
        <w:pStyle w:val="BodyText"/>
      </w:pPr>
      <w:r>
        <w:t xml:space="preserve">Die dritte Qualitätsstufe verwendet im dokumentierten Referenzverfahren ein Treibhausgasbudget von</w:t>
      </w:r>
      <w:r>
        <w:t xml:space="preserve"> </w:t>
      </w:r>
      <w:r>
        <w:rPr>
          <w:b/>
          <w:bCs/>
        </w:rPr>
        <w:t xml:space="preserve">320 kg CO₂e/m² BGF</w:t>
      </w:r>
      <w:r>
        <w:t xml:space="preserve">. Dieses gilt unter den festgelegten Systemgrenzen und Szenarioannahmen. Seine Herleitung wird in</w:t>
      </w:r>
      <w:r>
        <w:t xml:space="preserve"> </w:t>
      </w:r>
      <w:hyperlink w:anchor="sec-zielwert-thg">
        <w:r>
          <w:rPr>
            <w:rStyle w:val="Hyperlink"/>
          </w:rPr>
          <w:t xml:space="preserve">Kapitel 16</w:t>
        </w:r>
      </w:hyperlink>
      <w:r>
        <w:t xml:space="preserve"> </w:t>
      </w:r>
      <w:r>
        <w:t xml:space="preserve">erläutert; die berücksichtigten Lebenszyklusprozesse beschreibt</w:t>
      </w:r>
      <w:r>
        <w:t xml:space="preserve"> </w:t>
      </w:r>
      <w:hyperlink w:anchor="sec-bilanzregeln">
        <w:r>
          <w:rPr>
            <w:rStyle w:val="Hyperlink"/>
          </w:rPr>
          <w:t xml:space="preserve">Kapitel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7" w:name="fig-standard-systemgrenzen"/>
          <w:p>
            <w:pPr>
              <w:pStyle w:val="Compact"/>
              <w:jc w:val="center"/>
            </w:pPr>
            <w:r>
              <w:drawing>
                <wp:inline>
                  <wp:extent cx="5334000" cy="3239590"/>
                  <wp:effectExtent b="0" l="0" r="0" t="0"/>
                  <wp:docPr descr="" title="" id="145" name="Picture"/>
                  <a:graphic>
                    <a:graphicData uri="http://schemas.openxmlformats.org/drawingml/2006/picture">
                      <pic:pic>
                        <pic:nvPicPr>
                          <pic:cNvPr descr="Kapitel/../Abbildungen/standard_systemgrenzen.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5334000" cy="323959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7.1: Die drei Qualitätsstufen des klimaaktiv Standards und die Erweiterung ihrer energetischen und treibhausgasbezogenen Bilanzgrenzen.</w:t>
            </w:r>
          </w:p>
          <w:bookmarkEnd w:id="147"/>
        </w:tc>
      </w:tr>
    </w:tbl>
    <w:bookmarkEnd w:id="148"/>
    <w:bookmarkStart w:id="149" w:name="bewertungsgrößen-und-erfüllungskriterien"/>
    <w:p>
      <w:pPr>
        <w:pStyle w:val="Heading2"/>
      </w:pPr>
      <w:r>
        <w:t xml:space="preserve">7.3 Bewertungsgrößen und Erfüllungskriterien</w:t>
      </w:r>
    </w:p>
    <w:p>
      <w:pPr>
        <w:pStyle w:val="FirstParagraph"/>
      </w:pPr>
      <w:r>
        <w:t xml:space="preserve">Die Bewertung beruht auf zwei komplementären Größen:</w:t>
      </w:r>
    </w:p>
    <w:p>
      <w:pPr>
        <w:pStyle w:val="BodyText"/>
      </w:pPr>
      <w:r>
        <w:rPr>
          <w:b/>
          <w:bCs/>
        </w:rPr>
        <w:t xml:space="preserve">Primärenergiebilanz:</w:t>
      </w:r>
      <w:r>
        <w:t xml:space="preserve"> </w:t>
      </w:r>
      <w:r>
        <w:t xml:space="preserve">Energiebedarf, erneuerbare Aufbringung und Energieaustausch mit den umgebenden Netzen werden nach den festgelegten Bilanzierungsregeln bewertet. Die stündlich berechneten Energieflüsse werden mit zeitabhängigen Faktoren gewichtet. Eine positive Bewertungsbilanz ist Voraussetzung für alle drei Qualitätsstufen.</w:t>
      </w:r>
    </w:p>
    <w:p>
      <w:pPr>
        <w:pStyle w:val="BodyText"/>
      </w:pPr>
      <w:r>
        <w:rPr>
          <w:b/>
          <w:bCs/>
        </w:rPr>
        <w:t xml:space="preserve">Treibhausgasbilanz:</w:t>
      </w:r>
      <w:r>
        <w:t xml:space="preserve"> </w:t>
      </w:r>
      <w:r>
        <w:t xml:space="preserve">Für die Klimaneutralitätsstufe werden die Emissionen aus den definierten baulichen Prozessen, dem Gebäudebetrieb und der Mobilität über den Bewertungszeitraum kumuliert und mit dem zugeteilten THG-Budget verglichen.</w:t>
      </w:r>
    </w:p>
    <w:p>
      <w:pPr>
        <w:pStyle w:val="BodyText"/>
      </w:pPr>
      <w:r>
        <w:t xml:space="preserve">Die Bewertung unterscheidet damit zwischen</w:t>
      </w:r>
      <w:r>
        <w:t xml:space="preserve"> </w:t>
      </w:r>
      <w:r>
        <w:rPr>
          <w:b/>
          <w:bCs/>
        </w:rPr>
        <w:t xml:space="preserve">dem berechneten Energie- und Emissionsergebnis eines Quartiers</w:t>
      </w:r>
      <w:r>
        <w:t xml:space="preserve"> </w:t>
      </w:r>
      <w:r>
        <w:t xml:space="preserve">und</w:t>
      </w:r>
      <w:r>
        <w:t xml:space="preserve"> </w:t>
      </w:r>
      <w:r>
        <w:rPr>
          <w:b/>
          <w:bCs/>
        </w:rPr>
        <w:t xml:space="preserve">dem Maßstab, an dem dieses Ergebnis beurteilt wird</w:t>
      </w:r>
      <w:r>
        <w:t xml:space="preserve">.</w:t>
      </w:r>
    </w:p>
    <w:p>
      <w:pPr>
        <w:pStyle w:val="BodyText"/>
      </w:pPr>
      <w:r>
        <w:t xml:space="preserve">Die entsprechenden Bilanzierungsverfahren und Systemgrenzen erläutert</w:t>
      </w:r>
      <w:r>
        <w:t xml:space="preserve"> </w:t>
      </w:r>
      <w:hyperlink w:anchor="sec-bilanzregeln">
        <w:r>
          <w:rPr>
            <w:rStyle w:val="Hyperlink"/>
          </w:rPr>
          <w:t xml:space="preserve">Kapitel 17</w:t>
        </w:r>
      </w:hyperlink>
      <w:r>
        <w:t xml:space="preserve">.</w:t>
      </w:r>
    </w:p>
    <w:bookmarkEnd w:id="149"/>
    <w:bookmarkStart w:id="150" w:name="kontextabhängige-anforderungen"/>
    <w:p>
      <w:pPr>
        <w:pStyle w:val="Heading2"/>
      </w:pPr>
      <w:r>
        <w:t xml:space="preserve">7.4 Kontextabhängige Anforderungen</w:t>
      </w:r>
    </w:p>
    <w:p>
      <w:pPr>
        <w:pStyle w:val="FirstParagraph"/>
      </w:pPr>
      <w:r>
        <w:t xml:space="preserve">Nicht jedes Quartier verfügt über dieselben Voraussetzungen. Insbesondere bauliche Dichte, Standort und Gebäudebestand beeinflussen, welche Beiträge zur Energiewende lokal erbracht werden können.</w:t>
      </w:r>
    </w:p>
    <w:p>
      <w:pPr>
        <w:pStyle w:val="BodyText"/>
      </w:pPr>
      <w:r>
        <w:t xml:space="preserve">Der Standard berücksichtigt dies über drei Kontextfaktoren:</w:t>
      </w:r>
    </w:p>
    <w:p>
      <w:pPr>
        <w:pStyle w:val="Compact"/>
        <w:numPr>
          <w:ilvl w:val="0"/>
          <w:numId w:val="1001"/>
        </w:numPr>
      </w:pPr>
      <w:r>
        <w:rPr>
          <w:b/>
          <w:bCs/>
        </w:rPr>
        <w:t xml:space="preserve">Dichte:</w:t>
      </w:r>
      <w:r>
        <w:t xml:space="preserve"> </w:t>
      </w:r>
      <w:r>
        <w:t xml:space="preserve">Bei geringer baulicher Dichte wird ein höherer energetischer Beitrag verlangt; dichte Quartiere können eine Gutschrift erhalten.</w:t>
      </w:r>
    </w:p>
    <w:p>
      <w:pPr>
        <w:pStyle w:val="Compact"/>
        <w:numPr>
          <w:ilvl w:val="0"/>
          <w:numId w:val="1001"/>
        </w:numPr>
      </w:pPr>
      <w:r>
        <w:rPr>
          <w:b/>
          <w:bCs/>
        </w:rPr>
        <w:t xml:space="preserve">Mobilität:</w:t>
      </w:r>
      <w:r>
        <w:t xml:space="preserve"> </w:t>
      </w:r>
      <w:r>
        <w:t xml:space="preserve">Ein aus der nationalen Energieallokation abgeleitetes Budget wird den Nutzungen zugeordnet und dem tatsächlich bilanzierten Mobilitätsbedarf gegenübergestellt.</w:t>
      </w:r>
    </w:p>
    <w:p>
      <w:pPr>
        <w:pStyle w:val="Compact"/>
        <w:numPr>
          <w:ilvl w:val="0"/>
          <w:numId w:val="1001"/>
        </w:numPr>
      </w:pPr>
      <w:r>
        <w:rPr>
          <w:b/>
          <w:bCs/>
        </w:rPr>
        <w:t xml:space="preserve">Sanierung:</w:t>
      </w:r>
      <w:r>
        <w:t xml:space="preserve"> </w:t>
      </w:r>
      <w:r>
        <w:t xml:space="preserve">Bestandsvorhaben erhalten eine festgelegte Entlastung, die besonderen Einschränkungen bei der energetischen Verbesserung Rechnung trägt.</w:t>
      </w:r>
    </w:p>
    <w:p>
      <w:pPr>
        <w:pStyle w:val="FirstParagraph"/>
      </w:pPr>
      <w:r>
        <w:t xml:space="preserve">Die Kontextfaktoren verändern die</w:t>
      </w:r>
      <w:r>
        <w:t xml:space="preserve"> </w:t>
      </w:r>
      <w:r>
        <w:rPr>
          <w:b/>
          <w:bCs/>
        </w:rPr>
        <w:t xml:space="preserve">energetische Bewertungsanforderung</w:t>
      </w:r>
      <w:r>
        <w:t xml:space="preserve">, nicht die tatsächlich benötigte oder erzeugte Energie. Eine positive Bewertungsbilanz kann daher auch dann erreicht werden, wenn das Quartier physisch keinen Nettoenergieüberschuss aufweist.</w:t>
      </w:r>
    </w:p>
    <w:p>
      <w:pPr>
        <w:pStyle w:val="BodyText"/>
      </w:pPr>
      <w:r>
        <w:t xml:space="preserve">Die Herleitung der Zielwerte beschreiben</w:t>
      </w:r>
      <w:r>
        <w:t xml:space="preserve"> </w:t>
      </w:r>
      <w:hyperlink w:anchor="sec-allokation">
        <w:r>
          <w:rPr>
            <w:rStyle w:val="Hyperlink"/>
          </w:rPr>
          <w:t xml:space="preserve">Kapitel 11</w:t>
        </w:r>
      </w:hyperlink>
      <w:r>
        <w:t xml:space="preserve"> </w:t>
      </w:r>
      <w:r>
        <w:t xml:space="preserve">und</w:t>
      </w:r>
      <w:r>
        <w:t xml:space="preserve"> </w:t>
      </w:r>
      <w:hyperlink w:anchor="sec-zielwert-thg">
        <w:r>
          <w:rPr>
            <w:rStyle w:val="Hyperlink"/>
          </w:rPr>
          <w:t xml:space="preserve">Kapitel 16</w:t>
        </w:r>
      </w:hyperlink>
      <w:r>
        <w:t xml:space="preserve">, die Berechnung und Anwendung der Kontextfaktoren</w:t>
      </w:r>
      <w:r>
        <w:t xml:space="preserve"> </w:t>
      </w:r>
      <w:hyperlink w:anchor="sec-kontext">
        <w:r>
          <w:rPr>
            <w:rStyle w:val="Hyperlink"/>
          </w:rPr>
          <w:t xml:space="preserve">Kapitel 9.2</w:t>
        </w:r>
      </w:hyperlink>
      <w:r>
        <w:t xml:space="preserve">.</w:t>
      </w:r>
    </w:p>
    <w:bookmarkEnd w:id="150"/>
    <w:bookmarkStart w:id="151" w:name="bedeutung-und-grenzen-der-bewertung"/>
    <w:p>
      <w:pPr>
        <w:pStyle w:val="Heading2"/>
      </w:pPr>
      <w:r>
        <w:t xml:space="preserve">7.5 Bedeutung und Grenzen der Bewertung</w:t>
      </w:r>
    </w:p>
    <w:p>
      <w:pPr>
        <w:pStyle w:val="FirstParagraph"/>
      </w:pPr>
      <w:r>
        <w:t xml:space="preserve">Eine erfüllte Qualitätsstufe zeigt, dass ein Quartier die definierten Anforderungen</w:t>
      </w:r>
      <w:r>
        <w:t xml:space="preserve"> </w:t>
      </w:r>
      <w:r>
        <w:rPr>
          <w:b/>
          <w:bCs/>
        </w:rPr>
        <w:t xml:space="preserve">unter den festgelegten Systemgrenzen, Faktoren und Projektannahmen</w:t>
      </w:r>
      <w:r>
        <w:t xml:space="preserve"> </w:t>
      </w:r>
      <w:r>
        <w:t xml:space="preserve">erreicht.</w:t>
      </w:r>
    </w:p>
    <w:p>
      <w:pPr>
        <w:pStyle w:val="BodyText"/>
      </w:pPr>
      <w:r>
        <w:t xml:space="preserve">Die Bewertung soll eine konsistente Grundlage bieten, um Quartierskonzepte zu beurteilen, Varianten zu vergleichen und die Zielerreichung im Planungsprozess nachzuweisen.</w:t>
      </w:r>
    </w:p>
    <w:p>
      <w:pPr>
        <w:pStyle w:val="BodyText"/>
      </w:pPr>
      <w:r>
        <w:t xml:space="preserve">Für die quantitative Bewertung steht das klima</w:t>
      </w:r>
      <w:r>
        <w:rPr>
          <w:b/>
          <w:bCs/>
        </w:rPr>
        <w:t xml:space="preserve">aktiv</w:t>
      </w:r>
      <w:r>
        <w:t xml:space="preserve"> </w:t>
      </w:r>
      <w:r>
        <w:t xml:space="preserve">PEQ-Nachweistool zur Verfügung. Die</w:t>
      </w:r>
      <w:r>
        <w:t xml:space="preserve"> </w:t>
      </w:r>
      <w:hyperlink r:id="rId27">
        <w:r>
          <w:rPr>
            <w:rStyle w:val="Hyperlink"/>
          </w:rPr>
          <w:t xml:space="preserve">Wissensplattform</w:t>
        </w:r>
      </w:hyperlink>
      <w:r>
        <w:t xml:space="preserve"> </w:t>
      </w:r>
      <w:r>
        <w:t xml:space="preserve">bietet weiterführende Informationen zum Bewertungsmodell und zur Anwendung des Tools.</w:t>
      </w:r>
    </w:p>
    <w:p>
      <w:pPr>
        <w:pStyle w:val="BodyText"/>
      </w:pPr>
      <w:r>
        <w:t xml:space="preserve">Die Gültigkeit des Bewertungsmaßstabs hängt von den verwendeten Szenarien, Parametern und methodischen Festlegungen ab. Grenzen und Weiterentwicklung werden in</w:t>
      </w:r>
      <w:r>
        <w:t xml:space="preserve"> </w:t>
      </w:r>
      <w:hyperlink w:anchor="sec-fortschreibung">
        <w:r>
          <w:rPr>
            <w:rStyle w:val="Hyperlink"/>
          </w:rPr>
          <w:t xml:space="preserve">Kapitel 19</w:t>
        </w:r>
      </w:hyperlink>
      <w:r>
        <w:t xml:space="preserve"> </w:t>
      </w:r>
      <w:r>
        <w:t xml:space="preserve">dokumentiert.</w:t>
      </w:r>
    </w:p>
    <w:bookmarkEnd w:id="151"/>
    <w:bookmarkEnd w:id="152"/>
    <w:bookmarkStart w:id="182" w:name="sec-anwendung"/>
    <w:p>
      <w:pPr>
        <w:pStyle w:val="Heading1"/>
      </w:pPr>
      <w:r>
        <w:t xml:space="preserve">8. Deklaration und Projektphasen</w:t>
      </w:r>
    </w:p>
    <w:p>
      <w:pPr>
        <w:pStyle w:val="FirstParagraph"/>
      </w:pPr>
      <w:r>
        <w:t xml:space="preserve">Vom untersuchten Konzept über die realisierte Lösung bis zum nachgewiesenen Betrieb</w:t>
      </w:r>
    </w:p>
    <w:p>
      <w:pPr>
        <w:pStyle w:val="BodyText"/>
      </w:pPr>
      <w:r>
        <w:t xml:space="preserve">Der klimaaktiv Standard kann in unterschiedlichen Projektphasen angewendet werden. Dabei sind zwei Fragen zu unterscheiden:</w:t>
      </w:r>
      <w:r>
        <w:t xml:space="preserve"> </w:t>
      </w:r>
      <w:r>
        <w:rPr>
          <w:b/>
          <w:bCs/>
        </w:rPr>
        <w:t xml:space="preserve">Welche Qualitätsstufe wird rechnerisch erreicht?</w:t>
      </w:r>
      <w:r>
        <w:t xml:space="preserve"> </w:t>
      </w:r>
      <w:r>
        <w:t xml:space="preserve">Und</w:t>
      </w:r>
      <w:r>
        <w:t xml:space="preserve"> </w:t>
      </w:r>
      <w:r>
        <w:rPr>
          <w:b/>
          <w:bCs/>
        </w:rPr>
        <w:t xml:space="preserve">wie belastbar ist der zugrunde liegende Projektstand?</w:t>
      </w:r>
      <w:r>
        <w:t xml:space="preserve"> </w:t>
      </w:r>
      <w:r>
        <w:t xml:space="preserve">Die Qualitätsstufen beschreibt</w:t>
      </w:r>
      <w:r>
        <w:t xml:space="preserve"> </w:t>
      </w:r>
      <w:hyperlink w:anchor="sec-standard">
        <w:r>
          <w:rPr>
            <w:rStyle w:val="Hyperlink"/>
          </w:rPr>
          <w:t xml:space="preserve">Qualitätsstufen und Anforderungen</w:t>
        </w:r>
      </w:hyperlink>
      <w:r>
        <w:t xml:space="preserve">; die Deklarationsphase kennzeichnet den Stand der Nachweisführung.</w:t>
      </w:r>
    </w:p>
    <w:bookmarkStart w:id="164" w:name="drei-deklarationsphasen"/>
    <w:p>
      <w:pPr>
        <w:pStyle w:val="Heading2"/>
      </w:pPr>
      <w:r>
        <w:t xml:space="preserve">8.1 Drei Deklarationsphasen</w:t>
      </w:r>
    </w:p>
    <w:p>
      <w:pPr>
        <w:pStyle w:val="FirstParagraph"/>
      </w:pPr>
      <w:r>
        <w:t xml:space="preserve">Die Nachweisführung kann in der Planung, nach Fertigstellung sowie auf Grundlage gemessener Betriebsdaten erfolgen. Mit fortschreitendem Projektstand verändert sich die Datengrundlage und damit die Aussagekraft der Deklaration.</w:t>
      </w:r>
    </w:p>
    <w:tbl>
      <w:tblPr>
        <w:tblStyle w:val="Table"/>
        <w:tblW w:type="pct" w:w="5000"/>
        <w:tblLayout w:type="fixed"/>
        <w:tblLook w:firstRow="0" w:lastRow="0" w:firstColumn="0" w:lastColumn="0" w:noHBand="0" w:noVBand="0" w:val="0000"/>
      </w:tblPr>
      <w:tblGrid>
        <w:gridCol w:w="7920"/>
      </w:tblGrid>
      <w:tr>
        <w:tc>
          <w:tcPr/>
          <w:bookmarkStart w:id="156" w:name="fig-deklarationsphasen"/>
          <w:p>
            <w:pPr>
              <w:pStyle w:val="Compact"/>
              <w:jc w:val="center"/>
            </w:pPr>
            <w:r>
              <w:drawing>
                <wp:inline>
                  <wp:extent cx="5334000" cy="1993837"/>
                  <wp:effectExtent b="0" l="0" r="0" t="0"/>
                  <wp:docPr descr="" title="" id="154" name="Picture"/>
                  <a:graphic>
                    <a:graphicData uri="http://schemas.openxmlformats.org/drawingml/2006/picture">
                      <pic:pic>
                        <pic:nvPicPr>
                          <pic:cNvPr descr="Kapitel/../Abbildungen/deklarationen.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5334000" cy="1993837"/>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8.1:</w:t>
            </w:r>
            <w:r>
              <w:t xml:space="preserve"> </w:t>
            </w:r>
            <w:r>
              <w:rPr>
                <w:b/>
                <w:bCs/>
              </w:rPr>
              <w:t xml:space="preserve">Deklaration je nach Projektstand:</w:t>
            </w:r>
            <w:r>
              <w:t xml:space="preserve"> </w:t>
            </w:r>
            <w:r>
              <w:t xml:space="preserve">Planungsdeklaration, Fertigstellungsdeklaration und Betriebsdeklaration mit zunehmender Verfügbarkeit von Ausführungs- und Messdaten.</w:t>
            </w:r>
          </w:p>
          <w:bookmarkEnd w:id="156"/>
        </w:tc>
      </w:tr>
    </w:tbl>
    <w:bookmarkStart w:id="157" w:name="X7d3d1967b9148bcc6844ed1fcf694d84f388b84"/>
    <w:p>
      <w:pPr>
        <w:pStyle w:val="Heading3"/>
      </w:pPr>
      <w:r>
        <w:t xml:space="preserve">8.1.1 📐 Planungsdeklaration – Potenziale und Varianten nachweisen</w:t>
      </w:r>
    </w:p>
    <w:p>
      <w:pPr>
        <w:pStyle w:val="FirstParagraph"/>
      </w:pPr>
      <w:r>
        <w:t xml:space="preserve">Eine</w:t>
      </w:r>
      <w:r>
        <w:t xml:space="preserve"> </w:t>
      </w:r>
      <w:r>
        <w:rPr>
          <w:b/>
          <w:bCs/>
        </w:rPr>
        <w:t xml:space="preserve">Planungsdeklaration</w:t>
      </w:r>
      <w:r>
        <w:t xml:space="preserve"> </w:t>
      </w:r>
      <w:r>
        <w:t xml:space="preserve">zeichnet die fundierte Untersuchung eines Quartierskonzepts aus. Sie zeigt,</w:t>
      </w:r>
      <w:r>
        <w:t xml:space="preserve"> </w:t>
      </w:r>
      <w:r>
        <w:rPr>
          <w:b/>
          <w:bCs/>
        </w:rPr>
        <w:t xml:space="preserve">unter welchen planerischen, technischen und organisatorischen Voraussetzungen</w:t>
      </w:r>
      <w:r>
        <w:t xml:space="preserve"> </w:t>
      </w:r>
      <w:r>
        <w:t xml:space="preserve">eine angestrebte Qualitätsstufe erreicht werden könnte. Insbesondere in frühen Phasen ermöglicht sie die Beantwortung von</w:t>
      </w:r>
      <w:r>
        <w:t xml:space="preserve"> </w:t>
      </w:r>
      <w:r>
        <w:rPr>
          <w:i/>
          <w:iCs/>
        </w:rPr>
        <w:t xml:space="preserve">Was-wäre-wenn-Fragen</w:t>
      </w:r>
      <w:r>
        <w:t xml:space="preserve">: Welche PV-Flächen wären erforderlich? Welche Wärmeversorgung oder Mobilitätsmaßnahmen würden den Ausschlag geben? Wie stark beeinflussen unterschiedliche Bauweisen die THG-Bilanz?</w:t>
      </w:r>
    </w:p>
    <w:p>
      <w:pPr>
        <w:pStyle w:val="BodyText"/>
      </w:pPr>
      <w:r>
        <w:t xml:space="preserve">Die betrachtete Variante</w:t>
      </w:r>
      <w:r>
        <w:t xml:space="preserve"> </w:t>
      </w:r>
      <w:r>
        <w:rPr>
          <w:b/>
          <w:bCs/>
        </w:rPr>
        <w:t xml:space="preserve">muss nicht später genau so umgesetzt werden</w:t>
      </w:r>
      <w:r>
        <w:t xml:space="preserve">. Eine Planungsdeklaration ist daher weder eine Ausführungsverpflichtung noch ein Nachweis der später tatsächlich erreichten Performance. Entscheidend sind eine ausreichend detaillierte, nachvollziehbare Untersuchung sowie die transparente Kennzeichnung der zugrunde liegenden Annahmen und Abhängigkeiten.</w:t>
      </w:r>
    </w:p>
    <w:bookmarkEnd w:id="157"/>
    <w:bookmarkStart w:id="158" w:name="X820e29c657087dd8ebc15c3a86e3472c2d49ef1"/>
    <w:p>
      <w:pPr>
        <w:pStyle w:val="Heading3"/>
      </w:pPr>
      <w:r>
        <w:t xml:space="preserve">8.1.2 🏗️ Fertigstellungsdeklaration – Umsetzung überprüfen</w:t>
      </w:r>
    </w:p>
    <w:p>
      <w:pPr>
        <w:pStyle w:val="FirstParagraph"/>
      </w:pPr>
      <w:r>
        <w:t xml:space="preserve">Die</w:t>
      </w:r>
      <w:r>
        <w:t xml:space="preserve"> </w:t>
      </w:r>
      <w:r>
        <w:rPr>
          <w:b/>
          <w:bCs/>
        </w:rPr>
        <w:t xml:space="preserve">Fertigstellungsdeklaration</w:t>
      </w:r>
      <w:r>
        <w:t xml:space="preserve"> </w:t>
      </w:r>
      <w:r>
        <w:t xml:space="preserve">bewertet das</w:t>
      </w:r>
      <w:r>
        <w:t xml:space="preserve"> </w:t>
      </w:r>
      <w:r>
        <w:rPr>
          <w:b/>
          <w:bCs/>
        </w:rPr>
        <w:t xml:space="preserve">tatsächlich errichtete beziehungsweise sanierte Quartier</w:t>
      </w:r>
      <w:r>
        <w:t xml:space="preserve">. Die in der Planung angesetzten Maßnahmen werden mit dem Ausführungsstand abgeglichen: etwa Gebäudehülle, installierte Wärmeerzeugung, tatsächlich verfügbare PV-Flächen und -Leistungen, Speicher, Ladeinfrastruktur sowie realisierte Mobilitätsangebote.</w:t>
      </w:r>
    </w:p>
    <w:p>
      <w:pPr>
        <w:pStyle w:val="BodyText"/>
      </w:pPr>
      <w:r>
        <w:t xml:space="preserve">Abweichungen von früheren Varianten sind zu dokumentieren und, soweit bilanzrelevant, neu zu bewerten. Maßgeblich ist die nachvollziehbar belegte Ausführung und die daraus berechnete Zielerreichung – nicht allein das ursprüngliche Planungsergebnis.</w:t>
      </w:r>
    </w:p>
    <w:bookmarkEnd w:id="158"/>
    <w:bookmarkStart w:id="163" w:name="X3c422b68cfb3868b9dcca2746ffee730c1c27a7"/>
    <w:p>
      <w:pPr>
        <w:pStyle w:val="Heading3"/>
      </w:pPr>
      <w:r>
        <w:t xml:space="preserve">8.1.3 🔍 Betriebs- bzw. Monitoringdeklaration – Wirkung im Betrieb belegen</w:t>
      </w:r>
    </w:p>
    <w:p>
      <w:pPr>
        <w:pStyle w:val="FirstParagraph"/>
      </w:pPr>
      <w:r>
        <w:t xml:space="preserve">Die</w:t>
      </w:r>
      <w:r>
        <w:t xml:space="preserve"> </w:t>
      </w:r>
      <w:r>
        <w:rPr>
          <w:b/>
          <w:bCs/>
        </w:rPr>
        <w:t xml:space="preserve">Betriebsdeklaration</w:t>
      </w:r>
      <w:r>
        <w:t xml:space="preserve"> </w:t>
      </w:r>
      <w:r>
        <w:t xml:space="preserve">ergänzt die modellbasierte Bewertung um</w:t>
      </w:r>
      <w:r>
        <w:t xml:space="preserve"> </w:t>
      </w:r>
      <w:r>
        <w:rPr>
          <w:b/>
          <w:bCs/>
        </w:rPr>
        <w:t xml:space="preserve">gemessene Betriebsdaten</w:t>
      </w:r>
      <w:r>
        <w:t xml:space="preserve"> </w:t>
      </w:r>
      <w:r>
        <w:t xml:space="preserve">aus einer mindestens einjährigen Monitoringphase. Insbesondere Energiebezug, Erzeugung und Einspeisung sowie – soweit erfassbar und für die gewählte Qualitätsstufe relevant – weitere Energieflüsse und Nutzungsbedingungen werden mit den Annahmen der Bewertung abgeglichen.</w:t>
      </w:r>
    </w:p>
    <w:p>
      <w:pPr>
        <w:pStyle w:val="BodyText"/>
      </w:pPr>
      <w:r>
        <w:t xml:space="preserve">Eine sachgerechte Interpretation berücksichtigt unter anderem Wetter, Belegung, Nutzungsänderungen und die Verfügbarkeit der technischen Anlagen. Das Monitoring ermöglicht es, Abweichungen zwischen prognostizierter und tatsächlicher Performance zu erkennen. Es ersetzt jedoch nicht die Bilanzierung jener Lebenszyklus- oder Mobilitätsemissionen, die nicht unmittelbar gemessen werden können.</w:t>
      </w:r>
    </w:p>
    <w:tbl>
      <w:tblPr>
        <w:tblStyle w:val="Table"/>
        <w:tblW w:type="pct" w:w="5000"/>
        <w:tblLayout w:type="fixed"/>
        <w:tblLook w:firstRow="0" w:lastRow="0" w:firstColumn="0" w:lastColumn="0" w:noHBand="0" w:noVBand="0" w:val="0000"/>
      </w:tblPr>
      <w:tblGrid>
        <w:gridCol w:w="7920"/>
      </w:tblGrid>
      <w:tr>
        <w:tc>
          <w:tcPr/>
          <w:bookmarkStart w:id="159" w:name="tbl-deklarationsphasen"/>
          <w:p>
            <w:pPr>
              <w:jc w:val="center"/>
            </w:pPr>
            <w:pPr>
              <w:jc w:val="left"/>
              <w:spacing w:before="200"/>
              <w:pStyle w:val="ImageCaption"/>
            </w:pPr>
            <w:r>
              <w:t xml:space="preserve">Tabelle 8.1: Bewertungsgrundlagen und Aussagekraft der Deklarationsphasen.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Phase</w:t>
                  </w:r>
                </w:p>
              </w:tc>
              <w:tc>
                <w:tcPr/>
                <w:p>
                  <w:pPr>
                    <w:pStyle w:val="Compact"/>
                    <w:jc w:val="center"/>
                  </w:pPr>
                  <w:r>
                    <w:t xml:space="preserve">Bewertungsgrundlage</w:t>
                  </w:r>
                </w:p>
              </w:tc>
              <w:tc>
                <w:tcPr/>
                <w:p>
                  <w:pPr>
                    <w:pStyle w:val="Compact"/>
                    <w:jc w:val="center"/>
                  </w:pPr>
                  <w:r>
                    <w:t xml:space="preserve">Aussage der Deklaration</w:t>
                  </w:r>
                </w:p>
              </w:tc>
            </w:tr>
            <w:tr>
              <w:tc>
                <w:tcPr/>
                <w:p>
                  <w:pPr>
                    <w:pStyle w:val="Compact"/>
                    <w:jc w:val="center"/>
                  </w:pPr>
                  <w:r>
                    <w:t xml:space="preserve">📐</w:t>
                  </w:r>
                  <w:r>
                    <w:t xml:space="preserve"> </w:t>
                  </w:r>
                  <w:r>
                    <w:rPr>
                      <w:b/>
                      <w:bCs/>
                    </w:rPr>
                    <w:t xml:space="preserve">Planung</w:t>
                  </w:r>
                </w:p>
              </w:tc>
              <w:tc>
                <w:tcPr/>
                <w:p>
                  <w:pPr>
                    <w:pStyle w:val="Compact"/>
                    <w:jc w:val="center"/>
                  </w:pPr>
                  <w:r>
                    <w:t xml:space="preserve">Quartierskonzept, Fachannahmen und untersuchte Varianten</w:t>
                  </w:r>
                </w:p>
              </w:tc>
              <w:tc>
                <w:tcPr/>
                <w:p>
                  <w:pPr>
                    <w:pStyle w:val="Compact"/>
                    <w:jc w:val="center"/>
                  </w:pPr>
                  <w:r>
                    <w:t xml:space="preserve">Unter welchen Bedingungen eine Qualitätsstufe erreichbar ist</w:t>
                  </w:r>
                </w:p>
              </w:tc>
            </w:tr>
            <w:tr>
              <w:tc>
                <w:tcPr/>
                <w:p>
                  <w:pPr>
                    <w:pStyle w:val="Compact"/>
                    <w:jc w:val="center"/>
                  </w:pPr>
                  <w:r>
                    <w:t xml:space="preserve">🏗️</w:t>
                  </w:r>
                  <w:r>
                    <w:t xml:space="preserve"> </w:t>
                  </w:r>
                  <w:r>
                    <w:rPr>
                      <w:b/>
                      <w:bCs/>
                    </w:rPr>
                    <w:t xml:space="preserve">Fertigstellung</w:t>
                  </w:r>
                </w:p>
              </w:tc>
              <w:tc>
                <w:tcPr/>
                <w:p>
                  <w:pPr>
                    <w:pStyle w:val="Compact"/>
                    <w:jc w:val="center"/>
                  </w:pPr>
                  <w:r>
                    <w:t xml:space="preserve">Nachgewiesene Ausführung und aktualisierte Berechnung</w:t>
                  </w:r>
                </w:p>
              </w:tc>
              <w:tc>
                <w:tcPr/>
                <w:p>
                  <w:pPr>
                    <w:pStyle w:val="Compact"/>
                    <w:jc w:val="center"/>
                  </w:pPr>
                  <w:r>
                    <w:t xml:space="preserve">Ob das ausgeführte Projekt die Anforderungen erfüllt</w:t>
                  </w:r>
                </w:p>
              </w:tc>
            </w:tr>
            <w:tr>
              <w:tc>
                <w:tcPr/>
                <w:p>
                  <w:pPr>
                    <w:pStyle w:val="Compact"/>
                    <w:jc w:val="center"/>
                  </w:pPr>
                  <w:r>
                    <w:t xml:space="preserve">🔍</w:t>
                  </w:r>
                  <w:r>
                    <w:t xml:space="preserve"> </w:t>
                  </w:r>
                  <w:r>
                    <w:rPr>
                      <w:b/>
                      <w:bCs/>
                    </w:rPr>
                    <w:t xml:space="preserve">Betrieb / Monitoring</w:t>
                  </w:r>
                </w:p>
              </w:tc>
              <w:tc>
                <w:tcPr/>
                <w:p>
                  <w:pPr>
                    <w:pStyle w:val="Compact"/>
                    <w:jc w:val="center"/>
                  </w:pPr>
                  <w:r>
                    <w:t xml:space="preserve">Messdaten und dokumentierte Betriebsbedingungen</w:t>
                  </w:r>
                </w:p>
              </w:tc>
              <w:tc>
                <w:tcPr/>
                <w:p>
                  <w:pPr>
                    <w:pStyle w:val="Compact"/>
                    <w:jc w:val="center"/>
                  </w:pPr>
                  <w:r>
                    <w:t xml:space="preserve">Inwieweit die prognostizierte Performance im Betrieb bestätigt wird</w:t>
                  </w:r>
                </w:p>
              </w:tc>
            </w:tr>
          </w:tbl>
          <w:bookmarkEnd w:id="159"/>
          <w:p/>
        </w:tc>
      </w:tr>
    </w:tbl>
    <w:p>
      <w:pPr>
        <w:pStyle w:val="BodyText"/>
      </w:pPr>
      <w:r>
        <w:t xml:space="preserve"> </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1" name="Picture"/>
                  <a:graphic>
                    <a:graphicData uri="http://schemas.openxmlformats.org/drawingml/2006/picture">
                      <pic:pic>
                        <pic:nvPicPr>
                          <pic:cNvPr descr="C:\Users\schneids\AppData\Local\Programs\Quarto\share\formats\docx\warning.png" id="162" name="Picture"/>
                          <pic:cNvPicPr>
                            <a:picLocks noChangeArrowheads="1" noChangeAspect="1"/>
                          </pic:cNvPicPr>
                        </pic:nvPicPr>
                        <pic:blipFill>
                          <a:blip r:embed="rId16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Qualitätsstufe ist nicht Deklarationsphase</w:t>
            </w:r>
          </w:p>
          <w:p>
            <w:pPr>
              <w:pStyle w:val="BodyText"/>
            </w:pPr>
            <w:pPr>
              <w:spacing w:before="16" w:after="16"/>
            </w:pPr>
            <w:r>
              <w:t xml:space="preserve">Die</w:t>
            </w:r>
            <w:r>
              <w:t xml:space="preserve"> </w:t>
            </w:r>
            <w:r>
              <w:rPr>
                <w:b/>
                <w:bCs/>
              </w:rPr>
              <w:t xml:space="preserve">Qualitätsstufe</w:t>
            </w:r>
            <w:r>
              <w:t xml:space="preserve"> </w:t>
            </w:r>
            <w:r>
              <w:t xml:space="preserve">bezeichnet den Umfang der erfüllten Energie- und THG-Anforderungen. Die</w:t>
            </w:r>
            <w:r>
              <w:t xml:space="preserve"> </w:t>
            </w:r>
            <w:r>
              <w:rPr>
                <w:b/>
                <w:bCs/>
              </w:rPr>
              <w:t xml:space="preserve">Deklarationsphase</w:t>
            </w:r>
            <w:r>
              <w:t xml:space="preserve"> </w:t>
            </w:r>
            <w:r>
              <w:t xml:space="preserve">beschreibt, ob die Beurteilung auf Planungsannahmen, der realisierten Ausführung oder gemessenen Betriebsdaten beruht. Beide Angaben sind unabhängig voneinander und müssen gemeinsam ausgewiesen werden.</w:t>
            </w:r>
          </w:p>
        </w:tc>
      </w:tr>
    </w:tbl>
    <w:bookmarkEnd w:id="163"/>
    <w:bookmarkEnd w:id="164"/>
    <w:bookmarkStart w:id="165" w:name="auf-dem-weg-zielerreichung-in-etappen"/>
    <w:p>
      <w:pPr>
        <w:pStyle w:val="Heading2"/>
      </w:pPr>
      <w:r>
        <w:t xml:space="preserve">8.2 🧭 „Auf dem Weg“ – Zielerreichung in Etappen</w:t>
      </w:r>
    </w:p>
    <w:p>
      <w:pPr>
        <w:pStyle w:val="FirstParagraph"/>
      </w:pPr>
      <w:r>
        <w:t xml:space="preserve">Nicht jedes Quartier erfüllt bereits</w:t>
      </w:r>
      <w:r>
        <w:t xml:space="preserve"> </w:t>
      </w:r>
      <w:r>
        <w:rPr>
          <w:b/>
          <w:bCs/>
        </w:rPr>
        <w:t xml:space="preserve">zum Nachweiszeitpunkt</w:t>
      </w:r>
      <w:r>
        <w:t xml:space="preserve"> </w:t>
      </w:r>
      <w:r>
        <w:t xml:space="preserve">sämtliche Anforderungen einer angestrebten Qualitätsstufe. Vor allem im Bestand oder bei abschnittsweiser Entwicklung können wesentliche Maßnahmen erst später wirksam werden.</w:t>
      </w:r>
    </w:p>
    <w:p>
      <w:pPr>
        <w:pStyle w:val="BodyText"/>
      </w:pPr>
      <w:r>
        <w:t xml:space="preserve">Die Deklaration</w:t>
      </w:r>
      <w:r>
        <w:t xml:space="preserve"> </w:t>
      </w:r>
      <w:r>
        <w:rPr>
          <w:b/>
          <w:bCs/>
        </w:rPr>
        <w:t xml:space="preserve">„Auf dem Weg zum Plus-Energie-Quartier“</w:t>
      </w:r>
      <w:r>
        <w:t xml:space="preserve"> </w:t>
      </w:r>
      <w:r>
        <w:t xml:space="preserve">berücksichtigt solche Entwicklungspfade, sofern eine spätere Zielerreichung innerhalb des vorgesehenen Zeitraums plausibel nachgewiesen werden kann. Das Konzept sieht hierfür einen Zeitraum von bis zu fünf Jahren vor.</w:t>
      </w:r>
    </w:p>
    <w:p>
      <w:pPr>
        <w:pStyle w:val="BodyText"/>
      </w:pPr>
      <w:r>
        <w:t xml:space="preserve">Entscheidend ist die Unterscheidung zwischen einer allgemeinen Absicht und einem</w:t>
      </w:r>
      <w:r>
        <w:t xml:space="preserve"> </w:t>
      </w:r>
      <w:r>
        <w:rPr>
          <w:b/>
          <w:bCs/>
        </w:rPr>
        <w:t xml:space="preserve">technisch sowie zeitlich glaubhaften Umsetzungspfad</w:t>
      </w:r>
      <w:r>
        <w:t xml:space="preserve">. Geeignete Nachweise können insbesondere sein:</w:t>
      </w:r>
    </w:p>
    <w:p>
      <w:pPr>
        <w:pStyle w:val="Compact"/>
        <w:numPr>
          <w:ilvl w:val="0"/>
          <w:numId w:val="1002"/>
        </w:numPr>
      </w:pPr>
      <w:r>
        <w:rPr>
          <w:b/>
          <w:bCs/>
        </w:rPr>
        <w:t xml:space="preserve">PV-Vorhalteflächen:</w:t>
      </w:r>
      <w:r>
        <w:t xml:space="preserve"> </w:t>
      </w:r>
      <w:r>
        <w:t xml:space="preserve">planerisch gesicherte Dach- oder Fassadenflächen einschließlich Tragfähigkeit, Verschattung, Leitungsführung und geplanter Anschlussmöglichkeit.</w:t>
      </w:r>
    </w:p>
    <w:p>
      <w:pPr>
        <w:pStyle w:val="Compact"/>
        <w:numPr>
          <w:ilvl w:val="0"/>
          <w:numId w:val="1002"/>
        </w:numPr>
      </w:pPr>
      <w:r>
        <w:rPr>
          <w:b/>
          <w:bCs/>
        </w:rPr>
        <w:t xml:space="preserve">Vorbereitete Energieflexibilität:</w:t>
      </w:r>
      <w:r>
        <w:t xml:space="preserve"> </w:t>
      </w:r>
      <w:r>
        <w:t xml:space="preserve">Mess-, Steuer- und Kommunikationsinfrastruktur sowie ein umsetzbares Regelungskonzept.</w:t>
      </w:r>
    </w:p>
    <w:p>
      <w:pPr>
        <w:pStyle w:val="Compact"/>
        <w:numPr>
          <w:ilvl w:val="0"/>
          <w:numId w:val="1002"/>
        </w:numPr>
      </w:pPr>
      <w:r>
        <w:rPr>
          <w:b/>
          <w:bCs/>
        </w:rPr>
        <w:t xml:space="preserve">Technische Vorhaltungen:</w:t>
      </w:r>
      <w:r>
        <w:t xml:space="preserve"> </w:t>
      </w:r>
      <w:r>
        <w:t xml:space="preserve">Leerrohre, Platzreserven, Trassen oder elektrische Anschlussreserven für einen späteren Ausbau.</w:t>
      </w:r>
    </w:p>
    <w:p>
      <w:pPr>
        <w:pStyle w:val="Compact"/>
        <w:numPr>
          <w:ilvl w:val="0"/>
          <w:numId w:val="1002"/>
        </w:numPr>
      </w:pPr>
      <w:r>
        <w:rPr>
          <w:b/>
          <w:bCs/>
        </w:rPr>
        <w:t xml:space="preserve">Nachvollziehbare Etappen:</w:t>
      </w:r>
      <w:r>
        <w:t xml:space="preserve"> </w:t>
      </w:r>
      <w:r>
        <w:t xml:space="preserve">konkrete Maßnahmen, Verantwortlichkeiten, Voraussetzungen und Zeitpunkte der Umsetzung.</w:t>
      </w:r>
    </w:p>
    <w:p>
      <w:pPr>
        <w:pStyle w:val="FirstParagraph"/>
      </w:pPr>
      <w:r>
        <w:t xml:space="preserve">Ein solcher Pfad ist</w:t>
      </w:r>
      <w:r>
        <w:t xml:space="preserve"> </w:t>
      </w:r>
      <w:r>
        <w:rPr>
          <w:b/>
          <w:bCs/>
        </w:rPr>
        <w:t xml:space="preserve">kein Nachweis einer bereits erreichten Qualitätsstufe</w:t>
      </w:r>
      <w:r>
        <w:t xml:space="preserve">. Der aktuelle Zustand und die angestrebte vollständige Zielerreichung müssen getrennt dargestellt werden.</w:t>
      </w:r>
    </w:p>
    <w:p>
      <w:pPr>
        <w:pStyle w:val="BodyText"/>
      </w:pPr>
      <w:r>
        <w:t xml:space="preserve">Für die THG-Bewertung sind außerdem die Emissionen bis zur späteren Umsetzung und die zusätzlichen Herstellungsemissionen der Maßnahmen zu berücksichtigen. Ein gutes Ergebnis im Zieljahr macht bereits entstandene Emissionen nicht rückgängig.</w:t>
      </w:r>
    </w:p>
    <w:p>
      <w:pPr>
        <w:pStyle w:val="BodyText"/>
      </w:pPr>
      <w:r>
        <w:t xml:space="preserve">Die vertiefte Darstellung von Renovierungsetappen findet sich unter</w:t>
      </w:r>
      <w:r>
        <w:t xml:space="preserve"> </w:t>
      </w:r>
      <w:hyperlink w:anchor="sec-renovierungsfahrplan">
        <w:r>
          <w:rPr>
            <w:rStyle w:val="Hyperlink"/>
          </w:rPr>
          <w:t xml:space="preserve">Sanierungsfahrpläne</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Methodische Einordnung</w:t>
            </w:r>
          </w:p>
          <w:p>
            <w:pPr>
              <w:pStyle w:val="BodyText"/>
            </w:pPr>
            <w:pPr>
              <w:spacing w:before="16" w:after="16"/>
            </w:pPr>
            <w:r>
              <w:t xml:space="preserve">Die verbindlichen Bedingungen für eine Deklaration „Auf dem Weg“, insbesondere Fristen, erforderliche Nachweise und die Zuordnung zur Qualitätsstufe, richten sich nach den jeweils gültigen Deklarationsvorgaben.</w:t>
            </w:r>
          </w:p>
        </w:tc>
      </w:tr>
    </w:tbl>
    <w:bookmarkEnd w:id="165"/>
    <w:bookmarkStart w:id="173" w:name="ablauf-der-nachweisführung"/>
    <w:p>
      <w:pPr>
        <w:pStyle w:val="Heading2"/>
      </w:pPr>
      <w:r>
        <w:t xml:space="preserve">8.3 Ablauf der Nachweisführung</w:t>
      </w:r>
    </w:p>
    <w:p>
      <w:pPr>
        <w:pStyle w:val="FirstParagraph"/>
      </w:pPr>
      <w:r>
        <w:t xml:space="preserve">Der Weg zur klimaaktiv Auszeichnung wird durch ein Netzwerk aus Anlaufstelle, Kompetenzpartner:innen und Expert:innengremium begleitet. Der Ablauf lässt sich aus Sicht der Projektverantwortlichen in drei Schritte gliedern.</w:t>
      </w:r>
    </w:p>
    <w:tbl>
      <w:tblPr>
        <w:tblStyle w:val="Table"/>
        <w:tblW w:type="pct" w:w="5000"/>
        <w:tblLayout w:type="fixed"/>
        <w:tblLook w:firstRow="0" w:lastRow="0" w:firstColumn="0" w:lastColumn="0" w:noHBand="0" w:noVBand="0" w:val="0000"/>
      </w:tblPr>
      <w:tblGrid>
        <w:gridCol w:w="7920"/>
      </w:tblGrid>
      <w:tr>
        <w:tc>
          <w:tcPr/>
          <w:bookmarkStart w:id="169" w:name="fig-weg-zum-peq"/>
          <w:p>
            <w:pPr>
              <w:pStyle w:val="Compact"/>
              <w:jc w:val="center"/>
            </w:pPr>
            <w:r>
              <w:drawing>
                <wp:inline>
                  <wp:extent cx="5334000" cy="2398470"/>
                  <wp:effectExtent b="0" l="0" r="0" t="0"/>
                  <wp:docPr descr="" title="" id="167" name="Picture"/>
                  <a:graphic>
                    <a:graphicData uri="http://schemas.openxmlformats.org/drawingml/2006/picture">
                      <pic:pic>
                        <pic:nvPicPr>
                          <pic:cNvPr descr="Kapitel/../Abbildungen/ihr_weg_zum_pe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334000" cy="239847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8.2:</w:t>
            </w:r>
            <w:r>
              <w:t xml:space="preserve"> </w:t>
            </w:r>
            <w:r>
              <w:rPr>
                <w:b/>
                <w:bCs/>
              </w:rPr>
              <w:t xml:space="preserve">Ihr Weg zum Plus-Energie-Quartier:</w:t>
            </w:r>
            <w:r>
              <w:t xml:space="preserve"> </w:t>
            </w:r>
            <w:r>
              <w:t xml:space="preserve">Von der ersten Prüfung der Mindestanforderungen über die Auswahl einer fachlichen Projektbegleitung bis zur Einreichung und Qualitätssicherung.</w:t>
            </w:r>
          </w:p>
          <w:bookmarkEnd w:id="169"/>
        </w:tc>
      </w:tr>
    </w:tbl>
    <w:bookmarkStart w:id="170" w:name="Xcdc63ff85aaee7b01a963ce6fb0049e010ea390"/>
    <w:p>
      <w:pPr>
        <w:pStyle w:val="Heading3"/>
      </w:pPr>
      <w:r>
        <w:t xml:space="preserve">8.3.1 Schritt 1 – Mindestanforderungen und Aussichten prüfen</w:t>
      </w:r>
    </w:p>
    <w:p>
      <w:pPr>
        <w:pStyle w:val="FirstParagraph"/>
      </w:pPr>
      <w:r>
        <w:t xml:space="preserve">Zu Beginn werden die grundsätzlichen Voraussetzungen des Vorhabens und die Aussichten auf eine erfolgreiche Deklaration geklärt. Ein</w:t>
      </w:r>
      <w:r>
        <w:t xml:space="preserve"> </w:t>
      </w:r>
      <w:r>
        <w:rPr>
          <w:b/>
          <w:bCs/>
        </w:rPr>
        <w:t xml:space="preserve">PEQ-Quick-Check</w:t>
      </w:r>
      <w:r>
        <w:t xml:space="preserve"> </w:t>
      </w:r>
      <w:r>
        <w:t xml:space="preserve">kann eine erste Einschätzung ermöglichen.</w:t>
      </w:r>
    </w:p>
    <w:p>
      <w:pPr>
        <w:pStyle w:val="BodyText"/>
      </w:pPr>
      <w:r>
        <w:t xml:space="preserve">Dabei werden mögliche Anpassungen des Projektkonzepts, offene Anforderungen und ein geeigneter Zeitplan besprochen. Für diese erste Orientierung steht die</w:t>
      </w:r>
      <w:r>
        <w:t xml:space="preserve"> </w:t>
      </w:r>
      <w:r>
        <w:rPr>
          <w:b/>
          <w:bCs/>
        </w:rPr>
        <w:t xml:space="preserve">Anlaufstelle Plus-Energie-Quartiere</w:t>
      </w:r>
      <w:r>
        <w:t xml:space="preserve"> </w:t>
      </w:r>
      <w:r>
        <w:t xml:space="preserve">zur Verfügung.</w:t>
      </w:r>
    </w:p>
    <w:bookmarkEnd w:id="170"/>
    <w:bookmarkStart w:id="171" w:name="schritt-2-kompetenzpartnerin-auswählen"/>
    <w:p>
      <w:pPr>
        <w:pStyle w:val="Heading3"/>
      </w:pPr>
      <w:r>
        <w:t xml:space="preserve">8.3.2 Schritt 2 – Kompetenzpartner:in auswählen</w:t>
      </w:r>
    </w:p>
    <w:p>
      <w:pPr>
        <w:pStyle w:val="FirstParagraph"/>
      </w:pPr>
      <w:r>
        <w:t xml:space="preserve">Für die vertiefte Bearbeitung können Projektverantwortliche eine:n</w:t>
      </w:r>
      <w:r>
        <w:t xml:space="preserve"> </w:t>
      </w:r>
      <w:r>
        <w:rPr>
          <w:b/>
          <w:bCs/>
        </w:rPr>
        <w:t xml:space="preserve">klimaaktiv Kompetenzpartner:in</w:t>
      </w:r>
      <w:r>
        <w:t xml:space="preserve"> </w:t>
      </w:r>
      <w:r>
        <w:t xml:space="preserve">auswählen.</w:t>
      </w:r>
    </w:p>
    <w:p>
      <w:pPr>
        <w:pStyle w:val="BodyText"/>
      </w:pPr>
      <w:r>
        <w:t xml:space="preserve">Gemeinsam werden der Projektumfang, die Bilanzgrenzen, die untersuchten Varianten und der Leistungsumfang der Begleitung festgelegt. Dazu gehören gegebenenfalls die Datenerhebung, Berechnung, fachliche Beratung und Vorbereitung der Deklarationsunterlagen.</w:t>
      </w:r>
    </w:p>
    <w:p>
      <w:pPr>
        <w:pStyle w:val="BodyText"/>
      </w:pPr>
      <w:r>
        <w:t xml:space="preserve">Die Kompetenzpartner:innen unterstützen die Anwendung des Standards und die nachvollziehbare Aufbereitung der erforderlichen Nachweise.</w:t>
      </w:r>
    </w:p>
    <w:bookmarkEnd w:id="171"/>
    <w:bookmarkStart w:id="172" w:name="Xab89b1c79757f008b5c95468e537946d62bf6ec"/>
    <w:p>
      <w:pPr>
        <w:pStyle w:val="Heading3"/>
      </w:pPr>
      <w:r>
        <w:t xml:space="preserve">8.3.3 Schritt 3 – Einreichung und Qualitätssicherung</w:t>
      </w:r>
    </w:p>
    <w:p>
      <w:pPr>
        <w:pStyle w:val="FirstParagraph"/>
      </w:pPr>
      <w:r>
        <w:t xml:space="preserve">Nach Abschluss der Projektbegleitung werden die erforderlichen Ergebnisse und Unterlagen zur fachlichen Prüfung übermittelt.</w:t>
      </w:r>
    </w:p>
    <w:p>
      <w:pPr>
        <w:pStyle w:val="BodyText"/>
      </w:pPr>
      <w:r>
        <w:t xml:space="preserve">Das</w:t>
      </w:r>
      <w:r>
        <w:t xml:space="preserve"> </w:t>
      </w:r>
      <w:r>
        <w:rPr>
          <w:b/>
          <w:bCs/>
        </w:rPr>
        <w:t xml:space="preserve">klimaaktiv Expert:innengremium</w:t>
      </w:r>
      <w:r>
        <w:t xml:space="preserve"> </w:t>
      </w:r>
      <w:r>
        <w:t xml:space="preserve">prüft die Nachweisführung und kann Rückfragen zu einzelnen Annahmen, Berechnungen oder Belegen stellen. Nach erfolgreicher Prüfung erfolgt die entsprechende Deklaration beziehungsweise Auszeichnung.</w:t>
      </w:r>
    </w:p>
    <w:p>
      <w:pPr>
        <w:pStyle w:val="BodyText"/>
      </w:pPr>
      <w:r>
        <w:t xml:space="preserve">Die Qualitätssicherung dient insbesondere der fachlichen Plausibilisierung, Nachvollziehbarkeit und einheitlichen Anwendung des Standards.</w:t>
      </w:r>
    </w:p>
    <w:bookmarkEnd w:id="172"/>
    <w:bookmarkEnd w:id="173"/>
    <w:bookmarkStart w:id="178" w:name="akteure-und-zuständigkeiten"/>
    <w:p>
      <w:pPr>
        <w:pStyle w:val="Heading2"/>
      </w:pPr>
      <w:r>
        <w:t xml:space="preserve">8.4 Akteure und Zuständigkeiten</w:t>
      </w:r>
    </w:p>
    <w:p>
      <w:pPr>
        <w:pStyle w:val="FirstParagraph"/>
      </w:pPr>
      <w:r>
        <w:t xml:space="preserve">Die Nachweisführung ist in die Organisationsstruktur des klimaaktiv Programms für Siedlungen und Quartiere eingebettet. Die beteiligten Akteure übernehmen unterschiedliche, aufeinander abgestimmte Aufgaben.</w:t>
      </w:r>
    </w:p>
    <w:tbl>
      <w:tblPr>
        <w:tblStyle w:val="Table"/>
        <w:tblW w:type="pct" w:w="5000"/>
        <w:tblLayout w:type="fixed"/>
        <w:tblLook w:firstRow="0" w:lastRow="0" w:firstColumn="0" w:lastColumn="0" w:noHBand="0" w:noVBand="0" w:val="0000"/>
      </w:tblPr>
      <w:tblGrid>
        <w:gridCol w:w="7920"/>
      </w:tblGrid>
      <w:tr>
        <w:tc>
          <w:tcPr/>
          <w:bookmarkStart w:id="177" w:name="fig-programmteam"/>
          <w:p>
            <w:pPr>
              <w:pStyle w:val="Compact"/>
              <w:jc w:val="center"/>
            </w:pPr>
            <w:r>
              <w:drawing>
                <wp:inline>
                  <wp:extent cx="5334000" cy="2623854"/>
                  <wp:effectExtent b="0" l="0" r="0" t="0"/>
                  <wp:docPr descr="" title="" id="175" name="Picture"/>
                  <a:graphic>
                    <a:graphicData uri="http://schemas.openxmlformats.org/drawingml/2006/picture">
                      <pic:pic>
                        <pic:nvPicPr>
                          <pic:cNvPr descr="Kapitel/../Abbildungen/programmteam.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5334000" cy="262385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8.3:</w:t>
            </w:r>
            <w:r>
              <w:t xml:space="preserve"> </w:t>
            </w:r>
            <w:r>
              <w:rPr>
                <w:b/>
                <w:bCs/>
              </w:rPr>
              <w:t xml:space="preserve">Das klimaaktiv Programmteam:</w:t>
            </w:r>
            <w:r>
              <w:t xml:space="preserve"> </w:t>
            </w:r>
            <w:r>
              <w:t xml:space="preserve">Anlaufstelle, Siedlungen-und-Quartiere-Team, Kompetenzpartner:innen und Expert:innengremium sowie ihre Zusammenarbeit mit Projektverantwortlichen und Fachplanenden.</w:t>
            </w:r>
          </w:p>
          <w:bookmarkEnd w:id="177"/>
        </w:tc>
      </w:tr>
    </w:tbl>
    <w:p>
      <w:pPr>
        <w:pStyle w:val="BodyText"/>
      </w:pPr>
      <w:r>
        <w:t xml:space="preserve">Die wesentlichen Rollen sind:</w:t>
      </w:r>
    </w:p>
    <w:p>
      <w:pPr>
        <w:pStyle w:val="Compact"/>
        <w:numPr>
          <w:ilvl w:val="0"/>
          <w:numId w:val="1003"/>
        </w:numPr>
      </w:pPr>
      <w:r>
        <w:rPr>
          <w:b/>
          <w:bCs/>
        </w:rPr>
        <w:t xml:space="preserve">Anlaufstelle Plus-Energie-Quartiere:</w:t>
      </w:r>
      <w:r>
        <w:t xml:space="preserve"> </w:t>
      </w:r>
      <w:r>
        <w:t xml:space="preserve">Erstinformation, Beratung zur grundsätzlichen Anwendbarkeit des Standards und Unterstützung bei Fragen zur Nachweisführung.</w:t>
      </w:r>
    </w:p>
    <w:p>
      <w:pPr>
        <w:pStyle w:val="Compact"/>
        <w:numPr>
          <w:ilvl w:val="0"/>
          <w:numId w:val="1003"/>
        </w:numPr>
      </w:pPr>
      <w:r>
        <w:rPr>
          <w:b/>
          <w:bCs/>
        </w:rPr>
        <w:t xml:space="preserve">klimaaktiv Siedlungen und Quartiere:</w:t>
      </w:r>
      <w:r>
        <w:t xml:space="preserve"> </w:t>
      </w:r>
      <w:r>
        <w:t xml:space="preserve">Programmkoordination und Unterstützung der entsprechenden Qualitätssicherungs- und Beratungsstrukturen.</w:t>
      </w:r>
    </w:p>
    <w:p>
      <w:pPr>
        <w:pStyle w:val="Compact"/>
        <w:numPr>
          <w:ilvl w:val="0"/>
          <w:numId w:val="1003"/>
        </w:numPr>
      </w:pPr>
      <w:r>
        <w:rPr>
          <w:b/>
          <w:bCs/>
        </w:rPr>
        <w:t xml:space="preserve">klimaaktiv Kompetenzpartner:innen:</w:t>
      </w:r>
      <w:r>
        <w:t xml:space="preserve"> </w:t>
      </w:r>
      <w:r>
        <w:t xml:space="preserve">Projektbezogene Beratung, Bewertung und Unterstützung bei der Erarbeitung der Nachweisunterlagen.</w:t>
      </w:r>
    </w:p>
    <w:p>
      <w:pPr>
        <w:pStyle w:val="Compact"/>
        <w:numPr>
          <w:ilvl w:val="0"/>
          <w:numId w:val="1003"/>
        </w:numPr>
      </w:pPr>
      <w:r>
        <w:rPr>
          <w:b/>
          <w:bCs/>
        </w:rPr>
        <w:t xml:space="preserve">klimaaktiv Expert:innengremium:</w:t>
      </w:r>
      <w:r>
        <w:t xml:space="preserve"> </w:t>
      </w:r>
      <w:r>
        <w:t xml:space="preserve">Fachliche Qualitätssicherung und Prüfung der eingereichten Ergebnisse.</w:t>
      </w:r>
    </w:p>
    <w:p>
      <w:pPr>
        <w:pStyle w:val="Compact"/>
        <w:numPr>
          <w:ilvl w:val="0"/>
          <w:numId w:val="1003"/>
        </w:numPr>
      </w:pPr>
      <w:r>
        <w:rPr>
          <w:b/>
          <w:bCs/>
        </w:rPr>
        <w:t xml:space="preserve">Projektverantwortliche und Fachplanende:</w:t>
      </w:r>
      <w:r>
        <w:t xml:space="preserve"> </w:t>
      </w:r>
      <w:r>
        <w:t xml:space="preserve">Erarbeitung des Projekts, Bereitstellung der notwendigen Daten, Umsetzung der Maßnahmen und Dokumentation der Nachweise.</w:t>
      </w:r>
    </w:p>
    <w:p>
      <w:pPr>
        <w:pStyle w:val="FirstParagraph"/>
      </w:pPr>
      <w:r>
        <w:t xml:space="preserve">Die Zusammenarbeit zwischen den beteiligten Stellen soll eine nachvollziehbare Bewertung ermöglichen, ohne die Verantwortlichkeiten für Projektplanung, Berechnung und Qualitätssicherung zu vermischen.</w:t>
      </w:r>
    </w:p>
    <w:bookmarkEnd w:id="178"/>
    <w:bookmarkStart w:id="179" w:name="X751f9384fd4762839a4db13e54b682cc0796b95"/>
    <w:p>
      <w:pPr>
        <w:pStyle w:val="Heading2"/>
      </w:pPr>
      <w:r>
        <w:t xml:space="preserve">8.5 Anforderungen an Datenqualität und Nachvollziehbarkeit</w:t>
      </w:r>
    </w:p>
    <w:p>
      <w:pPr>
        <w:pStyle w:val="FirstParagraph"/>
      </w:pPr>
      <w:r>
        <w:t xml:space="preserve">Die Nachweisführung bündelt Angaben aus Architektur, Bauphysik, Haustechnik, Mobilitätsplanung und Ökobilanz. Für ergebnisrelevante Eingaben ist zu kennzeichnen, ob es sich um</w:t>
      </w:r>
      <w:r>
        <w:t xml:space="preserve"> </w:t>
      </w:r>
      <w:r>
        <w:rPr>
          <w:b/>
          <w:bCs/>
        </w:rPr>
        <w:t xml:space="preserve">Referenzannahmen</w:t>
      </w:r>
      <w:r>
        <w:t xml:space="preserve">,</w:t>
      </w:r>
      <w:r>
        <w:t xml:space="preserve"> </w:t>
      </w:r>
      <w:r>
        <w:rPr>
          <w:b/>
          <w:bCs/>
        </w:rPr>
        <w:t xml:space="preserve">projektspezifische Berechnungen</w:t>
      </w:r>
      <w:r>
        <w:t xml:space="preserve">,</w:t>
      </w:r>
      <w:r>
        <w:t xml:space="preserve"> </w:t>
      </w:r>
      <w:r>
        <w:rPr>
          <w:b/>
          <w:bCs/>
        </w:rPr>
        <w:t xml:space="preserve">bestätigte Ausführungsangaben</w:t>
      </w:r>
      <w:r>
        <w:t xml:space="preserve"> </w:t>
      </w:r>
      <w:r>
        <w:t xml:space="preserve">oder</w:t>
      </w:r>
      <w:r>
        <w:t xml:space="preserve"> </w:t>
      </w:r>
      <w:r>
        <w:rPr>
          <w:b/>
          <w:bCs/>
        </w:rPr>
        <w:t xml:space="preserve">Messwerte</w:t>
      </w:r>
      <w:r>
        <w:t xml:space="preserve"> </w:t>
      </w:r>
      <w:r>
        <w:t xml:space="preserve">handelt. Abhängigkeiten von nicht gesicherten Maßnahmen sind sichtbar auszuweisen.</w:t>
      </w:r>
    </w:p>
    <w:p>
      <w:pPr>
        <w:pStyle w:val="BodyText"/>
      </w:pPr>
      <w:r>
        <w:t xml:space="preserve">Für Variantenvergleiche sind Quartiersabgrenzung, Nutzungsumfang, Flächenbezüge und Bewertungsstand konsistent zu halten. Werden sie verändert, muss die Auswirkung auf Bedarf, Kontextfaktoren und zugeteilte Budgets kenntlich gemacht werden. Die Interpretation der Ergebnisse wird unter</w:t>
      </w:r>
      <w:r>
        <w:t xml:space="preserve"> </w:t>
      </w:r>
      <w:hyperlink w:anchor="sec-ergebnisse">
        <w:r>
          <w:rPr>
            <w:rStyle w:val="Hyperlink"/>
          </w:rPr>
          <w:t xml:space="preserve">Kapitel 18</w:t>
        </w:r>
      </w:hyperlink>
      <w:r>
        <w:t xml:space="preserve"> </w:t>
      </w:r>
      <w:r>
        <w:t xml:space="preserve">erläutert.</w:t>
      </w:r>
    </w:p>
    <w:bookmarkEnd w:id="179"/>
    <w:bookmarkStart w:id="181" w:name="peexcel-als-nachweiswerkzeug"/>
    <w:p>
      <w:pPr>
        <w:pStyle w:val="Heading2"/>
      </w:pPr>
      <w:r>
        <w:t xml:space="preserve">8.6 PEExcel als Nachweiswerkzeug</w:t>
      </w:r>
    </w:p>
    <w:p>
      <w:pPr>
        <w:pStyle w:val="FirstParagraph"/>
      </w:pPr>
      <w:r>
        <w:t xml:space="preserve">Die Berechnungen und Variantenvergleiche werden mit dem</w:t>
      </w:r>
      <w:r>
        <w:t xml:space="preserve"> </w:t>
      </w:r>
      <w:hyperlink r:id="rId27">
        <w:r>
          <w:rPr>
            <w:rStyle w:val="Hyperlink"/>
          </w:rPr>
          <w:t xml:space="preserve">PEExcel-Nachweistool</w:t>
        </w:r>
      </w:hyperlink>
      <w:r>
        <w:t xml:space="preserve"> </w:t>
      </w:r>
      <w:r>
        <w:t xml:space="preserve">unterstützt.</w:t>
      </w:r>
      <w:r>
        <w:t xml:space="preserve"> </w:t>
      </w:r>
      <w:r>
        <w:rPr>
          <w:b/>
          <w:bCs/>
        </w:rPr>
        <w:t xml:space="preserve">Bedienung, Datenmodell, Auswertungsfunktionen, Softwareversionen und technische Modellimplementierung</w:t>
      </w:r>
      <w:r>
        <w:t xml:space="preserve"> </w:t>
      </w:r>
      <w:r>
        <w:t xml:space="preserve">sind auf der eigenständigen Toolwebsite beschrieben.</w:t>
      </w:r>
    </w:p>
    <w:p>
      <w:pPr>
        <w:pStyle w:val="BodyText"/>
      </w:pPr>
      <w:r>
        <w:t xml:space="preserve">Dieser Bericht erläutert die Bewertungsgrundlagen (</w:t>
      </w:r>
      <w:hyperlink w:anchor="sec-allokation">
        <w:r>
          <w:rPr>
            <w:rStyle w:val="Hyperlink"/>
          </w:rPr>
          <w:t xml:space="preserve">Kapitel 11</w:t>
        </w:r>
      </w:hyperlink>
      <w:r>
        <w:t xml:space="preserve">,</w:t>
      </w:r>
      <w:r>
        <w:t xml:space="preserve"> </w:t>
      </w:r>
      <w:hyperlink w:anchor="sec-kontext">
        <w:r>
          <w:rPr>
            <w:rStyle w:val="Hyperlink"/>
          </w:rPr>
          <w:t xml:space="preserve">Kapitel 9.2</w:t>
        </w:r>
      </w:hyperlink>
      <w:r>
        <w:t xml:space="preserve">,</w:t>
      </w:r>
      <w:r>
        <w:t xml:space="preserve"> </w:t>
      </w:r>
      <w:hyperlink w:anchor="sec-bilanzregeln">
        <w:r>
          <w:rPr>
            <w:rStyle w:val="Hyperlink"/>
          </w:rPr>
          <w:t xml:space="preserve">Kapitel 17</w:t>
        </w:r>
      </w:hyperlink>
      <w:r>
        <w:t xml:space="preserve">) und ihre Interpretation (</w:t>
      </w:r>
      <w:hyperlink w:anchor="sec-ergebnisse">
        <w:r>
          <w:rPr>
            <w:rStyle w:val="Hyperlink"/>
          </w:rPr>
          <w:t xml:space="preserve">Kapitel 18</w:t>
        </w:r>
      </w:hyperlink>
      <w:r>
        <w:t xml:space="preserve">); er ersetzt keine detaillierte Fachplanung.</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Weiterführende Informationen</w:t>
            </w:r>
          </w:p>
          <w:p>
            <w:pPr>
              <w:pStyle w:val="BodyText"/>
            </w:pPr>
            <w:pPr>
              <w:spacing w:before="16" w:after="16"/>
            </w:pPr>
            <w:hyperlink r:id="rId27">
              <w:r>
                <w:rPr>
                  <w:rStyle w:val="Hyperlink"/>
                </w:rPr>
                <w:t xml:space="preserve">PEExcel Wissensplattform</w:t>
              </w:r>
            </w:hyperlink>
            <w:r>
              <w:t xml:space="preserve"> </w:t>
            </w:r>
            <w:r>
              <w:t xml:space="preserve">·</w:t>
            </w:r>
            <w:r>
              <w:t xml:space="preserve"> </w:t>
            </w:r>
            <w:hyperlink r:id="rId180">
              <w:r>
                <w:rPr>
                  <w:rStyle w:val="Hyperlink"/>
                </w:rPr>
                <w:t xml:space="preserve">Ergebnisinterpretation</w:t>
              </w:r>
            </w:hyperlink>
            <w:r>
              <w:t xml:space="preserve"> </w:t>
            </w:r>
            <w:r>
              <w:t xml:space="preserve">·</w:t>
            </w:r>
            <w:r>
              <w:t xml:space="preserve"> </w:t>
            </w:r>
            <w:hyperlink w:anchor="sec-praxisbeispiele">
              <w:r>
                <w:rPr>
                  <w:rStyle w:val="Hyperlink"/>
                </w:rPr>
                <w:t xml:space="preserve">Praxisbeispiele</w:t>
              </w:r>
            </w:hyperlink>
            <w:r>
              <w:t xml:space="preserve"> </w:t>
            </w:r>
            <w:r>
              <w:t xml:space="preserve">·</w:t>
            </w:r>
            <w:r>
              <w:t xml:space="preserve"> </w:t>
            </w:r>
            <w:hyperlink w:anchor="sec-renovierungsfahrplan">
              <w:r>
                <w:rPr>
                  <w:rStyle w:val="Hyperlink"/>
                </w:rPr>
                <w:t xml:space="preserve">Sanierungsfahrpläne</w:t>
              </w:r>
            </w:hyperlink>
          </w:p>
        </w:tc>
      </w:tr>
    </w:tbl>
    <w:bookmarkEnd w:id="181"/>
    <w:bookmarkEnd w:id="182"/>
    <w:bookmarkStart w:id="193" w:name="sec-methodik"/>
    <w:p>
      <w:pPr>
        <w:pStyle w:val="Heading1"/>
      </w:pPr>
      <w:r>
        <w:t xml:space="preserve">9. Von nationalen Zielpfaden zur Quartiersbilanz</w:t>
      </w:r>
    </w:p>
    <w:p>
      <w:pPr>
        <w:pStyle w:val="FirstParagraph"/>
      </w:pPr>
      <w:r>
        <w:t xml:space="preserve">Zielbild, sektorale Allokation, Gebäudestruktur, Kalibrierung und Quartiersnachweis</w:t>
      </w:r>
    </w:p>
    <w:p>
      <w:pPr>
        <w:pStyle w:val="BodyText"/>
      </w:pPr>
      <w:r>
        <w:t xml:space="preserve">Die Anforderungen an ein Plus-Energie-Quartier (PEQ) werden nicht isoliert festgelegt. Ausgangspunkt ist das nationale Szenario</w:t>
      </w:r>
      <w:r>
        <w:t xml:space="preserve"> </w:t>
      </w:r>
      <w:r>
        <w:rPr>
          <w:b/>
          <w:bCs/>
        </w:rPr>
        <w:t xml:space="preserve">UBA Transition 2040</w:t>
      </w:r>
      <w:r>
        <w:t xml:space="preserve">. Dessen Erzeugungs- und Bedarfsgrößen werden durch explizite Zuordnungsregeln auf die Sektoren verteilt. Die daraus abgeleitete Energieaufgabe des Gebäudesektors wird mit einem Szenario der Gebäude- und Nutzflächenentwicklung abgeglichen. Die PEQ-Zielwertfunktion wird anschließend so kalibriert, dass sich die Beiträge unterschiedlicher Gebäudetypologien und Dichten zum national zugewiesenen Ziel aggregieren lassen.</w:t>
      </w:r>
    </w:p>
    <w:p>
      <w:pPr>
        <w:pStyle w:val="BodyText"/>
      </w:pPr>
      <w:r>
        <w:rPr>
          <w:b/>
          <w:bCs/>
        </w:rPr>
        <w:t xml:space="preserve">Top-down</w:t>
      </w:r>
      <w:r>
        <w:t xml:space="preserve"> </w:t>
      </w:r>
      <w:r>
        <w:t xml:space="preserve">beschreibt somit die</w:t>
      </w:r>
      <w:r>
        <w:t xml:space="preserve"> </w:t>
      </w:r>
      <w:r>
        <w:rPr>
          <w:i/>
          <w:iCs/>
        </w:rPr>
        <w:t xml:space="preserve">erforderliche</w:t>
      </w:r>
      <w:r>
        <w:t xml:space="preserve"> </w:t>
      </w:r>
      <w:r>
        <w:t xml:space="preserve">sektorale Leistung;</w:t>
      </w:r>
      <w:r>
        <w:t xml:space="preserve"> </w:t>
      </w:r>
      <w:r>
        <w:rPr>
          <w:b/>
          <w:bCs/>
        </w:rPr>
        <w:t xml:space="preserve">Bottom-up</w:t>
      </w:r>
      <w:r>
        <w:t xml:space="preserve"> </w:t>
      </w:r>
      <w:r>
        <w:t xml:space="preserve">beschreibt die Beiträge der unterschiedlichen Gebäudetypen und Quartiere. Die im Nachweis simulierte tatsächliche Quartiersbilanz bleibt von der Festlegung des Zielwerts getrennt</w:t>
      </w:r>
      <w:r>
        <w:t xml:space="preserve"> </w:t>
      </w:r>
      <w:r>
        <w:t xml:space="preserve">(Schneider 2026, 3.1–3.2)</w:t>
      </w:r>
      <w:r>
        <w:t xml:space="preserve">.</w:t>
      </w:r>
    </w:p>
    <w:tbl>
      <w:tblPr>
        <w:tblStyle w:val="Table"/>
        <w:tblW w:type="pct" w:w="5000"/>
        <w:tblLayout w:type="fixed"/>
        <w:tblLook w:firstRow="0" w:lastRow="0" w:firstColumn="0" w:lastColumn="0" w:noHBand="0" w:noVBand="0" w:val="0000"/>
      </w:tblPr>
      <w:tblGrid>
        <w:gridCol w:w="7920"/>
      </w:tblGrid>
      <w:tr>
        <w:tc>
          <w:tcPr/>
          <w:bookmarkStart w:id="186" w:name="fig-allokationskette"/>
          <w:p>
            <w:pPr>
              <w:jc w:val="center"/>
            </w:pPr>
            <w:r>
              <w:drawing>
                <wp:inline>
                  <wp:extent cx="5334000" cy="4659389"/>
                  <wp:effectExtent b="0" l="0" r="0" t="0"/>
                  <wp:docPr descr="" title="" id="184" name="Picture"/>
                  <a:graphic>
                    <a:graphicData uri="http://schemas.openxmlformats.org/drawingml/2006/picture">
                      <pic:pic>
                        <pic:nvPicPr>
                          <pic:cNvPr descr="Kapitel/03-methodik_files/figure-docx/mermaid-figure-2.png" id="185" name="Picture"/>
                          <pic:cNvPicPr>
                            <a:picLocks noChangeArrowheads="1" noChangeAspect="1"/>
                          </pic:cNvPicPr>
                        </pic:nvPicPr>
                        <pic:blipFill>
                          <a:blip r:embed="rId183"/>
                          <a:stretch>
                            <a:fillRect/>
                          </a:stretch>
                        </pic:blipFill>
                        <pic:spPr bwMode="auto">
                          <a:xfrm>
                            <a:off x="0" y="0"/>
                            <a:ext cx="5334000" cy="4659389"/>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9.1: Rechenkette der Zielwertableitung. Die THG-Budgetableitung erfolgt als eigenständiger, ergänzender Strang.</w:t>
            </w:r>
          </w:p>
          <w:bookmarkEnd w:id="186"/>
        </w:tc>
      </w:tr>
    </w:tbl>
    <w:p>
      <w:pPr>
        <w:pStyle w:val="BodyText"/>
      </w:pPr>
      <w:r>
        <w:t xml:space="preserve">Für die Energieallokation und die Gebäudestruktur gelten getrennte, nachvollziehbare Datenquellen. Das Szenario liefert nicht von selbst eine Aufteilung in Gebäude-PV, zentrale Stromerzeugung, MIV und ÖPNV. Ebenso definiert die Bestandsstatistik nicht, welchen Energiestandard welche Fläche im Jahr 2040 erreichen soll. Solche Zuordnungen beziehungsweise Zielanteile werden als</w:t>
      </w:r>
      <w:r>
        <w:t xml:space="preserve"> </w:t>
      </w:r>
      <w:r>
        <w:rPr>
          <w:b/>
          <w:bCs/>
        </w:rPr>
        <w:t xml:space="preserve">Szenario- oder normative Modellannahmen</w:t>
      </w:r>
      <w:r>
        <w:t xml:space="preserve"> </w:t>
      </w:r>
      <w:r>
        <w:t xml:space="preserve">kenntlich gemacht.</w:t>
      </w:r>
    </w:p>
    <w:tbl>
      <w:tblPr>
        <w:tblStyle w:val="Table"/>
        <w:tblW w:type="pct" w:w="5000"/>
        <w:tblLayout w:type="fixed"/>
        <w:tblLook w:firstRow="0" w:lastRow="0" w:firstColumn="0" w:lastColumn="0" w:noHBand="0" w:noVBand="0" w:val="0000"/>
      </w:tblPr>
      <w:tblGrid>
        <w:gridCol w:w="7920"/>
      </w:tblGrid>
      <w:tr>
        <w:tc>
          <w:tcPr/>
          <w:bookmarkStart w:id="187" w:name="tbl-arten-festlegungen"/>
          <w:p>
            <w:pPr>
              <w:jc w:val="center"/>
            </w:pPr>
            <w:pPr>
              <w:jc w:val="left"/>
              <w:spacing w:before="200"/>
              <w:pStyle w:val="ImageCaption"/>
            </w:pPr>
            <w:r>
              <w:t xml:space="preserve">Tabelle 9.1: Komponenten der Zielwertableitung, in Fortführung der quantitativen PEQ-Methodik</w:t>
            </w:r>
            <w:r>
              <w:t xml:space="preserve"> </w:t>
            </w:r>
            <w:r>
              <w:t xml:space="preserve">(Schneider 2026, 3.1–3.2)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Art der Festlegung</w:t>
                  </w:r>
                </w:p>
              </w:tc>
              <w:tc>
                <w:tcPr/>
                <w:p>
                  <w:pPr>
                    <w:pStyle w:val="Compact"/>
                    <w:jc w:val="center"/>
                  </w:pPr>
                  <w:r>
                    <w:t xml:space="preserve">Funktion</w:t>
                  </w:r>
                </w:p>
              </w:tc>
              <w:tc>
                <w:tcPr/>
                <w:p>
                  <w:pPr>
                    <w:pStyle w:val="Compact"/>
                    <w:jc w:val="center"/>
                  </w:pPr>
                  <w:r>
                    <w:t xml:space="preserve">Beispiel</w:t>
                  </w:r>
                </w:p>
              </w:tc>
            </w:tr>
            <w:tr>
              <w:tc>
                <w:tcPr/>
                <w:p>
                  <w:pPr>
                    <w:pStyle w:val="Compact"/>
                    <w:jc w:val="center"/>
                  </w:pPr>
                  <w:r>
                    <w:t xml:space="preserve">Physikalischer Zusammenhang</w:t>
                  </w:r>
                </w:p>
              </w:tc>
              <w:tc>
                <w:tcPr/>
                <w:p>
                  <w:pPr>
                    <w:pStyle w:val="Compact"/>
                    <w:jc w:val="center"/>
                  </w:pPr>
                  <w:r>
                    <w:t xml:space="preserve">Beschreibt technische Abhängigkeiten</w:t>
                  </w:r>
                </w:p>
              </w:tc>
              <w:tc>
                <w:tcPr/>
                <w:p>
                  <w:pPr>
                    <w:pStyle w:val="Compact"/>
                    <w:jc w:val="center"/>
                  </w:pPr>
                  <w:r>
                    <w:t xml:space="preserve">Lokales PV-Potenzial je BGF sinkt typischerweise mit zunehmender GFZ</w:t>
                  </w:r>
                </w:p>
              </w:tc>
            </w:tr>
            <w:tr>
              <w:tc>
                <w:tcPr/>
                <w:p>
                  <w:pPr>
                    <w:pStyle w:val="Compact"/>
                    <w:jc w:val="center"/>
                  </w:pPr>
                  <w:r>
                    <w:t xml:space="preserve">Szenariogröße</w:t>
                  </w:r>
                </w:p>
              </w:tc>
              <w:tc>
                <w:tcPr/>
                <w:p>
                  <w:pPr>
                    <w:pStyle w:val="Compact"/>
                    <w:jc w:val="center"/>
                  </w:pPr>
                  <w:r>
                    <w:t xml:space="preserve">Beschreibt einen möglichen Zielzustand</w:t>
                  </w:r>
                </w:p>
              </w:tc>
              <w:tc>
                <w:tcPr/>
                <w:p>
                  <w:pPr>
                    <w:pStyle w:val="Compact"/>
                    <w:jc w:val="center"/>
                  </w:pPr>
                  <w:r>
                    <w:t xml:space="preserve">Erzeugung und Strombedarf 2040 laut UBA Transition</w:t>
                  </w:r>
                </w:p>
              </w:tc>
            </w:tr>
            <w:tr>
              <w:tc>
                <w:tcPr/>
                <w:p>
                  <w:pPr>
                    <w:pStyle w:val="Compact"/>
                    <w:jc w:val="center"/>
                  </w:pPr>
                  <w:r>
                    <w:t xml:space="preserve">Zuordnungsregel</w:t>
                  </w:r>
                </w:p>
              </w:tc>
              <w:tc>
                <w:tcPr/>
                <w:p>
                  <w:pPr>
                    <w:pStyle w:val="Compact"/>
                    <w:jc w:val="center"/>
                  </w:pPr>
                  <w:r>
                    <w:t xml:space="preserve">Verteilt nationale Ressourcen und Aufgaben</w:t>
                  </w:r>
                </w:p>
              </w:tc>
              <w:tc>
                <w:tcPr/>
                <w:p>
                  <w:pPr>
                    <w:pStyle w:val="Compact"/>
                    <w:jc w:val="center"/>
                  </w:pPr>
                  <w:r>
                    <w:t xml:space="preserve">Zentraler Erneuerbaren-Pool abzüglich Industrie und ÖPNV für das MIV-Budget</w:t>
                  </w:r>
                </w:p>
              </w:tc>
            </w:tr>
            <w:tr>
              <w:tc>
                <w:tcPr/>
                <w:p>
                  <w:pPr>
                    <w:pStyle w:val="Compact"/>
                    <w:jc w:val="center"/>
                  </w:pPr>
                  <w:r>
                    <w:t xml:space="preserve">Typologie- und Flächenannahme</w:t>
                  </w:r>
                </w:p>
              </w:tc>
              <w:tc>
                <w:tcPr/>
                <w:p>
                  <w:pPr>
                    <w:pStyle w:val="Compact"/>
                    <w:jc w:val="center"/>
                  </w:pPr>
                  <w:r>
                    <w:t xml:space="preserve">Beschreibt den Gebäudesektor im Zieljahr</w:t>
                  </w:r>
                </w:p>
              </w:tc>
              <w:tc>
                <w:tcPr/>
                <w:p>
                  <w:pPr>
                    <w:pStyle w:val="Compact"/>
                    <w:jc w:val="center"/>
                  </w:pPr>
                  <w:r>
                    <w:t xml:space="preserve">BGF-Anteile je energetischer Gebäudeklasse</w:t>
                  </w:r>
                </w:p>
              </w:tc>
            </w:tr>
            <w:tr>
              <w:tc>
                <w:tcPr/>
                <w:p>
                  <w:pPr>
                    <w:pStyle w:val="Compact"/>
                    <w:jc w:val="center"/>
                  </w:pPr>
                  <w:r>
                    <w:t xml:space="preserve">Kalibrierparameter</w:t>
                  </w:r>
                </w:p>
              </w:tc>
              <w:tc>
                <w:tcPr/>
                <w:p>
                  <w:pPr>
                    <w:pStyle w:val="Compact"/>
                    <w:jc w:val="center"/>
                  </w:pPr>
                  <w:r>
                    <w:t xml:space="preserve">Legt die Lastenverteilung zwischen Typen und Dichten fest</w:t>
                  </w:r>
                </w:p>
              </w:tc>
              <w:tc>
                <w:tcPr/>
                <w:p>
                  <w:pPr>
                    <w:pStyle w:val="Compact"/>
                    <w:jc w:val="center"/>
                  </w:pPr>
                  <w:r>
                    <w:t xml:space="preserve">Dichtefunktion und typologieabhängige Sanierungsanpassung</w:t>
                  </w:r>
                </w:p>
              </w:tc>
            </w:tr>
            <w:tr>
              <w:tc>
                <w:tcPr/>
                <w:p>
                  <w:pPr>
                    <w:pStyle w:val="Compact"/>
                    <w:jc w:val="center"/>
                  </w:pPr>
                  <w:r>
                    <w:t xml:space="preserve">Nachweisregel</w:t>
                  </w:r>
                </w:p>
              </w:tc>
              <w:tc>
                <w:tcPr/>
                <w:p>
                  <w:pPr>
                    <w:pStyle w:val="Compact"/>
                    <w:jc w:val="center"/>
                  </w:pPr>
                  <w:r>
                    <w:t xml:space="preserve">Übersetzt Ziel und Projektbilanz in eine Prüfung</w:t>
                  </w:r>
                </w:p>
              </w:tc>
              <w:tc>
                <w:tcPr/>
                <w:p>
                  <w:pPr>
                    <w:pStyle w:val="Compact"/>
                    <w:jc w:val="center"/>
                  </w:pPr>
                  <w:r>
                    <w:t xml:space="preserve">Zulässige Energieflüsse, Primärenergiefaktoren und Bilanzgrenzen</w:t>
                  </w:r>
                </w:p>
              </w:tc>
            </w:tr>
          </w:tbl>
          <w:bookmarkEnd w:id="187"/>
          <w:p/>
        </w:tc>
      </w:tr>
    </w:tbl>
    <w:bookmarkStart w:id="188" w:name="vom-nationalen-szenario-zur-kalibrierung"/>
    <w:p>
      <w:pPr>
        <w:pStyle w:val="Heading2"/>
      </w:pPr>
      <w:r>
        <w:t xml:space="preserve">9.1 Vom nationalen Szenario zur Kalibrierung</w:t>
      </w:r>
    </w:p>
    <w:p>
      <w:pPr>
        <w:pStyle w:val="FirstParagraph"/>
      </w:pPr>
      <w:r>
        <w:t xml:space="preserve">Die einzelnen Kapitel folgen der Rechen- und Nachweiskette: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Schritt</w:t>
            </w:r>
          </w:p>
        </w:tc>
        <w:tc>
          <w:tcPr/>
          <w:p>
            <w:pPr>
              <w:pStyle w:val="Compact"/>
            </w:pPr>
            <w:r>
              <w:t xml:space="preserve">Leitfrage</w:t>
            </w:r>
          </w:p>
        </w:tc>
        <w:tc>
          <w:tcPr/>
          <w:p>
            <w:pPr>
              <w:pStyle w:val="Compact"/>
            </w:pPr>
            <w:r>
              <w:t xml:space="preserve">Vertiefung</w:t>
            </w:r>
          </w:p>
        </w:tc>
      </w:tr>
      <w:tr>
        <w:tc>
          <w:tcPr/>
          <w:p>
            <w:pPr>
              <w:pStyle w:val="Compact"/>
            </w:pPr>
            <w:r>
              <w:t xml:space="preserve">Nationales Zielszenario</w:t>
            </w:r>
          </w:p>
        </w:tc>
        <w:tc>
          <w:tcPr/>
          <w:p>
            <w:pPr>
              <w:pStyle w:val="Compact"/>
            </w:pPr>
            <w:r>
              <w:t xml:space="preserve">Welche Energiemengen stehen 2040 zur Verfügung und welche Bedarfe bestehen?</w:t>
            </w:r>
          </w:p>
        </w:tc>
        <w:tc>
          <w:tcPr/>
          <w:p>
            <w:pPr>
              <w:pStyle w:val="Compact"/>
            </w:pPr>
            <w:hyperlink w:anchor="sec-zielszenario">
              <w:r>
                <w:rPr>
                  <w:rStyle w:val="Hyperlink"/>
                </w:rPr>
                <w:t xml:space="preserve">Kapitel 10</w:t>
              </w:r>
            </w:hyperlink>
          </w:p>
        </w:tc>
      </w:tr>
      <w:tr>
        <w:tc>
          <w:tcPr/>
          <w:p>
            <w:pPr>
              <w:pStyle w:val="Compact"/>
            </w:pPr>
            <w:r>
              <w:t xml:space="preserve">Sektorale Allokation</w:t>
            </w:r>
          </w:p>
        </w:tc>
        <w:tc>
          <w:tcPr/>
          <w:p>
            <w:pPr>
              <w:pStyle w:val="Compact"/>
            </w:pPr>
            <w:r>
              <w:t xml:space="preserve">Welche Erzeugungs- und Bedarfsmengen entfallen auf Gebäude, Industrie, ÖPNV und MIV?</w:t>
            </w:r>
          </w:p>
        </w:tc>
        <w:tc>
          <w:tcPr/>
          <w:p>
            <w:pPr>
              <w:pStyle w:val="Compact"/>
            </w:pPr>
            <w:hyperlink w:anchor="sec-allokation">
              <w:r>
                <w:rPr>
                  <w:rStyle w:val="Hyperlink"/>
                </w:rPr>
                <w:t xml:space="preserve">Kapitel 11</w:t>
              </w:r>
            </w:hyperlink>
          </w:p>
        </w:tc>
      </w:tr>
      <w:tr>
        <w:tc>
          <w:tcPr/>
          <w:p>
            <w:pPr>
              <w:pStyle w:val="Compact"/>
            </w:pPr>
            <w:r>
              <w:t xml:space="preserve">Gebäudestruktur</w:t>
            </w:r>
          </w:p>
        </w:tc>
        <w:tc>
          <w:tcPr/>
          <w:p>
            <w:pPr>
              <w:pStyle w:val="Compact"/>
            </w:pPr>
            <w:r>
              <w:t xml:space="preserve">Welche Gebäudetypen mit welchen Flächen und Dichten werden für 2040 angenommen?</w:t>
            </w:r>
          </w:p>
        </w:tc>
        <w:tc>
          <w:tcPr/>
          <w:p>
            <w:pPr>
              <w:pStyle w:val="Compact"/>
            </w:pPr>
            <w:hyperlink w:anchor="sec-gebaeudebestand">
              <w:r>
                <w:rPr>
                  <w:rStyle w:val="Hyperlink"/>
                </w:rPr>
                <w:t xml:space="preserve">Kapitel 12</w:t>
              </w:r>
            </w:hyperlink>
          </w:p>
        </w:tc>
      </w:tr>
      <w:tr>
        <w:tc>
          <w:tcPr/>
          <w:p>
            <w:pPr>
              <w:pStyle w:val="Compact"/>
            </w:pPr>
            <w:r>
              <w:t xml:space="preserve">Energie-Kalibrierung</w:t>
            </w:r>
          </w:p>
        </w:tc>
        <w:tc>
          <w:tcPr/>
          <w:p>
            <w:pPr>
              <w:pStyle w:val="Compact"/>
            </w:pPr>
            <w:r>
              <w:t xml:space="preserve">Welche typologie- und dichteabhängigen Anforderungen ergeben zusammen den nationalen Zielbeitrag?</w:t>
            </w:r>
          </w:p>
        </w:tc>
        <w:tc>
          <w:tcPr/>
          <w:p>
            <w:pPr>
              <w:pStyle w:val="Compact"/>
            </w:pPr>
            <w:hyperlink w:anchor="sec-kalibrierung">
              <w:r>
                <w:rPr>
                  <w:rStyle w:val="Hyperlink"/>
                </w:rPr>
                <w:t xml:space="preserve">Kapitel 13</w:t>
              </w:r>
            </w:hyperlink>
          </w:p>
        </w:tc>
      </w:tr>
      <w:tr>
        <w:tc>
          <w:tcPr/>
          <w:p>
            <w:pPr>
              <w:pStyle w:val="Compact"/>
            </w:pPr>
            <w:r>
              <w:t xml:space="preserve">Mobilität im Quartier</w:t>
            </w:r>
          </w:p>
        </w:tc>
        <w:tc>
          <w:tcPr/>
          <w:p>
            <w:pPr>
              <w:pStyle w:val="Compact"/>
            </w:pPr>
            <w:r>
              <w:t xml:space="preserve">Wie wird das national abgeleitete MIV-Budget auf Nutzungen verteilt und dem örtlichen Bedarf gegenübergestellt?</w:t>
            </w:r>
          </w:p>
        </w:tc>
        <w:tc>
          <w:tcPr/>
          <w:p>
            <w:pPr>
              <w:pStyle w:val="Compact"/>
            </w:pPr>
            <w:hyperlink w:anchor="sec-kontext-mobilitaet">
              <w:r>
                <w:rPr>
                  <w:rStyle w:val="Hyperlink"/>
                </w:rPr>
                <w:t xml:space="preserve">Kapitel 14</w:t>
              </w:r>
            </w:hyperlink>
          </w:p>
        </w:tc>
      </w:tr>
      <w:tr>
        <w:tc>
          <w:tcPr/>
          <w:p>
            <w:pPr>
              <w:pStyle w:val="Compact"/>
            </w:pPr>
            <w:r>
              <w:t xml:space="preserve">Sanierung im Quartier</w:t>
            </w:r>
          </w:p>
        </w:tc>
        <w:tc>
          <w:tcPr/>
          <w:p>
            <w:pPr>
              <w:pStyle w:val="Compact"/>
            </w:pPr>
            <w:r>
              <w:t xml:space="preserve">Wie wird die aus der Typologiekalibrierung abgeleitete Sanierungsanpassung angewendet?</w:t>
            </w:r>
          </w:p>
        </w:tc>
        <w:tc>
          <w:tcPr/>
          <w:p>
            <w:pPr>
              <w:pStyle w:val="Compact"/>
            </w:pPr>
            <w:hyperlink w:anchor="sec-kontext-sanierung">
              <w:r>
                <w:rPr>
                  <w:rStyle w:val="Hyperlink"/>
                </w:rPr>
                <w:t xml:space="preserve">Kapitel 15</w:t>
              </w:r>
            </w:hyperlink>
          </w:p>
        </w:tc>
      </w:tr>
      <w:tr>
        <w:tc>
          <w:tcPr/>
          <w:p>
            <w:pPr>
              <w:pStyle w:val="Compact"/>
            </w:pPr>
            <w:r>
              <w:t xml:space="preserve">THG-Zielwert</w:t>
            </w:r>
          </w:p>
        </w:tc>
        <w:tc>
          <w:tcPr/>
          <w:p>
            <w:pPr>
              <w:pStyle w:val="Compact"/>
            </w:pPr>
            <w:r>
              <w:t xml:space="preserve">Wie werden kumulierte Emissionen über einen Lebenszyklus begrenzt?</w:t>
            </w:r>
          </w:p>
        </w:tc>
        <w:tc>
          <w:tcPr/>
          <w:p>
            <w:pPr>
              <w:pStyle w:val="Compact"/>
            </w:pPr>
            <w:hyperlink w:anchor="sec-zielwert-thg">
              <w:r>
                <w:rPr>
                  <w:rStyle w:val="Hyperlink"/>
                </w:rPr>
                <w:t xml:space="preserve">Kapitel 16</w:t>
              </w:r>
            </w:hyperlink>
          </w:p>
        </w:tc>
      </w:tr>
      <w:tr>
        <w:tc>
          <w:tcPr/>
          <w:p>
            <w:pPr>
              <w:pStyle w:val="Compact"/>
            </w:pPr>
            <w:r>
              <w:t xml:space="preserve">Quartiersbilanz</w:t>
            </w:r>
          </w:p>
        </w:tc>
        <w:tc>
          <w:tcPr/>
          <w:p>
            <w:pPr>
              <w:pStyle w:val="Compact"/>
            </w:pPr>
            <w:r>
              <w:t xml:space="preserve">Wie wird die tatsächlich geplante beziehungsweise gemessene Leistung bilanziert?</w:t>
            </w:r>
          </w:p>
        </w:tc>
        <w:tc>
          <w:tcPr/>
          <w:p>
            <w:pPr>
              <w:pStyle w:val="Compact"/>
            </w:pPr>
            <w:hyperlink w:anchor="sec-bilanzregeln">
              <w:r>
                <w:rPr>
                  <w:rStyle w:val="Hyperlink"/>
                </w:rPr>
                <w:t xml:space="preserve">Kapitel 17</w:t>
              </w:r>
            </w:hyperlink>
          </w:p>
        </w:tc>
      </w:tr>
    </w:tbl>
    <w:bookmarkEnd w:id="188"/>
    <w:bookmarkStart w:id="192" w:name="sec-kontext"/>
    <w:p>
      <w:pPr>
        <w:pStyle w:val="Heading2"/>
      </w:pPr>
      <w:r>
        <w:t xml:space="preserve">9.2 Bilanzziel und virtuelle Kontextwerte</w:t>
      </w:r>
    </w:p>
    <w:p>
      <w:pPr>
        <w:pStyle w:val="FirstParagraph"/>
      </w:pPr>
      <w:r>
        <w:t xml:space="preserve">Eine kontextspezifische Anforderung lässt sich entweder als spezifischer Zielwert oder als virtuelle Gut- beziehungsweise Lastschrift gegenüber einem gemeinsamen Nullmaßstab darstellen. Beide Darstellungen sind bei identischer Systemgrenze rechnerisch gleichwertig</w:t>
      </w:r>
      <w:r>
        <w:t xml:space="preserve"> </w:t>
      </w:r>
      <w:r>
        <w:t xml:space="preserve">(Schneider 2026, Abschn. 3.2.5–3.2.7)</w:t>
      </w:r>
      <w:r>
        <w:t xml:space="preserve">.</w:t>
      </w:r>
    </w:p>
    <w:p>
      <w:pPr>
        <w:pStyle w:val="BodyText"/>
      </w:pPr>
      <w:r>
        <w:t xml:space="preserve">Für einen Quartierssaldo</w:t>
      </w:r>
      <w:r>
        <w:t xml:space="preserve"> </w:t>
      </w:r>
      <m:oMath>
        <m:sSub>
          <m:e>
            <m:r>
              <m:t>b</m:t>
            </m:r>
          </m:e>
          <m:sub>
            <m:r>
              <m:rPr>
                <m:sty m:val="p"/>
              </m:rPr>
              <m:t>P</m:t>
            </m:r>
            <m:r>
              <m:rPr>
                <m:sty m:val="p"/>
              </m:rPr>
              <m:t>E</m:t>
            </m:r>
          </m:sub>
        </m:sSub>
      </m:oMath>
      <w:r>
        <w:t xml:space="preserve"> </w:t>
      </w:r>
      <w:r>
        <w:t xml:space="preserve">vor Kontextkorrektur gilt schematisch:</w:t>
      </w:r>
    </w:p>
    <w:p>
      <w:pPr>
        <w:pStyle w:val="BodyText"/>
      </w:pPr>
      <w:bookmarkStart w:id="189" w:name="eq-kontextbilanz"/>
      <m:oMathPara>
        <m:oMathParaPr>
          <m:jc m:val="center"/>
        </m:oMathParaPr>
        <m:oMath>
          <m:sSub>
            <m:e>
              <m:r>
                <m:t>b</m:t>
              </m:r>
            </m:e>
            <m:sub>
              <m:r>
                <m:rPr>
                  <m:sty m:val="p"/>
                </m:rPr>
                <m:t>B</m:t>
              </m:r>
              <m:r>
                <m:rPr>
                  <m:sty m:val="p"/>
                </m:rPr>
                <m:t>e</m:t>
              </m:r>
              <m:r>
                <m:rPr>
                  <m:sty m:val="p"/>
                </m:rPr>
                <m:t>w</m:t>
              </m:r>
              <m:r>
                <m:rPr>
                  <m:sty m:val="p"/>
                </m:rPr>
                <m:t>e</m:t>
              </m:r>
              <m:r>
                <m:rPr>
                  <m:sty m:val="p"/>
                </m:rPr>
                <m:t>r</m:t>
              </m:r>
              <m:r>
                <m:rPr>
                  <m:sty m:val="p"/>
                </m:rPr>
                <m:t>t</m:t>
              </m:r>
              <m:r>
                <m:rPr>
                  <m:sty m:val="p"/>
                </m:rPr>
                <m:t>u</m:t>
              </m:r>
              <m:r>
                <m:rPr>
                  <m:sty m:val="p"/>
                </m:rPr>
                <m:t>n</m:t>
              </m:r>
              <m:r>
                <m:rPr>
                  <m:sty m:val="p"/>
                </m:rPr>
                <m:t>g</m:t>
              </m:r>
            </m:sub>
          </m:sSub>
          <m:r>
            <m:rPr>
              <m:sty m:val="p"/>
            </m:rPr>
            <m:t>=</m:t>
          </m:r>
          <m:sSub>
            <m:e>
              <m:r>
                <m:t>b</m:t>
              </m:r>
            </m:e>
            <m:sub>
              <m:r>
                <m:rPr>
                  <m:sty m:val="p"/>
                </m:rPr>
                <m:t>P</m:t>
              </m:r>
              <m:r>
                <m:rPr>
                  <m:sty m:val="p"/>
                </m:rPr>
                <m:t>E</m:t>
              </m:r>
            </m:sub>
          </m:sSub>
          <m:r>
            <m:rPr>
              <m:sty m:val="p"/>
            </m:rPr>
            <m:t>+</m:t>
          </m:r>
          <m:sSub>
            <m:e>
              <m:r>
                <m:t>c</m:t>
              </m:r>
            </m:e>
            <m:sub>
              <m:r>
                <m:rPr>
                  <m:sty m:val="p"/>
                </m:rPr>
                <m:t>D</m:t>
              </m:r>
              <m:r>
                <m:rPr>
                  <m:sty m:val="p"/>
                </m:rPr>
                <m:t>i</m:t>
              </m:r>
              <m:r>
                <m:rPr>
                  <m:sty m:val="p"/>
                </m:rPr>
                <m:t>c</m:t>
              </m:r>
              <m:r>
                <m:rPr>
                  <m:sty m:val="p"/>
                </m:rPr>
                <m:t>h</m:t>
              </m:r>
              <m:r>
                <m:rPr>
                  <m:sty m:val="p"/>
                </m:rPr>
                <m:t>t</m:t>
              </m:r>
              <m:r>
                <m:rPr>
                  <m:sty m:val="p"/>
                </m:rPr>
                <m:t>e</m:t>
              </m:r>
            </m:sub>
          </m:sSub>
          <m:r>
            <m:rPr>
              <m:sty m:val="p"/>
            </m:rPr>
            <m:t>+</m:t>
          </m:r>
          <m:sSub>
            <m:e>
              <m:r>
                <m:t>c</m:t>
              </m:r>
            </m:e>
            <m:sub>
              <m:r>
                <m:rPr>
                  <m:sty m:val="p"/>
                </m:rPr>
                <m:t>M</m:t>
              </m:r>
              <m:r>
                <m:rPr>
                  <m:sty m:val="p"/>
                </m:rPr>
                <m:t>o</m:t>
              </m:r>
              <m:r>
                <m:rPr>
                  <m:sty m:val="p"/>
                </m:rPr>
                <m:t>b</m:t>
              </m:r>
              <m:r>
                <m:rPr>
                  <m:sty m:val="p"/>
                </m:rPr>
                <m:t>i</m:t>
              </m:r>
              <m:r>
                <m:rPr>
                  <m:sty m:val="p"/>
                </m:rPr>
                <m:t>l</m:t>
              </m:r>
              <m:r>
                <m:rPr>
                  <m:sty m:val="p"/>
                </m:rPr>
                <m:t>i</m:t>
              </m:r>
              <m:r>
                <m:rPr>
                  <m:sty m:val="p"/>
                </m:rPr>
                <m:t>t</m:t>
              </m:r>
              <m:r>
                <m:rPr>
                  <m:sty m:val="p"/>
                </m:rPr>
                <m:t>ä</m:t>
              </m:r>
              <m:r>
                <m:rPr>
                  <m:sty m:val="p"/>
                </m:rPr>
                <m:t>t</m:t>
              </m:r>
            </m:sub>
          </m:sSub>
          <m:r>
            <m:rPr>
              <m:sty m:val="p"/>
            </m:rPr>
            <m:t>+</m:t>
          </m:r>
          <m:sSub>
            <m:e>
              <m:r>
                <m:t>c</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r>
                <m:rPr>
                  <m:sty m:val="p"/>
                </m:rPr>
                <m:t>,</m:t>
              </m:r>
              <m:r>
                <m:rPr>
                  <m:sty m:val="p"/>
                </m:rPr>
                <m:t>t</m:t>
              </m:r>
              <m:r>
                <m:rPr>
                  <m:sty m:val="p"/>
                </m:rPr>
                <m:t>y</m:t>
              </m:r>
              <m:r>
                <m:rPr>
                  <m:sty m:val="p"/>
                </m:rPr>
                <m:t>p</m:t>
              </m:r>
            </m:sub>
          </m:sSub>
          <m:r>
            <m:rPr>
              <m:sty m:val="p"/>
            </m:rPr>
            <m:t>.</m:t>
          </m:r>
          <m:r>
            <m:t>  </m:t>
          </m:r>
          <m:r>
            <m:rPr>
              <m:sty m:val="p"/>
            </m:rPr>
            <m:t>(</m:t>
          </m:r>
          <m:r>
            <m:t>9.1</m:t>
          </m:r>
          <m:r>
            <m:rPr>
              <m:sty m:val="p"/>
            </m:rPr>
            <m:t>)</m:t>
          </m:r>
        </m:oMath>
      </m:oMathPara>
      <w:bookmarkEnd w:id="189"/>
    </w:p>
    <w:p>
      <w:pPr>
        <w:pStyle w:val="FirstParagraph"/>
      </w:pPr>
      <w:r>
        <w:t xml:space="preserve">Die Bewertung erfolgt in kWh PE/(m² NGF·a). Positive Kontextwerte entlasten die Anforderung, negative erhöhen sie. Der</w:t>
      </w:r>
      <w:r>
        <w:t xml:space="preserve"> </w:t>
      </w:r>
      <w:r>
        <w:rPr>
          <w:b/>
          <w:bCs/>
        </w:rPr>
        <w:t xml:space="preserve">Mobilitätswert</w:t>
      </w:r>
      <w:r>
        <w:t xml:space="preserve"> </w:t>
      </w:r>
      <w:r>
        <w:t xml:space="preserve">entsteht aus der nationalen Sektorallokation und wird ausschließlich bei Einbeziehung des entsprechenden MIV-Bedarfs angesetzt. Der</w:t>
      </w:r>
      <w:r>
        <w:t xml:space="preserve"> </w:t>
      </w:r>
      <w:r>
        <w:rPr>
          <w:b/>
          <w:bCs/>
        </w:rPr>
        <w:t xml:space="preserve">Sanierungswert</w:t>
      </w:r>
      <w:r>
        <w:t xml:space="preserve"> </w:t>
      </w:r>
      <w:r>
        <w:t xml:space="preserve">ist</w:t>
      </w:r>
      <w:r>
        <w:t xml:space="preserve"> </w:t>
      </w:r>
      <w:r>
        <w:rPr>
          <w:i/>
          <w:iCs/>
        </w:rPr>
        <w:t xml:space="preserve">typologieabhängig</w:t>
      </w:r>
      <w:r>
        <w:t xml:space="preserve"> </w:t>
      </w:r>
      <w:r>
        <w:t xml:space="preserve">und wird nicht als genereller Pauschalwert festgelegt. Dichte- und Sanierungsparameter sind gemeinsam auf den sektoralen Zielsaldo abzustimmen; bereits in einem typologischen Zielsaldo berücksichtigte Wirkungen dürfen nicht noch einmal addiert werden.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C:\Users\schneids\AppData\Local\Programs\Quarto\share\formats\docx\note.png" id="19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Sachstand des Publikationsentwurfs</w:t>
            </w:r>
          </w:p>
        </w:tc>
      </w:tr>
      <w:tr>
        <w:trPr>
          <w:cantSplit/>
        </w:trPr>
        <w:tc>
          <w:tcPr>
            <w:tcMar>
              <w:top w:w="108" w:type="dxa"/>
              <w:bottom w:w="108" w:type="dxa"/>
            </w:tcMar>
          </w:tcPr>
          <w:p>
            <w:pPr>
              <w:pStyle w:val="BodyText"/>
            </w:pPr>
            <w:pPr>
              <w:spacing w:before="16" w:after="16"/>
            </w:pPr>
            <w:r>
              <w:t xml:space="preserve">UBA Transition 2040 ist das festgelegte Referenzszenario. Die sektorale Allokation und die neue Gebäudetypologie mit Flächenverteilung sind in getrennten ausführbaren Notebooks ausgewertet (</w:t>
            </w:r>
            <w:hyperlink w:anchor="sec-allokation-notebook">
              <w:r>
                <w:rPr>
                  <w:rStyle w:val="Hyperlink"/>
                </w:rPr>
                <w:t xml:space="preserve">Anhang F</w:t>
              </w:r>
            </w:hyperlink>
            <w:r>
              <w:t xml:space="preserve">;</w:t>
            </w:r>
            <w:r>
              <w:t xml:space="preserve"> </w:t>
            </w:r>
            <w:hyperlink w:anchor="sec-gebaeudesektormodell">
              <w:r>
                <w:rPr>
                  <w:rStyle w:val="Hyperlink"/>
                </w:rPr>
                <w:t xml:space="preserve">Anhang H</w:t>
              </w:r>
            </w:hyperlink>
            <w:r>
              <w:t xml:space="preserve">). Der Vergleich weist den Szenarioabstand und die Wirkung der historischen Dichteformel aus. Normative PEQ-Anteile und neue Typologiegrenzwerte sind im Entwurf nicht festgelegt. Die ursprüngliche Streicher-basierte Kalibrierung ist als methodischer Vorläufer dokumentiert</w:t>
            </w:r>
            <w:r>
              <w:t xml:space="preserve"> </w:t>
            </w:r>
            <w:r>
              <w:t xml:space="preserve">(Schneider u. a. 2020, 2023)</w:t>
            </w:r>
            <w:r>
              <w:t xml:space="preserve">.</w:t>
            </w:r>
          </w:p>
          <w:p/>
        </w:tc>
      </w:tr>
    </w:tbl>
    <w:bookmarkEnd w:id="192"/>
    <w:bookmarkEnd w:id="193"/>
    <w:bookmarkStart w:id="206" w:name="sec-zielszenario"/>
    <w:p>
      <w:pPr>
        <w:pStyle w:val="Heading1"/>
      </w:pPr>
      <w:r>
        <w:t xml:space="preserve">10. Nationales Zielszenario 2040</w:t>
      </w:r>
    </w:p>
    <w:p>
      <w:pPr>
        <w:pStyle w:val="FirstParagraph"/>
      </w:pPr>
      <w:r>
        <w:t xml:space="preserve">Vom nationalen Klimaneutralitätsszenario zu den Energiezielen für Quartiere</w:t>
      </w:r>
    </w:p>
    <w:p>
      <w:pPr>
        <w:pStyle w:val="BodyText"/>
      </w:pPr>
      <w:r>
        <w:t xml:space="preserve">Die Energieziele für Plus-Energie-Quartiere werden aus einem nationalen Klimaneutralitätsszenario abgeleitet: Welchen Beitrag müssen Gebäude und Quartiere leisten, damit Erzeugung und Bedarf im Zieljahr zusammenpassen? Diese Grundlage wird mit neuen Szenarien fortgeschrieben. Frühere Ableitungen stützten sich auf Streicher et al.; hier bildet UBA Transition 2040 die Referenz</w:t>
      </w:r>
      <w:r>
        <w:t xml:space="preserve"> </w:t>
      </w:r>
      <w:r>
        <w:t xml:space="preserve">(Streicher u. a. 2010; Schneider u. a. 2020, 2023; Umweltbundesamt 2024)</w:t>
      </w:r>
      <w:r>
        <w:t xml:space="preserve">.</w:t>
      </w:r>
    </w:p>
    <w:p>
      <w:pPr>
        <w:pStyle w:val="BodyText"/>
      </w:pPr>
      <w:r>
        <w:t xml:space="preserve">Transition 2040 beschreibt den Ausbau der Energieerzeugung und die Entwicklung des Bedarfs. WEM/WAM 2023 und 2025 ergänzen den Vergleich. Die sektorale Zuordnung in</w:t>
      </w:r>
      <w:r>
        <w:t xml:space="preserve"> </w:t>
      </w:r>
      <w:hyperlink w:anchor="sec-allokation">
        <w:r>
          <w:rPr>
            <w:rStyle w:val="Hyperlink"/>
          </w:rPr>
          <w:t xml:space="preserve">Kapitel 11</w:t>
        </w:r>
      </w:hyperlink>
      <w:r>
        <w:t xml:space="preserve"> </w:t>
      </w:r>
      <w:r>
        <w:t xml:space="preserve">übersetzt diese nationale Aufgabe in ein Zielbild für Gebäude und den ihnen zugeordneten motorisierten Individualverkehr (MIV).</w:t>
      </w:r>
    </w:p>
    <w:bookmarkStart w:id="198" w:name="stromerzeugung-und-strombedarf"/>
    <w:p>
      <w:pPr>
        <w:pStyle w:val="Heading2"/>
      </w:pPr>
      <w:r>
        <w:t xml:space="preserve">10.1 Stromerzeugung und Strombedarf</w:t>
      </w:r>
    </w:p>
    <w:tbl>
      <w:tblPr>
        <w:tblStyle w:val="Table"/>
        <w:tblW w:type="pct" w:w="5000"/>
        <w:tblLayout w:type="fixed"/>
        <w:tblLook w:firstRow="0" w:lastRow="0" w:firstColumn="0" w:lastColumn="0" w:noHBand="0" w:noVBand="0" w:val="0000"/>
      </w:tblPr>
      <w:tblGrid>
        <w:gridCol w:w="7920"/>
      </w:tblGrid>
      <w:tr>
        <w:tc>
          <w:tcPr/>
          <w:bookmarkStart w:id="195" w:name="fig-ziel-erzeugung"/>
          <w:p>
            <w:pPr>
              <w:jc w:val="center"/>
            </w:pPr>
            <w:pPr>
              <w:jc w:val="left"/>
              <w:spacing w:before="200"/>
              <w:pStyle w:val="ImageCaption"/>
            </w:pPr>
            <w:r>
              <w:t xml:space="preserve">Abbildung 10.1: Stromerzeugung 2040: Säulen zeigen die veröffentlichten Komponenten, Rauten die publizierten Gesamtsummen. Nettoimporte und Exporte sind gesondert dargestellt. Transition: REP-0880, Tabelle 16; Vergleiche: REP-0882 und REP-0995</w:t>
            </w:r>
            <w:r>
              <w:t xml:space="preserve"> </w:t>
            </w:r>
            <w:r>
              <w:t xml:space="preserve">(Umweltbundesamt 2024, 2023b, 2025)</w:t>
            </w:r>
            <w:r>
              <w:t xml:space="preserve">.</w:t>
            </w:r>
            <w:r>
              <w:t xml:space="preserve"> </w:t>
            </w:r>
            <w:hyperlink r:id="rId194">
              <w:r>
                <w:rPr>
                  <w:rStyle w:val="Hyperlink"/>
                </w:rPr>
                <w:t xml:space="preserve">Grafik separat öffnen</w:t>
              </w:r>
            </w:hyperlink>
            <w:r>
              <w:t xml:space="preserve">.</w:t>
            </w:r>
          </w:p>
          <w:bookmarkEnd w:id="19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7" w:name="fig-ziel-bedarf"/>
          <w:p>
            <w:pPr>
              <w:jc w:val="center"/>
            </w:pPr>
            <w:pPr>
              <w:jc w:val="left"/>
              <w:spacing w:before="200"/>
              <w:pStyle w:val="ImageCaption"/>
            </w:pPr>
            <w:r>
              <w:t xml:space="preserve">Abbildung 10.2: Strombedarf 2040 nach Sektoren: Säulen zeigen die veröffentlichten Komponenten, Rauten die publizierten Gesamtsummen. Transition: REP-0880, Tabelle 15; Vergleiche: REP-0882 und REP-0995</w:t>
            </w:r>
            <w:r>
              <w:t xml:space="preserve"> </w:t>
            </w:r>
            <w:r>
              <w:t xml:space="preserve">(Umweltbundesamt 2024, 2023b, 2025)</w:t>
            </w:r>
            <w:r>
              <w:t xml:space="preserve">.</w:t>
            </w:r>
            <w:r>
              <w:t xml:space="preserve"> </w:t>
            </w:r>
            <w:hyperlink r:id="rId196">
              <w:r>
                <w:rPr>
                  <w:rStyle w:val="Hyperlink"/>
                </w:rPr>
                <w:t xml:space="preserve">Grafik separat öffnen</w:t>
              </w:r>
            </w:hyperlink>
            <w:r>
              <w:t xml:space="preserve">.</w:t>
            </w:r>
          </w:p>
          <w:bookmarkEnd w:id="197"/>
        </w:tc>
      </w:tr>
    </w:tbl>
    <w:bookmarkEnd w:id="198"/>
    <w:bookmarkStart w:id="204" w:name="entwicklung-von-2020-bis-2040"/>
    <w:p>
      <w:pPr>
        <w:pStyle w:val="Heading2"/>
      </w:pPr>
      <w:r>
        <w:t xml:space="preserve">10.2 Entwicklung von 2020 bis 2040</w:t>
      </w:r>
    </w:p>
    <w:p>
      <w:pPr>
        <w:pStyle w:val="FirstParagraph"/>
      </w:pPr>
      <w:r>
        <w:t xml:space="preserve">Der Vergleich des Ausgangsjahres 2020 mit dem Zieljahr 2040 macht die erforderlichen Ausbauziele und Einsparungen sichtbar. Die jährliche Stromerzeugung steigt von 249 auf 457 PJ, der veröffentlichte Strombedarf von 257 auf 450 PJ. Der gesamte energetische Endverbrauch sinkt von 1.053 auf 722 PJ. Transition verbindet damit Elektrifizierung und eine Minderung des Endenergieverbrauchs</w:t>
      </w:r>
      <w:r>
        <w:t xml:space="preserve"> </w:t>
      </w:r>
      <w:r>
        <w:t xml:space="preserve">(Umweltbundesamt 2024, Tab. A, 15 und 16)</w:t>
      </w:r>
      <w:r>
        <w:t xml:space="preserve">.</w:t>
      </w:r>
      <w:r>
        <w:rPr>
          <w:rStyle w:val="FootnoteReference"/>
        </w:rPr>
        <w:footnoteReference w:id="199"/>
      </w:r>
    </w:p>
    <w:tbl>
      <w:tblPr>
        <w:tblStyle w:val="Table"/>
        <w:tblW w:type="pct" w:w="5000"/>
        <w:tblLayout w:type="fixed"/>
        <w:tblLook w:firstRow="0" w:lastRow="0" w:firstColumn="0" w:lastColumn="0" w:noHBand="0" w:noVBand="0" w:val="0000"/>
      </w:tblPr>
      <w:tblGrid>
        <w:gridCol w:w="7920"/>
      </w:tblGrid>
      <w:tr>
        <w:tc>
          <w:tcPr/>
          <w:bookmarkStart w:id="203" w:name="fig-transition-sankey"/>
          <w:p>
            <w:pPr>
              <w:pStyle w:val="Compact"/>
              <w:jc w:val="center"/>
            </w:pPr>
            <w:r>
              <w:drawing>
                <wp:inline>
                  <wp:extent cx="5334000" cy="3451411"/>
                  <wp:effectExtent b="0" l="0" r="0" t="0"/>
                  <wp:docPr descr="" title="" id="201" name="Picture"/>
                  <a:graphic>
                    <a:graphicData uri="http://schemas.openxmlformats.org/drawingml/2006/picture">
                      <pic:pic>
                        <pic:nvPicPr>
                          <pic:cNvPr descr="Kapitel/../Abbildungen/transition_sankey.png" id="202" name="Picture"/>
                          <pic:cNvPicPr>
                            <a:picLocks noChangeArrowheads="1" noChangeAspect="1"/>
                          </pic:cNvPicPr>
                        </pic:nvPicPr>
                        <pic:blipFill>
                          <a:blip r:embed="rId200"/>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10.3: Stromausbau, Strombedarf und Endenergieminderung gegenüber 2020.</w:t>
            </w:r>
          </w:p>
          <w:bookmarkEnd w:id="203"/>
        </w:tc>
      </w:tr>
    </w:tbl>
    <w:bookmarkEnd w:id="204"/>
    <w:bookmarkStart w:id="205" w:name="übergang-zur-allokation"/>
    <w:p>
      <w:pPr>
        <w:pStyle w:val="Heading2"/>
      </w:pPr>
      <w:r>
        <w:t xml:space="preserve">10.3 Übergang zur Allokation</w:t>
      </w:r>
    </w:p>
    <w:p>
      <w:pPr>
        <w:pStyle w:val="FirstParagraph"/>
      </w:pPr>
      <w:r>
        <w:t xml:space="preserve">Eine vereinfachte bilanzielle Zuordnung der nationalen Erzeugung und Bedarfe ergibt das Zielbild für den Gebäudesektor einschließlich MIV. Dazu werden PV auf Gebäude und Freiflächen sowie der Verkehrsbedarf auf MIV, ÖPNV und übrigen Verkehr aufgeteilt. Die daraus abgeleitete zentrale Restdeckung wird in</w:t>
      </w:r>
      <w:r>
        <w:t xml:space="preserve"> </w:t>
      </w:r>
      <w:hyperlink w:anchor="sec-allokation">
        <w:r>
          <w:rPr>
            <w:rStyle w:val="Hyperlink"/>
          </w:rPr>
          <w:t xml:space="preserve">Kapitel 11</w:t>
        </w:r>
      </w:hyperlink>
      <w:r>
        <w:t xml:space="preserve"> </w:t>
      </w:r>
      <w:r>
        <w:t xml:space="preserve">als Grundlage der Mobilitätsgutschrift auf Quartiersebene dargestellt.</w:t>
      </w:r>
    </w:p>
    <w:p>
      <w:pPr>
        <w:pStyle w:val="BodyText"/>
      </w:pPr>
      <w:r>
        <w:t xml:space="preserve">Die Allokation verwendet eine geschlossene Modellbilanz mit 5 PJ/a Nettoexport und vollständiger Berücksichtigung von H₂- und fossiler Stromerzeugung. Die ursprünglichen Quelldaten und die dokumentierte Überleitung zur Modellbilanz stehen in</w:t>
      </w:r>
      <w:r>
        <w:t xml:space="preserve"> </w:t>
      </w:r>
      <w:hyperlink w:anchor="sec-szenariotabellen">
        <w:r>
          <w:rPr>
            <w:rStyle w:val="Hyperlink"/>
          </w:rPr>
          <w:t xml:space="preserve">Anhang A</w:t>
        </w:r>
      </w:hyperlink>
      <w:r>
        <w:t xml:space="preserve">.</w:t>
      </w:r>
    </w:p>
    <w:bookmarkEnd w:id="205"/>
    <w:bookmarkEnd w:id="206"/>
    <w:bookmarkStart w:id="220" w:name="sec-allokation"/>
    <w:p>
      <w:pPr>
        <w:pStyle w:val="Heading1"/>
      </w:pPr>
      <w:r>
        <w:t xml:space="preserve">11. Sektorale Energieallokation</w:t>
      </w:r>
    </w:p>
    <w:p>
      <w:pPr>
        <w:pStyle w:val="FirstParagraph"/>
      </w:pPr>
      <w:r>
        <w:t xml:space="preserve">Vom nationalen Stromsystem zur Deckung von Gebäude und MIV</w:t>
      </w:r>
    </w:p>
    <w:p>
      <w:pPr>
        <w:pStyle w:val="BodyText"/>
      </w:pPr>
      <w:r>
        <w:t xml:space="preserve">Die Allokation ordnet die Stromerzeugung aus Transition 2040 den sektoralen Bedarfen zu. Gebäude-PV und die verbleibende Deckung aus zentralen Großkraftwerken decken gemeinsam Gebäude und MIV. Die Mobilitätsgutschrift auf Quartiersebene übersetzt diese zentrale Zuordnung in die nutzungsbezogene Bewertung (</w:t>
      </w:r>
      <w:hyperlink w:anchor="sec-kontext-mobilitaet">
        <w:r>
          <w:rPr>
            <w:rStyle w:val="Hyperlink"/>
          </w:rPr>
          <w:t xml:space="preserve">Kapitel 14</w:t>
        </w:r>
      </w:hyperlink>
      <w:r>
        <w:t xml:space="preserve">)</w:t>
      </w:r>
      <w:r>
        <w:t xml:space="preserve"> </w:t>
      </w:r>
      <w:r>
        <w:t xml:space="preserve">(Schneider u. a. 2020, 2023)</w:t>
      </w:r>
      <w:r>
        <w:t xml:space="preserve">.</w:t>
      </w:r>
    </w:p>
    <w:bookmarkStart w:id="208" w:name="begriffe-und-zuordnungsregeln"/>
    <w:p>
      <w:pPr>
        <w:pStyle w:val="Heading2"/>
      </w:pPr>
      <w:r>
        <w:t xml:space="preserve">11.1 Begriffe und Zuordnungsregeln</w:t>
      </w:r>
    </w:p>
    <w:tbl>
      <w:tblPr>
        <w:tblStyle w:val="Table"/>
        <w:tblW w:type="pct" w:w="5000"/>
        <w:tblLayout w:type="fixed"/>
        <w:tblLook w:firstRow="0" w:lastRow="0" w:firstColumn="0" w:lastColumn="0" w:noHBand="0" w:noVBand="0" w:val="0000"/>
      </w:tblPr>
      <w:tblGrid>
        <w:gridCol w:w="7920"/>
      </w:tblGrid>
      <w:tr>
        <w:tc>
          <w:tcPr/>
          <w:bookmarkStart w:id="207" w:name="tbl-allokation-glossar"/>
          <w:p>
            <w:pPr>
              <w:jc w:val="center"/>
            </w:pPr>
            <w:pPr>
              <w:jc w:val="left"/>
              <w:spacing w:before="200"/>
              <w:pStyle w:val="ImageCaption"/>
            </w:pPr>
            <w:r>
              <w:t xml:space="preserve">Tabelle 11.1: Bilanzgrößen und Zuordnung; alle Energiemengen in PJ Strom/a.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Größe</w:t>
                  </w:r>
                </w:p>
              </w:tc>
              <w:tc>
                <w:tcPr/>
                <w:p>
                  <w:pPr>
                    <w:pStyle w:val="Compact"/>
                    <w:jc w:val="center"/>
                  </w:pPr>
                  <w:r>
                    <w:t xml:space="preserve">Zeichen</w:t>
                  </w:r>
                </w:p>
              </w:tc>
              <w:tc>
                <w:tcPr/>
                <w:p>
                  <w:pPr>
                    <w:pStyle w:val="Compact"/>
                    <w:jc w:val="center"/>
                  </w:pPr>
                  <w:r>
                    <w:t xml:space="preserve">Regel im Modell</w:t>
                  </w:r>
                </w:p>
              </w:tc>
            </w:tr>
            <w:tr>
              <w:tc>
                <w:tcPr/>
                <w:p>
                  <w:pPr>
                    <w:pStyle w:val="Compact"/>
                    <w:jc w:val="center"/>
                  </w:pPr>
                  <w:r>
                    <w:t xml:space="preserve">Zentrale Großkraftwerke</w:t>
                  </w:r>
                </w:p>
              </w:tc>
              <w:tc>
                <w:tcPr/>
                <w:p>
                  <w:pPr>
                    <w:pStyle w:val="Compact"/>
                    <w:jc w:val="center"/>
                  </w:pPr>
                  <m:oMath>
                    <m:r>
                      <m:t>C</m:t>
                    </m:r>
                  </m:oMath>
                  <w:r>
                    <w:t xml:space="preserve">​</w:t>
                  </w:r>
                </w:p>
              </w:tc>
              <w:tc>
                <w:tcPr/>
                <w:p>
                  <w:pPr>
                    <w:pStyle w:val="Compact"/>
                    <w:jc w:val="center"/>
                  </w:pPr>
                  <w:r>
                    <w:t xml:space="preserve">Gesamte Stromerzeugung außerhalb der Gebäude-PV, einschließlich Freiflächen-PV, 4 PJ H₂ und 1 PJ fossilem Strom.</w:t>
                  </w:r>
                </w:p>
              </w:tc>
            </w:tr>
            <w:tr>
              <w:tc>
                <w:tcPr/>
                <w:p>
                  <w:pPr>
                    <w:pStyle w:val="Compact"/>
                    <w:jc w:val="center"/>
                  </w:pPr>
                  <w:r>
                    <w:t xml:space="preserve">Gebäude-PV</w:t>
                  </w:r>
                </w:p>
              </w:tc>
              <w:tc>
                <w:tcPr/>
                <w:p>
                  <w:pPr>
                    <w:pStyle w:val="Compact"/>
                    <w:jc w:val="center"/>
                  </w:pPr>
                  <m:oMath>
                    <m:sSub>
                      <m:e>
                        <m:r>
                          <m:t>P</m:t>
                        </m:r>
                      </m:e>
                      <m:sub>
                        <m:r>
                          <m:t>B</m:t>
                        </m:r>
                      </m:sub>
                    </m:sSub>
                    <m:r>
                      <m:rPr>
                        <m:sty m:val="p"/>
                      </m:rPr>
                      <m:t>=</m:t>
                    </m:r>
                    <m:r>
                      <m:rPr>
                        <m:sty m:val="p"/>
                      </m:rPr>
                      <m:t>(</m:t>
                    </m:r>
                    <m:r>
                      <m:t>1</m:t>
                    </m:r>
                    <m:r>
                      <m:rPr>
                        <m:sty m:val="p"/>
                      </m:rPr>
                      <m:t>−</m:t>
                    </m:r>
                    <m:r>
                      <m:t>f</m:t>
                    </m:r>
                    <m:r>
                      <m:rPr>
                        <m:sty m:val="p"/>
                      </m:rPr>
                      <m:t>)</m:t>
                    </m:r>
                    <m:sSub>
                      <m:e>
                        <m:r>
                          <m:t>P</m:t>
                        </m:r>
                      </m:e>
                      <m:sub>
                        <m:r>
                          <m:t>P</m:t>
                        </m:r>
                        <m:r>
                          <m:t>V</m:t>
                        </m:r>
                      </m:sub>
                    </m:sSub>
                  </m:oMath>
                  <w:r>
                    <w:t xml:space="preserve">​</w:t>
                  </w:r>
                </w:p>
              </w:tc>
              <w:tc>
                <w:tcPr/>
                <w:p>
                  <w:pPr>
                    <w:pStyle w:val="Compact"/>
                    <w:jc w:val="center"/>
                  </w:pPr>
                  <w:r>
                    <w:t xml:space="preserve">Gesamte PV-Erzeugung am Gebäude: Eigenverbrauch und Einspeisung.</w:t>
                  </w:r>
                </w:p>
              </w:tc>
            </w:tr>
            <w:tr>
              <w:tc>
                <w:tcPr/>
                <w:p>
                  <w:pPr>
                    <w:pStyle w:val="Compact"/>
                    <w:jc w:val="center"/>
                  </w:pPr>
                  <w:r>
                    <w:t xml:space="preserve">Freiflächen-PV</w:t>
                  </w:r>
                </w:p>
              </w:tc>
              <w:tc>
                <w:tcPr/>
                <w:p>
                  <w:pPr>
                    <w:pStyle w:val="Compact"/>
                    <w:jc w:val="center"/>
                  </w:pPr>
                  <m:oMath>
                    <m:r>
                      <m:t>f</m:t>
                    </m:r>
                    <m:sSub>
                      <m:e>
                        <m:r>
                          <m:t>P</m:t>
                        </m:r>
                      </m:e>
                      <m:sub>
                        <m:r>
                          <m:t>P</m:t>
                        </m:r>
                        <m:r>
                          <m:t>V</m:t>
                        </m:r>
                      </m:sub>
                    </m:sSub>
                  </m:oMath>
                  <w:r>
                    <w:t xml:space="preserve">​</w:t>
                  </w:r>
                </w:p>
              </w:tc>
              <w:tc>
                <w:tcPr/>
                <w:p>
                  <w:pPr>
                    <w:pStyle w:val="Compact"/>
                    <w:jc w:val="center"/>
                  </w:pPr>
                  <w:r>
                    <w:t xml:space="preserve">Gesamte PV außerhalb von Gebäuden; Teil der zentralen Großkraftwerke.</w:t>
                  </w:r>
                </w:p>
              </w:tc>
            </w:tr>
            <w:tr>
              <w:tc>
                <w:tcPr/>
                <w:p>
                  <w:pPr>
                    <w:pStyle w:val="Compact"/>
                    <w:jc w:val="center"/>
                  </w:pPr>
                  <w:r>
                    <w:t xml:space="preserve">Vorrangbedarfe</w:t>
                  </w:r>
                </w:p>
              </w:tc>
              <w:tc>
                <w:tcPr/>
                <w:p>
                  <w:pPr>
                    <w:pStyle w:val="Compact"/>
                    <w:jc w:val="center"/>
                  </w:pPr>
                  <m:oMath>
                    <m:r>
                      <m:t>F</m:t>
                    </m:r>
                  </m:oMath>
                  <w:r>
                    <w:t xml:space="preserve">​</w:t>
                  </w:r>
                </w:p>
              </w:tc>
              <w:tc>
                <w:tcPr/>
                <w:p>
                  <w:pPr>
                    <w:pStyle w:val="Compact"/>
                    <w:jc w:val="center"/>
                  </w:pPr>
                  <w:r>
                    <w:t xml:space="preserve">Industrie, Landwirtschaft, Energiebranche, Umwandlung, Netzverluste und Nettoexport.</w:t>
                  </w:r>
                </w:p>
              </w:tc>
            </w:tr>
            <w:tr>
              <w:tc>
                <w:tcPr/>
                <w:p>
                  <w:pPr>
                    <w:pStyle w:val="Compact"/>
                    <w:jc w:val="center"/>
                  </w:pPr>
                  <w:r>
                    <w:t xml:space="preserve">MIV</w:t>
                  </w:r>
                </w:p>
              </w:tc>
              <w:tc>
                <w:tcPr/>
                <w:p>
                  <w:pPr>
                    <w:pStyle w:val="Compact"/>
                    <w:jc w:val="center"/>
                  </w:pPr>
                  <m:oMath>
                    <m:sSub>
                      <m:e>
                        <m:r>
                          <m:t>D</m:t>
                        </m:r>
                      </m:e>
                      <m:sub>
                        <m:r>
                          <m:t>M</m:t>
                        </m:r>
                      </m:sub>
                    </m:sSub>
                    <m:r>
                      <m:rPr>
                        <m:sty m:val="p"/>
                      </m:rPr>
                      <m:t>=</m:t>
                    </m:r>
                    <m:r>
                      <m:t>m</m:t>
                    </m:r>
                    <m:sSub>
                      <m:e>
                        <m:r>
                          <m:t>D</m:t>
                        </m:r>
                      </m:e>
                      <m:sub>
                        <m:r>
                          <m:t>V</m:t>
                        </m:r>
                      </m:sub>
                    </m:sSub>
                  </m:oMath>
                  <w:r>
                    <w:t xml:space="preserve">​</w:t>
                  </w:r>
                </w:p>
              </w:tc>
              <w:tc>
                <w:tcPr/>
                <w:p>
                  <w:pPr>
                    <w:pStyle w:val="Compact"/>
                    <w:jc w:val="center"/>
                  </w:pPr>
                  <w:r>
                    <w:t xml:space="preserve">Anteil</w:t>
                  </w:r>
                  <w:r>
                    <w:t xml:space="preserve"> </w:t>
                  </w:r>
                  <m:oMath>
                    <m:r>
                      <m:t>m</m:t>
                    </m:r>
                  </m:oMath>
                  <w:r>
                    <w:t xml:space="preserve"> </w:t>
                  </w:r>
                  <w:r>
                    <w:t xml:space="preserve">am elektrischen Energiebedarf des Verkehrs insgesamt.</w:t>
                  </w:r>
                </w:p>
              </w:tc>
            </w:tr>
            <w:tr>
              <w:tc>
                <w:tcPr/>
                <w:p>
                  <w:pPr>
                    <w:pStyle w:val="Compact"/>
                    <w:jc w:val="center"/>
                  </w:pPr>
                  <w:r>
                    <w:t xml:space="preserve">Nicht-MIV-Verkehr</w:t>
                  </w:r>
                </w:p>
              </w:tc>
              <w:tc>
                <w:tcPr/>
                <w:p>
                  <w:pPr>
                    <w:pStyle w:val="Compact"/>
                    <w:jc w:val="center"/>
                  </w:pPr>
                  <m:oMath>
                    <m:r>
                      <m:rPr>
                        <m:sty m:val="p"/>
                      </m:rPr>
                      <m:t>(</m:t>
                    </m:r>
                    <m:r>
                      <m:t>1</m:t>
                    </m:r>
                    <m:r>
                      <m:rPr>
                        <m:sty m:val="p"/>
                      </m:rPr>
                      <m:t>−</m:t>
                    </m:r>
                    <m:r>
                      <m:t>m</m:t>
                    </m:r>
                    <m:r>
                      <m:rPr>
                        <m:sty m:val="p"/>
                      </m:rPr>
                      <m:t>)</m:t>
                    </m:r>
                    <m:sSub>
                      <m:e>
                        <m:r>
                          <m:t>D</m:t>
                        </m:r>
                      </m:e>
                      <m:sub>
                        <m:r>
                          <m:t>V</m:t>
                        </m:r>
                      </m:sub>
                    </m:sSub>
                  </m:oMath>
                  <w:r>
                    <w:t xml:space="preserve">​</w:t>
                  </w:r>
                </w:p>
              </w:tc>
              <w:tc>
                <w:tcPr/>
                <w:p>
                  <w:pPr>
                    <w:pStyle w:val="Compact"/>
                    <w:jc w:val="center"/>
                  </w:pPr>
                  <w:r>
                    <w:t xml:space="preserve">ÖPNV und übriger Verkehr; Deckung aus zentralen Großkraftwerken.</w:t>
                  </w:r>
                </w:p>
              </w:tc>
            </w:tr>
            <w:tr>
              <w:tc>
                <w:tcPr/>
                <w:p>
                  <w:pPr>
                    <w:pStyle w:val="Compact"/>
                    <w:jc w:val="center"/>
                  </w:pPr>
                  <w:r>
                    <w:t xml:space="preserve">Zentrale Restdeckung</w:t>
                  </w:r>
                </w:p>
              </w:tc>
              <w:tc>
                <w:tcPr/>
                <w:p>
                  <w:pPr>
                    <w:pStyle w:val="Compact"/>
                    <w:jc w:val="center"/>
                  </w:pPr>
                  <m:oMath>
                    <m:r>
                      <m:t>R</m:t>
                    </m:r>
                  </m:oMath>
                  <w:r>
                    <w:t xml:space="preserve">​</w:t>
                  </w:r>
                </w:p>
              </w:tc>
              <w:tc>
                <w:tcPr/>
                <w:p>
                  <w:pPr>
                    <w:pStyle w:val="Compact"/>
                    <w:jc w:val="center"/>
                  </w:pPr>
                  <w:r>
                    <w:t xml:space="preserve">Verbleibende Deckung für Gebäude + MIV; Grundlage der Mobilitätsgutschrift.</w:t>
                  </w:r>
                </w:p>
              </w:tc>
            </w:tr>
            <w:tr>
              <w:tc>
                <w:tcPr/>
                <w:p>
                  <w:pPr>
                    <w:pStyle w:val="Compact"/>
                    <w:jc w:val="center"/>
                  </w:pPr>
                  <w:r>
                    <w:t xml:space="preserve">Gebäudebedarf</w:t>
                  </w:r>
                </w:p>
              </w:tc>
              <w:tc>
                <w:tcPr/>
                <w:p>
                  <w:pPr>
                    <w:pStyle w:val="Compact"/>
                    <w:jc w:val="center"/>
                  </w:pPr>
                  <m:oMath>
                    <m:sSub>
                      <m:e>
                        <m:r>
                          <m:t>D</m:t>
                        </m:r>
                      </m:e>
                      <m:sub>
                        <m:r>
                          <m:t>B</m:t>
                        </m:r>
                      </m:sub>
                    </m:sSub>
                  </m:oMath>
                  <w:r>
                    <w:t xml:space="preserve">​</w:t>
                  </w:r>
                </w:p>
              </w:tc>
              <w:tc>
                <w:tcPr/>
                <w:p>
                  <w:pPr>
                    <w:pStyle w:val="Compact"/>
                    <w:jc w:val="center"/>
                  </w:pPr>
                  <w:r>
                    <w:t xml:space="preserve">Betriebsstrombedarf des Gebäudesektors.</w:t>
                  </w:r>
                </w:p>
              </w:tc>
            </w:tr>
          </w:tbl>
          <w:bookmarkEnd w:id="207"/>
          <w:p/>
        </w:tc>
      </w:tr>
    </w:tbl>
    <w:bookmarkEnd w:id="208"/>
    <w:bookmarkStart w:id="215" w:name="sec-allokation-miv"/>
    <w:p>
      <w:pPr>
        <w:pStyle w:val="Heading2"/>
      </w:pPr>
      <w:r>
        <w:t xml:space="preserve">11.2 Restdeckung und Bilanzschluss</w:t>
      </w:r>
    </w:p>
    <w:p>
      <w:pPr>
        <w:pStyle w:val="FirstParagraph"/>
      </w:pPr>
      <w:r>
        <w:t xml:space="preserve">Nach Abzug der Vorrangbedarfe und des Nicht-MIV-Verkehrs wird die gesamte Restdeckung zugeordnet:</w:t>
      </w:r>
    </w:p>
    <w:p>
      <w:pPr>
        <w:pStyle w:val="BodyText"/>
      </w:pPr>
      <w:bookmarkStart w:id="209" w:name="eq-miv-restbudget"/>
      <m:oMathPara>
        <m:oMathParaPr>
          <m:jc m:val="center"/>
        </m:oMathParaPr>
        <m:oMath>
          <m:r>
            <m:t>R</m:t>
          </m:r>
          <m:r>
            <m:rPr>
              <m:sty m:val="p"/>
            </m:rPr>
            <m:t>=</m:t>
          </m:r>
          <m:r>
            <m:t>C</m:t>
          </m:r>
          <m:r>
            <m:rPr>
              <m:sty m:val="p"/>
            </m:rPr>
            <m:t>−</m:t>
          </m:r>
          <m:r>
            <m:t>F</m:t>
          </m:r>
          <m:r>
            <m:rPr>
              <m:sty m:val="p"/>
            </m:rPr>
            <m:t>−</m:t>
          </m:r>
          <m:r>
            <m:rPr>
              <m:sty m:val="p"/>
            </m:rPr>
            <m:t>(</m:t>
          </m:r>
          <m:r>
            <m:t>1</m:t>
          </m:r>
          <m:r>
            <m:rPr>
              <m:sty m:val="p"/>
            </m:rPr>
            <m:t>−</m:t>
          </m:r>
          <m:r>
            <m:t>m</m:t>
          </m:r>
          <m:r>
            <m:rPr>
              <m:sty m:val="p"/>
            </m:rPr>
            <m:t>)</m:t>
          </m:r>
          <m:sSub>
            <m:e>
              <m:r>
                <m:t>D</m:t>
              </m:r>
            </m:e>
            <m:sub>
              <m:r>
                <m:t>V</m:t>
              </m:r>
            </m:sub>
          </m:sSub>
          <m:r>
            <m:rPr>
              <m:sty m:val="p"/>
            </m:rPr>
            <m:t>.</m:t>
          </m:r>
          <m:r>
            <m:t>  </m:t>
          </m:r>
          <m:r>
            <m:rPr>
              <m:sty m:val="p"/>
            </m:rPr>
            <m:t>(</m:t>
          </m:r>
          <m:r>
            <m:t>11.1</m:t>
          </m:r>
          <m:r>
            <m:rPr>
              <m:sty m:val="p"/>
            </m:rPr>
            <m:t>)</m:t>
          </m:r>
        </m:oMath>
      </m:oMathPara>
      <w:bookmarkEnd w:id="209"/>
    </w:p>
    <w:p>
      <w:pPr>
        <w:pStyle w:val="FirstParagraph"/>
      </w:pPr>
      <w:bookmarkStart w:id="210" w:name="eq-gebaeudesektor-zielsaldo"/>
      <m:oMathPara>
        <m:oMathParaPr>
          <m:jc m:val="center"/>
        </m:oMathParaPr>
        <m:oMath>
          <m:sSub>
            <m:e>
              <m:r>
                <m:t>D</m:t>
              </m:r>
            </m:e>
            <m:sub>
              <m:r>
                <m:t>B</m:t>
              </m:r>
            </m:sub>
          </m:sSub>
          <m:r>
            <m:rPr>
              <m:sty m:val="p"/>
            </m:rPr>
            <m:t>+</m:t>
          </m:r>
          <m:sSub>
            <m:e>
              <m:r>
                <m:t>D</m:t>
              </m:r>
            </m:e>
            <m:sub>
              <m:r>
                <m:t>M</m:t>
              </m:r>
            </m:sub>
          </m:sSub>
          <m:r>
            <m:rPr>
              <m:sty m:val="p"/>
            </m:rPr>
            <m:t>=</m:t>
          </m:r>
          <m:sSub>
            <m:e>
              <m:r>
                <m:t>P</m:t>
              </m:r>
            </m:e>
            <m:sub>
              <m:r>
                <m:t>B</m:t>
              </m:r>
            </m:sub>
          </m:sSub>
          <m:r>
            <m:rPr>
              <m:sty m:val="p"/>
            </m:rPr>
            <m:t>+</m:t>
          </m:r>
          <m:r>
            <m:t>R</m:t>
          </m:r>
          <m:r>
            <m:rPr>
              <m:sty m:val="p"/>
            </m:rPr>
            <m:t>.</m:t>
          </m:r>
          <m:r>
            <m:t>  </m:t>
          </m:r>
          <m:r>
            <m:rPr>
              <m:sty m:val="p"/>
            </m:rPr>
            <m:t>(</m:t>
          </m:r>
          <m:r>
            <m:t>11.2</m:t>
          </m:r>
          <m:r>
            <m:rPr>
              <m:sty m:val="p"/>
            </m:rPr>
            <m:t>)</m:t>
          </m:r>
        </m:oMath>
      </m:oMathPara>
      <w:bookmarkEnd w:id="210"/>
    </w:p>
    <w:p>
      <w:pPr>
        <w:pStyle w:val="FirstParagraph"/>
      </w:pPr>
      <w:r>
        <w:t xml:space="preserve">Die Restdeckung ist nicht auf den MIV-Bedarf begrenzt. Gebäude-PV-Überschuss und Restdeckung decken den MIV gemeinsam.</w:t>
      </w:r>
      <w:r>
        <w:rPr>
          <w:rStyle w:val="FootnoteReference"/>
        </w:rPr>
        <w:footnoteReference w:id="211"/>
      </w:r>
    </w:p>
    <w:tbl>
      <w:tblPr>
        <w:tblStyle w:val="Table"/>
        <w:tblW w:type="pct" w:w="5000"/>
        <w:tblLayout w:type="fixed"/>
        <w:tblLook w:firstRow="0" w:lastRow="0" w:firstColumn="0" w:lastColumn="0" w:noHBand="0" w:noVBand="0" w:val="0000"/>
      </w:tblPr>
      <w:tblGrid>
        <w:gridCol w:w="7920"/>
      </w:tblGrid>
      <w:tr>
        <w:tc>
          <w:tcPr/>
          <w:bookmarkStart w:id="212" w:name="tbl-allokation-datenbedarf"/>
          <w:p>
            <w:pPr>
              <w:jc w:val="center"/>
            </w:pPr>
            <w:pPr>
              <w:jc w:val="left"/>
              <w:spacing w:before="200"/>
              <w:pStyle w:val="ImageCaption"/>
            </w:pPr>
            <w:r>
              <w:t xml:space="preserve">Tabelle 11.2: Modellannahmen vom 29.10.2026. PV- und Verkehrsanteile sind veränderbare Zuordnungen.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Referenzannahme</w:t>
                  </w:r>
                </w:p>
              </w:tc>
              <w:tc>
                <w:tcPr/>
                <w:p>
                  <w:pPr>
                    <w:pStyle w:val="Compact"/>
                    <w:jc w:val="right"/>
                    <w:jc w:val="center"/>
                  </w:pPr>
                  <w:r>
                    <w:t xml:space="preserve">Wert</w:t>
                  </w:r>
                </w:p>
              </w:tc>
            </w:tr>
            <w:tr>
              <w:tc>
                <w:tcPr/>
                <w:p>
                  <w:pPr>
                    <w:pStyle w:val="Compact"/>
                    <w:jc w:val="center"/>
                  </w:pPr>
                  <w:r>
                    <w:t xml:space="preserve">Gebäude-PV / Freiflächen-PV</w:t>
                  </w:r>
                </w:p>
              </w:tc>
              <w:tc>
                <w:tcPr/>
                <w:p>
                  <w:pPr>
                    <w:pStyle w:val="Compact"/>
                    <w:jc w:val="right"/>
                    <w:jc w:val="center"/>
                  </w:pPr>
                  <w:r>
                    <w:t xml:space="preserve">100 % / 0 %</w:t>
                  </w:r>
                </w:p>
              </w:tc>
            </w:tr>
            <w:tr>
              <w:tc>
                <w:tcPr/>
                <w:p>
                  <w:pPr>
                    <w:pStyle w:val="Compact"/>
                    <w:jc w:val="center"/>
                  </w:pPr>
                  <w:r>
                    <w:t xml:space="preserve">MIV / ÖPNV / übriger Verkehr</w:t>
                  </w:r>
                </w:p>
              </w:tc>
              <w:tc>
                <w:tcPr/>
                <w:p>
                  <w:pPr>
                    <w:pStyle w:val="Compact"/>
                    <w:jc w:val="right"/>
                    <w:jc w:val="center"/>
                  </w:pPr>
                  <w:r>
                    <w:t xml:space="preserve">80 % / 20 % / 0 %</w:t>
                  </w:r>
                </w:p>
              </w:tc>
            </w:tr>
            <w:tr>
              <w:tc>
                <w:tcPr/>
                <w:p>
                  <w:pPr>
                    <w:pStyle w:val="Compact"/>
                    <w:jc w:val="center"/>
                  </w:pPr>
                  <w:r>
                    <w:t xml:space="preserve">H₂- und fossile Stromerzeugung</w:t>
                  </w:r>
                </w:p>
              </w:tc>
              <w:tc>
                <w:tcPr/>
                <w:p>
                  <w:pPr>
                    <w:pStyle w:val="Compact"/>
                    <w:jc w:val="right"/>
                    <w:jc w:val="center"/>
                  </w:pPr>
                  <w:r>
                    <w:t xml:space="preserve">vollständig enthalten</w:t>
                  </w:r>
                </w:p>
              </w:tc>
            </w:tr>
            <w:tr>
              <w:tc>
                <w:tcPr/>
                <w:p>
                  <w:pPr>
                    <w:pStyle w:val="Compact"/>
                    <w:jc w:val="center"/>
                  </w:pPr>
                  <w:r>
                    <w:t xml:space="preserve">Nettoexport (Modell)</w:t>
                  </w:r>
                </w:p>
              </w:tc>
              <w:tc>
                <w:tcPr/>
                <w:p>
                  <w:pPr>
                    <w:pStyle w:val="Compact"/>
                    <w:jc w:val="right"/>
                    <w:jc w:val="center"/>
                  </w:pPr>
                  <w:r>
                    <w:t xml:space="preserve">5 PJ/a</w:t>
                  </w:r>
                </w:p>
              </w:tc>
            </w:tr>
          </w:tbl>
          <w:bookmarkEnd w:id="212"/>
          <w:p/>
        </w:tc>
      </w:tr>
    </w:tbl>
    <w:p>
      <w:pPr>
        <w:pStyle w:val="BodyText"/>
      </w:pPr>
      <w:r>
        <w:t xml:space="preserve">Der Modell-Nettoexport beträgt</w:t>
      </w:r>
      <w:r>
        <w:t xml:space="preserve"> </w:t>
      </w:r>
      <w:r>
        <w:rPr>
          <w:b/>
          <w:bCs/>
        </w:rPr>
        <w:t xml:space="preserve">5 statt 7 PJ/a</w:t>
      </w:r>
      <w:r>
        <w:t xml:space="preserve"> </w:t>
      </w:r>
      <w:r>
        <w:t xml:space="preserve">der Quelle. Damit decken 457 PJ Erzeugung die 452 PJ Bedarfskomponenten und 5 PJ Export. Die Überleitung ist in</w:t>
      </w:r>
      <w:r>
        <w:t xml:space="preserve"> </w:t>
      </w:r>
      <w:hyperlink w:anchor="sec-szenariotabellen">
        <w:r>
          <w:rPr>
            <w:rStyle w:val="Hyperlink"/>
          </w:rPr>
          <w:t xml:space="preserve">Anhang A</w:t>
        </w:r>
      </w:hyperlink>
      <w:r>
        <w:t xml:space="preserve"> </w:t>
      </w:r>
      <w:r>
        <w:t xml:space="preserve">dokumentiert; die Quelldaten bleiben unverändert.</w:t>
      </w:r>
    </w:p>
    <w:tbl>
      <w:tblPr>
        <w:tblStyle w:val="Table"/>
        <w:tblW w:type="pct" w:w="5000"/>
        <w:tblLayout w:type="fixed"/>
        <w:tblLook w:firstRow="0" w:lastRow="0" w:firstColumn="0" w:lastColumn="0" w:noHBand="0" w:noVBand="0" w:val="0000"/>
      </w:tblPr>
      <w:tblGrid>
        <w:gridCol w:w="7920"/>
      </w:tblGrid>
      <w:tr>
        <w:tc>
          <w:tcPr/>
          <w:bookmarkStart w:id="214" w:name="fig-allokation-restdeckung"/>
          <w:p>
            <w:pPr>
              <w:jc w:val="center"/>
            </w:pPr>
            <w:pPr>
              <w:jc w:val="left"/>
              <w:spacing w:before="200"/>
              <w:pStyle w:val="ImageCaption"/>
            </w:pPr>
            <w:r>
              <w:t xml:space="preserve">Abbildung 11.1: Von 308 PJ/a zentraler Erzeugung verbleiben nach 259 PJ Vorrangbedarfen und 18 PJ ÖPNV</w:t>
            </w:r>
            <w:r>
              <w:t xml:space="preserve"> </w:t>
            </w:r>
            <w:r>
              <w:rPr>
                <w:b/>
                <w:bCs/>
              </w:rPr>
              <w:t xml:space="preserve">31 PJ/a Restdeckung</w:t>
            </w:r>
            <w:r>
              <w:t xml:space="preserve">. Mengen nach Transition 2040, Export gemäß Modellannahme</w:t>
            </w:r>
            <w:r>
              <w:t xml:space="preserve"> </w:t>
            </w:r>
            <w:r>
              <w:t xml:space="preserve">(Umweltbundesamt 2024, Tab. 15–16)</w:t>
            </w:r>
            <w:r>
              <w:t xml:space="preserve">.</w:t>
            </w:r>
            <w:r>
              <w:t xml:space="preserve"> </w:t>
            </w:r>
            <w:hyperlink r:id="rId213">
              <w:r>
                <w:rPr>
                  <w:rStyle w:val="Hyperlink"/>
                </w:rPr>
                <w:t xml:space="preserve">Grafik separat öffnen</w:t>
              </w:r>
            </w:hyperlink>
            <w:r>
              <w:t xml:space="preserve">.</w:t>
            </w:r>
          </w:p>
          <w:bookmarkEnd w:id="214"/>
        </w:tc>
      </w:tr>
    </w:tbl>
    <w:p>
      <w:pPr>
        <w:pStyle w:val="BodyText"/>
      </w:pPr>
      <w:r>
        <w:t xml:space="preserve">Im Referenzfall gilt damit:</w:t>
      </w:r>
      <w:r>
        <w:t xml:space="preserve"> </w:t>
      </w:r>
      <w:r>
        <w:rPr>
          <w:b/>
          <w:bCs/>
        </w:rPr>
        <w:t xml:space="preserve">108 + 72 = 149 + 31 = 180 PJ/a</w:t>
      </w:r>
      <w:r>
        <w:t xml:space="preserve">. Der Gebäude-PV-Überschuss von 41 PJ/a und die Restdeckung von 31 PJ/a decken gemeinsam die 72 PJ/a MIV.</w:t>
      </w:r>
    </w:p>
    <w:bookmarkEnd w:id="215"/>
    <w:bookmarkStart w:id="218" w:name="sec-allokation-ergebnisse"/>
    <w:p>
      <w:pPr>
        <w:pStyle w:val="Heading2"/>
      </w:pPr>
      <w:r>
        <w:t xml:space="preserve">11.3 Varianten und Stellschrauben</w:t>
      </w:r>
    </w:p>
    <w:p>
      <w:pPr>
        <w:pStyle w:val="FirstParagraph"/>
      </w:pPr>
      <w:r>
        <w:t xml:space="preserve">Mit</w:t>
      </w:r>
      <w:r>
        <w:t xml:space="preserve"> </w:t>
      </w:r>
      <m:oMath>
        <m:r>
          <m:t>f</m:t>
        </m:r>
      </m:oMath>
      <w:r>
        <w:t xml:space="preserve"> </w:t>
      </w:r>
      <w:r>
        <w:t xml:space="preserve">als Freiflächenanteil der PV und</w:t>
      </w:r>
      <w:r>
        <w:t xml:space="preserve"> </w:t>
      </w:r>
      <m:oMath>
        <m:r>
          <m:t>m</m:t>
        </m:r>
      </m:oMath>
      <w:r>
        <w:t xml:space="preserve"> </w:t>
      </w:r>
      <w:r>
        <w:t xml:space="preserve">als MIV-Anteil am Verkehrsbedarf gilt:</w:t>
      </w:r>
    </w:p>
    <w:p>
      <w:pPr>
        <w:pStyle w:val="BodyText"/>
      </w:pPr>
      <m:oMathPara>
        <m:oMathParaPr>
          <m:jc m:val="center"/>
        </m:oMathParaPr>
        <m:oMath>
          <m:r>
            <m:t>R</m:t>
          </m:r>
          <m:r>
            <m:rPr>
              <m:sty m:val="p"/>
            </m:rPr>
            <m:t>=</m:t>
          </m:r>
          <m:r>
            <m:t>90</m:t>
          </m:r>
          <m:r>
            <m:t>m</m:t>
          </m:r>
          <m:r>
            <m:rPr>
              <m:sty m:val="p"/>
            </m:rPr>
            <m:t>−</m:t>
          </m:r>
          <m:r>
            <m:t>41</m:t>
          </m:r>
          <m:r>
            <m:rPr>
              <m:sty m:val="p"/>
            </m:rPr>
            <m:t>+</m:t>
          </m:r>
          <m:r>
            <m:t>149</m:t>
          </m:r>
          <m:r>
            <m:t>f</m:t>
          </m:r>
          <m:r>
            <m:rPr>
              <m:sty m:val="p"/>
            </m:rPr>
            <m:t>.</m:t>
          </m:r>
        </m:oMath>
      </m:oMathPara>
    </w:p>
    <w:p>
      <w:pPr>
        <w:pStyle w:val="FirstParagraph"/>
      </w:pPr>
      <w:r>
        <w:t xml:space="preserve">Mehr Freiflächen-PV verschiebt Deckung von Gebäude-PV zu zentralen Großkraftwerken. Ein anderer MIV-Anteil verändert Bedarf und zugeordnete Restdeckung gleich stark. Die gemeinsame Top-Down-Bilanz bleibt geschlossen.</w:t>
      </w:r>
    </w:p>
    <w:tbl>
      <w:tblPr>
        <w:tblStyle w:val="Table"/>
        <w:tblW w:type="pct" w:w="5000"/>
        <w:tblLayout w:type="fixed"/>
        <w:tblLook w:firstRow="0" w:lastRow="0" w:firstColumn="0" w:lastColumn="0" w:noHBand="0" w:noVBand="0" w:val="0000"/>
      </w:tblPr>
      <w:tblGrid>
        <w:gridCol w:w="7920"/>
      </w:tblGrid>
      <w:tr>
        <w:tc>
          <w:tcPr/>
          <w:bookmarkStart w:id="217" w:name="fig-allokation-deckung"/>
          <w:p>
            <w:pPr>
              <w:jc w:val="center"/>
            </w:pPr>
            <w:pPr>
              <w:jc w:val="left"/>
              <w:spacing w:before="200"/>
              <w:pStyle w:val="ImageCaption"/>
            </w:pPr>
            <w:r>
              <w:t xml:space="preserve">Abbildung 11.2: Bedarf und Deckung je Variante, in PJ Strom/a. Bei negativem zentralem Rest ist der aus Gebäude-PV zu deckende zentrale Fehlbetrag bedarfsseitig gesondert ausgewiesen.</w:t>
            </w:r>
            <w:r>
              <w:t xml:space="preserve"> </w:t>
            </w:r>
            <w:hyperlink r:id="rId216">
              <w:r>
                <w:rPr>
                  <w:rStyle w:val="Hyperlink"/>
                </w:rPr>
                <w:t xml:space="preserve">Grafik separat öffnen</w:t>
              </w:r>
            </w:hyperlink>
            <w:r>
              <w:t xml:space="preserve">.</w:t>
            </w:r>
          </w:p>
          <w:bookmarkEnd w:id="217"/>
        </w:tc>
      </w:tr>
    </w:tbl>
    <w:p>
      <w:pPr>
        <w:pStyle w:val="BodyText"/>
      </w:pPr>
      <w:r>
        <w:t xml:space="preserve">Die vollständigen Variantentabellen und Bilanzkontrollen stehen in</w:t>
      </w:r>
      <w:r>
        <w:t xml:space="preserve"> </w:t>
      </w:r>
      <w:hyperlink w:anchor="sec-allokation-notebook">
        <w:r>
          <w:rPr>
            <w:rStyle w:val="Hyperlink"/>
          </w:rPr>
          <w:t xml:space="preserve">Anhang F</w:t>
        </w:r>
      </w:hyperlink>
      <w:r>
        <w:t xml:space="preserve">.</w:t>
      </w:r>
    </w:p>
    <w:bookmarkEnd w:id="218"/>
    <w:bookmarkStart w:id="219" w:name="Xcb11340282e11bc9babf9c1f70e788f80ec9974"/>
    <w:p>
      <w:pPr>
        <w:pStyle w:val="Heading2"/>
      </w:pPr>
      <w:r>
        <w:t xml:space="preserve">11.4 Übergang zur Gebäude- und Quartiersbewertung</w:t>
      </w:r>
    </w:p>
    <w:p>
      <w:pPr>
        <w:pStyle w:val="FirstParagraph"/>
      </w:pPr>
      <w:r>
        <w:t xml:space="preserve">Das Gebäudesektormodell wird mit derselben Restdeckung und demselben MIV-Bedarf verglichen. Sein Abstand zum Top-Down-Ziel bleibt</w:t>
      </w:r>
      <w:r>
        <w:t xml:space="preserve"> </w:t>
      </w:r>
      <w:r>
        <w:rPr>
          <w:b/>
          <w:bCs/>
        </w:rPr>
        <w:t xml:space="preserve">−100,25 PJ/a</w:t>
      </w:r>
      <w:r>
        <w:t xml:space="preserve">; er ergibt sich aus höherem Gebäudebedarf und geringerer PV-Erzeugung (</w:t>
      </w:r>
      <w:hyperlink w:anchor="sec-gebaeudebestand">
        <w:r>
          <w:rPr>
            <w:rStyle w:val="Hyperlink"/>
          </w:rPr>
          <w:t xml:space="preserve">Kapitel 12</w:t>
        </w:r>
      </w:hyperlink>
      <w:r>
        <w:t xml:space="preserve">).</w:t>
      </w:r>
    </w:p>
    <w:p>
      <w:pPr>
        <w:pStyle w:val="BodyText"/>
      </w:pPr>
      <w:r>
        <w:t xml:space="preserve">Die zentrale Restdeckung bildet die Grundlage für die nutzungsbezogene Mobilitätsgutschrift auf Quartiersebene (</w:t>
      </w:r>
      <w:hyperlink w:anchor="sec-kontext-mobilitaet">
        <w:r>
          <w:rPr>
            <w:rStyle w:val="Hyperlink"/>
          </w:rPr>
          <w:t xml:space="preserve">Kapitel 14</w:t>
        </w:r>
      </w:hyperlink>
      <w:r>
        <w:t xml:space="preserve">). Die Umrechnung in Primärenergie benötigt den dokumentierten Faktorensatz; die hier berechneten 31 PJ/a sind elektrische Energie. Die Dichte- und Typologiekalibrierung folgt in</w:t>
      </w:r>
      <w:r>
        <w:t xml:space="preserve"> </w:t>
      </w:r>
      <w:hyperlink w:anchor="sec-kalibrierung">
        <w:r>
          <w:rPr>
            <w:rStyle w:val="Hyperlink"/>
          </w:rPr>
          <w:t xml:space="preserve">Kapitel 13</w:t>
        </w:r>
      </w:hyperlink>
      <w:r>
        <w:t xml:space="preserve">.</w:t>
      </w:r>
    </w:p>
    <w:bookmarkEnd w:id="219"/>
    <w:bookmarkEnd w:id="220"/>
    <w:bookmarkStart w:id="251" w:name="sec-gebaeudebestand"/>
    <w:p>
      <w:pPr>
        <w:pStyle w:val="Heading1"/>
      </w:pPr>
      <w:r>
        <w:t xml:space="preserve">12. Gebäudebestand und Entwicklungsszenario 2040</w:t>
      </w:r>
    </w:p>
    <w:p>
      <w:pPr>
        <w:pStyle w:val="FirstParagraph"/>
      </w:pPr>
      <w:r>
        <w:t xml:space="preserve">Gebäudetypologien, nationale Flächen und GFZ-Verteilungen als Bottom-up-Grundlage der PEQ-Kalibrierung</w:t>
      </w:r>
    </w:p>
    <w:p>
      <w:pPr>
        <w:pStyle w:val="BodyText"/>
      </w:pPr>
      <w:r>
        <w:t xml:space="preserve">Das Gebäudesektormodell verknüpft die Flächenstruktur des Zieljahres 2040 mit den energetischen Kennwerten der Gebäudetypen und ihren Dichteverteilungen. Es bildet die Bottom-up-Seite zur sektoralen Allokation in</w:t>
      </w:r>
      <w:r>
        <w:t xml:space="preserve"> </w:t>
      </w:r>
      <w:hyperlink w:anchor="sec-allokation">
        <w:r>
          <w:rPr>
            <w:rStyle w:val="Hyperlink"/>
          </w:rPr>
          <w:t xml:space="preserve">Kapitel 11</w:t>
        </w:r>
      </w:hyperlink>
      <w:r>
        <w:t xml:space="preserve">. Die Auswertung des Pools ergibt</w:t>
      </w:r>
      <w:r>
        <w:t xml:space="preserve"> </w:t>
      </w:r>
      <w:r>
        <w:rPr>
          <w:b/>
          <w:bCs/>
        </w:rPr>
        <w:t xml:space="preserve">137,49 PJ/a Strombedarf</w:t>
      </w:r>
      <w:r>
        <w:t xml:space="preserve">,</w:t>
      </w:r>
      <w:r>
        <w:t xml:space="preserve"> </w:t>
      </w:r>
      <w:r>
        <w:rPr>
          <w:b/>
          <w:bCs/>
        </w:rPr>
        <w:t xml:space="preserve">78,25 PJ/a PV-Erzeugung</w:t>
      </w:r>
      <w:r>
        <w:t xml:space="preserve"> </w:t>
      </w:r>
      <w:r>
        <w:t xml:space="preserve">und einen</w:t>
      </w:r>
      <w:r>
        <w:t xml:space="preserve"> </w:t>
      </w:r>
      <w:r>
        <w:rPr>
          <w:b/>
          <w:bCs/>
        </w:rPr>
        <w:t xml:space="preserve">betrieblichen Stromsaldo von −59,25 PJ/a</w:t>
      </w:r>
      <w:r>
        <w:t xml:space="preserve">. Diese Zahlen beschreiben den gelieferten Szenariostand. Der Abgleich mit UBA Transition zeigt den Szenarioabstand.</w:t>
      </w:r>
    </w:p>
    <w:p>
      <w:pPr>
        <w:pStyle w:val="BodyText"/>
      </w:pPr>
      <w:r>
        <w:t xml:space="preserve">Die vollständige Herleitung, Eingabetabellen, Formeln und Bilanzprüfungen stehen im ausführbaren Anhang</w:t>
      </w:r>
      <w:r>
        <w:t xml:space="preserve"> </w:t>
      </w:r>
      <w:hyperlink w:anchor="sec-gebaeudesektormodell">
        <w:r>
          <w:rPr>
            <w:rStyle w:val="Hyperlink"/>
          </w:rPr>
          <w:t xml:space="preserve">Anhang H</w:t>
        </w:r>
      </w:hyperlink>
      <w:r>
        <w:t xml:space="preserve">. Die Berechnungen sind unmittelbar in dessen Notebook-Zellen enthalten.</w:t>
      </w:r>
    </w:p>
    <w:bookmarkStart w:id="221" w:name="Xe4811d536d15131d292aaedbed8c98d201c28ec"/>
    <w:p>
      <w:pPr>
        <w:pStyle w:val="Heading2"/>
      </w:pPr>
      <w:r>
        <w:t xml:space="preserve">12.1 Datenbasis, Flächenbegriffe und Bezugsjahre</w:t>
      </w:r>
    </w:p>
    <w:p>
      <w:pPr>
        <w:pStyle w:val="FirstParagraph"/>
      </w:pPr>
      <w:r>
        <w:t xml:space="preserve">Grundlage ist</w:t>
      </w:r>
      <w:r>
        <w:t xml:space="preserve"> </w:t>
      </w:r>
      <w:r>
        <w:rPr>
          <w:rStyle w:val="VerbatimChar"/>
        </w:rPr>
        <w:t xml:space="preserve">Building-Sector_Pool 1.xlsx</w:t>
      </w:r>
      <w:r>
        <w:t xml:space="preserve">, einschließlich der am 23.10.2026 ergänzten GFZ-Anteile. Das Blatt</w:t>
      </w:r>
      <w:r>
        <w:t xml:space="preserve"> </w:t>
      </w:r>
      <w:r>
        <w:rPr>
          <w:rStyle w:val="VerbatimChar"/>
        </w:rPr>
        <w:t xml:space="preserve">Strombed_estim</w:t>
      </w:r>
      <w:r>
        <w:t xml:space="preserve"> </w:t>
      </w:r>
      <w:r>
        <w:t xml:space="preserve">enthält die maßgeblichen Flächen- und Energiekennwerte,</w:t>
      </w:r>
      <w:r>
        <w:t xml:space="preserve"> </w:t>
      </w:r>
      <w:r>
        <w:rPr>
          <w:rStyle w:val="VerbatimChar"/>
        </w:rPr>
        <w:t xml:space="preserve">zuordnung_gfz</w:t>
      </w:r>
      <w:r>
        <w:t xml:space="preserve"> </w:t>
      </w:r>
      <w:r>
        <w:t xml:space="preserve">die Zuordnung nach Nutzung und Geschoßklasse. Das Simulationsblatt</w:t>
      </w:r>
      <w:r>
        <w:t xml:space="preserve"> </w:t>
      </w:r>
      <w:r>
        <w:rPr>
          <w:rStyle w:val="VerbatimChar"/>
        </w:rPr>
        <w:t xml:space="preserve">Tabelle2</w:t>
      </w:r>
      <w:r>
        <w:t xml:space="preserve"> </w:t>
      </w:r>
      <w:r>
        <w:t xml:space="preserve">liefert Einheiten und ergänzende Anwendungen. Alle 900 Archetypenschlüssel sind eindeutig und lassen sich vollständig mit den Simulationsergebnissen verbinden. Die gespeicherten Kennwerte stimmen mit den im Kennwertblatt referenzierten Simulationswerten überein; eine erneute PEExcel-Simulation ist damit nicht verbunden.</w:t>
      </w:r>
    </w:p>
    <w:p>
      <w:pPr>
        <w:pStyle w:val="BodyText"/>
      </w:pPr>
      <w:r>
        <w:t xml:space="preserve">Die nationale Flächensumme beträgt</w:t>
      </w:r>
      <w:r>
        <w:t xml:space="preserve"> </w:t>
      </w:r>
      <w:r>
        <w:rPr>
          <w:b/>
          <w:bCs/>
        </w:rPr>
        <w:t xml:space="preserve">1.126,579 Mio. m² BGF für 2040</w:t>
      </w:r>
      <w:r>
        <w:t xml:space="preserve">, gegenüber</w:t>
      </w:r>
      <w:r>
        <w:t xml:space="preserve"> </w:t>
      </w:r>
      <w:r>
        <w:rPr>
          <w:b/>
          <w:bCs/>
        </w:rPr>
        <w:t xml:space="preserve">1.112,341 Mio. m² BGF</w:t>
      </w:r>
      <w:r>
        <w:t xml:space="preserve"> </w:t>
      </w:r>
      <w:r>
        <w:t xml:space="preserve">in der Quellspalte „heute“. Deren konkretes Bezugsjahr ist nicht bestätigt. Sie wird deshalb nicht mit 2020 gleichgesetzt. Die Energiekennwerte beziehen sich laut Simulationsblatt auf</w:t>
      </w:r>
      <w:r>
        <w:t xml:space="preserve"> </w:t>
      </w:r>
      <w:r>
        <w:rPr>
          <w:b/>
          <w:bCs/>
        </w:rPr>
        <w:t xml:space="preserve">NGF</w:t>
      </w:r>
      <w:r>
        <w:t xml:space="preserve">. Für die Aggregation gilt die aus der bestehenden GFZ-Analyse übernommene einheitliche Modellannahme:</w:t>
      </w:r>
    </w:p>
    <w:p>
      <w:pPr>
        <w:pStyle w:val="BodyText"/>
      </w:pPr>
      <m:oMathPara>
        <m:oMathParaPr>
          <m:jc m:val="center"/>
        </m:oMathParaPr>
        <m:oMath>
          <m:sSub>
            <m:e>
              <m:r>
                <m:t>A</m:t>
              </m:r>
            </m:e>
            <m:sub>
              <m:r>
                <m:t>N</m:t>
              </m:r>
              <m:r>
                <m:t>G</m:t>
              </m:r>
              <m:r>
                <m:t>F</m:t>
              </m:r>
              <m:r>
                <m:rPr>
                  <m:sty m:val="p"/>
                </m:rPr>
                <m:t>,</m:t>
              </m:r>
              <m:r>
                <m:t>k</m:t>
              </m:r>
              <m:r>
                <m:rPr>
                  <m:sty m:val="p"/>
                </m:rPr>
                <m:t>,</m:t>
              </m:r>
              <m:r>
                <m:t>y</m:t>
              </m:r>
            </m:sub>
          </m:sSub>
          <m:r>
            <m:rPr>
              <m:sty m:val="p"/>
            </m:rPr>
            <m:t>=</m:t>
          </m:r>
          <m:r>
            <m:t>0</m:t>
          </m:r>
          <m:r>
            <m:rPr>
              <m:sty m:val="p"/>
            </m:rPr>
            <m:t>,</m:t>
          </m:r>
          <m:r>
            <m:t>8</m:t>
          </m:r>
          <m:r>
            <m:t> </m:t>
          </m:r>
          <m:sSub>
            <m:e>
              <m:r>
                <m:t>A</m:t>
              </m:r>
            </m:e>
            <m:sub>
              <m:r>
                <m:t>B</m:t>
              </m:r>
              <m:r>
                <m:t>G</m:t>
              </m:r>
              <m:r>
                <m:t>F</m:t>
              </m:r>
              <m:r>
                <m:rPr>
                  <m:sty m:val="p"/>
                </m:rPr>
                <m:t>,</m:t>
              </m:r>
              <m:r>
                <m:t>k</m:t>
              </m:r>
              <m:r>
                <m:rPr>
                  <m:sty m:val="p"/>
                </m:rPr>
                <m:t>,</m:t>
              </m:r>
              <m:r>
                <m:t>y</m:t>
              </m:r>
            </m:sub>
          </m:sSub>
          <m:r>
            <m:rPr>
              <m:sty m:val="p"/>
            </m:rPr>
            <m:t>.</m:t>
          </m:r>
        </m:oMath>
      </m:oMathPara>
    </w:p>
    <w:p>
      <w:pPr>
        <w:pStyle w:val="FirstParagraph"/>
      </w:pPr>
      <w:r>
        <w:t xml:space="preserve">Für 2040 folgen daraus 901,263 Mio. m² NGF. Der Flächenfaktor ist für alle Typen einheitlich. Es erfolgt keine Skalierung auf die GFZ-Bestandsfläche von 1.058,935 Mio. m² BGF oder auf die separate Flächenannahme der THG-Allokation. Diese Größen haben unterschiedliche Grundlagen.</w:t>
      </w:r>
    </w:p>
    <w:p>
      <w:pPr>
        <w:pStyle w:val="BodyText"/>
      </w:pPr>
      <w:r>
        <w:t xml:space="preserve">Das ältere Blatt</w:t>
      </w:r>
      <w:r>
        <w:t xml:space="preserve"> </w:t>
      </w:r>
      <w:r>
        <w:rPr>
          <w:rStyle w:val="VerbatimChar"/>
        </w:rPr>
        <w:t xml:space="preserve">reduced</w:t>
      </w:r>
      <w:r>
        <w:t xml:space="preserve"> </w:t>
      </w:r>
      <w:r>
        <w:t xml:space="preserve">enthält 696,615 Mio. m² NGF, 486 positiv gewichtete Varianten, 264 echte Nullwerte und 6.450 leere Flächenfelder. Im neuen Kennwertblatt sind 603 Typen für 2040 positiv gewichtet und 297 explizit null; Flächenwerte fehlen dort nicht. Die unterschiedlichen Flächenbezüge, Variantenabdeckungen und Summen werden in</w:t>
      </w:r>
      <w:r>
        <w:t xml:space="preserve"> </w:t>
      </w:r>
      <w:hyperlink w:anchor="sec-gebaeude-flaechen">
        <w:r>
          <w:rPr>
            <w:rStyle w:val="Hyperlink"/>
          </w:rPr>
          <w:t xml:space="preserve">Kapitel H.3</w:t>
        </w:r>
      </w:hyperlink>
      <w:r>
        <w:t xml:space="preserve"> </w:t>
      </w:r>
      <w:r>
        <w:t xml:space="preserve">verglichen. Der ältere Datensatz wird nicht als additive Fläche oder Ersatzgewichtung verwendet.</w:t>
      </w:r>
      <w:r>
        <w:t xml:space="preserve"> </w:t>
      </w:r>
      <w:r>
        <w:rPr>
          <w:rStyle w:val="VerbatimChar"/>
        </w:rPr>
        <w:t xml:space="preserve">save</w:t>
      </w:r>
      <w:r>
        <w:t xml:space="preserve"> </w:t>
      </w:r>
      <w:r>
        <w:t xml:space="preserve">ist ein zusätzlicher Projekt-/Presetstand und keine nationale Flächenbilanz.</w:t>
      </w:r>
    </w:p>
    <w:bookmarkEnd w:id="221"/>
    <w:bookmarkStart w:id="223" w:name="sec-gebaeudetypologien"/>
    <w:p>
      <w:pPr>
        <w:pStyle w:val="Heading2"/>
      </w:pPr>
      <w:r>
        <w:t xml:space="preserve">12.2 Energetische Gebäudetypologien 2040</w:t>
      </w:r>
    </w:p>
    <w:p>
      <w:pPr>
        <w:pStyle w:val="FirstParagraph"/>
      </w:pPr>
      <w:r>
        <w:t xml:space="preserve">Der vollständige Typenschlüssel kombiniert</w:t>
      </w:r>
      <w:r>
        <w:t xml:space="preserve"> </w:t>
      </w:r>
      <w:r>
        <w:rPr>
          <w:b/>
          <w:bCs/>
        </w:rPr>
        <w:t xml:space="preserve">Geometrie, Baualter beziehungsweise Hüllstandard, Wärmeversorgung, PV-Ausstattung und Flexibilität</w:t>
      </w:r>
      <w:r>
        <w:t xml:space="preserve">. Die zehn Geometrieklassen sind daher nicht mit zehn energetischen Klassen gleichzusetzen. Der ausgewertete Bestand umfasst neun Baualters-/Hüllcodes und zehn Wärmeversorgungsvarianten. Alle 900 simulierten Typen tragen die Variante</w:t>
      </w:r>
      <w:r>
        <w:t xml:space="preserve"> </w:t>
      </w:r>
      <w:r>
        <w:rPr>
          <w:rStyle w:val="VerbatimChar"/>
        </w:rPr>
        <w:t xml:space="preserve">PV30|noFlex</w:t>
      </w:r>
      <w:r>
        <w:t xml:space="preserve">; die übrigen PV-/Flexibilitätsvarianten des 7.200 Szenarien umfassenden Gesamtpools erhalten keine ungeprüft übertragenen Kennwerte.</w:t>
      </w:r>
    </w:p>
    <w:p>
      <w:pPr>
        <w:pStyle w:val="BodyText"/>
      </w:pPr>
      <w:r>
        <w:rPr>
          <w:rStyle w:val="VerbatimChar"/>
        </w:rPr>
        <w:t xml:space="preserve">Neu_10cm</w:t>
      </w:r>
      <w:r>
        <w:t xml:space="preserve">,</w:t>
      </w:r>
      <w:r>
        <w:t xml:space="preserve"> </w:t>
      </w:r>
      <w:r>
        <w:rPr>
          <w:rStyle w:val="VerbatimChar"/>
        </w:rPr>
        <w:t xml:space="preserve">Neu_20cm</w:t>
      </w:r>
      <w:r>
        <w:t xml:space="preserve"> </w:t>
      </w:r>
      <w:r>
        <w:t xml:space="preserve">und</w:t>
      </w:r>
      <w:r>
        <w:t xml:space="preserve"> </w:t>
      </w:r>
      <w:r>
        <w:rPr>
          <w:rStyle w:val="VerbatimChar"/>
        </w:rPr>
        <w:t xml:space="preserve">Neu_30cm</w:t>
      </w:r>
      <w:r>
        <w:t xml:space="preserve"> </w:t>
      </w:r>
      <w:r>
        <w:t xml:space="preserve">bezeichnen Hüllcodes. Die Zugehörigkeit zu Bestand, Neubau oder Sanierung folgt den separat gelieferten Anteilen, nicht allein dem Wort „Neu“. Das Feld „Energetischer Standard“ ist noch leer. Auch eine PEQ-Presetbezeichnung oder ein positiver Stromsaldo belegt für sich keine PEQ-Konformität.</w:t>
      </w:r>
    </w:p>
    <w:tbl>
      <w:tblPr>
        <w:tblStyle w:val="Table"/>
        <w:tblW w:type="pct" w:w="5000"/>
        <w:tblLayout w:type="fixed"/>
        <w:tblLook w:firstRow="0" w:lastRow="0" w:firstColumn="0" w:lastColumn="0" w:noHBand="0" w:noVBand="0" w:val="0000"/>
      </w:tblPr>
      <w:tblGrid>
        <w:gridCol w:w="7920"/>
      </w:tblGrid>
      <w:tr>
        <w:tc>
          <w:tcPr/>
          <w:bookmarkStart w:id="222" w:name="tbl-gebaeude-typologien"/>
          <w:p>
            <w:pPr>
              <w:jc w:val="center"/>
            </w:pPr>
            <w:pPr>
              <w:jc w:val="left"/>
              <w:spacing w:before="200"/>
              <w:pStyle w:val="ImageCaption"/>
            </w:pPr>
            <w:r>
              <w:t xml:space="preserve">Tabelle 12.1: Gelieferte Flächen und BGF-gewichtete Dichte-Erwartungswerte. Heute: Bezugsjahr offen; Dichtefunktion in elektrischer Energie.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Geometrie</w:t>
                  </w:r>
                </w:p>
              </w:tc>
              <w:tc>
                <w:tcPr/>
                <w:p>
                  <w:pPr>
                    <w:pStyle w:val="Compact"/>
                    <w:jc w:val="center"/>
                  </w:pPr>
                  <w:r>
                    <w:t xml:space="preserve">BGF heute [Mio. m²]</w:t>
                  </w:r>
                </w:p>
              </w:tc>
              <w:tc>
                <w:tcPr/>
                <w:p>
                  <w:pPr>
                    <w:pStyle w:val="Compact"/>
                    <w:jc w:val="center"/>
                  </w:pPr>
                  <w:r>
                    <w:t xml:space="preserve">BGF 2040 [Mio. m²]</w:t>
                  </w:r>
                </w:p>
              </w:tc>
              <w:tc>
                <w:tcPr/>
                <w:p>
                  <w:pPr>
                    <w:pStyle w:val="Compact"/>
                    <w:jc w:val="center"/>
                  </w:pPr>
                  <w:r>
                    <w:t xml:space="preserve">GFZ_Mittel</w:t>
                  </w:r>
                </w:p>
              </w:tc>
              <w:tc>
                <w:tcPr/>
                <w:p>
                  <w:pPr>
                    <w:pStyle w:val="Compact"/>
                    <w:jc w:val="center"/>
                  </w:pPr>
                  <w:r>
                    <w:t xml:space="preserve">c_D_EE_BGF</w:t>
                  </w:r>
                </w:p>
              </w:tc>
            </w:tr>
            <w:tr>
              <w:tc>
                <w:tcPr/>
                <w:p>
                  <w:pPr>
                    <w:pStyle w:val="Compact"/>
                    <w:jc w:val="center"/>
                  </w:pPr>
                  <w:r>
                    <w:t xml:space="preserve">EFH_1G</w:t>
                  </w:r>
                </w:p>
              </w:tc>
              <w:tc>
                <w:tcPr/>
                <w:p>
                  <w:pPr>
                    <w:pStyle w:val="Compact"/>
                    <w:jc w:val="center"/>
                  </w:pPr>
                  <w:r>
                    <w:t xml:space="preserve">129,675</w:t>
                  </w:r>
                </w:p>
              </w:tc>
              <w:tc>
                <w:tcPr/>
                <w:p>
                  <w:pPr>
                    <w:pStyle w:val="Compact"/>
                    <w:jc w:val="center"/>
                  </w:pPr>
                  <w:r>
                    <w:t xml:space="preserve">131,047</w:t>
                  </w:r>
                </w:p>
              </w:tc>
              <w:tc>
                <w:tcPr/>
                <w:p>
                  <w:pPr>
                    <w:pStyle w:val="Compact"/>
                    <w:jc w:val="center"/>
                  </w:pPr>
                  <w:r>
                    <w:t xml:space="preserve">0,318</w:t>
                  </w:r>
                </w:p>
              </w:tc>
              <w:tc>
                <w:tcPr/>
                <w:p>
                  <w:pPr>
                    <w:pStyle w:val="Compact"/>
                    <w:jc w:val="center"/>
                  </w:pPr>
                  <w:r>
                    <w:t xml:space="preserve">-41,631</w:t>
                  </w:r>
                </w:p>
              </w:tc>
            </w:tr>
            <w:tr>
              <w:tc>
                <w:tcPr/>
                <w:p>
                  <w:pPr>
                    <w:pStyle w:val="Compact"/>
                    <w:jc w:val="center"/>
                  </w:pPr>
                  <w:r>
                    <w:t xml:space="preserve">EFH_2G</w:t>
                  </w:r>
                </w:p>
              </w:tc>
              <w:tc>
                <w:tcPr/>
                <w:p>
                  <w:pPr>
                    <w:pStyle w:val="Compact"/>
                    <w:jc w:val="center"/>
                  </w:pPr>
                  <w:r>
                    <w:t xml:space="preserve">186,891</w:t>
                  </w:r>
                </w:p>
              </w:tc>
              <w:tc>
                <w:tcPr/>
                <w:p>
                  <w:pPr>
                    <w:pStyle w:val="Compact"/>
                    <w:jc w:val="center"/>
                  </w:pPr>
                  <w:r>
                    <w:t xml:space="preserve">189,492</w:t>
                  </w:r>
                </w:p>
              </w:tc>
              <w:tc>
                <w:tcPr/>
                <w:p>
                  <w:pPr>
                    <w:pStyle w:val="Compact"/>
                    <w:jc w:val="center"/>
                  </w:pPr>
                  <w:r>
                    <w:t xml:space="preserve">0,615</w:t>
                  </w:r>
                </w:p>
              </w:tc>
              <w:tc>
                <w:tcPr/>
                <w:p>
                  <w:pPr>
                    <w:pStyle w:val="Compact"/>
                    <w:jc w:val="center"/>
                  </w:pPr>
                  <w:r>
                    <w:t xml:space="preserve">-22,798</w:t>
                  </w:r>
                </w:p>
              </w:tc>
            </w:tr>
            <w:tr>
              <w:tc>
                <w:tcPr/>
                <w:p>
                  <w:pPr>
                    <w:pStyle w:val="Compact"/>
                    <w:jc w:val="center"/>
                  </w:pPr>
                  <w:r>
                    <w:t xml:space="preserve">GWB_5G</w:t>
                  </w:r>
                </w:p>
              </w:tc>
              <w:tc>
                <w:tcPr/>
                <w:p>
                  <w:pPr>
                    <w:pStyle w:val="Compact"/>
                    <w:jc w:val="center"/>
                  </w:pPr>
                  <w:r>
                    <w:t xml:space="preserve">39,452</w:t>
                  </w:r>
                </w:p>
              </w:tc>
              <w:tc>
                <w:tcPr/>
                <w:p>
                  <w:pPr>
                    <w:pStyle w:val="Compact"/>
                    <w:jc w:val="center"/>
                  </w:pPr>
                  <w:r>
                    <w:t xml:space="preserve">39,941</w:t>
                  </w:r>
                </w:p>
              </w:tc>
              <w:tc>
                <w:tcPr/>
                <w:p>
                  <w:pPr>
                    <w:pStyle w:val="Compact"/>
                    <w:jc w:val="center"/>
                  </w:pPr>
                  <w:r>
                    <w:t xml:space="preserve">2,266</w:t>
                  </w:r>
                </w:p>
              </w:tc>
              <w:tc>
                <w:tcPr/>
                <w:p>
                  <w:pPr>
                    <w:pStyle w:val="Compact"/>
                    <w:jc w:val="center"/>
                  </w:pPr>
                  <w:r>
                    <w:t xml:space="preserve">8,966</w:t>
                  </w:r>
                </w:p>
              </w:tc>
            </w:tr>
            <w:tr>
              <w:tc>
                <w:tcPr/>
                <w:p>
                  <w:pPr>
                    <w:pStyle w:val="Compact"/>
                    <w:jc w:val="center"/>
                  </w:pPr>
                  <w:r>
                    <w:t xml:space="preserve">GWB_7G</w:t>
                  </w:r>
                </w:p>
              </w:tc>
              <w:tc>
                <w:tcPr/>
                <w:p>
                  <w:pPr>
                    <w:pStyle w:val="Compact"/>
                    <w:jc w:val="center"/>
                  </w:pPr>
                  <w:r>
                    <w:t xml:space="preserve">81,032</w:t>
                  </w:r>
                </w:p>
              </w:tc>
              <w:tc>
                <w:tcPr/>
                <w:p>
                  <w:pPr>
                    <w:pStyle w:val="Compact"/>
                    <w:jc w:val="center"/>
                  </w:pPr>
                  <w:r>
                    <w:t xml:space="preserve">82,108</w:t>
                  </w:r>
                </w:p>
              </w:tc>
              <w:tc>
                <w:tcPr/>
                <w:p>
                  <w:pPr>
                    <w:pStyle w:val="Compact"/>
                    <w:jc w:val="center"/>
                  </w:pPr>
                  <w:r>
                    <w:t xml:space="preserve">4,000</w:t>
                  </w:r>
                </w:p>
              </w:tc>
              <w:tc>
                <w:tcPr/>
                <w:p>
                  <w:pPr>
                    <w:pStyle w:val="Compact"/>
                    <w:jc w:val="center"/>
                  </w:pPr>
                  <w:r>
                    <w:t xml:space="preserve">16,440</w:t>
                  </w:r>
                </w:p>
              </w:tc>
            </w:tr>
            <w:tr>
              <w:tc>
                <w:tcPr/>
                <w:p>
                  <w:pPr>
                    <w:pStyle w:val="Compact"/>
                    <w:jc w:val="center"/>
                  </w:pPr>
                  <w:r>
                    <w:t xml:space="preserve">MFH_2G</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offen</w:t>
                  </w:r>
                </w:p>
              </w:tc>
              <w:tc>
                <w:tcPr/>
                <w:p>
                  <w:pPr>
                    <w:pStyle w:val="Compact"/>
                    <w:jc w:val="center"/>
                  </w:pPr>
                  <w:r>
                    <w:t xml:space="preserve">offen</w:t>
                  </w:r>
                </w:p>
              </w:tc>
            </w:tr>
            <w:tr>
              <w:tc>
                <w:tcPr/>
                <w:p>
                  <w:pPr>
                    <w:pStyle w:val="Compact"/>
                    <w:jc w:val="center"/>
                  </w:pPr>
                  <w:r>
                    <w:t xml:space="preserve">MFH_4G</w:t>
                  </w:r>
                </w:p>
              </w:tc>
              <w:tc>
                <w:tcPr/>
                <w:p>
                  <w:pPr>
                    <w:pStyle w:val="Compact"/>
                    <w:jc w:val="center"/>
                  </w:pPr>
                  <w:r>
                    <w:t xml:space="preserve">65,007</w:t>
                  </w:r>
                </w:p>
              </w:tc>
              <w:tc>
                <w:tcPr/>
                <w:p>
                  <w:pPr>
                    <w:pStyle w:val="Compact"/>
                    <w:jc w:val="center"/>
                  </w:pPr>
                  <w:r>
                    <w:t xml:space="preserve">65,865</w:t>
                  </w:r>
                </w:p>
              </w:tc>
              <w:tc>
                <w:tcPr/>
                <w:p>
                  <w:pPr>
                    <w:pStyle w:val="Compact"/>
                    <w:jc w:val="center"/>
                  </w:pPr>
                  <w:r>
                    <w:t xml:space="preserve">1,541</w:t>
                  </w:r>
                </w:p>
              </w:tc>
              <w:tc>
                <w:tcPr/>
                <w:p>
                  <w:pPr>
                    <w:pStyle w:val="Compact"/>
                    <w:jc w:val="center"/>
                  </w:pPr>
                  <w:r>
                    <w:t xml:space="preserve">1,432</w:t>
                  </w:r>
                </w:p>
              </w:tc>
            </w:tr>
            <w:tr>
              <w:tc>
                <w:tcPr/>
                <w:p>
                  <w:pPr>
                    <w:pStyle w:val="Compact"/>
                    <w:jc w:val="center"/>
                  </w:pPr>
                  <w:r>
                    <w:t xml:space="preserve">NiWo_1G</w:t>
                  </w:r>
                </w:p>
              </w:tc>
              <w:tc>
                <w:tcPr/>
                <w:p>
                  <w:pPr>
                    <w:pStyle w:val="Compact"/>
                    <w:jc w:val="center"/>
                  </w:pPr>
                  <w:r>
                    <w:t xml:space="preserve">90,878</w:t>
                  </w:r>
                </w:p>
              </w:tc>
              <w:tc>
                <w:tcPr/>
                <w:p>
                  <w:pPr>
                    <w:pStyle w:val="Compact"/>
                    <w:jc w:val="center"/>
                  </w:pPr>
                  <w:r>
                    <w:t xml:space="preserve">92,026</w:t>
                  </w:r>
                </w:p>
              </w:tc>
              <w:tc>
                <w:tcPr/>
                <w:p>
                  <w:pPr>
                    <w:pStyle w:val="Compact"/>
                    <w:jc w:val="center"/>
                  </w:pPr>
                  <w:r>
                    <w:t xml:space="preserve">0,491</w:t>
                  </w:r>
                </w:p>
              </w:tc>
              <w:tc>
                <w:tcPr/>
                <w:p>
                  <w:pPr>
                    <w:pStyle w:val="Compact"/>
                    <w:jc w:val="center"/>
                  </w:pPr>
                  <w:r>
                    <w:t xml:space="preserve">-29,353</w:t>
                  </w:r>
                </w:p>
              </w:tc>
            </w:tr>
            <w:tr>
              <w:tc>
                <w:tcPr/>
                <w:p>
                  <w:pPr>
                    <w:pStyle w:val="Compact"/>
                    <w:jc w:val="center"/>
                  </w:pPr>
                  <w:r>
                    <w:t xml:space="preserve">NiWo_2G</w:t>
                  </w:r>
                </w:p>
              </w:tc>
              <w:tc>
                <w:tcPr/>
                <w:p>
                  <w:pPr>
                    <w:pStyle w:val="Compact"/>
                    <w:jc w:val="center"/>
                  </w:pPr>
                  <w:r>
                    <w:t xml:space="preserve">138,179</w:t>
                  </w:r>
                </w:p>
              </w:tc>
              <w:tc>
                <w:tcPr/>
                <w:p>
                  <w:pPr>
                    <w:pStyle w:val="Compact"/>
                    <w:jc w:val="center"/>
                  </w:pPr>
                  <w:r>
                    <w:t xml:space="preserve">139,840</w:t>
                  </w:r>
                </w:p>
              </w:tc>
              <w:tc>
                <w:tcPr/>
                <w:p>
                  <w:pPr>
                    <w:pStyle w:val="Compact"/>
                    <w:jc w:val="center"/>
                  </w:pPr>
                  <w:r>
                    <w:t xml:space="preserve">0,875</w:t>
                  </w:r>
                </w:p>
              </w:tc>
              <w:tc>
                <w:tcPr/>
                <w:p>
                  <w:pPr>
                    <w:pStyle w:val="Compact"/>
                    <w:jc w:val="center"/>
                  </w:pPr>
                  <w:r>
                    <w:t xml:space="preserve">-13,124</w:t>
                  </w:r>
                </w:p>
              </w:tc>
            </w:tr>
            <w:tr>
              <w:tc>
                <w:tcPr/>
                <w:p>
                  <w:pPr>
                    <w:pStyle w:val="Compact"/>
                    <w:jc w:val="center"/>
                  </w:pPr>
                  <w:r>
                    <w:t xml:space="preserve">NiWo_3G</w:t>
                  </w:r>
                </w:p>
              </w:tc>
              <w:tc>
                <w:tcPr/>
                <w:p>
                  <w:pPr>
                    <w:pStyle w:val="Compact"/>
                    <w:jc w:val="center"/>
                  </w:pPr>
                  <w:r>
                    <w:t xml:space="preserve">194,334</w:t>
                  </w:r>
                </w:p>
              </w:tc>
              <w:tc>
                <w:tcPr/>
                <w:p>
                  <w:pPr>
                    <w:pStyle w:val="Compact"/>
                    <w:jc w:val="center"/>
                  </w:pPr>
                  <w:r>
                    <w:t xml:space="preserve">196,767</w:t>
                  </w:r>
                </w:p>
              </w:tc>
              <w:tc>
                <w:tcPr/>
                <w:p>
                  <w:pPr>
                    <w:pStyle w:val="Compact"/>
                    <w:jc w:val="center"/>
                  </w:pPr>
                  <w:r>
                    <w:t xml:space="preserve">2,183</w:t>
                  </w:r>
                </w:p>
              </w:tc>
              <w:tc>
                <w:tcPr/>
                <w:p>
                  <w:pPr>
                    <w:pStyle w:val="Compact"/>
                    <w:jc w:val="center"/>
                  </w:pPr>
                  <w:r>
                    <w:t xml:space="preserve">3,924</w:t>
                  </w:r>
                </w:p>
              </w:tc>
            </w:tr>
            <w:tr>
              <w:tc>
                <w:tcPr/>
                <w:p>
                  <w:pPr>
                    <w:pStyle w:val="Compact"/>
                    <w:jc w:val="center"/>
                  </w:pPr>
                  <w:r>
                    <w:t xml:space="preserve">RH_2G</w:t>
                  </w:r>
                </w:p>
              </w:tc>
              <w:tc>
                <w:tcPr/>
                <w:p>
                  <w:pPr>
                    <w:pStyle w:val="Compact"/>
                    <w:jc w:val="center"/>
                  </w:pPr>
                  <w:r>
                    <w:t xml:space="preserve">186,891</w:t>
                  </w:r>
                </w:p>
              </w:tc>
              <w:tc>
                <w:tcPr/>
                <w:p>
                  <w:pPr>
                    <w:pStyle w:val="Compact"/>
                    <w:jc w:val="center"/>
                  </w:pPr>
                  <w:r>
                    <w:t xml:space="preserve">189,492</w:t>
                  </w:r>
                </w:p>
              </w:tc>
              <w:tc>
                <w:tcPr/>
                <w:p>
                  <w:pPr>
                    <w:pStyle w:val="Compact"/>
                    <w:jc w:val="center"/>
                  </w:pPr>
                  <w:r>
                    <w:t xml:space="preserve">0,615</w:t>
                  </w:r>
                </w:p>
              </w:tc>
              <w:tc>
                <w:tcPr/>
                <w:p>
                  <w:pPr>
                    <w:pStyle w:val="Compact"/>
                    <w:jc w:val="center"/>
                  </w:pPr>
                  <w:r>
                    <w:t xml:space="preserve">-22,798</w:t>
                  </w:r>
                </w:p>
              </w:tc>
            </w:tr>
          </w:tbl>
          <w:bookmarkEnd w:id="222"/>
          <w:p/>
        </w:tc>
      </w:tr>
    </w:tbl>
    <w:p>
      <w:pPr>
        <w:pStyle w:val="BodyText"/>
      </w:pPr>
      <w:r>
        <w:t xml:space="preserve">Die Geometrie MFH_2G besitzt derzeit keine positive nationale Fläche. Ihre fehlende GFZ-Zuordnung bleibt sichtbar; für sie wird kein Dichte-Erwartungswert erfunden. Für alle positiv gewichteten Typen liegt eine Zuordnung vor.</w:t>
      </w:r>
    </w:p>
    <w:bookmarkEnd w:id="223"/>
    <w:bookmarkStart w:id="229" w:name="X84e8de17016bbf938ee1eb0bf0ce17b23b6e270"/>
    <w:p>
      <w:pPr>
        <w:pStyle w:val="Heading2"/>
      </w:pPr>
      <w:r>
        <w:t xml:space="preserve">12.3 Flächenentwicklung vom Bestand zum Zieljahr</w:t>
      </w:r>
    </w:p>
    <w:p>
      <w:pPr>
        <w:pStyle w:val="FirstParagraph"/>
      </w:pPr>
      <w:r>
        <w:t xml:space="preserve">Die gelieferte Gesamtfläche steigt zwischen „heute“ und 2040 um rund 14,238 Mio. m² BGF beziehungsweise 1,28 %. Die Spalten Bestand, Neubau und Sanierung enthalten innerhalb der Archetypen Anteile, die auf jeder positiv gewichteten 2040-Fläche zusammen eins ergeben. Flächengewichtet resultiert:</w:t>
      </w:r>
    </w:p>
    <w:tbl>
      <w:tblPr>
        <w:tblStyle w:val="Table"/>
        <w:tblW w:type="pct" w:w="5000"/>
        <w:tblLayout w:type="fixed"/>
        <w:tblLook w:firstRow="0" w:lastRow="0" w:firstColumn="0" w:lastColumn="0" w:noHBand="0" w:noVBand="0" w:val="0000"/>
      </w:tblPr>
      <w:tblGrid>
        <w:gridCol w:w="7920"/>
      </w:tblGrid>
      <w:tr>
        <w:tc>
          <w:tcPr/>
          <w:bookmarkStart w:id="224" w:name="tbl-gebaeude-status"/>
          <w:p>
            <w:pPr>
              <w:jc w:val="center"/>
            </w:pPr>
            <w:pPr>
              <w:jc w:val="left"/>
              <w:spacing w:before="200"/>
              <w:pStyle w:val="ImageCaption"/>
            </w:pPr>
            <w:r>
              <w:t xml:space="preserve">Tabelle 12.2: Flächengewichtete Zuordnung zu Bestand, Neubau und Sanierung im Zieljahr.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Zustand</w:t>
                  </w:r>
                </w:p>
              </w:tc>
              <w:tc>
                <w:tcPr/>
                <w:p>
                  <w:pPr>
                    <w:pStyle w:val="Compact"/>
                    <w:jc w:val="center"/>
                  </w:pPr>
                  <w:r>
                    <w:t xml:space="preserve">BGF 2040 [Mio. m²]</w:t>
                  </w:r>
                </w:p>
              </w:tc>
            </w:tr>
            <w:tr>
              <w:tc>
                <w:tcPr/>
                <w:p>
                  <w:pPr>
                    <w:pStyle w:val="Compact"/>
                    <w:jc w:val="center"/>
                  </w:pPr>
                  <w:r>
                    <w:t xml:space="preserve">Bestand</w:t>
                  </w:r>
                </w:p>
              </w:tc>
              <w:tc>
                <w:tcPr/>
                <w:p>
                  <w:pPr>
                    <w:pStyle w:val="Compact"/>
                    <w:jc w:val="center"/>
                  </w:pPr>
                  <w:r>
                    <w:t xml:space="preserve">779,528</w:t>
                  </w:r>
                </w:p>
              </w:tc>
            </w:tr>
            <w:tr>
              <w:tc>
                <w:tcPr/>
                <w:p>
                  <w:pPr>
                    <w:pStyle w:val="Compact"/>
                    <w:jc w:val="center"/>
                  </w:pPr>
                  <w:r>
                    <w:t xml:space="preserve">Neubau</w:t>
                  </w:r>
                </w:p>
              </w:tc>
              <w:tc>
                <w:tcPr/>
                <w:p>
                  <w:pPr>
                    <w:pStyle w:val="Compact"/>
                    <w:jc w:val="center"/>
                  </w:pPr>
                  <w:r>
                    <w:t xml:space="preserve">320,354</w:t>
                  </w:r>
                </w:p>
              </w:tc>
            </w:tr>
            <w:tr>
              <w:tc>
                <w:tcPr/>
                <w:p>
                  <w:pPr>
                    <w:pStyle w:val="Compact"/>
                    <w:jc w:val="center"/>
                  </w:pPr>
                  <w:r>
                    <w:t xml:space="preserve">Sanierung</w:t>
                  </w:r>
                </w:p>
              </w:tc>
              <w:tc>
                <w:tcPr/>
                <w:p>
                  <w:pPr>
                    <w:pStyle w:val="Compact"/>
                    <w:jc w:val="center"/>
                  </w:pPr>
                  <w:r>
                    <w:t xml:space="preserve">26,696</w:t>
                  </w:r>
                </w:p>
              </w:tc>
            </w:tr>
          </w:tbl>
          <w:bookmarkEnd w:id="2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8" w:name="fig-gebaeude-flaechen"/>
          <w:p>
            <w:pPr>
              <w:pStyle w:val="Compact"/>
              <w:jc w:val="center"/>
            </w:pPr>
            <w:r>
              <w:drawing>
                <wp:inline>
                  <wp:extent cx="5334000" cy="2370666"/>
                  <wp:effectExtent b="0" l="0" r="0" t="0"/>
                  <wp:docPr descr="" title="" id="226" name="Picture"/>
                  <a:graphic>
                    <a:graphicData uri="http://schemas.openxmlformats.org/drawingml/2006/picture">
                      <pic:pic>
                        <pic:nvPicPr>
                          <pic:cNvPr descr="Kapitel/../Berechnungen/gebaeudesektormodell/outputs/flaechen.png" id="227" name="Picture"/>
                          <pic:cNvPicPr>
                            <a:picLocks noChangeArrowheads="1" noChangeAspect="1"/>
                          </pic:cNvPicPr>
                        </pic:nvPicPr>
                        <pic:blipFill>
                          <a:blip r:embed="rId225"/>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12.1: Flächenverteilung nach Geometrie. „Heute“ bezeichnet die gleichnamige Quellspalte mit nicht festgelegtem Bezugsjahr.</w:t>
            </w:r>
          </w:p>
          <w:bookmarkEnd w:id="228"/>
        </w:tc>
      </w:tr>
    </w:tbl>
    <w:p>
      <w:pPr>
        <w:pStyle w:val="BodyText"/>
      </w:pPr>
      <w:r>
        <w:t xml:space="preserve">Die Neubaufläche ist nicht mit dem Nettoflächenzuwachs gleichzusetzen. Für einen nachvollziehbaren Entwicklungspfad fehlen die zeitliche Definition dieser Kategorien und eine Übergangsbilanz mit Abbruch, Ersatzneubau und Sanierung. Die Reinschrift enthält ein separates, leeres Feld für BGF 2020. Es wird nicht automatisch aus „heute“ gefüllt.</w:t>
      </w:r>
    </w:p>
    <w:bookmarkEnd w:id="229"/>
    <w:bookmarkStart w:id="235" w:name="X36f08606d3a8c889e8a6606622423ac8d51bcb1"/>
    <w:p>
      <w:pPr>
        <w:pStyle w:val="Heading2"/>
      </w:pPr>
      <w:r>
        <w:t xml:space="preserve">12.4 Energetische Performance, Strombedarf und PV</w:t>
      </w:r>
    </w:p>
    <w:p>
      <w:pPr>
        <w:pStyle w:val="FirstParagraph"/>
      </w:pPr>
      <w:r>
        <w:t xml:space="preserve">Die PV-Erzeugung wird</w:t>
      </w:r>
      <w:r>
        <w:t xml:space="preserve"> </w:t>
      </w:r>
      <w:r>
        <w:rPr>
          <w:b/>
          <w:bCs/>
        </w:rPr>
        <w:t xml:space="preserve">aus der Typen-Excel übernommen</w:t>
      </w:r>
      <w:r>
        <w:t xml:space="preserve">:</w:t>
      </w:r>
      <w:r>
        <w:t xml:space="preserve"> </w:t>
      </w:r>
      <w:r>
        <w:rPr>
          <w:rStyle w:val="VerbatimChar"/>
        </w:rPr>
        <w:t xml:space="preserve">PV_total_direct</w:t>
      </w:r>
      <w:r>
        <w:t xml:space="preserve"> </w:t>
      </w:r>
      <w:r>
        <w:t xml:space="preserve">plus</w:t>
      </w:r>
      <w:r>
        <w:t xml:space="preserve"> </w:t>
      </w:r>
      <w:r>
        <w:rPr>
          <w:rStyle w:val="VerbatimChar"/>
        </w:rPr>
        <w:t xml:space="preserve">PV_to_Egrid</w:t>
      </w:r>
      <w:r>
        <w:t xml:space="preserve"> </w:t>
      </w:r>
      <w:r>
        <w:t xml:space="preserve">in</w:t>
      </w:r>
      <w:r>
        <w:t xml:space="preserve"> </w:t>
      </w:r>
      <w:r>
        <w:rPr>
          <w:rStyle w:val="VerbatimChar"/>
        </w:rPr>
        <w:t xml:space="preserve">Strombed_estim</w:t>
      </w:r>
      <w:r>
        <w:t xml:space="preserve">, gegengeprüft gegen</w:t>
      </w:r>
      <w:r>
        <w:t xml:space="preserve"> </w:t>
      </w:r>
      <w:r>
        <w:rPr>
          <w:rStyle w:val="VerbatimChar"/>
        </w:rPr>
        <w:t xml:space="preserve">PV_total</w:t>
      </w:r>
      <w:r>
        <w:t xml:space="preserve"> </w:t>
      </w:r>
      <w:r>
        <w:t xml:space="preserve">in</w:t>
      </w:r>
      <w:r>
        <w:t xml:space="preserve"> </w:t>
      </w:r>
      <w:r>
        <w:rPr>
          <w:rStyle w:val="VerbatimChar"/>
        </w:rPr>
        <w:t xml:space="preserve">Tabelle2</w:t>
      </w:r>
      <w:r>
        <w:t xml:space="preserve">. Das Sektormodell simuliert keine eigenen PV-Flächen oder Erträge. Alle gelieferten Typen verwenden die Variante</w:t>
      </w:r>
      <w:r>
        <w:t xml:space="preserve"> </w:t>
      </w:r>
      <w:r>
        <w:rPr>
          <w:rStyle w:val="VerbatimChar"/>
        </w:rPr>
        <w:t xml:space="preserve">PV30|noFlex</w:t>
      </w:r>
      <w:r>
        <w:t xml:space="preserve">. Die nationale Erzeugung entsteht durch Multiplikation des spezifischen Ertrags mit der zugeordneten NGF; eine zusätzliche GFZ-bedingte Skalierung der PV findet nicht statt.</w:t>
      </w:r>
    </w:p>
    <w:p>
      <w:pPr>
        <w:pStyle w:val="BodyText"/>
      </w:pPr>
      <w:r>
        <w:t xml:space="preserve">Netzbezug und Bruttostrombedarf werden konsequent getrennt. Für die vorliegenden Varianten ohne Speicher, Flexibilität oder simulierte Mobilität gilt:</w:t>
      </w:r>
    </w:p>
    <w:p>
      <w:pPr>
        <w:pStyle w:val="BodyText"/>
      </w:pPr>
      <m:oMathPara>
        <m:oMathParaPr>
          <m:jc m:val="center"/>
        </m:oMathParaPr>
        <m:oMath>
          <m:sSub>
            <m:e>
              <m:r>
                <m:t>E</m:t>
              </m:r>
            </m:e>
            <m:sub>
              <m:r>
                <m:t>e</m:t>
              </m:r>
              <m:r>
                <m:t>l</m:t>
              </m:r>
            </m:sub>
          </m:sSub>
          <m:r>
            <m:rPr>
              <m:sty m:val="p"/>
            </m:rPr>
            <m:t>=</m:t>
          </m:r>
          <m:sSub>
            <m:e>
              <m:r>
                <m:t>E</m:t>
              </m:r>
            </m:e>
            <m:sub>
              <m:r>
                <m:t>N</m:t>
              </m:r>
              <m:r>
                <m:t>e</m:t>
              </m:r>
              <m:r>
                <m:t>t</m:t>
              </m:r>
              <m:r>
                <m:t>z</m:t>
              </m:r>
              <m:r>
                <m:t>b</m:t>
              </m:r>
              <m:r>
                <m:t>e</m:t>
              </m:r>
              <m:r>
                <m:t>z</m:t>
              </m:r>
              <m:r>
                <m:t>u</m:t>
              </m:r>
              <m:r>
                <m:t>g</m:t>
              </m:r>
            </m:sub>
          </m:sSub>
          <m:r>
            <m:rPr>
              <m:sty m:val="p"/>
            </m:rPr>
            <m:t>+</m:t>
          </m:r>
          <m:sSub>
            <m:e>
              <m:r>
                <m:t>E</m:t>
              </m:r>
            </m:e>
            <m:sub>
              <m:r>
                <m:t>P</m:t>
              </m:r>
              <m:r>
                <m:t>V</m:t>
              </m:r>
              <m:r>
                <m:rPr>
                  <m:sty m:val="p"/>
                </m:rPr>
                <m:t>,</m:t>
              </m:r>
              <m:r>
                <m:t>d</m:t>
              </m:r>
              <m:r>
                <m:t>i</m:t>
              </m:r>
              <m:r>
                <m:t>r</m:t>
              </m:r>
              <m:r>
                <m:t>e</m:t>
              </m:r>
              <m:r>
                <m:t>k</m:t>
              </m:r>
              <m:r>
                <m:t>t</m:t>
              </m:r>
            </m:sub>
          </m:sSub>
          <m:r>
            <m:rPr>
              <m:sty m:val="p"/>
            </m:rPr>
            <m:t>,</m:t>
          </m:r>
          <m:r>
            <m:t>  </m:t>
          </m:r>
          <m:sSub>
            <m:e>
              <m:r>
                <m:t>E</m:t>
              </m:r>
            </m:e>
            <m:sub>
              <m:r>
                <m:t>P</m:t>
              </m:r>
              <m:r>
                <m:t>V</m:t>
              </m:r>
            </m:sub>
          </m:sSub>
          <m:r>
            <m:rPr>
              <m:sty m:val="p"/>
            </m:rPr>
            <m:t>=</m:t>
          </m:r>
          <m:sSub>
            <m:e>
              <m:r>
                <m:t>E</m:t>
              </m:r>
            </m:e>
            <m:sub>
              <m:r>
                <m:t>P</m:t>
              </m:r>
              <m:r>
                <m:t>V</m:t>
              </m:r>
              <m:r>
                <m:rPr>
                  <m:sty m:val="p"/>
                </m:rPr>
                <m:t>,</m:t>
              </m:r>
              <m:r>
                <m:t>d</m:t>
              </m:r>
              <m:r>
                <m:t>i</m:t>
              </m:r>
              <m:r>
                <m:t>r</m:t>
              </m:r>
              <m:r>
                <m:t>e</m:t>
              </m:r>
              <m:r>
                <m:t>k</m:t>
              </m:r>
              <m:r>
                <m:t>t</m:t>
              </m:r>
            </m:sub>
          </m:sSub>
          <m:r>
            <m:rPr>
              <m:sty m:val="p"/>
            </m:rPr>
            <m:t>+</m:t>
          </m:r>
          <m:sSub>
            <m:e>
              <m:r>
                <m:t>E</m:t>
              </m:r>
            </m:e>
            <m:sub>
              <m:r>
                <m:t>P</m:t>
              </m:r>
              <m:r>
                <m:t>V</m:t>
              </m:r>
              <m:r>
                <m:rPr>
                  <m:sty m:val="p"/>
                </m:rPr>
                <m:t>,</m:t>
              </m:r>
              <m:r>
                <m:t>E</m:t>
              </m:r>
              <m:r>
                <m:t>x</m:t>
              </m:r>
              <m:r>
                <m:t>p</m:t>
              </m:r>
              <m:r>
                <m:t>o</m:t>
              </m:r>
              <m:r>
                <m:t>r</m:t>
              </m:r>
              <m:r>
                <m:t>t</m:t>
              </m:r>
            </m:sub>
          </m:sSub>
          <m:r>
            <m:rPr>
              <m:sty m:val="p"/>
            </m:rPr>
            <m:t>.</m:t>
          </m:r>
        </m:oMath>
      </m:oMathPara>
    </w:p>
    <w:p>
      <w:pPr>
        <w:pStyle w:val="FirstParagraph"/>
      </w:pPr>
      <w:r>
        <w:t xml:space="preserve">Der physische Stromsaldo ist sowohl als PV-Erzeugung minus Strombedarf als auch als PV-Netzeinspeisung minus Netzbezug bestimmbar. Beide Wege stimmen in der Typenprüfung überein. PV-Direktverbrauch wird nicht doppelt als Deckung angesetzt.</w:t>
      </w:r>
    </w:p>
    <w:tbl>
      <w:tblPr>
        <w:tblStyle w:val="Table"/>
        <w:tblW w:type="pct" w:w="5000"/>
        <w:tblLayout w:type="fixed"/>
        <w:tblLook w:firstRow="0" w:lastRow="0" w:firstColumn="0" w:lastColumn="0" w:noHBand="0" w:noVBand="0" w:val="0000"/>
      </w:tblPr>
      <w:tblGrid>
        <w:gridCol w:w="7920"/>
      </w:tblGrid>
      <w:tr>
        <w:tc>
          <w:tcPr/>
          <w:bookmarkStart w:id="230" w:name="tbl-gebaeude-strom"/>
          <w:p>
            <w:pPr>
              <w:jc w:val="center"/>
            </w:pPr>
            <w:pPr>
              <w:jc w:val="left"/>
              <w:spacing w:before="200"/>
              <w:pStyle w:val="ImageCaption"/>
            </w:pPr>
            <w:r>
              <w:t xml:space="preserve">Tabelle 12.3: Strombilanz 2040 aus den gelieferten Typenkennwerten bei NGF/BGF = 0.8.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Größe</w:t>
                  </w:r>
                </w:p>
              </w:tc>
              <w:tc>
                <w:tcPr/>
                <w:p>
                  <w:pPr>
                    <w:pStyle w:val="Compact"/>
                    <w:jc w:val="center"/>
                  </w:pPr>
                  <w:r>
                    <w:t xml:space="preserve">kWh/(m² NGF a)</w:t>
                  </w:r>
                </w:p>
              </w:tc>
              <w:tc>
                <w:tcPr/>
                <w:p>
                  <w:pPr>
                    <w:pStyle w:val="Compact"/>
                    <w:jc w:val="center"/>
                  </w:pPr>
                  <w:r>
                    <w:t xml:space="preserve">GWh/a</w:t>
                  </w:r>
                </w:p>
              </w:tc>
              <w:tc>
                <w:tcPr/>
                <w:p>
                  <w:pPr>
                    <w:pStyle w:val="Compact"/>
                    <w:jc w:val="center"/>
                  </w:pPr>
                  <w:r>
                    <w:t xml:space="preserve">PJ/a</w:t>
                  </w:r>
                </w:p>
              </w:tc>
            </w:tr>
            <w:tr>
              <w:tc>
                <w:tcPr/>
                <w:p>
                  <w:pPr>
                    <w:pStyle w:val="Compact"/>
                    <w:jc w:val="center"/>
                  </w:pPr>
                  <w:r>
                    <w:t xml:space="preserve">Strombedarf</w:t>
                  </w:r>
                </w:p>
              </w:tc>
              <w:tc>
                <w:tcPr/>
                <w:p>
                  <w:pPr>
                    <w:pStyle w:val="Compact"/>
                    <w:jc w:val="center"/>
                  </w:pPr>
                  <w:r>
                    <w:t xml:space="preserve">42,377</w:t>
                  </w:r>
                </w:p>
              </w:tc>
              <w:tc>
                <w:tcPr/>
                <w:p>
                  <w:pPr>
                    <w:pStyle w:val="Compact"/>
                    <w:jc w:val="center"/>
                  </w:pPr>
                  <w:r>
                    <w:t xml:space="preserve">38.192,572</w:t>
                  </w:r>
                </w:p>
              </w:tc>
              <w:tc>
                <w:tcPr/>
                <w:p>
                  <w:pPr>
                    <w:pStyle w:val="Compact"/>
                    <w:jc w:val="center"/>
                  </w:pPr>
                  <w:r>
                    <w:t xml:space="preserve">137,493</w:t>
                  </w:r>
                </w:p>
              </w:tc>
            </w:tr>
            <w:tr>
              <w:tc>
                <w:tcPr/>
                <w:p>
                  <w:pPr>
                    <w:pStyle w:val="Compact"/>
                    <w:jc w:val="center"/>
                  </w:pPr>
                  <w:r>
                    <w:t xml:space="preserve">PV_Erzeugung</w:t>
                  </w:r>
                </w:p>
              </w:tc>
              <w:tc>
                <w:tcPr/>
                <w:p>
                  <w:pPr>
                    <w:pStyle w:val="Compact"/>
                    <w:jc w:val="center"/>
                  </w:pPr>
                  <w:r>
                    <w:t xml:space="preserve">24,116</w:t>
                  </w:r>
                </w:p>
              </w:tc>
              <w:tc>
                <w:tcPr/>
                <w:p>
                  <w:pPr>
                    <w:pStyle w:val="Compact"/>
                    <w:jc w:val="center"/>
                  </w:pPr>
                  <w:r>
                    <w:t xml:space="preserve">21.734,851</w:t>
                  </w:r>
                </w:p>
              </w:tc>
              <w:tc>
                <w:tcPr/>
                <w:p>
                  <w:pPr>
                    <w:pStyle w:val="Compact"/>
                    <w:jc w:val="center"/>
                  </w:pPr>
                  <w:r>
                    <w:t xml:space="preserve">78,245</w:t>
                  </w:r>
                </w:p>
              </w:tc>
            </w:tr>
            <w:tr>
              <w:tc>
                <w:tcPr/>
                <w:p>
                  <w:pPr>
                    <w:pStyle w:val="Compact"/>
                    <w:jc w:val="center"/>
                  </w:pPr>
                  <w:r>
                    <w:t xml:space="preserve">Grid_to_building_min</w:t>
                  </w:r>
                </w:p>
              </w:tc>
              <w:tc>
                <w:tcPr/>
                <w:p>
                  <w:pPr>
                    <w:pStyle w:val="Compact"/>
                    <w:jc w:val="center"/>
                  </w:pPr>
                  <w:r>
                    <w:t xml:space="preserve">34,899</w:t>
                  </w:r>
                </w:p>
              </w:tc>
              <w:tc>
                <w:tcPr/>
                <w:p>
                  <w:pPr>
                    <w:pStyle w:val="Compact"/>
                    <w:jc w:val="center"/>
                  </w:pPr>
                  <w:r>
                    <w:t xml:space="preserve">31.452,734</w:t>
                  </w:r>
                </w:p>
              </w:tc>
              <w:tc>
                <w:tcPr/>
                <w:p>
                  <w:pPr>
                    <w:pStyle w:val="Compact"/>
                    <w:jc w:val="center"/>
                  </w:pPr>
                  <w:r>
                    <w:t xml:space="preserve">113,230</w:t>
                  </w:r>
                </w:p>
              </w:tc>
            </w:tr>
            <w:tr>
              <w:tc>
                <w:tcPr/>
                <w:p>
                  <w:pPr>
                    <w:pStyle w:val="Compact"/>
                    <w:jc w:val="center"/>
                  </w:pPr>
                  <w:r>
                    <w:t xml:space="preserve">PV_total_direct</w:t>
                  </w:r>
                </w:p>
              </w:tc>
              <w:tc>
                <w:tcPr/>
                <w:p>
                  <w:pPr>
                    <w:pStyle w:val="Compact"/>
                    <w:jc w:val="center"/>
                  </w:pPr>
                  <w:r>
                    <w:t xml:space="preserve">7,478</w:t>
                  </w:r>
                </w:p>
              </w:tc>
              <w:tc>
                <w:tcPr/>
                <w:p>
                  <w:pPr>
                    <w:pStyle w:val="Compact"/>
                    <w:jc w:val="center"/>
                  </w:pPr>
                  <w:r>
                    <w:t xml:space="preserve">6.739,839</w:t>
                  </w:r>
                </w:p>
              </w:tc>
              <w:tc>
                <w:tcPr/>
                <w:p>
                  <w:pPr>
                    <w:pStyle w:val="Compact"/>
                    <w:jc w:val="center"/>
                  </w:pPr>
                  <w:r>
                    <w:t xml:space="preserve">24,263</w:t>
                  </w:r>
                </w:p>
              </w:tc>
            </w:tr>
            <w:tr>
              <w:tc>
                <w:tcPr/>
                <w:p>
                  <w:pPr>
                    <w:pStyle w:val="Compact"/>
                    <w:jc w:val="center"/>
                  </w:pPr>
                  <w:r>
                    <w:t xml:space="preserve">PV_to_Egrid</w:t>
                  </w:r>
                </w:p>
              </w:tc>
              <w:tc>
                <w:tcPr/>
                <w:p>
                  <w:pPr>
                    <w:pStyle w:val="Compact"/>
                    <w:jc w:val="center"/>
                  </w:pPr>
                  <w:r>
                    <w:t xml:space="preserve">16,638</w:t>
                  </w:r>
                </w:p>
              </w:tc>
              <w:tc>
                <w:tcPr/>
                <w:p>
                  <w:pPr>
                    <w:pStyle w:val="Compact"/>
                    <w:jc w:val="center"/>
                  </w:pPr>
                  <w:r>
                    <w:t xml:space="preserve">14.995,012</w:t>
                  </w:r>
                </w:p>
              </w:tc>
              <w:tc>
                <w:tcPr/>
                <w:p>
                  <w:pPr>
                    <w:pStyle w:val="Compact"/>
                    <w:jc w:val="center"/>
                  </w:pPr>
                  <w:r>
                    <w:t xml:space="preserve">53,982</w:t>
                  </w:r>
                </w:p>
              </w:tc>
            </w:tr>
            <w:tr>
              <w:tc>
                <w:tcPr/>
                <w:p>
                  <w:pPr>
                    <w:pStyle w:val="Compact"/>
                    <w:jc w:val="center"/>
                  </w:pPr>
                  <w:r>
                    <w:t xml:space="preserve">Stromsaldo</w:t>
                  </w:r>
                </w:p>
              </w:tc>
              <w:tc>
                <w:tcPr/>
                <w:p>
                  <w:pPr>
                    <w:pStyle w:val="Compact"/>
                    <w:jc w:val="center"/>
                  </w:pPr>
                  <w:r>
                    <w:t xml:space="preserve">-18,261</w:t>
                  </w:r>
                </w:p>
              </w:tc>
              <w:tc>
                <w:tcPr/>
                <w:p>
                  <w:pPr>
                    <w:pStyle w:val="Compact"/>
                    <w:jc w:val="center"/>
                  </w:pPr>
                  <w:r>
                    <w:t xml:space="preserve">-16.457,722</w:t>
                  </w:r>
                </w:p>
              </w:tc>
              <w:tc>
                <w:tcPr/>
                <w:p>
                  <w:pPr>
                    <w:pStyle w:val="Compact"/>
                    <w:jc w:val="center"/>
                  </w:pPr>
                  <w:r>
                    <w:t xml:space="preserve">-59,248</w:t>
                  </w:r>
                </w:p>
              </w:tc>
            </w:tr>
          </w:tbl>
          <w:bookmarkEnd w:id="2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4" w:name="fig-gebaeude-strom-anwendungen"/>
          <w:p>
            <w:pPr>
              <w:pStyle w:val="Compact"/>
              <w:jc w:val="center"/>
            </w:pPr>
            <w:r>
              <w:drawing>
                <wp:inline>
                  <wp:extent cx="5334000" cy="2400300"/>
                  <wp:effectExtent b="0" l="0" r="0" t="0"/>
                  <wp:docPr descr="" title="" id="232" name="Picture"/>
                  <a:graphic>
                    <a:graphicData uri="http://schemas.openxmlformats.org/drawingml/2006/picture">
                      <pic:pic>
                        <pic:nvPicPr>
                          <pic:cNvPr descr="Kapitel/../Berechnungen/gebaeudesektormodell/outputs/strom_anwendungen.png" id="233" name="Picture"/>
                          <pic:cNvPicPr>
                            <a:picLocks noChangeArrowheads="1" noChangeAspect="1"/>
                          </pic:cNvPicPr>
                        </pic:nvPicPr>
                        <pic:blipFill>
                          <a:blip r:embed="rId231"/>
                          <a:stretch>
                            <a:fillRect/>
                          </a:stretch>
                        </pic:blipFill>
                        <pic:spPr bwMode="auto">
                          <a:xfrm>
                            <a:off x="0" y="0"/>
                            <a:ext cx="5334000" cy="24003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12.2: Flächengewichteter spezifischer Strombedarf nach Anwendungen. Hilfsstrom wird aus den Heiz-/Warmwassersummen herausgelöst und gemeinsam mit Allgemeinstrom dargestellt.</w:t>
            </w:r>
          </w:p>
          <w:bookmarkEnd w:id="234"/>
        </w:tc>
      </w:tr>
    </w:tbl>
    <w:p>
      <w:pPr>
        <w:pStyle w:val="BodyText"/>
      </w:pPr>
      <w:r>
        <w:t xml:space="preserve">Die Kennwerte unterscheiden Heizung, Warmwasser, Kühlung, Lüftung, Hilfs-/Allgemeinstrom, Beleuchtung und Geräte/IT. Kühlung ist im gelieferten Simulationsstand null. Das ist eine Eigenschaft dieser Simulationen und keine Bestätigung, dass im nationalen Gebäudesektor 2040 kein Kühlbedarf besteht. Die detaillierte Herleitung steht in</w:t>
      </w:r>
      <w:r>
        <w:t xml:space="preserve"> </w:t>
      </w:r>
      <w:hyperlink w:anchor="sec-gebaeude-strom">
        <w:r>
          <w:rPr>
            <w:rStyle w:val="Hyperlink"/>
          </w:rPr>
          <w:t xml:space="preserve">Kapitel H.4</w:t>
        </w:r>
      </w:hyperlink>
      <w:r>
        <w:t xml:space="preserve">.</w:t>
      </w:r>
    </w:p>
    <w:bookmarkEnd w:id="235"/>
    <w:bookmarkStart w:id="242" w:name="endenergie-und-primärenergie"/>
    <w:p>
      <w:pPr>
        <w:pStyle w:val="Heading2"/>
      </w:pPr>
      <w:r>
        <w:t xml:space="preserve">12.5 Endenergie und Primärenergie</w:t>
      </w:r>
    </w:p>
    <w:p>
      <w:pPr>
        <w:pStyle w:val="FirstParagraph"/>
      </w:pPr>
      <w:r>
        <w:t xml:space="preserve">Fernwärme-, Gas-, Biomasse- und Ölbedarfe werden eigenständig bilanziert. Die Sammelgröße</w:t>
      </w:r>
      <w:r>
        <w:t xml:space="preserve"> </w:t>
      </w:r>
      <w:r>
        <w:rPr>
          <w:rStyle w:val="VerbatimChar"/>
        </w:rPr>
        <w:t xml:space="preserve">EUI_other</w:t>
      </w:r>
      <w:r>
        <w:t xml:space="preserve"> </w:t>
      </w:r>
      <w:r>
        <w:t xml:space="preserve">wird bei den als</w:t>
      </w:r>
      <w:r>
        <w:t xml:space="preserve"> </w:t>
      </w:r>
      <w:r>
        <w:rPr>
          <w:rStyle w:val="VerbatimChar"/>
        </w:rPr>
        <w:t xml:space="preserve">Oel</w:t>
      </w:r>
      <w:r>
        <w:t xml:space="preserve"> </w:t>
      </w:r>
      <w:r>
        <w:t xml:space="preserve">gekennzeichneten Typen Öl zugeordnet; weitere Beträge blieben separat unter sonstiger thermischer Endenergie erhalten.</w:t>
      </w:r>
    </w:p>
    <w:tbl>
      <w:tblPr>
        <w:tblStyle w:val="Table"/>
        <w:tblW w:type="pct" w:w="5000"/>
        <w:tblLayout w:type="fixed"/>
        <w:tblLook w:firstRow="0" w:lastRow="0" w:firstColumn="0" w:lastColumn="0" w:noHBand="0" w:noVBand="0" w:val="0000"/>
      </w:tblPr>
      <w:tblGrid>
        <w:gridCol w:w="7920"/>
      </w:tblGrid>
      <w:tr>
        <w:tc>
          <w:tcPr/>
          <w:bookmarkStart w:id="236" w:name="tbl-gebaeude-endenergie"/>
          <w:p>
            <w:pPr>
              <w:jc w:val="center"/>
            </w:pPr>
            <w:pPr>
              <w:jc w:val="left"/>
              <w:spacing w:before="200"/>
              <w:pStyle w:val="ImageCaption"/>
            </w:pPr>
            <w:r>
              <w:t xml:space="preserve">Tabelle 12.4: Endenergie 2040 nach Energieträgern. Strom enthält PV-Direktverbrauch; sonstige thermische Energie wird separat geführt.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Träger</w:t>
                  </w:r>
                </w:p>
              </w:tc>
              <w:tc>
                <w:tcPr/>
                <w:p>
                  <w:pPr>
                    <w:pStyle w:val="Compact"/>
                    <w:jc w:val="center"/>
                  </w:pPr>
                  <w:r>
                    <w:t xml:space="preserve">kWh/(m² NGF a)</w:t>
                  </w:r>
                </w:p>
              </w:tc>
              <w:tc>
                <w:tcPr/>
                <w:p>
                  <w:pPr>
                    <w:pStyle w:val="Compact"/>
                    <w:jc w:val="center"/>
                  </w:pPr>
                  <w:r>
                    <w:t xml:space="preserve">GWh/a</w:t>
                  </w:r>
                </w:p>
              </w:tc>
              <w:tc>
                <w:tcPr/>
                <w:p>
                  <w:pPr>
                    <w:pStyle w:val="Compact"/>
                    <w:jc w:val="center"/>
                  </w:pPr>
                  <w:r>
                    <w:t xml:space="preserve">PJ/a</w:t>
                  </w:r>
                </w:p>
              </w:tc>
            </w:tr>
            <w:tr>
              <w:tc>
                <w:tcPr/>
                <w:p>
                  <w:pPr>
                    <w:pStyle w:val="Compact"/>
                    <w:jc w:val="center"/>
                  </w:pPr>
                  <w:r>
                    <w:t xml:space="preserve">Strom (Bruttobedarf)</w:t>
                  </w:r>
                </w:p>
              </w:tc>
              <w:tc>
                <w:tcPr/>
                <w:p>
                  <w:pPr>
                    <w:pStyle w:val="Compact"/>
                    <w:jc w:val="center"/>
                  </w:pPr>
                  <w:r>
                    <w:t xml:space="preserve">42,377</w:t>
                  </w:r>
                </w:p>
              </w:tc>
              <w:tc>
                <w:tcPr/>
                <w:p>
                  <w:pPr>
                    <w:pStyle w:val="Compact"/>
                    <w:jc w:val="center"/>
                  </w:pPr>
                  <w:r>
                    <w:t xml:space="preserve">38.192,572</w:t>
                  </w:r>
                </w:p>
              </w:tc>
              <w:tc>
                <w:tcPr/>
                <w:p>
                  <w:pPr>
                    <w:pStyle w:val="Compact"/>
                    <w:jc w:val="center"/>
                  </w:pPr>
                  <w:r>
                    <w:t xml:space="preserve">137,493</w:t>
                  </w:r>
                </w:p>
              </w:tc>
            </w:tr>
            <w:tr>
              <w:tc>
                <w:tcPr/>
                <w:p>
                  <w:pPr>
                    <w:pStyle w:val="Compact"/>
                    <w:jc w:val="center"/>
                  </w:pPr>
                  <w:r>
                    <w:t xml:space="preserve">Fernwärme</w:t>
                  </w:r>
                </w:p>
              </w:tc>
              <w:tc>
                <w:tcPr/>
                <w:p>
                  <w:pPr>
                    <w:pStyle w:val="Compact"/>
                    <w:jc w:val="center"/>
                  </w:pPr>
                  <w:r>
                    <w:t xml:space="preserve">31,499</w:t>
                  </w:r>
                </w:p>
              </w:tc>
              <w:tc>
                <w:tcPr/>
                <w:p>
                  <w:pPr>
                    <w:pStyle w:val="Compact"/>
                    <w:jc w:val="center"/>
                  </w:pPr>
                  <w:r>
                    <w:t xml:space="preserve">28.388,612</w:t>
                  </w:r>
                </w:p>
              </w:tc>
              <w:tc>
                <w:tcPr/>
                <w:p>
                  <w:pPr>
                    <w:pStyle w:val="Compact"/>
                    <w:jc w:val="center"/>
                  </w:pPr>
                  <w:r>
                    <w:t xml:space="preserve">102,199</w:t>
                  </w:r>
                </w:p>
              </w:tc>
            </w:tr>
            <w:tr>
              <w:tc>
                <w:tcPr/>
                <w:p>
                  <w:pPr>
                    <w:pStyle w:val="Compact"/>
                    <w:jc w:val="center"/>
                  </w:pPr>
                  <w:r>
                    <w:t xml:space="preserve">Gas</w:t>
                  </w:r>
                </w:p>
              </w:tc>
              <w:tc>
                <w:tcPr/>
                <w:p>
                  <w:pPr>
                    <w:pStyle w:val="Compact"/>
                    <w:jc w:val="center"/>
                  </w:pPr>
                  <w:r>
                    <w:t xml:space="preserve">23,631</w:t>
                  </w:r>
                </w:p>
              </w:tc>
              <w:tc>
                <w:tcPr/>
                <w:p>
                  <w:pPr>
                    <w:pStyle w:val="Compact"/>
                    <w:jc w:val="center"/>
                  </w:pPr>
                  <w:r>
                    <w:t xml:space="preserve">21.297,969</w:t>
                  </w:r>
                </w:p>
              </w:tc>
              <w:tc>
                <w:tcPr/>
                <w:p>
                  <w:pPr>
                    <w:pStyle w:val="Compact"/>
                    <w:jc w:val="center"/>
                  </w:pPr>
                  <w:r>
                    <w:t xml:space="preserve">76,673</w:t>
                  </w:r>
                </w:p>
              </w:tc>
            </w:tr>
            <w:tr>
              <w:tc>
                <w:tcPr/>
                <w:p>
                  <w:pPr>
                    <w:pStyle w:val="Compact"/>
                    <w:jc w:val="center"/>
                  </w:pPr>
                  <w:r>
                    <w:t xml:space="preserve">Biomasse</w:t>
                  </w:r>
                </w:p>
              </w:tc>
              <w:tc>
                <w:tcPr/>
                <w:p>
                  <w:pPr>
                    <w:pStyle w:val="Compact"/>
                    <w:jc w:val="center"/>
                  </w:pPr>
                  <w:r>
                    <w:t xml:space="preserve">21,346</w:t>
                  </w:r>
                </w:p>
              </w:tc>
              <w:tc>
                <w:tcPr/>
                <w:p>
                  <w:pPr>
                    <w:pStyle w:val="Compact"/>
                    <w:jc w:val="center"/>
                  </w:pPr>
                  <w:r>
                    <w:t xml:space="preserve">19.238,623</w:t>
                  </w:r>
                </w:p>
              </w:tc>
              <w:tc>
                <w:tcPr/>
                <w:p>
                  <w:pPr>
                    <w:pStyle w:val="Compact"/>
                    <w:jc w:val="center"/>
                  </w:pPr>
                  <w:r>
                    <w:t xml:space="preserve">69,259</w:t>
                  </w:r>
                </w:p>
              </w:tc>
            </w:tr>
            <w:tr>
              <w:tc>
                <w:tcPr/>
                <w:p>
                  <w:pPr>
                    <w:pStyle w:val="Compact"/>
                    <w:jc w:val="center"/>
                  </w:pPr>
                  <w:r>
                    <w:t xml:space="preserve">Öl</w:t>
                  </w:r>
                </w:p>
              </w:tc>
              <w:tc>
                <w:tcPr/>
                <w:p>
                  <w:pPr>
                    <w:pStyle w:val="Compact"/>
                    <w:jc w:val="center"/>
                  </w:pPr>
                  <w:r>
                    <w:t xml:space="preserve">18,034</w:t>
                  </w:r>
                </w:p>
              </w:tc>
              <w:tc>
                <w:tcPr/>
                <w:p>
                  <w:pPr>
                    <w:pStyle w:val="Compact"/>
                    <w:jc w:val="center"/>
                  </w:pPr>
                  <w:r>
                    <w:t xml:space="preserve">16.253,386</w:t>
                  </w:r>
                </w:p>
              </w:tc>
              <w:tc>
                <w:tcPr/>
                <w:p>
                  <w:pPr>
                    <w:pStyle w:val="Compact"/>
                    <w:jc w:val="center"/>
                  </w:pPr>
                  <w:r>
                    <w:t xml:space="preserve">58,512</w:t>
                  </w:r>
                </w:p>
              </w:tc>
            </w:tr>
            <w:tr>
              <w:tc>
                <w:tcPr/>
                <w:p>
                  <w:pPr>
                    <w:pStyle w:val="Compact"/>
                    <w:jc w:val="center"/>
                  </w:pPr>
                  <w:r>
                    <w:t xml:space="preserve">Sonstige thermisch</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bookmarkEnd w:id="23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0" w:name="fig-gebaeude-endenergie"/>
          <w:p>
            <w:pPr>
              <w:pStyle w:val="Compact"/>
              <w:jc w:val="center"/>
            </w:pPr>
            <w:r>
              <w:drawing>
                <wp:inline>
                  <wp:extent cx="5334000" cy="2667000"/>
                  <wp:effectExtent b="0" l="0" r="0" t="0"/>
                  <wp:docPr descr="" title="" id="238" name="Picture"/>
                  <a:graphic>
                    <a:graphicData uri="http://schemas.openxmlformats.org/drawingml/2006/picture">
                      <pic:pic>
                        <pic:nvPicPr>
                          <pic:cNvPr descr="Kapitel/../Berechnungen/gebaeudesektormodell/outputs/endenergie.png" id="239" name="Picture"/>
                          <pic:cNvPicPr>
                            <a:picLocks noChangeArrowheads="1" noChangeAspect="1"/>
                          </pic:cNvPicPr>
                        </pic:nvPicPr>
                        <pic:blipFill>
                          <a:blip r:embed="rId23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12.3: Endenergie des gelieferten 2040-Pools nach Energieträgern.</w:t>
            </w:r>
          </w:p>
          <w:bookmarkEnd w:id="240"/>
        </w:tc>
      </w:tr>
    </w:tbl>
    <w:p>
      <w:pPr>
        <w:pStyle w:val="BodyText"/>
      </w:pPr>
      <w:r>
        <w:t xml:space="preserve">Insbesondere die verbleibenden</w:t>
      </w:r>
      <w:r>
        <w:t xml:space="preserve"> </w:t>
      </w:r>
      <w:r>
        <w:rPr>
          <w:b/>
          <w:bCs/>
        </w:rPr>
        <w:t xml:space="preserve">76,67 PJ/a Gas</w:t>
      </w:r>
      <w:r>
        <w:t xml:space="preserve"> </w:t>
      </w:r>
      <w:r>
        <w:t xml:space="preserve">und</w:t>
      </w:r>
      <w:r>
        <w:t xml:space="preserve"> </w:t>
      </w:r>
      <w:r>
        <w:rPr>
          <w:b/>
          <w:bCs/>
        </w:rPr>
        <w:t xml:space="preserve">58,51 PJ/a Öl</w:t>
      </w:r>
      <w:r>
        <w:t xml:space="preserve"> </w:t>
      </w:r>
      <w:r>
        <w:t xml:space="preserve">zeigen, dass die gelieferte Flächen-/Versorgungsstruktur kein vollständig dekarbonisiertes Szenario darstellt. Diese Mengen werden weder als Strom behandelt noch aus der Bilanz entfernt. Die Anwendungsaufteilung der thermischen Energie steht in</w:t>
      </w:r>
      <w:r>
        <w:t xml:space="preserve"> </w:t>
      </w:r>
      <w:hyperlink w:anchor="sec-gebaeude-endenergie">
        <w:r>
          <w:rPr>
            <w:rStyle w:val="Hyperlink"/>
          </w:rPr>
          <w:t xml:space="preserve">Kapitel H.5</w:t>
        </w:r>
      </w:hyperlink>
      <w:r>
        <w:t xml:space="preserve">.</w:t>
      </w:r>
    </w:p>
    <w:p>
      <w:pPr>
        <w:pStyle w:val="BodyText"/>
      </w:pPr>
      <w:r>
        <w:t xml:space="preserve">Die Primärenergiebilanz aggregiert die gelieferten Import- und Exportkennwerte. Sie enthält keine virtuellen Dichte-, Mobilitäts- oder Sanierungsgutschriften:</w:t>
      </w:r>
    </w:p>
    <w:tbl>
      <w:tblPr>
        <w:tblStyle w:val="Table"/>
        <w:tblW w:type="pct" w:w="5000"/>
        <w:tblLayout w:type="fixed"/>
        <w:tblLook w:firstRow="0" w:lastRow="0" w:firstColumn="0" w:lastColumn="0" w:noHBand="0" w:noVBand="0" w:val="0000"/>
      </w:tblPr>
      <w:tblGrid>
        <w:gridCol w:w="7920"/>
      </w:tblGrid>
      <w:tr>
        <w:tc>
          <w:tcPr/>
          <w:bookmarkStart w:id="241" w:name="tbl-gebaeude-pe"/>
          <w:p>
            <w:pPr>
              <w:jc w:val="center"/>
            </w:pPr>
            <w:pPr>
              <w:jc w:val="left"/>
              <w:spacing w:before="200"/>
              <w:pStyle w:val="ImageCaption"/>
            </w:pPr>
            <w:r>
              <w:t xml:space="preserve">Tabelle 12.5: Gelieferter PE-Bewertungsstand; Faktorversion und Bezugsjahr noch zu bestätigen, ohne virtuelle Kontextwerte.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Größe</w:t>
                  </w:r>
                </w:p>
              </w:tc>
              <w:tc>
                <w:tcPr/>
                <w:p>
                  <w:pPr>
                    <w:pStyle w:val="Compact"/>
                    <w:jc w:val="center"/>
                  </w:pPr>
                  <w:r>
                    <w:t xml:space="preserve">GWh_PE/a</w:t>
                  </w:r>
                </w:p>
              </w:tc>
              <w:tc>
                <w:tcPr/>
                <w:p>
                  <w:pPr>
                    <w:pStyle w:val="Compact"/>
                    <w:jc w:val="center"/>
                  </w:pPr>
                  <w:r>
                    <w:t xml:space="preserve">PJ_PE/a</w:t>
                  </w:r>
                </w:p>
              </w:tc>
            </w:tr>
            <w:tr>
              <w:tc>
                <w:tcPr/>
                <w:p>
                  <w:pPr>
                    <w:pStyle w:val="Compact"/>
                    <w:jc w:val="center"/>
                  </w:pPr>
                  <w:r>
                    <w:t xml:space="preserve">PEI_grid_import</w:t>
                  </w:r>
                </w:p>
              </w:tc>
              <w:tc>
                <w:tcPr/>
                <w:p>
                  <w:pPr>
                    <w:pStyle w:val="Compact"/>
                    <w:jc w:val="center"/>
                  </w:pPr>
                  <w:r>
                    <w:t xml:space="preserve">59.495,871</w:t>
                  </w:r>
                </w:p>
              </w:tc>
              <w:tc>
                <w:tcPr/>
                <w:p>
                  <w:pPr>
                    <w:pStyle w:val="Compact"/>
                    <w:jc w:val="center"/>
                  </w:pPr>
                  <w:r>
                    <w:t xml:space="preserve">214,185</w:t>
                  </w:r>
                </w:p>
              </w:tc>
            </w:tr>
            <w:tr>
              <w:tc>
                <w:tcPr/>
                <w:p>
                  <w:pPr>
                    <w:pStyle w:val="Compact"/>
                    <w:jc w:val="center"/>
                  </w:pPr>
                  <w:r>
                    <w:t xml:space="preserve">PEI_import</w:t>
                  </w:r>
                </w:p>
              </w:tc>
              <w:tc>
                <w:tcPr/>
                <w:p>
                  <w:pPr>
                    <w:pStyle w:val="Compact"/>
                    <w:jc w:val="center"/>
                  </w:pPr>
                  <w:r>
                    <w:t xml:space="preserve">137.528,612</w:t>
                  </w:r>
                </w:p>
              </w:tc>
              <w:tc>
                <w:tcPr/>
                <w:p>
                  <w:pPr>
                    <w:pStyle w:val="Compact"/>
                    <w:jc w:val="center"/>
                  </w:pPr>
                  <w:r>
                    <w:t xml:space="preserve">495,103</w:t>
                  </w:r>
                </w:p>
              </w:tc>
            </w:tr>
            <w:tr>
              <w:tc>
                <w:tcPr/>
                <w:p>
                  <w:pPr>
                    <w:pStyle w:val="Compact"/>
                    <w:jc w:val="center"/>
                  </w:pPr>
                  <w:r>
                    <w:t xml:space="preserve">PEI_export</w:t>
                  </w:r>
                </w:p>
              </w:tc>
              <w:tc>
                <w:tcPr/>
                <w:p>
                  <w:pPr>
                    <w:pStyle w:val="Compact"/>
                    <w:jc w:val="center"/>
                  </w:pPr>
                  <w:r>
                    <w:t xml:space="preserve">23.816,432</w:t>
                  </w:r>
                </w:p>
              </w:tc>
              <w:tc>
                <w:tcPr/>
                <w:p>
                  <w:pPr>
                    <w:pStyle w:val="Compact"/>
                    <w:jc w:val="center"/>
                  </w:pPr>
                  <w:r>
                    <w:t xml:space="preserve">85,739</w:t>
                  </w:r>
                </w:p>
              </w:tc>
            </w:tr>
            <w:tr>
              <w:tc>
                <w:tcPr/>
                <w:p>
                  <w:pPr>
                    <w:pStyle w:val="Compact"/>
                    <w:jc w:val="center"/>
                  </w:pPr>
                  <w:r>
                    <w:t xml:space="preserve">PE_Saldo</w:t>
                  </w:r>
                </w:p>
              </w:tc>
              <w:tc>
                <w:tcPr/>
                <w:p>
                  <w:pPr>
                    <w:pStyle w:val="Compact"/>
                    <w:jc w:val="center"/>
                  </w:pPr>
                  <w:r>
                    <w:t xml:space="preserve">-113.712,180</w:t>
                  </w:r>
                </w:p>
              </w:tc>
              <w:tc>
                <w:tcPr/>
                <w:p>
                  <w:pPr>
                    <w:pStyle w:val="Compact"/>
                    <w:jc w:val="center"/>
                  </w:pPr>
                  <w:r>
                    <w:t xml:space="preserve">-409,364</w:t>
                  </w:r>
                </w:p>
              </w:tc>
            </w:tr>
          </w:tbl>
          <w:bookmarkEnd w:id="241"/>
          <w:p/>
        </w:tc>
      </w:tr>
    </w:tbl>
    <w:p>
      <w:pPr>
        <w:pStyle w:val="BodyText"/>
      </w:pPr>
      <w:r>
        <w:t xml:space="preserve">Der PE-Saldo von</w:t>
      </w:r>
      <w:r>
        <w:t xml:space="preserve"> </w:t>
      </w:r>
      <w:r>
        <w:rPr>
          <w:b/>
          <w:bCs/>
        </w:rPr>
        <w:t xml:space="preserve">−409,36 PJ PE/a</w:t>
      </w:r>
      <w:r>
        <w:t xml:space="preserve"> </w:t>
      </w:r>
      <w:r>
        <w:t xml:space="preserve">ist ein Ergebnis des gelieferten Bewertungsstands. Die konkreten Konversionsfaktoren und ihr Bezugsjahr sind nicht bestätigt. Effektive Faktoren unterscheiden sich zwischen Typen und zwischen Import und Export; eine einfache Multiplikation sämtlicher Stromflüsse mit einem Jahresmittel würde die gelieferten PEI nicht reproduzieren. Die sektorale Aufgabe 2040 bleibt auf Endenergiebasis definiert. Eine Bewertung mit heutigen Faktoren stellt die Vergleichbarkeit mit heutigen Nachweisverfahren her und ist keine Prognose der PE-Intensitäten 2040 (</w:t>
      </w:r>
      <w:hyperlink w:anchor="sec-gebaeude-pe">
        <w:r>
          <w:rPr>
            <w:rStyle w:val="Hyperlink"/>
          </w:rPr>
          <w:t xml:space="preserve">Kapitel H.6</w:t>
        </w:r>
      </w:hyperlink>
      <w:r>
        <w:t xml:space="preserve">).</w:t>
      </w:r>
    </w:p>
    <w:bookmarkEnd w:id="242"/>
    <w:bookmarkStart w:id="247" w:name="sec-gfz-verteilung"/>
    <w:p>
      <w:pPr>
        <w:pStyle w:val="Heading2"/>
      </w:pPr>
      <w:r>
        <w:t xml:space="preserve">12.6 GFZ-Verteilung des österreichischen Gebäudebestands</w:t>
      </w:r>
    </w:p>
    <w:p>
      <w:pPr>
        <w:pStyle w:val="FirstParagraph"/>
      </w:pPr>
      <w:r>
        <w:t xml:space="preserve">Die vorhandene GFZ-Hochrechnung verwendet die statistische Gebäudestruktur 2021 und BGF-gewichtete Referenzverteilungen aus Wien und Salzburg. Ihre freigegebene Ersatzregel bleibt unverändert. Die neue Zuordnung aus der Excel übersetzt Nutzung und Geschoßklasse in geometrische Poolklassen.</w:t>
      </w:r>
      <w:r>
        <w:t xml:space="preserve"> </w:t>
      </w:r>
      <w:r>
        <w:rPr>
          <w:b/>
          <w:bCs/>
        </w:rPr>
        <w:t xml:space="preserve">Eine einzelne Zielklasse erhält 100 %; nur bei einer Aufteilung wird die zweite Zielspalte benutzt.</w:t>
      </w:r>
      <w:r>
        <w:t xml:space="preserve"> </w:t>
      </w:r>
      <w:r>
        <w:t xml:space="preserve">Diese Regel ist vom Auftraggeber bestätigt und in der aktualisierten Datei vollständig eingetragen. Für Wohngebäude mit zwei oder drei Geschoßen werden beispielsweise EFH_2G und RH_2G mit jeweils 50 % angesetzt.</w:t>
      </w:r>
    </w:p>
    <w:p>
      <w:pPr>
        <w:pStyle w:val="BodyText"/>
      </w:pPr>
      <w:r>
        <w:t xml:space="preserve">Die im GFZ-Modell zusammengefasste Kategorie „Ein- und Zweifamilienhäuser“ erhält die identischen Regeln der beiden entsprechenden Excel-Nutzungen nur einmal. Dadurch wird keine Referenzfläche doppelt gezählt. Aus den zugeordneten BGF-Mengen entstehen je Geometrie bedingte GFZ-Verteilungen. Unterschiedliche energetische Varianten derselben Geometrie übernehmen im Modell dieselbe Verteilung.</w:t>
      </w:r>
    </w:p>
    <w:tbl>
      <w:tblPr>
        <w:tblStyle w:val="Table"/>
        <w:tblW w:type="pct" w:w="5000"/>
        <w:tblLayout w:type="fixed"/>
        <w:tblLook w:firstRow="0" w:lastRow="0" w:firstColumn="0" w:lastColumn="0" w:noHBand="0" w:noVBand="0" w:val="0000"/>
      </w:tblPr>
      <w:tblGrid>
        <w:gridCol w:w="7920"/>
      </w:tblGrid>
      <w:tr>
        <w:tc>
          <w:tcPr/>
          <w:bookmarkStart w:id="246" w:name="fig-gebaeude-gfz"/>
          <w:p>
            <w:pPr>
              <w:pStyle w:val="Compact"/>
              <w:jc w:val="center"/>
            </w:pPr>
            <w:r>
              <w:drawing>
                <wp:inline>
                  <wp:extent cx="5334000" cy="1939636"/>
                  <wp:effectExtent b="0" l="0" r="0" t="0"/>
                  <wp:docPr descr="" title="" id="244" name="Picture"/>
                  <a:graphic>
                    <a:graphicData uri="http://schemas.openxmlformats.org/drawingml/2006/picture">
                      <pic:pic>
                        <pic:nvPicPr>
                          <pic:cNvPr descr="Kapitel/../Berechnungen/gebaeudesektormodell/outputs/gfz_dichte.png" id="245" name="Picture"/>
                          <pic:cNvPicPr>
                            <a:picLocks noChangeArrowheads="1" noChangeAspect="1"/>
                          </pic:cNvPicPr>
                        </pic:nvPicPr>
                        <pic:blipFill>
                          <a:blip r:embed="rId243"/>
                          <a:stretch>
                            <a:fillRect/>
                          </a:stretch>
                        </pic:blipFill>
                        <pic:spPr bwMode="auto">
                          <a:xfrm>
                            <a:off x="0" y="0"/>
                            <a:ext cx="5334000" cy="193963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12.4: GFZ-Verteilungen und Erwartungswerte des historischen Dichte-Referenzansatzes. Die Grafik zeigt GFZ bis 8; die Aggregation umfasst das vollständige Raster bis 20.</w:t>
            </w:r>
          </w:p>
          <w:bookmarkEnd w:id="246"/>
        </w:tc>
      </w:tr>
    </w:tbl>
    <w:p>
      <w:pPr>
        <w:pStyle w:val="BodyText"/>
      </w:pPr>
      <w:r>
        <w:t xml:space="preserve">Die Erwartungswerte in</w:t>
      </w:r>
      <w:r>
        <w:t xml:space="preserve"> </w:t>
      </w:r>
      <w:hyperlink w:anchor="tbl-gebaeude-typologien">
        <w:r>
          <w:rPr>
            <w:rStyle w:val="Hyperlink"/>
          </w:rPr>
          <w:t xml:space="preserve">Tabelle 12.1</w:t>
        </w:r>
      </w:hyperlink>
      <w:r>
        <w:t xml:space="preserve"> </w:t>
      </w:r>
      <w:r>
        <w:t xml:space="preserve">werden über sämtliche GFZ-Bins berechnet. Der Funktionswert am mittleren GFZ wäre wegen der Nichtlinearität nicht gleichwertig. Als elektrische Referenz dient die historische Tabellenparametrisierung aus</w:t>
      </w:r>
      <w:r>
        <w:t xml:space="preserve"> </w:t>
      </w:r>
      <w:r>
        <w:t xml:space="preserve">Schneider u. a. (2023)</w:t>
      </w:r>
      <w:r>
        <w:t xml:space="preserve">, Gl. 7 und Tab. 5, mit 30,4, 26,4, Achsenverschiebung 0,15 und Begrenzung 62. Die gemischte EE-/PE-Beschriftung der Quellentabelle ist im Notebook dokumentiert; der Referenzansatz ist eine historische Referenz, keine normative Neufestlegung.</w:t>
      </w:r>
    </w:p>
    <w:p>
      <w:pPr>
        <w:pStyle w:val="BodyText"/>
      </w:pPr>
      <w:r>
        <w:t xml:space="preserve">Der Erwartungswert</w:t>
      </w:r>
      <w:r>
        <w:t xml:space="preserve"> </w:t>
      </w:r>
      <m:oMath>
        <m:sSub>
          <m:e>
            <m:r>
              <m:rPr>
                <m:scr m:val="double-struck"/>
                <m:sty m:val="p"/>
              </m:rPr>
              <m:t>E</m:t>
            </m:r>
          </m:e>
          <m:sub>
            <m:r>
              <m:t>k</m:t>
            </m:r>
          </m:sub>
        </m:sSub>
        <m:r>
          <m:rPr>
            <m:sty m:val="p"/>
          </m:rPr>
          <m:t>[</m:t>
        </m:r>
        <m:sSub>
          <m:e>
            <m:r>
              <m:t>c</m:t>
            </m:r>
          </m:e>
          <m:sub>
            <m:r>
              <m:t>D</m:t>
            </m:r>
          </m:sub>
        </m:sSub>
        <m:r>
          <m:rPr>
            <m:sty m:val="p"/>
          </m:rPr>
          <m:t>]</m:t>
        </m:r>
      </m:oMath>
      <w:r>
        <w:t xml:space="preserve"> </w:t>
      </w:r>
      <w:r>
        <w:t xml:space="preserve">ist der BGF-gewichtete Mittelwert des Dichtewerts über die GFZ-Verteilung von Typ</w:t>
      </w:r>
      <w:r>
        <w:t xml:space="preserve"> </w:t>
      </w:r>
      <m:oMath>
        <m:r>
          <m:t>k</m:t>
        </m:r>
      </m:oMath>
      <w:r>
        <w:t xml:space="preserve">. Der Index</w:t>
      </w:r>
      <w:r>
        <w:t xml:space="preserve"> </w:t>
      </w:r>
      <m:oMath>
        <m:r>
          <m:t>j</m:t>
        </m:r>
      </m:oMath>
      <w:r>
        <w:t xml:space="preserve"> </w:t>
      </w:r>
      <w:r>
        <w:t xml:space="preserve">bezeichnet einen GFZ-Bin,</w:t>
      </w:r>
      <w:r>
        <w:t xml:space="preserve"> </w:t>
      </w:r>
      <m:oMath>
        <m:sSub>
          <m:e>
            <m:r>
              <m:t>s</m:t>
            </m:r>
          </m:e>
          <m:sub>
            <m:r>
              <m:t>j</m:t>
            </m:r>
            <m:r>
              <m:rPr>
                <m:sty m:val="p"/>
              </m:rPr>
              <m:t>|</m:t>
            </m:r>
            <m:r>
              <m:t>k</m:t>
            </m:r>
          </m:sub>
        </m:sSub>
      </m:oMath>
      <w:r>
        <w:t xml:space="preserve"> </w:t>
      </w:r>
      <w:r>
        <w:t xml:space="preserve">dessen Flächenanteil und</w:t>
      </w:r>
      <w:r>
        <w:t xml:space="preserve"> </w:t>
      </w:r>
      <m:oMath>
        <m:sSub>
          <m:e>
            <m:r>
              <m:t>d</m:t>
            </m:r>
          </m:e>
          <m:sub>
            <m:r>
              <m:t>j</m:t>
            </m:r>
          </m:sub>
        </m:sSub>
      </m:oMath>
      <w:r>
        <w:t xml:space="preserve"> </w:t>
      </w:r>
      <w:r>
        <w:t xml:space="preserve">seine GFZ. Der nationale virtuelle Beitrag lautet</w:t>
      </w:r>
      <w:r>
        <w:t xml:space="preserve"> </w:t>
      </w:r>
      <m:oMath>
        <m:sSub>
          <m:e>
            <m:r>
              <m:t>C</m:t>
            </m:r>
          </m:e>
          <m:sub>
            <m:r>
              <m:t>D</m:t>
            </m:r>
          </m:sub>
        </m:sSub>
        <m:r>
          <m:rPr>
            <m:sty m:val="p"/>
          </m:rPr>
          <m:t>=</m:t>
        </m:r>
        <m:nary>
          <m:naryPr>
            <m:chr m:val="∑"/>
            <m:limLoc m:val="undOvr"/>
            <m:subHide m:val="off"/>
            <m:supHide m:val="on"/>
          </m:naryPr>
          <m:sub>
            <m:r>
              <m:t>k</m:t>
            </m:r>
          </m:sub>
          <m:sup>
            <m:r>
              <m:t>​</m:t>
            </m:r>
          </m:sup>
          <m:e>
            <m:sSub>
              <m:e>
                <m:r>
                  <m:t>A</m:t>
                </m:r>
              </m:e>
              <m:sub>
                <m:r>
                  <m:t>B</m:t>
                </m:r>
                <m:r>
                  <m:t>G</m:t>
                </m:r>
                <m:r>
                  <m:t>F</m:t>
                </m:r>
                <m:r>
                  <m:rPr>
                    <m:sty m:val="p"/>
                  </m:rPr>
                  <m:t>,</m:t>
                </m:r>
                <m:r>
                  <m:t>k</m:t>
                </m:r>
              </m:sub>
            </m:sSub>
          </m:e>
        </m:nary>
        <m:sSub>
          <m:e>
            <m:r>
              <m:rPr>
                <m:scr m:val="double-struck"/>
                <m:sty m:val="p"/>
              </m:rPr>
              <m:t>E</m:t>
            </m:r>
          </m:e>
          <m:sub>
            <m:r>
              <m:t>k</m:t>
            </m:r>
          </m:sub>
        </m:sSub>
        <m:r>
          <m:rPr>
            <m:sty m:val="p"/>
          </m:rPr>
          <m:t>[</m:t>
        </m:r>
        <m:sSub>
          <m:e>
            <m:r>
              <m:t>c</m:t>
            </m:r>
          </m:e>
          <m:sub>
            <m:r>
              <m:t>D</m:t>
            </m:r>
          </m:sub>
        </m:sSub>
        <m:r>
          <m:rPr>
            <m:sty m:val="p"/>
          </m:rPr>
          <m:t>]</m:t>
        </m:r>
      </m:oMath>
      <w:r>
        <w:t xml:space="preserve">. Positive Werte entlasten die Bewertungsbilanz, negative erhöhen die Anforderung.</w:t>
      </w:r>
    </w:p>
    <w:p>
      <w:pPr>
        <w:pStyle w:val="BodyText"/>
      </w:pPr>
      <w:r>
        <w:t xml:space="preserve">Die virtuellen Erwartungswerte reichen hier von rund</w:t>
      </w:r>
      <w:r>
        <w:t xml:space="preserve"> </w:t>
      </w:r>
      <w:r>
        <w:rPr>
          <w:b/>
          <w:bCs/>
        </w:rPr>
        <w:t xml:space="preserve">−41,63 kWh EE/(m² BGF·a)</w:t>
      </w:r>
      <w:r>
        <w:t xml:space="preserve"> </w:t>
      </w:r>
      <w:r>
        <w:t xml:space="preserve">für EFH_1G bis</w:t>
      </w:r>
      <w:r>
        <w:t xml:space="preserve"> </w:t>
      </w:r>
      <w:r>
        <w:rPr>
          <w:b/>
          <w:bCs/>
        </w:rPr>
        <w:t xml:space="preserve">+16,44 kWh EE/(m² BGF·a)</w:t>
      </w:r>
      <w:r>
        <w:t xml:space="preserve"> </w:t>
      </w:r>
      <w:r>
        <w:t xml:space="preserve">für GWB_7G. Sie zeigen die Verteilung zusätzlicher Anforderungen und Gutschriften. Sie werden nicht als reale Stromerzeugung oder als pauschal zustehende Gutschrift aller Typen bilanziert.</w:t>
      </w:r>
    </w:p>
    <w:p>
      <w:pPr>
        <w:pStyle w:val="BodyText"/>
      </w:pPr>
      <w:r>
        <w:t xml:space="preserve">Die Auswahl enthält alle 900 Typen, gegliedert nach Geometrie; der Achsenregler zeigt einen lesbaren Ausschnitt. Der Tooltip nennt Archetyp und nationale Fläche. Bedarf wird negativ, PV positiv und die virtuelle Dichtekorrektur schraffiert gezeigt. MFH_2G besitzt keine zugeordnete GFZ-Verteilung und keine nationale Fläche; sein Kontextwert bleibt leer.</w:t>
      </w:r>
    </w:p>
    <w:bookmarkEnd w:id="247"/>
    <w:bookmarkStart w:id="250" w:name="X831e7baf6315b63bcf80577c668844c11c47966"/>
    <w:p>
      <w:pPr>
        <w:pStyle w:val="Heading2"/>
      </w:pPr>
      <w:r>
        <w:t xml:space="preserve">12.7 Gemeinsame Typologie-Dichte-Matrix und sektoraler Abgleich</w:t>
      </w:r>
    </w:p>
    <w:p>
      <w:pPr>
        <w:pStyle w:val="FirstParagraph"/>
      </w:pPr>
      <w:r>
        <w:t xml:space="preserve">Für Typologie</w:t>
      </w:r>
      <w:r>
        <w:t xml:space="preserve"> </w:t>
      </w:r>
      <m:oMath>
        <m:r>
          <m:t>k</m:t>
        </m:r>
      </m:oMath>
      <w:r>
        <w:t xml:space="preserve"> </w:t>
      </w:r>
      <w:r>
        <w:t xml:space="preserve">und GFZ-Bin</w:t>
      </w:r>
      <w:r>
        <w:t xml:space="preserve"> </w:t>
      </w:r>
      <m:oMath>
        <m:r>
          <m:t>j</m:t>
        </m:r>
      </m:oMath>
      <w:r>
        <w:t xml:space="preserve"> </w:t>
      </w:r>
      <w:r>
        <w:t xml:space="preserve">gilt:</w:t>
      </w:r>
    </w:p>
    <w:p>
      <w:pPr>
        <w:pStyle w:val="BodyText"/>
      </w:pPr>
      <w:bookmarkStart w:id="248" w:name="eq-typologie-gfz-flaeche"/>
      <m:oMathPara>
        <m:oMathParaPr>
          <m:jc m:val="center"/>
        </m:oMathParaPr>
        <m:oMath>
          <m:sSubSup>
            <m:e>
              <m:r>
                <m:t>A</m:t>
              </m:r>
            </m:e>
            <m:sub>
              <m:r>
                <m:t>k</m:t>
              </m:r>
              <m:r>
                <m:rPr>
                  <m:sty m:val="p"/>
                </m:rPr>
                <m:t>,</m:t>
              </m:r>
              <m:r>
                <m:t>j</m:t>
              </m:r>
            </m:sub>
            <m:sup>
              <m:r>
                <m:t>2040</m:t>
              </m:r>
            </m:sup>
          </m:sSubSup>
          <m:r>
            <m:rPr>
              <m:sty m:val="p"/>
            </m:rPr>
            <m:t>=</m:t>
          </m:r>
          <m:sSubSup>
            <m:e>
              <m:r>
                <m:t>A</m:t>
              </m:r>
            </m:e>
            <m:sub>
              <m:r>
                <m:t>k</m:t>
              </m:r>
            </m:sub>
            <m:sup>
              <m:r>
                <m:t>2040</m:t>
              </m:r>
            </m:sup>
          </m:sSubSup>
          <m:sSub>
            <m:e>
              <m:r>
                <m:t>s</m:t>
              </m:r>
            </m:e>
            <m:sub>
              <m:r>
                <m:t>j</m:t>
              </m:r>
              <m:r>
                <m:rPr>
                  <m:sty m:val="p"/>
                </m:rPr>
                <m:t>|</m:t>
              </m:r>
              <m:r>
                <m:t>k</m:t>
              </m:r>
            </m:sub>
          </m:sSub>
          <m:r>
            <m:rPr>
              <m:sty m:val="p"/>
            </m:rPr>
            <m:t>,</m:t>
          </m:r>
          <m:r>
            <m:t>  </m:t>
          </m:r>
          <m:nary>
            <m:naryPr>
              <m:chr m:val="∑"/>
              <m:limLoc m:val="undOvr"/>
              <m:subHide m:val="off"/>
              <m:supHide m:val="on"/>
            </m:naryPr>
            <m:sub>
              <m:r>
                <m:t>j</m:t>
              </m:r>
            </m:sub>
            <m:sup>
              <m:r>
                <m:t>​</m:t>
              </m:r>
            </m:sup>
            <m:e>
              <m:sSub>
                <m:e>
                  <m:r>
                    <m:t>s</m:t>
                  </m:r>
                </m:e>
                <m:sub>
                  <m:r>
                    <m:t>j</m:t>
                  </m:r>
                  <m:r>
                    <m:rPr>
                      <m:sty m:val="p"/>
                    </m:rPr>
                    <m:t>|</m:t>
                  </m:r>
                  <m:r>
                    <m:t>k</m:t>
                  </m:r>
                </m:sub>
              </m:sSub>
            </m:e>
          </m:nary>
          <m:r>
            <m:rPr>
              <m:sty m:val="p"/>
            </m:rPr>
            <m:t>=</m:t>
          </m:r>
          <m:r>
            <m:t>1</m:t>
          </m:r>
          <m:r>
            <m:rPr>
              <m:sty m:val="p"/>
            </m:rPr>
            <m:t>.</m:t>
          </m:r>
          <m:r>
            <m:t>  </m:t>
          </m:r>
          <m:r>
            <m:rPr>
              <m:sty m:val="p"/>
            </m:rPr>
            <m:t>(</m:t>
          </m:r>
          <m:r>
            <m:t>12.1</m:t>
          </m:r>
          <m:r>
            <m:rPr>
              <m:sty m:val="p"/>
            </m:rPr>
            <m:t>)</m:t>
          </m:r>
        </m:oMath>
      </m:oMathPara>
      <w:bookmarkEnd w:id="248"/>
    </w:p>
    <w:p>
      <w:pPr>
        <w:pStyle w:val="FirstParagraph"/>
      </w:pPr>
      <w:r>
        <w:t xml:space="preserve">Die erzeugte Typologie-Dichte-Matrix erhält die Fläche jedes positiv gewichteten Typs. Sie steht im Modellordner unter</w:t>
      </w:r>
      <w:r>
        <w:t xml:space="preserve"> </w:t>
      </w:r>
      <w:r>
        <w:rPr>
          <w:rStyle w:val="VerbatimChar"/>
        </w:rPr>
        <w:t xml:space="preserve">outputs/typologie_gfz_2040.csv.gz</w:t>
      </w:r>
      <w:r>
        <w:t xml:space="preserve"> </w:t>
      </w:r>
      <w:r>
        <w:t xml:space="preserve">zur Verfügung. Die Referenzverteilung von 2021 wird dafür als räumliches Verteilungsmuster verwendet, nicht als zusätzliche Flächensumme.</w:t>
      </w:r>
    </w:p>
    <w:tbl>
      <w:tblPr>
        <w:tblStyle w:val="Table"/>
        <w:tblW w:type="pct" w:w="5000"/>
        <w:tblLayout w:type="fixed"/>
        <w:tblLook w:firstRow="0" w:lastRow="0" w:firstColumn="0" w:lastColumn="0" w:noHBand="0" w:noVBand="0" w:val="0000"/>
      </w:tblPr>
      <w:tblGrid>
        <w:gridCol w:w="7920"/>
      </w:tblGrid>
      <w:tr>
        <w:tc>
          <w:tcPr/>
          <w:bookmarkStart w:id="249" w:name="tbl-gebaeude-abgleich"/>
          <w:p>
            <w:pPr>
              <w:jc w:val="center"/>
            </w:pPr>
            <w:pPr>
              <w:jc w:val="left"/>
              <w:spacing w:before="200"/>
              <w:pStyle w:val="ImageCaption"/>
            </w:pPr>
            <w:r>
              <w:t xml:space="preserve">Tabelle 12.6: Vergleich bei gleichen elektrischen Bilanzgrenzen; Top-down-Zuordnungen gemäß dokumentiertem Referenzfall.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Größe</w:t>
                  </w:r>
                </w:p>
              </w:tc>
              <w:tc>
                <w:tcPr/>
                <w:p>
                  <w:pPr>
                    <w:pStyle w:val="Compact"/>
                    <w:jc w:val="center"/>
                  </w:pPr>
                  <w:r>
                    <w:t xml:space="preserve">Bottom-up [PJ/a]</w:t>
                  </w:r>
                </w:p>
              </w:tc>
              <w:tc>
                <w:tcPr/>
                <w:p>
                  <w:pPr>
                    <w:pStyle w:val="Compact"/>
                    <w:jc w:val="center"/>
                  </w:pPr>
                  <w:r>
                    <w:t xml:space="preserve">Top-down [PJ/a]</w:t>
                  </w:r>
                </w:p>
              </w:tc>
              <w:tc>
                <w:tcPr/>
                <w:p>
                  <w:pPr>
                    <w:pStyle w:val="Compact"/>
                    <w:jc w:val="center"/>
                  </w:pPr>
                  <w:r>
                    <w:t xml:space="preserve">Differenz [PJ/a]</w:t>
                  </w:r>
                </w:p>
              </w:tc>
            </w:tr>
            <w:tr>
              <w:tc>
                <w:tcPr/>
                <w:p>
                  <w:pPr>
                    <w:pStyle w:val="Compact"/>
                    <w:jc w:val="center"/>
                  </w:pPr>
                  <w:r>
                    <w:t xml:space="preserve">PV-Erzeugung</w:t>
                  </w:r>
                </w:p>
              </w:tc>
              <w:tc>
                <w:tcPr/>
                <w:p>
                  <w:pPr>
                    <w:pStyle w:val="Compact"/>
                    <w:jc w:val="center"/>
                  </w:pPr>
                  <w:r>
                    <w:t xml:space="preserve">78,245</w:t>
                  </w:r>
                </w:p>
              </w:tc>
              <w:tc>
                <w:tcPr/>
                <w:p>
                  <w:pPr>
                    <w:pStyle w:val="Compact"/>
                    <w:jc w:val="center"/>
                  </w:pPr>
                  <w:r>
                    <w:t xml:space="preserve">149,000</w:t>
                  </w:r>
                </w:p>
              </w:tc>
              <w:tc>
                <w:tcPr/>
                <w:p>
                  <w:pPr>
                    <w:pStyle w:val="Compact"/>
                    <w:jc w:val="center"/>
                  </w:pPr>
                  <w:r>
                    <w:t xml:space="preserve">-70,755</w:t>
                  </w:r>
                </w:p>
              </w:tc>
            </w:tr>
            <w:tr>
              <w:tc>
                <w:tcPr/>
                <w:p>
                  <w:pPr>
                    <w:pStyle w:val="Compact"/>
                    <w:jc w:val="center"/>
                  </w:pPr>
                  <w:r>
                    <w:t xml:space="preserve">Gebäudestrombedarf</w:t>
                  </w:r>
                </w:p>
              </w:tc>
              <w:tc>
                <w:tcPr/>
                <w:p>
                  <w:pPr>
                    <w:pStyle w:val="Compact"/>
                    <w:jc w:val="center"/>
                  </w:pPr>
                  <w:r>
                    <w:t xml:space="preserve">137,493</w:t>
                  </w:r>
                </w:p>
              </w:tc>
              <w:tc>
                <w:tcPr/>
                <w:p>
                  <w:pPr>
                    <w:pStyle w:val="Compact"/>
                    <w:jc w:val="center"/>
                  </w:pPr>
                  <w:r>
                    <w:t xml:space="preserve">108,000</w:t>
                  </w:r>
                </w:p>
              </w:tc>
              <w:tc>
                <w:tcPr/>
                <w:p>
                  <w:pPr>
                    <w:pStyle w:val="Compact"/>
                    <w:jc w:val="center"/>
                  </w:pPr>
                  <w:r>
                    <w:t xml:space="preserve">29,493</w:t>
                  </w:r>
                </w:p>
              </w:tc>
            </w:tr>
            <w:tr>
              <w:tc>
                <w:tcPr/>
                <w:p>
                  <w:pPr>
                    <w:pStyle w:val="Compact"/>
                    <w:jc w:val="center"/>
                  </w:pPr>
                  <w:r>
                    <w:t xml:space="preserve">Betrieblicher Stromsaldo</w:t>
                  </w:r>
                </w:p>
              </w:tc>
              <w:tc>
                <w:tcPr/>
                <w:p>
                  <w:pPr>
                    <w:pStyle w:val="Compact"/>
                    <w:jc w:val="center"/>
                  </w:pPr>
                  <w:r>
                    <w:t xml:space="preserve">-59,248</w:t>
                  </w:r>
                </w:p>
              </w:tc>
              <w:tc>
                <w:tcPr/>
                <w:p>
                  <w:pPr>
                    <w:pStyle w:val="Compact"/>
                    <w:jc w:val="center"/>
                  </w:pPr>
                  <w:r>
                    <w:t xml:space="preserve">41,000</w:t>
                  </w:r>
                </w:p>
              </w:tc>
              <w:tc>
                <w:tcPr/>
                <w:p>
                  <w:pPr>
                    <w:pStyle w:val="Compact"/>
                    <w:jc w:val="center"/>
                  </w:pPr>
                  <w:r>
                    <w:t xml:space="preserve">-100,248</w:t>
                  </w:r>
                </w:p>
              </w:tc>
            </w:tr>
            <w:tr>
              <w:tc>
                <w:tcPr/>
                <w:p>
                  <w:pPr>
                    <w:pStyle w:val="Compact"/>
                    <w:jc w:val="center"/>
                  </w:pPr>
                  <w:r>
                    <w:t xml:space="preserve">Saldo einschließlich MIV</w:t>
                  </w:r>
                </w:p>
              </w:tc>
              <w:tc>
                <w:tcPr/>
                <w:p>
                  <w:pPr>
                    <w:pStyle w:val="Compact"/>
                    <w:jc w:val="center"/>
                  </w:pPr>
                  <w:r>
                    <w:t xml:space="preserve">-100,248</w:t>
                  </w:r>
                </w:p>
              </w:tc>
              <w:tc>
                <w:tcPr/>
                <w:p>
                  <w:pPr>
                    <w:pStyle w:val="Compact"/>
                    <w:jc w:val="center"/>
                  </w:pPr>
                  <w:r>
                    <w:t xml:space="preserve">0,000</w:t>
                  </w:r>
                </w:p>
              </w:tc>
              <w:tc>
                <w:tcPr/>
                <w:p>
                  <w:pPr>
                    <w:pStyle w:val="Compact"/>
                    <w:jc w:val="center"/>
                  </w:pPr>
                  <w:r>
                    <w:t xml:space="preserve">-100,248</w:t>
                  </w:r>
                </w:p>
              </w:tc>
            </w:tr>
          </w:tbl>
          <w:bookmarkEnd w:id="249"/>
          <w:p/>
        </w:tc>
      </w:tr>
    </w:tbl>
    <w:p>
      <w:pPr>
        <w:pStyle w:val="BodyText"/>
      </w:pPr>
      <w:r>
        <w:t xml:space="preserve">Die dritte Vergleichsgruppe addiert die historische Dichtefunktion rechnerisch über</w:t>
      </w:r>
      <w:r>
        <w:t xml:space="preserve"> </w:t>
      </w:r>
      <w:r>
        <w:rPr>
          <w:b/>
          <w:bCs/>
        </w:rPr>
        <w:t xml:space="preserve">alle positiv gewichteten Typen</w:t>
      </w:r>
      <w:r>
        <w:t xml:space="preserve">. Das ergibt einen virtuellen Beitrag von −57,81 PJ-Äquivalent/a: Der betriebliche Bewertungssaldo beträgt damit −117,06 PJ-Äquivalent/a und einschließlich derselben MIV-Zuordnung −158,06 PJ-Äquivalent/a. Die physischen Energieflüsse bleiben unverändert. Diese vollständige Anwendung ist ein transparenter Vergleichsfall; sie ersetzt keine Festlegung der PEQ-berechtigten Flächenanteile.</w:t>
      </w:r>
    </w:p>
    <w:p>
      <w:pPr>
        <w:pStyle w:val="BodyText"/>
      </w:pPr>
      <w:r>
        <w:t xml:space="preserve">Der Abstand zum Top-down-Saldo beträgt</w:t>
      </w:r>
      <w:r>
        <w:t xml:space="preserve"> </w:t>
      </w:r>
      <w:r>
        <w:rPr>
          <w:b/>
          <w:bCs/>
        </w:rPr>
        <w:t xml:space="preserve">−100,25 PJ/a</w:t>
      </w:r>
      <w:r>
        <w:t xml:space="preserve">. Er ergibt sich aus geringerer PV-Erzeugung und höherem Gebäudestrombedarf des gelieferten Pools. Werden auf beiden Seiten dieselben 31 PJ/a zentrale Restdeckung und 72 PJ/a MIV-Bedarf angesetzt, bleibt diese Differenz unverändert. Sie ist ein Szenariounterschied und wird nicht durch nachträgliche Flächenskalierung oder eine neue Gutschrift geschlossen.</w:t>
      </w:r>
    </w:p>
    <w:p>
      <w:pPr>
        <w:pStyle w:val="BodyText"/>
      </w:pPr>
      <w:r>
        <w:t xml:space="preserve">Für die Kalibrierung in</w:t>
      </w:r>
      <w:r>
        <w:t xml:space="preserve"> </w:t>
      </w:r>
      <w:hyperlink w:anchor="sec-kalibrierung">
        <w:r>
          <w:rPr>
            <w:rStyle w:val="Hyperlink"/>
          </w:rPr>
          <w:t xml:space="preserve">Kapitel 13</w:t>
        </w:r>
      </w:hyperlink>
      <w:r>
        <w:t xml:space="preserve"> </w:t>
      </w:r>
      <w:r>
        <w:t xml:space="preserve">fehlen die definierten PEQ-Flächenanteile, die abgestimmte Versorgung der übrigen Typen sowie alternative PV-/Flexibilitätsvarianten. Die gelieferte Typologiematrix und ihre Ergebnisse bilden die Grundlage für diese Entscheidungen. Die THG-Allokation erhält dadurch nicht automatisch eine neue Flächenbasis.</w:t>
      </w:r>
    </w:p>
    <w:bookmarkEnd w:id="250"/>
    <w:bookmarkEnd w:id="251"/>
    <w:bookmarkStart w:id="275" w:name="sec-kalibrierung"/>
    <w:p>
      <w:pPr>
        <w:pStyle w:val="Heading1"/>
      </w:pPr>
      <w:r>
        <w:t xml:space="preserve">13. Kalibrierung der PEQ-Energieanforderungen</w:t>
      </w:r>
    </w:p>
    <w:p>
      <w:pPr>
        <w:pStyle w:val="FirstParagraph"/>
      </w:pPr>
      <w:r>
        <w:t xml:space="preserve">Nationale Zielbilanz, neue Gebäudetypologien und dichteabhängige Anforderungen in Übereinstimmung bringen</w:t>
      </w:r>
    </w:p>
    <w:p>
      <w:pPr>
        <w:pStyle w:val="BodyText"/>
      </w:pPr>
      <w:r>
        <w:t xml:space="preserve">Die sektorale Allokation legt den nationalen Referenzsaldo für den Gebäudesektor fest (</w:t>
      </w:r>
      <w:hyperlink w:anchor="sec-allokation">
        <w:r>
          <w:rPr>
            <w:rStyle w:val="Hyperlink"/>
          </w:rPr>
          <w:t xml:space="preserve">Kapitel 11</w:t>
        </w:r>
      </w:hyperlink>
      <w:r>
        <w:t xml:space="preserve">). Die Gebäude- und Dichteverteilung definiert,</w:t>
      </w:r>
      <w:r>
        <w:t xml:space="preserve"> </w:t>
      </w:r>
      <w:r>
        <w:rPr>
          <w:b/>
          <w:bCs/>
        </w:rPr>
        <w:t xml:space="preserve">welche Flächen</w:t>
      </w:r>
      <w:r>
        <w:t xml:space="preserve"> </w:t>
      </w:r>
      <w:r>
        <w:t xml:space="preserve">zur Erfüllung dieses Ziels beitragen (</w:t>
      </w:r>
      <w:hyperlink w:anchor="sec-gebaeudebestand">
        <w:r>
          <w:rPr>
            <w:rStyle w:val="Hyperlink"/>
          </w:rPr>
          <w:t xml:space="preserve">Kapitel 12</w:t>
        </w:r>
      </w:hyperlink>
      <w:r>
        <w:t xml:space="preserve">). Gegenstand dieses Kapitels ist die Kalibrierung der</w:t>
      </w:r>
      <w:r>
        <w:t xml:space="preserve"> </w:t>
      </w:r>
      <w:r>
        <w:rPr>
          <w:b/>
          <w:bCs/>
        </w:rPr>
        <w:t xml:space="preserve">typologie- und dichteabhängigen PEQ-Anforderungen</w:t>
      </w:r>
      <w:r>
        <w:t xml:space="preserve">. Das Ziel ist keine beliebige positive Bilanz jedes einzelnen Gebäudes: Die Summe der konsistent umgerechneten, flächengewichteten Beiträge muss mit dem national zugewiesenen Ziel vereinbar sein.</w:t>
      </w:r>
    </w:p>
    <w:p>
      <w:pPr>
        <w:pStyle w:val="BodyText"/>
      </w:pPr>
      <w:r>
        <w:t xml:space="preserve">Der Dichtefaktor verteilt die Anforderungen zwischen unterschiedlichen baulichen Dichten. Die Sanierungsanpassung wird</w:t>
      </w:r>
      <w:r>
        <w:t xml:space="preserve"> </w:t>
      </w:r>
      <w:r>
        <w:rPr>
          <w:b/>
          <w:bCs/>
        </w:rPr>
        <w:t xml:space="preserve">nach energetischer Gebäudetypologie</w:t>
      </w:r>
      <w:r>
        <w:t xml:space="preserve"> </w:t>
      </w:r>
      <w:r>
        <w:t xml:space="preserve">festgelegt und im selben Modell abgestimmt. Eine allgemeine, von der Typologie unabhängige Pauschalgutschrift gehört nicht zur neuen Kalibrierung.</w:t>
      </w:r>
    </w:p>
    <w:bookmarkStart w:id="253" w:name="sec-typologiesalden"/>
    <w:p>
      <w:pPr>
        <w:pStyle w:val="Heading2"/>
      </w:pPr>
      <w:r>
        <w:t xml:space="preserve">13.1 Bilanzfunktionen der Gebäudetypologien</w:t>
      </w:r>
    </w:p>
    <w:p>
      <w:pPr>
        <w:pStyle w:val="FirstParagraph"/>
      </w:pPr>
      <w:r>
        <w:t xml:space="preserve">Für jede neue energetische Typologie</w:t>
      </w:r>
      <w:r>
        <w:t xml:space="preserve"> </w:t>
      </w:r>
      <m:oMath>
        <m:r>
          <m:t>k</m:t>
        </m:r>
      </m:oMath>
      <w:r>
        <w:t xml:space="preserve"> </w:t>
      </w:r>
      <w:r>
        <w:t xml:space="preserve">werden die relevanten jährlichen Bedarfe, Erzeugungsannahmen, Bewertungsgrenzen und Anforderungsparameter aus dem Gebäudeszenario beziehungsweise der Kalibrierung dokumentiert. Dabei ist zwischen zwei Rollen zu unterscheiden:</w:t>
      </w:r>
      <w:r>
        <w:t xml:space="preserve"> </w:t>
      </w:r>
      <w:r>
        <w:rPr>
          <w:b/>
          <w:bCs/>
        </w:rPr>
        <w:t xml:space="preserve">Nicht-PEQ-Klassen</w:t>
      </w:r>
      <w:r>
        <w:t xml:space="preserve"> </w:t>
      </w:r>
      <w:r>
        <w:t xml:space="preserve">gehen mit ihrem begründeten, szenariotypischen Bilanzbeitrag in die nationale Aggregation ein; für</w:t>
      </w:r>
      <w:r>
        <w:t xml:space="preserve"> </w:t>
      </w:r>
      <w:r>
        <w:rPr>
          <w:b/>
          <w:bCs/>
        </w:rPr>
        <w:t xml:space="preserve">PEQ-Klassen</w:t>
      </w:r>
      <w:r>
        <w:t xml:space="preserve"> </w:t>
      </w:r>
      <w:r>
        <w:t xml:space="preserve">wird die erforderliche Bilanzqualität als Zielwertfunktion bestimmt. Eine bestimmte PV-Ausstattung oder ein spezifischer Energiebedarf ist nicht automatisch bereits ein allgemein geltender PEQ-Grenzwert.</w:t>
      </w:r>
    </w:p>
    <w:p>
      <w:pPr>
        <w:pStyle w:val="BodyText"/>
      </w:pPr>
      <w:r>
        <w:t xml:space="preserve">Die Typologieparameter werden in einer versionierten Tabelle zusammengeführt. Zu klären ist dabei insbesondere, ob ein typologischer Zielsaldo bereits einen Sanierungsvorteil enthält. In diesem Fall darf derselbe Vorteil nicht ein zweites Mal als zusätzliche Sanierungsgutschrift verbucht werden.</w:t>
      </w:r>
    </w:p>
    <w:tbl>
      <w:tblPr>
        <w:tblStyle w:val="Table"/>
        <w:tblW w:type="pct" w:w="5000"/>
        <w:tblLayout w:type="fixed"/>
        <w:tblLook w:firstRow="0" w:lastRow="0" w:firstColumn="0" w:lastColumn="0" w:noHBand="0" w:noVBand="0" w:val="0000"/>
      </w:tblPr>
      <w:tblGrid>
        <w:gridCol w:w="7920"/>
      </w:tblGrid>
      <w:tr>
        <w:tc>
          <w:tcPr/>
          <w:bookmarkStart w:id="252" w:name="tbl-kalibrierparameter"/>
          <w:p>
            <w:pPr>
              <w:jc w:val="center"/>
            </w:pPr>
            <w:pPr>
              <w:jc w:val="left"/>
              <w:spacing w:before="200"/>
              <w:pStyle w:val="ImageCaption"/>
            </w:pPr>
            <w:r>
              <w:t xml:space="preserve">Tabelle 13.1: Parametrisierung der neuen Energieanforderungen. Typologiespezifische Zielsalden und Kontextgutschriften sind nicht doppelt zu erfassen.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Parameter</w:t>
                  </w:r>
                </w:p>
              </w:tc>
              <w:tc>
                <w:tcPr/>
                <w:p>
                  <w:pPr>
                    <w:pStyle w:val="Compact"/>
                    <w:jc w:val="center"/>
                  </w:pPr>
                  <w:r>
                    <w:t xml:space="preserve">Bedeutung</w:t>
                  </w:r>
                </w:p>
              </w:tc>
              <w:tc>
                <w:tcPr/>
                <w:p>
                  <w:pPr>
                    <w:pStyle w:val="Compact"/>
                    <w:jc w:val="center"/>
                  </w:pPr>
                  <w:r>
                    <w:t xml:space="preserve">Status</w:t>
                  </w:r>
                </w:p>
              </w:tc>
            </w:tr>
            <w:tr>
              <w:tc>
                <w:tcPr/>
                <w:p>
                  <w:pPr>
                    <w:pStyle w:val="Compact"/>
                    <w:jc w:val="center"/>
                  </w:pPr>
                  <m:oMath>
                    <m:r>
                      <m:t>k</m:t>
                    </m:r>
                  </m:oMath>
                  <w:r>
                    <w:t xml:space="preserve">,</w:t>
                  </w:r>
                  <w:r>
                    <w:t xml:space="preserve"> </w:t>
                  </w:r>
                  <m:oMath>
                    <m:sSubSup>
                      <m:e>
                        <m:r>
                          <m:t>A</m:t>
                        </m:r>
                      </m:e>
                      <m:sub>
                        <m:r>
                          <m:t>k</m:t>
                        </m:r>
                        <m:r>
                          <m:rPr>
                            <m:sty m:val="p"/>
                          </m:rPr>
                          <m:t>,</m:t>
                        </m:r>
                        <m:r>
                          <m:t>j</m:t>
                        </m:r>
                      </m:sub>
                      <m:sup>
                        <m:r>
                          <m:t>2040</m:t>
                        </m:r>
                      </m:sup>
                    </m:sSubSup>
                  </m:oMath>
                </w:p>
              </w:tc>
              <w:tc>
                <w:tcPr/>
                <w:p>
                  <w:pPr>
                    <w:pStyle w:val="Compact"/>
                    <w:jc w:val="center"/>
                  </w:pPr>
                  <w:r>
                    <w:t xml:space="preserve">Gebäudetyp und Fläche nach GFZ-Klasse</w:t>
                  </w:r>
                </w:p>
              </w:tc>
              <w:tc>
                <w:tcPr/>
                <w:p>
                  <w:pPr>
                    <w:pStyle w:val="Compact"/>
                    <w:jc w:val="center"/>
                  </w:pPr>
                  <w:r>
                    <w:t xml:space="preserve">Aus</w:t>
                  </w:r>
                  <w:r>
                    <w:t xml:space="preserve"> </w:t>
                  </w:r>
                  <w:hyperlink w:anchor="sec-gebaeudebestand">
                    <w:r>
                      <w:rPr>
                        <w:rStyle w:val="Hyperlink"/>
                      </w:rPr>
                      <w:t xml:space="preserve">Kapitel 12</w:t>
                    </w:r>
                  </w:hyperlink>
                </w:p>
              </w:tc>
            </w:tr>
            <w:tr>
              <w:tc>
                <w:tcPr/>
                <w:p>
                  <w:pPr>
                    <w:pStyle w:val="Compact"/>
                    <w:jc w:val="center"/>
                  </w:pPr>
                  <m:oMath>
                    <m:sSub>
                      <m:e>
                        <m:r>
                          <m:t>e</m:t>
                        </m:r>
                      </m:e>
                      <m:sub>
                        <m:r>
                          <m:t>k</m:t>
                        </m:r>
                      </m:sub>
                    </m:sSub>
                  </m:oMath>
                  <w:r>
                    <w:t xml:space="preserve">,</w:t>
                  </w:r>
                  <w:r>
                    <w:t xml:space="preserve"> </w:t>
                  </w:r>
                  <m:oMath>
                    <m:sSub>
                      <m:e>
                        <m:r>
                          <m:t>p</m:t>
                        </m:r>
                      </m:e>
                      <m:sub>
                        <m:r>
                          <m:t>k</m:t>
                        </m:r>
                      </m:sub>
                    </m:sSub>
                  </m:oMath>
                </w:p>
              </w:tc>
              <w:tc>
                <w:tcPr/>
                <w:p>
                  <w:pPr>
                    <w:pStyle w:val="Compact"/>
                    <w:jc w:val="center"/>
                  </w:pPr>
                  <w:r>
                    <w:t xml:space="preserve">Typologiebezogener Energiebedarf und lokale Erzeugung</w:t>
                  </w:r>
                </w:p>
              </w:tc>
              <w:tc>
                <w:tcPr/>
                <w:p>
                  <w:pPr>
                    <w:pStyle w:val="Compact"/>
                    <w:jc w:val="center"/>
                  </w:pPr>
                  <w:r>
                    <w:t xml:space="preserve">Gelieferte PV30/noFlex-Kennwerte in</w:t>
                  </w:r>
                  <w:r>
                    <w:t xml:space="preserve"> </w:t>
                  </w:r>
                  <w:hyperlink w:anchor="sec-gebaeudesektormodell">
                    <w:r>
                      <w:rPr>
                        <w:rStyle w:val="Hyperlink"/>
                      </w:rPr>
                      <w:t xml:space="preserve">Anhang H</w:t>
                    </w:r>
                  </w:hyperlink>
                </w:p>
              </w:tc>
            </w:tr>
            <w:tr>
              <w:tc>
                <w:tcPr/>
                <w:p>
                  <w:pPr>
                    <w:pStyle w:val="Compact"/>
                    <w:jc w:val="center"/>
                  </w:pPr>
                  <m:oMath>
                    <m:sSubSup>
                      <m:e>
                        <m:r>
                          <m:t>b</m:t>
                        </m:r>
                      </m:e>
                      <m:sub>
                        <m:r>
                          <m:t>k</m:t>
                        </m:r>
                        <m:r>
                          <m:rPr>
                            <m:sty m:val="p"/>
                          </m:rPr>
                          <m:t>,</m:t>
                        </m:r>
                        <m:r>
                          <m:t>j</m:t>
                        </m:r>
                      </m:sub>
                      <m:sup>
                        <m:r>
                          <m:rPr>
                            <m:sty m:val="p"/>
                          </m:rPr>
                          <m:t>r</m:t>
                        </m:r>
                        <m:r>
                          <m:rPr>
                            <m:sty m:val="p"/>
                          </m:rPr>
                          <m:t>e</m:t>
                        </m:r>
                        <m:r>
                          <m:rPr>
                            <m:sty m:val="p"/>
                          </m:rPr>
                          <m:t>f</m:t>
                        </m:r>
                      </m:sup>
                    </m:sSubSup>
                  </m:oMath>
                  <w:r>
                    <w:t xml:space="preserve">​</w:t>
                  </w:r>
                </w:p>
              </w:tc>
              <w:tc>
                <w:tcPr/>
                <w:p>
                  <w:pPr>
                    <w:pStyle w:val="Compact"/>
                    <w:jc w:val="center"/>
                  </w:pPr>
                  <w:r>
                    <w:t xml:space="preserve">Modellierter Referenzsaldo für Nicht-PEQ-Klassen</w:t>
                  </w:r>
                </w:p>
              </w:tc>
              <w:tc>
                <w:tcPr/>
                <w:p>
                  <w:pPr>
                    <w:pStyle w:val="Compact"/>
                    <w:jc w:val="center"/>
                  </w:pPr>
                  <w:r>
                    <w:t xml:space="preserve">Aus Szenarioannahmen zu bestimmen</w:t>
                  </w:r>
                </w:p>
              </w:tc>
            </w:tr>
            <w:tr>
              <w:tc>
                <w:tcPr/>
                <w:p>
                  <w:pPr>
                    <w:pStyle w:val="Compact"/>
                    <w:jc w:val="center"/>
                  </w:pPr>
                  <m:oMath>
                    <m:sSubSup>
                      <m:e>
                        <m:r>
                          <m:t>t</m:t>
                        </m:r>
                      </m:e>
                      <m:sub>
                        <m:r>
                          <m:t>k</m:t>
                        </m:r>
                        <m:r>
                          <m:rPr>
                            <m:sty m:val="p"/>
                          </m:rPr>
                          <m:t>,</m:t>
                        </m:r>
                        <m:r>
                          <m:t>j</m:t>
                        </m:r>
                      </m:sub>
                      <m:sup>
                        <m:r>
                          <m:rPr>
                            <m:sty m:val="p"/>
                          </m:rPr>
                          <m:t>P</m:t>
                        </m:r>
                        <m:r>
                          <m:rPr>
                            <m:sty m:val="p"/>
                          </m:rPr>
                          <m:t>E</m:t>
                        </m:r>
                        <m:r>
                          <m:rPr>
                            <m:sty m:val="p"/>
                          </m:rPr>
                          <m:t>Q</m:t>
                        </m:r>
                      </m:sup>
                    </m:sSubSup>
                  </m:oMath>
                  <w:r>
                    <w:t xml:space="preserve">​</w:t>
                  </w:r>
                </w:p>
              </w:tc>
              <w:tc>
                <w:tcPr/>
                <w:p>
                  <w:pPr>
                    <w:pStyle w:val="Compact"/>
                    <w:jc w:val="center"/>
                  </w:pPr>
                  <w:r>
                    <w:t xml:space="preserve">Zu kalibrierender Mindestbeitrag für PEQ-Klassen</w:t>
                  </w:r>
                </w:p>
              </w:tc>
              <w:tc>
                <w:tcPr/>
                <w:p>
                  <w:pPr>
                    <w:pStyle w:val="Compact"/>
                    <w:jc w:val="center"/>
                  </w:pPr>
                  <w:r>
                    <w:t xml:space="preserve">Neu zu kalibrieren</w:t>
                  </w:r>
                </w:p>
              </w:tc>
            </w:tr>
            <w:tr>
              <w:tc>
                <w:tcPr/>
                <w:p>
                  <w:pPr>
                    <w:pStyle w:val="Compact"/>
                    <w:jc w:val="center"/>
                  </w:pPr>
                  <m:oMath>
                    <m:sSub>
                      <m:e>
                        <m:r>
                          <m:t>c</m:t>
                        </m:r>
                      </m:e>
                      <m:sub>
                        <m:r>
                          <m:rPr>
                            <m:sty m:val="p"/>
                          </m:rPr>
                          <m:t>S</m:t>
                        </m:r>
                        <m:r>
                          <m:rPr>
                            <m:sty m:val="p"/>
                          </m:rPr>
                          <m:t>,</m:t>
                        </m:r>
                        <m:r>
                          <m:t>k</m:t>
                        </m:r>
                      </m:sub>
                    </m:sSub>
                  </m:oMath>
                  <w:r>
                    <w:t xml:space="preserve">​</w:t>
                  </w:r>
                </w:p>
              </w:tc>
              <w:tc>
                <w:tcPr/>
                <w:p>
                  <w:pPr>
                    <w:pStyle w:val="Compact"/>
                    <w:jc w:val="center"/>
                  </w:pPr>
                  <w:r>
                    <w:rPr>
                      <w:b/>
                      <w:bCs/>
                    </w:rPr>
                    <w:t xml:space="preserve">Typologiespezifische Sanierungsanpassung</w:t>
                  </w:r>
                  <w:r>
                    <w:t xml:space="preserve"> </w:t>
                  </w:r>
                  <w:r>
                    <w:t xml:space="preserve">für die jeweils berechtigte PEQ-Klasse</w:t>
                  </w:r>
                </w:p>
              </w:tc>
              <w:tc>
                <w:tcPr/>
                <w:p>
                  <w:pPr>
                    <w:pStyle w:val="Compact"/>
                    <w:jc w:val="center"/>
                  </w:pPr>
                  <w:r>
                    <w:t xml:space="preserve">Neu zu kalibrieren</w:t>
                  </w:r>
                </w:p>
              </w:tc>
            </w:tr>
            <w:tr>
              <w:tc>
                <w:tcPr/>
                <w:p>
                  <w:pPr>
                    <w:pStyle w:val="Compact"/>
                    <w:jc w:val="center"/>
                  </w:pPr>
                  <m:oMath>
                    <m:sSub>
                      <m:e>
                        <m:r>
                          <m:t>c</m:t>
                        </m:r>
                      </m:e>
                      <m:sub>
                        <m:r>
                          <m:rPr>
                            <m:sty m:val="p"/>
                          </m:rPr>
                          <m:t>D</m:t>
                        </m:r>
                      </m:sub>
                    </m:sSub>
                    <m:r>
                      <m:rPr>
                        <m:sty m:val="p"/>
                      </m:rPr>
                      <m:t>(</m:t>
                    </m:r>
                    <m:r>
                      <m:t>d</m:t>
                    </m:r>
                    <m:r>
                      <m:rPr>
                        <m:sty m:val="p"/>
                      </m:rPr>
                      <m:t>;</m:t>
                    </m:r>
                    <m:r>
                      <m:t>θ</m:t>
                    </m:r>
                    <m:r>
                      <m:rPr>
                        <m:sty m:val="p"/>
                      </m:rPr>
                      <m:t>)</m:t>
                    </m:r>
                  </m:oMath>
                  <w:r>
                    <w:t xml:space="preserve">​</w:t>
                  </w:r>
                </w:p>
              </w:tc>
              <w:tc>
                <w:tcPr/>
                <w:p>
                  <w:pPr>
                    <w:pStyle w:val="Compact"/>
                    <w:jc w:val="center"/>
                  </w:pPr>
                  <w:r>
                    <w:t xml:space="preserve">Dichteabhängige Zielwertkorrektur</w:t>
                  </w:r>
                </w:p>
              </w:tc>
              <w:tc>
                <w:tcPr/>
                <w:p>
                  <w:pPr>
                    <w:pStyle w:val="Compact"/>
                    <w:jc w:val="center"/>
                  </w:pPr>
                  <w:r>
                    <w:t xml:space="preserve">Neu zu kalibrieren</w:t>
                  </w:r>
                </w:p>
              </w:tc>
            </w:tr>
            <w:tr>
              <w:tc>
                <w:tcPr/>
                <w:p>
                  <w:pPr>
                    <w:pStyle w:val="Compact"/>
                    <w:jc w:val="center"/>
                  </w:pPr>
                  <m:oMath>
                    <m:r>
                      <m:t>θ</m:t>
                    </m:r>
                  </m:oMath>
                  <w:r>
                    <w:t xml:space="preserve">​</w:t>
                  </w:r>
                </w:p>
              </w:tc>
              <w:tc>
                <w:tcPr/>
                <w:p>
                  <w:pPr>
                    <w:pStyle w:val="Compact"/>
                    <w:jc w:val="center"/>
                  </w:pPr>
                  <w:r>
                    <w:t xml:space="preserve">Parameter der Lastenverteilung und gegebenenfalls weitere Nebenbedingungen</w:t>
                  </w:r>
                </w:p>
              </w:tc>
              <w:tc>
                <w:tcPr/>
                <w:p>
                  <w:pPr>
                    <w:pStyle w:val="Compact"/>
                    <w:jc w:val="center"/>
                  </w:pPr>
                  <w:r>
                    <w:t xml:space="preserve">Gemeinsam festzulegen</w:t>
                  </w:r>
                </w:p>
              </w:tc>
            </w:tr>
          </w:tbl>
          <w:bookmarkEnd w:id="252"/>
          <w:p/>
        </w:tc>
      </w:tr>
    </w:tbl>
    <w:bookmarkEnd w:id="253"/>
    <w:bookmarkStart w:id="263" w:name="sec-kontext-dichte"/>
    <w:p>
      <w:pPr>
        <w:pStyle w:val="Heading2"/>
      </w:pPr>
      <w:r>
        <w:t xml:space="preserve">13.2 Kontextfaktor Dichte: Begründung und physikalisches Prinzip</w:t>
      </w:r>
    </w:p>
    <w:p>
      <w:pPr>
        <w:pStyle w:val="FirstParagraph"/>
      </w:pPr>
      <w:r>
        <w:t xml:space="preserve">Mit zunehmender baulicher Dichte steigt der Energiebedarf näherungsweise mit der genutzten Geschossfläche, während die für lokale erneuerbare Erzeugung verfügbaren Dach-, Fassaden- und Grundstücksflächen vergleichsweise knapp werden. Eine einheitlich geforderte positive physische Jahresbilanz würde daher niedrig verdichtete Projekte häufig begünstigen und hohe städtebauliche Dichten benachteiligen. Die GFZ-basierte Anpassung vermeidet, dass kompakte Siedlungsformen allein wegen ihrer kleineren lokalen Erzeugungsflächen als weniger ambitioniert gelten</w:t>
      </w:r>
      <w:r>
        <w:t xml:space="preserve"> </w:t>
      </w:r>
      <w:r>
        <w:t xml:space="preserve">(Fellner u. a. 2020; Schöfmann u. a. 2020; Schneider u. a. 2023)</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ichte-prinzip"/>
          <w:p>
            <w:pPr>
              <w:pStyle w:val="Compact"/>
              <w:jc w:val="center"/>
            </w:pPr>
            <w:r>
              <w:drawing>
                <wp:inline>
                  <wp:extent cx="5067300" cy="2098908"/>
                  <wp:effectExtent b="0" l="0" r="0" t="0"/>
                  <wp:docPr descr="" title="" id="255" name="Picture"/>
                  <a:graphic>
                    <a:graphicData uri="http://schemas.openxmlformats.org/drawingml/2006/picture">
                      <pic:pic>
                        <pic:nvPicPr>
                          <pic:cNvPr descr="Kapitel/../Abbildungen/dichte_prinzip2.png" id="256" name="Picture"/>
                          <pic:cNvPicPr>
                            <a:picLocks noChangeArrowheads="1" noChangeAspect="1"/>
                          </pic:cNvPicPr>
                        </pic:nvPicPr>
                        <pic:blipFill>
                          <a:blip r:embed="rId254"/>
                          <a:stretch>
                            <a:fillRect/>
                          </a:stretch>
                        </pic:blipFill>
                        <pic:spPr bwMode="auto">
                          <a:xfrm>
                            <a:off x="0" y="0"/>
                            <a:ext cx="5067300" cy="2098908"/>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13.1: Zusammenhang zwischen baulicher Dichte, verfügbarer Erzeugungsfläche und spezifischem Energiepotenzial.</w:t>
            </w:r>
          </w:p>
          <w:bookmarkEnd w:id="257"/>
        </w:tc>
      </w:tr>
    </w:tbl>
    <w:p>
      <w:pPr>
        <w:pStyle w:val="BodyText"/>
      </w:pPr>
      <w:r>
        <w:t xml:space="preserve">Sei</w:t>
      </w:r>
      <w:r>
        <w:t xml:space="preserve"> </w:t>
      </w:r>
      <m:oMath>
        <m:sSub>
          <m:e>
            <m:r>
              <m:t>A</m:t>
            </m:r>
          </m:e>
          <m:sub>
            <m:r>
              <m:t>G</m:t>
            </m:r>
          </m:sub>
        </m:sSub>
      </m:oMath>
      <w:r>
        <w:t xml:space="preserve"> </w:t>
      </w:r>
      <w:r>
        <w:t xml:space="preserve">die Grundstücksfläche,</w:t>
      </w:r>
      <w:r>
        <w:t xml:space="preserve"> </w:t>
      </w:r>
      <m:oMath>
        <m:sSub>
          <m:e>
            <m:r>
              <m:t>A</m:t>
            </m:r>
          </m:e>
          <m:sub>
            <m:r>
              <m:t>B</m:t>
            </m:r>
          </m:sub>
        </m:sSub>
      </m:oMath>
      <w:r>
        <w:t xml:space="preserve"> </w:t>
      </w:r>
      <w:r>
        <w:t xml:space="preserve">die Bruttogrundfläche und</w:t>
      </w:r>
      <w:r>
        <w:t xml:space="preserve"> </w:t>
      </w:r>
      <m:oMath>
        <m:r>
          <m:t>d</m:t>
        </m:r>
        <m:r>
          <m:rPr>
            <m:sty m:val="p"/>
          </m:rPr>
          <m:t>=</m:t>
        </m:r>
        <m:sSub>
          <m:e>
            <m:r>
              <m:t>A</m:t>
            </m:r>
          </m:e>
          <m:sub>
            <m:r>
              <m:t>B</m:t>
            </m:r>
          </m:sub>
        </m:sSub>
        <m:r>
          <m:rPr>
            <m:sty m:val="p"/>
          </m:rPr>
          <m:t>/</m:t>
        </m:r>
        <m:sSub>
          <m:e>
            <m:r>
              <m:t>A</m:t>
            </m:r>
          </m:e>
          <m:sub>
            <m:r>
              <m:t>G</m:t>
            </m:r>
          </m:sub>
        </m:sSub>
      </m:oMath>
      <w:r>
        <w:t xml:space="preserve"> </w:t>
      </w:r>
      <w:r>
        <w:t xml:space="preserve">die GFZ. Bei einem Erzeugungspotenzial</w:t>
      </w:r>
      <w:r>
        <w:t xml:space="preserve"> </w:t>
      </w:r>
      <m:oMath>
        <m:r>
          <m:t>p</m:t>
        </m:r>
      </m:oMath>
      <w:r>
        <w:t xml:space="preserve"> </w:t>
      </w:r>
      <w:r>
        <w:t xml:space="preserve">je Grundstücksfläche und einem Bedarf</w:t>
      </w:r>
      <w:r>
        <w:t xml:space="preserve"> </w:t>
      </w:r>
      <m:oMath>
        <m:r>
          <m:t>e</m:t>
        </m:r>
      </m:oMath>
      <w:r>
        <w:t xml:space="preserve"> </w:t>
      </w:r>
      <w:r>
        <w:t xml:space="preserve">je BGF ergibt sich schematisch:</w:t>
      </w:r>
    </w:p>
    <w:p>
      <w:pPr>
        <w:pStyle w:val="BodyText"/>
      </w:pPr>
      <w:bookmarkStart w:id="258" w:name="eq-dichte-prinzip"/>
      <m:oMathPara>
        <m:oMathParaPr>
          <m:jc m:val="center"/>
        </m:oMathParaPr>
        <m:oMath>
          <m:r>
            <m:t>b</m:t>
          </m:r>
          <m:r>
            <m:rPr>
              <m:sty m:val="p"/>
            </m:rPr>
            <m:t>(</m:t>
          </m:r>
          <m:r>
            <m:t>d</m:t>
          </m:r>
          <m:r>
            <m:rPr>
              <m:sty m:val="p"/>
            </m:rPr>
            <m:t>)</m:t>
          </m:r>
          <m:r>
            <m:rPr>
              <m:sty m:val="p"/>
            </m:rPr>
            <m:t>=</m:t>
          </m:r>
          <m:f>
            <m:fPr>
              <m:type m:val="bar"/>
            </m:fPr>
            <m:num>
              <m:r>
                <m:t>p</m:t>
              </m:r>
              <m:sSub>
                <m:e>
                  <m:r>
                    <m:t>A</m:t>
                  </m:r>
                </m:e>
                <m:sub>
                  <m:r>
                    <m:t>G</m:t>
                  </m:r>
                </m:sub>
              </m:sSub>
              <m:r>
                <m:rPr>
                  <m:sty m:val="p"/>
                </m:rPr>
                <m:t>−</m:t>
              </m:r>
              <m:r>
                <m:t>e</m:t>
              </m:r>
              <m:sSub>
                <m:e>
                  <m:r>
                    <m:t>A</m:t>
                  </m:r>
                </m:e>
                <m:sub>
                  <m:r>
                    <m:t>B</m:t>
                  </m:r>
                </m:sub>
              </m:sSub>
            </m:num>
            <m:den>
              <m:sSub>
                <m:e>
                  <m:r>
                    <m:t>A</m:t>
                  </m:r>
                </m:e>
                <m:sub>
                  <m:r>
                    <m:t>B</m:t>
                  </m:r>
                </m:sub>
              </m:sSub>
            </m:den>
          </m:f>
          <m:r>
            <m:rPr>
              <m:sty m:val="p"/>
            </m:rPr>
            <m:t>=</m:t>
          </m:r>
          <m:f>
            <m:fPr>
              <m:type m:val="bar"/>
            </m:fPr>
            <m:num>
              <m:r>
                <m:t>p</m:t>
              </m:r>
            </m:num>
            <m:den>
              <m:r>
                <m:t>d</m:t>
              </m:r>
            </m:den>
          </m:f>
          <m:r>
            <m:rPr>
              <m:sty m:val="p"/>
            </m:rPr>
            <m:t>−</m:t>
          </m:r>
          <m:r>
            <m:t>e</m:t>
          </m:r>
          <m:r>
            <m:rPr>
              <m:sty m:val="p"/>
            </m:rPr>
            <m:t>.</m:t>
          </m:r>
          <m:r>
            <m:t>  </m:t>
          </m:r>
          <m:r>
            <m:rPr>
              <m:sty m:val="p"/>
            </m:rPr>
            <m:t>(</m:t>
          </m:r>
          <m:r>
            <m:t>13.1</m:t>
          </m:r>
          <m:r>
            <m:rPr>
              <m:sty m:val="p"/>
            </m:rPr>
            <m:t>)</m:t>
          </m:r>
        </m:oMath>
      </m:oMathPara>
      <w:bookmarkEnd w:id="258"/>
    </w:p>
    <w:p>
      <w:pPr>
        <w:pStyle w:val="FirstParagraph"/>
      </w:pPr>
      <w:r>
        <w:t xml:space="preserve">Die Gleichung beschreibt den physikalischen Zusammenhang; die Anforderung folgt aus der nationalen Kalibrierung. Eine Zielwertfunktion kann durch Parameter, eine Verschiebung der Dichteachse und eine Begrenzung der Gutschrift den Zusammenhang in eine Lastenverteilungsregel übersetzen. Die Parameter sind anhand der nationalen Gebäudeverteilung und Zielbilanz festzulegen</w:t>
      </w:r>
      <w:r>
        <w:t xml:space="preserve"> </w:t>
      </w:r>
      <w:r>
        <w:t xml:space="preserve">(Schneider u. a. 2023, Gl. 7–8)</w:t>
      </w:r>
      <w:r>
        <w:t xml:space="preserve">. Gebäudeform, Verschattung, Dach- und Fassadennutzung bleiben Gegenstand der tatsächlichen Quartiersbilanz.</w:t>
      </w:r>
    </w:p>
    <w:tbl>
      <w:tblPr>
        <w:tblStyle w:val="Table"/>
        <w:tblW w:type="pct" w:w="5000"/>
        <w:tblLayout w:type="fixed"/>
        <w:tblLook w:firstRow="0" w:lastRow="0" w:firstColumn="0" w:lastColumn="0" w:noHBand="0" w:noVBand="0" w:val="0000"/>
      </w:tblPr>
      <w:tblGrid>
        <w:gridCol w:w="7920"/>
      </w:tblGrid>
      <w:tr>
        <w:tc>
          <w:tcPr/>
          <w:bookmarkStart w:id="262" w:name="fig-dichte-datenpunkte"/>
          <w:p>
            <w:pPr>
              <w:pStyle w:val="Compact"/>
              <w:jc w:val="center"/>
            </w:pPr>
            <w:r>
              <w:drawing>
                <wp:inline>
                  <wp:extent cx="5334000" cy="2547582"/>
                  <wp:effectExtent b="0" l="0" r="0" t="0"/>
                  <wp:docPr descr="" title="" id="260" name="Picture"/>
                  <a:graphic>
                    <a:graphicData uri="http://schemas.openxmlformats.org/drawingml/2006/picture">
                      <pic:pic>
                        <pic:nvPicPr>
                          <pic:cNvPr descr="Kapitel/../Abbildungen/dichte_datenpunkte.png" id="261" name="Picture"/>
                          <pic:cNvPicPr>
                            <a:picLocks noChangeArrowheads="1" noChangeAspect="1"/>
                          </pic:cNvPicPr>
                        </pic:nvPicPr>
                        <pic:blipFill>
                          <a:blip r:embed="rId259"/>
                          <a:stretch>
                            <a:fillRect/>
                          </a:stretch>
                        </pic:blipFill>
                        <pic:spPr bwMode="auto">
                          <a:xfrm>
                            <a:off x="0" y="0"/>
                            <a:ext cx="5334000" cy="2547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13.2: Illustration des Zusammenhangs zwischen technischem Energiepotenzial und baulicher Dichte.</w:t>
            </w:r>
          </w:p>
          <w:bookmarkEnd w:id="262"/>
        </w:tc>
      </w:tr>
    </w:tbl>
    <w:bookmarkEnd w:id="263"/>
    <w:bookmarkStart w:id="265" w:name="Xcc599b722e242b84f1a1e3411bc85e7c1f2fd95"/>
    <w:p>
      <w:pPr>
        <w:pStyle w:val="Heading2"/>
      </w:pPr>
      <w:r>
        <w:t xml:space="preserve">13.3 Parametrisierung der Zielwert- und Gutschriftenfunktion</w:t>
      </w:r>
    </w:p>
    <w:p>
      <w:pPr>
        <w:pStyle w:val="FirstParagraph"/>
      </w:pPr>
      <w:r>
        <w:t xml:space="preserve">Bei der Neubestimmung der Funktion ist zwischen dem unveränderten</w:t>
      </w:r>
      <w:r>
        <w:t xml:space="preserve"> </w:t>
      </w:r>
      <w:r>
        <w:rPr>
          <w:b/>
          <w:bCs/>
        </w:rPr>
        <w:t xml:space="preserve">physikalisch errechneten Quartierssaldo</w:t>
      </w:r>
      <w:r>
        <w:t xml:space="preserve"> </w:t>
      </w:r>
      <w:r>
        <w:t xml:space="preserve">und den</w:t>
      </w:r>
      <w:r>
        <w:t xml:space="preserve"> </w:t>
      </w:r>
      <w:r>
        <w:rPr>
          <w:b/>
          <w:bCs/>
        </w:rPr>
        <w:t xml:space="preserve">virtuellen Zielwertkorrekturen</w:t>
      </w:r>
      <w:r>
        <w:t xml:space="preserve"> </w:t>
      </w:r>
      <w:r>
        <w:t xml:space="preserve">zu unterscheiden. Für eine PEQ-berechtigte Typologie</w:t>
      </w:r>
      <w:r>
        <w:t xml:space="preserve"> </w:t>
      </w:r>
      <m:oMath>
        <m:r>
          <m:t>k</m:t>
        </m:r>
      </m:oMath>
      <w:r>
        <w:t xml:space="preserve"> </w:t>
      </w:r>
      <w:r>
        <w:t xml:space="preserve">lautet die Bewertungsbedingung schematisch:</w:t>
      </w:r>
    </w:p>
    <w:p>
      <w:pPr>
        <w:pStyle w:val="BodyText"/>
      </w:pPr>
      <w:bookmarkStart w:id="264" w:name="eq-zielwert-typologie"/>
      <m:oMathPara>
        <m:oMathParaPr>
          <m:jc m:val="center"/>
        </m:oMathParaPr>
        <m:oMath>
          <m:sSub>
            <m:e>
              <m:r>
                <m:t>b</m:t>
              </m:r>
            </m:e>
            <m:sub>
              <m:r>
                <m:rPr>
                  <m:sty m:val="p"/>
                </m:rPr>
                <m:t>P</m:t>
              </m:r>
              <m:r>
                <m:rPr>
                  <m:sty m:val="p"/>
                </m:rPr>
                <m:t>E</m:t>
              </m:r>
              <m:r>
                <m:rPr>
                  <m:sty m:val="p"/>
                </m:rPr>
                <m:t>,</m:t>
              </m:r>
              <m:r>
                <m:rPr>
                  <m:sty m:val="p"/>
                </m:rPr>
                <m:t>p</m:t>
              </m:r>
              <m:r>
                <m:rPr>
                  <m:sty m:val="p"/>
                </m:rPr>
                <m:t>h</m:t>
              </m:r>
              <m:r>
                <m:rPr>
                  <m:sty m:val="p"/>
                </m:rPr>
                <m:t>y</m:t>
              </m:r>
              <m:r>
                <m:rPr>
                  <m:sty m:val="p"/>
                </m:rPr>
                <m:t>s</m:t>
              </m:r>
            </m:sub>
          </m:sSub>
          <m:r>
            <m:rPr>
              <m:sty m:val="p"/>
            </m:rPr>
            <m:t>−</m:t>
          </m:r>
          <m:sSubSup>
            <m:e>
              <m:r>
                <m:t>t</m:t>
              </m:r>
            </m:e>
            <m:sub>
              <m:r>
                <m:t>k</m:t>
              </m:r>
              <m:r>
                <m:rPr>
                  <m:sty m:val="p"/>
                </m:rPr>
                <m:t>,</m:t>
              </m:r>
              <m:r>
                <m:t>0</m:t>
              </m:r>
            </m:sub>
            <m:sup>
              <m:r>
                <m:rPr>
                  <m:sty m:val="p"/>
                </m:rPr>
                <m:t>P</m:t>
              </m:r>
              <m:r>
                <m:rPr>
                  <m:sty m:val="p"/>
                </m:rPr>
                <m:t>E</m:t>
              </m:r>
            </m:sup>
          </m:sSubSup>
          <m:r>
            <m:rPr>
              <m:sty m:val="p"/>
            </m:rPr>
            <m:t>+</m:t>
          </m:r>
          <m:sSub>
            <m:e>
              <m:r>
                <m:t>c</m:t>
              </m:r>
            </m:e>
            <m:sub>
              <m:r>
                <m:rPr>
                  <m:sty m:val="p"/>
                </m:rPr>
                <m:t>D</m:t>
              </m:r>
            </m:sub>
          </m:sSub>
          <m:r>
            <m:rPr>
              <m:sty m:val="p"/>
            </m:rPr>
            <m:t>(</m:t>
          </m:r>
          <m:r>
            <m:t>d</m:t>
          </m:r>
          <m:r>
            <m:rPr>
              <m:sty m:val="p"/>
            </m:rPr>
            <m:t>;</m:t>
          </m:r>
          <m:r>
            <m:t>θ</m:t>
          </m:r>
          <m:r>
            <m:rPr>
              <m:sty m:val="p"/>
            </m:rPr>
            <m:t>)</m:t>
          </m:r>
          <m:r>
            <m:rPr>
              <m:sty m:val="p"/>
            </m:rPr>
            <m:t>+</m:t>
          </m:r>
          <m:sSub>
            <m:e>
              <m:r>
                <m:t>c</m:t>
              </m:r>
            </m:e>
            <m:sub>
              <m:r>
                <m:rPr>
                  <m:sty m:val="p"/>
                </m:rPr>
                <m:t>S</m:t>
              </m:r>
              <m:r>
                <m:rPr>
                  <m:sty m:val="p"/>
                </m:rPr>
                <m:t>,</m:t>
              </m:r>
              <m:r>
                <m:t>k</m:t>
              </m:r>
            </m:sub>
          </m:sSub>
          <m:r>
            <m:rPr>
              <m:sty m:val="p"/>
            </m:rPr>
            <m:t>(</m:t>
          </m:r>
          <m:r>
            <m:t>θ</m:t>
          </m:r>
          <m:r>
            <m:rPr>
              <m:sty m:val="p"/>
            </m:rPr>
            <m:t>)</m:t>
          </m:r>
          <m:r>
            <m:rPr>
              <m:sty m:val="p"/>
            </m:rPr>
            <m:t>&gt;</m:t>
          </m:r>
          <m:r>
            <m:t>0</m:t>
          </m:r>
          <m:r>
            <m:rPr>
              <m:sty m:val="p"/>
            </m:rPr>
            <m:t>.</m:t>
          </m:r>
          <m:r>
            <m:t>  </m:t>
          </m:r>
          <m:r>
            <m:rPr>
              <m:sty m:val="p"/>
            </m:rPr>
            <m:t>(</m:t>
          </m:r>
          <m:r>
            <m:t>13.2</m:t>
          </m:r>
          <m:r>
            <m:rPr>
              <m:sty m:val="p"/>
            </m:rPr>
            <m:t>)</m:t>
          </m:r>
        </m:oMath>
      </m:oMathPara>
      <w:bookmarkEnd w:id="264"/>
    </w:p>
    <w:p>
      <w:pPr>
        <w:pStyle w:val="FirstParagraph"/>
      </w:pPr>
      <w:r>
        <w:t xml:space="preserve">Bei positiv definierter Gutschrift kann man dies äquivalent als Mindestanforderung an die reale, noch nicht kontextkorrigierte Bilanz schreiben:</w:t>
      </w:r>
    </w:p>
    <w:p>
      <w:pPr>
        <w:pStyle w:val="BodyText"/>
      </w:pPr>
      <m:oMathPara>
        <m:oMathParaPr>
          <m:jc m:val="center"/>
        </m:oMathParaPr>
        <m:oMath>
          <m:sSub>
            <m:e>
              <m:r>
                <m:t>b</m:t>
              </m:r>
            </m:e>
            <m:sub>
              <m:r>
                <m:rPr>
                  <m:sty m:val="p"/>
                </m:rPr>
                <m:t>P</m:t>
              </m:r>
              <m:r>
                <m:rPr>
                  <m:sty m:val="p"/>
                </m:rPr>
                <m:t>E</m:t>
              </m:r>
              <m:r>
                <m:rPr>
                  <m:sty m:val="p"/>
                </m:rPr>
                <m:t>,</m:t>
              </m:r>
              <m:r>
                <m:rPr>
                  <m:sty m:val="p"/>
                </m:rPr>
                <m:t>p</m:t>
              </m:r>
              <m:r>
                <m:rPr>
                  <m:sty m:val="p"/>
                </m:rPr>
                <m:t>h</m:t>
              </m:r>
              <m:r>
                <m:rPr>
                  <m:sty m:val="p"/>
                </m:rPr>
                <m:t>y</m:t>
              </m:r>
              <m:r>
                <m:rPr>
                  <m:sty m:val="p"/>
                </m:rPr>
                <m:t>s</m:t>
              </m:r>
            </m:sub>
          </m:sSub>
          <m:r>
            <m:rPr>
              <m:sty m:val="p"/>
            </m:rPr>
            <m:t>&gt;</m:t>
          </m:r>
          <m:sSubSup>
            <m:e>
              <m:r>
                <m:t>t</m:t>
              </m:r>
            </m:e>
            <m:sub>
              <m:r>
                <m:t>k</m:t>
              </m:r>
              <m:r>
                <m:rPr>
                  <m:sty m:val="p"/>
                </m:rPr>
                <m:t>,</m:t>
              </m:r>
              <m:r>
                <m:t>0</m:t>
              </m:r>
            </m:sub>
            <m:sup>
              <m:r>
                <m:rPr>
                  <m:sty m:val="p"/>
                </m:rPr>
                <m:t>P</m:t>
              </m:r>
              <m:r>
                <m:rPr>
                  <m:sty m:val="p"/>
                </m:rPr>
                <m:t>E</m:t>
              </m:r>
            </m:sup>
          </m:sSubSup>
          <m:r>
            <m:rPr>
              <m:sty m:val="p"/>
            </m:rPr>
            <m:t>−</m:t>
          </m:r>
          <m:sSub>
            <m:e>
              <m:r>
                <m:t>c</m:t>
              </m:r>
            </m:e>
            <m:sub>
              <m:r>
                <m:rPr>
                  <m:sty m:val="p"/>
                </m:rPr>
                <m:t>D</m:t>
              </m:r>
            </m:sub>
          </m:sSub>
          <m:r>
            <m:rPr>
              <m:sty m:val="p"/>
            </m:rPr>
            <m:t>(</m:t>
          </m:r>
          <m:r>
            <m:t>d</m:t>
          </m:r>
          <m:r>
            <m:rPr>
              <m:sty m:val="p"/>
            </m:rPr>
            <m:t>;</m:t>
          </m:r>
          <m:r>
            <m:t>θ</m:t>
          </m:r>
          <m:r>
            <m:rPr>
              <m:sty m:val="p"/>
            </m:rPr>
            <m:t>)</m:t>
          </m:r>
          <m:r>
            <m:rPr>
              <m:sty m:val="p"/>
            </m:rPr>
            <m:t>−</m:t>
          </m:r>
          <m:sSub>
            <m:e>
              <m:r>
                <m:t>c</m:t>
              </m:r>
            </m:e>
            <m:sub>
              <m:r>
                <m:rPr>
                  <m:sty m:val="p"/>
                </m:rPr>
                <m:t>S</m:t>
              </m:r>
              <m:r>
                <m:rPr>
                  <m:sty m:val="p"/>
                </m:rPr>
                <m:t>,</m:t>
              </m:r>
              <m:r>
                <m:t>k</m:t>
              </m:r>
            </m:sub>
          </m:sSub>
          <m:r>
            <m:rPr>
              <m:sty m:val="p"/>
            </m:rPr>
            <m:t>(</m:t>
          </m:r>
          <m:r>
            <m:t>θ</m:t>
          </m:r>
          <m:r>
            <m:rPr>
              <m:sty m:val="p"/>
            </m:rPr>
            <m:t>)</m:t>
          </m:r>
          <m:r>
            <m:rPr>
              <m:sty m:val="p"/>
            </m:rPr>
            <m:t>.</m:t>
          </m:r>
        </m:oMath>
      </m:oMathPara>
    </w:p>
    <w:p>
      <w:pPr>
        <w:pStyle w:val="FirstParagraph"/>
      </w:pPr>
      <w:r>
        <w:t xml:space="preserve">Dabei ist</w:t>
      </w:r>
      <w:r>
        <w:t xml:space="preserve"> </w:t>
      </w:r>
      <m:oMath>
        <m:sSubSup>
          <m:e>
            <m:r>
              <m:t>t</m:t>
            </m:r>
          </m:e>
          <m:sub>
            <m:r>
              <m:t>k</m:t>
            </m:r>
            <m:r>
              <m:rPr>
                <m:sty m:val="p"/>
              </m:rPr>
              <m:t>,</m:t>
            </m:r>
            <m:r>
              <m:t>0</m:t>
            </m:r>
          </m:sub>
          <m:sup>
            <m:r>
              <m:rPr>
                <m:sty m:val="p"/>
              </m:rPr>
              <m:t>P</m:t>
            </m:r>
            <m:r>
              <m:rPr>
                <m:sty m:val="p"/>
              </m:rPr>
              <m:t>E</m:t>
            </m:r>
          </m:sup>
        </m:sSubSup>
      </m:oMath>
      <w:r>
        <w:t xml:space="preserve"> </w:t>
      </w:r>
      <w:r>
        <w:t xml:space="preserve">das einheitlich definierte Basiskriterium der betroffenen PEQ-Klasse; bei einem Nullmaßstab ist es null. Diese Gleichungen definieren die</w:t>
      </w:r>
      <w:r>
        <w:t xml:space="preserve"> </w:t>
      </w:r>
      <w:r>
        <w:rPr>
          <w:b/>
          <w:bCs/>
        </w:rPr>
        <w:t xml:space="preserve">Parameterstruktur</w:t>
      </w:r>
      <w:r>
        <w:t xml:space="preserve"> </w:t>
      </w:r>
      <w:r>
        <w:t xml:space="preserve">des Entwurfs. Vor einer Festlegung sind Dichteachsenverschiebung, Begrenzungen, Typologiezuordnung und Nebenbedingungen abzustimmen. Für Nicht-PEQ-Klassen werden stattdessen die prognostizierten Bilanzbeiträge dokumentiert. Mobilität wird nicht als frei wählbarer Kalibrierrest in die Dichtefunktion eingerechnet: Das nationale MIV-Budget entsteht in</w:t>
      </w:r>
      <w:r>
        <w:t xml:space="preserve"> </w:t>
      </w:r>
      <w:hyperlink w:anchor="sec-allokation">
        <w:r>
          <w:rPr>
            <w:rStyle w:val="Hyperlink"/>
          </w:rPr>
          <w:t xml:space="preserve">Kapitel 11</w:t>
        </w:r>
      </w:hyperlink>
      <w:r>
        <w:t xml:space="preserve"> </w:t>
      </w:r>
      <w:r>
        <w:t xml:space="preserve">und wird in</w:t>
      </w:r>
      <w:r>
        <w:t xml:space="preserve"> </w:t>
      </w:r>
      <w:hyperlink w:anchor="sec-kontext-mobilitaet">
        <w:r>
          <w:rPr>
            <w:rStyle w:val="Hyperlink"/>
          </w:rPr>
          <w:t xml:space="preserve">Kapitel 14</w:t>
        </w:r>
      </w:hyperlink>
      <w:r>
        <w:t xml:space="preserve"> </w:t>
      </w:r>
      <w:r>
        <w:t xml:space="preserve">verwendet.</w:t>
      </w:r>
    </w:p>
    <w:p>
      <w:pPr>
        <w:pStyle w:val="BodyText"/>
      </w:pPr>
      <w:r>
        <w:t xml:space="preserve">Für die Sanierungsanpassung gilt ausdrücklich:</w:t>
      </w:r>
      <w:r>
        <w:t xml:space="preserve"> </w:t>
      </w:r>
      <w:r>
        <w:rPr>
          <w:b/>
          <w:bCs/>
        </w:rPr>
        <w:t xml:space="preserve">kein einheitlicher Faktor für sämtliche sanierten Flächen</w:t>
      </w:r>
      <w:r>
        <w:t xml:space="preserve">. Der Wert</w:t>
      </w:r>
      <w:r>
        <w:t xml:space="preserve"> </w:t>
      </w:r>
      <m:oMath>
        <m:sSub>
          <m:e>
            <m:r>
              <m:t>c</m:t>
            </m:r>
          </m:e>
          <m:sub>
            <m:r>
              <m:rPr>
                <m:sty m:val="p"/>
              </m:rPr>
              <m:t>S</m:t>
            </m:r>
            <m:r>
              <m:rPr>
                <m:sty m:val="p"/>
              </m:rPr>
              <m:t>,</m:t>
            </m:r>
            <m:r>
              <m:t>k</m:t>
            </m:r>
          </m:sub>
        </m:sSub>
      </m:oMath>
      <w:r>
        <w:t xml:space="preserve"> </w:t>
      </w:r>
      <w:r>
        <w:t xml:space="preserve">hängt von der zugewiesenen Typologie ab und wird mit deren energetischen Annahmen und nationalem Flächenanteil gemeinsam kalibriert. Ob für bestimmte Klassen der Anpassungswert null ist und wie unterschiedliche Sanierungsintensitäten bewertet werden, ist anhand der neuen Excel-Klassen fachlich zu begründen.</w:t>
      </w:r>
    </w:p>
    <w:bookmarkEnd w:id="265"/>
    <w:bookmarkStart w:id="268" w:name="X8caa9ce30c153ad18f148074214906ecf5aa959"/>
    <w:p>
      <w:pPr>
        <w:pStyle w:val="Heading2"/>
      </w:pPr>
      <w:r>
        <w:t xml:space="preserve">13.4 Nationale Aggregation und Kalibrierbedingung</w:t>
      </w:r>
    </w:p>
    <w:p>
      <w:pPr>
        <w:pStyle w:val="FirstParagraph"/>
      </w:pPr>
      <w:r>
        <w:t xml:space="preserve">Die Flächenverteilung nach Typologie</w:t>
      </w:r>
      <w:r>
        <w:t xml:space="preserve"> </w:t>
      </w:r>
      <m:oMath>
        <m:r>
          <m:t>k</m:t>
        </m:r>
      </m:oMath>
      <w:r>
        <w:t xml:space="preserve"> </w:t>
      </w:r>
      <w:r>
        <w:t xml:space="preserve">und Dichteklasse</w:t>
      </w:r>
      <w:r>
        <w:t xml:space="preserve"> </w:t>
      </w:r>
      <m:oMath>
        <m:r>
          <m:t>j</m:t>
        </m:r>
      </m:oMath>
      <w:r>
        <w:t xml:space="preserve"> </w:t>
      </w:r>
      <w:r>
        <w:t xml:space="preserve">wird aus</w:t>
      </w:r>
      <w:r>
        <w:t xml:space="preserve"> </w:t>
      </w:r>
      <w:hyperlink w:anchor="sec-gebaeudebestand">
        <w:r>
          <w:rPr>
            <w:rStyle w:val="Hyperlink"/>
          </w:rPr>
          <w:t xml:space="preserve">Kapitel 12</w:t>
        </w:r>
      </w:hyperlink>
      <w:r>
        <w:t xml:space="preserve"> </w:t>
      </w:r>
      <w:r>
        <w:t xml:space="preserve">übernommen. Ein konsistent auf</w:t>
      </w:r>
      <w:r>
        <w:t xml:space="preserve"> </w:t>
      </w:r>
      <w:r>
        <w:rPr>
          <w:b/>
          <w:bCs/>
        </w:rPr>
        <w:t xml:space="preserve">BGF</w:t>
      </w:r>
      <w:r>
        <w:t xml:space="preserve"> </w:t>
      </w:r>
      <w:r>
        <w:t xml:space="preserve">bezogener jährlicher nationaler Modellbeitrag lässt sich in den</w:t>
      </w:r>
      <w:r>
        <w:t xml:space="preserve"> </w:t>
      </w:r>
      <w:r>
        <w:rPr>
          <w:b/>
          <w:bCs/>
        </w:rPr>
        <w:t xml:space="preserve">fest vorgegebenen Beitrag der Nicht-PEQ-Klassen</w:t>
      </w:r>
      <w:r>
        <w:t xml:space="preserve"> </w:t>
      </w:r>
      <w:r>
        <w:t xml:space="preserve">und die</w:t>
      </w:r>
      <w:r>
        <w:t xml:space="preserve"> </w:t>
      </w:r>
      <w:r>
        <w:rPr>
          <w:b/>
          <w:bCs/>
        </w:rPr>
        <w:t xml:space="preserve">kalibrierten Beiträge der PEQ-Klassen</w:t>
      </w:r>
      <w:r>
        <w:t xml:space="preserve"> </w:t>
      </w:r>
      <w:r>
        <w:t xml:space="preserve">zerlegen:</w:t>
      </w:r>
    </w:p>
    <w:p>
      <w:pPr>
        <w:pStyle w:val="BodyText"/>
      </w:pPr>
      <w:bookmarkStart w:id="266" w:name="eq-sektor-aggregation"/>
      <m:oMathPara>
        <m:oMathParaPr>
          <m:jc m:val="center"/>
        </m:oMathParaPr>
        <m:oMath>
          <m:sSubSup>
            <m:e>
              <m:r>
                <m:t>B</m:t>
              </m:r>
            </m:e>
            <m:sub>
              <m:r>
                <m:rPr>
                  <m:sty m:val="p"/>
                </m:rPr>
                <m:t>S</m:t>
              </m:r>
              <m:r>
                <m:rPr>
                  <m:sty m:val="p"/>
                </m:rPr>
                <m:t>e</m:t>
              </m:r>
              <m:r>
                <m:rPr>
                  <m:sty m:val="p"/>
                </m:rPr>
                <m:t>k</m:t>
              </m:r>
              <m:r>
                <m:rPr>
                  <m:sty m:val="p"/>
                </m:rPr>
                <m:t>t</m:t>
              </m:r>
              <m:r>
                <m:rPr>
                  <m:sty m:val="p"/>
                </m:rPr>
                <m:t>o</m:t>
              </m:r>
              <m:r>
                <m:rPr>
                  <m:sty m:val="p"/>
                </m:rPr>
                <m:t>r</m:t>
              </m:r>
            </m:sub>
            <m:sup>
              <m:r>
                <m:rPr>
                  <m:sty m:val="p"/>
                </m:rPr>
                <m:t>M</m:t>
              </m:r>
              <m:r>
                <m:rPr>
                  <m:sty m:val="p"/>
                </m:rPr>
                <m:t>o</m:t>
              </m:r>
              <m:r>
                <m:rPr>
                  <m:sty m:val="p"/>
                </m:rPr>
                <m:t>d</m:t>
              </m:r>
              <m:r>
                <m:rPr>
                  <m:sty m:val="p"/>
                </m:rPr>
                <m:t>e</m:t>
              </m:r>
              <m:r>
                <m:rPr>
                  <m:sty m:val="p"/>
                </m:rPr>
                <m:t>l</m:t>
              </m:r>
              <m:r>
                <m:rPr>
                  <m:sty m:val="p"/>
                </m:rPr>
                <m:t>l</m:t>
              </m:r>
            </m:sup>
          </m:sSubSup>
          <m:r>
            <m:rPr>
              <m:sty m:val="p"/>
            </m:rPr>
            <m:t>(</m:t>
          </m:r>
          <m:r>
            <m:t>θ</m:t>
          </m:r>
          <m:r>
            <m:rPr>
              <m:sty m:val="p"/>
            </m:rPr>
            <m:t>)</m:t>
          </m:r>
          <m:r>
            <m:rPr>
              <m:sty m:val="p"/>
            </m:rPr>
            <m:t>=</m:t>
          </m:r>
          <m:nary>
            <m:naryPr>
              <m:chr m:val="∑"/>
              <m:limLoc m:val="undOvr"/>
              <m:subHide m:val="off"/>
              <m:supHide m:val="on"/>
            </m:naryPr>
            <m:sub>
              <m:r>
                <m:t>k</m:t>
              </m:r>
              <m:r>
                <m:rPr>
                  <m:sty m:val="p"/>
                </m:rPr>
                <m:t>∈</m:t>
              </m:r>
              <m:r>
                <m:rPr>
                  <m:sty m:val="p"/>
                </m:rPr>
                <m:t>N</m:t>
              </m:r>
              <m:r>
                <m:rPr>
                  <m:sty m:val="p"/>
                </m:rPr>
                <m:t>i</m:t>
              </m:r>
              <m:r>
                <m:rPr>
                  <m:sty m:val="p"/>
                </m:rPr>
                <m:t>c</m:t>
              </m:r>
              <m:r>
                <m:rPr>
                  <m:sty m:val="p"/>
                </m:rPr>
                <m:t>h</m:t>
              </m:r>
              <m:r>
                <m:rPr>
                  <m:sty m:val="p"/>
                </m:rPr>
                <m:t>t</m:t>
              </m:r>
              <m:r>
                <m:rPr>
                  <m:sty m:val="p"/>
                </m:rPr>
                <m:t>P</m:t>
              </m:r>
              <m:r>
                <m:rPr>
                  <m:sty m:val="p"/>
                </m:rPr>
                <m:t>E</m:t>
              </m:r>
              <m:r>
                <m:rPr>
                  <m:sty m:val="p"/>
                </m:rPr>
                <m:t>Q</m:t>
              </m:r>
            </m:sub>
            <m:sup>
              <m:r>
                <m:t>​</m:t>
              </m:r>
            </m:sup>
            <m:e>
              <m:nary>
                <m:naryPr>
                  <m:chr m:val="∑"/>
                  <m:limLoc m:val="undOvr"/>
                  <m:subHide m:val="off"/>
                  <m:supHide m:val="on"/>
                </m:naryPr>
                <m:sub>
                  <m:r>
                    <m:t>j</m:t>
                  </m:r>
                </m:sub>
                <m:sup>
                  <m:r>
                    <m:t>​</m:t>
                  </m:r>
                </m:sup>
                <m:e>
                  <m:sSubSup>
                    <m:e>
                      <m:r>
                        <m:t>A</m:t>
                      </m:r>
                    </m:e>
                    <m:sub>
                      <m:r>
                        <m:t>k</m:t>
                      </m:r>
                      <m:r>
                        <m:rPr>
                          <m:sty m:val="p"/>
                        </m:rPr>
                        <m:t>,</m:t>
                      </m:r>
                      <m:r>
                        <m:t>j</m:t>
                      </m:r>
                    </m:sub>
                    <m:sup>
                      <m:r>
                        <m:t>2040</m:t>
                      </m:r>
                    </m:sup>
                  </m:sSubSup>
                </m:e>
              </m:nary>
            </m:e>
          </m:nary>
          <m:r>
            <m:t> </m:t>
          </m:r>
          <m:sSubSup>
            <m:e>
              <m:r>
                <m:t>b</m:t>
              </m:r>
            </m:e>
            <m:sub>
              <m:r>
                <m:t>k</m:t>
              </m:r>
              <m:r>
                <m:rPr>
                  <m:sty m:val="p"/>
                </m:rPr>
                <m:t>,</m:t>
              </m:r>
              <m:r>
                <m:t>j</m:t>
              </m:r>
            </m:sub>
            <m:sup>
              <m:r>
                <m:rPr>
                  <m:sty m:val="p"/>
                </m:rPr>
                <m:t>r</m:t>
              </m:r>
              <m:r>
                <m:rPr>
                  <m:sty m:val="p"/>
                </m:rPr>
                <m:t>e</m:t>
              </m:r>
              <m:r>
                <m:rPr>
                  <m:sty m:val="p"/>
                </m:rPr>
                <m:t>f</m:t>
              </m:r>
            </m:sup>
          </m:sSubSup>
          <m:r>
            <m:rPr>
              <m:sty m:val="p"/>
            </m:rPr>
            <m:t>+</m:t>
          </m:r>
          <m:nary>
            <m:naryPr>
              <m:chr m:val="∑"/>
              <m:limLoc m:val="undOvr"/>
              <m:subHide m:val="off"/>
              <m:supHide m:val="on"/>
            </m:naryPr>
            <m:sub>
              <m:r>
                <m:t>k</m:t>
              </m:r>
              <m:r>
                <m:rPr>
                  <m:sty m:val="p"/>
                </m:rPr>
                <m:t>∈</m:t>
              </m:r>
              <m:r>
                <m:rPr>
                  <m:sty m:val="p"/>
                </m:rPr>
                <m:t>P</m:t>
              </m:r>
              <m:r>
                <m:rPr>
                  <m:sty m:val="p"/>
                </m:rPr>
                <m:t>E</m:t>
              </m:r>
              <m:r>
                <m:rPr>
                  <m:sty m:val="p"/>
                </m:rPr>
                <m:t>Q</m:t>
              </m:r>
            </m:sub>
            <m:sup>
              <m:r>
                <m:t>​</m:t>
              </m:r>
            </m:sup>
            <m:e>
              <m:nary>
                <m:naryPr>
                  <m:chr m:val="∑"/>
                  <m:limLoc m:val="undOvr"/>
                  <m:subHide m:val="off"/>
                  <m:supHide m:val="on"/>
                </m:naryPr>
                <m:sub>
                  <m:r>
                    <m:t>j</m:t>
                  </m:r>
                </m:sub>
                <m:sup>
                  <m:r>
                    <m:t>​</m:t>
                  </m:r>
                </m:sup>
                <m:e>
                  <m:sSubSup>
                    <m:e>
                      <m:r>
                        <m:t>A</m:t>
                      </m:r>
                    </m:e>
                    <m:sub>
                      <m:r>
                        <m:t>k</m:t>
                      </m:r>
                      <m:r>
                        <m:rPr>
                          <m:sty m:val="p"/>
                        </m:rPr>
                        <m:t>,</m:t>
                      </m:r>
                      <m:r>
                        <m:t>j</m:t>
                      </m:r>
                    </m:sub>
                    <m:sup>
                      <m:r>
                        <m:t>2040</m:t>
                      </m:r>
                    </m:sup>
                  </m:sSubSup>
                </m:e>
              </m:nary>
            </m:e>
          </m:nary>
          <m:r>
            <m:t> </m:t>
          </m:r>
          <m:sSubSup>
            <m:e>
              <m:r>
                <m:t>t</m:t>
              </m:r>
            </m:e>
            <m:sub>
              <m:r>
                <m:t>k</m:t>
              </m:r>
              <m:r>
                <m:rPr>
                  <m:sty m:val="p"/>
                </m:rPr>
                <m:t>,</m:t>
              </m:r>
              <m:r>
                <m:t>j</m:t>
              </m:r>
            </m:sub>
            <m:sup>
              <m:r>
                <m:rPr>
                  <m:sty m:val="p"/>
                </m:rPr>
                <m:t>P</m:t>
              </m:r>
              <m:r>
                <m:rPr>
                  <m:sty m:val="p"/>
                </m:rPr>
                <m:t>E</m:t>
              </m:r>
              <m:r>
                <m:rPr>
                  <m:sty m:val="p"/>
                </m:rPr>
                <m:t>Q</m:t>
              </m:r>
            </m:sup>
          </m:sSubSup>
          <m:r>
            <m:rPr>
              <m:sty m:val="p"/>
            </m:rPr>
            <m:t>(</m:t>
          </m:r>
          <m:r>
            <m:t>θ</m:t>
          </m:r>
          <m:r>
            <m:rPr>
              <m:sty m:val="p"/>
            </m:rPr>
            <m:t>)</m:t>
          </m:r>
          <m:r>
            <m:rPr>
              <m:sty m:val="p"/>
            </m:rPr>
            <m:t>.</m:t>
          </m:r>
          <m:r>
            <m:t>  </m:t>
          </m:r>
          <m:r>
            <m:rPr>
              <m:sty m:val="p"/>
            </m:rPr>
            <m:t>(</m:t>
          </m:r>
          <m:r>
            <m:t>13.3</m:t>
          </m:r>
          <m:r>
            <m:rPr>
              <m:sty m:val="p"/>
            </m:rPr>
            <m:t>)</m:t>
          </m:r>
        </m:oMath>
      </m:oMathPara>
      <w:bookmarkEnd w:id="266"/>
    </w:p>
    <w:p>
      <w:pPr>
        <w:pStyle w:val="FirstParagraph"/>
      </w:pPr>
      <w:r>
        <w:t xml:space="preserve">Die Beiträge werden als jährliche elektrische Energie je BGF aggregiert. Für NGF-bezogene Kennwerte gilt der dokumentierte Flächenfaktor; die PE-Bewertung folgt getrennt in der Quartiersbilanz.</w:t>
      </w:r>
    </w:p>
    <w:p>
      <w:pPr>
        <w:pStyle w:val="BodyText"/>
      </w:pPr>
      <w:r>
        <w:t xml:space="preserve">Die Parameter</w:t>
      </w:r>
      <w:r>
        <w:t xml:space="preserve"> </w:t>
      </w:r>
      <m:oMath>
        <m:r>
          <m:t>θ</m:t>
        </m:r>
      </m:oMath>
      <w:r>
        <w:t xml:space="preserve"> </w:t>
      </w:r>
      <w:r>
        <w:t xml:space="preserve">werden so gewählt, dass sich der nationale aggregierte Zielbeitrag und der aus</w:t>
      </w:r>
      <w:r>
        <w:t xml:space="preserve"> </w:t>
      </w:r>
      <w:hyperlink w:anchor="sec-allokation">
        <w:r>
          <w:rPr>
            <w:rStyle w:val="Hyperlink"/>
          </w:rPr>
          <w:t xml:space="preserve">Kapitel 11</w:t>
        </w:r>
      </w:hyperlink>
      <w:r>
        <w:t xml:space="preserve"> </w:t>
      </w:r>
      <w:r>
        <w:t xml:space="preserve">stammende, in dieselbe Bilanzgröße überführte Referenzsaldo innerhalb einer ausgewiesenen Toleranz entsprechen:</w:t>
      </w:r>
    </w:p>
    <w:p>
      <w:pPr>
        <w:pStyle w:val="BodyText"/>
      </w:pPr>
      <w:bookmarkStart w:id="267" w:name="eq-kalibrierziel"/>
      <m:oMathPara>
        <m:oMathParaPr>
          <m:jc m:val="center"/>
        </m:oMathParaPr>
        <m:oMath>
          <m:sSubSup>
            <m:e>
              <m:r>
                <m:t>B</m:t>
              </m:r>
            </m:e>
            <m:sub>
              <m:r>
                <m:rPr>
                  <m:sty m:val="p"/>
                </m:rPr>
                <m:t>S</m:t>
              </m:r>
              <m:r>
                <m:rPr>
                  <m:sty m:val="p"/>
                </m:rPr>
                <m:t>e</m:t>
              </m:r>
              <m:r>
                <m:rPr>
                  <m:sty m:val="p"/>
                </m:rPr>
                <m:t>k</m:t>
              </m:r>
              <m:r>
                <m:rPr>
                  <m:sty m:val="p"/>
                </m:rPr>
                <m:t>t</m:t>
              </m:r>
              <m:r>
                <m:rPr>
                  <m:sty m:val="p"/>
                </m:rPr>
                <m:t>o</m:t>
              </m:r>
              <m:r>
                <m:rPr>
                  <m:sty m:val="p"/>
                </m:rPr>
                <m:t>r</m:t>
              </m:r>
            </m:sub>
            <m:sup>
              <m:r>
                <m:rPr>
                  <m:sty m:val="p"/>
                </m:rPr>
                <m:t>M</m:t>
              </m:r>
              <m:r>
                <m:rPr>
                  <m:sty m:val="p"/>
                </m:rPr>
                <m:t>o</m:t>
              </m:r>
              <m:r>
                <m:rPr>
                  <m:sty m:val="p"/>
                </m:rPr>
                <m:t>d</m:t>
              </m:r>
              <m:r>
                <m:rPr>
                  <m:sty m:val="p"/>
                </m:rPr>
                <m:t>e</m:t>
              </m:r>
              <m:r>
                <m:rPr>
                  <m:sty m:val="p"/>
                </m:rPr>
                <m:t>l</m:t>
              </m:r>
              <m:r>
                <m:rPr>
                  <m:sty m:val="p"/>
                </m:rPr>
                <m:t>l</m:t>
              </m:r>
            </m:sup>
          </m:sSubSup>
          <m:r>
            <m:rPr>
              <m:sty m:val="p"/>
            </m:rPr>
            <m:t>(</m:t>
          </m:r>
          <m:r>
            <m:t>θ</m:t>
          </m:r>
          <m:r>
            <m:rPr>
              <m:sty m:val="p"/>
            </m:rPr>
            <m:t>)</m:t>
          </m:r>
          <m:limUpp>
            <m:e>
              <m:r>
                <m:rPr>
                  <m:sty m:val="p"/>
                </m:rPr>
                <m:t>=</m:t>
              </m:r>
            </m:e>
            <m:lim>
              <m:r>
                <m:rPr>
                  <m:sty m:val="p"/>
                </m:rPr>
                <m:t>!</m:t>
              </m:r>
            </m:lim>
          </m:limUpp>
          <m:sSubSup>
            <m:e>
              <m:r>
                <m:t>B</m:t>
              </m:r>
            </m:e>
            <m:sub>
              <m:r>
                <m:rPr>
                  <m:sty m:val="p"/>
                </m:rPr>
                <m:t>G</m:t>
              </m:r>
              <m:r>
                <m:rPr>
                  <m:sty m:val="p"/>
                </m:rPr>
                <m:t>e</m:t>
              </m:r>
              <m:r>
                <m:rPr>
                  <m:sty m:val="p"/>
                </m:rPr>
                <m:t>b</m:t>
              </m:r>
              <m:r>
                <m:rPr>
                  <m:sty m:val="p"/>
                </m:rPr>
                <m:t>,</m:t>
              </m:r>
              <m:r>
                <m:rPr>
                  <m:sty m:val="p"/>
                </m:rPr>
                <m:t>Z</m:t>
              </m:r>
              <m:r>
                <m:rPr>
                  <m:sty m:val="p"/>
                </m:rPr>
                <m:t>i</m:t>
              </m:r>
              <m:r>
                <m:rPr>
                  <m:sty m:val="p"/>
                </m:rPr>
                <m:t>e</m:t>
              </m:r>
              <m:r>
                <m:rPr>
                  <m:sty m:val="p"/>
                </m:rPr>
                <m:t>l</m:t>
              </m:r>
            </m:sub>
            <m:sup>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r>
                <m:rPr>
                  <m:sty m:val="p"/>
                </m:rPr>
                <m:t> </m:t>
              </m:r>
              <m:r>
                <m:rPr>
                  <m:sty m:val="p"/>
                </m:rPr>
                <m:t>2040</m:t>
              </m:r>
            </m:sup>
          </m:sSubSup>
          <m:r>
            <m:rPr>
              <m:sty m:val="p"/>
            </m:rPr>
            <m:t>.</m:t>
          </m:r>
          <m:r>
            <m:t>  </m:t>
          </m:r>
          <m:r>
            <m:rPr>
              <m:sty m:val="p"/>
            </m:rPr>
            <m:t>(</m:t>
          </m:r>
          <m:r>
            <m:t>13.4</m:t>
          </m:r>
          <m:r>
            <m:rPr>
              <m:sty m:val="p"/>
            </m:rPr>
            <m:t>)</m:t>
          </m:r>
        </m:oMath>
      </m:oMathPara>
      <w:bookmarkEnd w:id="267"/>
    </w:p>
    <w:p>
      <w:pPr>
        <w:pStyle w:val="FirstParagraph"/>
      </w:pPr>
      <w:r>
        <w:t xml:space="preserve">Die Bilanzgleichheit allein legt die Parameter nicht notwendigerweise eindeutig fest. Zusätzliche Bedingungen – etwa begründete Grenzen der Dichtefunktion, technologische Potenziale, typologische Zielqualitäten und vertretbare Sanierungsanforderungen – müssen ausdrücklich angegeben werden. Die Verteilung der Gebäudequalitäten und ihre Flächenanteile sind daher nicht bloß eine Rechenhilfe, sondern zentrale Szenarioannahmen.</w:t>
      </w:r>
    </w:p>
    <w:bookmarkEnd w:id="268"/>
    <w:bookmarkStart w:id="271" w:name="kalibrierungsstand-und-ergebnisvergleich"/>
    <w:p>
      <w:pPr>
        <w:pStyle w:val="Heading2"/>
      </w:pPr>
      <w:r>
        <w:t xml:space="preserve">13.5 Kalibrierungsstand und Ergebnisvergleich</w:t>
      </w:r>
    </w:p>
    <w:p>
      <w:pPr>
        <w:pStyle w:val="FirstParagraph"/>
      </w:pPr>
      <w:r>
        <w:t xml:space="preserve">Unter den Annahmen des Referenzfalls ergeben sich 31 PJ/a zentrale Restdeckung und 0 PJ/a für den Gebäudesektorsaldo einschließlich MIV (</w:t>
      </w:r>
      <w:hyperlink w:anchor="sec-allokation-ergebnisse">
        <w:r>
          <w:rPr>
            <w:rStyle w:val="Hyperlink"/>
          </w:rPr>
          <w:t xml:space="preserve">Kapitel 11.3</w:t>
        </w:r>
      </w:hyperlink>
      <w:r>
        <w:t xml:space="preserve">). Die Bottom-up-Rechnung umfasst 603 positiv gewichtete Typen, ihre GFZ-Verteilungen und die Erwartungswerte der historischen Dichtefunktion (</w:t>
      </w:r>
      <w:hyperlink w:anchor="sec-gebaeudesektormodell">
        <w:r>
          <w:rPr>
            <w:rStyle w:val="Hyperlink"/>
          </w:rPr>
          <w:t xml:space="preserve">Anhang H</w:t>
        </w:r>
      </w:hyperlink>
      <w:r>
        <w:t xml:space="preserve">).</w:t>
      </w:r>
    </w:p>
    <w:p>
      <w:pPr>
        <w:pStyle w:val="BodyText"/>
      </w:pPr>
      <w:r>
        <w:t xml:space="preserve">Der physische Pool-Stromsaldo beträgt −59,25 PJ/a. Einschließlich derselben einmaligen MIV-Zuordnung ergibt sich −100,25 PJ/a, also −100,25 PJ/a gegenüber dem Top-down-Beispiel. Die virtuellen Dichte-Erwartungswerte werden dabei nicht als reale Deckung hinzuaddiert. Der Pool enthält nur PV30/noFlex sowie erhebliche Gas- und Ölmengen. Eine neue Zielwertfunktion lässt sich deshalb nicht allein durch Gleichsetzen dieses Pool-Ergebnisses mit dem nationalen Ziel bestimmen. PEQ-Flächenanteile, energetische Entwicklung der übrigen Typen und alternative PV-Ausstattungen sind zuerst festzulegen.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9" name="Picture"/>
                  <a:graphic>
                    <a:graphicData uri="http://schemas.openxmlformats.org/drawingml/2006/picture">
                      <pic:pic>
                        <pic:nvPicPr>
                          <pic:cNvPr descr="C:\Users\schneids\AppData\Local\Programs\Quarto\share\formats\docx\note.png" id="27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Geltungsbereich des Entwurfs</w:t>
            </w:r>
          </w:p>
        </w:tc>
      </w:tr>
      <w:tr>
        <w:trPr>
          <w:cantSplit/>
        </w:trPr>
        <w:tc>
          <w:tcPr>
            <w:tcMar>
              <w:top w:w="108" w:type="dxa"/>
              <w:bottom w:w="108" w:type="dxa"/>
            </w:tcMar>
          </w:tcPr>
          <w:p>
            <w:pPr>
              <w:pStyle w:val="BodyText"/>
            </w:pPr>
            <w:pPr>
              <w:spacing w:before="16" w:after="16"/>
            </w:pPr>
            <w:r>
              <w:t xml:space="preserve">Die 2040-Flächenmatrix, Energieaggregation und GFZ-Zuordnung sind berechnet. Die historische Dichtefunktion wird als Referenzansatz ausgewertet. PEQ-Flächenanteile, Versorgungspfade, PE-Faktorversion und typologische Sanierungswerte sind nicht normativ festgelegt. Der Ergebnisvergleich beschreibt diesen Parameterstand.</w:t>
            </w:r>
          </w:p>
          <w:p/>
        </w:tc>
      </w:tr>
    </w:tbl>
    <w:p>
      <w:pPr>
        <w:pStyle w:val="BodyText"/>
      </w:pPr>
      <w:r>
        <w:t xml:space="preserve">Die Ergebnisdarstellung umfasst Flächen, Typenbeiträge, Dichtekorrektur und den Abstand zum Referenzsaldo (</w:t>
      </w:r>
      <w:hyperlink w:anchor="sec-gebaeude-abgleich">
        <w:r>
          <w:rPr>
            <w:rStyle w:val="Hyperlink"/>
          </w:rPr>
          <w:t xml:space="preserve">Kapitel H.8</w:t>
        </w:r>
      </w:hyperlink>
      <w:r>
        <w:t xml:space="preserve">). Quelldateien und Parameter sind in den Rechenanhängen versioniert.</w:t>
      </w:r>
    </w:p>
    <w:bookmarkEnd w:id="271"/>
    <w:bookmarkStart w:id="274" w:name="Xce6da3ab9c11fc64f2a9d00e3a4c74ebe45eb72"/>
    <w:p>
      <w:pPr>
        <w:pStyle w:val="Heading2"/>
      </w:pPr>
      <w:r>
        <w:t xml:space="preserve">13.6 Sensitivitäten und normative Entscheidungen</w:t>
      </w:r>
    </w:p>
    <w:p>
      <w:pPr>
        <w:pStyle w:val="FirstParagraph"/>
      </w:pPr>
      <w:r>
        <w:t xml:space="preserve">Neben dem Referenzfall sind insbesondere Änderungen der Gebäude-PV-Allokation, der Flächenanteile der Gebäudetypen, der GFZ-Verteilung sowie der typologiebezogenen Sanierungsparameter als Sensitivitäten sinnvoll. Auch Änderungen des Umfangs der MIV-/ÖPNV-Zuordnung wirken über</w:t>
      </w:r>
      <w:r>
        <w:t xml:space="preserve"> </w:t>
      </w:r>
      <w:hyperlink w:anchor="sec-allokation">
        <w:r>
          <w:rPr>
            <w:rStyle w:val="Hyperlink"/>
          </w:rPr>
          <w:t xml:space="preserve">Kapitel 11</w:t>
        </w:r>
      </w:hyperlink>
      <w:r>
        <w:t xml:space="preserve"> </w:t>
      </w:r>
      <w:r>
        <w:t xml:space="preserve">auf das nationale Zielbild. Solche Varianten sind vom</w:t>
      </w:r>
      <w:r>
        <w:t xml:space="preserve"> </w:t>
      </w:r>
      <w:r>
        <w:rPr>
          <w:b/>
          <w:bCs/>
        </w:rPr>
        <w:t xml:space="preserve">freigegebenen Referenzszenario</w:t>
      </w:r>
      <w:r>
        <w:t xml:space="preserve"> </w:t>
      </w:r>
      <w:r>
        <w:t xml:space="preserve">klar zu unterscheiden.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2" name="Picture"/>
                  <a:graphic>
                    <a:graphicData uri="http://schemas.openxmlformats.org/drawingml/2006/picture">
                      <pic:pic>
                        <pic:nvPicPr>
                          <pic:cNvPr descr="C:\Users\schneids\AppData\Local\Programs\Quarto\share\formats\docx\note.png" id="273"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Historische Einordnung</w:t>
            </w:r>
          </w:p>
        </w:tc>
      </w:tr>
      <w:tr>
        <w:trPr>
          <w:cantSplit/>
        </w:trPr>
        <w:tc>
          <w:tcPr>
            <w:tcMar>
              <w:top w:w="108" w:type="dxa"/>
              <w:bottom w:w="108" w:type="dxa"/>
            </w:tcMar>
          </w:tcPr>
          <w:p>
            <w:pPr>
              <w:pStyle w:val="BodyText"/>
            </w:pPr>
            <w:pPr>
              <w:spacing w:before="16" w:after="16"/>
            </w:pPr>
            <w:r>
              <w:t xml:space="preserve">Die ursprüngliche Kalibrierung verwendete fünf energetische Gebäudeklassen und eine spezifische Dichtefunktion</w:t>
            </w:r>
            <w:r>
              <w:t xml:space="preserve"> </w:t>
            </w:r>
            <w:r>
              <w:t xml:space="preserve">(Schneider u. a. 2023)</w:t>
            </w:r>
            <w:r>
              <w:t xml:space="preserve">. Diese historische Lösung erläutert die Entstehung der Methode, ersetzt aber weder die neuen Typologien noch die Kalibrierung mit UBA Transition 2040.</w:t>
            </w:r>
          </w:p>
          <w:p/>
        </w:tc>
      </w:tr>
    </w:tbl>
    <w:bookmarkEnd w:id="274"/>
    <w:bookmarkEnd w:id="275"/>
    <w:bookmarkStart w:id="297" w:name="sec-kontext-mobilitaet"/>
    <w:p>
      <w:pPr>
        <w:pStyle w:val="Heading1"/>
      </w:pPr>
      <w:r>
        <w:t xml:space="preserve">14. Kontextfaktor Mobilität</w:t>
      </w:r>
    </w:p>
    <w:p>
      <w:pPr>
        <w:pStyle w:val="FirstParagraph"/>
      </w:pPr>
      <w:r>
        <w:t xml:space="preserve">Das in der sektoralen Allokation ermittelte MIV-Budget nutzungsbezogen verteilen und mit dem örtlichen Mobilitätsbedarf vergleichen</w:t>
      </w:r>
    </w:p>
    <w:p>
      <w:pPr>
        <w:pStyle w:val="BodyText"/>
      </w:pPr>
      <w:r>
        <w:t xml:space="preserve">Die nationale</w:t>
      </w:r>
      <w:r>
        <w:t xml:space="preserve"> </w:t>
      </w:r>
      <w:r>
        <w:rPr>
          <w:b/>
          <w:bCs/>
        </w:rPr>
        <w:t xml:space="preserve">Höhe</w:t>
      </w:r>
      <w:r>
        <w:t xml:space="preserve"> </w:t>
      </w:r>
      <w:r>
        <w:t xml:space="preserve">des erneuerbaren MIV-Budgets wird bereits in</w:t>
      </w:r>
      <w:r>
        <w:t xml:space="preserve"> </w:t>
      </w:r>
      <w:hyperlink w:anchor="sec-allokation">
        <w:r>
          <w:rPr>
            <w:rStyle w:val="Hyperlink"/>
          </w:rPr>
          <w:t xml:space="preserve">Kapitel 11</w:t>
        </w:r>
      </w:hyperlink>
      <w:r>
        <w:t xml:space="preserve"> </w:t>
      </w:r>
      <w:r>
        <w:t xml:space="preserve">aus der verfügbaren zentralen, nicht-PV-basierten erneuerbaren Erzeugung und den vorrangigen Bedarfen – insbesondere Industrie und ÖPNV – hergeleitet. Sie ist keine eigenständige oder nachträglich festgelegte Mobilitätsgutschrift. Dieses Kapitel beschreibt nur die</w:t>
      </w:r>
      <w:r>
        <w:t xml:space="preserve"> </w:t>
      </w:r>
      <w:r>
        <w:rPr>
          <w:b/>
          <w:bCs/>
        </w:rPr>
        <w:t xml:space="preserve">räumliche und nutzungsbezogene Anwendung</w:t>
      </w:r>
      <w:r>
        <w:t xml:space="preserve"> </w:t>
      </w:r>
      <w:r>
        <w:t xml:space="preserve">des daraus hervorgehenden Budgets sowie die standortabhängige MIV-Bedarfsermittlung.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C:\Users\schneids\AppData\Local\Programs\Quarto\share\formats\docx\note.png" id="27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quantitative Allokation</w:t>
            </w:r>
          </w:p>
        </w:tc>
      </w:tr>
      <w:tr>
        <w:trPr>
          <w:cantSplit/>
        </w:trPr>
        <w:tc>
          <w:tcPr>
            <w:tcMar>
              <w:top w:w="108" w:type="dxa"/>
              <w:bottom w:w="108" w:type="dxa"/>
            </w:tcMar>
          </w:tcPr>
          <w:p>
            <w:pPr>
              <w:pStyle w:val="BodyText"/>
            </w:pPr>
            <w:pPr>
              <w:spacing w:before="16" w:after="16"/>
            </w:pPr>
            <w:hyperlink w:anchor="sec-allokation-ergebnisse">
              <w:r>
                <w:rPr>
                  <w:rStyle w:val="Hyperlink"/>
                </w:rPr>
                <w:t xml:space="preserve">Kapitel 11.3</w:t>
              </w:r>
            </w:hyperlink>
            <w:r>
              <w:t xml:space="preserve"> </w:t>
            </w:r>
            <w:r>
              <w:t xml:space="preserve">zeigt den parametrierten Transition-Referenzfall: 31 PJ/a beziehungsweise 8,611 TWh/a zentrale Restdeckung bei den dort dokumentierten Annahmen. H₂- und fossile Stromerzeugung sind vollständig enthalten; der Modell-Nettoexport beträgt 5 PJ/a. Das sind nationale elektrische Zuteilungen, keine neuen nutzungsbezogenen PE-Gutschriften. PE-Faktoren, Verteilungsschlüssel und Ziel-Flächen sind dafür nicht gemeinsam festgelegt. Die vollständige Rechnung steht in</w:t>
            </w:r>
            <w:r>
              <w:t xml:space="preserve"> </w:t>
            </w:r>
            <w:hyperlink w:anchor="sec-allokation-notebook">
              <w:r>
                <w:rPr>
                  <w:rStyle w:val="Hyperlink"/>
                </w:rPr>
                <w:t xml:space="preserve">Anhang F</w:t>
              </w:r>
            </w:hyperlink>
            <w:r>
              <w:t xml:space="preserve">.</w:t>
            </w:r>
          </w:p>
          <w:p/>
        </w:tc>
      </w:tr>
    </w:tbl>
    <w:bookmarkStart w:id="281" w:name="vom-nationalen-miv-budget-zur-nutzung"/>
    <w:p>
      <w:pPr>
        <w:pStyle w:val="Heading2"/>
      </w:pPr>
      <w:r>
        <w:t xml:space="preserve">14.1 Vom nationalen MIV-Budget zur Nutzung</w:t>
      </w:r>
    </w:p>
    <w:p>
      <w:pPr>
        <w:pStyle w:val="FirstParagraph"/>
      </w:pPr>
      <w:r>
        <w:t xml:space="preserve">Nach der sektoralen Elektrizitätsallokation wird die zugeordnete zentrale Restdeckung mit einem dokumentierten Primärenergie-Faktorensatz in das nationale PE-Budget überführt. Anschließend wird es anhand einer begründeten Verteilung des individuellen Zielverkehrs den Quartiersnutzungen zugeordnet. Die nationale Verteilung muss insgesamt genau das freigegebene MIV-Budget ergeben und darf nicht zusätzlich denselben zentralen Strom anderen Nutzungen gutschreiben.</w:t>
      </w:r>
    </w:p>
    <w:p>
      <w:pPr>
        <w:pStyle w:val="BodyText"/>
      </w:pPr>
      <w:r>
        <w:t xml:space="preserve">Für Nutzung</w:t>
      </w:r>
      <w:r>
        <w:t xml:space="preserve"> </w:t>
      </w:r>
      <m:oMath>
        <m:r>
          <m:t>u</m:t>
        </m:r>
      </m:oMath>
      <w:r>
        <w:t xml:space="preserve"> </w:t>
      </w:r>
      <w:r>
        <w:t xml:space="preserve">gilt:</w:t>
      </w:r>
    </w:p>
    <w:p>
      <w:pPr>
        <w:pStyle w:val="BodyText"/>
      </w:pPr>
      <w:bookmarkStart w:id="278" w:name="eq-mobilitaetsbudget"/>
      <m:oMathPara>
        <m:oMathParaPr>
          <m:jc m:val="center"/>
        </m:oMathParaPr>
        <m:oMath>
          <m:sSub>
            <m:e>
              <m:r>
                <m:t>c</m:t>
              </m:r>
            </m:e>
            <m:sub>
              <m:r>
                <m:rPr>
                  <m:sty m:val="p"/>
                </m:rPr>
                <m:t>M</m:t>
              </m:r>
              <m:r>
                <m:rPr>
                  <m:sty m:val="p"/>
                </m:rPr>
                <m:t>,</m:t>
              </m:r>
              <m:r>
                <m:t>u</m:t>
              </m:r>
            </m:sub>
          </m:sSub>
          <m:r>
            <m:rPr>
              <m:sty m:val="p"/>
            </m:rPr>
            <m:t>=</m:t>
          </m:r>
          <m:f>
            <m:fPr>
              <m:type m:val="bar"/>
            </m:fPr>
            <m:num>
              <m:sSubSup>
                <m:e>
                  <m:r>
                    <m:t>E</m:t>
                  </m:r>
                </m:e>
                <m:sub>
                  <m:r>
                    <m:rPr>
                      <m:sty m:val="p"/>
                    </m:rPr>
                    <m:t>M</m:t>
                  </m:r>
                  <m:r>
                    <m:rPr>
                      <m:sty m:val="p"/>
                    </m:rPr>
                    <m:t>I</m:t>
                  </m:r>
                  <m:r>
                    <m:rPr>
                      <m:sty m:val="p"/>
                    </m:rPr>
                    <m:t>V</m:t>
                  </m:r>
                  <m:r>
                    <m:rPr>
                      <m:sty m:val="p"/>
                    </m:rPr>
                    <m:t>,</m:t>
                  </m:r>
                  <m:r>
                    <m:rPr>
                      <m:sty m:val="p"/>
                    </m:rPr>
                    <m:t>B</m:t>
                  </m:r>
                  <m:r>
                    <m:rPr>
                      <m:sty m:val="p"/>
                    </m:rPr>
                    <m:t>u</m:t>
                  </m:r>
                  <m:r>
                    <m:rPr>
                      <m:sty m:val="p"/>
                    </m:rPr>
                    <m:t>d</m:t>
                  </m:r>
                  <m:r>
                    <m:rPr>
                      <m:sty m:val="p"/>
                    </m:rPr>
                    <m:t>g</m:t>
                  </m:r>
                  <m:r>
                    <m:rPr>
                      <m:sty m:val="p"/>
                    </m:rPr>
                    <m:t>e</m:t>
                  </m:r>
                  <m:r>
                    <m:rPr>
                      <m:sty m:val="p"/>
                    </m:rPr>
                    <m:t>t</m:t>
                  </m:r>
                </m:sub>
                <m:sup>
                  <m:r>
                    <m:rPr>
                      <m:sty m:val="p"/>
                    </m:rPr>
                    <m:t>P</m:t>
                  </m:r>
                  <m:r>
                    <m:rPr>
                      <m:sty m:val="p"/>
                    </m:rPr>
                    <m:t>E</m:t>
                  </m:r>
                </m:sup>
              </m:sSubSup>
              <m:r>
                <m:t> </m:t>
              </m:r>
              <m:sSub>
                <m:e>
                  <m:r>
                    <m:t>s</m:t>
                  </m:r>
                </m:e>
                <m:sub>
                  <m:r>
                    <m:t>u</m:t>
                  </m:r>
                </m:sub>
              </m:sSub>
            </m:num>
            <m:den>
              <m:sSubSup>
                <m:e>
                  <m:r>
                    <m:t>A</m:t>
                  </m:r>
                </m:e>
                <m:sub>
                  <m:r>
                    <m:rPr>
                      <m:sty m:val="p"/>
                    </m:rPr>
                    <m:t>N</m:t>
                  </m:r>
                  <m:r>
                    <m:rPr>
                      <m:sty m:val="p"/>
                    </m:rPr>
                    <m:t>G</m:t>
                  </m:r>
                  <m:r>
                    <m:rPr>
                      <m:sty m:val="p"/>
                    </m:rPr>
                    <m:t>F</m:t>
                  </m:r>
                  <m:r>
                    <m:rPr>
                      <m:sty m:val="p"/>
                    </m:rPr>
                    <m:t>,</m:t>
                  </m:r>
                  <m:r>
                    <m:t>u</m:t>
                  </m:r>
                </m:sub>
                <m:sup>
                  <m:r>
                    <m:t>2040</m:t>
                  </m:r>
                </m:sup>
              </m:sSubSup>
            </m:den>
          </m:f>
          <m:r>
            <m:rPr>
              <m:sty m:val="p"/>
            </m:rPr>
            <m:t>,</m:t>
          </m:r>
          <m:r>
            <m:t>  </m:t>
          </m:r>
          <m:nary>
            <m:naryPr>
              <m:chr m:val="∑"/>
              <m:limLoc m:val="undOvr"/>
              <m:subHide m:val="off"/>
              <m:supHide m:val="on"/>
            </m:naryPr>
            <m:sub>
              <m:r>
                <m:t>u</m:t>
              </m:r>
            </m:sub>
            <m:sup>
              <m:r>
                <m:t>​</m:t>
              </m:r>
            </m:sup>
            <m:e>
              <m:sSub>
                <m:e>
                  <m:r>
                    <m:t>s</m:t>
                  </m:r>
                </m:e>
                <m:sub>
                  <m:r>
                    <m:t>u</m:t>
                  </m:r>
                </m:sub>
              </m:sSub>
            </m:e>
          </m:nary>
          <m:r>
            <m:rPr>
              <m:sty m:val="p"/>
            </m:rPr>
            <m:t>=</m:t>
          </m:r>
          <m:r>
            <m:t>1</m:t>
          </m:r>
          <m:r>
            <m:rPr>
              <m:sty m:val="p"/>
            </m:rPr>
            <m:t>.</m:t>
          </m:r>
          <m:r>
            <m:t>  </m:t>
          </m:r>
          <m:r>
            <m:rPr>
              <m:sty m:val="p"/>
            </m:rPr>
            <m:t>(</m:t>
          </m:r>
          <m:r>
            <m:t>14.1</m:t>
          </m:r>
          <m:r>
            <m:rPr>
              <m:sty m:val="p"/>
            </m:rPr>
            <m:t>)</m:t>
          </m:r>
        </m:oMath>
      </m:oMathPara>
      <w:bookmarkEnd w:id="278"/>
    </w:p>
    <w:p>
      <w:pPr>
        <w:pStyle w:val="FirstParagraph"/>
      </w:pPr>
      <w:r>
        <w:t xml:space="preserve">Dabei ist</w:t>
      </w:r>
      <w:r>
        <w:t xml:space="preserve"> </w:t>
      </w:r>
      <m:oMath>
        <m:sSub>
          <m:e>
            <m:r>
              <m:t>s</m:t>
            </m:r>
          </m:e>
          <m:sub>
            <m:r>
              <m:t>u</m:t>
            </m:r>
          </m:sub>
        </m:sSub>
      </m:oMath>
      <w:r>
        <w:t xml:space="preserve"> </w:t>
      </w:r>
      <w:r>
        <w:t xml:space="preserve">der Anteil des nationalen Budgets, der dem von Nutzung</w:t>
      </w:r>
      <w:r>
        <w:t xml:space="preserve"> </w:t>
      </w:r>
      <m:oMath>
        <m:r>
          <m:t>u</m:t>
        </m:r>
      </m:oMath>
      <w:r>
        <w:t xml:space="preserve"> </w:t>
      </w:r>
      <w:r>
        <w:t xml:space="preserve">verursachten beziehungsweise ihr zugeordneten Zielverkehr zugerechnet wird. Die verwendeten nationalen NGF müssen dem Flächen- und Nutzungsstand des Kalibrierungsszenarios entsprechen. Es wird zwischen</w:t>
      </w:r>
      <w:r>
        <w:t xml:space="preserve"> </w:t>
      </w:r>
      <w:r>
        <w:rPr>
          <w:b/>
          <w:bCs/>
        </w:rPr>
        <w:t xml:space="preserve">Budgetverteilung je Nutzung</w:t>
      </w:r>
      <w:r>
        <w:t xml:space="preserve"> </w:t>
      </w:r>
      <w:r>
        <w:t xml:space="preserve">und</w:t>
      </w:r>
      <w:r>
        <w:t xml:space="preserve"> </w:t>
      </w:r>
      <w:r>
        <w:rPr>
          <w:b/>
          <w:bCs/>
        </w:rPr>
        <w:t xml:space="preserve">tatsächlicher Verkehrsvermeidung am Standort</w:t>
      </w:r>
      <w:r>
        <w:t xml:space="preserve"> </w:t>
      </w:r>
      <w:r>
        <w:t xml:space="preserve">unterschieden.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9" name="Picture"/>
                  <a:graphic>
                    <a:graphicData uri="http://schemas.openxmlformats.org/drawingml/2006/picture">
                      <pic:pic>
                        <pic:nvPicPr>
                          <pic:cNvPr descr="C:\Users\schneids\AppData\Local\Programs\Quarto\share\formats\docx\note.png" id="28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Parameterstand</w:t>
            </w:r>
          </w:p>
        </w:tc>
      </w:tr>
      <w:tr>
        <w:trPr>
          <w:cantSplit/>
        </w:trPr>
        <w:tc>
          <w:tcPr>
            <w:tcMar>
              <w:top w:w="108" w:type="dxa"/>
              <w:bottom w:w="108" w:type="dxa"/>
            </w:tcMar>
          </w:tcPr>
          <w:p>
            <w:pPr>
              <w:pStyle w:val="BodyText"/>
            </w:pPr>
            <w:pPr>
              <w:spacing w:before="16" w:after="16"/>
            </w:pPr>
            <w:r>
              <w:t xml:space="preserve">Das nationale elektrische Budget ist berechnet. Nutzungsbezogene PE-Gutschriften sind für Transition nicht numerisch festgelegt, da Faktorensatz, Zielverkehrsanteile und Nutzflächen hierfür nicht gemeinsam bestimmt sind. Die historischen Werte dokumentieren den Bewertungsstand 2023.</w:t>
            </w:r>
          </w:p>
          <w:p/>
        </w:tc>
      </w:tr>
    </w:tbl>
    <w:bookmarkEnd w:id="281"/>
    <w:bookmarkStart w:id="283" w:name="gemischt-genutzte-quartiere"/>
    <w:p>
      <w:pPr>
        <w:pStyle w:val="Heading2"/>
      </w:pPr>
      <w:r>
        <w:t xml:space="preserve">14.2 Gemischt genutzte Quartiere</w:t>
      </w:r>
    </w:p>
    <w:p>
      <w:pPr>
        <w:pStyle w:val="FirstParagraph"/>
      </w:pPr>
      <w:r>
        <w:t xml:space="preserve">Für ein Quartier mit verschiedenen Nutzungen ergibt sich die flächengewichtete spezifische Mobilitätsgutschrift:</w:t>
      </w:r>
    </w:p>
    <w:p>
      <w:pPr>
        <w:pStyle w:val="BodyText"/>
      </w:pPr>
      <w:bookmarkStart w:id="282" w:name="eq-mobilitaet-mischnutzung"/>
      <m:oMathPara>
        <m:oMathParaPr>
          <m:jc m:val="center"/>
        </m:oMathParaPr>
        <m:oMath>
          <m:sSub>
            <m:e>
              <m:r>
                <m:t>c</m:t>
              </m:r>
            </m:e>
            <m:sub>
              <m:r>
                <m:rPr>
                  <m:sty m:val="p"/>
                </m:rPr>
                <m:t>M</m:t>
              </m:r>
              <m:r>
                <m:rPr>
                  <m:sty m:val="p"/>
                </m:rPr>
                <m:t>o</m:t>
              </m:r>
              <m:r>
                <m:rPr>
                  <m:sty m:val="p"/>
                </m:rPr>
                <m:t>b</m:t>
              </m:r>
              <m:r>
                <m:rPr>
                  <m:sty m:val="p"/>
                </m:rPr>
                <m:t>i</m:t>
              </m:r>
              <m:r>
                <m:rPr>
                  <m:sty m:val="p"/>
                </m:rPr>
                <m:t>l</m:t>
              </m:r>
              <m:r>
                <m:rPr>
                  <m:sty m:val="p"/>
                </m:rPr>
                <m:t>i</m:t>
              </m:r>
              <m:r>
                <m:rPr>
                  <m:sty m:val="p"/>
                </m:rPr>
                <m:t>t</m:t>
              </m:r>
              <m:r>
                <m:rPr>
                  <m:sty m:val="p"/>
                </m:rPr>
                <m:t>ä</m:t>
              </m:r>
              <m:r>
                <m:rPr>
                  <m:sty m:val="p"/>
                </m:rPr>
                <m:t>t</m:t>
              </m:r>
            </m:sub>
          </m:sSub>
          <m:r>
            <m:rPr>
              <m:sty m:val="p"/>
            </m:rPr>
            <m:t>=</m:t>
          </m:r>
          <m:f>
            <m:fPr>
              <m:type m:val="bar"/>
            </m:fPr>
            <m:num>
              <m:nary>
                <m:naryPr>
                  <m:chr m:val="∑"/>
                  <m:limLoc m:val="undOvr"/>
                  <m:subHide m:val="off"/>
                  <m:supHide m:val="on"/>
                </m:naryPr>
                <m:sub>
                  <m:r>
                    <m:t>u</m:t>
                  </m:r>
                </m:sub>
                <m:sup>
                  <m:r>
                    <m:t>​</m:t>
                  </m:r>
                </m:sup>
                <m:e>
                  <m:sSubSup>
                    <m:e>
                      <m:r>
                        <m:t>A</m:t>
                      </m:r>
                    </m:e>
                    <m:sub>
                      <m:r>
                        <m:rPr>
                          <m:sty m:val="p"/>
                        </m:rPr>
                        <m:t>N</m:t>
                      </m:r>
                      <m:r>
                        <m:rPr>
                          <m:sty m:val="p"/>
                        </m:rPr>
                        <m:t>G</m:t>
                      </m:r>
                      <m:r>
                        <m:rPr>
                          <m:sty m:val="p"/>
                        </m:rPr>
                        <m:t>F</m:t>
                      </m:r>
                      <m:r>
                        <m:rPr>
                          <m:sty m:val="p"/>
                        </m:rPr>
                        <m:t>,</m:t>
                      </m:r>
                      <m:r>
                        <m:t>u</m:t>
                      </m:r>
                    </m:sub>
                    <m:sup>
                      <m:r>
                        <m:rPr>
                          <m:sty m:val="p"/>
                        </m:rPr>
                        <m:t>Q</m:t>
                      </m:r>
                      <m:r>
                        <m:rPr>
                          <m:sty m:val="p"/>
                        </m:rPr>
                        <m:t>u</m:t>
                      </m:r>
                      <m:r>
                        <m:rPr>
                          <m:sty m:val="p"/>
                        </m:rPr>
                        <m:t>a</m:t>
                      </m:r>
                      <m:r>
                        <m:rPr>
                          <m:sty m:val="p"/>
                        </m:rPr>
                        <m:t>r</m:t>
                      </m:r>
                      <m:r>
                        <m:rPr>
                          <m:sty m:val="p"/>
                        </m:rPr>
                        <m:t>t</m:t>
                      </m:r>
                      <m:r>
                        <m:rPr>
                          <m:sty m:val="p"/>
                        </m:rPr>
                        <m:t>i</m:t>
                      </m:r>
                      <m:r>
                        <m:rPr>
                          <m:sty m:val="p"/>
                        </m:rPr>
                        <m:t>e</m:t>
                      </m:r>
                      <m:r>
                        <m:rPr>
                          <m:sty m:val="p"/>
                        </m:rPr>
                        <m:t>r</m:t>
                      </m:r>
                    </m:sup>
                  </m:sSubSup>
                </m:e>
              </m:nary>
              <m:sSub>
                <m:e>
                  <m:r>
                    <m:t>c</m:t>
                  </m:r>
                </m:e>
                <m:sub>
                  <m:r>
                    <m:rPr>
                      <m:sty m:val="p"/>
                    </m:rPr>
                    <m:t>M</m:t>
                  </m:r>
                  <m:r>
                    <m:rPr>
                      <m:sty m:val="p"/>
                    </m:rPr>
                    <m:t>,</m:t>
                  </m:r>
                  <m:r>
                    <m:t>u</m:t>
                  </m:r>
                </m:sub>
              </m:sSub>
            </m:num>
            <m:den>
              <m:nary>
                <m:naryPr>
                  <m:chr m:val="∑"/>
                  <m:limLoc m:val="undOvr"/>
                  <m:subHide m:val="off"/>
                  <m:supHide m:val="on"/>
                </m:naryPr>
                <m:sub>
                  <m:r>
                    <m:t>u</m:t>
                  </m:r>
                </m:sub>
                <m:sup>
                  <m:r>
                    <m:t>​</m:t>
                  </m:r>
                </m:sup>
                <m:e>
                  <m:sSubSup>
                    <m:e>
                      <m:r>
                        <m:t>A</m:t>
                      </m:r>
                    </m:e>
                    <m:sub>
                      <m:r>
                        <m:rPr>
                          <m:sty m:val="p"/>
                        </m:rPr>
                        <m:t>N</m:t>
                      </m:r>
                      <m:r>
                        <m:rPr>
                          <m:sty m:val="p"/>
                        </m:rPr>
                        <m:t>G</m:t>
                      </m:r>
                      <m:r>
                        <m:rPr>
                          <m:sty m:val="p"/>
                        </m:rPr>
                        <m:t>F</m:t>
                      </m:r>
                      <m:r>
                        <m:rPr>
                          <m:sty m:val="p"/>
                        </m:rPr>
                        <m:t>,</m:t>
                      </m:r>
                      <m:r>
                        <m:t>u</m:t>
                      </m:r>
                    </m:sub>
                    <m:sup>
                      <m:r>
                        <m:rPr>
                          <m:sty m:val="p"/>
                        </m:rPr>
                        <m:t>Q</m:t>
                      </m:r>
                      <m:r>
                        <m:rPr>
                          <m:sty m:val="p"/>
                        </m:rPr>
                        <m:t>u</m:t>
                      </m:r>
                      <m:r>
                        <m:rPr>
                          <m:sty m:val="p"/>
                        </m:rPr>
                        <m:t>a</m:t>
                      </m:r>
                      <m:r>
                        <m:rPr>
                          <m:sty m:val="p"/>
                        </m:rPr>
                        <m:t>r</m:t>
                      </m:r>
                      <m:r>
                        <m:rPr>
                          <m:sty m:val="p"/>
                        </m:rPr>
                        <m:t>t</m:t>
                      </m:r>
                      <m:r>
                        <m:rPr>
                          <m:sty m:val="p"/>
                        </m:rPr>
                        <m:t>i</m:t>
                      </m:r>
                      <m:r>
                        <m:rPr>
                          <m:sty m:val="p"/>
                        </m:rPr>
                        <m:t>e</m:t>
                      </m:r>
                      <m:r>
                        <m:rPr>
                          <m:sty m:val="p"/>
                        </m:rPr>
                        <m:t>r</m:t>
                      </m:r>
                    </m:sup>
                  </m:sSubSup>
                </m:e>
              </m:nary>
            </m:den>
          </m:f>
          <m:r>
            <m:rPr>
              <m:sty m:val="p"/>
            </m:rPr>
            <m:t>.</m:t>
          </m:r>
          <m:r>
            <m:t>  </m:t>
          </m:r>
          <m:r>
            <m:rPr>
              <m:sty m:val="p"/>
            </m:rPr>
            <m:t>(</m:t>
          </m:r>
          <m:r>
            <m:t>14.2</m:t>
          </m:r>
          <m:r>
            <m:rPr>
              <m:sty m:val="p"/>
            </m:rPr>
            <m:t>)</m:t>
          </m:r>
        </m:oMath>
      </m:oMathPara>
      <w:bookmarkEnd w:id="282"/>
    </w:p>
    <w:p>
      <w:pPr>
        <w:pStyle w:val="FirstParagraph"/>
      </w:pPr>
      <w:r>
        <w:t xml:space="preserve">Die gleiche Nutzungszuordnung ist auch für die Ermittlung des Verkehrsbedarfs anzuwenden. Zusätzliche Nutzfläche begründet nicht allein einen Bonus, sondern verändert zugleich den zu bilanzierenden Zielverkehr. Die Mobilitätsgutschrift darf nur zusammen mit dem entsprechenden MIV-Bedarf in die erweiterte PEQ-Bilanz eingehen (</w:t>
      </w:r>
      <w:hyperlink w:anchor="sec-kontext">
        <w:r>
          <w:rPr>
            <w:rStyle w:val="Hyperlink"/>
          </w:rPr>
          <w:t xml:space="preserve">Kapitel 9.2</w:t>
        </w:r>
      </w:hyperlink>
      <w:r>
        <w:t xml:space="preserve">).</w:t>
      </w:r>
    </w:p>
    <w:bookmarkEnd w:id="283"/>
    <w:bookmarkStart w:id="292" w:name="Xffd7a57a537d9eec9d2414bd792027ef7efb5fa"/>
    <w:p>
      <w:pPr>
        <w:pStyle w:val="Heading2"/>
      </w:pPr>
      <w:r>
        <w:t xml:space="preserve">14.3 Standortabhängiger MIV-Bedarf: Mobilitätsregionen und Verkehrsleistung</w:t>
      </w:r>
    </w:p>
    <w:p>
      <w:pPr>
        <w:pStyle w:val="FirstParagraph"/>
      </w:pPr>
      <w:r>
        <w:t xml:space="preserve">Der tatsächlich zu bewertende MIV-Bedarf wird nicht mit dem nationalen Budget gleichgesetzt. Er hängt von den verursachten Wegen, der Nutzung, den Standortbedingungen, der Verkehrsmittelwahl und der Fahrzeugflotte ab. Für die standortabhängige Referenzabschätzung werden Mobilitätsregionen und Verkehrsdaten aus der österreichischen Mobilitätserhebung verwendet. Ihre Fortschreibung auf den Zielzustand und mögliche projektbezogene Abweichungen sind gesondert zu begründen.</w:t>
      </w:r>
    </w:p>
    <w:tbl>
      <w:tblPr>
        <w:tblStyle w:val="Table"/>
        <w:tblW w:type="pct" w:w="5000"/>
        <w:tblLayout w:type="fixed"/>
        <w:tblLook w:firstRow="0" w:lastRow="0" w:firstColumn="0" w:lastColumn="0" w:noHBand="0" w:noVBand="0" w:val="0000"/>
      </w:tblPr>
      <w:tblGrid>
        <w:gridCol w:w="7920"/>
      </w:tblGrid>
      <w:tr>
        <w:tc>
          <w:tcPr/>
          <w:bookmarkStart w:id="287" w:name="fig-mobilitaetsregionen"/>
          <w:p>
            <w:pPr>
              <w:pStyle w:val="Compact"/>
              <w:jc w:val="center"/>
            </w:pPr>
            <w:r>
              <w:drawing>
                <wp:inline>
                  <wp:extent cx="5334000" cy="3012045"/>
                  <wp:effectExtent b="0" l="0" r="0" t="0"/>
                  <wp:docPr descr="" title="" id="285" name="Picture"/>
                  <a:graphic>
                    <a:graphicData uri="http://schemas.openxmlformats.org/drawingml/2006/picture">
                      <pic:pic>
                        <pic:nvPicPr>
                          <pic:cNvPr descr="Kapitel/../Abbildungen/verkehrsgueteklasse.png" id="286" name="Picture"/>
                          <pic:cNvPicPr>
                            <a:picLocks noChangeArrowheads="1" noChangeAspect="1"/>
                          </pic:cNvPicPr>
                        </pic:nvPicPr>
                        <pic:blipFill>
                          <a:blip r:embed="rId284"/>
                          <a:stretch>
                            <a:fillRect/>
                          </a:stretch>
                        </pic:blipFill>
                        <pic:spPr bwMode="auto">
                          <a:xfrm>
                            <a:off x="0" y="0"/>
                            <a:ext cx="5334000" cy="301204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14.1: Räumliche Verteilung der Mobilitätsregionen in Österreich als Grundlage standortabhängiger Mobilitätsannahmen (Datenquelle: Österreich unterwegs 2013/2014).</w:t>
            </w:r>
          </w:p>
          <w:bookmarkEnd w:id="28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1" w:name="fig-miv-verkehrsleistung"/>
          <w:p>
            <w:pPr>
              <w:pStyle w:val="Compact"/>
              <w:jc w:val="center"/>
            </w:pPr>
            <w:r>
              <w:drawing>
                <wp:inline>
                  <wp:extent cx="4800600" cy="2370985"/>
                  <wp:effectExtent b="0" l="0" r="0" t="0"/>
                  <wp:docPr descr="" title="" id="289" name="Picture"/>
                  <a:graphic>
                    <a:graphicData uri="http://schemas.openxmlformats.org/drawingml/2006/picture">
                      <pic:pic>
                        <pic:nvPicPr>
                          <pic:cNvPr descr="Kapitel/../Abbildungen/verkehrsleisting.svg" id="2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4800600" cy="237098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14.2: Jährliche MIV-Verkehrsleistung nach Mobilitätsregion (Datenquelle: Österreich unterwegs 2013/2014).</w:t>
            </w:r>
          </w:p>
          <w:bookmarkEnd w:id="291"/>
        </w:tc>
      </w:tr>
    </w:tbl>
    <w:p>
      <w:pPr>
        <w:pStyle w:val="BodyText"/>
      </w:pPr>
      <w:r>
        <w:t xml:space="preserve">Ein günstiger Standort, kurze Wege, eine hohe ÖV-Güte, gemischte Nutzungen und ein wirksames Mobilitätskonzept können den MIV-Bedarf vermindern. Bei gleicher Nutzung und gleichem nationalem Budget erhält ein Quartier durch solche realen Minderungen einen günstigeren Bilanzsaldo. Die bloße Bereitstellung einzelner Einrichtungen begründet noch keine beliebige Verkehrsreduktion.</w:t>
      </w:r>
    </w:p>
    <w:bookmarkEnd w:id="292"/>
    <w:bookmarkStart w:id="293" w:name="X275d9e66aae07322038718d1a73c6721296b675"/>
    <w:p>
      <w:pPr>
        <w:pStyle w:val="Heading2"/>
      </w:pPr>
      <w:r>
        <w:t xml:space="preserve">14.4 Abgrenzung von Zielverkehr, Strombedarf und Ladeprofilen</w:t>
      </w:r>
    </w:p>
    <w:p>
      <w:pPr>
        <w:pStyle w:val="FirstParagraph"/>
      </w:pPr>
      <w:r>
        <w:t xml:space="preserve">Für die Quartiersbilanz wird der definierte motorisierte individuelle</w:t>
      </w:r>
      <w:r>
        <w:t xml:space="preserve"> </w:t>
      </w:r>
      <w:r>
        <w:rPr>
          <w:b/>
          <w:bCs/>
        </w:rPr>
        <w:t xml:space="preserve">Zielverkehr</w:t>
      </w:r>
      <w:r>
        <w:t xml:space="preserve"> </w:t>
      </w:r>
      <w:r>
        <w:t xml:space="preserve">zugeordnet. Für die energetische Simulation von Lade- und Speicherflüssen sind hingegen reale Anwesenheit und Ladevorgänge maßgeblich. Ein rechnerisches nationales Mobilitätsbudget stellt weder eine lokale Stromerzeugungsanlage noch verfügbare Ladeleistung oder Batteriekapazität dar. Elektromobilität und flexible Ladevorgänge können die Energiebilanz und Netzbelastung beeinflussen, sind aber mit der tatsächlichen stündlichen Simulation nachzuweisen</w:t>
      </w:r>
      <w:r>
        <w:t xml:space="preserve"> </w:t>
      </w:r>
      <w:r>
        <w:t xml:space="preserve">(Schneider 2026, Abschn. 3.3.4)</w:t>
      </w:r>
      <w:r>
        <w:t xml:space="preserve">.</w:t>
      </w:r>
    </w:p>
    <w:bookmarkEnd w:id="293"/>
    <w:bookmarkStart w:id="296" w:name="dokumentation-und-aktualisierung"/>
    <w:p>
      <w:pPr>
        <w:pStyle w:val="Heading2"/>
      </w:pPr>
      <w:r>
        <w:t xml:space="preserve">14.5 Dokumentation und Aktualisierung</w:t>
      </w:r>
    </w:p>
    <w:p>
      <w:pPr>
        <w:pStyle w:val="FirstParagraph"/>
      </w:pPr>
      <w:r>
        <w:t xml:space="preserve">Die Mobilitätsberechnung benötigt zwei unabhängig überprüfbare Datenteile: (1) den in</w:t>
      </w:r>
      <w:r>
        <w:t xml:space="preserve"> </w:t>
      </w:r>
      <w:hyperlink w:anchor="sec-allokation">
        <w:r>
          <w:rPr>
            <w:rStyle w:val="Hyperlink"/>
          </w:rPr>
          <w:t xml:space="preserve">Kapitel 11</w:t>
        </w:r>
      </w:hyperlink>
      <w:r>
        <w:t xml:space="preserve"> </w:t>
      </w:r>
      <w:r>
        <w:t xml:space="preserve">freigegebenen nationalen MIV-Restbetrag und dessen PE-Umrechnung; (2) Nutzungsflächen, Wege-, Modal-Split- und Flottenannahmen zur Budgetverteilung und Standortbewertung. Ein Wechsel der nationalen Szenarioquelle oder der Verkehrserhebung erfordert eine nachvollziehbare Neukalibrierung und darf nicht durch pauschales Skalieren der bisherigen Gutschrift ersetzt werden.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4" name="Picture"/>
                  <a:graphic>
                    <a:graphicData uri="http://schemas.openxmlformats.org/drawingml/2006/picture">
                      <pic:pic>
                        <pic:nvPicPr>
                          <pic:cNvPr descr="C:\Users\schneids\AppData\Local\Programs\Quarto\share\formats\docx\note.png" id="29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Historischer Bewertungsstand</w:t>
            </w:r>
          </w:p>
        </w:tc>
      </w:tr>
      <w:tr>
        <w:trPr>
          <w:cantSplit/>
        </w:trPr>
        <w:tc>
          <w:tcPr>
            <w:tcMar>
              <w:top w:w="108" w:type="dxa"/>
              <w:bottom w:w="108" w:type="dxa"/>
            </w:tcMar>
          </w:tcPr>
          <w:p>
            <w:pPr>
              <w:pStyle w:val="BodyText"/>
            </w:pPr>
            <w:pPr>
              <w:spacing w:before="16" w:after="16"/>
            </w:pPr>
            <w:r>
              <w:t xml:space="preserve">Die ursprüngliche, Streicher-basierte Operationalisierung verwendete ein primärenergetisches MIV-Budget von 10,68 TWh PE/a und daraus abgeleitete Gutschriften nach Nutzung</w:t>
            </w:r>
            <w:r>
              <w:t xml:space="preserve"> </w:t>
            </w:r>
            <w:r>
              <w:t xml:space="preserve">(Schneider u. a. 2023, Tab. 8–9)</w:t>
            </w:r>
            <w:r>
              <w:t xml:space="preserve">. Diese Zahlen dienen nur zur historischen Einordnung; die neue Gutschrift ist aus der</w:t>
            </w:r>
            <w:r>
              <w:t xml:space="preserve"> </w:t>
            </w:r>
            <w:r>
              <w:rPr>
                <w:b/>
                <w:bCs/>
              </w:rPr>
              <w:t xml:space="preserve">Transition-2040-Sektorallokation</w:t>
            </w:r>
            <w:r>
              <w:t xml:space="preserve"> </w:t>
            </w:r>
            <w:r>
              <w:t xml:space="preserve">herzuleiten. Wenn eine bestehende Toolversion noch historische Werte anwendet, ist das als gesonderter</w:t>
            </w:r>
            <w:r>
              <w:t xml:space="preserve"> </w:t>
            </w:r>
            <w:r>
              <w:rPr>
                <w:i/>
                <w:iCs/>
              </w:rPr>
              <w:t xml:space="preserve">Implementierungsstand</w:t>
            </w:r>
            <w:r>
              <w:t xml:space="preserve">, nicht als Ergebnis der Neukalibrierung, zu kennzeichnen.</w:t>
            </w:r>
          </w:p>
          <w:p/>
        </w:tc>
      </w:tr>
    </w:tbl>
    <w:bookmarkEnd w:id="296"/>
    <w:bookmarkEnd w:id="297"/>
    <w:bookmarkStart w:id="305" w:name="sec-kontext-sanierung"/>
    <w:p>
      <w:pPr>
        <w:pStyle w:val="Heading1"/>
      </w:pPr>
      <w:r>
        <w:t xml:space="preserve">15. Kontextfaktor Sanierung</w:t>
      </w:r>
    </w:p>
    <w:p>
      <w:pPr>
        <w:pStyle w:val="FirstParagraph"/>
      </w:pPr>
      <w:r>
        <w:t xml:space="preserve">Typologieabhängige Sanierungsanpassungen statt einer pauschalen Flächengutschrift</w:t>
      </w:r>
    </w:p>
    <w:p>
      <w:pPr>
        <w:pStyle w:val="BodyText"/>
      </w:pPr>
      <w:r>
        <w:t xml:space="preserve">Die Sanierungsanpassung berücksichtigt spezifische technische und bauliche Randbedingungen bestehender Gebäude. In der</w:t>
      </w:r>
      <w:r>
        <w:t xml:space="preserve"> </w:t>
      </w:r>
      <w:r>
        <w:rPr>
          <w:b/>
          <w:bCs/>
        </w:rPr>
        <w:t xml:space="preserve">neuen PEQ-Kalibrierung</w:t>
      </w:r>
      <w:r>
        <w:t xml:space="preserve"> </w:t>
      </w:r>
      <w:r>
        <w:t xml:space="preserve">wird sie</w:t>
      </w:r>
      <w:r>
        <w:t xml:space="preserve"> </w:t>
      </w:r>
      <w:r>
        <w:rPr>
          <w:b/>
          <w:bCs/>
        </w:rPr>
        <w:t xml:space="preserve">je energetischer Gebäudetypologie</w:t>
      </w:r>
      <w:r>
        <w:t xml:space="preserve"> </w:t>
      </w:r>
      <w:r>
        <w:t xml:space="preserve">definiert und mit deren Flächenanteilen sowie den übrigen Energieanforderungen abgestimmt (</w:t>
      </w:r>
      <w:hyperlink w:anchor="sec-gebaeudebestand">
        <w:r>
          <w:rPr>
            <w:rStyle w:val="Hyperlink"/>
          </w:rPr>
          <w:t xml:space="preserve">Kapitel 12</w:t>
        </w:r>
      </w:hyperlink>
      <w:r>
        <w:t xml:space="preserve">;</w:t>
      </w:r>
      <w:r>
        <w:t xml:space="preserve"> </w:t>
      </w:r>
      <w:hyperlink w:anchor="sec-kalibrierung">
        <w:r>
          <w:rPr>
            <w:rStyle w:val="Hyperlink"/>
          </w:rPr>
          <w:t xml:space="preserve">Kapitel 13</w:t>
        </w:r>
      </w:hyperlink>
      <w:r>
        <w:t xml:space="preserve">). Sie ist damit kein von der nationalen Gebäudesektorbilanz unabhängiger, allgemeiner Pauschalbonus.</w:t>
      </w:r>
    </w:p>
    <w:bookmarkStart w:id="298" w:name="Xb83b51ee6af25ad16dd871f4b7fee0531797f91"/>
    <w:p>
      <w:pPr>
        <w:pStyle w:val="Heading2"/>
      </w:pPr>
      <w:r>
        <w:t xml:space="preserve">15.1 Ableitung aus den neuen Gebäudetypologien</w:t>
      </w:r>
    </w:p>
    <w:p>
      <w:pPr>
        <w:pStyle w:val="FirstParagraph"/>
      </w:pPr>
      <w:r>
        <w:t xml:space="preserve">Die zu betrachtenden Typologien, ihre energetischen Zustände und die zugehörigen nationalen Flächenanteile werden in</w:t>
      </w:r>
      <w:r>
        <w:t xml:space="preserve"> </w:t>
      </w:r>
      <w:hyperlink w:anchor="sec-gebaeudebestand">
        <w:r>
          <w:rPr>
            <w:rStyle w:val="Hyperlink"/>
          </w:rPr>
          <w:t xml:space="preserve">Kapitel 12</w:t>
        </w:r>
      </w:hyperlink>
      <w:r>
        <w:t xml:space="preserve"> </w:t>
      </w:r>
      <w:r>
        <w:t xml:space="preserve">festgelegt. Für jede Typologie</w:t>
      </w:r>
      <w:r>
        <w:t xml:space="preserve"> </w:t>
      </w:r>
      <m:oMath>
        <m:r>
          <m:t>k</m:t>
        </m:r>
      </m:oMath>
      <w:r>
        <w:t xml:space="preserve"> </w:t>
      </w:r>
      <w:r>
        <w:t xml:space="preserve">ist zu dokumentieren, ob eine Sanierungsanpassung sachlich gerechtfertigt ist, welchen zulässigen Kontextwert</w:t>
      </w:r>
      <w:r>
        <w:t xml:space="preserve"> </w:t>
      </w:r>
      <m:oMath>
        <m:sSub>
          <m:e>
            <m:r>
              <m:t>c</m:t>
            </m:r>
          </m:e>
          <m:sub>
            <m:r>
              <m:rPr>
                <m:sty m:val="p"/>
              </m:rPr>
              <m:t>S</m:t>
            </m:r>
            <m:r>
              <m:rPr>
                <m:sty m:val="p"/>
              </m:rPr>
              <m:t>,</m:t>
            </m:r>
            <m:r>
              <m:t>k</m:t>
            </m:r>
          </m:sub>
        </m:sSub>
      </m:oMath>
      <w:r>
        <w:t xml:space="preserve"> </w:t>
      </w:r>
      <w:r>
        <w:t xml:space="preserve">sie erhält und wie dieser Wert mit den modellierten typologischen Anforderungen zusammenhängt.</w:t>
      </w:r>
    </w:p>
    <w:p>
      <w:pPr>
        <w:pStyle w:val="BodyText"/>
      </w:pPr>
      <w:r>
        <w:t xml:space="preserve">Eine typologiespezifische Anpassung kann insbesondere die im Bestand eingeschränkten Maßnahmenmöglichkeiten berücksichtigen. Die konkreten Kriterien – zum Beispiel Sanierungstiefe, vorhandene Konstruktion und verbleibender energetischer Bedarf – sind anhand der neuen Klassen zu definieren. Die Höhe ist</w:t>
      </w:r>
      <w:r>
        <w:t xml:space="preserve"> </w:t>
      </w:r>
      <w:r>
        <w:rPr>
          <w:b/>
          <w:bCs/>
        </w:rPr>
        <w:t xml:space="preserve">Ergebnis der gemeinsamen Kalibrierung</w:t>
      </w:r>
      <w:r>
        <w:t xml:space="preserve">, nicht automatisch der Abstand zu einem Neubau-Bedarfswert und nicht eine pauschal behauptete CO₂-Einsparung.</w:t>
      </w:r>
    </w:p>
    <w:bookmarkEnd w:id="298"/>
    <w:bookmarkStart w:id="304" w:name="anwendung-auf-gemischte-quartiere"/>
    <w:p>
      <w:pPr>
        <w:pStyle w:val="Heading2"/>
      </w:pPr>
      <w:r>
        <w:t xml:space="preserve">15.2 Anwendung auf gemischte Quartiere</w:t>
      </w:r>
    </w:p>
    <w:p>
      <w:pPr>
        <w:pStyle w:val="FirstParagraph"/>
      </w:pPr>
      <w:r>
        <w:t xml:space="preserve">Enthält ein Quartier mehrere nachweisrelevante Gebäudetypologien, kann der spezifische Kontextwert als nutzflächengewichteter Mittelwert gebildet werden:</w:t>
      </w:r>
    </w:p>
    <w:p>
      <w:pPr>
        <w:pStyle w:val="BodyText"/>
      </w:pPr>
      <w:bookmarkStart w:id="299" w:name="eq-sanierungskontext"/>
      <m:oMathPara>
        <m:oMathParaPr>
          <m:jc m:val="center"/>
        </m:oMathParaPr>
        <m:oMath>
          <m:sSub>
            <m:e>
              <m:r>
                <m:t>c</m:t>
              </m:r>
            </m:e>
            <m:sub>
              <m:r>
                <m:rPr>
                  <m:sty m:val="p"/>
                </m:rPr>
                <m:t>S</m:t>
              </m:r>
              <m:r>
                <m:rPr>
                  <m:sty m:val="p"/>
                </m:rPr>
                <m:t>a</m:t>
              </m:r>
              <m:r>
                <m:rPr>
                  <m:sty m:val="p"/>
                </m:rPr>
                <m:t>n</m:t>
              </m:r>
              <m:r>
                <m:rPr>
                  <m:sty m:val="p"/>
                </m:rPr>
                <m:t>i</m:t>
              </m:r>
              <m:r>
                <m:rPr>
                  <m:sty m:val="p"/>
                </m:rPr>
                <m:t>e</m:t>
              </m:r>
              <m:r>
                <m:rPr>
                  <m:sty m:val="p"/>
                </m:rPr>
                <m:t>r</m:t>
              </m:r>
              <m:r>
                <m:rPr>
                  <m:sty m:val="p"/>
                </m:rPr>
                <m:t>u</m:t>
              </m:r>
              <m:r>
                <m:rPr>
                  <m:sty m:val="p"/>
                </m:rPr>
                <m:t>n</m:t>
              </m:r>
              <m:r>
                <m:rPr>
                  <m:sty m:val="p"/>
                </m:rPr>
                <m:t>g</m:t>
              </m:r>
              <m:r>
                <m:rPr>
                  <m:sty m:val="p"/>
                </m:rPr>
                <m:t>,</m:t>
              </m:r>
              <m:r>
                <m:rPr>
                  <m:sty m:val="p"/>
                </m:rPr>
                <m:t>t</m:t>
              </m:r>
              <m:r>
                <m:rPr>
                  <m:sty m:val="p"/>
                </m:rPr>
                <m:t>y</m:t>
              </m:r>
              <m:r>
                <m:rPr>
                  <m:sty m:val="p"/>
                </m:rPr>
                <m:t>p</m:t>
              </m:r>
            </m:sub>
          </m:sSub>
          <m:r>
            <m:rPr>
              <m:sty m:val="p"/>
            </m:rPr>
            <m:t>=</m:t>
          </m:r>
          <m:f>
            <m:fPr>
              <m:type m:val="bar"/>
            </m:fPr>
            <m:num>
              <m:nary>
                <m:naryPr>
                  <m:chr m:val="∑"/>
                  <m:limLoc m:val="undOvr"/>
                  <m:subHide m:val="off"/>
                  <m:supHide m:val="on"/>
                </m:naryPr>
                <m:sub>
                  <m:r>
                    <m:t>k</m:t>
                  </m:r>
                </m:sub>
                <m:sup>
                  <m:r>
                    <m:t>​</m:t>
                  </m:r>
                </m:sup>
                <m:e>
                  <m:sSubSup>
                    <m:e>
                      <m:r>
                        <m:t>A</m:t>
                      </m:r>
                    </m:e>
                    <m:sub>
                      <m:r>
                        <m:rPr>
                          <m:sty m:val="p"/>
                        </m:rPr>
                        <m:t>N</m:t>
                      </m:r>
                      <m:r>
                        <m:rPr>
                          <m:sty m:val="p"/>
                        </m:rPr>
                        <m:t>G</m:t>
                      </m:r>
                      <m:r>
                        <m:rPr>
                          <m:sty m:val="p"/>
                        </m:rPr>
                        <m:t>F</m:t>
                      </m:r>
                      <m:r>
                        <m:rPr>
                          <m:sty m:val="p"/>
                        </m:rPr>
                        <m:t>,</m:t>
                      </m:r>
                      <m:r>
                        <m:t>k</m:t>
                      </m:r>
                    </m:sub>
                    <m:sup>
                      <m:r>
                        <m:rPr>
                          <m:sty m:val="p"/>
                        </m:rPr>
                        <m:t>Q</m:t>
                      </m:r>
                      <m:r>
                        <m:rPr>
                          <m:sty m:val="p"/>
                        </m:rPr>
                        <m:t>u</m:t>
                      </m:r>
                      <m:r>
                        <m:rPr>
                          <m:sty m:val="p"/>
                        </m:rPr>
                        <m:t>a</m:t>
                      </m:r>
                      <m:r>
                        <m:rPr>
                          <m:sty m:val="p"/>
                        </m:rPr>
                        <m:t>r</m:t>
                      </m:r>
                      <m:r>
                        <m:rPr>
                          <m:sty m:val="p"/>
                        </m:rPr>
                        <m:t>t</m:t>
                      </m:r>
                      <m:r>
                        <m:rPr>
                          <m:sty m:val="p"/>
                        </m:rPr>
                        <m:t>i</m:t>
                      </m:r>
                      <m:r>
                        <m:rPr>
                          <m:sty m:val="p"/>
                        </m:rPr>
                        <m:t>e</m:t>
                      </m:r>
                      <m:r>
                        <m:rPr>
                          <m:sty m:val="p"/>
                        </m:rPr>
                        <m:t>r</m:t>
                      </m:r>
                    </m:sup>
                  </m:sSubSup>
                </m:e>
              </m:nary>
              <m:r>
                <m:t> </m:t>
              </m:r>
              <m:sSub>
                <m:e>
                  <m:r>
                    <m:t>c</m:t>
                  </m:r>
                </m:e>
                <m:sub>
                  <m:r>
                    <m:rPr>
                      <m:sty m:val="p"/>
                    </m:rPr>
                    <m:t>S</m:t>
                  </m:r>
                  <m:r>
                    <m:rPr>
                      <m:sty m:val="p"/>
                    </m:rPr>
                    <m:t>,</m:t>
                  </m:r>
                  <m:r>
                    <m:t>k</m:t>
                  </m:r>
                </m:sub>
              </m:sSub>
            </m:num>
            <m:den>
              <m:nary>
                <m:naryPr>
                  <m:chr m:val="∑"/>
                  <m:limLoc m:val="undOvr"/>
                  <m:subHide m:val="off"/>
                  <m:supHide m:val="on"/>
                </m:naryPr>
                <m:sub>
                  <m:r>
                    <m:t>k</m:t>
                  </m:r>
                </m:sub>
                <m:sup>
                  <m:r>
                    <m:t>​</m:t>
                  </m:r>
                </m:sup>
                <m:e>
                  <m:sSubSup>
                    <m:e>
                      <m:r>
                        <m:t>A</m:t>
                      </m:r>
                    </m:e>
                    <m:sub>
                      <m:r>
                        <m:rPr>
                          <m:sty m:val="p"/>
                        </m:rPr>
                        <m:t>N</m:t>
                      </m:r>
                      <m:r>
                        <m:rPr>
                          <m:sty m:val="p"/>
                        </m:rPr>
                        <m:t>G</m:t>
                      </m:r>
                      <m:r>
                        <m:rPr>
                          <m:sty m:val="p"/>
                        </m:rPr>
                        <m:t>F</m:t>
                      </m:r>
                      <m:r>
                        <m:rPr>
                          <m:sty m:val="p"/>
                        </m:rPr>
                        <m:t>,</m:t>
                      </m:r>
                      <m:r>
                        <m:t>k</m:t>
                      </m:r>
                    </m:sub>
                    <m:sup>
                      <m:r>
                        <m:rPr>
                          <m:sty m:val="p"/>
                        </m:rPr>
                        <m:t>Q</m:t>
                      </m:r>
                      <m:r>
                        <m:rPr>
                          <m:sty m:val="p"/>
                        </m:rPr>
                        <m:t>u</m:t>
                      </m:r>
                      <m:r>
                        <m:rPr>
                          <m:sty m:val="p"/>
                        </m:rPr>
                        <m:t>a</m:t>
                      </m:r>
                      <m:r>
                        <m:rPr>
                          <m:sty m:val="p"/>
                        </m:rPr>
                        <m:t>r</m:t>
                      </m:r>
                      <m:r>
                        <m:rPr>
                          <m:sty m:val="p"/>
                        </m:rPr>
                        <m:t>t</m:t>
                      </m:r>
                      <m:r>
                        <m:rPr>
                          <m:sty m:val="p"/>
                        </m:rPr>
                        <m:t>i</m:t>
                      </m:r>
                      <m:r>
                        <m:rPr>
                          <m:sty m:val="p"/>
                        </m:rPr>
                        <m:t>e</m:t>
                      </m:r>
                      <m:r>
                        <m:rPr>
                          <m:sty m:val="p"/>
                        </m:rPr>
                        <m:t>r</m:t>
                      </m:r>
                    </m:sup>
                  </m:sSubSup>
                </m:e>
              </m:nary>
            </m:den>
          </m:f>
          <m:r>
            <m:rPr>
              <m:sty m:val="p"/>
            </m:rPr>
            <m:t>.</m:t>
          </m:r>
          <m:r>
            <m:t>  </m:t>
          </m:r>
          <m:r>
            <m:rPr>
              <m:sty m:val="p"/>
            </m:rPr>
            <m:t>(</m:t>
          </m:r>
          <m:r>
            <m:t>15.1</m:t>
          </m:r>
          <m:r>
            <m:rPr>
              <m:sty m:val="p"/>
            </m:rPr>
            <m:t>)</m:t>
          </m:r>
        </m:oMath>
      </m:oMathPara>
      <w:bookmarkEnd w:id="299"/>
    </w:p>
    <w:p>
      <w:pPr>
        <w:pStyle w:val="FirstParagraph"/>
      </w:pPr>
      <w:r>
        <w:t xml:space="preserve">Voraussetzung ist, dass jede Teilfläche eindeutig einer freigegebenen Typologie zugeordnet ist. Die Werte sind in kWh PE/(m² NGF·a) auszudrücken. Die nationalen Eingabeflächen der Kalibrierung können dagegen BGF sein; die Umrechnung wird in</w:t>
      </w:r>
      <w:r>
        <w:t xml:space="preserve"> </w:t>
      </w:r>
      <w:hyperlink w:anchor="sec-kalibrierung">
        <w:r>
          <w:rPr>
            <w:rStyle w:val="Hyperlink"/>
          </w:rPr>
          <w:t xml:space="preserve">Kapitel 13</w:t>
        </w:r>
      </w:hyperlink>
      <w:r>
        <w:t xml:space="preserve"> </w:t>
      </w:r>
      <w:r>
        <w:t xml:space="preserve">nachvollziehbar dokumentiert. Neubau- und Bestandsflächen werden nicht allein wegen der Zugehörigkeit zu demselben Quartier gleichbehandelt.</w:t>
      </w:r>
    </w:p>
    <w:p>
      <w:pPr>
        <w:pStyle w:val="BodyText"/>
      </w:pPr>
      <w:r>
        <w:t xml:space="preserve">Die Sanierungsanpassung ändert die</w:t>
      </w:r>
      <w:r>
        <w:t xml:space="preserve"> </w:t>
      </w:r>
      <w:r>
        <w:rPr>
          <w:b/>
          <w:bCs/>
        </w:rPr>
        <w:t xml:space="preserve">Bewertungsanforderung</w:t>
      </w:r>
      <w:r>
        <w:t xml:space="preserve">, nicht die tatsächlich simulierten Energieflüsse. Bereits in einem typologiebezogenen Ausgangsziel berücksichtigte Vorteile dürfen nicht zusätzlich als Gutschrift angesetzt werden. Erhaltene Bausubstanz und eingesparte graue Emissionen wirken, soweit methodisch vorgesehen, in der eigenständigen Lebenszyklus-THG-Bilanz; die Primärenergieanpassung ist nicht noch einmal eine vermiedene CO₂-Menge.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C:\Users\schneids\AppData\Local\Programs\Quarto\share\formats\docx\note.png" id="30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Parameterstand</w:t>
            </w:r>
          </w:p>
        </w:tc>
      </w:tr>
      <w:tr>
        <w:trPr>
          <w:cantSplit/>
        </w:trPr>
        <w:tc>
          <w:tcPr>
            <w:tcMar>
              <w:top w:w="108" w:type="dxa"/>
              <w:bottom w:w="108" w:type="dxa"/>
            </w:tcMar>
          </w:tcPr>
          <w:p>
            <w:pPr>
              <w:pStyle w:val="BodyText"/>
            </w:pPr>
            <w:pPr>
              <w:spacing w:before="16" w:after="16"/>
            </w:pPr>
            <w:r>
              <w:t xml:space="preserve">Der Entwurf definiert die typologische Zuordnung und Aggregationsregel. Numerische Sanierungswerte je Typ sind nicht festgelegt. Die historische Pauschale ist ausschließlich als Vergleichsstand dokumentiert.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C:\Users\schneids\AppData\Local\Programs\Quarto\share\formats\docx\note.png" id="303"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Historische Einordnung</w:t>
            </w:r>
          </w:p>
        </w:tc>
      </w:tr>
      <w:tr>
        <w:trPr>
          <w:cantSplit/>
        </w:trPr>
        <w:tc>
          <w:tcPr>
            <w:tcMar>
              <w:top w:w="108" w:type="dxa"/>
              <w:bottom w:w="108" w:type="dxa"/>
            </w:tcMar>
          </w:tcPr>
          <w:p>
            <w:pPr>
              <w:pStyle w:val="BodyText"/>
            </w:pPr>
            <w:pPr>
              <w:spacing w:before="16" w:after="16"/>
            </w:pPr>
            <w:r>
              <w:t xml:space="preserve">Die bisherige Operationalisierung nutzte eine pauschale Sanierungsgutschrift von</w:t>
            </w:r>
            <w:r>
              <w:t xml:space="preserve"> </w:t>
            </w:r>
            <w:r>
              <w:rPr>
                <w:b/>
                <w:bCs/>
              </w:rPr>
              <w:t xml:space="preserve">15 kWh PE/(m² NGF·a)</w:t>
            </w:r>
            <w:r>
              <w:t xml:space="preserve">, flächenanteilig angewendet</w:t>
            </w:r>
            <w:r>
              <w:t xml:space="preserve"> </w:t>
            </w:r>
            <w:r>
              <w:t xml:space="preserve">(Schneider u. a. 2026, 14)</w:t>
            </w:r>
            <w:r>
              <w:t xml:space="preserve">. Sie wird hier ausschließlich als früherer Stand genannt und</w:t>
            </w:r>
            <w:r>
              <w:t xml:space="preserve"> </w:t>
            </w:r>
            <w:r>
              <w:rPr>
                <w:b/>
                <w:bCs/>
              </w:rPr>
              <w:t xml:space="preserve">nicht</w:t>
            </w:r>
            <w:r>
              <w:t xml:space="preserve"> </w:t>
            </w:r>
            <w:r>
              <w:t xml:space="preserve">als Regel der neuen typologischen Kalibrierung fortgeschrieben.</w:t>
            </w:r>
          </w:p>
          <w:p/>
        </w:tc>
      </w:tr>
    </w:tbl>
    <w:bookmarkEnd w:id="304"/>
    <w:bookmarkEnd w:id="305"/>
    <w:bookmarkStart w:id="323" w:name="sec-zielwert-thg"/>
    <w:p>
      <w:pPr>
        <w:pStyle w:val="Heading1"/>
      </w:pPr>
      <w:r>
        <w:t xml:space="preserve">16. Zielwert THG</w:t>
      </w:r>
    </w:p>
    <w:p>
      <w:pPr>
        <w:pStyle w:val="FirstParagraph"/>
      </w:pPr>
      <w:r>
        <w:t xml:space="preserve">Vom nationalen Klimabudget zum kumulierten Emissionsbudget eines Quartiers</w:t>
      </w:r>
    </w:p>
    <w:p>
      <w:pPr>
        <w:pStyle w:val="BodyText"/>
      </w:pPr>
      <w:r>
        <w:t xml:space="preserve">Der Energiezielwert beschreibt die jährliche Leistung im Zielsystem. Der THG-Zielwert begrenzt dagegen die kumulierten Emissionen aus Errichtung, Betrieb, Instandhaltung und MIV über 50 Jahre.</w:t>
      </w:r>
    </w:p>
    <w:bookmarkStart w:id="310" w:name="X800464f0b9f88766e96e418f2bee3f23e8f98d6"/>
    <w:p>
      <w:pPr>
        <w:pStyle w:val="Heading2"/>
      </w:pPr>
      <w:r>
        <w:t xml:space="preserve">16.1 Wie entstehen 320 kg CO₂e je Quadratmeter?</w:t>
      </w:r>
    </w:p>
    <w:bookmarkStart w:id="309" w:name="X69221e837d6f499a532ccbdb06e4905e8d0df60"/>
    <w:p>
      <w:pPr>
        <w:pStyle w:val="Heading3"/>
      </w:pPr>
      <w:r>
        <w:t xml:space="preserve">16.1.1 Nationale Grundlage und sektorale Verteilung</w:t>
      </w:r>
    </w:p>
    <w:p>
      <w:pPr>
        <w:pStyle w:val="FirstParagraph"/>
      </w:pPr>
      <w:r>
        <w:t xml:space="preserve">Das Verfahren unterscheidet drei Budgetvarianten. Ausgangspunkte sind das verbleibende nationale CO₂-Budget, Annahmen über natürliche Senken, ein Anteil von 50 % für Gebäude und MIV sowie eine nationale Bezugsfläche von 906,7 Mio. m² BGF. Der Klimabudgetansatz bezieht sich auf 1,5 °C mit 66 % Wahrscheinlichkeit; dokumentiert werden Varianten mit und ohne temporäre Überschreitung des Temperaturziels</w:t>
      </w:r>
      <w:r>
        <w:t xml:space="preserve"> </w:t>
      </w:r>
      <w:r>
        <w:t xml:space="preserve">(Schneider u. a. 2025, Abschn. 2.3, Tab. 2 und A1, S. 6–7, 30)</w:t>
      </w:r>
      <w:r>
        <w:t xml:space="preserve">.</w:t>
      </w:r>
    </w:p>
    <w:p>
      <w:pPr>
        <w:pStyle w:val="BodyText"/>
      </w:pPr>
      <w:r>
        <w:t xml:space="preserve">Die Budgetvarianten L1, L2 und L3 beruhen auf einem Klimabudget</w:t>
      </w:r>
      <w:r>
        <w:t xml:space="preserve"> </w:t>
      </w:r>
      <w:r>
        <w:rPr>
          <w:b/>
          <w:bCs/>
        </w:rPr>
        <w:t xml:space="preserve">ohne temporäre Überschreitung</w:t>
      </w:r>
      <w:r>
        <w:t xml:space="preserve"> </w:t>
      </w:r>
      <w:r>
        <w:t xml:space="preserve">des Temperaturziels: Von 280 Mt CO₂ ab 2022 verbleiben nach Abzug der bis Ende 2024 angesetzten Emissionen 130 Mt ab 2025. Dieses Ausgangsbudget bildet die Referenz der Bewertung</w:t>
      </w:r>
      <w:r>
        <w:t xml:space="preserve"> </w:t>
      </w:r>
      <w:r>
        <w:t xml:space="preserve">(Schneider u. a. 2025, Tab. A1)</w:t>
      </w:r>
      <w:r>
        <w:t xml:space="preserve">.</w:t>
      </w:r>
    </w:p>
    <w:p>
      <w:pPr>
        <w:pStyle w:val="BodyText"/>
      </w:pPr>
      <w:r>
        <w:t xml:space="preserve">Mit nationalem Restbudget</w:t>
      </w:r>
      <w:r>
        <w:t xml:space="preserve"> </w:t>
      </w:r>
      <m:oMath>
        <m:sSub>
          <m:e>
            <m:r>
              <m:t>B</m:t>
            </m:r>
          </m:e>
          <m:sub>
            <m:r>
              <m:rPr>
                <m:sty m:val="p"/>
              </m:rPr>
              <m:t>A</m:t>
            </m:r>
            <m:r>
              <m:rPr>
                <m:sty m:val="p"/>
              </m:rPr>
              <m:t>T</m:t>
            </m:r>
          </m:sub>
        </m:sSub>
      </m:oMath>
      <w:r>
        <w:t xml:space="preserve">, Bevölkerung</w:t>
      </w:r>
      <w:r>
        <w:t xml:space="preserve"> </w:t>
      </w:r>
      <m:oMath>
        <m:r>
          <m:t>P</m:t>
        </m:r>
      </m:oMath>
      <w:r>
        <w:t xml:space="preserve">, jährlicher Senkenleistung je Person</w:t>
      </w:r>
      <w:r>
        <w:t xml:space="preserve"> </w:t>
      </w:r>
      <m:oMath>
        <m:r>
          <m:t>s</m:t>
        </m:r>
      </m:oMath>
      <w:r>
        <w:t xml:space="preserve">, Zeitraum</w:t>
      </w:r>
      <w:r>
        <w:t xml:space="preserve"> </w:t>
      </w:r>
      <m:oMath>
        <m:r>
          <m:t>T</m:t>
        </m:r>
      </m:oMath>
      <w:r>
        <w:t xml:space="preserve">, Sektoranteil</w:t>
      </w:r>
      <w:r>
        <w:t xml:space="preserve"> </w:t>
      </w:r>
      <m:oMath>
        <m:r>
          <m:t>α</m:t>
        </m:r>
      </m:oMath>
      <w:r>
        <w:t xml:space="preserve"> </w:t>
      </w:r>
      <w:r>
        <w:t xml:space="preserve">und Bezugsfläche</w:t>
      </w:r>
      <w:r>
        <w:t xml:space="preserve"> </w:t>
      </w:r>
      <m:oMath>
        <m:sSub>
          <m:e>
            <m:r>
              <m:t>A</m:t>
            </m:r>
          </m:e>
          <m:sub>
            <m:r>
              <m:t>B</m:t>
            </m:r>
          </m:sub>
        </m:sSub>
      </m:oMath>
      <w:r>
        <w:t xml:space="preserve"> </w:t>
      </w:r>
      <w:r>
        <w:t xml:space="preserve">gilt:</w:t>
      </w:r>
    </w:p>
    <w:p>
      <w:pPr>
        <w:pStyle w:val="BodyText"/>
      </w:pPr>
      <w:bookmarkStart w:id="306" w:name="eq-thg-allokation"/>
      <m:oMathPara>
        <m:oMathParaPr>
          <m:jc m:val="center"/>
        </m:oMathParaPr>
        <m:oMath>
          <m:sSub>
            <m:e>
              <m:r>
                <m:t>b</m:t>
              </m:r>
            </m:e>
            <m:sub>
              <m:r>
                <m:rPr>
                  <m:sty m:val="p"/>
                </m:rPr>
                <m:t>T</m:t>
              </m:r>
              <m:r>
                <m:rPr>
                  <m:sty m:val="p"/>
                </m:rPr>
                <m:t>H</m:t>
              </m:r>
              <m:r>
                <m:rPr>
                  <m:sty m:val="p"/>
                </m:rPr>
                <m:t>G</m:t>
              </m:r>
            </m:sub>
          </m:sSub>
          <m:r>
            <m:rPr>
              <m:sty m:val="p"/>
            </m:rPr>
            <m:t>=</m:t>
          </m:r>
          <m:f>
            <m:fPr>
              <m:type m:val="bar"/>
            </m:fPr>
            <m:num>
              <m:r>
                <m:t>α</m:t>
              </m:r>
              <m:d>
                <m:dPr>
                  <m:begChr m:val="("/>
                  <m:sepChr m:val=""/>
                  <m:endChr m:val=")"/>
                  <m:grow/>
                </m:dPr>
                <m:e>
                  <m:sSub>
                    <m:e>
                      <m:r>
                        <m:t>B</m:t>
                      </m:r>
                    </m:e>
                    <m:sub>
                      <m:r>
                        <m:rPr>
                          <m:sty m:val="p"/>
                        </m:rPr>
                        <m:t>A</m:t>
                      </m:r>
                      <m:r>
                        <m:rPr>
                          <m:sty m:val="p"/>
                        </m:rPr>
                        <m:t>T</m:t>
                      </m:r>
                    </m:sub>
                  </m:sSub>
                  <m:r>
                    <m:rPr>
                      <m:sty m:val="p"/>
                    </m:rPr>
                    <m:t>+</m:t>
                  </m:r>
                  <m:r>
                    <m:t>P</m:t>
                  </m:r>
                  <m:r>
                    <m:t> </m:t>
                  </m:r>
                  <m:r>
                    <m:t>s</m:t>
                  </m:r>
                  <m:r>
                    <m:t> </m:t>
                  </m:r>
                  <m:r>
                    <m:t>T</m:t>
                  </m:r>
                </m:e>
              </m:d>
            </m:num>
            <m:den>
              <m:sSub>
                <m:e>
                  <m:r>
                    <m:t>A</m:t>
                  </m:r>
                </m:e>
                <m:sub>
                  <m:r>
                    <m:t>B</m:t>
                  </m:r>
                </m:sub>
              </m:sSub>
            </m:den>
          </m:f>
          <m:r>
            <m:rPr>
              <m:sty m:val="p"/>
            </m:rPr>
            <m:t>.</m:t>
          </m:r>
          <m:r>
            <m:t>  </m:t>
          </m:r>
          <m:r>
            <m:rPr>
              <m:sty m:val="p"/>
            </m:rPr>
            <m:t>(</m:t>
          </m:r>
          <m:r>
            <m:t>16.1</m:t>
          </m:r>
          <m:r>
            <m:rPr>
              <m:sty m:val="p"/>
            </m:rPr>
            <m:t>)</m:t>
          </m:r>
        </m:oMath>
      </m:oMathPara>
      <w:bookmarkEnd w:id="306"/>
    </w:p>
    <w:p>
      <w:pPr>
        <w:pStyle w:val="FirstParagraph"/>
      </w:pPr>
      <w:r>
        <w:t xml:space="preserve">Budget und Senkenleistung werden in einer gemeinsamen Masseneinheit angesetzt. Das nationale CO₂-Budget dient als Grundlage für die Zuteilung; auf Quartiersebene werden die Treibhausgase mit GWP100 in CO₂-Äquivalenten bewertet.</w:t>
      </w:r>
    </w:p>
    <w:tbl>
      <w:tblPr>
        <w:tblStyle w:val="Table"/>
        <w:tblW w:type="pct" w:w="5000"/>
        <w:tblLayout w:type="fixed"/>
        <w:tblLook w:firstRow="0" w:lastRow="0" w:firstColumn="0" w:lastColumn="0" w:noHBand="0" w:noVBand="0" w:val="0000"/>
      </w:tblPr>
      <w:tblGrid>
        <w:gridCol w:w="7920"/>
      </w:tblGrid>
      <w:tr>
        <w:tc>
          <w:tcPr/>
          <w:bookmarkStart w:id="307" w:name="tbl-thg-eingaben"/>
          <w:p>
            <w:pPr>
              <w:jc w:val="center"/>
            </w:pPr>
            <w:pPr>
              <w:jc w:val="left"/>
              <w:spacing w:before="200"/>
              <w:pStyle w:val="ImageCaption"/>
            </w:pPr>
            <w:r>
              <w:t xml:space="preserve">Tabelle 16.1: Eingangsgrößen der THG-Allokation</w:t>
            </w:r>
            <w:r>
              <w:t xml:space="preserve"> </w:t>
            </w:r>
            <w:r>
              <w:t xml:space="preserve">(Schneider u. a. 2025, Tab. A1, S. 30)</w:t>
            </w:r>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center"/>
                  </w:pPr>
                  <w:r>
                    <w:t xml:space="preserve">Größe</w:t>
                  </w:r>
                </w:p>
              </w:tc>
              <w:tc>
                <w:tcPr/>
                <w:p>
                  <w:pPr>
                    <w:pStyle w:val="Compact"/>
                    <w:jc w:val="right"/>
                    <w:jc w:val="center"/>
                  </w:pPr>
                  <w:r>
                    <w:t xml:space="preserve">Referenzwert</w:t>
                  </w:r>
                </w:p>
              </w:tc>
              <w:tc>
                <w:tcPr/>
                <w:p>
                  <w:pPr>
                    <w:pStyle w:val="Compact"/>
                    <w:jc w:val="center"/>
                  </w:pPr>
                  <w:r>
                    <w:t xml:space="preserve">Funktion</w:t>
                  </w:r>
                </w:p>
              </w:tc>
            </w:tr>
            <w:tr>
              <w:tc>
                <w:tcPr/>
                <w:p>
                  <w:pPr>
                    <w:pStyle w:val="Compact"/>
                    <w:jc w:val="center"/>
                  </w:pPr>
                  <w:r>
                    <w:t xml:space="preserve">Verbleibendes Budget ab 2025</w:t>
                  </w:r>
                </w:p>
              </w:tc>
              <w:tc>
                <w:tcPr/>
                <w:p>
                  <w:pPr>
                    <w:pStyle w:val="Compact"/>
                    <w:jc w:val="right"/>
                    <w:jc w:val="center"/>
                  </w:pPr>
                  <w:r>
                    <w:t xml:space="preserve">130 Mt CO₂</w:t>
                  </w:r>
                </w:p>
              </w:tc>
              <w:tc>
                <w:tcPr/>
                <w:p>
                  <w:pPr>
                    <w:pStyle w:val="Compact"/>
                    <w:jc w:val="center"/>
                  </w:pPr>
                  <w:r>
                    <w:t xml:space="preserve">Ausgangsbudget ohne zusätzliche Senken</w:t>
                  </w:r>
                </w:p>
              </w:tc>
            </w:tr>
            <w:tr>
              <w:tc>
                <w:tcPr/>
                <w:p>
                  <w:pPr>
                    <w:pStyle w:val="Compact"/>
                    <w:jc w:val="center"/>
                  </w:pPr>
                  <w:r>
                    <w:t xml:space="preserve">Bevölkerung</w:t>
                  </w:r>
                </w:p>
              </w:tc>
              <w:tc>
                <w:tcPr/>
                <w:p>
                  <w:pPr>
                    <w:pStyle w:val="Compact"/>
                    <w:jc w:val="right"/>
                    <w:jc w:val="center"/>
                  </w:pPr>
                  <w:r>
                    <w:t xml:space="preserve">9,0 Mio. Personen</w:t>
                  </w:r>
                </w:p>
              </w:tc>
              <w:tc>
                <w:tcPr/>
                <w:p>
                  <w:pPr>
                    <w:pStyle w:val="Compact"/>
                    <w:jc w:val="center"/>
                  </w:pPr>
                  <w:r>
                    <w:t xml:space="preserve">Bezug für die Senkenannahme</w:t>
                  </w:r>
                </w:p>
              </w:tc>
            </w:tr>
            <w:tr>
              <w:tc>
                <w:tcPr/>
                <w:p>
                  <w:pPr>
                    <w:pStyle w:val="Compact"/>
                    <w:jc w:val="center"/>
                  </w:pPr>
                  <w:r>
                    <w:t xml:space="preserve">Betrachtungsdauer</w:t>
                  </w:r>
                </w:p>
              </w:tc>
              <w:tc>
                <w:tcPr/>
                <w:p>
                  <w:pPr>
                    <w:pStyle w:val="Compact"/>
                    <w:jc w:val="right"/>
                    <w:jc w:val="center"/>
                  </w:pPr>
                  <w:r>
                    <w:t xml:space="preserve">50 Jahre</w:t>
                  </w:r>
                </w:p>
              </w:tc>
              <w:tc>
                <w:tcPr/>
                <w:p>
                  <w:pPr>
                    <w:pStyle w:val="Compact"/>
                    <w:jc w:val="center"/>
                  </w:pPr>
                  <w:r>
                    <w:t xml:space="preserve">Kumulation der Senkenannahme</w:t>
                  </w:r>
                </w:p>
              </w:tc>
            </w:tr>
            <w:tr>
              <w:tc>
                <w:tcPr/>
                <w:p>
                  <w:pPr>
                    <w:pStyle w:val="Compact"/>
                    <w:jc w:val="center"/>
                  </w:pPr>
                  <w:r>
                    <w:t xml:space="preserve">Anteil Gebäude und MIV</w:t>
                  </w:r>
                </w:p>
              </w:tc>
              <w:tc>
                <w:tcPr/>
                <w:p>
                  <w:pPr>
                    <w:pStyle w:val="Compact"/>
                    <w:jc w:val="right"/>
                    <w:jc w:val="center"/>
                  </w:pPr>
                  <w:r>
                    <w:t xml:space="preserve">50 %</w:t>
                  </w:r>
                </w:p>
              </w:tc>
              <w:tc>
                <w:tcPr/>
                <w:p>
                  <w:pPr>
                    <w:pStyle w:val="Compact"/>
                    <w:jc w:val="center"/>
                  </w:pPr>
                  <w:r>
                    <w:t xml:space="preserve">Sektorale Zuteilung</w:t>
                  </w:r>
                </w:p>
              </w:tc>
            </w:tr>
            <w:tr>
              <w:tc>
                <w:tcPr/>
                <w:p>
                  <w:pPr>
                    <w:pStyle w:val="Compact"/>
                    <w:jc w:val="center"/>
                  </w:pPr>
                  <w:r>
                    <w:t xml:space="preserve">Nationale Bruttogrundfläche im Zieljahr 2040</w:t>
                  </w:r>
                </w:p>
              </w:tc>
              <w:tc>
                <w:tcPr/>
                <w:p>
                  <w:pPr>
                    <w:pStyle w:val="Compact"/>
                    <w:jc w:val="right"/>
                    <w:jc w:val="center"/>
                  </w:pPr>
                  <w:r>
                    <w:t xml:space="preserve">906,7 Mio. m²</w:t>
                  </w:r>
                </w:p>
              </w:tc>
              <w:tc>
                <w:tcPr/>
                <w:p>
                  <w:pPr>
                    <w:pStyle w:val="Compact"/>
                    <w:jc w:val="center"/>
                  </w:pPr>
                  <w:r>
                    <w:t xml:space="preserve">Flächenbezogene Verteilung</w:t>
                  </w:r>
                </w:p>
              </w:tc>
            </w:tr>
          </w:tbl>
          <w:bookmarkEnd w:id="307"/>
          <w:p/>
        </w:tc>
      </w:tr>
    </w:tbl>
    <w:p>
      <w:pPr>
        <w:pStyle w:val="BodyText"/>
      </w:pPr>
      <w:r>
        <w:t xml:space="preserve">Für L3 werden 1 t CO₂e pro Person und Jahr an natürlichen Senken angesetzt. Über 50 Jahre und 9 Mio. Personen entsprechen sie 450 Mt. Zusammen mit dem Ausgangsbudget ergeben sich 580 Mt, davon 290 Mt für Gebäude und MIV. Geteilt durch 906,7 Mio. m² ergibt dies gerundet</w:t>
      </w:r>
      <w:r>
        <w:t xml:space="preserve"> </w:t>
      </w:r>
      <w:r>
        <w:rPr>
          <w:b/>
          <w:bCs/>
        </w:rPr>
        <w:t xml:space="preserve">320 kg CO₂e/m² BGF</w:t>
      </w:r>
      <w:r>
        <w:t xml:space="preserve">.</w:t>
      </w:r>
    </w:p>
    <w:tbl>
      <w:tblPr>
        <w:tblStyle w:val="Table"/>
        <w:tblW w:type="pct" w:w="5000"/>
        <w:tblLayout w:type="fixed"/>
        <w:tblLook w:firstRow="0" w:lastRow="0" w:firstColumn="0" w:lastColumn="0" w:noHBand="0" w:noVBand="0" w:val="0000"/>
      </w:tblPr>
      <w:tblGrid>
        <w:gridCol w:w="7920"/>
      </w:tblGrid>
      <w:tr>
        <w:tc>
          <w:tcPr/>
          <w:bookmarkStart w:id="308" w:name="tbl-thg-budgetvarianten"/>
          <w:p>
            <w:pPr>
              <w:jc w:val="center"/>
            </w:pPr>
            <w:pPr>
              <w:jc w:val="left"/>
              <w:spacing w:before="200"/>
              <w:pStyle w:val="ImageCaption"/>
            </w:pPr>
            <w:r>
              <w:t xml:space="preserve">Tabelle 16.2: Budgetvarianten nach Schneider et al.</w:t>
            </w:r>
            <w:r>
              <w:t xml:space="preserve"> </w:t>
            </w:r>
            <w:r>
              <w:t xml:space="preserve">(Schneider u. a. 2025, Tab. 2, S. 7)</w:t>
            </w:r>
            <w:r>
              <w:t xml:space="preser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center"/>
                  </w:pPr>
                  <w:r>
                    <w:t xml:space="preserve">Variante</w:t>
                  </w:r>
                </w:p>
              </w:tc>
              <w:tc>
                <w:tcPr/>
                <w:p>
                  <w:pPr>
                    <w:pStyle w:val="Compact"/>
                    <w:jc w:val="right"/>
                    <w:jc w:val="center"/>
                  </w:pPr>
                  <w:r>
                    <w:t xml:space="preserve">Senkenannahme [t CO₂e/(Person a)]</w:t>
                  </w:r>
                </w:p>
              </w:tc>
              <w:tc>
                <w:tcPr/>
                <w:p>
                  <w:pPr>
                    <w:pStyle w:val="Compact"/>
                    <w:jc w:val="right"/>
                    <w:jc w:val="center"/>
                  </w:pPr>
                  <w:r>
                    <w:t xml:space="preserve">THG-Budget [kg CO₂e/m² BGF]</w:t>
                  </w:r>
                </w:p>
              </w:tc>
            </w:tr>
            <w:tr>
              <w:tc>
                <w:tcPr/>
                <w:p>
                  <w:pPr>
                    <w:pStyle w:val="Compact"/>
                    <w:jc w:val="center"/>
                  </w:pPr>
                  <w:r>
                    <w:t xml:space="preserve">L1</w:t>
                  </w:r>
                </w:p>
              </w:tc>
              <w:tc>
                <w:tcPr/>
                <w:p>
                  <w:pPr>
                    <w:pStyle w:val="Compact"/>
                    <w:jc w:val="right"/>
                    <w:jc w:val="center"/>
                  </w:pPr>
                  <w:r>
                    <w:t xml:space="preserve">0</w:t>
                  </w:r>
                </w:p>
              </w:tc>
              <w:tc>
                <w:tcPr/>
                <w:p>
                  <w:pPr>
                    <w:pStyle w:val="Compact"/>
                    <w:jc w:val="right"/>
                    <w:jc w:val="center"/>
                  </w:pPr>
                  <w:r>
                    <w:t xml:space="preserve">72</w:t>
                  </w:r>
                </w:p>
              </w:tc>
            </w:tr>
            <w:tr>
              <w:tc>
                <w:tcPr/>
                <w:p>
                  <w:pPr>
                    <w:pStyle w:val="Compact"/>
                    <w:jc w:val="center"/>
                  </w:pPr>
                  <w:r>
                    <w:t xml:space="preserve">L2</w:t>
                  </w:r>
                </w:p>
              </w:tc>
              <w:tc>
                <w:tcPr/>
                <w:p>
                  <w:pPr>
                    <w:pStyle w:val="Compact"/>
                    <w:jc w:val="right"/>
                    <w:jc w:val="center"/>
                  </w:pPr>
                  <w:r>
                    <w:t xml:space="preserve">0,5</w:t>
                  </w:r>
                </w:p>
              </w:tc>
              <w:tc>
                <w:tcPr/>
                <w:p>
                  <w:pPr>
                    <w:pStyle w:val="Compact"/>
                    <w:jc w:val="right"/>
                    <w:jc w:val="center"/>
                  </w:pPr>
                  <w:r>
                    <w:t xml:space="preserve">196</w:t>
                  </w:r>
                </w:p>
              </w:tc>
            </w:tr>
            <w:tr>
              <w:tc>
                <w:tcPr/>
                <w:p>
                  <w:pPr>
                    <w:pStyle w:val="Compact"/>
                    <w:jc w:val="center"/>
                  </w:pPr>
                  <w:r>
                    <w:t xml:space="preserve">L3</w:t>
                  </w:r>
                </w:p>
              </w:tc>
              <w:tc>
                <w:tcPr/>
                <w:p>
                  <w:pPr>
                    <w:pStyle w:val="Compact"/>
                    <w:jc w:val="right"/>
                    <w:jc w:val="center"/>
                  </w:pPr>
                  <w:r>
                    <w:t xml:space="preserve">1,0</w:t>
                  </w:r>
                </w:p>
              </w:tc>
              <w:tc>
                <w:tcPr/>
                <w:p>
                  <w:pPr>
                    <w:pStyle w:val="Compact"/>
                    <w:jc w:val="right"/>
                    <w:jc w:val="center"/>
                  </w:pPr>
                  <w:r>
                    <w:t xml:space="preserve">320</w:t>
                  </w:r>
                </w:p>
              </w:tc>
            </w:tr>
          </w:tbl>
          <w:bookmarkEnd w:id="308"/>
          <w:p/>
        </w:tc>
      </w:tr>
    </w:tbl>
    <w:p>
      <w:pPr>
        <w:pStyle w:val="BodyText"/>
      </w:pPr>
      <w:r>
        <w:t xml:space="preserve">Die L-Werte sind</w:t>
      </w:r>
      <w:r>
        <w:t xml:space="preserve"> </w:t>
      </w:r>
      <w:r>
        <w:rPr>
          <w:b/>
          <w:bCs/>
        </w:rPr>
        <w:t xml:space="preserve">Budgetvarianten innerhalb der THG-Bewertung</w:t>
      </w:r>
      <w:r>
        <w:t xml:space="preserve">, nicht die drei PEQ-Qualitätsstufen. Der für diesen Bericht zugrunde gelegte Zertifizierungswert beträgt 320 kg CO₂e/m² BGF. Seine Einhaltung ist zusammen mit der L3-Senkenannahme und den Bilanzregeln zu lesen. Die unterstellte nationale Senkenleistung ist kein vom einzelnen Quartier nachgewiesener Emissionsausgleich.</w:t>
      </w:r>
    </w:p>
    <w:bookmarkEnd w:id="309"/>
    <w:bookmarkEnd w:id="310"/>
    <w:bookmarkStart w:id="313" w:name="sec-thg-flaechen"/>
    <w:p>
      <w:pPr>
        <w:pStyle w:val="Heading2"/>
      </w:pPr>
      <w:r>
        <w:t xml:space="preserve">16.2 Gebäudesektor: Bezugsflächen und Entwicklung</w:t>
      </w:r>
    </w:p>
    <w:p>
      <w:pPr>
        <w:pStyle w:val="FirstParagraph"/>
      </w:pPr>
      <w:r>
        <w:t xml:space="preserve">Die Fläche bestimmt, wie ein nationales Budget auf Quadratmeter verteilt wird. Die folgenden Datenstände haben unterschiedliche Abgrenzungen; sie bilden</w:t>
      </w:r>
      <w:r>
        <w:t xml:space="preserve"> </w:t>
      </w:r>
      <w:r>
        <w:rPr>
          <w:b/>
          <w:bCs/>
        </w:rPr>
        <w:t xml:space="preserve">keine durchgängige Zeitreihe</w:t>
      </w:r>
      <w:r>
        <w:t xml:space="preserve">. Insbesondere darf aus ihrer Differenz kein Rückgang des Gebäudebestands abgeleitet werden.</w:t>
      </w:r>
    </w:p>
    <w:tbl>
      <w:tblPr>
        <w:tblStyle w:val="Table"/>
        <w:tblW w:type="pct" w:w="5000"/>
        <w:tblLayout w:type="fixed"/>
        <w:tblLook w:firstRow="0" w:lastRow="0" w:firstColumn="0" w:lastColumn="0" w:noHBand="0" w:noVBand="0" w:val="0000"/>
      </w:tblPr>
      <w:tblGrid>
        <w:gridCol w:w="7920"/>
      </w:tblGrid>
      <w:tr>
        <w:tc>
          <w:tcPr/>
          <w:bookmarkStart w:id="311" w:name="tbl-thg-flaechenentwicklung"/>
          <w:p>
            <w:pPr>
              <w:jc w:val="center"/>
            </w:pPr>
            <w:pPr>
              <w:jc w:val="left"/>
              <w:spacing w:before="200"/>
              <w:pStyle w:val="ImageCaption"/>
            </w:pPr>
            <w:r>
              <w:t xml:space="preserve">Tabelle 16.3: Flächenbezüge des Energie- und THG-Modells.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jc w:val="center"/>
                  </w:pPr>
                  <w:r>
                    <w:t xml:space="preserve">Datenstand / Horizont</w:t>
                  </w:r>
                </w:p>
              </w:tc>
              <w:tc>
                <w:tcPr/>
                <w:p>
                  <w:pPr>
                    <w:pStyle w:val="Compact"/>
                    <w:jc w:val="right"/>
                    <w:jc w:val="center"/>
                  </w:pPr>
                  <w:r>
                    <w:t xml:space="preserve">BGF [Mio. m²]</w:t>
                  </w:r>
                </w:p>
              </w:tc>
              <w:tc>
                <w:tcPr/>
                <w:p>
                  <w:pPr>
                    <w:pStyle w:val="Compact"/>
                    <w:jc w:val="right"/>
                    <w:jc w:val="center"/>
                  </w:pPr>
                  <w:r>
                    <w:t xml:space="preserve">NGF [Mio. m²]</w:t>
                  </w:r>
                </w:p>
              </w:tc>
              <w:tc>
                <w:tcPr/>
                <w:p>
                  <w:pPr>
                    <w:pStyle w:val="Compact"/>
                    <w:jc w:val="center"/>
                  </w:pPr>
                  <w:r>
                    <w:t xml:space="preserve">Rolle und Quelle</w:t>
                  </w:r>
                </w:p>
              </w:tc>
            </w:tr>
            <w:tr>
              <w:tc>
                <w:tcPr/>
                <w:p>
                  <w:pPr>
                    <w:pStyle w:val="Compact"/>
                    <w:jc w:val="center"/>
                  </w:pPr>
                  <w:r>
                    <w:t xml:space="preserve">Statistikbezug 2021, GFZ-Hochrechnung</w:t>
                  </w:r>
                </w:p>
              </w:tc>
              <w:tc>
                <w:tcPr/>
                <w:p>
                  <w:pPr>
                    <w:pStyle w:val="Compact"/>
                    <w:jc w:val="right"/>
                    <w:jc w:val="center"/>
                  </w:pPr>
                  <w:r>
                    <w:t xml:space="preserve">1.058,935</w:t>
                  </w:r>
                </w:p>
              </w:tc>
              <w:tc>
                <w:tcPr/>
                <w:p>
                  <w:pPr>
                    <w:pStyle w:val="Compact"/>
                    <w:jc w:val="right"/>
                    <w:jc w:val="center"/>
                  </w:pPr>
                  <w:r>
                    <w:t xml:space="preserve">847,1</w:t>
                  </w:r>
                </w:p>
              </w:tc>
              <w:tc>
                <w:tcPr/>
                <w:p>
                  <w:pPr>
                    <w:pStyle w:val="Compact"/>
                    <w:jc w:val="center"/>
                  </w:pPr>
                  <w:r>
                    <w:t xml:space="preserve">Bestandsverteilung nach Nutzung, Bundesland und Geschossklasse;</w:t>
                  </w:r>
                  <w:r>
                    <w:t xml:space="preserve"> </w:t>
                  </w:r>
                  <w:hyperlink w:anchor="sec-gfz-verteilung">
                    <w:r>
                      <w:rPr>
                        <w:rStyle w:val="Hyperlink"/>
                      </w:rPr>
                      <w:t xml:space="preserve">Kapitel 12.6</w:t>
                    </w:r>
                  </w:hyperlink>
                  <w:r>
                    <w:t xml:space="preserve">; BGF = NGF / 0,8</w:t>
                  </w:r>
                </w:p>
              </w:tc>
            </w:tr>
            <w:tr>
              <w:tc>
                <w:tcPr/>
                <w:p>
                  <w:pPr>
                    <w:pStyle w:val="Compact"/>
                    <w:jc w:val="center"/>
                  </w:pPr>
                  <w:r>
                    <w:t xml:space="preserve">Building-Sector Pool, „heute“ (Jahr offen)</w:t>
                  </w:r>
                </w:p>
              </w:tc>
              <w:tc>
                <w:tcPr/>
                <w:p>
                  <w:pPr>
                    <w:pStyle w:val="Compact"/>
                    <w:jc w:val="right"/>
                    <w:jc w:val="center"/>
                  </w:pPr>
                  <w:r>
                    <w:t xml:space="preserve">1.112,341</w:t>
                  </w:r>
                </w:p>
              </w:tc>
              <w:tc>
                <w:tcPr/>
                <w:p>
                  <w:pPr>
                    <w:pStyle w:val="Compact"/>
                    <w:jc w:val="right"/>
                    <w:jc w:val="center"/>
                  </w:pPr>
                  <w:r>
                    <w:t xml:space="preserve">889,873</w:t>
                  </w:r>
                </w:p>
              </w:tc>
              <w:tc>
                <w:tcPr/>
                <w:p>
                  <w:pPr>
                    <w:pStyle w:val="Compact"/>
                    <w:jc w:val="center"/>
                  </w:pPr>
                  <w:r>
                    <w:t xml:space="preserve">Gelieferte Typenflächen; NGF/BGF = 0,8 als Modellannahme;</w:t>
                  </w:r>
                  <w:r>
                    <w:t xml:space="preserve"> </w:t>
                  </w:r>
                  <w:hyperlink w:anchor="sec-gebaeudebestand">
                    <w:r>
                      <w:rPr>
                        <w:rStyle w:val="Hyperlink"/>
                      </w:rPr>
                      <w:t xml:space="preserve">Kapitel 12</w:t>
                    </w:r>
                  </w:hyperlink>
                </w:p>
              </w:tc>
            </w:tr>
            <w:tr>
              <w:tc>
                <w:tcPr/>
                <w:p>
                  <w:pPr>
                    <w:pStyle w:val="Compact"/>
                    <w:jc w:val="center"/>
                  </w:pPr>
                  <w:r>
                    <w:t xml:space="preserve">Building-Sector Pool, Entwicklung 2040</w:t>
                  </w:r>
                </w:p>
              </w:tc>
              <w:tc>
                <w:tcPr/>
                <w:p>
                  <w:pPr>
                    <w:pStyle w:val="Compact"/>
                    <w:jc w:val="right"/>
                    <w:jc w:val="center"/>
                  </w:pPr>
                  <w:r>
                    <w:t xml:space="preserve">1.126,579</w:t>
                  </w:r>
                </w:p>
              </w:tc>
              <w:tc>
                <w:tcPr/>
                <w:p>
                  <w:pPr>
                    <w:pStyle w:val="Compact"/>
                    <w:jc w:val="right"/>
                    <w:jc w:val="center"/>
                  </w:pPr>
                  <w:r>
                    <w:t xml:space="preserve">901,263</w:t>
                  </w:r>
                </w:p>
              </w:tc>
              <w:tc>
                <w:tcPr/>
                <w:p>
                  <w:pPr>
                    <w:pStyle w:val="Compact"/>
                    <w:jc w:val="center"/>
                  </w:pPr>
                  <w:r>
                    <w:t xml:space="preserve">Neue Bottom-up-Energieauswertung; keine automatische Änderung der THG-Budgetfläche</w:t>
                  </w:r>
                </w:p>
              </w:tc>
            </w:tr>
            <w:tr>
              <w:tc>
                <w:tcPr/>
                <w:p>
                  <w:pPr>
                    <w:pStyle w:val="Compact"/>
                    <w:jc w:val="center"/>
                  </w:pPr>
                  <w:r>
                    <w:t xml:space="preserve">Zielbestand 2040 der THG-Kalibrierung</w:t>
                  </w:r>
                </w:p>
              </w:tc>
              <w:tc>
                <w:tcPr/>
                <w:p>
                  <w:pPr>
                    <w:pStyle w:val="Compact"/>
                    <w:jc w:val="right"/>
                    <w:jc w:val="center"/>
                  </w:pPr>
                  <w:r>
                    <w:t xml:space="preserve">906,7</w:t>
                  </w:r>
                </w:p>
              </w:tc>
              <w:tc>
                <w:tcPr/>
                <w:p>
                  <w:pPr>
                    <w:pStyle w:val="Compact"/>
                    <w:jc w:val="right"/>
                    <w:jc w:val="center"/>
                  </w:pPr>
                  <w:r>
                    <w:t xml:space="preserve">nicht separat angesetzt</w:t>
                  </w:r>
                </w:p>
              </w:tc>
              <w:tc>
                <w:tcPr/>
                <w:p>
                  <w:pPr>
                    <w:pStyle w:val="Compact"/>
                    <w:jc w:val="center"/>
                  </w:pPr>
                  <w:r>
                    <w:t xml:space="preserve">Bezugsfläche der Budgetzuteilung;</w:t>
                  </w:r>
                  <w:r>
                    <w:t xml:space="preserve"> </w:t>
                  </w:r>
                  <w:r>
                    <w:t xml:space="preserve">Schneider u. a. (2025)</w:t>
                  </w:r>
                  <w:r>
                    <w:t xml:space="preserve">, Tab. A1</w:t>
                  </w:r>
                </w:p>
              </w:tc>
            </w:tr>
            <w:tr>
              <w:tc>
                <w:tcPr/>
                <w:p>
                  <w:pPr>
                    <w:pStyle w:val="Compact"/>
                    <w:jc w:val="center"/>
                  </w:pPr>
                  <w:r>
                    <w:t xml:space="preserve">Bestand 2025 und Zwischenjahre bis 2040</w:t>
                  </w:r>
                </w:p>
              </w:tc>
              <w:tc>
                <w:tcPr/>
                <w:p>
                  <w:pPr>
                    <w:pStyle w:val="Compact"/>
                    <w:jc w:val="right"/>
                    <w:jc w:val="center"/>
                  </w:pPr>
                  <w:r>
                    <w:t xml:space="preserve">nicht im Datensatz enthalten</w:t>
                  </w:r>
                </w:p>
              </w:tc>
              <w:tc>
                <w:tcPr/>
                <w:p>
                  <w:pPr>
                    <w:pStyle w:val="Compact"/>
                    <w:jc w:val="right"/>
                    <w:jc w:val="center"/>
                  </w:pPr>
                  <w:r>
                    <w:t xml:space="preserve">nicht im Datensatz enthalten</w:t>
                  </w:r>
                </w:p>
              </w:tc>
              <w:tc>
                <w:tcPr/>
                <w:p>
                  <w:pPr>
                    <w:pStyle w:val="Compact"/>
                    <w:jc w:val="center"/>
                  </w:pPr>
                  <w:r>
                    <w:t xml:space="preserve">Keine interpolierten Werte ohne harmonisierte Abgrenzung</w:t>
                  </w:r>
                </w:p>
              </w:tc>
            </w:tr>
          </w:tbl>
          <w:bookmarkEnd w:id="31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2" w:name="tbl-thg-fortschreibung"/>
          <w:p>
            <w:pPr>
              <w:jc w:val="center"/>
            </w:pPr>
            <w:pPr>
              <w:jc w:val="left"/>
              <w:spacing w:before="200"/>
              <w:pStyle w:val="ImageCaption"/>
            </w:pPr>
            <w:r>
              <w:t xml:space="preserve">Tabelle 16.4: Datenumfang der Gebäudeflächenentwicklung.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Baustein der Fortschreibung</w:t>
                  </w:r>
                </w:p>
              </w:tc>
              <w:tc>
                <w:tcPr/>
                <w:p>
                  <w:pPr>
                    <w:pStyle w:val="Compact"/>
                    <w:jc w:val="center"/>
                  </w:pPr>
                  <w:r>
                    <w:t xml:space="preserve">Benötigte Angaben</w:t>
                  </w:r>
                </w:p>
              </w:tc>
              <w:tc>
                <w:tcPr/>
                <w:p>
                  <w:pPr>
                    <w:pStyle w:val="Compact"/>
                    <w:jc w:val="center"/>
                  </w:pPr>
                  <w:r>
                    <w:t xml:space="preserve">Aktueller Status</w:t>
                  </w:r>
                </w:p>
              </w:tc>
            </w:tr>
            <w:tr>
              <w:tc>
                <w:tcPr/>
                <w:p>
                  <w:pPr>
                    <w:pStyle w:val="Compact"/>
                    <w:jc w:val="center"/>
                  </w:pPr>
                  <w:r>
                    <w:t xml:space="preserve">Ausgangsbestand</w:t>
                  </w:r>
                </w:p>
              </w:tc>
              <w:tc>
                <w:tcPr/>
                <w:p>
                  <w:pPr>
                    <w:pStyle w:val="Compact"/>
                    <w:jc w:val="center"/>
                  </w:pPr>
                  <w:r>
                    <w:t xml:space="preserve">Stützjahr, Nutzung, konditionierte Fläche, NGF/BGF-Abgrenzung</w:t>
                  </w:r>
                </w:p>
              </w:tc>
              <w:tc>
                <w:tcPr/>
                <w:p>
                  <w:pPr>
                    <w:pStyle w:val="Compact"/>
                    <w:jc w:val="center"/>
                  </w:pPr>
                  <w:r>
                    <w:t xml:space="preserve">Statistikmodell 2021 vorhanden; Abgleich mit THG-Systemgrenze offen</w:t>
                  </w:r>
                </w:p>
              </w:tc>
            </w:tr>
            <w:tr>
              <w:tc>
                <w:tcPr/>
                <w:p>
                  <w:pPr>
                    <w:pStyle w:val="Compact"/>
                    <w:jc w:val="center"/>
                  </w:pPr>
                  <w:r>
                    <w:t xml:space="preserve">Neubau und Erweiterung</w:t>
                  </w:r>
                </w:p>
              </w:tc>
              <w:tc>
                <w:tcPr/>
                <w:p>
                  <w:pPr>
                    <w:pStyle w:val="Compact"/>
                    <w:jc w:val="center"/>
                  </w:pPr>
                  <w:r>
                    <w:t xml:space="preserve">Zusätzliche m² je Nutzung und Jahr</w:t>
                  </w:r>
                </w:p>
              </w:tc>
              <w:tc>
                <w:tcPr/>
                <w:p>
                  <w:pPr>
                    <w:pStyle w:val="Compact"/>
                    <w:jc w:val="center"/>
                  </w:pPr>
                  <w:r>
                    <w:t xml:space="preserve">Typengewichteter Neubauanteil 2040 vorhanden; zeitliche Übergangsbilanz nicht festgelegt (</w:t>
                  </w:r>
                  <w:hyperlink w:anchor="sec-gebaeude-flaechen">
                    <w:r>
                      <w:rPr>
                        <w:rStyle w:val="Hyperlink"/>
                      </w:rPr>
                      <w:t xml:space="preserve">Kapitel H.3</w:t>
                    </w:r>
                  </w:hyperlink>
                  <w:r>
                    <w:t xml:space="preserve">)</w:t>
                  </w:r>
                </w:p>
              </w:tc>
            </w:tr>
            <w:tr>
              <w:tc>
                <w:tcPr/>
                <w:p>
                  <w:pPr>
                    <w:pStyle w:val="Compact"/>
                    <w:jc w:val="center"/>
                  </w:pPr>
                  <w:r>
                    <w:t xml:space="preserve">Abbruch und Umnutzung</w:t>
                  </w:r>
                </w:p>
              </w:tc>
              <w:tc>
                <w:tcPr/>
                <w:p>
                  <w:pPr>
                    <w:pStyle w:val="Compact"/>
                    <w:jc w:val="center"/>
                  </w:pPr>
                  <w:r>
                    <w:t xml:space="preserve">Abgänge und Nutzungsverschiebungen je Jahr</w:t>
                  </w:r>
                </w:p>
              </w:tc>
              <w:tc>
                <w:tcPr/>
                <w:p>
                  <w:pPr>
                    <w:pStyle w:val="Compact"/>
                    <w:jc w:val="center"/>
                  </w:pPr>
                  <w:r>
                    <w:t xml:space="preserve">Nicht im Datensatz enthalten</w:t>
                  </w:r>
                </w:p>
              </w:tc>
            </w:tr>
            <w:tr>
              <w:tc>
                <w:tcPr/>
                <w:p>
                  <w:pPr>
                    <w:pStyle w:val="Compact"/>
                    <w:jc w:val="center"/>
                  </w:pPr>
                  <w:r>
                    <w:t xml:space="preserve">Sanierung</w:t>
                  </w:r>
                </w:p>
              </w:tc>
              <w:tc>
                <w:tcPr/>
                <w:p>
                  <w:pPr>
                    <w:pStyle w:val="Compact"/>
                    <w:jc w:val="center"/>
                  </w:pPr>
                  <w:r>
                    <w:t xml:space="preserve">Sanierte m² und energetischer Zustand je Jahr</w:t>
                  </w:r>
                </w:p>
              </w:tc>
              <w:tc>
                <w:tcPr/>
                <w:p>
                  <w:pPr>
                    <w:pStyle w:val="Compact"/>
                    <w:jc w:val="center"/>
                  </w:pPr>
                  <w:r>
                    <w:t xml:space="preserve">Keine zusätzliche Geschossfläche allein durch Sanierung unterstellen</w:t>
                  </w:r>
                </w:p>
              </w:tc>
            </w:tr>
            <w:tr>
              <w:tc>
                <w:tcPr/>
                <w:p>
                  <w:pPr>
                    <w:pStyle w:val="Compact"/>
                    <w:jc w:val="center"/>
                  </w:pPr>
                  <w:r>
                    <w:t xml:space="preserve">Zielbestand</w:t>
                  </w:r>
                </w:p>
              </w:tc>
              <w:tc>
                <w:tcPr/>
                <w:p>
                  <w:pPr>
                    <w:pStyle w:val="Compact"/>
                    <w:jc w:val="center"/>
                  </w:pPr>
                  <w:r>
                    <w:t xml:space="preserve">Konsistente Summe aus Bestand, Zu- und Abgängen</w:t>
                  </w:r>
                </w:p>
              </w:tc>
              <w:tc>
                <w:tcPr/>
                <w:p>
                  <w:pPr>
                    <w:pStyle w:val="Compact"/>
                    <w:jc w:val="center"/>
                  </w:pPr>
                  <w:r>
                    <w:t xml:space="preserve">906,7 Mio. m² als bestehende Kalibrierungsannahme erhalten</w:t>
                  </w:r>
                </w:p>
              </w:tc>
            </w:tr>
          </w:tbl>
          <w:bookmarkEnd w:id="312"/>
          <w:p/>
        </w:tc>
      </w:tr>
    </w:tbl>
    <w:bookmarkEnd w:id="313"/>
    <w:bookmarkStart w:id="314" w:name="drei-zeitbegriffe"/>
    <w:p>
      <w:pPr>
        <w:pStyle w:val="Heading2"/>
      </w:pPr>
      <w:r>
        <w:t xml:space="preserve">16.3 Drei Zeitbegriffe</w:t>
      </w:r>
    </w:p>
    <w:p>
      <w:pPr>
        <w:pStyle w:val="FirstParagraph"/>
      </w:pPr>
      <w:r>
        <w:t xml:space="preserve">Der Bewertungszeitraum beträgt</w:t>
      </w:r>
      <w:r>
        <w:t xml:space="preserve"> </w:t>
      </w:r>
      <w:r>
        <w:rPr>
          <w:b/>
          <w:bCs/>
        </w:rPr>
        <w:t xml:space="preserve">50 Jahre, von 2025 bis 2075</w:t>
      </w:r>
      <w:r>
        <w:t xml:space="preserve">. Innerhalb dieses Horizonts werden die treibhauswirksamen Effekte bilanziert.</w:t>
      </w:r>
    </w:p>
    <w:p>
      <w:pPr>
        <w:pStyle w:val="BodyText"/>
      </w:pPr>
      <w:r>
        <w:t xml:space="preserve">Die Ableitung orientiert sich am österreichischen Klimaneutralitätsziel</w:t>
      </w:r>
      <w:r>
        <w:t xml:space="preserve"> </w:t>
      </w:r>
      <w:r>
        <w:rPr>
          <w:b/>
          <w:bCs/>
        </w:rPr>
        <w:t xml:space="preserve">2040</w:t>
      </w:r>
      <w:r>
        <w:t xml:space="preserve">; auf dieses Jahr beziehen sich auch die zugrunde gelegten Flächenprognosen.</w:t>
      </w:r>
      <w:r>
        <w:t xml:space="preserve"> </w:t>
      </w:r>
      <w:r>
        <w:rPr>
          <w:b/>
          <w:bCs/>
        </w:rPr>
        <w:t xml:space="preserve">2050</w:t>
      </w:r>
      <w:r>
        <w:t xml:space="preserve"> </w:t>
      </w:r>
      <w:r>
        <w:t xml:space="preserve">wird als vorsorglich späterer Dekarbonisierungszeitpunkt angesetzt, um eine mögliche Verzögerung gegenüber dem ursprünglichen Ziel abzubilden. Damit wird das Prognosejahr der Bezugsfläche nicht automatisch auf 2050 verschoben. Eine spätere Umstellung erfordert eine dokumentierte Fortschreibung.</w:t>
      </w:r>
    </w:p>
    <w:p>
      <w:pPr>
        <w:pStyle w:val="BodyText"/>
      </w:pPr>
      <w:r>
        <w:t xml:space="preserve">Die vereinfachende Annahme einer vollständigen Dekarbonisierung der betrachteten Prozesse</w:t>
      </w:r>
      <w:r>
        <w:t xml:space="preserve"> </w:t>
      </w:r>
      <w:r>
        <w:rPr>
          <w:b/>
          <w:bCs/>
        </w:rPr>
        <w:t xml:space="preserve">ab 2050</w:t>
      </w:r>
      <w:r>
        <w:t xml:space="preserve"> </w:t>
      </w:r>
      <w:r>
        <w:t xml:space="preserve">führt dazu, dass danach im Modell keine zusätzlichen Emissionen mehr entstehen. Das emissionswirksame Zeitfenster liegt damit faktisch vor 2050, obwohl die Betrachtung bis 2075 reicht. Dies ist eine Szenarioannahme, keine Verkürzung des Bewertungszeitraums und keine Garantie der tatsächlichen Entwicklung</w:t>
      </w:r>
      <w:r>
        <w:t xml:space="preserve"> </w:t>
      </w:r>
      <w:r>
        <w:t xml:space="preserve">(Schneider u. a. 2025, Abschn. 2.4, S. 7–8; Schneider 2026, Abschn. 3.2.8, S. 58–60)</w:t>
      </w:r>
      <w:r>
        <w:t xml:space="preserve">.</w:t>
      </w:r>
    </w:p>
    <w:p>
      <w:pPr>
        <w:pStyle w:val="BodyText"/>
      </w:pPr>
      <w:r>
        <w:rPr>
          <w:b/>
          <w:bCs/>
        </w:rPr>
        <w:t xml:space="preserve">GWP100</w:t>
      </w:r>
      <w:r>
        <w:t xml:space="preserve"> </w:t>
      </w:r>
      <w:r>
        <w:t xml:space="preserve">bezeichnet den 100-jährigen Charakterisierungshorizont des Treibhauspotenzials für die Bewertung unterschiedlicher Treibhausgase in CO₂-Äquivalenten. Diese 100 Jahre bestimmen nicht die Projektlaufzeit.</w:t>
      </w:r>
    </w:p>
    <w:p>
      <w:pPr>
        <w:pStyle w:val="BodyText"/>
      </w:pPr>
      <w:r>
        <w:t xml:space="preserve">Errichtungsemissionen beanspruchen das Budget unmittelbar. Eine rechnerische Verteilung auf 50 Jahresraten würde ihren Emissionszeitpunkt nicht ändern. Für Etappen eines Renovierungsfahrplans muss deshalb betrachtet werden, wann bauliche Emissionen entstehen und welche Betriebsemissionen bis zur jeweiligen Maßnahme anfallen.</w:t>
      </w:r>
    </w:p>
    <w:bookmarkEnd w:id="314"/>
    <w:bookmarkStart w:id="319" w:name="sec-thg-pfade"/>
    <w:p>
      <w:pPr>
        <w:pStyle w:val="Heading2"/>
      </w:pPr>
      <w:r>
        <w:t xml:space="preserve">16.4 Absenkpfade und kumuliertes THG-Budget</w:t>
      </w:r>
    </w:p>
    <w:p>
      <w:pPr>
        <w:pStyle w:val="FirstParagraph"/>
      </w:pPr>
      <w:r>
        <w:t xml:space="preserve">Für die Lebenszyklusbewertung werden zeitabhängige Emissionsfaktoren verwendet. Ihre Entwicklung bildet einen angenommenen Dekarbonisierungspfad ab und beeinflusst insbesondere die Bewertung der Betriebsemissionen im Szenariozeitraum.</w:t>
      </w:r>
    </w:p>
    <w:tbl>
      <w:tblPr>
        <w:tblStyle w:val="Table"/>
        <w:tblW w:type="pct" w:w="5000"/>
        <w:tblLayout w:type="fixed"/>
        <w:tblLook w:firstRow="0" w:lastRow="0" w:firstColumn="0" w:lastColumn="0" w:noHBand="0" w:noVBand="0" w:val="0000"/>
      </w:tblPr>
      <w:tblGrid>
        <w:gridCol w:w="7920"/>
      </w:tblGrid>
      <w:tr>
        <w:tc>
          <w:tcPr/>
          <w:bookmarkStart w:id="318" w:name="fig-absenkpfade"/>
          <w:p>
            <w:pPr>
              <w:pStyle w:val="Compact"/>
              <w:jc w:val="center"/>
            </w:pPr>
            <w:r>
              <w:drawing>
                <wp:inline>
                  <wp:extent cx="5334000" cy="3556000"/>
                  <wp:effectExtent b="0" l="0" r="0" t="0"/>
                  <wp:docPr descr="" title="" id="316" name="Picture"/>
                  <a:graphic>
                    <a:graphicData uri="http://schemas.openxmlformats.org/drawingml/2006/picture">
                      <pic:pic>
                        <pic:nvPicPr>
                          <pic:cNvPr descr="Kapitel/../Abbildungen/absenkpfade.svg" id="3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5"/>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16.1: Angenommene Entwicklung der spezifischen Treibhausgasemissionen verschiedener Energieträger und Versorgungssysteme bis 2050.</w:t>
            </w:r>
          </w:p>
          <w:bookmarkEnd w:id="318"/>
        </w:tc>
      </w:tr>
    </w:tbl>
    <w:p>
      <w:pPr>
        <w:pStyle w:val="BodyText"/>
      </w:pPr>
      <w:r>
        <w:t xml:space="preserve">Die bestehende Abbildung unterscheidet Netzstromvarianten, Fernwärmesysteme, Abwärme sowie fossile und biogene Brennstoffe. Die numerischen Zeitreihen sind im Datensatz nicht enthalten; die Abbildung dokumentiert die Szenariopfade qualitativ. Die methodische Grundlage bilden</w:t>
      </w:r>
      <w:r>
        <w:t xml:space="preserve"> </w:t>
      </w:r>
      <w:r>
        <w:t xml:space="preserve">Schneider u. a. (2025)</w:t>
      </w:r>
      <w:r>
        <w:t xml:space="preserve">, Abschn. 2.4 und 2.6, sowie</w:t>
      </w:r>
      <w:r>
        <w:t xml:space="preserve"> </w:t>
      </w:r>
      <w:r>
        <w:t xml:space="preserve">Schneider (2026)</w:t>
      </w:r>
      <w:r>
        <w:t xml:space="preserve">, Abschn. 3.2.8.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Anwendung im kumulierten Budget</w:t>
            </w:r>
          </w:p>
        </w:tc>
        <w:tc>
          <w:tcPr/>
          <w:p>
            <w:pPr>
              <w:pStyle w:val="Compact"/>
            </w:pPr>
            <w:r>
              <w:t xml:space="preserve">Dokumentierter Stand</w:t>
            </w:r>
          </w:p>
        </w:tc>
      </w:tr>
      <w:tr>
        <w:tc>
          <w:tcPr/>
          <w:p>
            <w:pPr>
              <w:pStyle w:val="Compact"/>
            </w:pPr>
            <w:r>
              <w:t xml:space="preserve">Netzstrom und weitere Energieträger</w:t>
            </w:r>
          </w:p>
        </w:tc>
        <w:tc>
          <w:tcPr/>
          <w:p>
            <w:pPr>
              <w:pStyle w:val="Compact"/>
            </w:pPr>
            <w:r>
              <w:t xml:space="preserve">Jahresverbrauch × zeitabhängiger THG-Faktor, über die Jahre summiert</w:t>
            </w:r>
          </w:p>
        </w:tc>
        <w:tc>
          <w:tcPr/>
          <w:p>
            <w:pPr>
              <w:pStyle w:val="Compact"/>
            </w:pPr>
            <w:r>
              <w:t xml:space="preserve">Trägerspezifische Pfade in</w:t>
            </w:r>
            <w:r>
              <w:t xml:space="preserve"> </w:t>
            </w:r>
            <w:hyperlink w:anchor="fig-absenkpfade">
              <w:r>
                <w:rPr>
                  <w:rStyle w:val="Hyperlink"/>
                </w:rPr>
                <w:t xml:space="preserve">Abbildung 16.1</w:t>
              </w:r>
            </w:hyperlink>
            <w:r>
              <w:t xml:space="preserve">; numerische Stützwerte und Interpolation nicht im Datensatz enthalten</w:t>
            </w:r>
          </w:p>
        </w:tc>
      </w:tr>
      <w:tr>
        <w:tc>
          <w:tcPr/>
          <w:p>
            <w:pPr>
              <w:pStyle w:val="Compact"/>
            </w:pPr>
            <w:r>
              <w:t xml:space="preserve">Herstellung, Ersatz und Lebensende</w:t>
            </w:r>
          </w:p>
        </w:tc>
        <w:tc>
          <w:tcPr/>
          <w:p>
            <w:pPr>
              <w:pStyle w:val="Compact"/>
            </w:pPr>
            <w:r>
              <w:t xml:space="preserve">Emissionen zum jeweiligen Ereigniszeitpunkt</w:t>
            </w:r>
          </w:p>
        </w:tc>
        <w:tc>
          <w:tcPr/>
          <w:p>
            <w:pPr>
              <w:pStyle w:val="Compact"/>
            </w:pPr>
            <w:r>
              <w:t xml:space="preserve">Prozessbezogene Dekarbonisierungsannahmen des Referenzverfahrens</w:t>
            </w:r>
          </w:p>
        </w:tc>
      </w:tr>
      <w:tr>
        <w:tc>
          <w:tcPr/>
          <w:p>
            <w:pPr>
              <w:pStyle w:val="Compact"/>
            </w:pPr>
            <w:r>
              <w:t xml:space="preserve">Vollständige Dekarbonisierung ab 2050</w:t>
            </w:r>
          </w:p>
        </w:tc>
        <w:tc>
          <w:tcPr/>
          <w:p>
            <w:pPr>
              <w:pStyle w:val="Compact"/>
            </w:pPr>
            <w:r>
              <w:t xml:space="preserve">Im Modell keine zusätzlichen Emissionen der so erfassten Versorgung und Prozesse</w:t>
            </w:r>
          </w:p>
        </w:tc>
        <w:tc>
          <w:tcPr/>
          <w:p>
            <w:pPr>
              <w:pStyle w:val="Compact"/>
            </w:pPr>
            <w:r>
              <w:t xml:space="preserve">Szenarioannahme, keine physische Zusicherung; Betrachtung läuft bis 2075 weiter</w:t>
            </w:r>
          </w:p>
        </w:tc>
      </w:tr>
      <w:tr>
        <w:tc>
          <w:tcPr/>
          <w:p>
            <w:pPr>
              <w:pStyle w:val="Compact"/>
            </w:pPr>
            <w:r>
              <w:t xml:space="preserve">Natürliche Senken</w:t>
            </w:r>
          </w:p>
        </w:tc>
        <w:tc>
          <w:tcPr/>
          <w:p>
            <w:pPr>
              <w:pStyle w:val="Compact"/>
            </w:pPr>
            <w:r>
              <w:t xml:space="preserve">Bestandteil der nationalen Budgetzuteilung</w:t>
            </w:r>
          </w:p>
        </w:tc>
        <w:tc>
          <w:tcPr/>
          <w:p>
            <w:pPr>
              <w:pStyle w:val="Compact"/>
            </w:pPr>
            <w:r>
              <w:t xml:space="preserve">Eigene Annahme; kein Abzug durch einen fallenden Stromfaktor</w:t>
            </w:r>
          </w:p>
        </w:tc>
      </w:tr>
    </w:tbl>
    <w:bookmarkEnd w:id="319"/>
    <w:bookmarkStart w:id="321" w:name="X83a2d43ada78a5e9c6c0e1bdc7648f73cd7045a"/>
    <w:p>
      <w:pPr>
        <w:pStyle w:val="Heading2"/>
      </w:pPr>
      <w:r>
        <w:t xml:space="preserve">16.5 Rekalibrierung: Welche Stellgrößen ändern sich?</w:t>
      </w:r>
    </w:p>
    <w:p>
      <w:pPr>
        <w:pStyle w:val="FirstParagraph"/>
      </w:pPr>
      <w:r>
        <w:t xml:space="preserve">Eine Fortschreibung muss klären, ob Datenbasis, Szenario oder Verteilungsentscheidung verändert werden. Beim THG-Budget sind Restbudget, Senkenannahme, Sektoranteil und Bezugsfläche maßgeblich. Diese Größen sind bei einer Rekalibrierung gemeinsam zu überprüfen</w:t>
      </w:r>
      <w:r>
        <w:t xml:space="preserve"> </w:t>
      </w:r>
      <w:r>
        <w:t xml:space="preserve">(Schneider u. a. 2025, Abschn. 4.2–4.3, S. 27–28)</w:t>
      </w:r>
      <w:r>
        <w:t xml:space="preserve">.</w:t>
      </w:r>
    </w:p>
    <w:p>
      <w:pPr>
        <w:pStyle w:val="BodyText"/>
      </w:pPr>
      <w:r>
        <w:t xml:space="preserve">Zusätzlicher Baubedarf kann eine Entscheidung über die sektorale Verteilung auslösen. Ein höheres Budget je Quadratmeter entsteht daraus nicht von selbst: Bei unverändertem Sektorbudget verteilt sich dieselbe Menge auf mehr Fläche. Soll der Gebäudesektor mehr Budget erhalten, muss die entsprechende Entlastung anderer Sektoren oder eine begründete Änderung der Budgetgrundlage ausgewiesen werden. Eine Erhöhung ohne solche Deckung verändert den Gesamtanspruch.</w:t>
      </w:r>
    </w:p>
    <w:bookmarkStart w:id="320" w:name="pv-errichtung-und-sektorale-konsistenz"/>
    <w:p>
      <w:pPr>
        <w:pStyle w:val="Heading3"/>
      </w:pPr>
      <w:r>
        <w:t xml:space="preserve">16.5.1 PV-Errichtung und sektorale Konsistenz</w:t>
      </w:r>
    </w:p>
    <w:p>
      <w:pPr>
        <w:pStyle w:val="FirstParagraph"/>
      </w:pPr>
      <w:r>
        <w:t xml:space="preserve">Die grauen Emissionen der PV-Anlagen bleiben außerhalb der Quartiersbilanz, weil die Erzeugungsanlagen im nationalen Sektormodell der Energieversorgung zugeordnet sind. Diese Abgrenzung setzt voraus, dass ihre Emissionen dort konsistent erfasst werden</w:t>
      </w:r>
      <w:r>
        <w:t xml:space="preserve"> </w:t>
      </w:r>
      <w:r>
        <w:t xml:space="preserve">(Schneider u. a. 2025, Abschn. 2.4.1 und 4.2, S. 8–9, 27–28)</w:t>
      </w:r>
      <w:r>
        <w:t xml:space="preserve">.</w:t>
      </w:r>
    </w:p>
    <w:p>
      <w:pPr>
        <w:pStyle w:val="BodyText"/>
      </w:pPr>
      <w:r>
        <w:t xml:space="preserve">Eine Alternative nimmt die PV-Errichtung in die Quartiersbilanz auf. Dann müssen Emissionen und Budgetzuordnung gemeinsam neu abgegrenzt werden. Eine zusätzliche Belastung bei unverändertem, anders abgegrenztem Budget würde zwei Bilanzmodelle vermischen. Wie sich die konsistente Alternative auf Grenzwert und Vorteil zusätzlicher PV auswirkt, ist zu berechnen.</w:t>
      </w:r>
      <w:r>
        <w:t xml:space="preserve"> </w:t>
      </w:r>
      <w:hyperlink w:anchor="sec-bilanzregeln">
        <w:r>
          <w:rPr>
            <w:rStyle w:val="Hyperlink"/>
          </w:rPr>
          <w:t xml:space="preserve">Kapitel 17</w:t>
        </w:r>
      </w:hyperlink>
      <w:r>
        <w:t xml:space="preserve"> </w:t>
      </w:r>
      <w:r>
        <w:t xml:space="preserve">erläutert die Abgrenzung der PV-Errichtung und die Voraussetzungen eines Vergleichs mit einer gebäudebezogenen Normbilanz.</w:t>
      </w:r>
    </w:p>
    <w:bookmarkEnd w:id="320"/>
    <w:bookmarkEnd w:id="321"/>
    <w:bookmarkStart w:id="322" w:name="folgerungen-für-planung-und-verwaltung"/>
    <w:p>
      <w:pPr>
        <w:pStyle w:val="Heading2"/>
      </w:pPr>
      <w:r>
        <w:t xml:space="preserve">16.6 Folgerungen für Planung und Verwaltung</w:t>
      </w:r>
    </w:p>
    <w:p>
      <w:pPr>
        <w:pStyle w:val="FirstParagraph"/>
      </w:pPr>
      <w:r>
        <w:t xml:space="preserve">Die Allokation zeigt, welche Beiträge ein Quartier selbst erbringen soll und welche Voraussetzungen es aus dem übergeordneten System übernimmt. Ein Nachweis sollte deshalb neben dem Ergebnis den Methodenstand, die Systemgrenzen, Flächenbezüge und Kontextgutschriften ausweisen. Erst damit lässt sich unterscheiden, ob eine Verbesserung aus einer Planungsmaßnahme, einer geänderten Annahme oder einem anderen Bewertungsmaßstab stammt.</w:t>
      </w:r>
    </w:p>
    <w:bookmarkEnd w:id="322"/>
    <w:bookmarkEnd w:id="323"/>
    <w:bookmarkStart w:id="356" w:name="sec-bilanzregeln"/>
    <w:p>
      <w:pPr>
        <w:pStyle w:val="Heading1"/>
      </w:pPr>
      <w:r>
        <w:t xml:space="preserve">17. Systemgrenze des Quartiers</w:t>
      </w:r>
    </w:p>
    <w:p>
      <w:pPr>
        <w:pStyle w:val="FirstParagraph"/>
      </w:pPr>
      <w:r>
        <w:t xml:space="preserve">Was gehört zur Quartiersbilanz – und wie werden Energieflüsse und Emissionen bewertet?</w:t>
      </w:r>
    </w:p>
    <w:p>
      <w:pPr>
        <w:pStyle w:val="BodyText"/>
      </w:pPr>
      <w:r>
        <w:t xml:space="preserve">Die Aussage einer Energie- oder Treibhausgasbilanz hängt wesentlich davon ab,</w:t>
      </w:r>
      <w:r>
        <w:t xml:space="preserve"> </w:t>
      </w:r>
      <w:r>
        <w:rPr>
          <w:b/>
          <w:bCs/>
        </w:rPr>
        <w:t xml:space="preserve">was einbezogen, wie zugeordnet und über welchen Zeitraum bewertet wird</w:t>
      </w:r>
      <w:r>
        <w:t xml:space="preserve">. Der klimaaktiv Standard legt deshalb räumliche, funktionale und zeitliche Systemgrenzen fest. Diese gelten für Energiebedarf, erneuerbare Erzeugung, Mobilität und Lebenszyklusemissionen ebenso wie für die zugehörigen Zielwerte und Kontextfaktoren.</w:t>
      </w:r>
    </w:p>
    <w:p>
      <w:pPr>
        <w:pStyle w:val="BodyText"/>
      </w:pPr>
      <w:r>
        <w:t xml:space="preserve">Die drei Qualitätsstufen und ihre Erfüllungskriterien werden im Kapitel</w:t>
      </w:r>
      <w:r>
        <w:t xml:space="preserve"> </w:t>
      </w:r>
      <w:hyperlink w:anchor="sec-standard">
        <w:r>
          <w:rPr>
            <w:rStyle w:val="Hyperlink"/>
          </w:rPr>
          <w:t xml:space="preserve">Kapitel 7</w:t>
        </w:r>
      </w:hyperlink>
      <w:r>
        <w:t xml:space="preserve"> </w:t>
      </w:r>
      <w:r>
        <w:t xml:space="preserve">eingeführt. Dieses Kapitel erläutert die</w:t>
      </w:r>
      <w:r>
        <w:t xml:space="preserve"> </w:t>
      </w:r>
      <w:r>
        <w:rPr>
          <w:b/>
          <w:bCs/>
        </w:rPr>
        <w:t xml:space="preserve">konkreten Bilanzierungsregeln</w:t>
      </w:r>
      <w:r>
        <w:t xml:space="preserve">. Die nationale Herleitung der Anforderungen steht in</w:t>
      </w:r>
      <w:r>
        <w:t xml:space="preserve"> </w:t>
      </w:r>
      <w:hyperlink w:anchor="sec-allokation">
        <w:r>
          <w:rPr>
            <w:rStyle w:val="Hyperlink"/>
          </w:rPr>
          <w:t xml:space="preserve">Kapitel 11</w:t>
        </w:r>
      </w:hyperlink>
      <w:r>
        <w:t xml:space="preserve"> </w:t>
      </w:r>
      <w:r>
        <w:t xml:space="preserve">und</w:t>
      </w:r>
      <w:r>
        <w:t xml:space="preserve"> </w:t>
      </w:r>
      <w:hyperlink w:anchor="sec-zielwert-thg">
        <w:r>
          <w:rPr>
            <w:rStyle w:val="Hyperlink"/>
          </w:rPr>
          <w:t xml:space="preserve">Kapitel 16</w:t>
        </w:r>
      </w:hyperlink>
      <w:r>
        <w:t xml:space="preserve">; ihre kontextabhängige Anwendung in</w:t>
      </w:r>
      <w:r>
        <w:t xml:space="preserve"> </w:t>
      </w:r>
      <w:hyperlink w:anchor="sec-kontext">
        <w:r>
          <w:rPr>
            <w:rStyle w:val="Hyperlink"/>
          </w:rPr>
          <w:t xml:space="preserve">Kapitel 9.2</w:t>
        </w:r>
      </w:hyperlink>
      <w:r>
        <w:t xml:space="preserve">.</w:t>
      </w:r>
    </w:p>
    <w:bookmarkStart w:id="327" w:name="X78d23d416b7cf8e5dfdaec365e3f94a00416409"/>
    <w:p>
      <w:pPr>
        <w:pStyle w:val="Heading2"/>
      </w:pPr>
      <w:r>
        <w:t xml:space="preserve">17.1 Räumliche Systemgrenze: Was gehört zum Quartier?</w:t>
      </w:r>
    </w:p>
    <w:p>
      <w:pPr>
        <w:pStyle w:val="FirstParagraph"/>
      </w:pPr>
      <w:r>
        <w:t xml:space="preserve">Das bewertete Quartier wird als räumlich und funktional zusammenhängende Einheit abgegrenzt. Zum Projektumfang gehören die einbezogenen Gebäude, ihre zugehörigen Flächen sowie gemeinschaftliche Versorgungs- und Erzeugungsanlagen. Auch unbeheizte Gebäudeteile, Keller und zugehörige Außenanlagen können für die bauliche Treibhausgasbilanz relevant sein, selbst wenn sie nicht zur konditionierten Nutzfläche zählen</w:t>
      </w:r>
      <w:r>
        <w:t xml:space="preserve"> </w:t>
      </w:r>
      <w:r>
        <w:t xml:space="preserve">(Schneider 2026, Abschn. 3.2.2, S. 51–53)</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C:\Users\schneids\AppData\Local\Programs\Quarto\share\formats\docx\important.png" id="326"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Wichtig</w:t>
            </w:r>
          </w:p>
        </w:tc>
      </w:tr>
      <w:tr>
        <w:trPr>
          <w:cantSplit/>
        </w:trPr>
        <w:tc>
          <w:tcPr>
            <w:tcMar>
              <w:top w:w="108" w:type="dxa"/>
              <w:bottom w:w="108" w:type="dxa"/>
            </w:tcMar>
          </w:tcPr>
          <w:p>
            <w:pPr>
              <w:pStyle w:val="BodyText"/>
            </w:pPr>
            <w:pPr>
              <w:spacing w:before="16" w:after="16"/>
            </w:pPr>
            <w:r>
              <w:t xml:space="preserve">Die Grenze darf nicht allein mit dem Ziel gewählt werden, günstige Erzeugungsflächen einzuschließen oder besonders energieintensive Nutzungen auszuklammern. Bei Anlagen, die mehrere Gebäude oder auch Bereiche außerhalb des Quartiers versorgen, muss die</w:t>
            </w:r>
            <w:r>
              <w:t xml:space="preserve"> </w:t>
            </w:r>
            <w:r>
              <w:rPr>
                <w:b/>
                <w:bCs/>
              </w:rPr>
              <w:t xml:space="preserve">Zuordnung der Energieflüsse und baulichen Aufwendungen</w:t>
            </w:r>
            <w:r>
              <w:t xml:space="preserve"> </w:t>
            </w:r>
            <w:r>
              <w:t xml:space="preserve">nachvollziehbar sein.</w:t>
            </w:r>
          </w:p>
          <w:p/>
        </w:tc>
      </w:tr>
    </w:tbl>
    <w:p>
      <w:pPr>
        <w:pStyle w:val="BodyText"/>
      </w:pPr>
      <w:r>
        <w:t xml:space="preserve">Für die Bewertung sind insbesondere folgende Bezugsgrößen zu dokumentieren:</w:t>
      </w:r>
    </w:p>
    <w:p>
      <w:pPr>
        <w:pStyle w:val="Compact"/>
        <w:numPr>
          <w:ilvl w:val="0"/>
          <w:numId w:val="1004"/>
        </w:numPr>
      </w:pPr>
      <w:r>
        <w:rPr>
          <w:b/>
          <w:bCs/>
        </w:rPr>
        <w:t xml:space="preserve">Grundstücks- beziehungsweise Quartiersfläche:</w:t>
      </w:r>
      <w:r>
        <w:t xml:space="preserve"> </w:t>
      </w:r>
      <w:r>
        <w:t xml:space="preserve">maßgeblich für die räumliche Abgrenzung und die Geschoßflächenzahl (GFZ).</w:t>
      </w:r>
    </w:p>
    <w:p>
      <w:pPr>
        <w:pStyle w:val="Compact"/>
        <w:numPr>
          <w:ilvl w:val="0"/>
          <w:numId w:val="1004"/>
        </w:numPr>
      </w:pPr>
      <w:r>
        <w:rPr>
          <w:b/>
          <w:bCs/>
        </w:rPr>
        <w:t xml:space="preserve">Bruttogrundfläche (BGF):</w:t>
      </w:r>
      <w:r>
        <w:t xml:space="preserve"> </w:t>
      </w:r>
      <w:r>
        <w:t xml:space="preserve">Bezugsgröße des kumulierten THG-Budgets und Bestandteil der GFZ.</w:t>
      </w:r>
    </w:p>
    <w:p>
      <w:pPr>
        <w:pStyle w:val="Compact"/>
        <w:numPr>
          <w:ilvl w:val="0"/>
          <w:numId w:val="1004"/>
        </w:numPr>
      </w:pPr>
      <w:r>
        <w:rPr>
          <w:b/>
          <w:bCs/>
        </w:rPr>
        <w:t xml:space="preserve">Konditionierte Nettogrundfläche (NGF):</w:t>
      </w:r>
      <w:r>
        <w:t xml:space="preserve"> </w:t>
      </w:r>
      <w:r>
        <w:t xml:space="preserve">Bezugsgröße der spezifischen betrieblichen Primärenergiebilanz.</w:t>
      </w:r>
    </w:p>
    <w:p>
      <w:pPr>
        <w:pStyle w:val="Compact"/>
        <w:numPr>
          <w:ilvl w:val="0"/>
          <w:numId w:val="1004"/>
        </w:numPr>
      </w:pPr>
      <w:r>
        <w:rPr>
          <w:b/>
          <w:bCs/>
        </w:rPr>
        <w:t xml:space="preserve">Nutzungsanteile:</w:t>
      </w:r>
      <w:r>
        <w:t xml:space="preserve"> </w:t>
      </w:r>
      <w:r>
        <w:t xml:space="preserve">Grundlage für Bedarfsprofile und die flächengewichtete Zuordnung von Mobilitätsbudgets.</w:t>
      </w:r>
    </w:p>
    <w:bookmarkEnd w:id="327"/>
    <w:bookmarkStart w:id="329" w:name="X95df62cb8007d72540ca8bcdc7a3acd8ccc0978"/>
    <w:p>
      <w:pPr>
        <w:pStyle w:val="Heading2"/>
      </w:pPr>
      <w:r>
        <w:t xml:space="preserve">17.2 Funktionale Bilanzgrenze: Welche Nutzungen und Prozesse zählen?</w:t>
      </w:r>
    </w:p>
    <w:p>
      <w:pPr>
        <w:pStyle w:val="FirstParagraph"/>
      </w:pPr>
      <w:r>
        <w:t xml:space="preserve">Der Umfang der Bewertung steigt mit der angestrebten Qualitätsstufe. Der Gebäudebetrieb ist Bestandteil aller Stufen; bei den beiden erweiterten Stufen kommt der zugeordnete motorisierte Individualverkehr (MIV) hinzu. Erst die Klimaneutralitätsstufe verlangt darüber hinaus die Einhaltung eines kumulierten THG-Budgets einschließlich der definierten baulichen Lebenszyklusprozesse</w:t>
      </w:r>
      <w:r>
        <w:t xml:space="preserve"> </w:t>
      </w:r>
      <w:r>
        <w:t xml:space="preserve">(Schneider u. a. 2025, Tab. 1; Schneider u. a. 2026, 8–11)</w:t>
      </w:r>
      <w:r>
        <w:t xml:space="preserve">.</w:t>
      </w:r>
    </w:p>
    <w:p>
      <w:pPr>
        <w:pStyle w:val="BodyText"/>
      </w:pPr>
      <w:r>
        <w:t xml:space="preserve">Für die Abgrenzung der</w:t>
      </w:r>
      <w:r>
        <w:t xml:space="preserve"> </w:t>
      </w:r>
      <w:r>
        <w:rPr>
          <w:b/>
          <w:bCs/>
        </w:rPr>
        <w:t xml:space="preserve">einzelnen Bilanzbestandteile</w:t>
      </w:r>
      <w:r>
        <w:t xml:space="preserve"> </w:t>
      </w:r>
      <w:r>
        <w:t xml:space="preserve">gilt:</w:t>
      </w:r>
    </w:p>
    <w:tbl>
      <w:tblPr>
        <w:tblStyle w:val="Table"/>
        <w:tblW w:type="pct" w:w="5000"/>
        <w:tblLayout w:type="fixed"/>
        <w:tblLook w:firstRow="0" w:lastRow="0" w:firstColumn="0" w:lastColumn="0" w:noHBand="0" w:noVBand="0" w:val="0000"/>
      </w:tblPr>
      <w:tblGrid>
        <w:gridCol w:w="7920"/>
      </w:tblGrid>
      <w:tr>
        <w:tc>
          <w:tcPr/>
          <w:bookmarkStart w:id="328" w:name="tbl-bilanzumfang"/>
          <w:p>
            <w:pPr>
              <w:jc w:val="center"/>
            </w:pPr>
            <w:pPr>
              <w:jc w:val="left"/>
              <w:spacing w:before="200"/>
              <w:pStyle w:val="ImageCaption"/>
            </w:pPr>
            <w:r>
              <w:t xml:space="preserve">Tabelle 17.1: Funktionale Abgrenzung der PEQ-Bewertung. Die erforderlichen Bilanzbestandteile richten sich nach der Qualitätsstufe; eine Übersicht dazu bietet das Kapitel</w:t>
            </w:r>
            <w:r>
              <w:t xml:space="preserve"> </w:t>
            </w:r>
            <w:r>
              <w:rPr>
                <w:i/>
                <w:iCs/>
              </w:rPr>
              <w:t xml:space="preserve">Der Standard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Bilanzbestandteil</w:t>
                  </w:r>
                </w:p>
              </w:tc>
              <w:tc>
                <w:tcPr/>
                <w:p>
                  <w:pPr>
                    <w:pStyle w:val="Compact"/>
                    <w:jc w:val="center"/>
                  </w:pPr>
                  <w:r>
                    <w:t xml:space="preserve">Einbezogene Größen und Zuordnung</w:t>
                  </w:r>
                </w:p>
              </w:tc>
            </w:tr>
            <w:tr>
              <w:tc>
                <w:tcPr/>
                <w:p>
                  <w:pPr>
                    <w:pStyle w:val="Compact"/>
                    <w:jc w:val="center"/>
                  </w:pPr>
                  <w:r>
                    <w:t xml:space="preserve">Gebäudebetrieb</w:t>
                  </w:r>
                </w:p>
              </w:tc>
              <w:tc>
                <w:tcPr/>
                <w:p>
                  <w:pPr>
                    <w:pStyle w:val="Compact"/>
                    <w:jc w:val="center"/>
                  </w:pPr>
                  <w:r>
                    <w:t xml:space="preserve">Raumheizung, Kühlung, Warmwasser, Lüftung, Beleuchtung, Hilfsenergie und weitere im Verfahren erfasste gebäudebezogene Stromanwendungen</w:t>
                  </w:r>
                </w:p>
              </w:tc>
            </w:tr>
            <w:tr>
              <w:tc>
                <w:tcPr/>
                <w:p>
                  <w:pPr>
                    <w:pStyle w:val="Compact"/>
                    <w:jc w:val="center"/>
                  </w:pPr>
                  <w:r>
                    <w:t xml:space="preserve">Erneuerbare Energieaufbringung</w:t>
                  </w:r>
                </w:p>
              </w:tc>
              <w:tc>
                <w:tcPr/>
                <w:p>
                  <w:pPr>
                    <w:pStyle w:val="Compact"/>
                    <w:jc w:val="center"/>
                  </w:pPr>
                  <w:r>
                    <w:t xml:space="preserve">Dem Quartier zugeordnete Erzeugung sowie Nutzung, Speicherung, Bezug und Abgabe nach den festgelegten Bilanzregeln</w:t>
                  </w:r>
                </w:p>
              </w:tc>
            </w:tr>
            <w:tr>
              <w:tc>
                <w:tcPr/>
                <w:p>
                  <w:pPr>
                    <w:pStyle w:val="Compact"/>
                    <w:jc w:val="center"/>
                  </w:pPr>
                  <w:r>
                    <w:t xml:space="preserve">Motorisierter Individualverkehr</w:t>
                  </w:r>
                </w:p>
              </w:tc>
              <w:tc>
                <w:tcPr/>
                <w:p>
                  <w:pPr>
                    <w:pStyle w:val="Compact"/>
                    <w:jc w:val="center"/>
                  </w:pPr>
                  <w:r>
                    <w:t xml:space="preserve">Dem Quartier nach dem Zielverkehrsprinzip zugeordnete Fahrenergie; bei der THG-Bilanz zusätzlich die im Verfahren erfasste Fahrzeugherstellung</w:t>
                  </w:r>
                </w:p>
              </w:tc>
            </w:tr>
            <w:tr>
              <w:tc>
                <w:tcPr/>
                <w:p>
                  <w:pPr>
                    <w:pStyle w:val="Compact"/>
                    <w:jc w:val="center"/>
                  </w:pPr>
                  <w:r>
                    <w:t xml:space="preserve">Bauliche Lebenszyklusprozesse</w:t>
                  </w:r>
                </w:p>
              </w:tc>
              <w:tc>
                <w:tcPr/>
                <w:p>
                  <w:pPr>
                    <w:pStyle w:val="Compact"/>
                    <w:jc w:val="center"/>
                  </w:pPr>
                  <w:r>
                    <w:t xml:space="preserve">Herstellung, Errichtung, Instandhaltung, Ersatz und Lebensende nach dem unten beschriebenen Modulumfang</w:t>
                  </w:r>
                </w:p>
              </w:tc>
            </w:tr>
            <w:tr>
              <w:tc>
                <w:tcPr/>
                <w:p>
                  <w:pPr>
                    <w:pStyle w:val="Compact"/>
                    <w:jc w:val="center"/>
                  </w:pPr>
                  <w:r>
                    <w:t xml:space="preserve">Kontextfaktoren</w:t>
                  </w:r>
                </w:p>
              </w:tc>
              <w:tc>
                <w:tcPr/>
                <w:p>
                  <w:pPr>
                    <w:pStyle w:val="Compact"/>
                    <w:jc w:val="center"/>
                  </w:pPr>
                  <w:r>
                    <w:t xml:space="preserve">Virtuelle Gut- und Lastschriften für Dichte, Mobilität und Sanierung;</w:t>
                  </w:r>
                  <w:r>
                    <w:t xml:space="preserve"> </w:t>
                  </w:r>
                  <w:r>
                    <w:rPr>
                      <w:b/>
                      <w:bCs/>
                    </w:rPr>
                    <w:t xml:space="preserve">keine physischen Energiemengen</w:t>
                  </w:r>
                </w:p>
              </w:tc>
            </w:tr>
          </w:tbl>
          <w:bookmarkEnd w:id="328"/>
          <w:p/>
        </w:tc>
      </w:tr>
    </w:tbl>
    <w:p>
      <w:pPr>
        <w:pStyle w:val="BodyText"/>
      </w:pPr>
      <w:r>
        <w:t xml:space="preserve">Ein Energieausweis, der vor allem Heizung und Warmwasser beschreibt, bildet damit nicht automatisch den vollständigen betrieblichen Quartiersbedarf ab. Bei gemeinsam versorgten Nutzungen muss erkennbar bleiben, welchem Teil des Quartiers die berechneten Mengen zugeordnet werden.</w:t>
      </w:r>
    </w:p>
    <w:bookmarkEnd w:id="329"/>
    <w:bookmarkStart w:id="334" w:name="sec-energie-bewertung"/>
    <w:p>
      <w:pPr>
        <w:pStyle w:val="Heading2"/>
      </w:pPr>
      <w:r>
        <w:t xml:space="preserve">17.3 Primärenergiebilanz: Physische Flüsse und Bewertung trennen</w:t>
      </w:r>
    </w:p>
    <w:p>
      <w:pPr>
        <w:pStyle w:val="FirstParagraph"/>
      </w:pPr>
      <w:r>
        <w:t xml:space="preserve">Das Quartiersmodell bestimmt zunächst die</w:t>
      </w:r>
      <w:r>
        <w:t xml:space="preserve"> </w:t>
      </w:r>
      <w:r>
        <w:rPr>
          <w:b/>
          <w:bCs/>
        </w:rPr>
        <w:t xml:space="preserve">physischen Energieflüsse</w:t>
      </w:r>
      <w:r>
        <w:t xml:space="preserve"> </w:t>
      </w:r>
      <w:r>
        <w:t xml:space="preserve">über ein Jahr: Bedarf der Anwendungen, lokale Erzeugung, direkten Eigenverbrauch, Lade- und Entladevorgänge, Speicherverluste sowie Bezug und Abgabe über die Quartiersgrenze.</w:t>
      </w:r>
    </w:p>
    <w:p>
      <w:pPr>
        <w:pStyle w:val="BodyText"/>
      </w:pPr>
      <w:r>
        <w:t xml:space="preserve">Anschließend werden die bilanzierten Energiemengen mit den festgelegten Primärenergiefaktoren bewertet. Der</w:t>
      </w:r>
      <w:r>
        <w:t xml:space="preserve"> </w:t>
      </w:r>
      <w:r>
        <w:rPr>
          <w:b/>
          <w:bCs/>
        </w:rPr>
        <w:t xml:space="preserve">bewertete Primärenergiesaldo</w:t>
      </w:r>
      <w:r>
        <w:t xml:space="preserve"> </w:t>
      </w:r>
      <w:r>
        <w:t xml:space="preserve">ist positiv bei einem Überschuss und negativ bei einem Bedarfssaldo. Auf diesen Wert wirken die Kontextgutschriften und -lastschriften. Für die Erfüllung der jeweiligen Qualitätsstufe ist die Bilanz</w:t>
      </w:r>
      <w:r>
        <w:t xml:space="preserve"> </w:t>
      </w:r>
      <w:r>
        <w:rPr>
          <w:i/>
          <w:iCs/>
        </w:rPr>
        <w:t xml:space="preserve">einschließlich</w:t>
      </w:r>
      <w:r>
        <w:t xml:space="preserve"> </w:t>
      </w:r>
      <w:r>
        <w:t xml:space="preserve">der relevanten Kontextfaktoren maßgeblich</w:t>
      </w:r>
      <w:r>
        <w:t xml:space="preserve"> </w:t>
      </w:r>
      <w:r>
        <w:t xml:space="preserve">(Schneider u. a. 2025, Abschn. 2.2)</w:t>
      </w:r>
      <w:r>
        <w:t xml:space="preserve">.</w:t>
      </w:r>
    </w:p>
    <w:p>
      <w:pPr>
        <w:pStyle w:val="BodyText"/>
      </w:pPr>
      <w:r>
        <w:t xml:space="preserve">Die Quartiersbilanz verknüpft Energiequellen, Umwandlungsanlagen, Speicher und Nutzungen. Energiebezug und Energieabgabe werden an der Systemgrenze erfasst.</w:t>
      </w:r>
    </w:p>
    <w:tbl>
      <w:tblPr>
        <w:tblStyle w:val="Table"/>
        <w:tblW w:type="pct" w:w="5000"/>
        <w:tblLayout w:type="fixed"/>
        <w:tblLook w:firstRow="0" w:lastRow="0" w:firstColumn="0" w:lastColumn="0" w:noHBand="0" w:noVBand="0" w:val="0000"/>
      </w:tblPr>
      <w:tblGrid>
        <w:gridCol w:w="7920"/>
      </w:tblGrid>
      <w:tr>
        <w:tc>
          <w:tcPr/>
          <w:bookmarkStart w:id="333" w:name="fig-energiemodell-betrieb"/>
          <w:p>
            <w:pPr>
              <w:pStyle w:val="Compact"/>
              <w:jc w:val="center"/>
            </w:pPr>
            <w:r>
              <w:drawing>
                <wp:inline>
                  <wp:extent cx="5334000" cy="3086329"/>
                  <wp:effectExtent b="0" l="0" r="0" t="0"/>
                  <wp:docPr descr="" title="" id="331" name="Picture"/>
                  <a:graphic>
                    <a:graphicData uri="http://schemas.openxmlformats.org/drawingml/2006/picture">
                      <pic:pic>
                        <pic:nvPicPr>
                          <pic:cNvPr descr="Kapitel/../Abbildungen/energiemodel_betrieb.svg" id="3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5334000" cy="3086329"/>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17.1: Schematisches Quartiersenergiesystem mit elektrischen und thermischen Energieflüssen, Speichern, erneuerbarer Erzeugung und Netzaustausch.</w:t>
            </w:r>
          </w:p>
          <w:bookmarkEnd w:id="333"/>
        </w:tc>
      </w:tr>
    </w:tbl>
    <w:bookmarkEnd w:id="334"/>
    <w:bookmarkStart w:id="339" w:name="Xeec03d287a5687669b53679d554318440c20518"/>
    <w:p>
      <w:pPr>
        <w:pStyle w:val="Heading2"/>
      </w:pPr>
      <w:r>
        <w:t xml:space="preserve">17.4 Mobilität: Zugeordnete Fahrten sind nicht gleich lokale Ladevorgänge</w:t>
      </w:r>
    </w:p>
    <w:p>
      <w:pPr>
        <w:pStyle w:val="FirstParagraph"/>
      </w:pPr>
      <w:r>
        <w:t xml:space="preserve">Der MIV wird nach dem</w:t>
      </w:r>
      <w:r>
        <w:t xml:space="preserve"> </w:t>
      </w:r>
      <w:r>
        <w:rPr>
          <w:b/>
          <w:bCs/>
        </w:rPr>
        <w:t xml:space="preserve">Zielverkehrsprinzip</w:t>
      </w:r>
      <w:r>
        <w:t xml:space="preserve"> </w:t>
      </w:r>
      <w:r>
        <w:t xml:space="preserve">zugeordnet: Relevant sind Fahrten, deren Ziel im betrachteten Quartier liegt, beispielsweise Heim-, Arbeits- oder Einkaufswege. Fahrten zu anderen Zielen werden den jeweiligen Zielorten zugeordnet. Der öffentliche Verkehr wird im beschriebenen Verfahren nicht unmittelbar als Quartiersmobilität bilanziert; ein geringerer MIV-Anteil vermindert jedoch den zugeordneten Fahrenergiebedarf</w:t>
      </w:r>
      <w:r>
        <w:t xml:space="preserve"> </w:t>
      </w:r>
      <w:r>
        <w:t xml:space="preserve">(Schneider u. a. 2025, Abschn. 2.4.2)</w:t>
      </w:r>
      <w:r>
        <w:t xml:space="preserve">.</w:t>
      </w:r>
    </w:p>
    <w:p>
      <w:pPr>
        <w:pStyle w:val="BodyText"/>
      </w:pPr>
      <w:r>
        <w:t xml:space="preserve">Bei Elektrofahrzeugen können</w:t>
      </w:r>
      <w:r>
        <w:t xml:space="preserve"> </w:t>
      </w:r>
      <w:r>
        <w:rPr>
          <w:b/>
          <w:bCs/>
        </w:rPr>
        <w:t xml:space="preserve">Fahrenergie und Ladevorgang räumlich auseinanderfallen</w:t>
      </w:r>
      <w:r>
        <w:t xml:space="preserve">. Das Modell berücksichtigt deshalb das Laden innerhalb und außerhalb des Quartiers und die Zuordnung von Fahrten zu verschiedenen Zielen. Wenn Fahrzeugbatterien zusätzlich zur Versorgung des Gebäudes beitragen, handelt es sich um einen Speicherfluss, nicht um eine zweite erneuerbare Energiequelle. Die für die Fahrt erforderliche Energie muss weiterhin berücksichtigt werden.</w:t>
      </w:r>
    </w:p>
    <w:p>
      <w:pPr>
        <w:pStyle w:val="BodyText"/>
      </w:pPr>
      <w:r>
        <w:t xml:space="preserve">In der THG-Bilanz wird außerdem die Fahrzeugherstellung in dem im Referenzverfahren vorgesehenen Umfang angesetzt. Der Umfang der Fahrzeugherstellung folgt dem Referenzverfahren. Das nutzungsbezogene Mobilitätsbudget ist ebenfalls von realen Ladeleistungen, Anschlusskapazitäten und der tatsächlichen Anwesenheit von Fahrzeugen zu unterscheiden. Budgetzuordnung und Anwendung des Mobilitätskontextfaktors beschreibt</w:t>
      </w:r>
      <w:r>
        <w:t xml:space="preserve"> </w:t>
      </w:r>
      <w:hyperlink w:anchor="sec-kontext-mobilitaet">
        <w:r>
          <w:rPr>
            <w:rStyle w:val="Hyperlink"/>
          </w:rPr>
          <w:t xml:space="preserve">Kapitel 14</w:t>
        </w:r>
      </w:hyperlink>
      <w:r>
        <w:t xml:space="preserve">; die stündliche Fahrzeugmodellierung ist in</w:t>
      </w:r>
      <w:r>
        <w:t xml:space="preserve"> </w:t>
      </w:r>
      <w:r>
        <w:t xml:space="preserve">Schneider und Baptista (2025)</w:t>
      </w:r>
      <w:r>
        <w:t xml:space="preserve"> </w:t>
      </w:r>
      <w:r>
        <w:t xml:space="preserve">beschrieben.</w:t>
      </w:r>
    </w:p>
    <w:tbl>
      <w:tblPr>
        <w:tblStyle w:val="Table"/>
        <w:tblW w:type="pct" w:w="5000"/>
        <w:tblLayout w:type="fixed"/>
        <w:tblLook w:firstRow="0" w:lastRow="0" w:firstColumn="0" w:lastColumn="0" w:noHBand="0" w:noVBand="0" w:val="0000"/>
      </w:tblPr>
      <w:tblGrid>
        <w:gridCol w:w="7920"/>
      </w:tblGrid>
      <w:tr>
        <w:tc>
          <w:tcPr/>
          <w:bookmarkStart w:id="338" w:name="fig-mobilitaetsbilanzgrenze"/>
          <w:p>
            <w:pPr>
              <w:pStyle w:val="Compact"/>
              <w:jc w:val="center"/>
            </w:pPr>
            <w:r>
              <w:drawing>
                <wp:inline>
                  <wp:extent cx="4800600" cy="2698580"/>
                  <wp:effectExtent b="0" l="0" r="0" t="0"/>
                  <wp:docPr descr="" title="" id="336" name="Picture"/>
                  <a:graphic>
                    <a:graphicData uri="http://schemas.openxmlformats.org/drawingml/2006/picture">
                      <pic:pic>
                        <pic:nvPicPr>
                          <pic:cNvPr descr="Kapitel/../Abbildungen/bilanz_mobilitaet.svg" id="3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4800600" cy="269858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17.2: Unterscheidung zwischen zugeordnetem Zielverkehr, Mobilitätsbudget und tatsächlichen Ladevorgängen nach Nutzungsarten.</w:t>
            </w:r>
          </w:p>
          <w:bookmarkEnd w:id="338"/>
        </w:tc>
      </w:tr>
    </w:tbl>
    <w:bookmarkEnd w:id="339"/>
    <w:bookmarkStart w:id="347" w:name="X3e02a13543ee4b2bcbdf4fcf2dc95e0238c063a"/>
    <w:p>
      <w:pPr>
        <w:pStyle w:val="Heading2"/>
      </w:pPr>
      <w:r>
        <w:t xml:space="preserve">17.5 Lebenszyklus-Treibhausgasbilanz: Welche Module werden berücksichtigt?</w:t>
      </w:r>
    </w:p>
    <w:p>
      <w:pPr>
        <w:pStyle w:val="FirstParagraph"/>
      </w:pPr>
      <w:r>
        <w:t xml:space="preserve">Die Klimaneutralitätsstufe berücksichtigt neben Betrieb und MIV die definierten Emissionen der baulichen Infrastruktur. Diese umfasst insbesondere Gebäude und zugehörige Anlagen auf dem Grundstück, einschließlich technisch relevanter Anlagen und nicht konditionierter Bauteile. Die folgende Tabelle dokumentiert den in den wissenschaftlichen Arbeiten beschriebenen PEQ-Umfang; sie ist</w:t>
      </w:r>
      <w:r>
        <w:t xml:space="preserve"> </w:t>
      </w:r>
      <w:r>
        <w:rPr>
          <w:b/>
          <w:bCs/>
        </w:rPr>
        <w:t xml:space="preserve">nicht</w:t>
      </w:r>
      <w:r>
        <w:t xml:space="preserve"> </w:t>
      </w:r>
      <w:r>
        <w:t xml:space="preserve">als pauschale Übereinstimmung mit einem anderen Gebäudebilanzierungsstandard zu lesen</w:t>
      </w:r>
      <w:r>
        <w:t xml:space="preserve"> </w:t>
      </w:r>
      <w:r>
        <w:t xml:space="preserve">(Schneider u. a. 2025, Abschn. 2.4 und Tab. 3)</w:t>
      </w:r>
      <w:r>
        <w:t xml:space="preserve">.</w:t>
      </w:r>
    </w:p>
    <w:tbl>
      <w:tblPr>
        <w:tblStyle w:val="Table"/>
        <w:tblW w:type="pct" w:w="5000"/>
        <w:tblLayout w:type="fixed"/>
        <w:tblLook w:firstRow="0" w:lastRow="0" w:firstColumn="0" w:lastColumn="0" w:noHBand="0" w:noVBand="0" w:val="0000"/>
      </w:tblPr>
      <w:tblGrid>
        <w:gridCol w:w="7920"/>
      </w:tblGrid>
      <w:tr>
        <w:tc>
          <w:tcPr/>
          <w:bookmarkStart w:id="340" w:name="tbl-lca-umfang"/>
          <w:p>
            <w:pPr>
              <w:jc w:val="center"/>
            </w:pPr>
            <w:pPr>
              <w:jc w:val="left"/>
              <w:spacing w:before="200"/>
              <w:pStyle w:val="ImageCaption"/>
            </w:pPr>
            <w:r>
              <w:t xml:space="preserve">Tabelle 17.2: Lebenszyklusumfang nach Schneider et al. (2025), Tab. 3, und dem im Bericht dokumentierten Referenzverfahren.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Lebenszyklusmodul oder Prozess</w:t>
                  </w:r>
                </w:p>
              </w:tc>
              <w:tc>
                <w:tcPr/>
                <w:p>
                  <w:pPr>
                    <w:pStyle w:val="Compact"/>
                    <w:jc w:val="center"/>
                  </w:pPr>
                  <w:r>
                    <w:t xml:space="preserve">Behandlung im beschriebenen PEQ-Verfahren</w:t>
                  </w:r>
                </w:p>
              </w:tc>
            </w:tr>
            <w:tr>
              <w:tc>
                <w:tcPr/>
                <w:p>
                  <w:pPr>
                    <w:pStyle w:val="Compact"/>
                    <w:jc w:val="center"/>
                  </w:pPr>
                  <w:r>
                    <w:t xml:space="preserve">A1–A3: Herstellung</w:t>
                  </w:r>
                </w:p>
              </w:tc>
              <w:tc>
                <w:tcPr/>
                <w:p>
                  <w:pPr>
                    <w:pStyle w:val="Compact"/>
                    <w:jc w:val="center"/>
                  </w:pPr>
                  <w:r>
                    <w:t xml:space="preserve">Rohstoffe, Transport zur Herstellung und Produktionsprozesse werden erfasst.</w:t>
                  </w:r>
                </w:p>
              </w:tc>
            </w:tr>
            <w:tr>
              <w:tc>
                <w:tcPr/>
                <w:p>
                  <w:pPr>
                    <w:pStyle w:val="Compact"/>
                    <w:jc w:val="center"/>
                  </w:pPr>
                  <w:r>
                    <w:t xml:space="preserve">A4–A5: Transport und Errichtung</w:t>
                  </w:r>
                </w:p>
              </w:tc>
              <w:tc>
                <w:tcPr/>
                <w:p>
                  <w:pPr>
                    <w:pStyle w:val="Compact"/>
                    <w:jc w:val="center"/>
                  </w:pPr>
                  <w:r>
                    <w:t xml:space="preserve">Erfassung abhängig von praktischer Erhebbarkeit und Datenverfügbarkeit; tatsächlich berücksichtigten Umfang dokumentieren.</w:t>
                  </w:r>
                </w:p>
              </w:tc>
            </w:tr>
            <w:tr>
              <w:tc>
                <w:tcPr/>
                <w:p>
                  <w:pPr>
                    <w:pStyle w:val="Compact"/>
                    <w:jc w:val="center"/>
                  </w:pPr>
                  <w:r>
                    <w:t xml:space="preserve">B1 und B7: Nutzung und Wasser</w:t>
                  </w:r>
                </w:p>
              </w:tc>
              <w:tc>
                <w:tcPr/>
                <w:p>
                  <w:pPr>
                    <w:pStyle w:val="Compact"/>
                    <w:jc w:val="center"/>
                  </w:pPr>
                  <w:r>
                    <w:t xml:space="preserve">Nicht Teil der Kernbilanz.</w:t>
                  </w:r>
                </w:p>
              </w:tc>
            </w:tr>
            <w:tr>
              <w:tc>
                <w:tcPr/>
                <w:p>
                  <w:pPr>
                    <w:pStyle w:val="Compact"/>
                    <w:jc w:val="center"/>
                  </w:pPr>
                  <w:r>
                    <w:t xml:space="preserve">B2–B5: Wartung, Reparatur, Ersatz und Erneuerung</w:t>
                  </w:r>
                </w:p>
              </w:tc>
              <w:tc>
                <w:tcPr/>
                <w:p>
                  <w:pPr>
                    <w:pStyle w:val="Compact"/>
                    <w:jc w:val="center"/>
                  </w:pPr>
                  <w:r>
                    <w:t xml:space="preserve">Berücksichtigt; Ersatzzeitpunkt und Dekarbonisierungsannahmen beeinflussen das kumulierte Ergebnis.</w:t>
                  </w:r>
                </w:p>
              </w:tc>
            </w:tr>
            <w:tr>
              <w:tc>
                <w:tcPr/>
                <w:p>
                  <w:pPr>
                    <w:pStyle w:val="Compact"/>
                    <w:jc w:val="center"/>
                  </w:pPr>
                  <w:r>
                    <w:t xml:space="preserve">B6: Betriebsenergie</w:t>
                  </w:r>
                </w:p>
              </w:tc>
              <w:tc>
                <w:tcPr/>
                <w:p>
                  <w:pPr>
                    <w:pStyle w:val="Compact"/>
                    <w:jc w:val="center"/>
                  </w:pPr>
                  <w:r>
                    <w:t xml:space="preserve">Bewertung der Energieflüsse mit den zeitlich zugeordneten Emissionsfaktoren.</w:t>
                  </w:r>
                </w:p>
              </w:tc>
            </w:tr>
            <w:tr>
              <w:tc>
                <w:tcPr/>
                <w:p>
                  <w:pPr>
                    <w:pStyle w:val="Compact"/>
                    <w:jc w:val="center"/>
                  </w:pPr>
                  <w:r>
                    <w:t xml:space="preserve">B8: Zugeordnete Mobilität</w:t>
                  </w:r>
                </w:p>
              </w:tc>
              <w:tc>
                <w:tcPr/>
                <w:p>
                  <w:pPr>
                    <w:pStyle w:val="Compact"/>
                    <w:jc w:val="center"/>
                  </w:pPr>
                  <w:r>
                    <w:t xml:space="preserve">MIV einschließlich des im Verfahren berücksichtigten Anteils der Fahrzeugherstellung.</w:t>
                  </w:r>
                </w:p>
              </w:tc>
            </w:tr>
            <w:tr>
              <w:tc>
                <w:tcPr/>
                <w:p>
                  <w:pPr>
                    <w:pStyle w:val="Compact"/>
                    <w:jc w:val="center"/>
                  </w:pPr>
                  <w:r>
                    <w:t xml:space="preserve">C1–C4: Lebensende</w:t>
                  </w:r>
                </w:p>
              </w:tc>
              <w:tc>
                <w:tcPr/>
                <w:p>
                  <w:pPr>
                    <w:pStyle w:val="Compact"/>
                    <w:jc w:val="center"/>
                  </w:pPr>
                  <w:r>
                    <w:t xml:space="preserve">Berücksichtigt; für Ereignisse ab 2050 gilt der angenommene Dekarbonisierungspfad.</w:t>
                  </w:r>
                </w:p>
              </w:tc>
            </w:tr>
            <w:tr>
              <w:tc>
                <w:tcPr/>
                <w:p>
                  <w:pPr>
                    <w:pStyle w:val="Compact"/>
                    <w:jc w:val="center"/>
                  </w:pPr>
                  <w:r>
                    <w:t xml:space="preserve">D: Wirkungen außerhalb der Gebäudegrenze</w:t>
                  </w:r>
                </w:p>
              </w:tc>
              <w:tc>
                <w:tcPr/>
                <w:p>
                  <w:pPr>
                    <w:pStyle w:val="Compact"/>
                    <w:jc w:val="center"/>
                  </w:pPr>
                  <w:r>
                    <w:t xml:space="preserve">Wiederverwendung und Verwertung nach der gewählten LCA-Konvention; exportierte Energie als Substitutionswirkung.</w:t>
                  </w:r>
                </w:p>
              </w:tc>
            </w:tr>
            <w:tr>
              <w:tc>
                <w:tcPr/>
                <w:p>
                  <w:pPr>
                    <w:pStyle w:val="Compact"/>
                    <w:jc w:val="center"/>
                  </w:pPr>
                  <w:r>
                    <w:t xml:space="preserve">Öffentliche Infrastruktur außerhalb des Grundstücks</w:t>
                  </w:r>
                </w:p>
              </w:tc>
              <w:tc>
                <w:tcPr/>
                <w:p>
                  <w:pPr>
                    <w:pStyle w:val="Compact"/>
                    <w:jc w:val="center"/>
                  </w:pPr>
                  <w:r>
                    <w:t xml:space="preserve">Nicht Teil der baulichen Kernbilanz; gegebenenfalls separat auszuweisen.</w:t>
                  </w:r>
                </w:p>
              </w:tc>
            </w:tr>
          </w:tbl>
          <w:bookmarkEnd w:id="340"/>
          <w:p/>
        </w:tc>
      </w:tr>
    </w:tbl>
    <w:p>
      <w:pPr>
        <w:pStyle w:val="BodyText"/>
      </w:pPr>
      <w:r>
        <w:t xml:space="preserve">Die Lebenszyklusbilanz verbindet zeitlich auftretende Betriebsemissionen mit den Emissionen aus Errichtung, Instandhaltung und Lebensende. Hinzu kommen die im Verfahren berücksichtigten Gutschriften und Speicherwirkungen.</w:t>
      </w:r>
    </w:p>
    <w:tbl>
      <w:tblPr>
        <w:tblStyle w:val="Table"/>
        <w:tblW w:type="pct" w:w="5000"/>
        <w:tblLayout w:type="fixed"/>
        <w:tblLook w:firstRow="0" w:lastRow="0" w:firstColumn="0" w:lastColumn="0" w:noHBand="0" w:noVBand="0" w:val="0000"/>
      </w:tblPr>
      <w:tblGrid>
        <w:gridCol w:w="7920"/>
      </w:tblGrid>
      <w:tr>
        <w:tc>
          <w:tcPr/>
          <w:bookmarkStart w:id="344" w:name="fig-lebenszyklus-thg"/>
          <w:p>
            <w:pPr>
              <w:pStyle w:val="Compact"/>
              <w:jc w:val="center"/>
            </w:pPr>
            <w:r>
              <w:drawing>
                <wp:inline>
                  <wp:extent cx="5334000" cy="2929116"/>
                  <wp:effectExtent b="0" l="0" r="0" t="0"/>
                  <wp:docPr descr="" title="" id="342" name="Picture"/>
                  <a:graphic>
                    <a:graphicData uri="http://schemas.openxmlformats.org/drawingml/2006/picture">
                      <pic:pic>
                        <pic:nvPicPr>
                          <pic:cNvPr descr="Kapitel/../Abbildungen/bilanz_thg.svg" id="3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1"/>
                              </a:ext>
                            </a:extLst>
                          </a:blip>
                          <a:stretch>
                            <a:fillRect/>
                          </a:stretch>
                        </pic:blipFill>
                        <pic:spPr bwMode="auto">
                          <a:xfrm>
                            <a:off x="0" y="0"/>
                            <a:ext cx="5334000" cy="292911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17.3: Schematische Lebenszyklus-THG-Bilanz von 2025 bis 2075 mit Bauprozessen, Betrieb, Mobilität, Emissionsgutschriften und biogener Kohlenstoffspeicherung.</w:t>
            </w:r>
          </w:p>
          <w:bookmarkEnd w:id="344"/>
        </w:tc>
      </w:tr>
    </w:tbl>
    <w:p>
      <w:pPr>
        <w:pStyle w:val="BodyText"/>
      </w:pPr>
      <w:r>
        <w:t xml:space="preserve">Die zeitliche Abbildung der Emissionen ist relevant:</w:t>
      </w:r>
      <w:r>
        <w:t xml:space="preserve"> </w:t>
      </w:r>
      <w:r>
        <w:rPr>
          <w:b/>
          <w:bCs/>
        </w:rPr>
        <w:t xml:space="preserve">Emissionen einer heute ausgeführten Maßnahme entstehen heute</w:t>
      </w:r>
      <w:r>
        <w:t xml:space="preserve">; sie werden nicht durch die Verteilung auf 50 rechnerische Jahresraten zeitlich verschoben. Spätere Ersatz- und Instandhaltungsmaßnahmen bleiben technisch erforderlich, auch wenn die angenommene Dekarbonisierung ihre modellierte Emissionswirkung reduziert.</w:t>
      </w:r>
    </w:p>
    <w:bookmarkStart w:id="345" w:name="Xa24c8817aaea6b80bc5e768c66c93185097089e"/>
    <w:p>
      <w:pPr>
        <w:pStyle w:val="Heading3"/>
      </w:pPr>
      <w:r>
        <w:t xml:space="preserve">17.5.1 Photovoltaik, Eigenverbrauch und Netzeinspeisung</w:t>
      </w:r>
    </w:p>
    <w:p>
      <w:pPr>
        <w:pStyle w:val="FirstParagraph"/>
      </w:pPr>
      <w:r>
        <w:t xml:space="preserve">Lokal erzeugter PV-Strom kann direkt verwendet, gespeichert oder – soweit technisch möglich – in das öffentliche Netz abgegeben werden. Ein direkter PV-Verbrauch vermeidet Netzbezug; exportierter Strom wird im beschriebenen Referenzverfahren als Substitution von Netzstrom bewertet. Für Bezug und Export gelten zum jeweiligen Zeitpunkt dieselben operativen Bewertungsfaktoren. Der konkrete Effekt hängt daher auch von zeitlicher Verfügbarkeit, Verlusten und realisierbarer Einspeisung ab</w:t>
      </w:r>
      <w:r>
        <w:t xml:space="preserve"> </w:t>
      </w:r>
      <w:r>
        <w:t xml:space="preserve">(Schneider u. a. 2025, Abschn. 2.4.1)</w:t>
      </w:r>
      <w:r>
        <w:t xml:space="preserve">.</w:t>
      </w:r>
    </w:p>
    <w:p>
      <w:pPr>
        <w:pStyle w:val="BodyText"/>
      </w:pPr>
      <w:r>
        <w:t xml:space="preserve">Die</w:t>
      </w:r>
      <w:r>
        <w:t xml:space="preserve"> </w:t>
      </w:r>
      <w:r>
        <w:rPr>
          <w:b/>
          <w:bCs/>
        </w:rPr>
        <w:t xml:space="preserve">Errichtungsemissionen der PV-Anlage</w:t>
      </w:r>
      <w:r>
        <w:t xml:space="preserve"> </w:t>
      </w:r>
      <w:r>
        <w:t xml:space="preserve">werden im publizierten Referenzansatz dem nationalen Energieversorgungssektor und nicht der Quartiers-THG-Bilanz zugeordnet. Das ist eine bewusste sektorale Bilanzgrenze und kann von einer gebäudebezogenen Ökobilanz abweichen. Ein Vergleich mit einer Bilanz nach EN 15978 muss deshalb unter anderem Bauteilumfang, Lebenszyklusmodule und den Umgang mit exportierter Energie abgleichen</w:t>
      </w:r>
      <w:r>
        <w:t xml:space="preserve"> </w:t>
      </w:r>
      <w:r>
        <w:t xml:space="preserve">(CEN-CENELEC 2026)</w:t>
      </w:r>
      <w:r>
        <w:t xml:space="preserve">. Eine alternative Einbeziehung der PV-Errichtung in die Quartiersbilanz würde gleichzeitig eine konsistente Anpassung der Budgetzuordnung erfordern (</w:t>
      </w:r>
      <w:hyperlink w:anchor="sec-fortschreibung">
        <w:r>
          <w:rPr>
            <w:rStyle w:val="Hyperlink"/>
          </w:rPr>
          <w:t xml:space="preserve">Kapitel 19</w:t>
        </w:r>
      </w:hyperlink>
      <w:r>
        <w:t xml:space="preserve">).</w:t>
      </w:r>
    </w:p>
    <w:bookmarkEnd w:id="345"/>
    <w:bookmarkStart w:id="346" w:name="biogener-kohlenstoff"/>
    <w:p>
      <w:pPr>
        <w:pStyle w:val="Heading3"/>
      </w:pPr>
      <w:r>
        <w:t xml:space="preserve">17.5.2 Biogener Kohlenstoff</w:t>
      </w:r>
    </w:p>
    <w:p>
      <w:pPr>
        <w:pStyle w:val="FirstParagraph"/>
      </w:pPr>
      <w:r>
        <w:t xml:space="preserve">Baustoffe aus nachwachsenden Rohstoffen können Kohlenstoff während ihrer Nutzungsdauer speichern. Diese Speicherwirkung muss von Herstellungs- und End-of-Life-Emissionen getrennt betrachtet werden. Das dokumentierte vereinfachte Verfahren rechnet den biogenen CO₂-Gehalt materialabhängig an:</w:t>
      </w:r>
      <w:r>
        <w:t xml:space="preserve"> </w:t>
      </w:r>
      <w:r>
        <w:rPr>
          <w:b/>
          <w:bCs/>
        </w:rPr>
        <w:t xml:space="preserve">100 %</w:t>
      </w:r>
      <w:r>
        <w:t xml:space="preserve"> </w:t>
      </w:r>
      <w:r>
        <w:t xml:space="preserve">bei schnell nachwachsenden pflanzlichen Materialien,</w:t>
      </w:r>
      <w:r>
        <w:t xml:space="preserve"> </w:t>
      </w:r>
      <w:r>
        <w:rPr>
          <w:b/>
          <w:bCs/>
        </w:rPr>
        <w:t xml:space="preserve">55 %</w:t>
      </w:r>
      <w:r>
        <w:t xml:space="preserve"> </w:t>
      </w:r>
      <w:r>
        <w:t xml:space="preserve">bei Holz aus üblich bewirtschafteten Wäldern und</w:t>
      </w:r>
      <w:r>
        <w:t xml:space="preserve"> </w:t>
      </w:r>
      <w:r>
        <w:rPr>
          <w:b/>
          <w:bCs/>
        </w:rPr>
        <w:t xml:space="preserve">100 %</w:t>
      </w:r>
      <w:r>
        <w:t xml:space="preserve"> </w:t>
      </w:r>
      <w:r>
        <w:t xml:space="preserve">bei nachgewiesenem Kalamitätsholz. Verbundmaterialien werden massengewichtet behandelt</w:t>
      </w:r>
      <w:r>
        <w:t xml:space="preserve"> </w:t>
      </w:r>
      <w:r>
        <w:t xml:space="preserve">(Schneider u. a. 2025, Abschn. 2.5.2)</w:t>
      </w:r>
      <w:r>
        <w:t xml:space="preserve">.</w:t>
      </w:r>
    </w:p>
    <w:p>
      <w:pPr>
        <w:pStyle w:val="BodyText"/>
      </w:pPr>
      <w:r>
        <w:t xml:space="preserve">Die gleiche Speicherwirkung darf nicht doppelt angesetzt werden, etwa wenn sie bereits in einem übernommenen LCA-Datensatz enthalten ist. Eine dynamische Bewertung von Speicherung, Nachwachsen und späterer Freisetzung wäre methodisch differenzierter, benötigt aber eine zum Budget konsistente Bewertung und ist nicht ohne Weiteres mit dem statischen GWP100-Kennwert vergleichbar</w:t>
      </w:r>
      <w:r>
        <w:t xml:space="preserve"> </w:t>
      </w:r>
      <w:r>
        <w:t xml:space="preserve">(Schneider u. a. 2025, Abschn. 2.5.1)</w:t>
      </w:r>
      <w:r>
        <w:t xml:space="preserve">.</w:t>
      </w:r>
    </w:p>
    <w:bookmarkEnd w:id="346"/>
    <w:bookmarkEnd w:id="347"/>
    <w:bookmarkStart w:id="354" w:name="Xbbe9be562f0b5f2c42d6bc47fa93e7da9ebc3dd"/>
    <w:p>
      <w:pPr>
        <w:pStyle w:val="Heading2"/>
      </w:pPr>
      <w:r>
        <w:t xml:space="preserve">17.6 Zeitliche Bilanzierung und Emissionsentwicklung</w:t>
      </w:r>
    </w:p>
    <w:bookmarkStart w:id="352" w:name="X88e463fc66b474fb9795e14706e11601f84ad27"/>
    <w:p>
      <w:pPr>
        <w:pStyle w:val="Heading3"/>
      </w:pPr>
      <w:r>
        <w:t xml:space="preserve">17.6.1 Stündliche Energiesimulation, monatliche Bewertungsfaktoren</w:t>
      </w:r>
    </w:p>
    <w:p>
      <w:pPr>
        <w:pStyle w:val="FirstParagraph"/>
      </w:pPr>
      <w:r>
        <w:t xml:space="preserve">Die Betriebsenergie wird über ein vollständiges Jahr</w:t>
      </w:r>
      <w:r>
        <w:t xml:space="preserve"> </w:t>
      </w:r>
      <w:r>
        <w:rPr>
          <w:b/>
          <w:bCs/>
        </w:rPr>
        <w:t xml:space="preserve">stündlich</w:t>
      </w:r>
      <w:r>
        <w:t xml:space="preserve"> </w:t>
      </w:r>
      <w:r>
        <w:t xml:space="preserve">berechnet. Damit werden die zeitliche Überlagerung von Bedarf und erneuerbarer Erzeugung sowie der Betrieb von Wärmepumpen, Speichern und flexiblen Verbrauchern berücksichtigt. Im hier dokumentierten Referenzverfahren werden die stündlichen Stromflüsse anschließend mit</w:t>
      </w:r>
      <w:r>
        <w:t xml:space="preserve"> </w:t>
      </w:r>
      <w:r>
        <w:rPr>
          <w:b/>
          <w:bCs/>
        </w:rPr>
        <w:t xml:space="preserve">monatlichen Primärenergie- und THG-Faktoren</w:t>
      </w:r>
      <w:r>
        <w:t xml:space="preserve"> </w:t>
      </w:r>
      <w:r>
        <w:t xml:space="preserve">bewertet</w:t>
      </w:r>
      <w:r>
        <w:t xml:space="preserve"> </w:t>
      </w:r>
      <w:r>
        <w:t xml:space="preserve">(Schneider 2026, Abschn. 3.2.3–3.2.4; Schneider u. a. 2025, Abschn. 2.6)</w:t>
      </w:r>
      <w:r>
        <w:t xml:space="preserve">.</w:t>
      </w:r>
    </w:p>
    <w:p>
      <w:pPr>
        <w:pStyle w:val="BodyText"/>
      </w:pPr>
      <w:r>
        <w:t xml:space="preserve">Die langfristigen THG-Absenkpfade und ihre Rolle im kumulierten Budget erläutert</w:t>
      </w:r>
      <w:r>
        <w:t xml:space="preserve"> </w:t>
      </w:r>
      <w:hyperlink w:anchor="sec-thg-pfade">
        <w:r>
          <w:rPr>
            <w:rStyle w:val="Hyperlink"/>
          </w:rPr>
          <w:t xml:space="preserve">Kapitel 16.4</w:t>
        </w:r>
      </w:hyperlink>
      <w:r>
        <w:t xml:space="preserve">. Die Unterscheidung von Endenergie, Primärenergie und THG-Gewichtung steht in</w:t>
      </w:r>
      <w:r>
        <w:t xml:space="preserve"> </w:t>
      </w:r>
      <w:hyperlink w:anchor="sec-energie-bewertung">
        <w:r>
          <w:rPr>
            <w:rStyle w:val="Hyperlink"/>
          </w:rPr>
          <w:t xml:space="preserve">Kapitel 17.3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1" w:name="fig-konversionsfaktoren"/>
          <w:p>
            <w:pPr>
              <w:pStyle w:val="Compact"/>
              <w:jc w:val="center"/>
            </w:pPr>
            <w:r>
              <w:drawing>
                <wp:inline>
                  <wp:extent cx="4800600" cy="3109000"/>
                  <wp:effectExtent b="0" l="0" r="0" t="0"/>
                  <wp:docPr descr="" title="" id="349" name="Picture"/>
                  <a:graphic>
                    <a:graphicData uri="http://schemas.openxmlformats.org/drawingml/2006/picture">
                      <pic:pic>
                        <pic:nvPicPr>
                          <pic:cNvPr descr="Kapitel/../Abbildungen/konversionsfaktoren_schema.png" id="350" name="Picture"/>
                          <pic:cNvPicPr>
                            <a:picLocks noChangeArrowheads="1" noChangeAspect="1"/>
                          </pic:cNvPicPr>
                        </pic:nvPicPr>
                        <pic:blipFill>
                          <a:blip r:embed="rId348"/>
                          <a:stretch>
                            <a:fillRect/>
                          </a:stretch>
                        </pic:blipFill>
                        <pic:spPr bwMode="auto">
                          <a:xfrm>
                            <a:off x="0" y="0"/>
                            <a:ext cx="4800600" cy="31090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17.4: Abbildung – Stundenflüsse und monatliche Bewertung.</w:t>
            </w:r>
          </w:p>
          <w:bookmarkEnd w:id="351"/>
        </w:tc>
      </w:tr>
    </w:tbl>
    <w:bookmarkEnd w:id="352"/>
    <w:bookmarkStart w:id="353" w:name="X1df1e99153eb7a1157158a6b68f69d6ccc1d3be"/>
    <w:p>
      <w:pPr>
        <w:pStyle w:val="Heading3"/>
      </w:pPr>
      <w:r>
        <w:t xml:space="preserve">17.6.2 Bewertungszeitraum der Treibhausgasbilanz</w:t>
      </w:r>
    </w:p>
    <w:p>
      <w:pPr>
        <w:pStyle w:val="FirstParagraph"/>
      </w:pPr>
      <w:r>
        <w:t xml:space="preserve">Die Lebenszyklus-THG-Bilanz betrachtet den Zeitraum</w:t>
      </w:r>
      <w:r>
        <w:t xml:space="preserve"> </w:t>
      </w:r>
      <w:r>
        <w:rPr>
          <w:b/>
          <w:bCs/>
        </w:rPr>
        <w:t xml:space="preserve">2025–2075 (50 Jahre)</w:t>
      </w:r>
      <w:r>
        <w:t xml:space="preserve">. Emissionen aus Errichtung, späteren Maßnahmen, Gebäudebetrieb und Mobilität werden innerhalb dieses Zeitraums kumuliert. Die Emissionsfaktoren folgen im Referenzverfahren energieträger- und prozessbezogenen Entwicklungspfaden. Die angenommene vollständige Dekarbonisierung der betrachteten Versorgung und Prozesse</w:t>
      </w:r>
      <w:r>
        <w:t xml:space="preserve"> </w:t>
      </w:r>
      <w:r>
        <w:rPr>
          <w:b/>
          <w:bCs/>
        </w:rPr>
        <w:t xml:space="preserve">ab 2050</w:t>
      </w:r>
      <w:r>
        <w:t xml:space="preserve"> </w:t>
      </w:r>
      <w:r>
        <w:t xml:space="preserve">ist eine Szenarioannahme und kein Nachweis einer bereits tatsächlich emissionsfreien Versorgung</w:t>
      </w:r>
      <w:r>
        <w:t xml:space="preserve"> </w:t>
      </w:r>
      <w:r>
        <w:t xml:space="preserve">(Schneider u. a. 2025, Abschn. 2.4; Schneider 2026, Abschn. 3.2.8)</w:t>
      </w:r>
      <w:r>
        <w:t xml:space="preserve">.</w:t>
      </w:r>
    </w:p>
    <w:bookmarkEnd w:id="353"/>
    <w:bookmarkEnd w:id="354"/>
    <w:bookmarkStart w:id="355" w:name="konsequenzen-für-die-nachweisführung"/>
    <w:p>
      <w:pPr>
        <w:pStyle w:val="Heading2"/>
      </w:pPr>
      <w:r>
        <w:t xml:space="preserve">17.7 Konsequenzen für die Nachweisführung</w:t>
      </w:r>
    </w:p>
    <w:p>
      <w:pPr>
        <w:pStyle w:val="FirstParagraph"/>
      </w:pPr>
      <w:r>
        <w:t xml:space="preserve">Ein nachvollziehbarer Quartiersnachweis dokumentiert die</w:t>
      </w:r>
      <w:r>
        <w:t xml:space="preserve"> </w:t>
      </w:r>
      <w:r>
        <w:rPr>
          <w:b/>
          <w:bCs/>
        </w:rPr>
        <w:t xml:space="preserve">Quartiersgrenze</w:t>
      </w:r>
      <w:r>
        <w:t xml:space="preserve">, die</w:t>
      </w:r>
      <w:r>
        <w:t xml:space="preserve"> </w:t>
      </w:r>
      <w:r>
        <w:rPr>
          <w:b/>
          <w:bCs/>
        </w:rPr>
        <w:t xml:space="preserve">Bezugsflächen</w:t>
      </w:r>
      <w:r>
        <w:t xml:space="preserve">, die</w:t>
      </w:r>
      <w:r>
        <w:t xml:space="preserve"> </w:t>
      </w:r>
      <w:r>
        <w:rPr>
          <w:b/>
          <w:bCs/>
        </w:rPr>
        <w:t xml:space="preserve">Nutzungen</w:t>
      </w:r>
      <w:r>
        <w:t xml:space="preserve">, die</w:t>
      </w:r>
      <w:r>
        <w:t xml:space="preserve"> </w:t>
      </w:r>
      <w:r>
        <w:rPr>
          <w:b/>
          <w:bCs/>
        </w:rPr>
        <w:t xml:space="preserve">zugeordneten Energie- und Mobilitätsflüsse</w:t>
      </w:r>
      <w:r>
        <w:t xml:space="preserve">, die</w:t>
      </w:r>
      <w:r>
        <w:t xml:space="preserve"> </w:t>
      </w:r>
      <w:r>
        <w:rPr>
          <w:b/>
          <w:bCs/>
        </w:rPr>
        <w:t xml:space="preserve">Lebenszyklusmodule</w:t>
      </w:r>
      <w:r>
        <w:t xml:space="preserve"> </w:t>
      </w:r>
      <w:r>
        <w:t xml:space="preserve">sowie die verwendeten</w:t>
      </w:r>
      <w:r>
        <w:t xml:space="preserve"> </w:t>
      </w:r>
      <w:r>
        <w:rPr>
          <w:b/>
          <w:bCs/>
        </w:rPr>
        <w:t xml:space="preserve">Zeitreihen, Bewertungsfaktoren und Methodenstände</w:t>
      </w:r>
      <w:r>
        <w:t xml:space="preserve">. Neben dem Ergebnis nach Kontextkorrektur sollte die physische beziehungsweise bewertete Bilanz</w:t>
      </w:r>
      <w:r>
        <w:t xml:space="preserve"> </w:t>
      </w:r>
      <w:r>
        <w:rPr>
          <w:b/>
          <w:bCs/>
        </w:rPr>
        <w:t xml:space="preserve">vor</w:t>
      </w:r>
      <w:r>
        <w:t xml:space="preserve"> </w:t>
      </w:r>
      <w:r>
        <w:t xml:space="preserve">Kontextfaktoren getrennt ausgewiesen werden.</w:t>
      </w:r>
    </w:p>
    <w:p>
      <w:pPr>
        <w:pStyle w:val="BodyText"/>
      </w:pPr>
      <w:r>
        <w:t xml:space="preserve">Die hier festgelegten Grenzen sind Teil des Bewertungsmaßstabs. Sie ersetzen keine vertiefende bauphysikalische, anlagentechnische oder gebäudebezogene Ökobilanz. Wie die Ergebnisse in Planung und Deklaration zu verwenden sind, wird in</w:t>
      </w:r>
      <w:r>
        <w:t xml:space="preserve"> </w:t>
      </w:r>
      <w:hyperlink w:anchor="sec-anwendung">
        <w:r>
          <w:rPr>
            <w:rStyle w:val="Hyperlink"/>
          </w:rPr>
          <w:t xml:space="preserve">Kapitel 8</w:t>
        </w:r>
      </w:hyperlink>
      <w:r>
        <w:t xml:space="preserve"> </w:t>
      </w:r>
      <w:r>
        <w:t xml:space="preserve">beschrieben.</w:t>
      </w:r>
    </w:p>
    <w:bookmarkEnd w:id="355"/>
    <w:bookmarkEnd w:id="356"/>
    <w:bookmarkStart w:id="367" w:name="sec-ergebnisse"/>
    <w:p>
      <w:pPr>
        <w:pStyle w:val="Heading1"/>
      </w:pPr>
      <w:r>
        <w:t xml:space="preserve">18. Aussagekraft der Ergebnisse</w:t>
      </w:r>
    </w:p>
    <w:p>
      <w:pPr>
        <w:pStyle w:val="FirstParagraph"/>
      </w:pPr>
      <w:r>
        <w:t xml:space="preserve">Von der Zielerreichung zur nachvollziehbaren Planungsentscheidung</w:t>
      </w:r>
    </w:p>
    <w:p>
      <w:pPr>
        <w:pStyle w:val="BodyText"/>
      </w:pPr>
      <w:r>
        <w:t xml:space="preserve">Die erreichte Qualitätsstufe fasst die Bewertung zusammen. Für die Planung ist ebenso wichtig,</w:t>
      </w:r>
      <w:r>
        <w:t xml:space="preserve"> </w:t>
      </w:r>
      <w:r>
        <w:rPr>
          <w:b/>
          <w:bCs/>
        </w:rPr>
        <w:t xml:space="preserve">welche realen Energie- und Emissionsflüsse, Kontextfaktoren und Annahmen</w:t>
      </w:r>
      <w:r>
        <w:t xml:space="preserve"> </w:t>
      </w:r>
      <w:r>
        <w:t xml:space="preserve">dahinterstehen. Eine nachvollziehbare Ergebnisdarstellung zeigt deshalb die einzelnen Beiträge und nicht nur „bestanden“ oder „nicht bestanden“.</w:t>
      </w:r>
    </w:p>
    <w:bookmarkStart w:id="361" w:name="primärenergiebilanz"/>
    <w:p>
      <w:pPr>
        <w:pStyle w:val="Heading2"/>
      </w:pPr>
      <w:r>
        <w:t xml:space="preserve">18.1 Primärenergiebilanz</w:t>
      </w:r>
    </w:p>
    <w:p>
      <w:pPr>
        <w:pStyle w:val="FirstParagraph"/>
      </w:pPr>
      <w:r>
        <w:t xml:space="preserve">Der berechnete Energiebedarf, die lokale Erzeugung sowie Bezug und Export über die Quartiersgrenze sind</w:t>
      </w:r>
      <w:r>
        <w:t xml:space="preserve"> </w:t>
      </w:r>
      <w:r>
        <w:rPr>
          <w:b/>
          <w:bCs/>
        </w:rPr>
        <w:t xml:space="preserve">physische Größen</w:t>
      </w:r>
      <w:r>
        <w:t xml:space="preserve">. Erst die Gewichtung ergibt den Primärenergiesaldo. Dichte-, Mobilitäts- und Sanierungskontext verändern den Bewertungsmaßstab, nicht den realen Energiefluss. Die zugrunde liegenden Regeln erläutern</w:t>
      </w:r>
      <w:r>
        <w:t xml:space="preserve"> </w:t>
      </w:r>
      <w:hyperlink w:anchor="sec-bilanzregeln">
        <w:r>
          <w:rPr>
            <w:rStyle w:val="Hyperlink"/>
          </w:rPr>
          <w:t xml:space="preserve">Kapitel 17</w:t>
        </w:r>
      </w:hyperlink>
      <w:r>
        <w:t xml:space="preserve"> </w:t>
      </w:r>
      <w:r>
        <w:t xml:space="preserve">und</w:t>
      </w:r>
      <w:r>
        <w:t xml:space="preserve"> </w:t>
      </w:r>
      <w:hyperlink w:anchor="sec-kontext">
        <w:r>
          <w:rPr>
            <w:rStyle w:val="Hyperlink"/>
          </w:rPr>
          <w:t xml:space="preserve">Kapitel 9.2</w:t>
        </w:r>
      </w:hyperlink>
      <w:r>
        <w:t xml:space="preserve">.</w:t>
      </w:r>
    </w:p>
    <w:p>
      <w:pPr>
        <w:pStyle w:val="BodyText"/>
      </w:pPr>
      <w:r>
        <w:t xml:space="preserve">Eine positive Bewertungsbilanz ist nicht gleichbedeutend mit Autarkie oder einem physischen Nettoexport. Für aussagekräftige Vergleiche sind Rohsaldo und jede Kontextkorrektur getrennt auszuweisen.</w:t>
      </w:r>
    </w:p>
    <w:p>
      <w:pPr>
        <w:pStyle w:val="BodyText"/>
      </w:pPr>
      <w:r>
        <w:t xml:space="preserve">Die Ergebnisdarstellung stellt Energiebedarf und Energieaufbringung gegenüber und weist die Kontextkomponenten gesondert aus. Die Erweiterung um Mobilität verändert sowohl die bilanzierten Bedarfe als auch die zugerechneten Budgets.</w:t>
      </w:r>
    </w:p>
    <w:tbl>
      <w:tblPr>
        <w:tblStyle w:val="Table"/>
        <w:tblW w:type="pct" w:w="5000"/>
        <w:tblLayout w:type="fixed"/>
        <w:tblLook w:firstRow="0" w:lastRow="0" w:firstColumn="0" w:lastColumn="0" w:noHBand="0" w:noVBand="0" w:val="0000"/>
      </w:tblPr>
      <w:tblGrid>
        <w:gridCol w:w="7920"/>
      </w:tblGrid>
      <w:tr>
        <w:tc>
          <w:tcPr/>
          <w:bookmarkStart w:id="360" w:name="fig-energiebilanz-erklaert"/>
          <w:p>
            <w:pPr>
              <w:pStyle w:val="Compact"/>
              <w:jc w:val="center"/>
            </w:pPr>
            <w:r>
              <w:drawing>
                <wp:inline>
                  <wp:extent cx="5067300" cy="4168594"/>
                  <wp:effectExtent b="0" l="0" r="0" t="0"/>
                  <wp:docPr descr="" title="" id="358" name="Picture"/>
                  <a:graphic>
                    <a:graphicData uri="http://schemas.openxmlformats.org/drawingml/2006/picture">
                      <pic:pic>
                        <pic:nvPicPr>
                          <pic:cNvPr descr="Kapitel/../Abbildungen/energiebilanz_erklaert.svg" id="3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5067300" cy="4168594"/>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18.1: Exemplarische Primärenergiebilanzen eines Plus-Energie-Quartiers mit und ohne Berücksichtigung der Mobilität.</w:t>
            </w:r>
          </w:p>
          <w:bookmarkEnd w:id="360"/>
        </w:tc>
      </w:tr>
    </w:tbl>
    <w:bookmarkEnd w:id="361"/>
    <w:bookmarkStart w:id="366" w:name="X1cedf787fe0c6c71979a73f65ca0d5a1d332b1f"/>
    <w:p>
      <w:pPr>
        <w:pStyle w:val="Heading2"/>
      </w:pPr>
      <w:r>
        <w:t xml:space="preserve">18.2 Treibhausgasbudget und zeitlicher Verlauf</w:t>
      </w:r>
    </w:p>
    <w:p>
      <w:pPr>
        <w:pStyle w:val="FirstParagraph"/>
      </w:pPr>
      <w:r>
        <w:t xml:space="preserve">Die THG-Bewertung der dritten Qualitätsstufe umfasst die im Standard festgelegten baulichen, betrieblichen und mobilitätsbezogenen Emissionen. Die kumulierte Bilanz wird dem zugeteilten Budget gegenübergestellt.</w:t>
      </w:r>
      <w:r>
        <w:t xml:space="preserve"> </w:t>
      </w:r>
      <w:r>
        <w:rPr>
          <w:b/>
          <w:bCs/>
        </w:rPr>
        <w:t xml:space="preserve">Zeitpunkt und Art der Emissionen</w:t>
      </w:r>
      <w:r>
        <w:t xml:space="preserve"> </w:t>
      </w:r>
      <w:r>
        <w:t xml:space="preserve">sind für die Interpretation wesentlich: Herstellungsemissionen entstehen bei der baulichen Maßnahme, während Betriebsemissionen über die Jahre anfallen.</w:t>
      </w:r>
    </w:p>
    <w:p>
      <w:pPr>
        <w:pStyle w:val="BodyText"/>
      </w:pPr>
      <w:r>
        <w:t xml:space="preserve">Das für den dokumentierten Methodenstand verwendete Referenzbudget und seine Annahmen werden in</w:t>
      </w:r>
      <w:r>
        <w:t xml:space="preserve"> </w:t>
      </w:r>
      <w:hyperlink w:anchor="sec-zielwert-thg">
        <w:r>
          <w:rPr>
            <w:rStyle w:val="Hyperlink"/>
          </w:rPr>
          <w:t xml:space="preserve">Kapitel 16</w:t>
        </w:r>
      </w:hyperlink>
      <w:r>
        <w:t xml:space="preserve"> </w:t>
      </w:r>
      <w:r>
        <w:t xml:space="preserve">erläutert; die Systemgrenzen stehen in</w:t>
      </w:r>
      <w:r>
        <w:t xml:space="preserve"> </w:t>
      </w:r>
      <w:hyperlink w:anchor="sec-bilanzregeln">
        <w:r>
          <w:rPr>
            <w:rStyle w:val="Hyperlink"/>
          </w:rPr>
          <w:t xml:space="preserve">Kapitel 17</w:t>
        </w:r>
      </w:hyperlink>
      <w:r>
        <w:t xml:space="preserve">.</w:t>
      </w:r>
    </w:p>
    <w:p>
      <w:pPr>
        <w:pStyle w:val="BodyText"/>
      </w:pPr>
      <w:r>
        <w:t xml:space="preserve">Die kumulierte THG-Bilanz setzt sich aus den einzelnen baulichen, betrieblichen und mobilitätsbezogenen Emissionsbeiträgen zusammen. Die Gegenüberstellung mit dem Budget zeigt den verbleibenden Spielraum beziehungsweise eine Überschreitung.</w:t>
      </w:r>
    </w:p>
    <w:tbl>
      <w:tblPr>
        <w:tblStyle w:val="Table"/>
        <w:tblW w:type="pct" w:w="5000"/>
        <w:tblLayout w:type="fixed"/>
        <w:tblLook w:firstRow="0" w:lastRow="0" w:firstColumn="0" w:lastColumn="0" w:noHBand="0" w:noVBand="0" w:val="0000"/>
      </w:tblPr>
      <w:tblGrid>
        <w:gridCol w:w="7920"/>
      </w:tblGrid>
      <w:tr>
        <w:tc>
          <w:tcPr/>
          <w:bookmarkStart w:id="365" w:name="fig-emissionsbilanz-erklaert"/>
          <w:p>
            <w:pPr>
              <w:pStyle w:val="Compact"/>
              <w:jc w:val="center"/>
            </w:pPr>
            <w:r>
              <w:drawing>
                <wp:inline>
                  <wp:extent cx="5067300" cy="3373172"/>
                  <wp:effectExtent b="0" l="0" r="0" t="0"/>
                  <wp:docPr descr="" title="" id="363" name="Picture"/>
                  <a:graphic>
                    <a:graphicData uri="http://schemas.openxmlformats.org/drawingml/2006/picture">
                      <pic:pic>
                        <pic:nvPicPr>
                          <pic:cNvPr descr="Kapitel/../Abbildungen/emissionsbilanz_erklaert.svg" id="3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5067300" cy="337317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18.2: Beispielhafte Zusammensetzung der kumulierten Lebenszyklus-Treibhausgasbilanz und Vergleich mit dem Budget von 320 kg CO₂e/m² BGF.</w:t>
            </w:r>
          </w:p>
          <w:bookmarkEnd w:id="365"/>
        </w:tc>
      </w:tr>
    </w:tbl>
    <w:bookmarkEnd w:id="366"/>
    <w:bookmarkEnd w:id="367"/>
    <w:bookmarkStart w:id="380" w:name="sec-fortschreibung"/>
    <w:p>
      <w:pPr>
        <w:pStyle w:val="Heading1"/>
      </w:pPr>
      <w:r>
        <w:t xml:space="preserve">19. Methodenstand und Fortschreibung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68" name="Picture"/>
                  <a:graphic>
                    <a:graphicData uri="http://schemas.openxmlformats.org/drawingml/2006/picture">
                      <pic:pic>
                        <pic:nvPicPr>
                          <pic:cNvPr descr="C:\Users\schneids\AppData\Local\Programs\Quarto\share\formats\docx\note.png" id="36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Arbeitsfassung vom 19. Oktober 2026</w:t>
            </w:r>
          </w:p>
        </w:tc>
      </w:tr>
    </w:tbl>
    <w:p>
      <w:pPr>
        <w:pStyle w:val="BodyText"/>
      </w:pPr>
      <w:r>
        <w:t xml:space="preserve">Einflussgrößen, Geltungsbereich und Regeln für die Fortschreibung</w:t>
      </w:r>
    </w:p>
    <w:p>
      <w:pPr>
        <w:pStyle w:val="BodyText"/>
      </w:pPr>
      <w:r>
        <w:t xml:space="preserve">Der PEQ-Ansatz verbindet einen nationalen Bewertungsmaßstab mit dem konkreten Quartierskonzept. Seine Aussagekraft hängt davon ab, dass beide Seiten zusammenpassen: Das Budget muss zu den bilanzierten Emissionen gehören, die Energieanforderung zum angenommenen Versorgungssystem und die Simulation zum umsetzbaren Projekt. Eine Fortschreibung überprüft deshalb Daten, Annahmen und Verteilungsregeln gemeinsam.</w:t>
      </w:r>
    </w:p>
    <w:bookmarkStart w:id="370" w:name="was-ein-positives-ergebnis-aussagt"/>
    <w:p>
      <w:pPr>
        <w:pStyle w:val="Heading2"/>
      </w:pPr>
      <w:r>
        <w:t xml:space="preserve">19.1 Was ein positives Ergebnis aussagt</w:t>
      </w:r>
    </w:p>
    <w:p>
      <w:pPr>
        <w:pStyle w:val="FirstParagraph"/>
      </w:pPr>
      <w:r>
        <w:t xml:space="preserve">Eine positive Primärenergiebilanz zeigt, dass das Quartier unter den festgelegten Faktoren und Kontextregeln die energetische Anforderung erfüllt. Die Klimaneutralitätsstufe verlangt zusätzlich die Einhaltung des kumulierten THG-Budgets. Der Referenzwert von 320 kg CO₂e/m² BGF setzt die L3-Senkenannahme und die beschriebenen Systemgrenzen voraus. Er bedeutet weder Emissionsfreiheit am Standort noch einen vom Projekt erbrachten Nachweis der national angenommenen Senkenleistung.</w:t>
      </w:r>
    </w:p>
    <w:bookmarkEnd w:id="370"/>
    <w:bookmarkStart w:id="372" w:name="drei-arten-von-änderungen"/>
    <w:p>
      <w:pPr>
        <w:pStyle w:val="Heading2"/>
      </w:pPr>
      <w:r>
        <w:t xml:space="preserve">19.2 Drei Arten von Änderungen</w:t>
      </w:r>
    </w:p>
    <w:p>
      <w:pPr>
        <w:pStyle w:val="FirstParagraph"/>
      </w:pPr>
      <w:r>
        <w:t xml:space="preserve">Für einen nachvollziehbaren Methodenstand sind drei Ebenen zu unterscheiden:</w:t>
      </w:r>
    </w:p>
    <w:tbl>
      <w:tblPr>
        <w:tblStyle w:val="Table"/>
        <w:tblW w:type="pct" w:w="5000"/>
        <w:tblLayout w:type="fixed"/>
        <w:tblLook w:firstRow="0" w:lastRow="0" w:firstColumn="0" w:lastColumn="0" w:noHBand="0" w:noVBand="0" w:val="0000"/>
      </w:tblPr>
      <w:tblGrid>
        <w:gridCol w:w="7920"/>
      </w:tblGrid>
      <w:tr>
        <w:tc>
          <w:tcPr/>
          <w:bookmarkStart w:id="371" w:name="tbl-fortschreibung"/>
          <w:p>
            <w:pPr>
              <w:jc w:val="center"/>
            </w:pPr>
            <w:pPr>
              <w:jc w:val="left"/>
              <w:spacing w:before="200"/>
              <w:pStyle w:val="ImageCaption"/>
            </w:pPr>
            <w:r>
              <w:t xml:space="preserve">Tabelle 19.1: Ebenen der Fortschreibung.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Ebene</w:t>
                  </w:r>
                </w:p>
              </w:tc>
              <w:tc>
                <w:tcPr/>
                <w:p>
                  <w:pPr>
                    <w:pStyle w:val="Compact"/>
                    <w:jc w:val="center"/>
                  </w:pPr>
                  <w:r>
                    <w:t xml:space="preserve">Beispiel</w:t>
                  </w:r>
                </w:p>
              </w:tc>
              <w:tc>
                <w:tcPr/>
                <w:p>
                  <w:pPr>
                    <w:pStyle w:val="Compact"/>
                    <w:jc w:val="center"/>
                  </w:pPr>
                  <w:r>
                    <w:t xml:space="preserve">Konsequenz</w:t>
                  </w:r>
                </w:p>
              </w:tc>
            </w:tr>
            <w:tr>
              <w:tc>
                <w:tcPr/>
                <w:p>
                  <w:pPr>
                    <w:pStyle w:val="Compact"/>
                    <w:jc w:val="center"/>
                  </w:pPr>
                  <w:r>
                    <w:t xml:space="preserve">Projektdaten</w:t>
                  </w:r>
                </w:p>
              </w:tc>
              <w:tc>
                <w:tcPr/>
                <w:p>
                  <w:pPr>
                    <w:pStyle w:val="Compact"/>
                    <w:jc w:val="center"/>
                  </w:pPr>
                  <w:r>
                    <w:t xml:space="preserve">Geänderte PV-Fläche, andere Hülle, präzisierter Wärmebedarf</w:t>
                  </w:r>
                </w:p>
              </w:tc>
              <w:tc>
                <w:tcPr/>
                <w:p>
                  <w:pPr>
                    <w:pStyle w:val="Compact"/>
                    <w:jc w:val="center"/>
                  </w:pPr>
                  <w:r>
                    <w:t xml:space="preserve">Neues Ergebnis für das Projekt bei gleichem Bewertungsmaßstab</w:t>
                  </w:r>
                </w:p>
              </w:tc>
            </w:tr>
            <w:tr>
              <w:tc>
                <w:tcPr/>
                <w:p>
                  <w:pPr>
                    <w:pStyle w:val="Compact"/>
                    <w:jc w:val="center"/>
                  </w:pPr>
                  <w:r>
                    <w:t xml:space="preserve">Szenario und Parametrisierung</w:t>
                  </w:r>
                </w:p>
              </w:tc>
              <w:tc>
                <w:tcPr/>
                <w:p>
                  <w:pPr>
                    <w:pStyle w:val="Compact"/>
                    <w:jc w:val="center"/>
                  </w:pPr>
                  <w:r>
                    <w:t xml:space="preserve">Neue Mobilitätsdaten, Emissionsfaktoren oder Gebäudebestandsdaten</w:t>
                  </w:r>
                </w:p>
              </w:tc>
              <w:tc>
                <w:tcPr/>
                <w:p>
                  <w:pPr>
                    <w:pStyle w:val="Compact"/>
                    <w:jc w:val="center"/>
                  </w:pPr>
                  <w:r>
                    <w:t xml:space="preserve">Geänderte Berechnungsgrundlage; bisherige und neue Ergebnisse nur mit benanntem Stand vergleichen</w:t>
                  </w:r>
                </w:p>
              </w:tc>
            </w:tr>
            <w:tr>
              <w:tc>
                <w:tcPr/>
                <w:p>
                  <w:pPr>
                    <w:pStyle w:val="Compact"/>
                    <w:jc w:val="center"/>
                  </w:pPr>
                  <w:r>
                    <w:t xml:space="preserve">Normative Verteilung</w:t>
                  </w:r>
                </w:p>
              </w:tc>
              <w:tc>
                <w:tcPr/>
                <w:p>
                  <w:pPr>
                    <w:pStyle w:val="Compact"/>
                    <w:jc w:val="center"/>
                  </w:pPr>
                  <w:r>
                    <w:t xml:space="preserve">Anderer Sektoranteil, Sanierungskontext oder Senkenansatz</w:t>
                  </w:r>
                </w:p>
              </w:tc>
              <w:tc>
                <w:tcPr/>
                <w:p>
                  <w:pPr>
                    <w:pStyle w:val="Compact"/>
                    <w:jc w:val="center"/>
                  </w:pPr>
                  <w:r>
                    <w:t xml:space="preserve">Geänderter Bewertungsmaßstab mit eigener fachlicher Begründung</w:t>
                  </w:r>
                </w:p>
              </w:tc>
            </w:tr>
          </w:tbl>
          <w:bookmarkEnd w:id="371"/>
          <w:p/>
        </w:tc>
      </w:tr>
    </w:tbl>
    <w:p>
      <w:pPr>
        <w:pStyle w:val="BodyText"/>
      </w:pPr>
      <w:r>
        <w:t xml:space="preserve">Bei einer Neuauflage bleiben die zuvor verwendeten Faktoren und Annahmen nachvollziehbar. Ob laufende oder abgeschlossene Deklarationen auf neue Grundlagen umzustellen sind, ist eine eigene Verfahrensentscheidung. Aus einer wissenschaftlichen Weiterentwicklung folgt nicht automatisch eine rückwirkende Neubewertung.</w:t>
      </w:r>
    </w:p>
    <w:bookmarkEnd w:id="372"/>
    <w:bookmarkStart w:id="377" w:name="einflussgrößen-und-grenzen-des-modells"/>
    <w:p>
      <w:pPr>
        <w:pStyle w:val="Heading2"/>
      </w:pPr>
      <w:r>
        <w:t xml:space="preserve">19.3 Einflussgrößen und Grenzen des Modells</w:t>
      </w:r>
    </w:p>
    <w:bookmarkStart w:id="373" w:name="gebäudebestand-und-dichte"/>
    <w:p>
      <w:pPr>
        <w:pStyle w:val="Heading3"/>
      </w:pPr>
      <w:r>
        <w:t xml:space="preserve">19.3.1 Gebäudebestand und Dichte</w:t>
      </w:r>
    </w:p>
    <w:p>
      <w:pPr>
        <w:pStyle w:val="FirstParagraph"/>
      </w:pPr>
      <w:r>
        <w:t xml:space="preserve">Die Dichteanforderung hängt von der Verteilung der Gebäudequalitäten und Flächen im nationalen Bestand ab. Neue Bestandsdaten ermöglichen eine aktualisierte Kalibrierung. Dabei ist zuerst zu prüfen, welche Anteile saniert, neu gebaut oder weiterbetrieben werden und welchen Beitrag diese Gruppen leisten können. Die Anpassung einzelner Kurvenparameter ohne diesen nationalen Zusammenhang würde die ursprüngliche Lastenverteilung verändern, ohne ihre Wirkung zu erklären.</w:t>
      </w:r>
    </w:p>
    <w:p>
      <w:pPr>
        <w:pStyle w:val="BodyText"/>
      </w:pPr>
      <w:r>
        <w:t xml:space="preserve">Eine aktualisierte Dichtekurve muss daher gemeinsam mit den zugrunde gelegten Flächen, Nutzungen und Sanierungsszenarien dokumentiert werden. Auch die Wirkung auf niedrige und hohe Dichten ist auszuweisen. Das physikalische Grundprinzip bleibt davon unabhängig, wie in</w:t>
      </w:r>
      <w:r>
        <w:t xml:space="preserve"> </w:t>
      </w:r>
      <w:hyperlink w:anchor="sec-kontext-dichte">
        <w:r>
          <w:rPr>
            <w:rStyle w:val="Hyperlink"/>
          </w:rPr>
          <w:t xml:space="preserve">Kapitel 13.2</w:t>
        </w:r>
      </w:hyperlink>
      <w:r>
        <w:t xml:space="preserve"> </w:t>
      </w:r>
      <w:r>
        <w:t xml:space="preserve">erläutert.</w:t>
      </w:r>
    </w:p>
    <w:bookmarkEnd w:id="373"/>
    <w:bookmarkStart w:id="374" w:name="Xaf04227e20423c7dbf3fe32dd175a967182b733"/>
    <w:p>
      <w:pPr>
        <w:pStyle w:val="Heading3"/>
      </w:pPr>
      <w:r>
        <w:t xml:space="preserve">19.3.2 Mobilität und zeitliche Bewertungsfaktoren</w:t>
      </w:r>
    </w:p>
    <w:p>
      <w:pPr>
        <w:pStyle w:val="FirstParagraph"/>
      </w:pPr>
      <w:r>
        <w:t xml:space="preserve">Neue Mobilitätserhebungen können Wege, Verkehrsmittelwahl und Standortunterschiede besser abbilden. Für eine Aktualisierung müssen sowohl der zugeordnete Bedarf als auch die Verteilung des nationalen Mobilitätsbudgets geprüft werden. Ein neues Fahrprofil allein begründet noch keinen veränderten Budgetanspruch.</w:t>
      </w:r>
    </w:p>
    <w:p>
      <w:pPr>
        <w:pStyle w:val="BodyText"/>
      </w:pPr>
      <w:r>
        <w:t xml:space="preserve">Bei den Energiefaktoren ist eine höhere zeitliche Auflösung fachlich interessant, insbesondere für Speicher, gesteuertes Laden und externe Flexibilität. Das Modell kann stündliche Faktoren verarbeiten. Ihr Einsatz braucht jedoch geeignete, dokumentierte Daten und eine klare Bedeutung der Faktoren. Die durchschnittliche Emissionsintensität eines Strommixes und die durch zusätzlichen Verbrauch verursachte Änderung der Erzeugung sind unterschiedliche Bewertungsansätze und dürfen nicht unbegründet ausgetauscht werden.</w:t>
      </w:r>
    </w:p>
    <w:p>
      <w:pPr>
        <w:pStyle w:val="BodyText"/>
      </w:pPr>
      <w:r>
        <w:t xml:space="preserve">Eine Fortschreibung sollte deshalb zunächst dieselben Projektvarianten mit dem bisherigen und dem neuen Faktorsatz vergleichen. So wird sichtbar, ob ein Ergebnis durch die technische Maßnahme oder durch den geänderten Maßstab besser wird. Der Referenzansatz verwendet monatliche Faktoren; stündliche Faktoren bilden eine gesonderte Bewertungsvariante</w:t>
      </w:r>
      <w:r>
        <w:t xml:space="preserve"> </w:t>
      </w:r>
      <w:r>
        <w:t xml:space="preserve">(Schneider 2026, Abschn. 3.2.3–3.2.4; Schneider u. a. 2025, Abschn. 2.6 und 4.2–4.3)</w:t>
      </w:r>
      <w:r>
        <w:t xml:space="preserve">.</w:t>
      </w:r>
    </w:p>
    <w:bookmarkEnd w:id="374"/>
    <w:bookmarkStart w:id="375" w:name="thg-budget-pv-und-senken"/>
    <w:p>
      <w:pPr>
        <w:pStyle w:val="Heading3"/>
      </w:pPr>
      <w:r>
        <w:t xml:space="preserve">19.3.3 THG-Budget, PV und Senken</w:t>
      </w:r>
    </w:p>
    <w:p>
      <w:pPr>
        <w:pStyle w:val="FirstParagraph"/>
      </w:pPr>
      <w:r>
        <w:t xml:space="preserve">Beim THG-Budget bestimmen nationales Restbudget, Senkenannahme, Sektoranteil und Bezugsfläche den verfügbaren Wert je Quadratmeter. Mehr Bauaufgaben können eine Neuverteilung notwendig machen. Sie vergrößern das Gesamtbudget jedoch nicht von selbst. Jede zusätzliche Zuteilung ist deshalb mit ihrer Deckung oder der damit verbundenen Änderung des Klimaziels zu begründen.</w:t>
      </w:r>
    </w:p>
    <w:p>
      <w:pPr>
        <w:pStyle w:val="BodyText"/>
      </w:pPr>
      <w:r>
        <w:t xml:space="preserve">Für die PV-Abgrenzung ist eine konsistente Alternative mit Einbeziehung der Errichtungsemissionen auf Quartiersebene zu untersuchen. Dabei werden die zugehörigen Emissionen und Budgetanteile aus dem Energieversorgungssektor entsprechend zugeordnet. Die Untersuchung sollte zeigen, wie sich Grenzwert, Quartiersbilanz und Anreiz zum PV-Ausbau gemeinsam verändern. Das ist eine methodische Weiterentwicklung und keine bloße Ergänzung einer fehlenden Bauteilposition.</w:t>
      </w:r>
    </w:p>
    <w:p>
      <w:pPr>
        <w:pStyle w:val="BodyText"/>
      </w:pPr>
      <w:r>
        <w:t xml:space="preserve">Senken bleiben eine besonders wirksame Annahme. Eine weniger günstige Senkenentwicklung verkleinert den Spielraum für Emissionen. Die Varianten L1 bis L3 machen diese Abhängigkeit sichtbar. Für robuste Planung lohnt es sich daher, neben dem Erfüllen des Referenzwerts auch den Abstand zu den strengeren Varianten zu kennen</w:t>
      </w:r>
      <w:r>
        <w:t xml:space="preserve"> </w:t>
      </w:r>
      <w:r>
        <w:t xml:space="preserve">(Schneider u. a. 2025, Abschn. 2.3 und 4.2–4.3)</w:t>
      </w:r>
      <w:r>
        <w:t xml:space="preserve">.</w:t>
      </w:r>
    </w:p>
    <w:bookmarkEnd w:id="375"/>
    <w:bookmarkStart w:id="376" w:name="sanierung-und-bauliche-absenkpfade"/>
    <w:p>
      <w:pPr>
        <w:pStyle w:val="Heading3"/>
      </w:pPr>
      <w:r>
        <w:t xml:space="preserve">19.3.4 Sanierung und bauliche Absenkpfade</w:t>
      </w:r>
    </w:p>
    <w:p>
      <w:pPr>
        <w:pStyle w:val="FirstParagraph"/>
      </w:pPr>
      <w:r>
        <w:t xml:space="preserve">Der Entwurf differenziert die Sanierungsanpassung nach energetischer Typologie und baulichen Randbedingungen. Dafür braucht es eine belastbare Datengrundlage und eine Regel, die in der Planung mit vertretbarem Aufwand nachweisbar ist. Eine kleinteilige Differenzierung wäre wenig hilfreich, wenn die erforderlichen Informationen erst spät oder nur mit unverhältnismäßigem Aufwand verfügbar sind.</w:t>
      </w:r>
    </w:p>
    <w:p>
      <w:pPr>
        <w:pStyle w:val="BodyText"/>
      </w:pPr>
      <w:r>
        <w:t xml:space="preserve">Für Renovierungsfahrpläne sind außerdem die Herstellungsemissionen zum Maßnahmenzeitpunkt von Bauteilen relevant. Europäische Arbeiten zur Lebenszyklusbewertung liefern dafür Szenarien und Vergleichsgrundlagen. Die EU-Roadmap verbindet Gebäude- und Bestandsmodelle mit Maßnahmen an Materialproduktion, Materialeinsatz und Bautätigkeit</w:t>
      </w:r>
      <w:r>
        <w:t xml:space="preserve"> </w:t>
      </w:r>
      <w:r>
        <w:t xml:space="preserve">(Le Den u. a. 2024)</w:t>
      </w:r>
      <w:r>
        <w:t xml:space="preserve">. Die INDICATE-Arbeiten zeigen ergänzend, wie nationale Ausgangswerte mit einheitlichen Erhebungsgrundlagen aufgebaut werden können und warum Unterschiede der Bilanzmethoden den Vergleich erschweren</w:t>
      </w:r>
      <w:r>
        <w:t xml:space="preserve"> </w:t>
      </w:r>
      <w:r>
        <w:t xml:space="preserve">(BPIE 2024)</w:t>
      </w:r>
      <w:r>
        <w:t xml:space="preserve">. Daraus lassen sich Prüfaufgaben für die Fortschreibung ableiten; konkrete österreichische Materialpfade müssen gesondert ausgewählt und auf den PEQ-Bilanzumfang abgestimmt werden.</w:t>
      </w:r>
    </w:p>
    <w:bookmarkEnd w:id="376"/>
    <w:bookmarkEnd w:id="377"/>
    <w:bookmarkStart w:id="378" w:name="Xf8e4ad3a4b956cca6c06668529555ab874457fc"/>
    <w:p>
      <w:pPr>
        <w:pStyle w:val="Heading2"/>
      </w:pPr>
      <w:r>
        <w:t xml:space="preserve">19.4 Kommunale Allokation als zusätzliche Ebene</w:t>
      </w:r>
    </w:p>
    <w:p>
      <w:pPr>
        <w:pStyle w:val="FirstParagraph"/>
      </w:pPr>
      <w:r>
        <w:t xml:space="preserve">Eine kommunale Allokation könnte nationale Vorgaben zunächst auf eine Stadt oder Gemeinde und anschließend auf ihre Quartiere beziehen. Für eine Stadt wie Wien wären dabei etwa Gebäudebestand, erwartete Flächenentwicklung, Energieinfrastruktur und Mobilitätsstruktur gemeinsam zu betrachten. Diese Ebene ist als Erweiterung angelegt und bislang kein eigener implementierter Kontextfaktor</w:t>
      </w:r>
      <w:r>
        <w:t xml:space="preserve"> </w:t>
      </w:r>
      <w:r>
        <w:t xml:space="preserve">(Schneider 2026, Abschn. 3.5.1, S. 89–90)</w:t>
      </w:r>
      <w:r>
        <w:t xml:space="preserve">.</w:t>
      </w:r>
    </w:p>
    <w:p>
      <w:pPr>
        <w:pStyle w:val="BodyText"/>
      </w:pPr>
      <w:r>
        <w:t xml:space="preserve">Eine Kommune könnte damit verdeutlichen, welche Beiträge sie aus Bestandssanierung, Neubau und Infrastruktur erwartet. Voraussetzung ist eine konsistente Verschachtelung: Ein bereits national oder kommunal zugeteiltes Budget darf nicht mehrfach als zusätzliche Entlastung auf Quartiersebene erscheinen. Unterschiedliche lokale Ausgangslagen sind begründbar zu berücksichtigen, ohne die Gesamtmenge aus dem Blick zu verlieren.</w:t>
      </w:r>
    </w:p>
    <w:bookmarkEnd w:id="378"/>
    <w:bookmarkStart w:id="379" w:name="lernen-aus-planung-und-betrieb"/>
    <w:p>
      <w:pPr>
        <w:pStyle w:val="Heading2"/>
      </w:pPr>
      <w:r>
        <w:t xml:space="preserve">19.5 Lernen aus Planung und Betrieb</w:t>
      </w:r>
    </w:p>
    <w:p>
      <w:pPr>
        <w:pStyle w:val="FirstParagraph"/>
      </w:pPr>
      <w:r>
        <w:t xml:space="preserve">Die weitere Absicherung des Verfahrens braucht neben neuen Szenarien auch Erfahrungen aus realisierten Projekten. Ein Abgleich mit Betriebsdaten kann zeigen, ob Bedarfsprofile, Regelung und Speicherbetrieb die vorgesehenen Beiträge erbringen. Abweichungen sind zunächst auf Nutzung, Wetter, Ausführung und Betrieb zu untersuchen, bevor daraus eine Änderung des Bewertungsmaßstabs abgeleitet wird.</w:t>
      </w:r>
    </w:p>
    <w:bookmarkEnd w:id="379"/>
    <w:bookmarkEnd w:id="380"/>
    <w:bookmarkStart w:id="386" w:name="sec-einstieg"/>
    <w:p>
      <w:pPr>
        <w:pStyle w:val="Heading1"/>
      </w:pPr>
      <w:r>
        <w:t xml:space="preserve">20. Einstieg und Kontakt</w:t>
      </w:r>
    </w:p>
    <w:p>
      <w:pPr>
        <w:pStyle w:val="FirstParagraph"/>
      </w:pPr>
      <w:r>
        <w:t xml:space="preserve">Orientierung für Gemeinden, Bauträger und interessierte Fachplanende</w:t>
      </w:r>
    </w:p>
    <w:bookmarkStart w:id="381" w:name="wann-sollte-die-bewertung-beginnen"/>
    <w:p>
      <w:pPr>
        <w:pStyle w:val="Heading2"/>
      </w:pPr>
      <w:r>
        <w:t xml:space="preserve">20.1 Wann sollte die Bewertung beginnen?</w:t>
      </w:r>
    </w:p>
    <w:p>
      <w:pPr>
        <w:pStyle w:val="FirstParagraph"/>
      </w:pPr>
      <w:r>
        <w:t xml:space="preserve">Möglichst früh, wenn Bebauung, Energieversorgung, PV-Flächen und Mobilitätskonzept noch beeinflusst werden können. Eine Planungsbewertung kann zeigen, welche Kombination von Maßnahmen die angestrebte Qualitätsstufe ermöglicht. Der Projektstand bestimmt, wie belastbar das Ergebnis bereits ist.</w:t>
      </w:r>
    </w:p>
    <w:bookmarkEnd w:id="381"/>
    <w:bookmarkStart w:id="382" w:name="welche-unterlagen-werden-benötigt"/>
    <w:p>
      <w:pPr>
        <w:pStyle w:val="Heading2"/>
      </w:pPr>
      <w:r>
        <w:t xml:space="preserve">20.2 Welche Unterlagen werden benötigt?</w:t>
      </w:r>
    </w:p>
    <w:p>
      <w:pPr>
        <w:pStyle w:val="FirstParagraph"/>
      </w:pPr>
      <w:r>
        <w:t xml:space="preserve">Für die erste Abstimmung helfen Lageplan, Nutzungen und Flächen, der aktuelle Planungsstand sowie Angaben zu Gebäudequalität und Energieversorgung. Für den vollständigen Nachweis kommen je nach Qualitätsstufe beispielsweise Energieausweise, PV-Planung, Mobilitätsangaben und Ökobilanzdaten hinzu. Welche Informationen im konkreten Projekt benötigt werden, klärt die Kompetenzpartnerin oder der Kompetenzpartner.</w:t>
      </w:r>
    </w:p>
    <w:bookmarkEnd w:id="382"/>
    <w:bookmarkStart w:id="383" w:name="was-erhält-das-projekt"/>
    <w:p>
      <w:pPr>
        <w:pStyle w:val="Heading2"/>
      </w:pPr>
      <w:r>
        <w:t xml:space="preserve">20.3 Was erhält das Projekt?</w:t>
      </w:r>
    </w:p>
    <w:p>
      <w:pPr>
        <w:pStyle w:val="FirstParagraph"/>
      </w:pPr>
      <w:r>
        <w:t xml:space="preserve">Eine nachvollziehbare Bewertung des untersuchten Konzepts mit Energie- und gegebenenfalls Lebenszyklusbilanz. Die Ergebnisse zeigen die Zielerreichung, maßgebliche Annahmen und mögliche Ansatzpunkte für Varianten. Nach erfolgreicher Prüfung dokumentiert die Deklaration die erreichte Qualitätsstufe und den geprüften Projektstand.</w:t>
      </w:r>
    </w:p>
    <w:bookmarkEnd w:id="383"/>
    <w:bookmarkStart w:id="384" w:name="wer-begleitet-das-vorhaben"/>
    <w:p>
      <w:pPr>
        <w:pStyle w:val="Heading2"/>
      </w:pPr>
      <w:r>
        <w:t xml:space="preserve">20.4 Wer begleitet das Vorhaben?</w:t>
      </w:r>
    </w:p>
    <w:p>
      <w:pPr>
        <w:pStyle w:val="FirstParagraph"/>
      </w:pPr>
      <w:r>
        <w:rPr>
          <w:b/>
          <w:bCs/>
        </w:rPr>
        <w:t xml:space="preserve">klimaaktiv Kompetenzpartner:innen</w:t>
      </w:r>
      <w:r>
        <w:t xml:space="preserve"> </w:t>
      </w:r>
      <w:r>
        <w:t xml:space="preserve">sind die ersten Ansprechpartner für die projektbezogene Bewertung und Begleitung. Für allgemeine Fragen und die Orientierung steht außerdem die</w:t>
      </w:r>
      <w:r>
        <w:t xml:space="preserve"> </w:t>
      </w:r>
      <w:r>
        <w:rPr>
          <w:b/>
          <w:bCs/>
        </w:rPr>
        <w:t xml:space="preserve">Anlaufstelle Plus-Energie-Quartiere</w:t>
      </w:r>
      <w:r>
        <w:t xml:space="preserve"> </w:t>
      </w:r>
      <w:r>
        <w:t xml:space="preserve">zur Verfügung. Falls Sie diese Seite von einer Kompetenzpartnerin oder einem Kompetenzpartner erhalten haben, können Sie dort direkt Ihr Vorhaben besprechen.</w:t>
      </w:r>
    </w:p>
    <w:p>
      <w:pPr>
        <w:pStyle w:val="BodyText"/>
      </w:pPr>
      <w:r>
        <w:t xml:space="preserve">Die</w:t>
      </w:r>
      <w:r>
        <w:t xml:space="preserve"> </w:t>
      </w:r>
      <w:hyperlink w:anchor="akteure-und-zuständigkeiten">
        <w:r>
          <w:rPr>
            <w:rStyle w:val="Hyperlink"/>
          </w:rPr>
          <w:t xml:space="preserve">Organisationsstruktur und Zuständigkeiten</w:t>
        </w:r>
      </w:hyperlink>
      <w:r>
        <w:t xml:space="preserve"> </w:t>
      </w:r>
      <w:r>
        <w:t xml:space="preserve">erläutern das Zusammenspiel von Projektverantwortlichen, Kompetenzpartner:innen, Anlaufstelle und Expert:innengremium.</w:t>
      </w:r>
    </w:p>
    <w:bookmarkEnd w:id="384"/>
    <w:bookmarkStart w:id="385" w:name="wo-finde-ich-die-technische-anleitung"/>
    <w:p>
      <w:pPr>
        <w:pStyle w:val="Heading2"/>
      </w:pPr>
      <w:r>
        <w:t xml:space="preserve">20.5 Wo finde ich die technische Anleitung?</w:t>
      </w:r>
    </w:p>
    <w:p>
      <w:pPr>
        <w:pStyle w:val="FirstParagraph"/>
      </w:pPr>
      <w:r>
        <w:t xml:space="preserve">Die</w:t>
      </w:r>
      <w:r>
        <w:t xml:space="preserve"> </w:t>
      </w:r>
      <w:hyperlink r:id="rId27">
        <w:r>
          <w:rPr>
            <w:rStyle w:val="Hyperlink"/>
          </w:rPr>
          <w:t xml:space="preserve">PEExcel-Wissensplattform</w:t>
        </w:r>
      </w:hyperlink>
      <w:r>
        <w:t xml:space="preserve"> </w:t>
      </w:r>
      <w:r>
        <w:t xml:space="preserve">beschreibt das Nachweistool, Modellierung und technische Ergebnisanalyse. Die</w:t>
      </w:r>
      <w:r>
        <w:t xml:space="preserve"> </w:t>
      </w:r>
      <w:hyperlink w:anchor="sec-methodik">
        <w:r>
          <w:rPr>
            <w:rStyle w:val="Hyperlink"/>
          </w:rPr>
          <w:t xml:space="preserve">wissenschaftlichen Grundlagen</w:t>
        </w:r>
      </w:hyperlink>
      <w:r>
        <w:t xml:space="preserve"> </w:t>
      </w:r>
      <w:r>
        <w:t xml:space="preserve">erläutern, wie die Anforderungen entstehen.</w:t>
      </w:r>
    </w:p>
    <w:bookmarkEnd w:id="385"/>
    <w:bookmarkEnd w:id="386"/>
    <w:bookmarkStart w:id="416" w:name="literatur"/>
    <w:p>
      <w:pPr>
        <w:pStyle w:val="Heading1"/>
      </w:pPr>
      <w:r>
        <w:t xml:space="preserve">Literatur</w:t>
      </w:r>
    </w:p>
    <w:bookmarkStart w:id="415" w:name="refs"/>
    <w:bookmarkStart w:id="388" w:name="ref-bpie2024benchmarks"/>
    <w:p>
      <w:pPr>
        <w:pStyle w:val="Bibliography"/>
      </w:pPr>
      <w:r>
        <w:t xml:space="preserve">BPIE. 2024.</w:t>
      </w:r>
      <w:r>
        <w:t xml:space="preserve"> </w:t>
      </w:r>
      <w:r>
        <w:rPr>
          <w:i/>
          <w:iCs/>
        </w:rPr>
        <w:t xml:space="preserve">How to establish Whole Life Carbon benchmarks: Insights and lessons learned from emerging approaches in Ireland, Czechia and Spain</w:t>
      </w:r>
      <w:r>
        <w:t xml:space="preserve">.</w:t>
      </w:r>
      <w:r>
        <w:t xml:space="preserve"> </w:t>
      </w:r>
      <w:hyperlink r:id="rId387">
        <w:r>
          <w:rPr>
            <w:rStyle w:val="Hyperlink"/>
          </w:rPr>
          <w:t xml:space="preserve">https://www.bpie.eu/publication/how-to-establish-whole-life-carbon-benchmarks-insights-and-lessons-learned-from-emerging-approaches-in-ireland-czechia-and-spain/</w:t>
        </w:r>
      </w:hyperlink>
      <w:r>
        <w:t xml:space="preserve">.</w:t>
      </w:r>
    </w:p>
    <w:bookmarkEnd w:id="388"/>
    <w:bookmarkStart w:id="390" w:name="ref-cen2026en15978"/>
    <w:p>
      <w:pPr>
        <w:pStyle w:val="Bibliography"/>
      </w:pPr>
      <w:r>
        <w:t xml:space="preserve">CEN-CENELEC. 2026.</w:t>
      </w:r>
      <w:r>
        <w:t xml:space="preserve"> </w:t>
      </w:r>
      <w:r>
        <w:rPr>
          <w:i/>
          <w:iCs/>
        </w:rPr>
        <w:t xml:space="preserve">EN 15978:2026</w:t>
      </w:r>
      <w:r>
        <w:rPr>
          <w:i/>
          <w:iCs/>
        </w:rPr>
        <w:t xml:space="preserve"> </w:t>
      </w:r>
      <w:r>
        <w:rPr>
          <w:i/>
          <w:iCs/>
        </w:rPr>
        <w:t xml:space="preserve">– A Harmonized Method to Assess the Environmental Performance of Buildings</w:t>
      </w:r>
      <w:r>
        <w:t xml:space="preserve">.</w:t>
      </w:r>
      <w:r>
        <w:t xml:space="preserve"> </w:t>
      </w:r>
      <w:hyperlink r:id="rId389">
        <w:r>
          <w:rPr>
            <w:rStyle w:val="Hyperlink"/>
          </w:rPr>
          <w:t xml:space="preserve">https://www.cencenelec.eu/news-events/news/2026/en-in-the-spotlight/2026-04-17-en-15978-2026/</w:t>
        </w:r>
      </w:hyperlink>
      <w:r>
        <w:t xml:space="preserve">.</w:t>
      </w:r>
    </w:p>
    <w:bookmarkEnd w:id="390"/>
    <w:bookmarkStart w:id="392" w:name="ref-Fellner2020Mikroquartiere"/>
    <w:p>
      <w:pPr>
        <w:pStyle w:val="Bibliography"/>
      </w:pPr>
      <w:r>
        <w:t xml:space="preserve">Fellner, M., T. Zelger, J. Leibold, u. a. 2020.</w:t>
      </w:r>
      <w:r>
        <w:t xml:space="preserve"> </w:t>
      </w:r>
      <w:r>
        <w:rPr>
          <w:i/>
          <w:iCs/>
        </w:rPr>
        <w:t xml:space="preserve">Energie- und lebensqualitätsoptimierte Planung und Modernisierung von Smart City-Quartieren (Smart City MIKROQUARTIERE)</w:t>
      </w:r>
      <w:r>
        <w:t xml:space="preserve">. Berichte aus Energie- und Umweltforschung 26/2020. Bundesministerium für Klimaschutz, Umwelt, Energie, Mobilität, Innovation und Technologie (BMK).</w:t>
      </w:r>
      <w:r>
        <w:t xml:space="preserve"> </w:t>
      </w:r>
      <w:hyperlink r:id="rId391">
        <w:r>
          <w:rPr>
            <w:rStyle w:val="Hyperlink"/>
          </w:rPr>
          <w:t xml:space="preserve">https://nachhaltigwirtschaften.at/resources/sdz_pdf/schriftenreihe-2020-26-smart-city-mikroquartiere.pdf</w:t>
        </w:r>
      </w:hyperlink>
      <w:r>
        <w:t xml:space="preserve">.</w:t>
      </w:r>
    </w:p>
    <w:bookmarkEnd w:id="392"/>
    <w:bookmarkStart w:id="394" w:name="ref-leden2024roadmap"/>
    <w:p>
      <w:pPr>
        <w:pStyle w:val="Bibliography"/>
      </w:pPr>
      <w:r>
        <w:t xml:space="preserve">Le Den, Xavier, Jacob Steinmann, Attila Kovacs, u. a. 2024.</w:t>
      </w:r>
      <w:r>
        <w:t xml:space="preserve"> </w:t>
      </w:r>
      <w:r>
        <w:rPr>
          <w:i/>
          <w:iCs/>
        </w:rPr>
        <w:t xml:space="preserve">Supporting the development of a roadmap for the reduction of whole life carbon of buildings: Final technical report</w:t>
      </w:r>
      <w:r>
        <w:t xml:space="preserve">. European Commission, Directorate-General for Environment.</w:t>
      </w:r>
      <w:r>
        <w:t xml:space="preserve"> </w:t>
      </w:r>
      <w:hyperlink r:id="rId393">
        <w:r>
          <w:rPr>
            <w:rStyle w:val="Hyperlink"/>
          </w:rPr>
          <w:t xml:space="preserve">https://doi.org/10.2779/849252</w:t>
        </w:r>
      </w:hyperlink>
      <w:r>
        <w:t xml:space="preserve">.</w:t>
      </w:r>
    </w:p>
    <w:bookmarkEnd w:id="394"/>
    <w:bookmarkStart w:id="395" w:name="ref-schneider2026thesis"/>
    <w:p>
      <w:pPr>
        <w:pStyle w:val="Bibliography"/>
      </w:pPr>
      <w:r>
        <w:t xml:space="preserve">Schneider, Simon. 2026.</w:t>
      </w:r>
      <w:r>
        <w:t xml:space="preserve"> </w:t>
      </w:r>
      <w:r>
        <w:t xml:space="preserve">„Quantitative Positive Energy District Definition, Contextualization and Assessment“</w:t>
      </w:r>
      <w:r>
        <w:t xml:space="preserve">. Phdthesis, Universidade de Trás-os-Montes e Alto Douro.</w:t>
      </w:r>
    </w:p>
    <w:bookmarkEnd w:id="395"/>
    <w:bookmarkStart w:id="397" w:name="ref-schneider_annual_2025"/>
    <w:p>
      <w:pPr>
        <w:pStyle w:val="Bibliography"/>
      </w:pPr>
      <w:r>
        <w:t xml:space="preserve">Schneider, Simon, und José Baptista. 2025.</w:t>
      </w:r>
      <w:r>
        <w:t xml:space="preserve"> </w:t>
      </w:r>
      <w:r>
        <w:t xml:space="preserve">„Annual</w:t>
      </w:r>
      <w:r>
        <w:t xml:space="preserve"> </w:t>
      </w:r>
      <w:r>
        <w:t xml:space="preserve">Hourly</w:t>
      </w:r>
      <w:r>
        <w:t xml:space="preserve"> </w:t>
      </w:r>
      <w:r>
        <w:t xml:space="preserve">E</w:t>
      </w:r>
      <w:r>
        <w:t xml:space="preserve">-</w:t>
      </w:r>
      <w:r>
        <w:t xml:space="preserve">Mobility</w:t>
      </w:r>
      <w:r>
        <w:t xml:space="preserve"> </w:t>
      </w:r>
      <w:r>
        <w:t xml:space="preserve">Modelling</w:t>
      </w:r>
      <w:r>
        <w:t xml:space="preserve"> </w:t>
      </w:r>
      <w:r>
        <w:t xml:space="preserve">and</w:t>
      </w:r>
      <w:r>
        <w:t xml:space="preserve"> </w:t>
      </w:r>
      <w:r>
        <w:t xml:space="preserve">Assessment</w:t>
      </w:r>
      <w:r>
        <w:t xml:space="preserve"> </w:t>
      </w:r>
      <w:r>
        <w:t xml:space="preserve">in</w:t>
      </w:r>
      <w:r>
        <w:t xml:space="preserve"> </w:t>
      </w:r>
      <w:r>
        <w:t xml:space="preserve">Climate</w:t>
      </w:r>
      <w:r>
        <w:t xml:space="preserve"> </w:t>
      </w:r>
      <w:r>
        <w:t xml:space="preserve">Neutral</w:t>
      </w:r>
      <w:r>
        <w:t xml:space="preserve"> </w:t>
      </w:r>
      <w:r>
        <w:t xml:space="preserve">Positive</w:t>
      </w:r>
      <w:r>
        <w:t xml:space="preserve"> </w:t>
      </w:r>
      <w:r>
        <w:t xml:space="preserve">Energy</w:t>
      </w:r>
      <w:r>
        <w:t xml:space="preserve"> </w:t>
      </w:r>
      <w:r>
        <w:t xml:space="preserve">Districts</w:t>
      </w:r>
      <w:r>
        <w:t xml:space="preserve">“</w:t>
      </w:r>
      <w:r>
        <w:t xml:space="preserve">.</w:t>
      </w:r>
      <w:r>
        <w:t xml:space="preserve"> </w:t>
      </w:r>
      <w:r>
        <w:rPr>
          <w:i/>
          <w:iCs/>
        </w:rPr>
        <w:t xml:space="preserve">2025</w:t>
      </w:r>
      <w:r>
        <w:rPr>
          <w:i/>
          <w:iCs/>
        </w:rPr>
        <w:t xml:space="preserve"> </w:t>
      </w:r>
      <w:r>
        <w:rPr>
          <w:i/>
          <w:iCs/>
        </w:rPr>
        <w:t xml:space="preserve">IEEE</w:t>
      </w:r>
      <w:r>
        <w:rPr>
          <w:i/>
          <w:iCs/>
        </w:rPr>
        <w:t xml:space="preserve"> </w:t>
      </w:r>
      <w:r>
        <w:rPr>
          <w:i/>
          <w:iCs/>
        </w:rPr>
        <w:t xml:space="preserve">International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Environment</w:t>
      </w:r>
      <w:r>
        <w:rPr>
          <w:i/>
          <w:iCs/>
        </w:rPr>
        <w:t xml:space="preserve"> </w:t>
      </w:r>
      <w:r>
        <w:rPr>
          <w:i/>
          <w:iCs/>
        </w:rPr>
        <w:t xml:space="preserve">and</w:t>
      </w:r>
      <w:r>
        <w:rPr>
          <w:i/>
          <w:iCs/>
        </w:rPr>
        <w:t xml:space="preserve"> </w:t>
      </w:r>
      <w:r>
        <w:rPr>
          <w:i/>
          <w:iCs/>
        </w:rPr>
        <w:t xml:space="preserve">Electrical</w:t>
      </w:r>
      <w:r>
        <w:rPr>
          <w:i/>
          <w:iCs/>
        </w:rPr>
        <w:t xml:space="preserve"> </w:t>
      </w:r>
      <w:r>
        <w:rPr>
          <w:i/>
          <w:iCs/>
        </w:rPr>
        <w:t xml:space="preserve">Engineering</w:t>
      </w:r>
      <w:r>
        <w:rPr>
          <w:i/>
          <w:iCs/>
        </w:rPr>
        <w:t xml:space="preserve"> </w:t>
      </w:r>
      <w:r>
        <w:rPr>
          <w:i/>
          <w:iCs/>
        </w:rPr>
        <w:t xml:space="preserve">and 2025</w:t>
      </w:r>
      <w:r>
        <w:rPr>
          <w:i/>
          <w:iCs/>
        </w:rPr>
        <w:t xml:space="preserve"> </w:t>
      </w:r>
      <w:r>
        <w:rPr>
          <w:i/>
          <w:iCs/>
        </w:rPr>
        <w:t xml:space="preserve">IEEE</w:t>
      </w:r>
      <w:r>
        <w:rPr>
          <w:i/>
          <w:iCs/>
        </w:rPr>
        <w:t xml:space="preserve"> </w:t>
      </w:r>
      <w:r>
        <w:rPr>
          <w:i/>
          <w:iCs/>
        </w:rPr>
        <w:t xml:space="preserve">Industrial</w:t>
      </w:r>
      <w:r>
        <w:rPr>
          <w:i/>
          <w:iCs/>
        </w:rPr>
        <w:t xml:space="preserve"> </w:t>
      </w:r>
      <w:r>
        <w:rPr>
          <w:i/>
          <w:iCs/>
        </w:rPr>
        <w:t xml:space="preserve">and</w:t>
      </w:r>
      <w:r>
        <w:rPr>
          <w:i/>
          <w:iCs/>
        </w:rPr>
        <w:t xml:space="preserve"> </w:t>
      </w:r>
      <w:r>
        <w:rPr>
          <w:i/>
          <w:iCs/>
        </w:rPr>
        <w:t xml:space="preserve">Commercial</w:t>
      </w:r>
      <w:r>
        <w:rPr>
          <w:i/>
          <w:iCs/>
        </w:rPr>
        <w:t xml:space="preserve"> </w:t>
      </w:r>
      <w:r>
        <w:rPr>
          <w:i/>
          <w:iCs/>
        </w:rPr>
        <w:t xml:space="preserve">Power</w:t>
      </w:r>
      <w:r>
        <w:rPr>
          <w:i/>
          <w:iCs/>
        </w:rPr>
        <w:t xml:space="preserve"> </w:t>
      </w:r>
      <w:r>
        <w:rPr>
          <w:i/>
          <w:iCs/>
        </w:rPr>
        <w:t xml:space="preserve">Systems</w:t>
      </w:r>
      <w:r>
        <w:rPr>
          <w:i/>
          <w:iCs/>
        </w:rPr>
        <w:t xml:space="preserve"> </w:t>
      </w:r>
      <w:r>
        <w:rPr>
          <w:i/>
          <w:iCs/>
        </w:rPr>
        <w:t xml:space="preserve">Europe</w:t>
      </w:r>
      <w:r>
        <w:rPr>
          <w:i/>
          <w:iCs/>
        </w:rPr>
        <w:t xml:space="preserve"> </w:t>
      </w:r>
      <w:r>
        <w:rPr>
          <w:i/>
          <w:iCs/>
        </w:rPr>
        <w:t xml:space="preserve">(</w:t>
      </w:r>
      <w:r>
        <w:rPr>
          <w:i/>
          <w:iCs/>
        </w:rPr>
        <w:t xml:space="preserve">EEEIC</w:t>
      </w:r>
      <w:r>
        <w:rPr>
          <w:i/>
          <w:iCs/>
        </w:rPr>
        <w:t xml:space="preserve"> </w:t>
      </w:r>
      <w:r>
        <w:rPr>
          <w:i/>
          <w:iCs/>
        </w:rPr>
        <w:t xml:space="preserve">/</w:t>
      </w:r>
      <w:r>
        <w:rPr>
          <w:i/>
          <w:iCs/>
        </w:rPr>
        <w:t xml:space="preserve"> </w:t>
      </w:r>
      <w:r>
        <w:rPr>
          <w:i/>
          <w:iCs/>
        </w:rPr>
        <w:t xml:space="preserve">I</w:t>
      </w:r>
      <w:r>
        <w:rPr>
          <w:i/>
          <w:iCs/>
        </w:rPr>
        <w:t xml:space="preserve">&amp;</w:t>
      </w:r>
      <w:r>
        <w:rPr>
          <w:i/>
          <w:iCs/>
        </w:rPr>
        <w:t xml:space="preserve">CPS</w:t>
      </w:r>
      <w:r>
        <w:rPr>
          <w:i/>
          <w:iCs/>
        </w:rPr>
        <w:t xml:space="preserve"> </w:t>
      </w:r>
      <w:r>
        <w:rPr>
          <w:i/>
          <w:iCs/>
        </w:rPr>
        <w:t xml:space="preserve">Europe</w:t>
      </w:r>
      <w:r>
        <w:rPr>
          <w:i/>
          <w:iCs/>
        </w:rPr>
        <w:t xml:space="preserve">)</w:t>
      </w:r>
      <w:r>
        <w:t xml:space="preserve">, Juli, 1–7.</w:t>
      </w:r>
      <w:r>
        <w:t xml:space="preserve"> </w:t>
      </w:r>
      <w:hyperlink r:id="rId396">
        <w:r>
          <w:rPr>
            <w:rStyle w:val="Hyperlink"/>
          </w:rPr>
          <w:t xml:space="preserve">https://doi.org/10.1109/EEEIC/ICPSEurope64998.2025.11169136</w:t>
        </w:r>
      </w:hyperlink>
      <w:r>
        <w:t xml:space="preserve">.</w:t>
      </w:r>
    </w:p>
    <w:bookmarkEnd w:id="397"/>
    <w:bookmarkStart w:id="399" w:name="ref-schneider2025declaration"/>
    <w:p>
      <w:pPr>
        <w:pStyle w:val="Bibliography"/>
      </w:pPr>
      <w:r>
        <w:t xml:space="preserve">Schneider, Simon, Thomas Zelger, Raphael Drexel, Manfred Schindler, Paul Krainer, und José Baptista. 2025.</w:t>
      </w:r>
      <w:r>
        <w:t xml:space="preserve"> </w:t>
      </w:r>
      <w:r>
        <w:t xml:space="preserve">„Declaration-Ready Climate-Neutral</w:t>
      </w:r>
      <w:r>
        <w:t xml:space="preserve"> </w:t>
      </w:r>
      <w:r>
        <w:t xml:space="preserve">PEDs</w:t>
      </w:r>
      <w:r>
        <w:t xml:space="preserve">: Budget-Based, Hourly</w:t>
      </w:r>
      <w:r>
        <w:t xml:space="preserve"> </w:t>
      </w:r>
      <w:r>
        <w:t xml:space="preserve">LCA</w:t>
      </w:r>
      <w:r>
        <w:t xml:space="preserve"> </w:t>
      </w:r>
      <w:r>
        <w:t xml:space="preserve">Including Mobility and Flexibility“</w:t>
      </w:r>
      <w:r>
        <w:t xml:space="preserve">.</w:t>
      </w:r>
      <w:r>
        <w:t xml:space="preserve"> </w:t>
      </w:r>
      <w:r>
        <w:rPr>
          <w:i/>
          <w:iCs/>
        </w:rPr>
        <w:t xml:space="preserve">Designs</w:t>
      </w:r>
      <w:r>
        <w:t xml:space="preserve"> </w:t>
      </w:r>
      <w:r>
        <w:t xml:space="preserve">9 (6): 123.</w:t>
      </w:r>
      <w:r>
        <w:t xml:space="preserve"> </w:t>
      </w:r>
      <w:hyperlink r:id="rId398">
        <w:r>
          <w:rPr>
            <w:rStyle w:val="Hyperlink"/>
          </w:rPr>
          <w:t xml:space="preserve">https://doi.org/10.3390/designs9060123</w:t>
        </w:r>
      </w:hyperlink>
      <w:r>
        <w:t xml:space="preserve">.</w:t>
      </w:r>
    </w:p>
    <w:bookmarkEnd w:id="399"/>
    <w:bookmarkStart w:id="400" w:name="ref-schneider2020lokal"/>
    <w:p>
      <w:pPr>
        <w:pStyle w:val="Bibliography"/>
      </w:pPr>
      <w:r>
        <w:t xml:space="preserve">Schneider, Simon, Thomas Zelger, und Lisa Klauda. 2020.</w:t>
      </w:r>
      <w:r>
        <w:t xml:space="preserve"> </w:t>
      </w:r>
      <w:r>
        <w:t xml:space="preserve">„Überlegungen zur Frage, welcher Anteil erneuerbarer Energie 2050 in Österreich lokal aufgebracht werden muss“</w:t>
      </w:r>
      <w:r>
        <w:t xml:space="preserve">.</w:t>
      </w:r>
      <w:r>
        <w:t xml:space="preserve"> </w:t>
      </w:r>
      <w:r>
        <w:rPr>
          <w:i/>
          <w:iCs/>
        </w:rPr>
        <w:t xml:space="preserve">16. Symposium Energieinnovation</w:t>
      </w:r>
      <w:r>
        <w:t xml:space="preserve"> </w:t>
      </w:r>
      <w:r>
        <w:t xml:space="preserve">(Graz, Österreich), 1–10.</w:t>
      </w:r>
    </w:p>
    <w:bookmarkEnd w:id="400"/>
    <w:bookmarkStart w:id="401" w:name="ref-klimaaktiv2026peq"/>
    <w:p>
      <w:pPr>
        <w:pStyle w:val="Bibliography"/>
      </w:pPr>
      <w:r>
        <w:t xml:space="preserve">Schneider, Simon, Thomas Zelger, und Oskar Mair am Tinkhof. 2026.</w:t>
      </w:r>
      <w:r>
        <w:t xml:space="preserve"> </w:t>
      </w:r>
      <w:r>
        <w:rPr>
          <w:i/>
          <w:iCs/>
        </w:rPr>
        <w:t xml:space="preserve">Plus-Energie-Quartiere: Effizient, erneuerbar und flexibel versorgt mit dem klimaaktiv Standard</w:t>
      </w:r>
      <w:r>
        <w:t xml:space="preserve">. Bundesministerium für Land- und Forstwirtschaft, Klima- und Umweltschutz, Regionen und Wasserwirtschaft.</w:t>
      </w:r>
    </w:p>
    <w:bookmarkEnd w:id="401"/>
    <w:bookmarkStart w:id="403" w:name="ref-schneider2023context"/>
    <w:p>
      <w:pPr>
        <w:pStyle w:val="Bibliography"/>
      </w:pPr>
      <w:r>
        <w:t xml:space="preserve">Schneider, Simon, Thomas Zelger, David Sengl, und José Baptista. 2023.</w:t>
      </w:r>
      <w:r>
        <w:t xml:space="preserve"> </w:t>
      </w:r>
      <w:r>
        <w:t xml:space="preserve">„A Quantitative Positive Energy District Definition with Contextual Targets“</w:t>
      </w:r>
      <w:r>
        <w:t xml:space="preserve">.</w:t>
      </w:r>
      <w:r>
        <w:t xml:space="preserve"> </w:t>
      </w:r>
      <w:r>
        <w:rPr>
          <w:i/>
          <w:iCs/>
        </w:rPr>
        <w:t xml:space="preserve">Buildings</w:t>
      </w:r>
      <w:r>
        <w:t xml:space="preserve"> </w:t>
      </w:r>
      <w:r>
        <w:t xml:space="preserve">13 (5): 1210.</w:t>
      </w:r>
      <w:r>
        <w:t xml:space="preserve"> </w:t>
      </w:r>
      <w:hyperlink r:id="rId402">
        <w:r>
          <w:rPr>
            <w:rStyle w:val="Hyperlink"/>
          </w:rPr>
          <w:t xml:space="preserve">https://doi.org/10.3390/buildings13051210</w:t>
        </w:r>
      </w:hyperlink>
      <w:r>
        <w:t xml:space="preserve">.</w:t>
      </w:r>
    </w:p>
    <w:bookmarkEnd w:id="403"/>
    <w:bookmarkStart w:id="405" w:name="ref-Schoefmann2020Zukunftsquartier"/>
    <w:p>
      <w:pPr>
        <w:pStyle w:val="Bibliography"/>
      </w:pPr>
      <w:r>
        <w:t xml:space="preserve">Schöfmann, Petra, Thomas Zelger, Nina Bartlmä, Simon Schneider, Johannes Leibold, und Daniel Bell. 2020.</w:t>
      </w:r>
      <w:r>
        <w:t xml:space="preserve"> </w:t>
      </w:r>
      <w:r>
        <w:rPr>
          <w:i/>
          <w:iCs/>
        </w:rPr>
        <w:t xml:space="preserve">Zukunftsquartier – Weg zum Plus-Energie-Quartier in Wien</w:t>
      </w:r>
      <w:r>
        <w:t xml:space="preserve">. Berichte aus Energie- und Umweltforschung 11/2020. Bundesministerium für Klimaschutz, Umwelt, Energie, Mobilität, Innovation und Technologie (BMK).</w:t>
      </w:r>
      <w:r>
        <w:t xml:space="preserve"> </w:t>
      </w:r>
      <w:hyperlink r:id="rId404">
        <w:r>
          <w:rPr>
            <w:rStyle w:val="Hyperlink"/>
          </w:rPr>
          <w:t xml:space="preserve">https://nachhaltigwirtschaften.at/resources/sdz_pdf/schriftenreihe-2020-11-zukunftsquartier.pdf</w:t>
        </w:r>
      </w:hyperlink>
      <w:r>
        <w:t xml:space="preserve">.</w:t>
      </w:r>
    </w:p>
    <w:bookmarkEnd w:id="405"/>
    <w:bookmarkStart w:id="406" w:name="ref-streicher2010energieautarkie"/>
    <w:p>
      <w:pPr>
        <w:pStyle w:val="Bibliography"/>
      </w:pPr>
      <w:r>
        <w:t xml:space="preserve">Streicher, Wolfgang, Hans Schnitzer, Michaela Titz, u. a. 2010.</w:t>
      </w:r>
      <w:r>
        <w:t xml:space="preserve"> </w:t>
      </w:r>
      <w:r>
        <w:rPr>
          <w:i/>
          <w:iCs/>
        </w:rPr>
        <w:t xml:space="preserve">Energieautarkie für Österreich 2050: Feasibility Study Endbericht</w:t>
      </w:r>
      <w:r>
        <w:t xml:space="preserve">. Universität Innsbruck und Projektkonsortium, im Auftrag des Klima- und Energiefonds.</w:t>
      </w:r>
    </w:p>
    <w:bookmarkEnd w:id="406"/>
    <w:bookmarkStart w:id="408" w:name="ref-uba2023szenarien"/>
    <w:p>
      <w:pPr>
        <w:pStyle w:val="Bibliography"/>
      </w:pPr>
      <w:r>
        <w:t xml:space="preserve">Umweltbundesamt. 2023a.</w:t>
      </w:r>
      <w:r>
        <w:t xml:space="preserve"> </w:t>
      </w:r>
      <w:r>
        <w:rPr>
          <w:i/>
          <w:iCs/>
        </w:rPr>
        <w:t xml:space="preserve">Energie- und Treibhausgasszenarien 2023: WEM, WAM, Transition</w:t>
      </w:r>
      <w:r>
        <w:t xml:space="preserve">. REP-0882. Reports. Umweltbundesamt.</w:t>
      </w:r>
      <w:r>
        <w:t xml:space="preserve"> </w:t>
      </w:r>
      <w:hyperlink r:id="rId407">
        <w:r>
          <w:rPr>
            <w:rStyle w:val="Hyperlink"/>
          </w:rPr>
          <w:t xml:space="preserve">https://www.umweltbundesamt.at/fileadmin/site/publikationen/rep0882.pdf</w:t>
        </w:r>
      </w:hyperlink>
      <w:r>
        <w:t xml:space="preserve">.</w:t>
      </w:r>
    </w:p>
    <w:bookmarkEnd w:id="408"/>
    <w:bookmarkStart w:id="410" w:name="ref-uba2023zusammenfassung"/>
    <w:p>
      <w:pPr>
        <w:pStyle w:val="Bibliography"/>
      </w:pPr>
      <w:r>
        <w:t xml:space="preserve">Umweltbundesamt. 2023b.</w:t>
      </w:r>
      <w:r>
        <w:t xml:space="preserve"> </w:t>
      </w:r>
      <w:r>
        <w:rPr>
          <w:i/>
          <w:iCs/>
        </w:rPr>
        <w:t xml:space="preserve">Energie- und Treibhausgasszenarien 2023: WEM, WAM und Transition. Barrierefreie Zusammenfassung</w:t>
      </w:r>
      <w:r>
        <w:t xml:space="preserve">. REP-0882. Umweltbundesamt.</w:t>
      </w:r>
      <w:r>
        <w:t xml:space="preserve"> </w:t>
      </w:r>
      <w:hyperlink r:id="rId409">
        <w:r>
          <w:rPr>
            <w:rStyle w:val="Hyperlink"/>
          </w:rPr>
          <w:t xml:space="preserve">https://www.umweltbundesamt.at/fileadmin/site/publikationen/rep0882_bfz.pdf</w:t>
        </w:r>
      </w:hyperlink>
      <w:r>
        <w:t xml:space="preserve">.</w:t>
      </w:r>
    </w:p>
    <w:bookmarkEnd w:id="410"/>
    <w:bookmarkStart w:id="412" w:name="ref-uba2023transition"/>
    <w:p>
      <w:pPr>
        <w:pStyle w:val="Bibliography"/>
      </w:pPr>
      <w:r>
        <w:t xml:space="preserve">Umweltbundesamt. 2024.</w:t>
      </w:r>
      <w:r>
        <w:t xml:space="preserve"> </w:t>
      </w:r>
      <w:r>
        <w:rPr>
          <w:i/>
          <w:iCs/>
        </w:rPr>
        <w:t xml:space="preserve">Energie- und Treibhausgas-Szenario Transition 2040</w:t>
      </w:r>
      <w:r>
        <w:t xml:space="preserve">. REP-0880. Reports. Umweltbundesamt.</w:t>
      </w:r>
      <w:r>
        <w:t xml:space="preserve"> </w:t>
      </w:r>
      <w:hyperlink r:id="rId411">
        <w:r>
          <w:rPr>
            <w:rStyle w:val="Hyperlink"/>
          </w:rPr>
          <w:t xml:space="preserve">https://www.umweltbundesamt.at/fileadmin/site/publikationen/rep0880.pdf</w:t>
        </w:r>
      </w:hyperlink>
      <w:r>
        <w:t xml:space="preserve">.</w:t>
      </w:r>
    </w:p>
    <w:bookmarkEnd w:id="412"/>
    <w:bookmarkStart w:id="414" w:name="ref-uba2025szenarien"/>
    <w:p>
      <w:pPr>
        <w:pStyle w:val="Bibliography"/>
      </w:pPr>
      <w:r>
        <w:t xml:space="preserve">Umweltbundesamt. 2025.</w:t>
      </w:r>
      <w:r>
        <w:t xml:space="preserve"> </w:t>
      </w:r>
      <w:r>
        <w:rPr>
          <w:i/>
          <w:iCs/>
        </w:rPr>
        <w:t xml:space="preserve">Energie- und Treibhausgas-Szenarien 2025: WEM und WAM</w:t>
      </w:r>
      <w:r>
        <w:t xml:space="preserve">. REP-0995. Reports. Umweltbundesamt.</w:t>
      </w:r>
      <w:r>
        <w:t xml:space="preserve"> </w:t>
      </w:r>
      <w:hyperlink r:id="rId413">
        <w:r>
          <w:rPr>
            <w:rStyle w:val="Hyperlink"/>
          </w:rPr>
          <w:t xml:space="preserve">https://www.umweltbundesamt.at/fileadmin/site/publikationen/rep0995.pdf</w:t>
        </w:r>
      </w:hyperlink>
      <w:r>
        <w:t xml:space="preserve">.</w:t>
      </w:r>
    </w:p>
    <w:bookmarkEnd w:id="414"/>
    <w:bookmarkEnd w:id="415"/>
    <w:bookmarkEnd w:id="416"/>
    <w:bookmarkStart w:id="431" w:name="sec-about"/>
    <w:p>
      <w:pPr>
        <w:pStyle w:val="Heading1"/>
      </w:pPr>
      <w:r>
        <w:t xml:space="preserve">Über diesen Bericht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C:\Users\schneids\AppData\Local\Programs\Quarto\share\formats\docx\note.png" id="418"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Arbeitsfassung vom 14. Oktober 2026</w:t>
            </w:r>
          </w:p>
        </w:tc>
      </w:tr>
      <w:tr>
        <w:trPr>
          <w:cantSplit/>
        </w:trPr>
        <w:tc>
          <w:tcPr>
            <w:tcMar>
              <w:top w:w="108" w:type="dxa"/>
              <w:bottom w:w="108" w:type="dxa"/>
            </w:tcMar>
          </w:tcPr>
          <w:p/>
        </w:tc>
      </w:tr>
    </w:tbl>
    <w:bookmarkStart w:id="420" w:name="ziel-des-hintergrundberichts"/>
    <w:p>
      <w:pPr>
        <w:pStyle w:val="Heading2"/>
      </w:pPr>
      <w:r>
        <w:t xml:space="preserve">Ziel des Hintergrundberichts</w:t>
      </w:r>
    </w:p>
    <w:p>
      <w:pPr>
        <w:pStyle w:val="FirstParagraph"/>
      </w:pPr>
      <w:r>
        <w:t xml:space="preserve">Dieser Bericht dokumentiert die von unserem Forschungsteam entwickelte Methodik des klimaaktiv Standards für Plus-Energie-Quartiere. Er führt die bereits in Schneider et al. publizierten Herleitungen und das Bewertungsmodell zu einer gemeinsamen Referenz für Planung, Verwaltung und Forschung zusammen</w:t>
      </w:r>
      <w:r>
        <w:t xml:space="preserve"> </w:t>
      </w:r>
      <w:r>
        <w:t xml:space="preserve">(Schneider u. a. 2023, 2025; Schneider 2026)</w:t>
      </w:r>
      <w:r>
        <w:t xml:space="preserve">.</w:t>
      </w:r>
    </w:p>
    <w:p>
      <w:pPr>
        <w:pStyle w:val="BodyText"/>
      </w:pPr>
      <w:r>
        <w:t xml:space="preserve">Er ergänzt zwei weitere klimaaktiv-Publikationen: Die Broschüre</w:t>
      </w:r>
      <w:r>
        <w:t xml:space="preserve"> </w:t>
      </w:r>
      <w:r>
        <w:rPr>
          <w:i/>
          <w:iCs/>
        </w:rPr>
        <w:t xml:space="preserve">Plus-Energie-Quartiere</w:t>
      </w:r>
      <w:r>
        <w:t xml:space="preserve"> </w:t>
      </w:r>
      <w:r>
        <w:t xml:space="preserve">bietet einen Überblick über den Standard und seine Anwendungsmöglichkeiten. Das</w:t>
      </w:r>
      <w:r>
        <w:t xml:space="preserve"> </w:t>
      </w:r>
      <w:r>
        <w:rPr>
          <w:i/>
          <w:iCs/>
        </w:rPr>
        <w:t xml:space="preserve">Handbuch zum PEQ-Nachweistool</w:t>
      </w:r>
      <w:r>
        <w:t xml:space="preserve"> </w:t>
      </w:r>
      <w:r>
        <w:t xml:space="preserve">beschreibt die praktische Durchführung der Nachweisführung.</w:t>
      </w:r>
    </w:p>
    <w:p>
      <w:pPr>
        <w:pStyle w:val="BodyText"/>
      </w:pPr>
      <w:r>
        <w:t xml:space="preserve">Der vorliegende Hintergrundbericht konzentriert sich dagegen auf die Frage,</w:t>
      </w:r>
      <w:r>
        <w:t xml:space="preserve"> </w:t>
      </w:r>
      <w:r>
        <w:rPr>
          <w:b/>
          <w:bCs/>
        </w:rPr>
        <w:t xml:space="preserve">warum die Anforderungen in dieser Form definiert wurden und wie sie rechnerisch zustande kommen</w:t>
      </w:r>
      <w:r>
        <w:t xml:space="preserve">.</w:t>
      </w:r>
      <w:r>
        <w:t xml:space="preserve"> </w:t>
      </w:r>
      <w:r>
        <w:t xml:space="preserve">Er verfolgt insbesondere vier Ziele:</w:t>
      </w:r>
    </w:p>
    <w:p>
      <w:pPr>
        <w:pStyle w:val="Compact"/>
        <w:numPr>
          <w:ilvl w:val="0"/>
          <w:numId w:val="1005"/>
        </w:numPr>
      </w:pPr>
      <w:r>
        <w:t xml:space="preserve">Die Herleitung der quantitativen Anforderungen aus übergeordneten Energie- und Klimazielen nachvollziehbar darzustellen.</w:t>
      </w:r>
    </w:p>
    <w:p>
      <w:pPr>
        <w:pStyle w:val="Compact"/>
        <w:numPr>
          <w:ilvl w:val="0"/>
          <w:numId w:val="1005"/>
        </w:numPr>
      </w:pPr>
      <w:r>
        <w:t xml:space="preserve">Die Systemgrenzen, Bilanzierungsverfahren und Kontextfaktoren des Standards zu erläutern.</w:t>
      </w:r>
    </w:p>
    <w:p>
      <w:pPr>
        <w:pStyle w:val="Compact"/>
        <w:numPr>
          <w:ilvl w:val="0"/>
          <w:numId w:val="1005"/>
        </w:numPr>
      </w:pPr>
      <w:r>
        <w:t xml:space="preserve">Die Annahmen, Berechnungsverfahren und Grenzen des verwendeten Bewertungsmodells offenzulegen.</w:t>
      </w:r>
    </w:p>
    <w:p>
      <w:pPr>
        <w:pStyle w:val="Compact"/>
        <w:numPr>
          <w:ilvl w:val="0"/>
          <w:numId w:val="1005"/>
        </w:numPr>
      </w:pPr>
      <w:r>
        <w:t xml:space="preserve">Die Grundlage für eine transparente Anwendung und dokumentierte Weiterentwicklung der Methodik zu schaffen.</w:t>
      </w:r>
    </w:p>
    <w:bookmarkStart w:id="419" w:name="zielgruppe"/>
    <w:p>
      <w:pPr>
        <w:pStyle w:val="Heading3"/>
      </w:pPr>
      <w:r>
        <w:t xml:space="preserve">Zielgruppe</w:t>
      </w:r>
    </w:p>
    <w:p>
      <w:pPr>
        <w:pStyle w:val="FirstParagraph"/>
      </w:pPr>
      <w:r>
        <w:t xml:space="preserve">Der Bericht richtet sich insbesondere an Architekt:innen, Fachplaner:innen, Energieberater:innen, Projektentwickler:innen sowie Fachleute aus Verwaltung, Forschung und Qualitätssicherung, die sich mit der Bewertung klimaneutraler Gebäude, Quartiere und Städte beschäftigen.</w:t>
      </w:r>
    </w:p>
    <w:bookmarkEnd w:id="419"/>
    <w:bookmarkEnd w:id="420"/>
    <w:bookmarkStart w:id="426" w:name="Xad286ae14fc15906bda24707bff55113c12e08b"/>
    <w:p>
      <w:pPr>
        <w:pStyle w:val="Heading2"/>
      </w:pPr>
      <w:r>
        <w:t xml:space="preserve">Entstehung und wissenschaftliche Grundlagen</w:t>
      </w:r>
    </w:p>
    <w:p>
      <w:pPr>
        <w:pStyle w:val="FirstParagraph"/>
      </w:pPr>
      <w:r>
        <w:t xml:space="preserve">Die Methodik wurde von der Forschungsgruppe</w:t>
      </w:r>
      <w:r>
        <w:t xml:space="preserve"> </w:t>
      </w:r>
      <w:r>
        <w:rPr>
          <w:i/>
          <w:iCs/>
        </w:rPr>
        <w:t xml:space="preserve">Climate-fit Buildings and Districts</w:t>
      </w:r>
      <w:r>
        <w:t xml:space="preserve"> </w:t>
      </w:r>
      <w:r>
        <w:t xml:space="preserve">der FH Technikum Wien im Rahmen von Forschungs- und Entwicklungsarbeiten zu klimaneutralen Plus-Energie-Quartieren erarbeitet.</w:t>
      </w:r>
    </w:p>
    <w:p>
      <w:pPr>
        <w:pStyle w:val="BodyText"/>
      </w:pPr>
      <w:r>
        <w:t xml:space="preserve">Die Entwicklung der Bewertungsmethodik und des PEExcel-Nachweistools erfolgte über mehrere Forschungs- und Entwicklungsschritte. Ausgehend von frühen Energiemodellen wurde die Betrachtung schrittweise auf Mobilität, Lebenszyklusemissionen und die klimaaktiv-Nachweisführung erweitert.</w:t>
      </w:r>
    </w:p>
    <w:tbl>
      <w:tblPr>
        <w:tblStyle w:val="Table"/>
        <w:tblW w:type="pct" w:w="5000"/>
        <w:tblLayout w:type="fixed"/>
        <w:tblLook w:firstRow="0" w:lastRow="0" w:firstColumn="0" w:lastColumn="0" w:noHBand="0" w:noVBand="0" w:val="0000"/>
      </w:tblPr>
      <w:tblGrid>
        <w:gridCol w:w="7920"/>
      </w:tblGrid>
      <w:tr>
        <w:tc>
          <w:tcPr/>
          <w:bookmarkStart w:id="425" w:name="fig-peq-entwicklung"/>
          <w:p>
            <w:pPr>
              <w:pStyle w:val="Compact"/>
              <w:jc w:val="center"/>
            </w:pPr>
            <w:r>
              <w:drawing>
                <wp:inline>
                  <wp:extent cx="5334000" cy="2085176"/>
                  <wp:effectExtent b="0" l="0" r="0" t="0"/>
                  <wp:docPr descr="" title="" id="422" name="Picture"/>
                  <a:graphic>
                    <a:graphicData uri="http://schemas.openxmlformats.org/drawingml/2006/picture">
                      <pic:pic>
                        <pic:nvPicPr>
                          <pic:cNvPr descr="Abbildungen/journey.svg" id="423" name="Picture"/>
                          <pic:cNvPicPr>
                            <a:picLocks noChangeArrowheads="1" noChangeAspect="1"/>
                          </pic:cNvPicPr>
                        </pic:nvPicPr>
                        <pic:blipFill>
                          <a:blip r:embed="rId424">
                            <a:extLst>
                              <a:ext uri="{28A0092B-C50C-407E-A947-70E740481C1C}">
                                <a14:useLocalDpi xmlns:a14="http://schemas.microsoft.com/office/drawing/2010/main" val="0"/>
                              </a:ext>
                              <a:ext uri="{96DAC541-7B7A-43D3-8B79-37D633B846F1}">
                                <asvg:svgBlip xmlns:asvg="http://schemas.microsoft.com/office/drawing/2016/SVG/main" r:embed="rId421"/>
                              </a:ext>
                            </a:extLst>
                          </a:blip>
                          <a:stretch>
                            <a:fillRect/>
                          </a:stretch>
                        </pic:blipFill>
                        <pic:spPr bwMode="auto">
                          <a:xfrm>
                            <a:off x="0" y="0"/>
                            <a:ext cx="5334000" cy="2085176"/>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20.1: Historische Entwicklung der PEQ-Bewertungsmethodik und des Nachweistools von ersten Forschungsanwendungen bis zur klimaaktiv-Operationalisierung.</w:t>
            </w:r>
          </w:p>
          <w:bookmarkEnd w:id="425"/>
        </w:tc>
      </w:tr>
    </w:tbl>
    <w:p>
      <w:pPr>
        <w:pStyle w:val="BodyText"/>
      </w:pPr>
      <w:r>
        <w:t xml:space="preserve">Wesentliche wissenschaftliche Grundlagen bilden die Dissertation von Schneider (2026) sowie die zugehörigen Publikationen zur quantitativen Definition von Plus-Energie-Quartieren, zur nationalen Allokation von Energie- und Treibhausgasbudgets und zur integrierten Quartiersbewertung</w:t>
      </w:r>
      <w:r>
        <w:t xml:space="preserve"> </w:t>
      </w:r>
      <w:r>
        <w:t xml:space="preserve">(Schneider 2026; Schneider u. a. 2023, 2025)</w:t>
      </w:r>
      <w:r>
        <w:t xml:space="preserve">.</w:t>
      </w:r>
    </w:p>
    <w:p>
      <w:pPr>
        <w:pStyle w:val="BodyText"/>
      </w:pPr>
      <w:r>
        <w:t xml:space="preserve">Der Bericht führt diese Arbeiten zusammen und dokumentiert ihre Operationalisierung im österreichischen klimaaktiv Standard.</w:t>
      </w:r>
    </w:p>
    <w:bookmarkEnd w:id="426"/>
    <w:bookmarkStart w:id="427" w:name="methodenstand-und-versionierung"/>
    <w:p>
      <w:pPr>
        <w:pStyle w:val="Heading2"/>
      </w:pPr>
      <w:r>
        <w:t xml:space="preserve">Methodenstand und Versionierung</w:t>
      </w:r>
    </w:p>
    <w:p>
      <w:pPr>
        <w:pStyle w:val="FirstParagraph"/>
      </w:pPr>
      <w:r>
        <w:t xml:space="preserve">Die dargestellten Anforderungen beruhen auf einem definierten Methodenstand und den zugrunde liegenden nationalen Energie- und Klimaszenarien.</w:t>
      </w:r>
    </w:p>
    <w:p>
      <w:pPr>
        <w:pStyle w:val="BodyText"/>
      </w:pPr>
      <w:r>
        <w:t xml:space="preserve">Da sich Szenarien, wissenschaftliche Erkenntnisse und Rahmenbedingungen weiterentwickeln, ist eine regelmäßige Überprüfung und Fortschreibung der Methodik vorgesehen. Änderungen an Zielwerten, Kontextfaktoren und Bilanzierungsregeln sollen nachvollziehbar dokumentiert werden.</w:t>
      </w:r>
    </w:p>
    <w:p>
      <w:pPr>
        <w:pStyle w:val="BodyText"/>
      </w:pPr>
      <w:r>
        <w:t xml:space="preserve">Zwischen dem</w:t>
      </w:r>
      <w:r>
        <w:t xml:space="preserve"> </w:t>
      </w:r>
      <w:r>
        <w:rPr>
          <w:b/>
          <w:bCs/>
        </w:rPr>
        <w:t xml:space="preserve">Methodenstand des Standards</w:t>
      </w:r>
      <w:r>
        <w:t xml:space="preserve"> </w:t>
      </w:r>
      <w:r>
        <w:t xml:space="preserve">und der</w:t>
      </w:r>
      <w:r>
        <w:t xml:space="preserve"> </w:t>
      </w:r>
      <w:r>
        <w:rPr>
          <w:b/>
          <w:bCs/>
        </w:rPr>
        <w:t xml:space="preserve">Softwareversion des PEQ-Nachweistools (PEExcel)</w:t>
      </w:r>
      <w:r>
        <w:t xml:space="preserve"> </w:t>
      </w:r>
      <w:r>
        <w:t xml:space="preserve">wird ausdrücklich unterschieden. Weiterentwicklungen der Software bedeuten nicht zwangsläufig eine Änderung der Bewertungsmethodik.</w:t>
      </w:r>
    </w:p>
    <w:bookmarkEnd w:id="427"/>
    <w:bookmarkStart w:id="428" w:name="autorinnen-und-mitwirkende"/>
    <w:p>
      <w:pPr>
        <w:pStyle w:val="Heading2"/>
      </w:pPr>
      <w:r>
        <w:t xml:space="preserve">Autor:innen und Mitwirkende</w:t>
      </w:r>
    </w:p>
    <w:p>
      <w:pPr>
        <w:pStyle w:val="FirstParagraph"/>
      </w:pPr>
      <w:r>
        <w:t xml:space="preserve">Der Bericht wird von der Forschungsgruppe</w:t>
      </w:r>
      <w:r>
        <w:t xml:space="preserve"> </w:t>
      </w:r>
      <w:r>
        <w:rPr>
          <w:i/>
          <w:iCs/>
        </w:rPr>
        <w:t xml:space="preserve">Climate-fit Buildings and Districts</w:t>
      </w:r>
      <w:r>
        <w:t xml:space="preserve"> </w:t>
      </w:r>
      <w:r>
        <w:t xml:space="preserve">der FH Technikum Wien erarbeitet.</w:t>
      </w:r>
    </w:p>
    <w:p>
      <w:pPr>
        <w:pStyle w:val="BodyText"/>
      </w:pPr>
      <w:r>
        <w:rPr>
          <w:b/>
          <w:bCs/>
        </w:rPr>
        <w:t xml:space="preserve">Wissenschaftliche Bearbeitung:</w:t>
      </w:r>
      <w:r>
        <w:t xml:space="preserve"> </w:t>
      </w:r>
      <w:r>
        <w:t xml:space="preserve">Thomas Zelger, Simon Schneider</w:t>
      </w:r>
    </w:p>
    <w:p>
      <w:pPr>
        <w:pStyle w:val="BodyText"/>
      </w:pPr>
      <w:r>
        <w:rPr>
          <w:b/>
          <w:bCs/>
        </w:rPr>
        <w:t xml:space="preserve">Institution:</w:t>
      </w:r>
      <w:r>
        <w:t xml:space="preserve"> </w:t>
      </w:r>
      <w:r>
        <w:t xml:space="preserve">FH Technikum Wien</w:t>
      </w:r>
    </w:p>
    <w:p>
      <w:pPr>
        <w:pStyle w:val="BodyText"/>
      </w:pPr>
      <w:r>
        <w:t xml:space="preserve">[Autor:innenliste, weitere Mitwirkende, Auftraggeber und institutionelle Angaben vor Veröffentlichung ergänzen.]</w:t>
      </w:r>
    </w:p>
    <w:bookmarkEnd w:id="428"/>
    <w:bookmarkStart w:id="429" w:name="zitierempfehlung"/>
    <w:p>
      <w:pPr>
        <w:pStyle w:val="Heading2"/>
      </w:pPr>
      <w:r>
        <w:t xml:space="preserve">Zitierempfehlung</w:t>
      </w:r>
    </w:p>
    <w:p>
      <w:pPr>
        <w:pStyle w:val="FirstParagraph"/>
      </w:pPr>
      <w:r>
        <w:t xml:space="preserve">Für die wissenschaftliche Bezugnahme auf die Methodik wird empfohlen, die jeweils einschlägigen Originalpublikationen zu zitieren.</w:t>
      </w:r>
    </w:p>
    <w:p>
      <w:pPr>
        <w:pStyle w:val="BodyText"/>
      </w:pPr>
      <w:r>
        <w:t xml:space="preserve">Für Verweise auf die zusammenfassende Darstellung dieses Hintergrundberichts ist folgende Zitierweise vorgesehen:</w:t>
      </w:r>
    </w:p>
    <w:p>
      <w:pPr>
        <w:pStyle w:val="BodyText"/>
      </w:pPr>
      <w:r>
        <w:t xml:space="preserve">Schneider, S. et al. (2026):</w:t>
      </w:r>
      <w:r>
        <w:t xml:space="preserve"> </w:t>
      </w:r>
      <w:r>
        <w:rPr>
          <w:i/>
          <w:iCs/>
        </w:rPr>
        <w:t xml:space="preserve">Klimaneutrale Plus-Energie-Quartiere. Wissenschaftliche Grundlagen des klimaaktiv Standards für Plus-Energie-Quartiere.</w:t>
      </w:r>
      <w:r>
        <w:t xml:space="preserve"> </w:t>
      </w:r>
      <w:r>
        <w:t xml:space="preserve">FH Technikum Wien, Wien.</w:t>
      </w:r>
    </w:p>
    <w:bookmarkEnd w:id="429"/>
    <w:bookmarkStart w:id="430" w:name="quellen-und-geltungsbereich"/>
    <w:p>
      <w:pPr>
        <w:pStyle w:val="Heading2"/>
      </w:pPr>
      <w:r>
        <w:t xml:space="preserve">Quellen und Geltungsbereich</w:t>
      </w:r>
    </w:p>
    <w:p>
      <w:pPr>
        <w:pStyle w:val="FirstParagraph"/>
      </w:pPr>
      <w:r>
        <w:t xml:space="preserve">Dieser Bericht dokumentiert die von unserem Forschungsteam entwickelte Methodik des klimaaktiv Standards für Plus-Energie-Quartiere. Er führt die in Schneider (2026) und den zugehörigen Publikationen beschriebenen Grundlagen zu einer zusammenhängenden Methodendarstellung zusammen</w:t>
      </w:r>
      <w:r>
        <w:t xml:space="preserve"> </w:t>
      </w:r>
      <w:r>
        <w:t xml:space="preserve">(Schneider 2026; Schneider u. a. 2023, 2025)</w:t>
      </w:r>
      <w:r>
        <w:t xml:space="preserve">. Die klimaaktiv-Broschüre ergänzt diese Darstellung um einen kompakten Überblick zur Anwendung</w:t>
      </w:r>
      <w:r>
        <w:t xml:space="preserve"> </w:t>
      </w:r>
      <w:r>
        <w:t xml:space="preserve">(Schneider u. a. 2026)</w:t>
      </w:r>
      <w:r>
        <w:t xml:space="preserve">.</w:t>
      </w:r>
    </w:p>
    <w:p>
      <w:pPr>
        <w:pStyle w:val="BodyText"/>
      </w:pPr>
      <w:r>
        <w:t xml:space="preserve">Die hier dokumentierte Anwendung bezieht sich auf Österreich. Eine Übertragung auf andere Länder erfordert eine eigene Prüfung der Szenarien, Allokationen und Bewertungsfaktoren.</w:t>
      </w:r>
    </w:p>
    <w:p>
      <w:pPr>
        <w:pStyle w:val="BodyText"/>
      </w:pPr>
      <w:r>
        <w:t xml:space="preserve">Der Bericht erläutert die wissenschaftlichen Grundlagen des Standards, ersetzt jedoch weder die jeweils gültigen offiziellen Anforderungen noch das Handbuch zur Nachweisführung. Für konkrete Deklarationsvorhaben sind die freigegebenen Dokumente und der jeweils maßgebliche Methoden- und Toolstand heranzuziehen.</w:t>
      </w:r>
    </w:p>
    <w:bookmarkEnd w:id="430"/>
    <w:bookmarkEnd w:id="431"/>
    <w:bookmarkStart w:id="440" w:name="sec-szenariotabellen"/>
    <w:p>
      <w:pPr>
        <w:pStyle w:val="Heading1"/>
      </w:pPr>
      <w:r>
        <w:t xml:space="preserve">Appendix A — Nationale Energie- und Stromtabellen</w:t>
      </w:r>
    </w:p>
    <w:p>
      <w:pPr>
        <w:pStyle w:val="FirstParagraph"/>
      </w:pPr>
      <w:r>
        <w:t xml:space="preserve">Dieser Anhang enthält die Detailtabellen zum Szenariovergleich in</w:t>
      </w:r>
      <w:r>
        <w:t xml:space="preserve"> </w:t>
      </w:r>
      <w:hyperlink w:anchor="sec-zielszenario">
        <w:r>
          <w:rPr>
            <w:rStyle w:val="Hyperlink"/>
          </w:rPr>
          <w:t xml:space="preserve">Kapitel 10</w:t>
        </w:r>
      </w:hyperlink>
      <w:r>
        <w:t xml:space="preserve"> </w:t>
      </w:r>
      <w:r>
        <w:t xml:space="preserve">(zuvor Tabellen 4.1–4.4). Zahlen und Tabellen-IDs sind unverändert; die Nummerierung folgt ihrer Position im Anhang.</w:t>
      </w:r>
    </w:p>
    <w:bookmarkStart w:id="435" w:name="Xc7cd7dfa6250bb3f196989fddfd71dbe6d5fdd2"/>
    <w:p>
      <w:pPr>
        <w:pStyle w:val="Heading2"/>
      </w:pPr>
      <w:r>
        <w:t xml:space="preserve">A.1 Stromerzeugung, Strombedarf und Bilanzreste</w:t>
      </w:r>
    </w:p>
    <w:tbl>
      <w:tblPr>
        <w:tblStyle w:val="Table"/>
        <w:tblW w:type="pct" w:w="5000"/>
        <w:tblLayout w:type="fixed"/>
        <w:tblLook w:firstRow="0" w:lastRow="0" w:firstColumn="0" w:lastColumn="0" w:noHBand="0" w:noVBand="0" w:val="0000"/>
      </w:tblPr>
      <w:tblGrid>
        <w:gridCol w:w="7920"/>
      </w:tblGrid>
      <w:tr>
        <w:tc>
          <w:tcPr/>
          <w:bookmarkStart w:id="432" w:name="tbl-allokation-stromerzeugung-2040"/>
          <w:p>
            <w:pPr>
              <w:jc w:val="center"/>
            </w:pPr>
            <w:pPr>
              <w:jc w:val="left"/>
              <w:spacing w:before="200"/>
              <w:pStyle w:val="ImageCaption"/>
            </w:pPr>
            <w:r>
              <w:t xml:space="preserve">Tabelle A.1: Publizierte Stromerzeugung und Nettoimporte. Transition: REP-0880, Tab. 16, S. 63; WEM/WAM 2023: REP-0882, Zusammenfassung, Tab. D, S. 8; WEM/WAM 2025: REP-0995, Tab. E, S. 12</w:t>
            </w:r>
            <w:r>
              <w:t xml:space="preserve"> </w:t>
            </w:r>
            <w:r>
              <w:t xml:space="preserve">(Umweltbundesamt 2024, 2023b,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Stromerzeugung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Wasserkraft</w:t>
                  </w:r>
                </w:p>
              </w:tc>
              <w:tc>
                <w:tcPr/>
                <w:p>
                  <w:pPr>
                    <w:pStyle w:val="Compact"/>
                    <w:jc w:val="right"/>
                    <w:jc w:val="center"/>
                  </w:pPr>
                  <w:r>
                    <w:t xml:space="preserve">173</w:t>
                  </w:r>
                </w:p>
              </w:tc>
              <w:tc>
                <w:tcPr/>
                <w:p>
                  <w:pPr>
                    <w:pStyle w:val="Compact"/>
                    <w:jc w:val="right"/>
                    <w:jc w:val="center"/>
                  </w:pPr>
                  <w:r>
                    <w:t xml:space="preserve">167</w:t>
                  </w:r>
                </w:p>
              </w:tc>
              <w:tc>
                <w:tcPr/>
                <w:p>
                  <w:pPr>
                    <w:pStyle w:val="Compact"/>
                    <w:jc w:val="right"/>
                    <w:jc w:val="center"/>
                  </w:pPr>
                  <w:r>
                    <w:t xml:space="preserve">176</w:t>
                  </w:r>
                </w:p>
              </w:tc>
              <w:tc>
                <w:tcPr/>
                <w:p>
                  <w:pPr>
                    <w:pStyle w:val="Compact"/>
                    <w:jc w:val="right"/>
                    <w:jc w:val="center"/>
                  </w:pPr>
                  <w:r>
                    <w:t xml:space="preserve">174</w:t>
                  </w:r>
                </w:p>
              </w:tc>
              <w:tc>
                <w:tcPr/>
                <w:p>
                  <w:pPr>
                    <w:pStyle w:val="Compact"/>
                    <w:jc w:val="right"/>
                    <w:jc w:val="center"/>
                  </w:pPr>
                  <w:r>
                    <w:t xml:space="preserve">176</w:t>
                  </w:r>
                </w:p>
              </w:tc>
            </w:tr>
            <w:tr>
              <w:tc>
                <w:tcPr/>
                <w:p>
                  <w:pPr>
                    <w:pStyle w:val="Compact"/>
                    <w:jc w:val="center"/>
                  </w:pPr>
                  <w:r>
                    <w:t xml:space="preserve">Windkraft</w:t>
                  </w:r>
                </w:p>
              </w:tc>
              <w:tc>
                <w:tcPr/>
                <w:p>
                  <w:pPr>
                    <w:pStyle w:val="Compact"/>
                    <w:jc w:val="right"/>
                    <w:jc w:val="center"/>
                  </w:pPr>
                  <w:r>
                    <w:t xml:space="preserve">105</w:t>
                  </w:r>
                </w:p>
              </w:tc>
              <w:tc>
                <w:tcPr/>
                <w:p>
                  <w:pPr>
                    <w:pStyle w:val="Compact"/>
                    <w:jc w:val="right"/>
                    <w:jc w:val="center"/>
                  </w:pPr>
                  <w:r>
                    <w:t xml:space="preserve">65</w:t>
                  </w:r>
                </w:p>
              </w:tc>
              <w:tc>
                <w:tcPr/>
                <w:p>
                  <w:pPr>
                    <w:pStyle w:val="Compact"/>
                    <w:jc w:val="right"/>
                    <w:jc w:val="center"/>
                  </w:pPr>
                  <w:r>
                    <w:t xml:space="preserve">87</w:t>
                  </w:r>
                </w:p>
              </w:tc>
              <w:tc>
                <w:tcPr/>
                <w:p>
                  <w:pPr>
                    <w:pStyle w:val="Compact"/>
                    <w:jc w:val="right"/>
                    <w:jc w:val="center"/>
                  </w:pPr>
                  <w:r>
                    <w:t xml:space="preserve">69</w:t>
                  </w:r>
                </w:p>
              </w:tc>
              <w:tc>
                <w:tcPr/>
                <w:p>
                  <w:pPr>
                    <w:pStyle w:val="Compact"/>
                    <w:jc w:val="right"/>
                    <w:jc w:val="center"/>
                  </w:pPr>
                  <w:r>
                    <w:t xml:space="preserve">87</w:t>
                  </w:r>
                </w:p>
              </w:tc>
            </w:tr>
            <w:tr>
              <w:tc>
                <w:tcPr/>
                <w:p>
                  <w:pPr>
                    <w:pStyle w:val="Compact"/>
                    <w:jc w:val="center"/>
                  </w:pPr>
                  <w:r>
                    <w:t xml:space="preserve">Photovoltaik</w:t>
                  </w:r>
                </w:p>
              </w:tc>
              <w:tc>
                <w:tcPr/>
                <w:p>
                  <w:pPr>
                    <w:pStyle w:val="Compact"/>
                    <w:jc w:val="right"/>
                    <w:jc w:val="center"/>
                  </w:pPr>
                  <w:r>
                    <w:t xml:space="preserve">149</w:t>
                  </w:r>
                </w:p>
              </w:tc>
              <w:tc>
                <w:tcPr/>
                <w:p>
                  <w:pPr>
                    <w:pStyle w:val="Compact"/>
                    <w:jc w:val="right"/>
                    <w:jc w:val="center"/>
                  </w:pPr>
                  <w:r>
                    <w:t xml:space="preserve">53</w:t>
                  </w:r>
                </w:p>
              </w:tc>
              <w:tc>
                <w:tcPr/>
                <w:p>
                  <w:pPr>
                    <w:pStyle w:val="Compact"/>
                    <w:jc w:val="right"/>
                    <w:jc w:val="center"/>
                  </w:pPr>
                  <w:r>
                    <w:t xml:space="preserve">107</w:t>
                  </w:r>
                </w:p>
              </w:tc>
              <w:tc>
                <w:tcPr/>
                <w:p>
                  <w:pPr>
                    <w:pStyle w:val="Compact"/>
                    <w:jc w:val="right"/>
                    <w:jc w:val="center"/>
                  </w:pPr>
                  <w:r>
                    <w:t xml:space="preserve">54</w:t>
                  </w:r>
                </w:p>
              </w:tc>
              <w:tc>
                <w:tcPr/>
                <w:p>
                  <w:pPr>
                    <w:pStyle w:val="Compact"/>
                    <w:jc w:val="right"/>
                    <w:jc w:val="center"/>
                  </w:pPr>
                  <w:r>
                    <w:t xml:space="preserve">107</w:t>
                  </w:r>
                </w:p>
              </w:tc>
            </w:tr>
            <w:tr>
              <w:tc>
                <w:tcPr/>
                <w:p>
                  <w:pPr>
                    <w:pStyle w:val="Compact"/>
                    <w:jc w:val="center"/>
                  </w:pPr>
                  <w:r>
                    <w:t xml:space="preserve">Biomasse inkl. Biomethan</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r>
            <w:tr>
              <w:tc>
                <w:tcPr/>
                <w:p>
                  <w:pPr>
                    <w:pStyle w:val="Compact"/>
                    <w:jc w:val="center"/>
                  </w:pPr>
                  <w:r>
                    <w:t xml:space="preserve">Geothermie / sonstige Erzeugung¹</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Wasserstoff-Rückverstromung</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Fossile Erzeugung</w:t>
                  </w:r>
                </w:p>
              </w:tc>
              <w:tc>
                <w:tcPr/>
                <w:p>
                  <w:pPr>
                    <w:pStyle w:val="Compact"/>
                    <w:jc w:val="right"/>
                    <w:jc w:val="center"/>
                  </w:pPr>
                  <w:r>
                    <w:t xml:space="preserve">1</w:t>
                  </w:r>
                </w:p>
              </w:tc>
              <w:tc>
                <w:tcPr/>
                <w:p>
                  <w:pPr>
                    <w:pStyle w:val="Compact"/>
                    <w:jc w:val="right"/>
                    <w:jc w:val="center"/>
                  </w:pPr>
                  <w:r>
                    <w:t xml:space="preserve">33</w:t>
                  </w:r>
                </w:p>
              </w:tc>
              <w:tc>
                <w:tcPr/>
                <w:p>
                  <w:pPr>
                    <w:pStyle w:val="Compact"/>
                    <w:jc w:val="right"/>
                    <w:jc w:val="center"/>
                  </w:pPr>
                  <w:r>
                    <w:t xml:space="preserve">15</w:t>
                  </w:r>
                </w:p>
              </w:tc>
              <w:tc>
                <w:tcPr/>
                <w:p>
                  <w:pPr>
                    <w:pStyle w:val="Compact"/>
                    <w:jc w:val="right"/>
                    <w:jc w:val="center"/>
                  </w:pPr>
                  <w:r>
                    <w:t xml:space="preserve">27</w:t>
                  </w:r>
                </w:p>
              </w:tc>
              <w:tc>
                <w:tcPr/>
                <w:p>
                  <w:pPr>
                    <w:pStyle w:val="Compact"/>
                    <w:jc w:val="right"/>
                    <w:jc w:val="center"/>
                  </w:pPr>
                  <w:r>
                    <w:t xml:space="preserve">15</w:t>
                  </w:r>
                </w:p>
              </w:tc>
            </w:tr>
            <w:tr>
              <w:tc>
                <w:tcPr/>
                <w:p>
                  <w:pPr>
                    <w:pStyle w:val="Compact"/>
                    <w:jc w:val="center"/>
                  </w:pPr>
                  <w:r>
                    <w:t xml:space="preserve">Publizierte Erzeugung gesamt</w:t>
                  </w:r>
                </w:p>
              </w:tc>
              <w:tc>
                <w:tcPr/>
                <w:p>
                  <w:pPr>
                    <w:pStyle w:val="Compact"/>
                    <w:jc w:val="right"/>
                    <w:jc w:val="center"/>
                  </w:pPr>
                  <w:r>
                    <w:t xml:space="preserve">457</w:t>
                  </w:r>
                </w:p>
              </w:tc>
              <w:tc>
                <w:tcPr/>
                <w:p>
                  <w:pPr>
                    <w:pStyle w:val="Compact"/>
                    <w:jc w:val="right"/>
                    <w:jc w:val="center"/>
                  </w:pPr>
                  <w:r>
                    <w:t xml:space="preserve">339</w:t>
                  </w:r>
                </w:p>
              </w:tc>
              <w:tc>
                <w:tcPr/>
                <w:p>
                  <w:pPr>
                    <w:pStyle w:val="Compact"/>
                    <w:jc w:val="right"/>
                    <w:jc w:val="center"/>
                  </w:pPr>
                  <w:r>
                    <w:t xml:space="preserve">406</w:t>
                  </w:r>
                </w:p>
              </w:tc>
              <w:tc>
                <w:tcPr/>
                <w:p>
                  <w:pPr>
                    <w:pStyle w:val="Compact"/>
                    <w:jc w:val="right"/>
                    <w:jc w:val="center"/>
                  </w:pPr>
                  <w:r>
                    <w:t xml:space="preserve">346</w:t>
                  </w:r>
                </w:p>
              </w:tc>
              <w:tc>
                <w:tcPr/>
                <w:p>
                  <w:pPr>
                    <w:pStyle w:val="Compact"/>
                    <w:jc w:val="right"/>
                    <w:jc w:val="center"/>
                  </w:pPr>
                  <w:r>
                    <w:t xml:space="preserve">406</w:t>
                  </w:r>
                </w:p>
              </w:tc>
            </w:tr>
            <w:tr>
              <w:tc>
                <w:tcPr/>
                <w:p>
                  <w:pPr>
                    <w:pStyle w:val="Compact"/>
                    <w:jc w:val="center"/>
                  </w:pPr>
                  <w:r>
                    <w:t xml:space="preserve">Nettoimporte (− = Export)</w:t>
                  </w:r>
                </w:p>
              </w:tc>
              <w:tc>
                <w:tcPr/>
                <w:p>
                  <w:pPr>
                    <w:pStyle w:val="Compact"/>
                    <w:jc w:val="right"/>
                    <w:jc w:val="center"/>
                  </w:pPr>
                  <w:r>
                    <w:t xml:space="preserve">-7</w:t>
                  </w:r>
                </w:p>
              </w:tc>
              <w:tc>
                <w:tcPr/>
                <w:p>
                  <w:pPr>
                    <w:pStyle w:val="Compact"/>
                    <w:jc w:val="right"/>
                    <w:jc w:val="center"/>
                  </w:pPr>
                  <w:r>
                    <w:t xml:space="preserve">38</w:t>
                  </w:r>
                </w:p>
              </w:tc>
              <w:tc>
                <w:tcPr/>
                <w:p>
                  <w:pPr>
                    <w:pStyle w:val="Compact"/>
                    <w:jc w:val="right"/>
                    <w:jc w:val="center"/>
                  </w:pPr>
                  <w:r>
                    <w:t xml:space="preserve">-10</w:t>
                  </w:r>
                </w:p>
              </w:tc>
              <w:tc>
                <w:tcPr/>
                <w:p>
                  <w:pPr>
                    <w:pStyle w:val="Compact"/>
                    <w:jc w:val="right"/>
                    <w:jc w:val="center"/>
                  </w:pPr>
                  <w:r>
                    <w:t xml:space="preserve">21</w:t>
                  </w:r>
                </w:p>
              </w:tc>
              <w:tc>
                <w:tcPr/>
                <w:p>
                  <w:pPr>
                    <w:pStyle w:val="Compact"/>
                    <w:jc w:val="right"/>
                    <w:jc w:val="center"/>
                  </w:pPr>
                  <w:r>
                    <w:t xml:space="preserve">1</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3" w:name="tbl-allokation-strombedarf-2040"/>
          <w:p>
            <w:pPr>
              <w:jc w:val="center"/>
            </w:pPr>
            <w:pPr>
              <w:jc w:val="left"/>
              <w:spacing w:before="200"/>
              <w:pStyle w:val="ImageCaption"/>
            </w:pPr>
            <w:r>
              <w:t xml:space="preserve">Tabelle A.2: Publizierter Strombedarf einschließlich Energiebranche, Verlusten und Umwandlung. Transition: REP-0880, Tab. 15, S. 60; WEM/WAM 2023: REP-0882, Tab. 12, S. 39; WEM/WAM 2025: REP-0995, Tab. 18, S. 62</w:t>
            </w:r>
            <w:r>
              <w:t xml:space="preserve"> </w:t>
            </w:r>
            <w:r>
              <w:t xml:space="preserve">(Umweltbundesamt 2024, 2023a,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Strombedarf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90</w:t>
                  </w:r>
                </w:p>
              </w:tc>
              <w:tc>
                <w:tcPr/>
                <w:p>
                  <w:pPr>
                    <w:pStyle w:val="Compact"/>
                    <w:jc w:val="right"/>
                    <w:jc w:val="center"/>
                  </w:pPr>
                  <w:r>
                    <w:t xml:space="preserve">76</w:t>
                  </w:r>
                </w:p>
              </w:tc>
              <w:tc>
                <w:tcPr/>
                <w:p>
                  <w:pPr>
                    <w:pStyle w:val="Compact"/>
                    <w:jc w:val="right"/>
                    <w:jc w:val="center"/>
                  </w:pPr>
                  <w:r>
                    <w:t xml:space="preserve">72</w:t>
                  </w:r>
                </w:p>
              </w:tc>
              <w:tc>
                <w:tcPr/>
                <w:p>
                  <w:pPr>
                    <w:pStyle w:val="Compact"/>
                    <w:jc w:val="right"/>
                    <w:jc w:val="center"/>
                  </w:pPr>
                  <w:r>
                    <w:t xml:space="preserve">67</w:t>
                  </w:r>
                </w:p>
              </w:tc>
              <w:tc>
                <w:tcPr/>
                <w:p>
                  <w:pPr>
                    <w:pStyle w:val="Compact"/>
                    <w:jc w:val="right"/>
                    <w:jc w:val="center"/>
                  </w:pPr>
                  <w:r>
                    <w:t xml:space="preserve">70</w:t>
                  </w:r>
                </w:p>
              </w:tc>
            </w:tr>
            <w:tr>
              <w:tc>
                <w:tcPr/>
                <w:p>
                  <w:pPr>
                    <w:pStyle w:val="Compact"/>
                    <w:jc w:val="center"/>
                  </w:pPr>
                  <w:r>
                    <w:t xml:space="preserve">Gebäude</w:t>
                  </w:r>
                </w:p>
              </w:tc>
              <w:tc>
                <w:tcPr/>
                <w:p>
                  <w:pPr>
                    <w:pStyle w:val="Compact"/>
                    <w:jc w:val="right"/>
                    <w:jc w:val="center"/>
                  </w:pPr>
                  <w:r>
                    <w:t xml:space="preserve">108</w:t>
                  </w:r>
                </w:p>
              </w:tc>
              <w:tc>
                <w:tcPr/>
                <w:p>
                  <w:pPr>
                    <w:pStyle w:val="Compact"/>
                    <w:jc w:val="right"/>
                    <w:jc w:val="center"/>
                  </w:pPr>
                  <w:r>
                    <w:t xml:space="preserve">132</w:t>
                  </w:r>
                </w:p>
              </w:tc>
              <w:tc>
                <w:tcPr/>
                <w:p>
                  <w:pPr>
                    <w:pStyle w:val="Compact"/>
                    <w:jc w:val="right"/>
                    <w:jc w:val="center"/>
                  </w:pPr>
                  <w:r>
                    <w:t xml:space="preserve">123</w:t>
                  </w:r>
                </w:p>
              </w:tc>
              <w:tc>
                <w:tcPr/>
                <w:p>
                  <w:pPr>
                    <w:pStyle w:val="Compact"/>
                    <w:jc w:val="right"/>
                    <w:jc w:val="center"/>
                  </w:pPr>
                  <w:r>
                    <w:t xml:space="preserve">134</w:t>
                  </w:r>
                </w:p>
              </w:tc>
              <w:tc>
                <w:tcPr/>
                <w:p>
                  <w:pPr>
                    <w:pStyle w:val="Compact"/>
                    <w:jc w:val="right"/>
                    <w:jc w:val="center"/>
                  </w:pPr>
                  <w:r>
                    <w:t xml:space="preserve">122</w:t>
                  </w:r>
                </w:p>
              </w:tc>
            </w:tr>
            <w:tr>
              <w:tc>
                <w:tcPr/>
                <w:p>
                  <w:pPr>
                    <w:pStyle w:val="Compact"/>
                    <w:jc w:val="center"/>
                  </w:pPr>
                  <w:r>
                    <w:t xml:space="preserve">Industrie</w:t>
                  </w:r>
                </w:p>
              </w:tc>
              <w:tc>
                <w:tcPr/>
                <w:p>
                  <w:pPr>
                    <w:pStyle w:val="Compact"/>
                    <w:jc w:val="right"/>
                    <w:jc w:val="center"/>
                  </w:pPr>
                  <w:r>
                    <w:t xml:space="preserve">140</w:t>
                  </w:r>
                </w:p>
              </w:tc>
              <w:tc>
                <w:tcPr/>
                <w:p>
                  <w:pPr>
                    <w:pStyle w:val="Compact"/>
                    <w:jc w:val="right"/>
                    <w:jc w:val="center"/>
                  </w:pPr>
                  <w:r>
                    <w:t xml:space="preserve">115</w:t>
                  </w:r>
                </w:p>
              </w:tc>
              <w:tc>
                <w:tcPr/>
                <w:p>
                  <w:pPr>
                    <w:pStyle w:val="Compact"/>
                    <w:jc w:val="right"/>
                    <w:jc w:val="center"/>
                  </w:pPr>
                  <w:r>
                    <w:t xml:space="preserve">107</w:t>
                  </w:r>
                </w:p>
              </w:tc>
              <w:tc>
                <w:tcPr/>
                <w:p>
                  <w:pPr>
                    <w:pStyle w:val="Compact"/>
                    <w:jc w:val="right"/>
                    <w:jc w:val="center"/>
                  </w:pPr>
                  <w:r>
                    <w:t xml:space="preserve">120</w:t>
                  </w:r>
                </w:p>
              </w:tc>
              <w:tc>
                <w:tcPr/>
                <w:p>
                  <w:pPr>
                    <w:pStyle w:val="Compact"/>
                    <w:jc w:val="right"/>
                    <w:jc w:val="center"/>
                  </w:pPr>
                  <w:r>
                    <w:t xml:space="preserve">126</w:t>
                  </w:r>
                </w:p>
              </w:tc>
            </w:tr>
            <w:tr>
              <w:tc>
                <w:tcPr/>
                <w:p>
                  <w:pPr>
                    <w:pStyle w:val="Compact"/>
                    <w:jc w:val="center"/>
                  </w:pPr>
                  <w:r>
                    <w:t xml:space="preserve">Landwirtschaft</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r>
            <w:tr>
              <w:tc>
                <w:tcPr/>
                <w:p>
                  <w:pPr>
                    <w:pStyle w:val="Compact"/>
                    <w:jc w:val="center"/>
                  </w:pPr>
                  <w:r>
                    <w:t xml:space="preserve">Verbrauch Sektor Energie</w:t>
                  </w:r>
                </w:p>
              </w:tc>
              <w:tc>
                <w:tcPr/>
                <w:p>
                  <w:pPr>
                    <w:pStyle w:val="Compact"/>
                    <w:jc w:val="right"/>
                    <w:jc w:val="center"/>
                  </w:pPr>
                  <w:r>
                    <w:t xml:space="preserve">34</w:t>
                  </w:r>
                </w:p>
              </w:tc>
              <w:tc>
                <w:tcPr/>
                <w:p>
                  <w:pPr>
                    <w:pStyle w:val="Compact"/>
                    <w:jc w:val="right"/>
                    <w:jc w:val="center"/>
                  </w:pPr>
                  <w:r>
                    <w:t xml:space="preserve">28</w:t>
                  </w:r>
                </w:p>
              </w:tc>
              <w:tc>
                <w:tcPr/>
                <w:p>
                  <w:pPr>
                    <w:pStyle w:val="Compact"/>
                    <w:jc w:val="right"/>
                    <w:jc w:val="center"/>
                  </w:pPr>
                  <w:r>
                    <w:t xml:space="preserve">40</w:t>
                  </w:r>
                </w:p>
              </w:tc>
              <w:tc>
                <w:tcPr/>
                <w:p>
                  <w:pPr>
                    <w:pStyle w:val="Compact"/>
                    <w:jc w:val="right"/>
                    <w:jc w:val="center"/>
                  </w:pPr>
                  <w:r>
                    <w:t xml:space="preserve">25</w:t>
                  </w:r>
                </w:p>
              </w:tc>
              <w:tc>
                <w:tcPr/>
                <w:p>
                  <w:pPr>
                    <w:pStyle w:val="Compact"/>
                    <w:jc w:val="right"/>
                    <w:jc w:val="center"/>
                  </w:pPr>
                  <w:r>
                    <w:t xml:space="preserve">34</w:t>
                  </w:r>
                </w:p>
              </w:tc>
            </w:tr>
            <w:tr>
              <w:tc>
                <w:tcPr/>
                <w:p>
                  <w:pPr>
                    <w:pStyle w:val="Compact"/>
                    <w:jc w:val="center"/>
                  </w:pPr>
                  <w:r>
                    <w:t xml:space="preserve">Transportverluste</w:t>
                  </w:r>
                </w:p>
              </w:tc>
              <w:tc>
                <w:tcPr/>
                <w:p>
                  <w:pPr>
                    <w:pStyle w:val="Compact"/>
                    <w:jc w:val="right"/>
                    <w:jc w:val="center"/>
                  </w:pPr>
                  <w:r>
                    <w:t xml:space="preserve">19</w:t>
                  </w:r>
                </w:p>
              </w:tc>
              <w:tc>
                <w:tcPr/>
                <w:p>
                  <w:pPr>
                    <w:pStyle w:val="Compact"/>
                    <w:jc w:val="right"/>
                    <w:jc w:val="center"/>
                  </w:pPr>
                  <w:r>
                    <w:t xml:space="preserve">16</w:t>
                  </w:r>
                </w:p>
              </w:tc>
              <w:tc>
                <w:tcPr/>
                <w:p>
                  <w:pPr>
                    <w:pStyle w:val="Compact"/>
                    <w:jc w:val="right"/>
                    <w:jc w:val="center"/>
                  </w:pPr>
                  <w:r>
                    <w:t xml:space="preserve">14</w:t>
                  </w:r>
                </w:p>
              </w:tc>
              <w:tc>
                <w:tcPr/>
                <w:p>
                  <w:pPr>
                    <w:pStyle w:val="Compact"/>
                    <w:jc w:val="right"/>
                    <w:jc w:val="center"/>
                  </w:pPr>
                  <w:r>
                    <w:t xml:space="preserve">15</w:t>
                  </w:r>
                </w:p>
              </w:tc>
              <w:tc>
                <w:tcPr/>
                <w:p>
                  <w:pPr>
                    <w:pStyle w:val="Compact"/>
                    <w:jc w:val="right"/>
                    <w:jc w:val="center"/>
                  </w:pPr>
                  <w:r>
                    <w:t xml:space="preserve">15</w:t>
                  </w:r>
                </w:p>
              </w:tc>
            </w:tr>
            <w:tr>
              <w:tc>
                <w:tcPr/>
                <w:p>
                  <w:pPr>
                    <w:pStyle w:val="Compact"/>
                    <w:jc w:val="center"/>
                  </w:pPr>
                  <w:r>
                    <w:t xml:space="preserve">Umwandlungseinsatz</w:t>
                  </w:r>
                </w:p>
              </w:tc>
              <w:tc>
                <w:tcPr/>
                <w:p>
                  <w:pPr>
                    <w:pStyle w:val="Compact"/>
                    <w:jc w:val="right"/>
                    <w:jc w:val="center"/>
                  </w:pPr>
                  <w:r>
                    <w:t xml:space="preserve">57</w:t>
                  </w:r>
                </w:p>
              </w:tc>
              <w:tc>
                <w:tcPr/>
                <w:p>
                  <w:pPr>
                    <w:pStyle w:val="Compact"/>
                    <w:jc w:val="right"/>
                    <w:jc w:val="center"/>
                  </w:pPr>
                  <w:r>
                    <w:t xml:space="preserve">3</w:t>
                  </w:r>
                </w:p>
              </w:tc>
              <w:tc>
                <w:tcPr/>
                <w:p>
                  <w:pPr>
                    <w:pStyle w:val="Compact"/>
                    <w:jc w:val="right"/>
                    <w:jc w:val="center"/>
                  </w:pPr>
                  <w:r>
                    <w:t xml:space="preserve">34</w:t>
                  </w:r>
                </w:p>
              </w:tc>
              <w:tc>
                <w:tcPr/>
                <w:p>
                  <w:pPr>
                    <w:pStyle w:val="Compact"/>
                    <w:jc w:val="right"/>
                    <w:jc w:val="center"/>
                  </w:pPr>
                  <w:r>
                    <w:t xml:space="preserve">0</w:t>
                  </w:r>
                </w:p>
              </w:tc>
              <w:tc>
                <w:tcPr/>
                <w:p>
                  <w:pPr>
                    <w:pStyle w:val="Compact"/>
                    <w:jc w:val="right"/>
                    <w:jc w:val="center"/>
                  </w:pPr>
                  <w:r>
                    <w:t xml:space="preserve">36</w:t>
                  </w:r>
                </w:p>
              </w:tc>
            </w:tr>
            <w:tr>
              <w:tc>
                <w:tcPr/>
                <w:p>
                  <w:pPr>
                    <w:pStyle w:val="Compact"/>
                    <w:jc w:val="center"/>
                  </w:pPr>
                  <w:r>
                    <w:t xml:space="preserve">Publizierter Strombedarf gesamt</w:t>
                  </w:r>
                </w:p>
              </w:tc>
              <w:tc>
                <w:tcPr/>
                <w:p>
                  <w:pPr>
                    <w:pStyle w:val="Compact"/>
                    <w:jc w:val="right"/>
                    <w:jc w:val="center"/>
                  </w:pPr>
                  <w:r>
                    <w:t xml:space="preserve">450</w:t>
                  </w:r>
                </w:p>
              </w:tc>
              <w:tc>
                <w:tcPr/>
                <w:p>
                  <w:pPr>
                    <w:pStyle w:val="Compact"/>
                    <w:jc w:val="right"/>
                    <w:jc w:val="center"/>
                  </w:pPr>
                  <w:r>
                    <w:t xml:space="preserve">376</w:t>
                  </w:r>
                </w:p>
              </w:tc>
              <w:tc>
                <w:tcPr/>
                <w:p>
                  <w:pPr>
                    <w:pStyle w:val="Compact"/>
                    <w:jc w:val="right"/>
                    <w:jc w:val="center"/>
                  </w:pPr>
                  <w:r>
                    <w:t xml:space="preserve">394</w:t>
                  </w:r>
                </w:p>
              </w:tc>
              <w:tc>
                <w:tcPr/>
                <w:p>
                  <w:pPr>
                    <w:pStyle w:val="Compact"/>
                    <w:jc w:val="right"/>
                    <w:jc w:val="center"/>
                  </w:pPr>
                  <w:r>
                    <w:t xml:space="preserve">367</w:t>
                  </w:r>
                </w:p>
              </w:tc>
              <w:tc>
                <w:tcPr/>
                <w:p>
                  <w:pPr>
                    <w:pStyle w:val="Compact"/>
                    <w:jc w:val="right"/>
                    <w:jc w:val="center"/>
                  </w:pPr>
                  <w:r>
                    <w:t xml:space="preserve">407</w:t>
                  </w:r>
                </w:p>
              </w:tc>
            </w:tr>
          </w:tbl>
          <w:bookmarkEnd w:id="433"/>
          <w:p/>
        </w:tc>
      </w:tr>
    </w:tbl>
    <w:p>
      <w:pPr>
        <w:pStyle w:val="BodyText"/>
      </w:pPr>
      <w:r>
        <w:t xml:space="preserve">¹ Transition: Geothermie; die Vergleichstabellen verwenden die breitere Kategorie „Umgebungswärme etc.“. Striche bei WEM/WAM 2023 wurden in der übergebenen Normierung als null geführt.</w:t>
      </w:r>
    </w:p>
    <w:tbl>
      <w:tblPr>
        <w:tblStyle w:val="Table"/>
        <w:tblW w:type="pct" w:w="5000"/>
        <w:tblLayout w:type="fixed"/>
        <w:tblLook w:firstRow="0" w:lastRow="0" w:firstColumn="0" w:lastColumn="0" w:noHBand="0" w:noVBand="0" w:val="0000"/>
      </w:tblPr>
      <w:tblGrid>
        <w:gridCol w:w="7920"/>
      </w:tblGrid>
      <w:tr>
        <w:tc>
          <w:tcPr/>
          <w:bookmarkStart w:id="434" w:name="tbl-szenario-bilanzreste"/>
          <w:p>
            <w:pPr>
              <w:jc w:val="center"/>
            </w:pPr>
            <w:pPr>
              <w:jc w:val="left"/>
              <w:spacing w:before="200"/>
              <w:pStyle w:val="ImageCaption"/>
            </w:pPr>
            <w:r>
              <w:t xml:space="preserve">Tabelle A.3: Dokumentierte Rundungs- und Bilanzreste in PJ_el/a, aus denselben publizierten Tabellen berechnet. Keine Verteilung auf Einzelpositionen.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Szenario</w:t>
                  </w:r>
                </w:p>
              </w:tc>
              <w:tc>
                <w:tcPr/>
                <w:p>
                  <w:pPr>
                    <w:pStyle w:val="Compact"/>
                    <w:jc w:val="right"/>
                    <w:jc w:val="center"/>
                  </w:pPr>
                  <w:r>
                    <w:t xml:space="preserve">Erzeugung: Komponenten − Gesamt</w:t>
                  </w:r>
                </w:p>
              </w:tc>
              <w:tc>
                <w:tcPr/>
                <w:p>
                  <w:pPr>
                    <w:pStyle w:val="Compact"/>
                    <w:jc w:val="right"/>
                    <w:jc w:val="center"/>
                  </w:pPr>
                  <w:r>
                    <w:t xml:space="preserve">Bedarf: Komponenten − Gesamt</w:t>
                  </w:r>
                </w:p>
              </w:tc>
              <w:tc>
                <w:tcPr/>
                <w:p>
                  <w:pPr>
                    <w:pStyle w:val="Compact"/>
                    <w:jc w:val="right"/>
                    <w:jc w:val="center"/>
                  </w:pPr>
                  <w:r>
                    <w:t xml:space="preserve">Erzeugung + Nettoimport − Bedarf</w:t>
                  </w:r>
                </w:p>
              </w:tc>
            </w:tr>
            <w:tr>
              <w:tc>
                <w:tcPr/>
                <w:p>
                  <w:pPr>
                    <w:pStyle w:val="Compact"/>
                    <w:jc w:val="center"/>
                  </w:pPr>
                  <w:r>
                    <w:t xml:space="preserve">Transition 2040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r>
            <w:tr>
              <w:tc>
                <w:tcPr/>
                <w:p>
                  <w:pPr>
                    <w:pStyle w:val="Compact"/>
                    <w:jc w:val="center"/>
                  </w:pPr>
                  <w:r>
                    <w:t xml:space="preserve">WEM 2025</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center"/>
                  </w:pPr>
                  <w:r>
                    <w:t xml:space="preserve">WAM 2025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center"/>
                  </w:pPr>
                  <w:r>
                    <w:t xml:space="preserve">WEM 2023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center"/>
                  </w:pPr>
                  <w:r>
                    <w:t xml:space="preserve">WAM 2023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434"/>
          <w:p/>
        </w:tc>
      </w:tr>
    </w:tbl>
    <w:bookmarkEnd w:id="435"/>
    <w:bookmarkStart w:id="437" w:name="endenergie-nach-sektoren"/>
    <w:p>
      <w:pPr>
        <w:pStyle w:val="Heading2"/>
      </w:pPr>
      <w:r>
        <w:t xml:space="preserve">A.2 Endenergie nach Sektoren</w:t>
      </w:r>
    </w:p>
    <w:tbl>
      <w:tblPr>
        <w:tblStyle w:val="Table"/>
        <w:tblW w:type="pct" w:w="5000"/>
        <w:tblLayout w:type="fixed"/>
        <w:tblLook w:firstRow="0" w:lastRow="0" w:firstColumn="0" w:lastColumn="0" w:noHBand="0" w:noVBand="0" w:val="0000"/>
      </w:tblPr>
      <w:tblGrid>
        <w:gridCol w:w="7920"/>
      </w:tblGrid>
      <w:tr>
        <w:tc>
          <w:tcPr/>
          <w:bookmarkStart w:id="436" w:name="tbl-eev-data-only"/>
          <w:p>
            <w:pPr>
              <w:jc w:val="center"/>
            </w:pPr>
            <w:pPr>
              <w:jc w:val="left"/>
              <w:spacing w:before="200"/>
              <w:pStyle w:val="ImageCaption"/>
            </w:pPr>
            <w:r>
              <w:t xml:space="preserve">Tabelle A.4: Separater Sektorausweis, nicht Teil der Stromallokation. Quellen: REP-0880 Tab. A S. 7, REP-0882 Zusammenfassung Tab. B S. 5, REP-0995 Tab. B S. 10.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Endenergie 2040 [PJ_end/a]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151</w:t>
                  </w:r>
                </w:p>
              </w:tc>
              <w:tc>
                <w:tcPr/>
                <w:p>
                  <w:pPr>
                    <w:pStyle w:val="Compact"/>
                    <w:jc w:val="right"/>
                    <w:jc w:val="center"/>
                  </w:pPr>
                  <w:r>
                    <w:t xml:space="preserve">279</w:t>
                  </w:r>
                </w:p>
              </w:tc>
              <w:tc>
                <w:tcPr/>
                <w:p>
                  <w:pPr>
                    <w:pStyle w:val="Compact"/>
                    <w:jc w:val="right"/>
                    <w:jc w:val="center"/>
                  </w:pPr>
                  <w:r>
                    <w:t xml:space="preserve">268</w:t>
                  </w:r>
                </w:p>
              </w:tc>
              <w:tc>
                <w:tcPr/>
                <w:p>
                  <w:pPr>
                    <w:pStyle w:val="Compact"/>
                    <w:jc w:val="right"/>
                    <w:jc w:val="center"/>
                  </w:pPr>
                  <w:r>
                    <w:t xml:space="preserve">325</w:t>
                  </w:r>
                </w:p>
              </w:tc>
              <w:tc>
                <w:tcPr/>
                <w:p>
                  <w:pPr>
                    <w:pStyle w:val="Compact"/>
                    <w:jc w:val="right"/>
                    <w:jc w:val="center"/>
                  </w:pPr>
                  <w:r>
                    <w:t xml:space="preserve">295</w:t>
                  </w:r>
                </w:p>
              </w:tc>
            </w:tr>
            <w:tr>
              <w:tc>
                <w:tcPr/>
                <w:p>
                  <w:pPr>
                    <w:pStyle w:val="Compact"/>
                    <w:jc w:val="center"/>
                  </w:pPr>
                  <w:r>
                    <w:t xml:space="preserve">Industrie</w:t>
                  </w:r>
                </w:p>
              </w:tc>
              <w:tc>
                <w:tcPr/>
                <w:p>
                  <w:pPr>
                    <w:pStyle w:val="Compact"/>
                    <w:jc w:val="right"/>
                    <w:jc w:val="center"/>
                  </w:pPr>
                  <w:r>
                    <w:t xml:space="preserve">260</w:t>
                  </w:r>
                </w:p>
              </w:tc>
              <w:tc>
                <w:tcPr/>
                <w:p>
                  <w:pPr>
                    <w:pStyle w:val="Compact"/>
                    <w:jc w:val="right"/>
                    <w:jc w:val="center"/>
                  </w:pPr>
                  <w:r>
                    <w:t xml:space="preserve">347</w:t>
                  </w:r>
                </w:p>
              </w:tc>
              <w:tc>
                <w:tcPr/>
                <w:p>
                  <w:pPr>
                    <w:pStyle w:val="Compact"/>
                    <w:jc w:val="right"/>
                    <w:jc w:val="center"/>
                  </w:pPr>
                  <w:r>
                    <w:t xml:space="preserve">320</w:t>
                  </w:r>
                </w:p>
              </w:tc>
              <w:tc>
                <w:tcPr/>
                <w:p>
                  <w:pPr>
                    <w:pStyle w:val="Compact"/>
                    <w:jc w:val="right"/>
                    <w:jc w:val="center"/>
                  </w:pPr>
                  <w:r>
                    <w:t xml:space="preserve">348</w:t>
                  </w:r>
                </w:p>
              </w:tc>
              <w:tc>
                <w:tcPr/>
                <w:p>
                  <w:pPr>
                    <w:pStyle w:val="Compact"/>
                    <w:jc w:val="right"/>
                    <w:jc w:val="center"/>
                  </w:pPr>
                  <w:r>
                    <w:t xml:space="preserve">329</w:t>
                  </w:r>
                </w:p>
              </w:tc>
            </w:tr>
            <w:tr>
              <w:tc>
                <w:tcPr/>
                <w:p>
                  <w:pPr>
                    <w:pStyle w:val="Compact"/>
                    <w:jc w:val="center"/>
                  </w:pPr>
                  <w:r>
                    <w:t xml:space="preserve">Gebäude</w:t>
                  </w:r>
                </w:p>
              </w:tc>
              <w:tc>
                <w:tcPr/>
                <w:p>
                  <w:pPr>
                    <w:pStyle w:val="Compact"/>
                    <w:jc w:val="right"/>
                    <w:jc w:val="center"/>
                  </w:pPr>
                  <w:r>
                    <w:t xml:space="preserve">300</w:t>
                  </w:r>
                </w:p>
              </w:tc>
              <w:tc>
                <w:tcPr/>
                <w:p>
                  <w:pPr>
                    <w:pStyle w:val="Compact"/>
                    <w:jc w:val="right"/>
                    <w:jc w:val="center"/>
                  </w:pPr>
                  <w:r>
                    <w:t xml:space="preserve">364</w:t>
                  </w:r>
                </w:p>
              </w:tc>
              <w:tc>
                <w:tcPr/>
                <w:p>
                  <w:pPr>
                    <w:pStyle w:val="Compact"/>
                    <w:jc w:val="right"/>
                    <w:jc w:val="center"/>
                  </w:pPr>
                  <w:r>
                    <w:t xml:space="preserve">348</w:t>
                  </w:r>
                </w:p>
              </w:tc>
              <w:tc>
                <w:tcPr/>
                <w:p>
                  <w:pPr>
                    <w:pStyle w:val="Compact"/>
                    <w:jc w:val="right"/>
                    <w:jc w:val="center"/>
                  </w:pPr>
                  <w:r>
                    <w:t xml:space="preserve">393</w:t>
                  </w:r>
                </w:p>
              </w:tc>
              <w:tc>
                <w:tcPr/>
                <w:p>
                  <w:pPr>
                    <w:pStyle w:val="Compact"/>
                    <w:jc w:val="right"/>
                    <w:jc w:val="center"/>
                  </w:pPr>
                  <w:r>
                    <w:t xml:space="preserve">347</w:t>
                  </w:r>
                </w:p>
              </w:tc>
            </w:tr>
            <w:tr>
              <w:tc>
                <w:tcPr/>
                <w:p>
                  <w:pPr>
                    <w:pStyle w:val="Compact"/>
                    <w:jc w:val="center"/>
                  </w:pPr>
                  <w:r>
                    <w:t xml:space="preserve">Landwirtschaft</w:t>
                  </w:r>
                </w:p>
              </w:tc>
              <w:tc>
                <w:tcPr/>
                <w:p>
                  <w:pPr>
                    <w:pStyle w:val="Compact"/>
                    <w:jc w:val="right"/>
                    <w:jc w:val="center"/>
                  </w:pPr>
                  <w:r>
                    <w:t xml:space="preserve">11</w:t>
                  </w:r>
                </w:p>
              </w:tc>
              <w:tc>
                <w:tcPr/>
                <w:p>
                  <w:pPr>
                    <w:pStyle w:val="Compact"/>
                    <w:jc w:val="right"/>
                    <w:jc w:val="center"/>
                  </w:pPr>
                  <w:r>
                    <w:t xml:space="preserve">12</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12</w:t>
                  </w:r>
                </w:p>
              </w:tc>
            </w:tr>
            <w:tr>
              <w:tc>
                <w:tcPr/>
                <w:p>
                  <w:pPr>
                    <w:pStyle w:val="Compact"/>
                    <w:jc w:val="center"/>
                  </w:pPr>
                  <w:r>
                    <w:t xml:space="preserve">Publizierte Endenergie gesamt</w:t>
                  </w:r>
                </w:p>
              </w:tc>
              <w:tc>
                <w:tcPr/>
                <w:p>
                  <w:pPr>
                    <w:pStyle w:val="Compact"/>
                    <w:jc w:val="right"/>
                    <w:jc w:val="center"/>
                  </w:pPr>
                  <w:r>
                    <w:t xml:space="preserve">722</w:t>
                  </w:r>
                </w:p>
              </w:tc>
              <w:tc>
                <w:tcPr/>
                <w:p>
                  <w:pPr>
                    <w:pStyle w:val="Compact"/>
                    <w:jc w:val="right"/>
                    <w:jc w:val="center"/>
                  </w:pPr>
                  <w:r>
                    <w:t xml:space="preserve">1003</w:t>
                  </w:r>
                </w:p>
              </w:tc>
              <w:tc>
                <w:tcPr/>
                <w:p>
                  <w:pPr>
                    <w:pStyle w:val="Compact"/>
                    <w:jc w:val="right"/>
                    <w:jc w:val="center"/>
                  </w:pPr>
                  <w:r>
                    <w:t xml:space="preserve">948</w:t>
                  </w:r>
                </w:p>
              </w:tc>
              <w:tc>
                <w:tcPr/>
                <w:p>
                  <w:pPr>
                    <w:pStyle w:val="Compact"/>
                    <w:jc w:val="right"/>
                    <w:jc w:val="center"/>
                  </w:pPr>
                  <w:r>
                    <w:t xml:space="preserve">1079</w:t>
                  </w:r>
                </w:p>
              </w:tc>
              <w:tc>
                <w:tcPr/>
                <w:p>
                  <w:pPr>
                    <w:pStyle w:val="Compact"/>
                    <w:jc w:val="right"/>
                    <w:jc w:val="center"/>
                  </w:pPr>
                  <w:r>
                    <w:t xml:space="preserve">984</w:t>
                  </w:r>
                </w:p>
              </w:tc>
            </w:tr>
          </w:tbl>
          <w:bookmarkEnd w:id="436"/>
          <w:p/>
        </w:tc>
      </w:tr>
    </w:tbl>
    <w:p>
      <w:pPr>
        <w:pStyle w:val="BodyText"/>
      </w:pPr>
      <w:r>
        <w:t xml:space="preserve">Die Datenbasis für WEM/WAM 2025 verwendet REP-0995, Tabelle E (S. 12). Die in der Datenlieferung dokumentierte Abweichung zu Tabelle 19 wird nicht durch eine Mischung der beiden Tabellen aufgelöst. Transition verwendet REP-0880, Tabellen 15 und 16</w:t>
      </w:r>
      <w:r>
        <w:t xml:space="preserve"> </w:t>
      </w:r>
      <w:r>
        <w:t xml:space="preserve">(Umweltbundesamt 2025, 2024)</w:t>
      </w:r>
      <w:r>
        <w:t xml:space="preserve">.</w:t>
      </w:r>
    </w:p>
    <w:bookmarkEnd w:id="437"/>
    <w:bookmarkStart w:id="439" w:name="sec-modellbilanz-2040"/>
    <w:p>
      <w:pPr>
        <w:pStyle w:val="Heading2"/>
      </w:pPr>
      <w:r>
        <w:t xml:space="preserve">A.3 Quellbilanz und Modellannahme der Allokation</w:t>
      </w:r>
    </w:p>
    <w:p>
      <w:pPr>
        <w:pStyle w:val="FirstParagraph"/>
      </w:pPr>
      <w:r>
        <w:t xml:space="preserve">Die Bedarfskomponenten von Transition summieren sich auf 452 PJ/a; die veröffentlichte Gesamtsumme beträgt 450 PJ/a. Mit 457 PJ/a Erzeugung und 7 PJ/a Nettoexport ergibt die Komponentenbilanz einen Rest von −2 PJ/a. Die Ursache der Differenz zwischen Komponenten und Gesamtsumme wird hier nicht als Rundung vorausgesetzt.</w:t>
      </w:r>
    </w:p>
    <w:tbl>
      <w:tblPr>
        <w:tblStyle w:val="Table"/>
        <w:tblW w:type="pct" w:w="5000"/>
        <w:tblLayout w:type="fixed"/>
        <w:tblLook w:firstRow="0" w:lastRow="0" w:firstColumn="0" w:lastColumn="0" w:noHBand="0" w:noVBand="0" w:val="0000"/>
      </w:tblPr>
      <w:tblGrid>
        <w:gridCol w:w="7920"/>
      </w:tblGrid>
      <w:tr>
        <w:tc>
          <w:tcPr/>
          <w:bookmarkStart w:id="438" w:name="tbl-exportannahme"/>
          <w:p>
            <w:pPr>
              <w:jc w:val="center"/>
            </w:pPr>
            <w:pPr>
              <w:jc w:val="left"/>
              <w:spacing w:before="200"/>
              <w:pStyle w:val="ImageCaption"/>
            </w:pPr>
            <w:r>
              <w:t xml:space="preserve">Tabelle A.5: Überleitung in PJ Strom/a. Explizite Modellannahme vom 29.10.2026: 5 PJ/a Nettoexport zur Bilanzschließung; keine Änderung der Originalquelle. H₂-Rückverstromung (4 PJ/a) und fossiler Strom (1 PJ/a) bleiben vollständig als Deckung enthalten.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Position</w:t>
                  </w:r>
                </w:p>
              </w:tc>
              <w:tc>
                <w:tcPr/>
                <w:p>
                  <w:pPr>
                    <w:pStyle w:val="Compact"/>
                    <w:jc w:val="right"/>
                    <w:jc w:val="center"/>
                  </w:pPr>
                  <w:r>
                    <w:t xml:space="preserve">Quelle / Komponenten</w:t>
                  </w:r>
                </w:p>
              </w:tc>
              <w:tc>
                <w:tcPr/>
                <w:p>
                  <w:pPr>
                    <w:pStyle w:val="Compact"/>
                    <w:jc w:val="right"/>
                    <w:jc w:val="center"/>
                  </w:pPr>
                  <w:r>
                    <w:t xml:space="preserve">Allokationsmodell</w:t>
                  </w:r>
                </w:p>
              </w:tc>
            </w:tr>
            <w:tr>
              <w:tc>
                <w:tcPr/>
                <w:p>
                  <w:pPr>
                    <w:pStyle w:val="Compact"/>
                    <w:jc w:val="center"/>
                  </w:pPr>
                  <w:r>
                    <w:t xml:space="preserve">Erzeugung</w:t>
                  </w:r>
                </w:p>
              </w:tc>
              <w:tc>
                <w:tcPr/>
                <w:p>
                  <w:pPr>
                    <w:pStyle w:val="Compact"/>
                    <w:jc w:val="right"/>
                    <w:jc w:val="center"/>
                  </w:pPr>
                  <w:r>
                    <w:t xml:space="preserve">457</w:t>
                  </w:r>
                </w:p>
              </w:tc>
              <w:tc>
                <w:tcPr/>
                <w:p>
                  <w:pPr>
                    <w:pStyle w:val="Compact"/>
                    <w:jc w:val="right"/>
                    <w:jc w:val="center"/>
                  </w:pPr>
                  <w:r>
                    <w:t xml:space="preserve">457</w:t>
                  </w:r>
                </w:p>
              </w:tc>
            </w:tr>
            <w:tr>
              <w:tc>
                <w:tcPr/>
                <w:p>
                  <w:pPr>
                    <w:pStyle w:val="Compact"/>
                    <w:jc w:val="center"/>
                  </w:pPr>
                  <w:r>
                    <w:t xml:space="preserve">Bedarfskomponenten</w:t>
                  </w:r>
                </w:p>
              </w:tc>
              <w:tc>
                <w:tcPr/>
                <w:p>
                  <w:pPr>
                    <w:pStyle w:val="Compact"/>
                    <w:jc w:val="right"/>
                    <w:jc w:val="center"/>
                  </w:pPr>
                  <w:r>
                    <w:t xml:space="preserve">452</w:t>
                  </w:r>
                </w:p>
              </w:tc>
              <w:tc>
                <w:tcPr/>
                <w:p>
                  <w:pPr>
                    <w:pStyle w:val="Compact"/>
                    <w:jc w:val="right"/>
                    <w:jc w:val="center"/>
                  </w:pPr>
                  <w:r>
                    <w:t xml:space="preserve">452</w:t>
                  </w:r>
                </w:p>
              </w:tc>
            </w:tr>
            <w:tr>
              <w:tc>
                <w:tcPr/>
                <w:p>
                  <w:pPr>
                    <w:pStyle w:val="Compact"/>
                    <w:jc w:val="center"/>
                  </w:pPr>
                  <w:r>
                    <w:t xml:space="preserve">Nettoexport</w:t>
                  </w:r>
                </w:p>
              </w:tc>
              <w:tc>
                <w:tcPr/>
                <w:p>
                  <w:pPr>
                    <w:pStyle w:val="Compact"/>
                    <w:jc w:val="right"/>
                    <w:jc w:val="center"/>
                  </w:pPr>
                  <w:r>
                    <w:t xml:space="preserve">7</w:t>
                  </w:r>
                </w:p>
              </w:tc>
              <w:tc>
                <w:tcPr/>
                <w:p>
                  <w:pPr>
                    <w:pStyle w:val="Compact"/>
                    <w:jc w:val="right"/>
                    <w:jc w:val="center"/>
                  </w:pPr>
                  <w:r>
                    <w:t xml:space="preserve">5</w:t>
                  </w:r>
                </w:p>
              </w:tc>
            </w:tr>
            <w:tr>
              <w:tc>
                <w:tcPr/>
                <w:p>
                  <w:pPr>
                    <w:pStyle w:val="Compact"/>
                    <w:jc w:val="center"/>
                  </w:pPr>
                  <w:r>
                    <w:t xml:space="preserve">Bilanzrest</w:t>
                  </w:r>
                </w:p>
              </w:tc>
              <w:tc>
                <w:tcPr/>
                <w:p>
                  <w:pPr>
                    <w:pStyle w:val="Compact"/>
                    <w:jc w:val="right"/>
                    <w:jc w:val="center"/>
                  </w:pPr>
                  <w:r>
                    <w:t xml:space="preserve">−2</w:t>
                  </w:r>
                </w:p>
              </w:tc>
              <w:tc>
                <w:tcPr/>
                <w:p>
                  <w:pPr>
                    <w:pStyle w:val="Compact"/>
                    <w:jc w:val="right"/>
                    <w:jc w:val="center"/>
                  </w:pPr>
                  <w:r>
                    <w:t xml:space="preserve">0</w:t>
                  </w:r>
                </w:p>
              </w:tc>
            </w:tr>
          </w:tbl>
          <w:bookmarkEnd w:id="438"/>
          <w:p/>
        </w:tc>
      </w:tr>
    </w:tbl>
    <w:p>
      <w:pPr>
        <w:pStyle w:val="BodyText"/>
      </w:pPr>
      <w:r>
        <w:t xml:space="preserve">Die Grafik zeigt die ursprünglichen Quellwerte und deren Bilanzidentitäten. Die Exportannahme wird ausschließlich im Allokationsmodell und im Kalibrierungsdashboard angewendet.</w:t>
      </w:r>
    </w:p>
    <w:bookmarkEnd w:id="439"/>
    <w:bookmarkEnd w:id="440"/>
    <w:bookmarkStart w:id="447" w:name="sec-anhang"/>
    <w:p>
      <w:pPr>
        <w:pStyle w:val="Heading1"/>
      </w:pPr>
      <w:r>
        <w:t xml:space="preserve">Appendix B — Annahmen der Zielwertberechnung</w:t>
      </w:r>
    </w:p>
    <w:p>
      <w:pPr>
        <w:pStyle w:val="FirstParagraph"/>
      </w:pPr>
      <w:r>
        <w:t xml:space="preserve">Dieser Teil bündelt die Grundlagen der Anforderungen an Quartiere: nationale Zukunftsszenarien, sektorale Budgets und deren Verteilung auf Flächen und Nutzungen. Die Herleitung steht in</w:t>
      </w:r>
      <w:r>
        <w:t xml:space="preserve"> </w:t>
      </w:r>
      <w:hyperlink w:anchor="sec-allokation">
        <w:r>
          <w:rPr>
            <w:rStyle w:val="Hyperlink"/>
          </w:rPr>
          <w:t xml:space="preserve">Kapitel 11</w:t>
        </w:r>
      </w:hyperlink>
      <w:r>
        <w:t xml:space="preserve"> </w:t>
      </w:r>
      <w:r>
        <w:t xml:space="preserve">und</w:t>
      </w:r>
      <w:r>
        <w:t xml:space="preserve"> </w:t>
      </w:r>
      <w:hyperlink w:anchor="sec-zielwert-thg">
        <w:r>
          <w:rPr>
            <w:rStyle w:val="Hyperlink"/>
          </w:rPr>
          <w:t xml:space="preserve">Kapitel 16</w:t>
        </w:r>
      </w:hyperlink>
      <w:r>
        <w:t xml:space="preserve">, die Anwendung in</w:t>
      </w:r>
      <w:r>
        <w:t xml:space="preserve"> </w:t>
      </w:r>
      <w:hyperlink w:anchor="sec-kontext">
        <w:r>
          <w:rPr>
            <w:rStyle w:val="Hyperlink"/>
          </w:rPr>
          <w:t xml:space="preserve">Kapitel 9.2</w:t>
        </w:r>
      </w:hyperlink>
      <w:r>
        <w:t xml:space="preserve">. Die Annahmen zur Berechnung der Quartiersbilanz folgen in</w:t>
      </w:r>
      <w:r>
        <w:t xml:space="preserve"> </w:t>
      </w:r>
      <w:hyperlink w:anchor="sec-anhang-quartiersbilanzierung">
        <w:r>
          <w:rPr>
            <w:rStyle w:val="Hyperlink"/>
          </w:rPr>
          <w:t xml:space="preserve">Anhang I</w:t>
        </w:r>
      </w:hyperlink>
      <w:r>
        <w:t xml:space="preserve">.</w:t>
      </w:r>
    </w:p>
    <w:p>
      <w:pPr>
        <w:pStyle w:val="BodyText"/>
      </w:pPr>
      <w:r>
        <w:rPr>
          <w:b/>
          <w:bCs/>
        </w:rPr>
        <w:t xml:space="preserve">Noch zu ergänzen</w:t>
      </w:r>
      <w:r>
        <w:t xml:space="preserve"> </w:t>
      </w:r>
      <w:r>
        <w:t xml:space="preserve">kennzeichnet eine für die vollständige Darstellung benötigte Angabe, die in dieser Fassung fehlt.</w:t>
      </w:r>
      <w:r>
        <w:t xml:space="preserve"> </w:t>
      </w:r>
      <w:r>
        <w:rPr>
          <w:b/>
          <w:bCs/>
        </w:rPr>
        <w:t xml:space="preserve">Weiterzuentwickeln</w:t>
      </w:r>
      <w:r>
        <w:t xml:space="preserve"> </w:t>
      </w:r>
      <w:r>
        <w:t xml:space="preserve">bezeichnet eine bestehende Annahme mit ausstehender methodischer Absicherung oder Aktualisierung. Fehlende Angaben sind keine Nullwerte.</w:t>
      </w:r>
    </w:p>
    <w:bookmarkStart w:id="441" w:name="zeit--flächen--und-bewertungsbezüge"/>
    <w:p>
      <w:pPr>
        <w:pStyle w:val="Heading2"/>
      </w:pPr>
      <w:r>
        <w:t xml:space="preserve">B.1 Zeit-, Flächen- und Bewertungsbezüge</w:t>
      </w:r>
    </w:p>
    <w:p>
      <w:pPr>
        <w:pStyle w:val="TableCaption"/>
      </w:pPr>
      <w:r>
        <w:t xml:space="preserve">Zeit- und Bezugsgrößen nach</w:t>
      </w:r>
      <w:r>
        <w:t xml:space="preserve"> </w:t>
      </w:r>
      <w:r>
        <w:t xml:space="preserve">Schneider (2026)</w:t>
      </w:r>
      <w:r>
        <w:t xml:space="preserve">, Abschn. 3.2, und</w:t>
      </w:r>
      <w:r>
        <w:t xml:space="preserve"> </w:t>
      </w:r>
      <w:r>
        <w:t xml:space="preserve">Schneider u. a. (2025)</w:t>
      </w:r>
      <w:r>
        <w:t xml:space="preserve">, Abschn. 2.3–2.4 und Tab. A1.</w:t>
      </w:r>
    </w:p>
    <w:tbl>
      <w:tblPr>
        <w:tblStyle w:val="Table"/>
        <w:tblW w:type="pct" w:w="5000"/>
        <w:tblLayout w:type="fixed"/>
        <w:tblLook w:firstRow="1" w:lastRow="0" w:firstColumn="0" w:lastColumn="0" w:noHBand="0" w:noVBand="0" w:val="0020"/>
        <w:tblCaption w:val="Zeit- und Bezugsgrößen nach Schneider (2026), Abschn. 3.2, und Schneider u. a. (2025), Abschn. 2.3–2.4 und Tab. A1."/>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Bedeutung</w:t>
            </w:r>
          </w:p>
        </w:tc>
      </w:tr>
      <w:tr>
        <w:tc>
          <w:tcPr/>
          <w:p>
            <w:pPr>
              <w:pStyle w:val="Compact"/>
            </w:pPr>
            <w:r>
              <w:t xml:space="preserve">Nationales Zieljahr</w:t>
            </w:r>
          </w:p>
        </w:tc>
        <w:tc>
          <w:tcPr/>
          <w:p>
            <w:pPr>
              <w:pStyle w:val="Compact"/>
            </w:pPr>
            <w:r>
              <w:t xml:space="preserve">2040</w:t>
            </w:r>
          </w:p>
        </w:tc>
        <w:tc>
          <w:tcPr/>
          <w:p>
            <w:pPr>
              <w:pStyle w:val="Compact"/>
            </w:pPr>
            <w:r>
              <w:t xml:space="preserve">Referenz für Energieallokation und Flächenprognose</w:t>
            </w:r>
          </w:p>
        </w:tc>
      </w:tr>
      <w:tr>
        <w:tc>
          <w:tcPr/>
          <w:p>
            <w:pPr>
              <w:pStyle w:val="Compact"/>
            </w:pPr>
            <w:r>
              <w:t xml:space="preserve">Vorsorglicher Dekarbonisierungszeitpunkt</w:t>
            </w:r>
          </w:p>
        </w:tc>
        <w:tc>
          <w:tcPr/>
          <w:p>
            <w:pPr>
              <w:pStyle w:val="Compact"/>
            </w:pPr>
            <w:r>
              <w:t xml:space="preserve">Ab 2050</w:t>
            </w:r>
          </w:p>
        </w:tc>
        <w:tc>
          <w:tcPr/>
          <w:p>
            <w:pPr>
              <w:pStyle w:val="Compact"/>
            </w:pPr>
            <w:r>
              <w:t xml:space="preserve">Vereinfachtes Szenario ohne zusätzliche Emissionen der betrachteten Prozesse danach; keine Verschiebung der Flächenprognose</w:t>
            </w:r>
          </w:p>
        </w:tc>
      </w:tr>
      <w:tr>
        <w:tc>
          <w:tcPr/>
          <w:p>
            <w:pPr>
              <w:pStyle w:val="Compact"/>
            </w:pPr>
            <w:r>
              <w:t xml:space="preserve">Lebenszyklusbetrachtung</w:t>
            </w:r>
          </w:p>
        </w:tc>
        <w:tc>
          <w:tcPr/>
          <w:p>
            <w:pPr>
              <w:pStyle w:val="Compact"/>
            </w:pPr>
            <w:r>
              <w:t xml:space="preserve">2025–2075, 50 Jahre</w:t>
            </w:r>
          </w:p>
        </w:tc>
        <w:tc>
          <w:tcPr/>
          <w:p>
            <w:pPr>
              <w:pStyle w:val="Compact"/>
            </w:pPr>
            <w:r>
              <w:t xml:space="preserve">Zeitraum der kumulierten THG-Bilanz</w:t>
            </w:r>
          </w:p>
        </w:tc>
      </w:tr>
      <w:tr>
        <w:tc>
          <w:tcPr/>
          <w:p>
            <w:pPr>
              <w:pStyle w:val="Compact"/>
            </w:pPr>
            <w:r>
              <w:t xml:space="preserve">THG-Charakterisierung</w:t>
            </w:r>
          </w:p>
        </w:tc>
        <w:tc>
          <w:tcPr/>
          <w:p>
            <w:pPr>
              <w:pStyle w:val="Compact"/>
            </w:pPr>
            <w:r>
              <w:t xml:space="preserve">GWP100</w:t>
            </w:r>
          </w:p>
        </w:tc>
        <w:tc>
          <w:tcPr/>
          <w:p>
            <w:pPr>
              <w:pStyle w:val="Compact"/>
            </w:pPr>
            <w:r>
              <w:t xml:space="preserve">100-jähriger Charakterisierungshorizont; unabhängig von der Projektlaufzeit</w:t>
            </w:r>
          </w:p>
        </w:tc>
      </w:tr>
      <w:tr>
        <w:tc>
          <w:tcPr/>
          <w:p>
            <w:pPr>
              <w:pStyle w:val="Compact"/>
            </w:pPr>
            <w:r>
              <w:t xml:space="preserve">Nationale Bezugsfläche</w:t>
            </w:r>
          </w:p>
        </w:tc>
        <w:tc>
          <w:tcPr/>
          <w:p>
            <w:pPr>
              <w:pStyle w:val="Compact"/>
            </w:pPr>
            <w:r>
              <w:t xml:space="preserve">906,7 Mio. m² BGF im Jahr 2040</w:t>
            </w:r>
          </w:p>
        </w:tc>
        <w:tc>
          <w:tcPr/>
          <w:p>
            <w:pPr>
              <w:pStyle w:val="Compact"/>
            </w:pPr>
            <w:r>
              <w:t xml:space="preserve">Bezugsfläche der THG-Allokation</w:t>
            </w:r>
          </w:p>
        </w:tc>
      </w:tr>
      <w:tr>
        <w:tc>
          <w:tcPr/>
          <w:p>
            <w:pPr>
              <w:pStyle w:val="Compact"/>
            </w:pPr>
            <w:r>
              <w:t xml:space="preserve">Betriebliche PE-Bilanz und Kontextfaktoren</w:t>
            </w:r>
          </w:p>
        </w:tc>
        <w:tc>
          <w:tcPr/>
          <w:p>
            <w:pPr>
              <w:pStyle w:val="Compact"/>
            </w:pPr>
            <w:r>
              <w:t xml:space="preserve">kWh PE/(m² NGF a)</w:t>
            </w:r>
          </w:p>
        </w:tc>
        <w:tc>
          <w:tcPr/>
          <w:p>
            <w:pPr>
              <w:pStyle w:val="Compact"/>
            </w:pPr>
            <w:r>
              <w:t xml:space="preserve">Bezug auf konditionierte Nettogrundfläche</w:t>
            </w:r>
          </w:p>
        </w:tc>
      </w:tr>
      <w:tr>
        <w:tc>
          <w:tcPr/>
          <w:p>
            <w:pPr>
              <w:pStyle w:val="Compact"/>
            </w:pPr>
            <w:r>
              <w:t xml:space="preserve">Kumuliertes THG-Budget</w:t>
            </w:r>
          </w:p>
        </w:tc>
        <w:tc>
          <w:tcPr/>
          <w:p>
            <w:pPr>
              <w:pStyle w:val="Compact"/>
            </w:pPr>
            <w:r>
              <w:t xml:space="preserve">kg CO₂e/m² BGF</w:t>
            </w:r>
          </w:p>
        </w:tc>
        <w:tc>
          <w:tcPr/>
          <w:p>
            <w:pPr>
              <w:pStyle w:val="Compact"/>
            </w:pPr>
            <w:r>
              <w:t xml:space="preserve">Bezug auf Bruttogrundfläche</w:t>
            </w:r>
          </w:p>
        </w:tc>
      </w:tr>
      <w:tr>
        <w:tc>
          <w:tcPr/>
          <w:p>
            <w:pPr>
              <w:pStyle w:val="Compact"/>
            </w:pPr>
            <w:r>
              <w:t xml:space="preserve">Städtebauliche Dichte</w:t>
            </w:r>
          </w:p>
        </w:tc>
        <w:tc>
          <w:tcPr/>
          <w:p>
            <w:pPr>
              <w:pStyle w:val="Compact"/>
            </w:pPr>
            <w:r>
              <w:t xml:space="preserve">GFZ = BGF/Grundstücksfläche</w:t>
            </w:r>
          </w:p>
        </w:tc>
        <w:tc>
          <w:tcPr/>
          <w:p>
            <w:pPr>
              <w:pStyle w:val="Compact"/>
            </w:pPr>
            <w:r>
              <w:t xml:space="preserve">Grundlage der Dichtekorrektur</w:t>
            </w:r>
          </w:p>
        </w:tc>
      </w:tr>
    </w:tbl>
    <w:bookmarkEnd w:id="441"/>
    <w:bookmarkStart w:id="442" w:name="energiebilanzen-der-zukunftsszenarien"/>
    <w:p>
      <w:pPr>
        <w:pStyle w:val="Heading2"/>
      </w:pPr>
      <w:r>
        <w:t xml:space="preserve">B.2 Energiebilanzen der Zukunftsszenarien</w:t>
      </w:r>
    </w:p>
    <w:p>
      <w:pPr>
        <w:pStyle w:val="FirstParagraph"/>
      </w:pPr>
      <w:r>
        <w:t xml:space="preserve">Die Energieallokation bezieht sich auf ein vollständig erneuerbares österreichisches Energiesystem im Zieljahr. Die Werte beschreiben die sektorale Zuordnung; sie sind keine lokalen Erzeugungsvorgaben für jedes einzelne Quartier.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Referenzansatz</w:t>
            </w:r>
          </w:p>
        </w:tc>
        <w:tc>
          <w:tcPr/>
          <w:p>
            <w:pPr>
              <w:pStyle w:val="Compact"/>
            </w:pPr>
            <w:r>
              <w:t xml:space="preserve">Grundlage / Stand</w:t>
            </w:r>
          </w:p>
        </w:tc>
      </w:tr>
      <w:tr>
        <w:tc>
          <w:tcPr/>
          <w:p>
            <w:pPr>
              <w:pStyle w:val="Compact"/>
            </w:pPr>
            <w:r>
              <w:t xml:space="preserve">PV-Erzeugung des Gebäudesektors</w:t>
            </w:r>
          </w:p>
        </w:tc>
        <w:tc>
          <w:tcPr/>
          <w:p>
            <w:pPr>
              <w:pStyle w:val="Compact"/>
            </w:pPr>
            <w:r>
              <w:t xml:space="preserve">114,8 PJ/a</w:t>
            </w:r>
          </w:p>
        </w:tc>
        <w:tc>
          <w:tcPr/>
          <w:p>
            <w:pPr>
              <w:pStyle w:val="Compact"/>
            </w:pPr>
            <w:r>
              <w:t xml:space="preserve">Schneider u. a. (2023)</w:t>
            </w:r>
            <w:r>
              <w:t xml:space="preserve">, Tab. 6</w:t>
            </w:r>
          </w:p>
        </w:tc>
      </w:tr>
      <w:tr>
        <w:tc>
          <w:tcPr/>
          <w:p>
            <w:pPr>
              <w:pStyle w:val="Compact"/>
            </w:pPr>
            <w:r>
              <w:t xml:space="preserve">Strombedarf des Gebäudesektors nach Allokation</w:t>
            </w:r>
          </w:p>
        </w:tc>
        <w:tc>
          <w:tcPr/>
          <w:p>
            <w:pPr>
              <w:pStyle w:val="Compact"/>
            </w:pPr>
            <w:r>
              <w:t xml:space="preserve">137,6 PJ/a</w:t>
            </w:r>
          </w:p>
        </w:tc>
        <w:tc>
          <w:tcPr/>
          <w:p>
            <w:pPr>
              <w:pStyle w:val="Compact"/>
            </w:pPr>
            <w:r>
              <w:t xml:space="preserve">Schneider u. a. (2023)</w:t>
            </w:r>
            <w:r>
              <w:t xml:space="preserve">, Tab. 6</w:t>
            </w:r>
          </w:p>
        </w:tc>
      </w:tr>
      <w:tr>
        <w:tc>
          <w:tcPr/>
          <w:p>
            <w:pPr>
              <w:pStyle w:val="Compact"/>
            </w:pPr>
            <w:r>
              <w:t xml:space="preserve">Zielsaldo des Gebäudesektors</w:t>
            </w:r>
          </w:p>
        </w:tc>
        <w:tc>
          <w:tcPr/>
          <w:p>
            <w:pPr>
              <w:pStyle w:val="Compact"/>
            </w:pPr>
            <w:r>
              <w:t xml:space="preserve">−22,7 PJ/a</w:t>
            </w:r>
          </w:p>
        </w:tc>
        <w:tc>
          <w:tcPr/>
          <w:p>
            <w:pPr>
              <w:pStyle w:val="Compact"/>
            </w:pPr>
            <w:r>
              <w:t xml:space="preserve">Übernommener Sektorsaldo,</w:t>
            </w:r>
            <w:r>
              <w:t xml:space="preserve"> </w:t>
            </w:r>
            <w:r>
              <w:t xml:space="preserve">Schneider u. a. (2023)</w:t>
            </w:r>
            <w:r>
              <w:t xml:space="preserve">, Tab. 6</w:t>
            </w:r>
          </w:p>
        </w:tc>
      </w:tr>
      <w:tr>
        <w:tc>
          <w:tcPr/>
          <w:p>
            <w:pPr>
              <w:pStyle w:val="Compact"/>
            </w:pPr>
            <w:r>
              <w:t xml:space="preserve">Dem MIV zugeteilter Strom</w:t>
            </w:r>
          </w:p>
        </w:tc>
        <w:tc>
          <w:tcPr/>
          <w:p>
            <w:pPr>
              <w:pStyle w:val="Compact"/>
            </w:pPr>
            <w:r>
              <w:t xml:space="preserve">6,30 TWh/a</w:t>
            </w:r>
          </w:p>
        </w:tc>
        <w:tc>
          <w:tcPr/>
          <w:p>
            <w:pPr>
              <w:pStyle w:val="Compact"/>
            </w:pPr>
            <w:r>
              <w:t xml:space="preserve">Schneider u. a. (2023)</w:t>
            </w:r>
            <w:r>
              <w:t xml:space="preserve">, Tab. 8</w:t>
            </w:r>
          </w:p>
        </w:tc>
      </w:tr>
      <w:tr>
        <w:tc>
          <w:tcPr/>
          <w:p>
            <w:pPr>
              <w:pStyle w:val="Compact"/>
            </w:pPr>
            <w:r>
              <w:t xml:space="preserve">Dem MIV zugeteilte Biomasse</w:t>
            </w:r>
          </w:p>
        </w:tc>
        <w:tc>
          <w:tcPr/>
          <w:p>
            <w:pPr>
              <w:pStyle w:val="Compact"/>
            </w:pPr>
            <w:r>
              <w:t xml:space="preserve">0,36 TWh/a</w:t>
            </w:r>
          </w:p>
        </w:tc>
        <w:tc>
          <w:tcPr/>
          <w:p>
            <w:pPr>
              <w:pStyle w:val="Compact"/>
            </w:pPr>
            <w:r>
              <w:t xml:space="preserve">Schneider u. a. (2023)</w:t>
            </w:r>
            <w:r>
              <w:t xml:space="preserve">, Tab. 8</w:t>
            </w:r>
          </w:p>
        </w:tc>
      </w:tr>
      <w:tr>
        <w:tc>
          <w:tcPr/>
          <w:p>
            <w:pPr>
              <w:pStyle w:val="Compact"/>
            </w:pPr>
            <w:r>
              <w:t xml:space="preserve">Primärenergiebudget des MIV</w:t>
            </w:r>
          </w:p>
        </w:tc>
        <w:tc>
          <w:tcPr/>
          <w:p>
            <w:pPr>
              <w:pStyle w:val="Compact"/>
            </w:pPr>
            <w:r>
              <w:t xml:space="preserve">10,68 TWh PE/a</w:t>
            </w:r>
          </w:p>
        </w:tc>
        <w:tc>
          <w:tcPr/>
          <w:p>
            <w:pPr>
              <w:pStyle w:val="Compact"/>
            </w:pPr>
            <w:r>
              <w:t xml:space="preserve">Gewichtete Zuteilung,</w:t>
            </w:r>
            <w:r>
              <w:t xml:space="preserve"> </w:t>
            </w:r>
            <w:r>
              <w:t xml:space="preserve">Schneider u. a. (2023)</w:t>
            </w:r>
            <w:r>
              <w:t xml:space="preserve">, Tab. 8</w:t>
            </w:r>
          </w:p>
        </w:tc>
      </w:tr>
      <w:tr>
        <w:tc>
          <w:tcPr/>
          <w:p>
            <w:pPr>
              <w:pStyle w:val="Compact"/>
            </w:pPr>
            <w:r>
              <w:t xml:space="preserve">Vollständige nationale Energiebilanz</w:t>
            </w:r>
          </w:p>
        </w:tc>
        <w:tc>
          <w:tcPr/>
          <w:p>
            <w:pPr>
              <w:pStyle w:val="Compact"/>
            </w:pPr>
            <w:r>
              <w:rPr>
                <w:b/>
                <w:bCs/>
              </w:rPr>
              <w:t xml:space="preserve">Noch zu ergänzen</w:t>
            </w:r>
          </w:p>
        </w:tc>
        <w:tc>
          <w:tcPr/>
          <w:p>
            <w:pPr>
              <w:pStyle w:val="Compact"/>
            </w:pPr>
            <w:r>
              <w:t xml:space="preserve">Erzeugung und Bedarf nach Energieträger und Sektor, einschließlich Umwandlungsverlusten, Importen/Exporten und zentraler/dezentraler Versorgung</w:t>
            </w:r>
          </w:p>
        </w:tc>
      </w:tr>
      <w:tr>
        <w:tc>
          <w:tcPr/>
          <w:p>
            <w:pPr>
              <w:pStyle w:val="Compact"/>
            </w:pPr>
            <w:r>
              <w:t xml:space="preserve">Nationale PV-Aufteilung</w:t>
            </w:r>
          </w:p>
        </w:tc>
        <w:tc>
          <w:tcPr/>
          <w:p>
            <w:pPr>
              <w:pStyle w:val="Compact"/>
            </w:pPr>
            <w:r>
              <w:rPr>
                <w:b/>
                <w:bCs/>
              </w:rPr>
              <w:t xml:space="preserve">Noch zu ergänzen</w:t>
            </w:r>
          </w:p>
        </w:tc>
        <w:tc>
          <w:tcPr/>
          <w:p>
            <w:pPr>
              <w:pStyle w:val="Compact"/>
            </w:pPr>
            <w:r>
              <w:t xml:space="preserve">Zuordnung von Gebäude-PV, Freiflächen-PV und weiteren Anlagen zum Potenzial und zu den Sektoren</w:t>
            </w:r>
          </w:p>
        </w:tc>
      </w:tr>
      <w:tr>
        <w:tc>
          <w:tcPr/>
          <w:p>
            <w:pPr>
              <w:pStyle w:val="Compact"/>
            </w:pPr>
            <w:r>
              <w:t xml:space="preserve">Umrechnung der sektoralen Energiegrößen in PE</w:t>
            </w:r>
          </w:p>
        </w:tc>
        <w:tc>
          <w:tcPr/>
          <w:p>
            <w:pPr>
              <w:pStyle w:val="Compact"/>
            </w:pPr>
            <w:r>
              <w:rPr>
                <w:b/>
                <w:bCs/>
              </w:rPr>
              <w:t xml:space="preserve">Noch zu ergänzen</w:t>
            </w:r>
          </w:p>
        </w:tc>
        <w:tc>
          <w:tcPr/>
          <w:p>
            <w:pPr>
              <w:pStyle w:val="Compact"/>
            </w:pPr>
            <w:r>
              <w:t xml:space="preserve">Zusammenhängende Faktortabelle mit Energieträger, Bezugsjahr und Allokationsregel</w:t>
            </w:r>
          </w:p>
        </w:tc>
      </w:tr>
      <w:tr>
        <w:tc>
          <w:tcPr/>
          <w:p>
            <w:pPr>
              <w:pStyle w:val="Compact"/>
            </w:pPr>
            <w:r>
              <w:t xml:space="preserve">Entwicklung bis zum Zieljahr</w:t>
            </w:r>
          </w:p>
        </w:tc>
        <w:tc>
          <w:tcPr/>
          <w:p>
            <w:pPr>
              <w:pStyle w:val="Compact"/>
            </w:pPr>
            <w:r>
              <w:rPr>
                <w:b/>
                <w:bCs/>
              </w:rPr>
              <w:t xml:space="preserve">Noch zu ergänzen</w:t>
            </w:r>
          </w:p>
        </w:tc>
        <w:tc>
          <w:tcPr/>
          <w:p>
            <w:pPr>
              <w:pStyle w:val="Compact"/>
            </w:pPr>
            <w:r>
              <w:t xml:space="preserve">Stützjahre für Bedarf, Erzeugung und Elektrifizierung mit Zuordnung zum Szenario</w:t>
            </w:r>
          </w:p>
        </w:tc>
      </w:tr>
    </w:tbl>
    <w:bookmarkEnd w:id="442"/>
    <w:bookmarkStart w:id="443" w:name="gebäudebestand-und-dichteallokation"/>
    <w:p>
      <w:pPr>
        <w:pStyle w:val="Heading2"/>
      </w:pPr>
      <w:r>
        <w:t xml:space="preserve">B.3 Gebäudebestand und Dichteallokation</w:t>
      </w:r>
    </w:p>
    <w:p>
      <w:pPr>
        <w:pStyle w:val="FirstParagraph"/>
      </w:pPr>
      <w:r>
        <w:t xml:space="preserve">Die folgende Tabelle dokumentiert die</w:t>
      </w:r>
      <w:r>
        <w:t xml:space="preserve"> </w:t>
      </w:r>
      <w:r>
        <w:rPr>
          <w:b/>
          <w:bCs/>
        </w:rPr>
        <w:t xml:space="preserve">historische Kalibrierung</w:t>
      </w:r>
      <w:r>
        <w:t xml:space="preserve">. Der neue Building-Sector Pool ist inzwischen mit seinen eigenen 2040-Flächen, Energiekennwerten und GFZ-Zuordnungen ausgewertet (</w:t>
      </w:r>
      <w:hyperlink w:anchor="sec-gebaeudesektormodell">
        <w:r>
          <w:rPr>
            <w:rStyle w:val="Hyperlink"/>
          </w:rPr>
          <w:t xml:space="preserve">Anhang H</w:t>
        </w:r>
      </w:hyperlink>
      <w:r>
        <w:t xml:space="preserve">). Die alten Anteile 40/20/20/20 werden nicht als Gewichte des neuen Pools eingesetzt. Dessen nationale BGF beträgt 1.126,579 Mio. m²; die davon getrennte THG-Budgetfläche wird hier nicht geändert.</w:t>
      </w:r>
    </w:p>
    <w:p>
      <w:pPr>
        <w:pStyle w:val="TableCaption"/>
      </w:pPr>
      <w:r>
        <w:t xml:space="preserve">Bestandsanteile und Dichtekalibrierung nach</w:t>
      </w:r>
      <w:r>
        <w:t xml:space="preserve"> </w:t>
      </w:r>
      <w:r>
        <w:t xml:space="preserve">Schneider u. a. (2023)</w:t>
      </w:r>
      <w:r>
        <w:t xml:space="preserve">, Tab. 5 und Abb. 8; Flächenbezug der THG-Allokation nach</w:t>
      </w:r>
      <w:r>
        <w:t xml:space="preserve"> </w:t>
      </w:r>
      <w:r>
        <w:t xml:space="preserve">Schneider u. a. (2025)</w:t>
      </w:r>
      <w:r>
        <w:t xml:space="preserve">, Tab. A1. Die jeweiligen Bezugsflächen sind getrennt zu führen.</w:t>
      </w:r>
    </w:p>
    <w:tbl>
      <w:tblPr>
        <w:tblStyle w:val="Table"/>
        <w:tblW w:type="pct" w:w="5000"/>
        <w:tblLayout w:type="fixed"/>
        <w:tblLook w:firstRow="1" w:lastRow="0" w:firstColumn="0" w:lastColumn="0" w:noHBand="0" w:noVBand="0" w:val="0020"/>
        <w:tblCaption w:val="Bestandsanteile und Dichtekalibrierung nach Schneider u. a. (2023), Tab. 5 und Abb. 8; Flächenbezug der THG-Allokation nach Schneider u. a. (2025), Tab. A1. Die jeweiligen Bezugsflächen sind getrennt zu führen."/>
      </w:tblPr>
      <w:tblGrid>
        <w:gridCol w:w="2640"/>
        <w:gridCol w:w="2640"/>
        <w:gridCol w:w="2640"/>
      </w:tblGrid>
      <w:tr>
        <w:trPr>
          <w:tblHeader w:val="on"/>
        </w:trPr>
        <w:tc>
          <w:tcPr/>
          <w:p>
            <w:pPr>
              <w:pStyle w:val="Compact"/>
            </w:pPr>
            <w:r>
              <w:t xml:space="preserve">Annahme</w:t>
            </w:r>
          </w:p>
        </w:tc>
        <w:tc>
          <w:tcPr/>
          <w:p>
            <w:pPr>
              <w:pStyle w:val="Compact"/>
            </w:pPr>
            <w:r>
              <w:t xml:space="preserve">Ansatz</w:t>
            </w:r>
          </w:p>
        </w:tc>
        <w:tc>
          <w:tcPr/>
          <w:p>
            <w:pPr>
              <w:pStyle w:val="Compact"/>
            </w:pPr>
            <w:r>
              <w:t xml:space="preserve">Grundlage / Stand</w:t>
            </w:r>
          </w:p>
        </w:tc>
      </w:tr>
      <w:tr>
        <w:tc>
          <w:tcPr/>
          <w:p>
            <w:pPr>
              <w:pStyle w:val="Compact"/>
            </w:pPr>
            <w:r>
              <w:t xml:space="preserve">Thermisch sanierter Bestand</w:t>
            </w:r>
          </w:p>
        </w:tc>
        <w:tc>
          <w:tcPr/>
          <w:p>
            <w:pPr>
              <w:pStyle w:val="Compact"/>
            </w:pPr>
            <w:r>
              <w:t xml:space="preserve">40 %</w:t>
            </w:r>
          </w:p>
        </w:tc>
        <w:tc>
          <w:tcPr/>
          <w:p>
            <w:pPr>
              <w:pStyle w:val="Compact"/>
            </w:pPr>
            <w:r>
              <w:t xml:space="preserve">Anteil im kalibrierten Zielzustand</w:t>
            </w:r>
          </w:p>
        </w:tc>
      </w:tr>
      <w:tr>
        <w:tc>
          <w:tcPr/>
          <w:p>
            <w:pPr>
              <w:pStyle w:val="Compact"/>
            </w:pPr>
            <w:r>
              <w:t xml:space="preserve">Sanierung mit geringer PV-Ausstattung</w:t>
            </w:r>
          </w:p>
        </w:tc>
        <w:tc>
          <w:tcPr/>
          <w:p>
            <w:pPr>
              <w:pStyle w:val="Compact"/>
            </w:pPr>
            <w:r>
              <w:t xml:space="preserve">20 %</w:t>
            </w:r>
          </w:p>
        </w:tc>
        <w:tc>
          <w:tcPr/>
          <w:p>
            <w:pPr>
              <w:pStyle w:val="Compact"/>
            </w:pPr>
            <w:r>
              <w:t xml:space="preserve">Anteil im kalibrierten Zielzustand</w:t>
            </w:r>
          </w:p>
        </w:tc>
      </w:tr>
      <w:tr>
        <w:tc>
          <w:tcPr/>
          <w:p>
            <w:pPr>
              <w:pStyle w:val="Compact"/>
            </w:pPr>
            <w:r>
              <w:t xml:space="preserve">PEQ-Sanierung</w:t>
            </w:r>
          </w:p>
        </w:tc>
        <w:tc>
          <w:tcPr/>
          <w:p>
            <w:pPr>
              <w:pStyle w:val="Compact"/>
            </w:pPr>
            <w:r>
              <w:t xml:space="preserve">20 %</w:t>
            </w:r>
          </w:p>
        </w:tc>
        <w:tc>
          <w:tcPr/>
          <w:p>
            <w:pPr>
              <w:pStyle w:val="Compact"/>
            </w:pPr>
            <w:r>
              <w:t xml:space="preserve">Anteil im kalibrierten Zielzustand</w:t>
            </w:r>
          </w:p>
        </w:tc>
      </w:tr>
      <w:tr>
        <w:tc>
          <w:tcPr/>
          <w:p>
            <w:pPr>
              <w:pStyle w:val="Compact"/>
            </w:pPr>
            <w:r>
              <w:t xml:space="preserve">PEQ-Neubau</w:t>
            </w:r>
          </w:p>
        </w:tc>
        <w:tc>
          <w:tcPr/>
          <w:p>
            <w:pPr>
              <w:pStyle w:val="Compact"/>
            </w:pPr>
            <w:r>
              <w:t xml:space="preserve">20 %</w:t>
            </w:r>
          </w:p>
        </w:tc>
        <w:tc>
          <w:tcPr/>
          <w:p>
            <w:pPr>
              <w:pStyle w:val="Compact"/>
            </w:pPr>
            <w:r>
              <w:t xml:space="preserve">Anteil im kalibrierten Zielzustand</w:t>
            </w:r>
          </w:p>
        </w:tc>
      </w:tr>
      <w:tr>
        <w:tc>
          <w:tcPr/>
          <w:p>
            <w:pPr>
              <w:pStyle w:val="Compact"/>
            </w:pPr>
            <w:r>
              <w:t xml:space="preserve">Unsanierter Bestand</w:t>
            </w:r>
          </w:p>
        </w:tc>
        <w:tc>
          <w:tcPr/>
          <w:p>
            <w:pPr>
              <w:pStyle w:val="Compact"/>
            </w:pPr>
            <w:r>
              <w:t xml:space="preserve">0 %</w:t>
            </w:r>
          </w:p>
        </w:tc>
        <w:tc>
          <w:tcPr/>
          <w:p>
            <w:pPr>
              <w:pStyle w:val="Compact"/>
            </w:pPr>
            <w:r>
              <w:t xml:space="preserve">Annahme des Zielzustands, keine Beschreibung des heutigen Bestands</w:t>
            </w:r>
          </w:p>
        </w:tc>
      </w:tr>
      <w:tr>
        <w:tc>
          <w:tcPr/>
          <w:p>
            <w:pPr>
              <w:pStyle w:val="Compact"/>
            </w:pPr>
            <w:r>
              <w:t xml:space="preserve">Nationale Aggregation</w:t>
            </w:r>
          </w:p>
        </w:tc>
        <w:tc>
          <w:tcPr/>
          <w:p>
            <w:pPr>
              <w:pStyle w:val="Compact"/>
            </w:pPr>
            <w:r>
              <w:t xml:space="preserve">Flächengewichtung nach Gebäudetyp und Dichteklasse</w:t>
            </w:r>
          </w:p>
        </w:tc>
        <w:tc>
          <w:tcPr/>
          <w:p>
            <w:pPr>
              <w:pStyle w:val="Compact"/>
            </w:pPr>
            <w:hyperlink w:anchor="eq-sektor-aggregation">
              <w:r>
                <w:rPr>
                  <w:rStyle w:val="Hyperlink"/>
                </w:rPr>
                <w:t xml:space="preserve">Gleichung 13.3</w:t>
              </w:r>
            </w:hyperlink>
          </w:p>
        </w:tc>
      </w:tr>
      <w:tr>
        <w:tc>
          <w:tcPr/>
          <w:p>
            <w:pPr>
              <w:pStyle w:val="Compact"/>
            </w:pPr>
            <w:r>
              <w:t xml:space="preserve">Dichteverteilung des Bestands</w:t>
            </w:r>
          </w:p>
        </w:tc>
        <w:tc>
          <w:tcPr/>
          <w:p>
            <w:pPr>
              <w:pStyle w:val="Compact"/>
            </w:pPr>
            <w:r>
              <w:t xml:space="preserve">Aktualisierte Hochrechnung 2021 und Pool-Zuordnung 2040</w:t>
            </w:r>
          </w:p>
        </w:tc>
        <w:tc>
          <w:tcPr/>
          <w:p>
            <w:pPr>
              <w:pStyle w:val="Compact"/>
            </w:pPr>
            <w:r>
              <w:t xml:space="preserve">Ausgeführt in</w:t>
            </w:r>
            <w:r>
              <w:t xml:space="preserve"> </w:t>
            </w:r>
            <w:hyperlink w:anchor="sec-gebaeude-gfz">
              <w:r>
                <w:rPr>
                  <w:rStyle w:val="Hyperlink"/>
                </w:rPr>
                <w:t xml:space="preserve">Kapitel H.7</w:t>
              </w:r>
            </w:hyperlink>
            <w:r>
              <w:t xml:space="preserve">; räumliche Fortschreibung 2040 weiterhin Modellannahme</w:t>
            </w:r>
          </w:p>
        </w:tc>
      </w:tr>
      <w:tr>
        <w:tc>
          <w:tcPr/>
          <w:p>
            <w:pPr>
              <w:pStyle w:val="Compact"/>
            </w:pPr>
            <w:r>
              <w:t xml:space="preserve">Dichteabhängige Anforderung</w:t>
            </w:r>
          </w:p>
        </w:tc>
        <w:tc>
          <w:tcPr/>
          <w:p>
            <w:pPr>
              <w:pStyle w:val="Compact"/>
            </w:pPr>
            <w:r>
              <w:t xml:space="preserve">Historische Referenzfunktion mit Verschiebung und Begrenzung</w:t>
            </w:r>
          </w:p>
        </w:tc>
        <w:tc>
          <w:tcPr/>
          <w:p>
            <w:pPr>
              <w:pStyle w:val="Compact"/>
            </w:pPr>
            <w:r>
              <w:t xml:space="preserve">Parameter und elektrische Erwartungswerte in</w:t>
            </w:r>
            <w:r>
              <w:t xml:space="preserve"> </w:t>
            </w:r>
            <w:hyperlink w:anchor="sec-gebaeude-gfz">
              <w:r>
                <w:rPr>
                  <w:rStyle w:val="Hyperlink"/>
                </w:rPr>
                <w:t xml:space="preserve">Kapitel H.7</w:t>
              </w:r>
            </w:hyperlink>
            <w:r>
              <w:t xml:space="preserve">; neue Kalibrierung offen</w:t>
            </w:r>
          </w:p>
        </w:tc>
      </w:tr>
      <w:tr>
        <w:tc>
          <w:tcPr/>
          <w:p>
            <w:pPr>
              <w:pStyle w:val="Compact"/>
            </w:pPr>
            <w:r>
              <w:t xml:space="preserve">Flächenentwicklung bis 2040</w:t>
            </w:r>
          </w:p>
        </w:tc>
        <w:tc>
          <w:tcPr/>
          <w:p>
            <w:pPr>
              <w:pStyle w:val="Compact"/>
            </w:pPr>
            <w:r>
              <w:t xml:space="preserve">Nationale Bezugsfläche 906,7 Mio. m² BGF</w:t>
            </w:r>
          </w:p>
        </w:tc>
        <w:tc>
          <w:tcPr/>
          <w:p>
            <w:pPr>
              <w:pStyle w:val="Compact"/>
            </w:pPr>
            <w:r>
              <w:rPr>
                <w:b/>
                <w:bCs/>
              </w:rPr>
              <w:t xml:space="preserve">Noch zu ergänzen:</w:t>
            </w:r>
            <w:r>
              <w:t xml:space="preserve"> </w:t>
            </w:r>
            <w:r>
              <w:t xml:space="preserve">Aufteilung nach Nutzung, Bestand, Neubau, Abbruch und Sanierung mit Stützjahren</w:t>
            </w:r>
          </w:p>
        </w:tc>
      </w:tr>
    </w:tbl>
    <w:bookmarkEnd w:id="443"/>
    <w:bookmarkStart w:id="444" w:name="mobilitätsallokation-und-sanierung"/>
    <w:p>
      <w:pPr>
        <w:pStyle w:val="Heading2"/>
      </w:pPr>
      <w:r>
        <w:t xml:space="preserve">B.4 Mobilitätsallokation und Sanierung</w:t>
      </w:r>
    </w:p>
    <w:p>
      <w:pPr>
        <w:pStyle w:val="TableCaption"/>
      </w:pPr>
      <w:r>
        <w:t xml:space="preserve">Mobilitätsallokation nach</w:t>
      </w:r>
      <w:r>
        <w:t xml:space="preserve"> </w:t>
      </w:r>
      <w:r>
        <w:t xml:space="preserve">Schneider u. a. (2023)</w:t>
      </w:r>
      <w:r>
        <w:t xml:space="preserve">, Tab. 9. Die Gutschrift gilt gemeinsam mit dem zugeordneten MIV-Bedarf.</w:t>
      </w:r>
    </w:p>
    <w:tbl>
      <w:tblPr>
        <w:tblStyle w:val="Table"/>
        <w:tblW w:type="pct" w:w="5000"/>
        <w:tblLayout w:type="fixed"/>
        <w:tblLook w:firstRow="1" w:lastRow="0" w:firstColumn="0" w:lastColumn="0" w:noHBand="0" w:noVBand="0" w:val="0020"/>
        <w:tblCaption w:val="Mobilitätsallokation nach Schneider u. a. (2023), Tab. 9. Die Gutschrift gilt gemeinsam mit dem zugeordneten MIV-Bedarf."/>
      </w:tblPr>
      <w:tblGrid>
        <w:gridCol w:w="1584"/>
        <w:gridCol w:w="2112"/>
        <w:gridCol w:w="2112"/>
        <w:gridCol w:w="2112"/>
      </w:tblGrid>
      <w:tr>
        <w:trPr>
          <w:tblHeader w:val="on"/>
        </w:trPr>
        <w:tc>
          <w:tcPr/>
          <w:p>
            <w:pPr>
              <w:pStyle w:val="Compact"/>
            </w:pPr>
            <w:r>
              <w:t xml:space="preserve">Nutzung</w:t>
            </w:r>
          </w:p>
        </w:tc>
        <w:tc>
          <w:tcPr/>
          <w:p>
            <w:pPr>
              <w:pStyle w:val="Compact"/>
              <w:jc w:val="right"/>
            </w:pPr>
            <w:r>
              <w:t xml:space="preserve">MIV-Budget [TWh PE/a]</w:t>
            </w:r>
          </w:p>
        </w:tc>
        <w:tc>
          <w:tcPr/>
          <w:p>
            <w:pPr>
              <w:pStyle w:val="Compact"/>
              <w:jc w:val="right"/>
            </w:pPr>
            <w:r>
              <w:t xml:space="preserve">Bezugsfläche [Mio. m² NGF]</w:t>
            </w:r>
          </w:p>
        </w:tc>
        <w:tc>
          <w:tcPr/>
          <w:p>
            <w:pPr>
              <w:pStyle w:val="Compact"/>
              <w:jc w:val="right"/>
            </w:pPr>
            <w:r>
              <w:t xml:space="preserve">Gutschrift [kWh PE/(m² NGF a)]</w:t>
            </w:r>
          </w:p>
        </w:tc>
      </w:tr>
      <w:tr>
        <w:tc>
          <w:tcPr/>
          <w:p>
            <w:pPr>
              <w:pStyle w:val="Compact"/>
            </w:pPr>
            <w:r>
              <w:t xml:space="preserve">Wohnen</w:t>
            </w:r>
          </w:p>
        </w:tc>
        <w:tc>
          <w:tcPr/>
          <w:p>
            <w:pPr>
              <w:pStyle w:val="Compact"/>
              <w:jc w:val="right"/>
            </w:pPr>
            <w:r>
              <w:t xml:space="preserve">5,30</w:t>
            </w:r>
          </w:p>
        </w:tc>
        <w:tc>
          <w:tcPr/>
          <w:p>
            <w:pPr>
              <w:pStyle w:val="Compact"/>
              <w:jc w:val="right"/>
            </w:pPr>
            <w:r>
              <w:t xml:space="preserve">375,6</w:t>
            </w:r>
          </w:p>
        </w:tc>
        <w:tc>
          <w:tcPr/>
          <w:p>
            <w:pPr>
              <w:pStyle w:val="Compact"/>
              <w:jc w:val="right"/>
            </w:pPr>
            <w:r>
              <w:t xml:space="preserve">14,11</w:t>
            </w:r>
          </w:p>
        </w:tc>
      </w:tr>
      <w:tr>
        <w:tc>
          <w:tcPr/>
          <w:p>
            <w:pPr>
              <w:pStyle w:val="Compact"/>
            </w:pPr>
            <w:r>
              <w:t xml:space="preserve">Büro und Gewerbe</w:t>
            </w:r>
          </w:p>
        </w:tc>
        <w:tc>
          <w:tcPr/>
          <w:p>
            <w:pPr>
              <w:pStyle w:val="Compact"/>
              <w:jc w:val="right"/>
            </w:pPr>
            <w:r>
              <w:t xml:space="preserve">2,20</w:t>
            </w:r>
          </w:p>
        </w:tc>
        <w:tc>
          <w:tcPr/>
          <w:p>
            <w:pPr>
              <w:pStyle w:val="Compact"/>
              <w:jc w:val="right"/>
            </w:pPr>
            <w:r>
              <w:t xml:space="preserve">53,1</w:t>
            </w:r>
          </w:p>
        </w:tc>
        <w:tc>
          <w:tcPr/>
          <w:p>
            <w:pPr>
              <w:pStyle w:val="Compact"/>
              <w:jc w:val="right"/>
            </w:pPr>
            <w:r>
              <w:t xml:space="preserve">41,47</w:t>
            </w:r>
          </w:p>
        </w:tc>
      </w:tr>
      <w:tr>
        <w:tc>
          <w:tcPr/>
          <w:p>
            <w:pPr>
              <w:pStyle w:val="Compact"/>
            </w:pPr>
            <w:r>
              <w:t xml:space="preserve">Bildung</w:t>
            </w:r>
          </w:p>
        </w:tc>
        <w:tc>
          <w:tcPr/>
          <w:p>
            <w:pPr>
              <w:pStyle w:val="Compact"/>
              <w:jc w:val="right"/>
            </w:pPr>
            <w:r>
              <w:t xml:space="preserve">0,29</w:t>
            </w:r>
          </w:p>
        </w:tc>
        <w:tc>
          <w:tcPr/>
          <w:p>
            <w:pPr>
              <w:pStyle w:val="Compact"/>
              <w:jc w:val="right"/>
            </w:pPr>
            <w:r>
              <w:t xml:space="preserve">22,5</w:t>
            </w:r>
          </w:p>
        </w:tc>
        <w:tc>
          <w:tcPr/>
          <w:p>
            <w:pPr>
              <w:pStyle w:val="Compact"/>
              <w:jc w:val="right"/>
            </w:pPr>
            <w:r>
              <w:t xml:space="preserve">12,93</w:t>
            </w:r>
          </w:p>
        </w:tc>
      </w:tr>
      <w:tr>
        <w:tc>
          <w:tcPr/>
          <w:p>
            <w:pPr>
              <w:pStyle w:val="Compact"/>
            </w:pPr>
            <w:r>
              <w:t xml:space="preserve">Handel und sonstige Nutzungen</w:t>
            </w:r>
          </w:p>
        </w:tc>
        <w:tc>
          <w:tcPr/>
          <w:p>
            <w:pPr>
              <w:pStyle w:val="Compact"/>
              <w:jc w:val="right"/>
            </w:pPr>
            <w:r>
              <w:t xml:space="preserve">2,89</w:t>
            </w:r>
          </w:p>
        </w:tc>
        <w:tc>
          <w:tcPr/>
          <w:p>
            <w:pPr>
              <w:pStyle w:val="Compact"/>
              <w:jc w:val="right"/>
            </w:pPr>
            <w:r>
              <w:t xml:space="preserve">96,5</w:t>
            </w:r>
          </w:p>
        </w:tc>
        <w:tc>
          <w:tcPr/>
          <w:p>
            <w:pPr>
              <w:pStyle w:val="Compact"/>
              <w:jc w:val="right"/>
            </w:pPr>
            <w:r>
              <w:t xml:space="preserve">29,97</w:t>
            </w:r>
          </w:p>
        </w:tc>
      </w:tr>
    </w:tbl>
    <w:p>
      <w:pPr>
        <w:pStyle w:val="BodyText"/>
      </w:pP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Annahme</w:t>
            </w:r>
          </w:p>
        </w:tc>
        <w:tc>
          <w:tcPr/>
          <w:p>
            <w:pPr>
              <w:pStyle w:val="Compact"/>
            </w:pPr>
            <w:r>
              <w:t xml:space="preserve">Ansatz</w:t>
            </w:r>
          </w:p>
        </w:tc>
        <w:tc>
          <w:tcPr/>
          <w:p>
            <w:pPr>
              <w:pStyle w:val="Compact"/>
            </w:pPr>
            <w:r>
              <w:t xml:space="preserve">Ergänzungs- oder Entwicklungsbedarf</w:t>
            </w:r>
          </w:p>
        </w:tc>
      </w:tr>
      <w:tr>
        <w:tc>
          <w:tcPr/>
          <w:p>
            <w:pPr>
              <w:pStyle w:val="Compact"/>
            </w:pPr>
            <w:r>
              <w:t xml:space="preserve">Verkehrszuordnung</w:t>
            </w:r>
          </w:p>
        </w:tc>
        <w:tc>
          <w:tcPr/>
          <w:p>
            <w:pPr>
              <w:pStyle w:val="Compact"/>
            </w:pPr>
            <w:r>
              <w:t xml:space="preserve">Zielverkehr nach Nutzung; Datenbasis 2013/2014</w:t>
            </w:r>
          </w:p>
        </w:tc>
        <w:tc>
          <w:tcPr/>
          <w:p>
            <w:pPr>
              <w:pStyle w:val="Compact"/>
            </w:pPr>
            <w:r>
              <w:rPr>
                <w:b/>
                <w:bCs/>
              </w:rPr>
              <w:t xml:space="preserve">Noch zu ergänzen:</w:t>
            </w:r>
            <w:r>
              <w:t xml:space="preserve"> </w:t>
            </w:r>
            <w:r>
              <w:t xml:space="preserve">vollständige Zuordnung der Verkehrsanteile zu den nationalen Nutzflächen;</w:t>
            </w:r>
            <w:r>
              <w:t xml:space="preserve"> </w:t>
            </w:r>
            <w:r>
              <w:rPr>
                <w:b/>
                <w:bCs/>
              </w:rPr>
              <w:t xml:space="preserve">weiterzuentwickeln:</w:t>
            </w:r>
            <w:r>
              <w:t xml:space="preserve"> </w:t>
            </w:r>
            <w:r>
              <w:t xml:space="preserve">Aktualisierung mit neuer Mobilitätserhebung</w:t>
            </w:r>
          </w:p>
        </w:tc>
      </w:tr>
      <w:tr>
        <w:tc>
          <w:tcPr/>
          <w:p>
            <w:pPr>
              <w:pStyle w:val="Compact"/>
            </w:pPr>
            <w:r>
              <w:t xml:space="preserve">Gemischte Nutzung</w:t>
            </w:r>
          </w:p>
        </w:tc>
        <w:tc>
          <w:tcPr/>
          <w:p>
            <w:pPr>
              <w:pStyle w:val="Compact"/>
            </w:pPr>
            <w:r>
              <w:t xml:space="preserve">Flächengewichteter Mittelwert der Gutschriften</w:t>
            </w:r>
          </w:p>
        </w:tc>
        <w:tc>
          <w:tcPr/>
          <w:p>
            <w:pPr>
              <w:pStyle w:val="Compact"/>
            </w:pPr>
            <w:r>
              <w:t xml:space="preserve">Berechnung nach</w:t>
            </w:r>
            <w:r>
              <w:t xml:space="preserve"> </w:t>
            </w:r>
            <w:hyperlink w:anchor="eq-mobilitaet-mischnutzung">
              <w:r>
                <w:rPr>
                  <w:rStyle w:val="Hyperlink"/>
                </w:rPr>
                <w:t xml:space="preserve">Gleichung 14.2</w:t>
              </w:r>
            </w:hyperlink>
          </w:p>
        </w:tc>
      </w:tr>
      <w:tr>
        <w:tc>
          <w:tcPr/>
          <w:p>
            <w:pPr>
              <w:pStyle w:val="Compact"/>
            </w:pPr>
            <w:r>
              <w:t xml:space="preserve">Sanierungsgutschrift</w:t>
            </w:r>
          </w:p>
        </w:tc>
        <w:tc>
          <w:tcPr/>
          <w:p>
            <w:pPr>
              <w:pStyle w:val="Compact"/>
            </w:pPr>
            <w:r>
              <w:t xml:space="preserve">15 kWh PE/(m² NGF a), gewichtet mit dem Sanierungsanteil</w:t>
            </w:r>
          </w:p>
        </w:tc>
        <w:tc>
          <w:tcPr/>
          <w:p>
            <w:pPr>
              <w:pStyle w:val="Compact"/>
            </w:pPr>
            <w:r>
              <w:t xml:space="preserve">Normative Festlegung nach</w:t>
            </w:r>
            <w:r>
              <w:t xml:space="preserve"> </w:t>
            </w:r>
            <w:r>
              <w:t xml:space="preserve">Schneider u. a. (2026)</w:t>
            </w:r>
            <w:r>
              <w:t xml:space="preserve">, S. 14;</w:t>
            </w:r>
            <w:r>
              <w:t xml:space="preserve"> </w:t>
            </w:r>
            <w:r>
              <w:rPr>
                <w:b/>
                <w:bCs/>
              </w:rPr>
              <w:t xml:space="preserve">weiterzuentwickeln:</w:t>
            </w:r>
            <w:r>
              <w:t xml:space="preserve"> </w:t>
            </w:r>
            <w:r>
              <w:t xml:space="preserve">quantitative Kalibrierung und gegebenenfalls Differenzierung nach Sanierungserschwernis</w:t>
            </w:r>
          </w:p>
        </w:tc>
      </w:tr>
    </w:tbl>
    <w:bookmarkEnd w:id="444"/>
    <w:bookmarkStart w:id="445" w:name="thg-budget-und-senkenannahmen"/>
    <w:p>
      <w:pPr>
        <w:pStyle w:val="Heading2"/>
      </w:pPr>
      <w:r>
        <w:t xml:space="preserve">B.5 THG-Budget und Senkenannahmen</w:t>
      </w:r>
    </w:p>
    <w:p>
      <w:pPr>
        <w:pStyle w:val="TableCaption"/>
      </w:pPr>
      <w:r>
        <w:t xml:space="preserve">Budgetgrundlagen nach</w:t>
      </w:r>
      <w:r>
        <w:t xml:space="preserve"> </w:t>
      </w:r>
      <w:r>
        <w:t xml:space="preserve">Schneider u. a. (2025)</w:t>
      </w:r>
      <w:r>
        <w:t xml:space="preserve">, Tab. 2 und A1. L1–L3 sind Budgetvarianten, keine PEQ-Qualitätsstufen.</w:t>
      </w:r>
    </w:p>
    <w:tbl>
      <w:tblPr>
        <w:tblStyle w:val="Table"/>
        <w:tblW w:type="pct" w:w="5000"/>
        <w:tblLayout w:type="fixed"/>
        <w:tblLook w:firstRow="1" w:lastRow="0" w:firstColumn="0" w:lastColumn="0" w:noHBand="0" w:noVBand="0" w:val="0020"/>
        <w:tblCaption w:val="Budgetgrundlagen nach Schneider u. a. (2025), Tab. 2 und A1. L1–L3 sind Budgetvarianten, keine PEQ-Qualitätsstufen."/>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Funktion</w:t>
            </w:r>
          </w:p>
        </w:tc>
      </w:tr>
      <w:tr>
        <w:tc>
          <w:tcPr/>
          <w:p>
            <w:pPr>
              <w:pStyle w:val="Compact"/>
            </w:pPr>
            <w:r>
              <w:t xml:space="preserve">Klimabudgetansatz</w:t>
            </w:r>
          </w:p>
        </w:tc>
        <w:tc>
          <w:tcPr/>
          <w:p>
            <w:pPr>
              <w:pStyle w:val="Compact"/>
            </w:pPr>
            <w:r>
              <w:t xml:space="preserve">1,5 °C mit 66 % Wahrscheinlichkeit, ohne temporäre Überschreitung</w:t>
            </w:r>
          </w:p>
        </w:tc>
        <w:tc>
          <w:tcPr/>
          <w:p>
            <w:pPr>
              <w:pStyle w:val="Compact"/>
            </w:pPr>
            <w:r>
              <w:t xml:space="preserve">Referenz der Budgetvarianten L1–L3</w:t>
            </w:r>
          </w:p>
        </w:tc>
      </w:tr>
      <w:tr>
        <w:tc>
          <w:tcPr/>
          <w:p>
            <w:pPr>
              <w:pStyle w:val="Compact"/>
            </w:pPr>
            <w:r>
              <w:t xml:space="preserve">Nationales Ausgangsbudget ab 2022</w:t>
            </w:r>
          </w:p>
        </w:tc>
        <w:tc>
          <w:tcPr/>
          <w:p>
            <w:pPr>
              <w:pStyle w:val="Compact"/>
            </w:pPr>
            <w:r>
              <w:t xml:space="preserve">280 Mt CO₂</w:t>
            </w:r>
          </w:p>
        </w:tc>
        <w:tc>
          <w:tcPr/>
          <w:p>
            <w:pPr>
              <w:pStyle w:val="Compact"/>
            </w:pPr>
            <w:r>
              <w:t xml:space="preserve">Vor Abzug der angesetzten Emissionen bis Ende 2024</w:t>
            </w:r>
          </w:p>
        </w:tc>
      </w:tr>
      <w:tr>
        <w:tc>
          <w:tcPr/>
          <w:p>
            <w:pPr>
              <w:pStyle w:val="Compact"/>
            </w:pPr>
            <w:r>
              <w:t xml:space="preserve">Verbleibendes Budget ab 2025</w:t>
            </w:r>
          </w:p>
        </w:tc>
        <w:tc>
          <w:tcPr/>
          <w:p>
            <w:pPr>
              <w:pStyle w:val="Compact"/>
            </w:pPr>
            <w:r>
              <w:t xml:space="preserve">130 Mt CO₂</w:t>
            </w:r>
          </w:p>
        </w:tc>
        <w:tc>
          <w:tcPr/>
          <w:p>
            <w:pPr>
              <w:pStyle w:val="Compact"/>
            </w:pPr>
            <w:r>
              <w:t xml:space="preserve">Ausgangspunkt der Zuteilung</w:t>
            </w:r>
          </w:p>
        </w:tc>
      </w:tr>
      <w:tr>
        <w:tc>
          <w:tcPr/>
          <w:p>
            <w:pPr>
              <w:pStyle w:val="Compact"/>
            </w:pPr>
            <w:r>
              <w:t xml:space="preserve">Bevölkerung</w:t>
            </w:r>
          </w:p>
        </w:tc>
        <w:tc>
          <w:tcPr/>
          <w:p>
            <w:pPr>
              <w:pStyle w:val="Compact"/>
            </w:pPr>
            <w:r>
              <w:t xml:space="preserve">9,0 Mio. Personen</w:t>
            </w:r>
          </w:p>
        </w:tc>
        <w:tc>
          <w:tcPr/>
          <w:p>
            <w:pPr>
              <w:pStyle w:val="Compact"/>
            </w:pPr>
            <w:r>
              <w:t xml:space="preserve">Bezug für die Senkenannahme</w:t>
            </w:r>
          </w:p>
        </w:tc>
      </w:tr>
      <w:tr>
        <w:tc>
          <w:tcPr/>
          <w:p>
            <w:pPr>
              <w:pStyle w:val="Compact"/>
            </w:pPr>
            <w:r>
              <w:t xml:space="preserve">Dauer der Senkenanrechnung</w:t>
            </w:r>
          </w:p>
        </w:tc>
        <w:tc>
          <w:tcPr/>
          <w:p>
            <w:pPr>
              <w:pStyle w:val="Compact"/>
            </w:pPr>
            <w:r>
              <w:t xml:space="preserve">50 Jahre</w:t>
            </w:r>
          </w:p>
        </w:tc>
        <w:tc>
          <w:tcPr/>
          <w:p>
            <w:pPr>
              <w:pStyle w:val="Compact"/>
            </w:pPr>
            <w:r>
              <w:t xml:space="preserve">Kumulation über den Bewertungszeitraum</w:t>
            </w:r>
          </w:p>
        </w:tc>
      </w:tr>
      <w:tr>
        <w:tc>
          <w:tcPr/>
          <w:p>
            <w:pPr>
              <w:pStyle w:val="Compact"/>
            </w:pPr>
            <w:r>
              <w:t xml:space="preserve">Anteil Gebäude und MIV</w:t>
            </w:r>
          </w:p>
        </w:tc>
        <w:tc>
          <w:tcPr/>
          <w:p>
            <w:pPr>
              <w:pStyle w:val="Compact"/>
            </w:pPr>
            <w:r>
              <w:t xml:space="preserve">50 %</w:t>
            </w:r>
          </w:p>
        </w:tc>
        <w:tc>
          <w:tcPr/>
          <w:p>
            <w:pPr>
              <w:pStyle w:val="Compact"/>
            </w:pPr>
            <w:r>
              <w:t xml:space="preserve">Normative sektorale Zuteilung</w:t>
            </w:r>
          </w:p>
        </w:tc>
      </w:tr>
      <w:tr>
        <w:tc>
          <w:tcPr/>
          <w:p>
            <w:pPr>
              <w:pStyle w:val="Compact"/>
            </w:pPr>
            <w:r>
              <w:t xml:space="preserve">L1: keine zusätzliche Senke</w:t>
            </w:r>
          </w:p>
        </w:tc>
        <w:tc>
          <w:tcPr/>
          <w:p>
            <w:pPr>
              <w:pStyle w:val="Compact"/>
            </w:pPr>
            <w:r>
              <w:t xml:space="preserve">0 t CO₂e/(Person a) → 72 kg CO₂e/m² BGF</w:t>
            </w:r>
          </w:p>
        </w:tc>
        <w:tc>
          <w:tcPr/>
          <w:p>
            <w:pPr>
              <w:pStyle w:val="Compact"/>
            </w:pPr>
            <w:r>
              <w:t xml:space="preserve">Budgetvariante</w:t>
            </w:r>
          </w:p>
        </w:tc>
      </w:tr>
      <w:tr>
        <w:tc>
          <w:tcPr/>
          <w:p>
            <w:pPr>
              <w:pStyle w:val="Compact"/>
            </w:pPr>
            <w:r>
              <w:t xml:space="preserve">L2: mittlere Senkenannahme</w:t>
            </w:r>
          </w:p>
        </w:tc>
        <w:tc>
          <w:tcPr/>
          <w:p>
            <w:pPr>
              <w:pStyle w:val="Compact"/>
            </w:pPr>
            <w:r>
              <w:t xml:space="preserve">0,5 t CO₂e/(Person a) → 196 kg CO₂e/m² BGF</w:t>
            </w:r>
          </w:p>
        </w:tc>
        <w:tc>
          <w:tcPr/>
          <w:p>
            <w:pPr>
              <w:pStyle w:val="Compact"/>
            </w:pPr>
            <w:r>
              <w:t xml:space="preserve">Budgetvariante</w:t>
            </w:r>
          </w:p>
        </w:tc>
      </w:tr>
      <w:tr>
        <w:tc>
          <w:tcPr/>
          <w:p>
            <w:pPr>
              <w:pStyle w:val="Compact"/>
            </w:pPr>
            <w:r>
              <w:t xml:space="preserve">L3: Referenz der Zertifizierung</w:t>
            </w:r>
          </w:p>
        </w:tc>
        <w:tc>
          <w:tcPr/>
          <w:p>
            <w:pPr>
              <w:pStyle w:val="Compact"/>
            </w:pPr>
            <w:r>
              <w:t xml:space="preserve">1,0 t CO₂e/(Person a) → 320 kg CO₂e/m² BGF</w:t>
            </w:r>
          </w:p>
        </w:tc>
        <w:tc>
          <w:tcPr/>
          <w:p>
            <w:pPr>
              <w:pStyle w:val="Compact"/>
            </w:pPr>
            <w:r>
              <w:t xml:space="preserve">Referenzbudget dieses Berichts</w:t>
            </w:r>
          </w:p>
        </w:tc>
      </w:tr>
    </w:tbl>
    <w:p>
      <w:pPr>
        <w:pStyle w:val="BodyText"/>
      </w:pPr>
      <w:r>
        <w:t xml:space="preserve">Die natürliche Senkenleistung ist eine nationale Szenarioannahme, keine vom Quartier nachgewiesene Kompensation. Bei einer Rekalibrierung sind Restbudget, Senken, sektorale Zuteilung und Bezugsfläche gemeinsam zu behandeln. Mehr Baufläche erhöht das Gesamtbudget nicht.</w:t>
      </w:r>
    </w:p>
    <w:bookmarkEnd w:id="445"/>
    <w:bookmarkStart w:id="446" w:name="thg-absenkpfade-und-sektorale-abgrenzung"/>
    <w:p>
      <w:pPr>
        <w:pStyle w:val="Heading2"/>
      </w:pPr>
      <w:r>
        <w:t xml:space="preserve">B.6 THG-Absenkpfade und sektorale Abgrenzung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Gegenstand</w:t>
            </w:r>
          </w:p>
        </w:tc>
        <w:tc>
          <w:tcPr/>
          <w:p>
            <w:pPr>
              <w:pStyle w:val="Compact"/>
            </w:pPr>
            <w:r>
              <w:t xml:space="preserve">Ansatz im Verfahren</w:t>
            </w:r>
          </w:p>
        </w:tc>
        <w:tc>
          <w:tcPr/>
          <w:p>
            <w:pPr>
              <w:pStyle w:val="Compact"/>
            </w:pPr>
            <w:r>
              <w:t xml:space="preserve">Noch benötigte Konkretisierung</w:t>
            </w:r>
          </w:p>
        </w:tc>
      </w:tr>
      <w:tr>
        <w:tc>
          <w:tcPr/>
          <w:p>
            <w:pPr>
              <w:pStyle w:val="Compact"/>
            </w:pPr>
            <w:r>
              <w:t xml:space="preserve">Vollständige Dekarbonisierung</w:t>
            </w:r>
          </w:p>
        </w:tc>
        <w:tc>
          <w:tcPr/>
          <w:p>
            <w:pPr>
              <w:pStyle w:val="Compact"/>
            </w:pPr>
            <w:r>
              <w:t xml:space="preserve">Ab 2050 keine zusätzlichen Emissionen der betrachteten Prozesse</w:t>
            </w:r>
          </w:p>
        </w:tc>
        <w:tc>
          <w:tcPr/>
          <w:p>
            <w:pPr>
              <w:pStyle w:val="Compact"/>
            </w:pPr>
            <w:r>
              <w:rPr>
                <w:b/>
                <w:bCs/>
              </w:rPr>
              <w:t xml:space="preserve">Noch zu ergänzen:</w:t>
            </w:r>
            <w:r>
              <w:t xml:space="preserve"> </w:t>
            </w:r>
            <w:r>
              <w:t xml:space="preserve">zusammenhängende Pfadtabelle 2025–2050 mit Stützjahren und Interpolationsregel; der Endpunkt allein legt keinen Verlauf fest</w:t>
            </w:r>
          </w:p>
        </w:tc>
      </w:tr>
      <w:tr>
        <w:tc>
          <w:tcPr/>
          <w:p>
            <w:pPr>
              <w:pStyle w:val="Compact"/>
            </w:pPr>
            <w:r>
              <w:t xml:space="preserve">Betriebsenergie</w:t>
            </w:r>
          </w:p>
        </w:tc>
        <w:tc>
          <w:tcPr/>
          <w:p>
            <w:pPr>
              <w:pStyle w:val="Compact"/>
            </w:pPr>
            <w:r>
              <w:t xml:space="preserve">Zeitabhängige Emissionsfaktoren der Energieträger</w:t>
            </w:r>
          </w:p>
        </w:tc>
        <w:tc>
          <w:tcPr/>
          <w:p>
            <w:pPr>
              <w:pStyle w:val="Compact"/>
            </w:pPr>
            <w:r>
              <w:rPr>
                <w:b/>
                <w:bCs/>
              </w:rPr>
              <w:t xml:space="preserve">Noch zu ergänzen:</w:t>
            </w:r>
            <w:r>
              <w:t xml:space="preserve"> </w:t>
            </w:r>
            <w:r>
              <w:t xml:space="preserve">Ausgangswerte und Absenkpfade für Strom, Wärme und Brennstoffe samt Quellen</w:t>
            </w:r>
          </w:p>
        </w:tc>
      </w:tr>
      <w:tr>
        <w:tc>
          <w:tcPr/>
          <w:p>
            <w:pPr>
              <w:pStyle w:val="Compact"/>
            </w:pPr>
            <w:r>
              <w:t xml:space="preserve">Bauliche Emissionen</w:t>
            </w:r>
          </w:p>
        </w:tc>
        <w:tc>
          <w:tcPr/>
          <w:p>
            <w:pPr>
              <w:pStyle w:val="Compact"/>
            </w:pPr>
            <w:r>
              <w:t xml:space="preserve">Bewertung zum Zeitpunkt von Errichtung, Ersatz und Erneuerung</w:t>
            </w:r>
          </w:p>
        </w:tc>
        <w:tc>
          <w:tcPr/>
          <w:p>
            <w:pPr>
              <w:pStyle w:val="Compact"/>
            </w:pPr>
            <w:r>
              <w:rPr>
                <w:b/>
                <w:bCs/>
              </w:rPr>
              <w:t xml:space="preserve">Noch zu ergänzen:</w:t>
            </w:r>
            <w:r>
              <w:t xml:space="preserve"> </w:t>
            </w:r>
            <w:r>
              <w:t xml:space="preserve">material-/prozessbezogene Absenkpfade und Abgleich mit europäischen Gebäudestudien</w:t>
            </w:r>
          </w:p>
        </w:tc>
      </w:tr>
      <w:tr>
        <w:tc>
          <w:tcPr/>
          <w:p>
            <w:pPr>
              <w:pStyle w:val="Compact"/>
            </w:pPr>
            <w:r>
              <w:t xml:space="preserve">Mobilität</w:t>
            </w:r>
          </w:p>
        </w:tc>
        <w:tc>
          <w:tcPr/>
          <w:p>
            <w:pPr>
              <w:pStyle w:val="Compact"/>
            </w:pPr>
            <w:r>
              <w:t xml:space="preserve">Flottenentwicklung und Dekarbonisierung der zugeordneten Prozesse</w:t>
            </w:r>
          </w:p>
        </w:tc>
        <w:tc>
          <w:tcPr/>
          <w:p>
            <w:pPr>
              <w:pStyle w:val="Compact"/>
            </w:pPr>
            <w:r>
              <w:rPr>
                <w:b/>
                <w:bCs/>
              </w:rPr>
              <w:t xml:space="preserve">Noch zu ergänzen:</w:t>
            </w:r>
            <w:r>
              <w:t xml:space="preserve"> </w:t>
            </w:r>
            <w:r>
              <w:t xml:space="preserve">Antriebsanteile, Energieverbräuche und Herstellungsemissionen nach Stützjahren</w:t>
            </w:r>
          </w:p>
        </w:tc>
      </w:tr>
      <w:tr>
        <w:tc>
          <w:tcPr/>
          <w:p>
            <w:pPr>
              <w:pStyle w:val="Compact"/>
            </w:pPr>
            <w:r>
              <w:t xml:space="preserve">Etappen eines Renovierungsfahrplans</w:t>
            </w:r>
          </w:p>
        </w:tc>
        <w:tc>
          <w:tcPr/>
          <w:p>
            <w:pPr>
              <w:pStyle w:val="Compact"/>
            </w:pPr>
            <w:r>
              <w:t xml:space="preserve">Zeitliche Erfassung von Maßnahmen und verbleibenden Betriebsemissionen</w:t>
            </w:r>
          </w:p>
        </w:tc>
        <w:tc>
          <w:tcPr/>
          <w:p>
            <w:pPr>
              <w:pStyle w:val="Compact"/>
            </w:pPr>
            <w:r>
              <w:rPr>
                <w:b/>
                <w:bCs/>
              </w:rPr>
              <w:t xml:space="preserve">Weiterzuentwickeln:</w:t>
            </w:r>
            <w:r>
              <w:t xml:space="preserve"> </w:t>
            </w:r>
            <w:r>
              <w:t xml:space="preserve">quantitative Zwischenziele; noch keine festgelegten Deklarationsstufen</w:t>
            </w:r>
          </w:p>
        </w:tc>
      </w:tr>
      <w:tr>
        <w:tc>
          <w:tcPr/>
          <w:p>
            <w:pPr>
              <w:pStyle w:val="Compact"/>
            </w:pPr>
            <w:r>
              <w:t xml:space="preserve">PV-Errichtung</w:t>
            </w:r>
          </w:p>
        </w:tc>
        <w:tc>
          <w:tcPr/>
          <w:p>
            <w:pPr>
              <w:pStyle w:val="Compact"/>
            </w:pPr>
            <w:r>
              <w:t xml:space="preserve">Zuordnung zum Energieversorgungssektor, außerhalb der Quartiers-THG-Bilanz</w:t>
            </w:r>
          </w:p>
        </w:tc>
        <w:tc>
          <w:tcPr/>
          <w:p>
            <w:pPr>
              <w:pStyle w:val="Compact"/>
            </w:pPr>
            <w:r>
              <w:rPr>
                <w:b/>
                <w:bCs/>
              </w:rPr>
              <w:t xml:space="preserve">Weiterzuentwickeln:</w:t>
            </w:r>
            <w:r>
              <w:t xml:space="preserve"> </w:t>
            </w:r>
            <w:r>
              <w:t xml:space="preserve">konsistente Alternative mit Einbeziehung von PV-Emissionen und zugehörigem Budget im Gebäudesektor</w:t>
            </w:r>
          </w:p>
        </w:tc>
      </w:tr>
    </w:tbl>
    <w:p>
      <w:pPr>
        <w:pStyle w:val="BodyText"/>
      </w:pPr>
      <w:r>
        <w:t xml:space="preserve">Die Pfadannahmen gelten auch für die zeitliche Bewertung der Quartiersbilanz. Technische Nutzungsdauern bleiben davon unabhängig: Ersatzvorgänge bleiben erforderlich, auch wenn sie im Szenario keine zusätzlichen Emissionen mehr verursachen. Bilanzumfang und biogene Anrechnung stehen in</w:t>
      </w:r>
      <w:r>
        <w:t xml:space="preserve"> </w:t>
      </w:r>
      <w:hyperlink w:anchor="sec-bilanzregeln">
        <w:r>
          <w:rPr>
            <w:rStyle w:val="Hyperlink"/>
          </w:rPr>
          <w:t xml:space="preserve">Kapitel 17</w:t>
        </w:r>
      </w:hyperlink>
      <w:r>
        <w:t xml:space="preserve">.</w:t>
      </w:r>
    </w:p>
    <w:bookmarkEnd w:id="446"/>
    <w:bookmarkEnd w:id="447"/>
    <w:bookmarkStart w:id="448" w:name="X017a57f4fcf6146d36d483a9a69bea8d074d0c4"/>
    <w:p>
      <w:pPr>
        <w:pStyle w:val="Heading1"/>
      </w:pPr>
      <w:r>
        <w:t xml:space="preserve">Appendix C — Ableitung der GFZ-Dichteverteilung des österreichischen Gebäudebestands 2021</w:t>
      </w:r>
    </w:p>
    <w:p>
      <w:pPr>
        <w:pStyle w:val="FirstParagraph"/>
      </w:pPr>
      <w:r>
        <w:t xml:space="preserve">Methodischer Rechenanhang – Referenzdaten, Statistik,</w:t>
      </w:r>
      <w:r>
        <w:t xml:space="preserve"> </w:t>
      </w:r>
      <w:r>
        <w:t xml:space="preserve">Kerndichteschätzung und Hochrechnung</w:t>
      </w:r>
    </w:p>
    <w:p>
      <w:pPr>
        <w:pStyle w:val="BodyText"/>
      </w:pPr>
      <w:r>
        <w:br/>
      </w:r>
    </w:p>
    <w:bookmarkEnd w:id="448"/>
    <w:bookmarkStart w:id="499" w:name="sec-gfz-methodenanhang"/>
    <w:p>
      <w:pPr>
        <w:pStyle w:val="Heading1"/>
      </w:pPr>
      <w:r>
        <w:t xml:space="preserve">Appendix C — Berechnung der österreichischen GFZ-Verteilung</w:t>
      </w:r>
    </w:p>
    <w:p>
      <w:pPr>
        <w:pStyle w:val="FirstParagraph"/>
      </w:pPr>
      <w:r>
        <w:t xml:space="preserve">Dieser ausführbare Anhang dokumentiert die</w:t>
      </w:r>
      <w:r>
        <w:t xml:space="preserve"> </w:t>
      </w:r>
      <w:r>
        <w:rPr>
          <w:b/>
          <w:bCs/>
        </w:rPr>
        <w:t xml:space="preserve">vollständige inhaltliche Rechenkette</w:t>
      </w:r>
      <w:r>
        <w:t xml:space="preserve"> </w:t>
      </w:r>
      <w:r>
        <w:t xml:space="preserve">der GFZ-Verteilung für den österreichischen Gebäudebestand mit Statistikbezug 2021. Er ergänzt die Erläuterungen zum Kontextfaktor Dichte im Hintergrundbericht (§ „Österreichische Dichteverteilung als aktualisierte Datengrundlage“). Alle wesentlichen Modellentscheidungen und Plot-Einstellungen stehen in den Notebook-Zellen, nicht in einem externen Berechnungsskript.</w:t>
      </w:r>
    </w:p>
    <w:p>
      <w:pPr>
        <w:pStyle w:val="BodyText"/>
      </w:pPr>
      <w:r>
        <w:rPr>
          <w:b/>
          <w:bCs/>
        </w:rPr>
        <w:t xml:space="preserve">Methodisches Ziel:</w:t>
      </w:r>
      <w:r>
        <w:t xml:space="preserve"> </w:t>
      </w:r>
      <w:r>
        <w:t xml:space="preserve">Die statistisch erfassten Gebäudeflächen nach Bundesland, Geschossklasse und Hauptnutzung werden einer aus Einzelgebäuden abgeleiteten GFZ-Verteilung zugewiesen. Daraus ergibt sich die modellierte österreichische Bruttogrundfläche (BGF) je GFZ-Intervall von 0,1.</w:t>
      </w:r>
    </w:p>
    <w:p>
      <w:pPr>
        <w:pStyle w:val="BodyText"/>
      </w:pPr>
      <w:r>
        <w:rPr>
          <w:b/>
          <w:bCs/>
        </w:rPr>
        <w:t xml:space="preserve">Abgrenzung:</w:t>
      </w:r>
      <w:r>
        <w:t xml:space="preserve"> </w:t>
      </w:r>
      <w:r>
        <w:t xml:space="preserve">Es handelt sich um eine hochgerechnete</w:t>
      </w:r>
      <w:r>
        <w:t xml:space="preserve"> </w:t>
      </w:r>
      <w:r>
        <w:rPr>
          <w:i/>
          <w:iCs/>
        </w:rPr>
        <w:t xml:space="preserve">Bestandsverteilung</w:t>
      </w:r>
      <w:r>
        <w:t xml:space="preserve">, nicht um einen Gebäudekataster für Österreich und nicht um eine Prognose für 2040. Der Anhang umfasst keine nachgelagerte Allokation der energetischen Zielwerte. Die Statistik enthält ursprünglich</w:t>
      </w:r>
      <w:r>
        <w:t xml:space="preserve"> </w:t>
      </w:r>
      <w:r>
        <w:rPr>
          <w:b/>
          <w:bCs/>
        </w:rPr>
        <w:t xml:space="preserve">NGF</w:t>
      </w:r>
      <w:r>
        <w:t xml:space="preserve"> </w:t>
      </w:r>
      <w:r>
        <w:t xml:space="preserve">(Nettogrundfläche); die hier verwendete BGF ist aus ihr umgerechnet.</w:t>
      </w:r>
    </w:p>
    <w:bookmarkStart w:id="453" w:name="quellen-definitionen-und-modellparameter"/>
    <w:p>
      <w:pPr>
        <w:pStyle w:val="Heading2"/>
      </w:pPr>
      <w:r>
        <w:t xml:space="preserve">C.1 1. Quellen, Definitionen und Modellparameter</w:t>
      </w:r>
    </w:p>
    <w:p>
      <w:pPr>
        <w:pStyle w:val="FirstParagraph"/>
      </w:pPr>
      <w:r>
        <w:t xml:space="preserve">Die Analyse verknüpft zwei unterschiedliche Datengrundlagen:</w:t>
      </w:r>
    </w:p>
    <w:p>
      <w:pPr>
        <w:pStyle w:val="Compact"/>
        <w:numPr>
          <w:ilvl w:val="0"/>
          <w:numId w:val="1006"/>
        </w:numPr>
      </w:pPr>
      <w:r>
        <w:rPr>
          <w:b/>
          <w:bCs/>
        </w:rPr>
        <w:t xml:space="preserve">Gebäudescharfe Referenzdaten</w:t>
      </w:r>
      <w:r>
        <w:t xml:space="preserve"> </w:t>
      </w:r>
      <w:r>
        <w:t xml:space="preserve">aus Wien und Salzburg (Blatt</w:t>
      </w:r>
      <w:r>
        <w:t xml:space="preserve"> </w:t>
      </w:r>
      <w:r>
        <w:rPr>
          <w:rStyle w:val="VerbatimChar"/>
        </w:rPr>
        <w:t xml:space="preserve">Rohdaten</w:t>
      </w:r>
      <w:r>
        <w:t xml:space="preserve">): Bundesland, Geschossklasse (</w:t>
      </w:r>
      <w:r>
        <w:rPr>
          <w:rStyle w:val="VerbatimChar"/>
        </w:rPr>
        <w:t xml:space="preserve">GK</w:t>
      </w:r>
      <w:r>
        <w:t xml:space="preserve">), Gebäudehauptnutzung (</w:t>
      </w:r>
      <w:r>
        <w:rPr>
          <w:rStyle w:val="VerbatimChar"/>
        </w:rPr>
        <w:t xml:space="preserve">GWR_Nutzung</w:t>
      </w:r>
      <w:r>
        <w:t xml:space="preserve">), Geschossflächenzahl (</w:t>
      </w:r>
      <w:r>
        <w:rPr>
          <w:rStyle w:val="VerbatimChar"/>
        </w:rPr>
        <w:t xml:space="preserve">GFZ</w:t>
      </w:r>
      <w:r>
        <w:t xml:space="preserve">) und gebäudebezogene Bruttogrundfläche (</w:t>
      </w:r>
      <w:r>
        <w:rPr>
          <w:rStyle w:val="VerbatimChar"/>
        </w:rPr>
        <w:t xml:space="preserve">BGF</w:t>
      </w:r>
      <w:r>
        <w:t xml:space="preserve">). Die GFZ wird in diesen Rohdaten bereits bereitgestellt; ihre vorgelagerte geometrische Herleitung wird hier nicht erneut berechnet.</w:t>
      </w:r>
    </w:p>
    <w:p>
      <w:pPr>
        <w:pStyle w:val="Compact"/>
        <w:numPr>
          <w:ilvl w:val="0"/>
          <w:numId w:val="1006"/>
        </w:numPr>
      </w:pPr>
      <w:r>
        <w:rPr>
          <w:b/>
          <w:bCs/>
        </w:rPr>
        <w:t xml:space="preserve">Statistische Gebäudeflächen</w:t>
      </w:r>
      <w:r>
        <w:t xml:space="preserve"> </w:t>
      </w:r>
      <w:r>
        <w:t xml:space="preserve">mit Bezug zum Gebäudebestand 2021 (Blatt</w:t>
      </w:r>
      <w:r>
        <w:t xml:space="preserve"> </w:t>
      </w:r>
      <w:r>
        <w:rPr>
          <w:rStyle w:val="VerbatimChar"/>
        </w:rPr>
        <w:t xml:space="preserve">python</w:t>
      </w:r>
      <w:r>
        <w:t xml:space="preserve">): österreichische Nettogrundflächen (</w:t>
      </w:r>
      <w:r>
        <w:rPr>
          <w:rStyle w:val="VerbatimChar"/>
        </w:rPr>
        <w:t xml:space="preserve">NGF</w:t>
      </w:r>
      <w:r>
        <w:t xml:space="preserve">) nach neun Bundesländern, sieben Geschossklassen und neun Hauptnutzungen. Die Zeile</w:t>
      </w:r>
      <w:r>
        <w:t xml:space="preserve"> </w:t>
      </w:r>
      <w:r>
        <w:rPr>
          <w:rStyle w:val="VerbatimChar"/>
        </w:rPr>
        <w:t xml:space="preserve">AT</w:t>
      </w:r>
      <w:r>
        <w:t xml:space="preserve"> </w:t>
      </w:r>
      <w:r>
        <w:t xml:space="preserve">dient ausschließlich der Kontrollrechnung; andere aggregierte Zeilen werden nicht zusätzlich hochgerechnet.</w:t>
      </w:r>
    </w:p>
    <w:p>
      <w:pPr>
        <w:pStyle w:val="FirstParagraph"/>
      </w:pPr>
      <w:r>
        <w:t xml:space="preserve">Die Geschossflächenzahl beschreibt das Verhältnis zwischen BGF und Grundstücksfläche eines Gebäudes bzw. einer Bezugsfläche:</w:t>
      </w:r>
    </w:p>
    <w:p>
      <w:pPr>
        <w:pStyle w:val="BodyText"/>
      </w:pPr>
      <m:oMathPara>
        <m:oMathParaPr>
          <m:jc m:val="center"/>
        </m:oMathParaPr>
        <m:oMath>
          <m:r>
            <m:rPr>
              <m:sty m:val="p"/>
            </m:rPr>
            <m:t>G</m:t>
          </m:r>
          <m:r>
            <m:rPr>
              <m:sty m:val="p"/>
            </m:rPr>
            <m:t>F</m:t>
          </m:r>
          <m:r>
            <m:rPr>
              <m:sty m:val="p"/>
            </m:rPr>
            <m:t>Z</m:t>
          </m:r>
          <m:r>
            <m:rPr>
              <m:sty m:val="p"/>
            </m:rPr>
            <m:t>=</m:t>
          </m:r>
          <m:f>
            <m:fPr>
              <m:type m:val="bar"/>
            </m:fPr>
            <m:num>
              <m:sSub>
                <m:e>
                  <m:r>
                    <m:t>A</m:t>
                  </m:r>
                </m:e>
                <m:sub>
                  <m:r>
                    <m:rPr>
                      <m:sty m:val="p"/>
                    </m:rPr>
                    <m:t>B</m:t>
                  </m:r>
                  <m:r>
                    <m:rPr>
                      <m:sty m:val="p"/>
                    </m:rPr>
                    <m:t>G</m:t>
                  </m:r>
                  <m:r>
                    <m:rPr>
                      <m:sty m:val="p"/>
                    </m:rPr>
                    <m:t>F</m:t>
                  </m:r>
                </m:sub>
              </m:sSub>
            </m:num>
            <m:den>
              <m:sSub>
                <m:e>
                  <m:r>
                    <m:t>A</m:t>
                  </m:r>
                </m:e>
                <m:sub>
                  <m:r>
                    <m:rPr>
                      <m:sty m:val="p"/>
                    </m:rPr>
                    <m:t>G</m:t>
                  </m:r>
                  <m:r>
                    <m:rPr>
                      <m:sty m:val="p"/>
                    </m:rPr>
                    <m:t>r</m:t>
                  </m:r>
                  <m:r>
                    <m:rPr>
                      <m:sty m:val="p"/>
                    </m:rPr>
                    <m:t>u</m:t>
                  </m:r>
                  <m:r>
                    <m:rPr>
                      <m:sty m:val="p"/>
                    </m:rPr>
                    <m:t>n</m:t>
                  </m:r>
                  <m:r>
                    <m:rPr>
                      <m:sty m:val="p"/>
                    </m:rPr>
                    <m:t>d</m:t>
                  </m:r>
                  <m:r>
                    <m:rPr>
                      <m:sty m:val="p"/>
                    </m:rPr>
                    <m:t>s</m:t>
                  </m:r>
                  <m:r>
                    <m:rPr>
                      <m:sty m:val="p"/>
                    </m:rPr>
                    <m:t>t</m:t>
                  </m:r>
                  <m:r>
                    <m:rPr>
                      <m:sty m:val="p"/>
                    </m:rPr>
                    <m:t>ü</m:t>
                  </m:r>
                  <m:r>
                    <m:rPr>
                      <m:sty m:val="p"/>
                    </m:rPr>
                    <m:t>c</m:t>
                  </m:r>
                  <m:r>
                    <m:rPr>
                      <m:sty m:val="p"/>
                    </m:rPr>
                    <m:t>k</m:t>
                  </m:r>
                </m:sub>
              </m:sSub>
            </m:den>
          </m:f>
          <m:r>
            <m:rPr>
              <m:sty m:val="p"/>
            </m:rPr>
            <m:t>.</m:t>
          </m:r>
        </m:oMath>
      </m:oMathPara>
    </w:p>
    <w:p>
      <w:pPr>
        <w:pStyle w:val="FirstParagraph"/>
      </w:pPr>
      <w:r>
        <w:t xml:space="preserve">Die statistische Nettogrundfläche wird mit dem einheitlichen Modellfaktor umgerechnet:</w:t>
      </w:r>
    </w:p>
    <w:p>
      <w:pPr>
        <w:pStyle w:val="BodyText"/>
      </w:pPr>
      <m:oMathPara>
        <m:oMathParaPr>
          <m:jc m:val="center"/>
        </m:oMathParaPr>
        <m:oMath>
          <m:sSub>
            <m:e>
              <m:r>
                <m:t>A</m:t>
              </m:r>
            </m:e>
            <m:sub>
              <m:r>
                <m:rPr>
                  <m:sty m:val="p"/>
                </m:rPr>
                <m:t>B</m:t>
              </m:r>
              <m:r>
                <m:rPr>
                  <m:sty m:val="p"/>
                </m:rPr>
                <m:t>G</m:t>
              </m:r>
              <m:r>
                <m:rPr>
                  <m:sty m:val="p"/>
                </m:rPr>
                <m:t>F</m:t>
              </m:r>
              <m:r>
                <m:rPr>
                  <m:sty m:val="p"/>
                </m:rPr>
                <m:t>,</m:t>
              </m:r>
              <m:r>
                <m:t>b</m:t>
              </m:r>
              <m:r>
                <m:rPr>
                  <m:sty m:val="p"/>
                </m:rPr>
                <m:t>,</m:t>
              </m:r>
              <m:r>
                <m:t>g</m:t>
              </m:r>
              <m:r>
                <m:rPr>
                  <m:sty m:val="p"/>
                </m:rPr>
                <m:t>,</m:t>
              </m:r>
              <m:r>
                <m:t>u</m:t>
              </m:r>
            </m:sub>
          </m:sSub>
          <m:r>
            <m:rPr>
              <m:sty m:val="p"/>
            </m:rPr>
            <m:t>=</m:t>
          </m:r>
          <m:f>
            <m:fPr>
              <m:type m:val="bar"/>
            </m:fPr>
            <m:num>
              <m:sSub>
                <m:e>
                  <m:r>
                    <m:t>A</m:t>
                  </m:r>
                </m:e>
                <m:sub>
                  <m:r>
                    <m:rPr>
                      <m:sty m:val="p"/>
                    </m:rPr>
                    <m:t>N</m:t>
                  </m:r>
                  <m:r>
                    <m:rPr>
                      <m:sty m:val="p"/>
                    </m:rPr>
                    <m:t>G</m:t>
                  </m:r>
                  <m:r>
                    <m:rPr>
                      <m:sty m:val="p"/>
                    </m:rPr>
                    <m:t>F</m:t>
                  </m:r>
                  <m:r>
                    <m:rPr>
                      <m:sty m:val="p"/>
                    </m:rPr>
                    <m:t>,</m:t>
                  </m:r>
                  <m:r>
                    <m:t>b</m:t>
                  </m:r>
                  <m:r>
                    <m:rPr>
                      <m:sty m:val="p"/>
                    </m:rPr>
                    <m:t>,</m:t>
                  </m:r>
                  <m:r>
                    <m:t>g</m:t>
                  </m:r>
                  <m:r>
                    <m:rPr>
                      <m:sty m:val="p"/>
                    </m:rPr>
                    <m:t>,</m:t>
                  </m:r>
                  <m:r>
                    <m:t>u</m:t>
                  </m:r>
                </m:sub>
              </m:sSub>
            </m:num>
            <m:den>
              <m:r>
                <m:t>0</m:t>
              </m:r>
              <m:r>
                <m:rPr>
                  <m:sty m:val="p"/>
                </m:rPr>
                <m:t>,</m:t>
              </m:r>
              <m:r>
                <m:t>8</m:t>
              </m:r>
            </m:den>
          </m:f>
          <m:r>
            <m:rPr>
              <m:sty m:val="p"/>
            </m:rPr>
            <m:t>.</m:t>
          </m:r>
        </m:oMath>
      </m:oMathPara>
    </w:p>
    <w:p>
      <w:pPr>
        <w:pStyle w:val="FirstParagraph"/>
      </w:pPr>
      <w:r>
        <w:t xml:space="preserve">Hierbei sind</w:t>
      </w:r>
      <w:r>
        <w:t xml:space="preserve"> </w:t>
      </w:r>
      <m:oMath>
        <m:r>
          <m:t>b</m:t>
        </m:r>
      </m:oMath>
      <w:r>
        <w:t xml:space="preserve"> </w:t>
      </w:r>
      <w:r>
        <w:t xml:space="preserve">das Bundesland,</w:t>
      </w:r>
      <w:r>
        <w:t xml:space="preserve"> </w:t>
      </w:r>
      <m:oMath>
        <m:r>
          <m:t>g</m:t>
        </m:r>
      </m:oMath>
      <w:r>
        <w:t xml:space="preserve"> </w:t>
      </w:r>
      <w:r>
        <w:t xml:space="preserve">die Geschossklasse und</w:t>
      </w:r>
      <w:r>
        <w:t xml:space="preserve"> </w:t>
      </w:r>
      <m:oMath>
        <m:r>
          <m:t>u</m:t>
        </m:r>
      </m:oMath>
      <w:r>
        <w:t xml:space="preserve"> </w:t>
      </w:r>
      <w:r>
        <w:t xml:space="preserve">die Hauptnutzung. Der Faktor</w:t>
      </w:r>
      <w:r>
        <w:t xml:space="preserve"> </w:t>
      </w:r>
      <w:r>
        <w:rPr>
          <w:b/>
          <w:bCs/>
        </w:rPr>
        <w:t xml:space="preserve">NGF/BGF = 0,8</w:t>
      </w:r>
      <w:r>
        <w:t xml:space="preserve"> </w:t>
      </w:r>
      <w:r>
        <w:t xml:space="preserve">ist eine übernommene, für alle Gruppen gleiche Modellannahme und kein in diesem Notebook ermittelter empirischer Faktor.</w:t>
      </w:r>
    </w:p>
    <w:p>
      <w:pPr>
        <w:pStyle w:val="BodyText"/>
      </w:pPr>
      <w:r>
        <w:t xml:space="preserve">Die Referenzzuordnung lautet grundsätzlich</w:t>
      </w:r>
      <w:r>
        <w:t xml:space="preserve"> </w:t>
      </w:r>
      <w:r>
        <w:rPr>
          <w:b/>
          <w:bCs/>
        </w:rPr>
        <w:t xml:space="preserve">Wien → Wien</w:t>
      </w:r>
      <w:r>
        <w:t xml:space="preserve">,</w:t>
      </w:r>
      <w:r>
        <w:t xml:space="preserve"> </w:t>
      </w:r>
      <w:r>
        <w:rPr>
          <w:b/>
          <w:bCs/>
        </w:rPr>
        <w:t xml:space="preserve">Salzburg → alle anderen Bundesländer</w:t>
      </w:r>
      <w:r>
        <w:t xml:space="preserve">. Pro Nutzung und Geschossklasse müssen mindestens fünf Referenzgebäude vorliegen. Falls nicht, wird die dokumentierte Ersatzregel verwendet (§ 5). Die Wahl</w:t>
      </w:r>
      <w:r>
        <w:t xml:space="preserve"> </w:t>
      </w:r>
      <w:r>
        <w:rPr>
          <w:rStyle w:val="VerbatimChar"/>
        </w:rPr>
        <w:t xml:space="preserve">kde</w:t>
      </w:r>
      <w:r>
        <w:t xml:space="preserve"> </w:t>
      </w:r>
      <w:r>
        <w:t xml:space="preserve">bezeichnet eine flächengewichtete gaußsche Kerndichteschätzung mit Scott-Bandbreite.</w:t>
      </w:r>
    </w:p>
    <w:p>
      <w:pPr>
        <w:pStyle w:val="SourceCode"/>
      </w:pPr>
      <w:r>
        <w:rPr>
          <w:rStyle w:val="NormalTok"/>
        </w:rPr>
        <w:t xml:space="preserve">flowchart TB</w:t>
      </w:r>
      <w:r>
        <w:br/>
      </w:r>
      <w:r>
        <w:rPr>
          <w:rStyle w:val="NormalTok"/>
        </w:rPr>
        <w:t xml:space="preserve">  W["Einzelgebäude Wien"] --&gt; KW["BGF-gewichtete KDE je Nutzung und Geschossklasse"]</w:t>
      </w:r>
      <w:r>
        <w:br/>
      </w:r>
      <w:r>
        <w:rPr>
          <w:rStyle w:val="NormalTok"/>
        </w:rPr>
        <w:t xml:space="preserve">  S["Einzelgebäude Salzburg"] --&gt; KS["BGF-gewichtete KDE je Nutzung und Geschossklasse"]</w:t>
      </w:r>
      <w:r>
        <w:br/>
      </w:r>
      <w:r>
        <w:rPr>
          <w:rStyle w:val="NormalTok"/>
        </w:rPr>
        <w:t xml:space="preserve">  KW --&gt; V["Wien"]</w:t>
      </w:r>
      <w:r>
        <w:br/>
      </w:r>
      <w:r>
        <w:rPr>
          <w:rStyle w:val="NormalTok"/>
        </w:rPr>
        <w:t xml:space="preserve">  KS --&gt; L["Acht andere Bundesländer, jeweils separat"]</w:t>
      </w:r>
      <w:r>
        <w:br/>
      </w:r>
      <w:r>
        <w:rPr>
          <w:rStyle w:val="NormalTok"/>
        </w:rPr>
        <w:t xml:space="preserve">  T["Statistische NGF 2021 je Bundesland, Nutzung und Geschossklasse"] --&gt; U["BGF = NGF / 0,8"]</w:t>
      </w:r>
      <w:r>
        <w:br/>
      </w:r>
      <w:r>
        <w:rPr>
          <w:rStyle w:val="NormalTok"/>
        </w:rPr>
        <w:t xml:space="preserve">  U --&gt; V</w:t>
      </w:r>
      <w:r>
        <w:br/>
      </w:r>
      <w:r>
        <w:rPr>
          <w:rStyle w:val="NormalTok"/>
        </w:rPr>
        <w:t xml:space="preserve">  U --&gt; L</w:t>
      </w:r>
      <w:r>
        <w:br/>
      </w:r>
      <w:r>
        <w:rPr>
          <w:rStyle w:val="NormalTok"/>
        </w:rPr>
        <w:t xml:space="preserve">  E["Bei weniger als fünf Referenzgebäuden: gekennzeichnete Ersatzregel"] -.-&gt; V</w:t>
      </w:r>
      <w:r>
        <w:br/>
      </w:r>
      <w:r>
        <w:rPr>
          <w:rStyle w:val="NormalTok"/>
        </w:rPr>
        <w:t xml:space="preserve">  E -.-&gt; L</w:t>
      </w:r>
      <w:r>
        <w:br/>
      </w:r>
      <w:r>
        <w:rPr>
          <w:rStyle w:val="NormalTok"/>
        </w:rPr>
        <w:t xml:space="preserve">  V --&gt; AT["Österreich: Summe der neun BGF-Verteilungen"]</w:t>
      </w:r>
      <w:r>
        <w:br/>
      </w:r>
      <w:r>
        <w:rPr>
          <w:rStyle w:val="NormalTok"/>
        </w:rPr>
        <w:t xml:space="preserve">  L --&gt; AT</w:t>
      </w:r>
    </w:p>
    <w:tbl>
      <w:tblPr>
        <w:tblStyle w:val="Table"/>
        <w:tblW w:type="pct" w:w="5000"/>
        <w:tblLayout w:type="fixed"/>
        <w:tblLook w:firstRow="0" w:lastRow="0" w:firstColumn="0" w:lastColumn="0" w:noHBand="0" w:noVBand="0" w:val="0000"/>
      </w:tblPr>
      <w:tblGrid>
        <w:gridCol w:w="7920"/>
      </w:tblGrid>
      <w:tr>
        <w:tc>
          <w:tcPr/>
          <w:bookmarkStart w:id="452" w:name="fig-gfz-methodik"/>
          <w:p>
            <w:pPr>
              <w:jc w:val="center"/>
            </w:pPr>
            <w:r>
              <w:drawing>
                <wp:inline>
                  <wp:extent cx="5334000" cy="2525935"/>
                  <wp:effectExtent b="0" l="0" r="0" t="0"/>
                  <wp:docPr descr="" title="" id="450" name="Picture"/>
                  <a:graphic>
                    <a:graphicData uri="http://schemas.openxmlformats.org/drawingml/2006/picture">
                      <pic:pic>
                        <pic:nvPicPr>
                          <pic:cNvPr descr="Berechnungen\gfz_at/GFZ_AT_Analyse_Anhang_files/figure-docx/mermaid-figure-2.png" id="451" name="Picture"/>
                          <pic:cNvPicPr>
                            <a:picLocks noChangeArrowheads="1" noChangeAspect="1"/>
                          </pic:cNvPicPr>
                        </pic:nvPicPr>
                        <pic:blipFill>
                          <a:blip r:embed="rId449"/>
                          <a:stretch>
                            <a:fillRect/>
                          </a:stretch>
                        </pic:blipFill>
                        <pic:spPr bwMode="auto">
                          <a:xfrm>
                            <a:off x="0" y="0"/>
                            <a:ext cx="5334000" cy="252593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D.1: Bundeslandweise Hochrechnung der GFZ-Verteilung. Ersatzreferenzen werden je Zielkombination ausdrücklich ausgewiesen.</w:t>
            </w:r>
          </w:p>
          <w:bookmarkEnd w:id="452"/>
        </w:tc>
      </w:tr>
    </w:tbl>
    <w:p>
      <w:pPr>
        <w:pStyle w:val="SourceCode"/>
      </w:pPr>
      <w:r>
        <w:rPr>
          <w:rStyle w:val="CommentTok"/>
        </w:rPr>
        <w:t xml:space="preserve"># Modellparameter – hier zentral editierbar</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textwrap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matplotlib.ticker </w:t>
      </w:r>
      <w:r>
        <w:rPr>
          <w:rStyle w:val="ImportTok"/>
        </w:rPr>
        <w:t xml:space="preserve">import</w:t>
      </w:r>
      <w:r>
        <w:rPr>
          <w:rStyle w:val="NormalTok"/>
        </w:rPr>
        <w:t xml:space="preserve"> MultipleLocator</w:t>
      </w:r>
      <w:r>
        <w:br/>
      </w:r>
      <w:r>
        <w:rPr>
          <w:rStyle w:val="ImportTok"/>
        </w:rPr>
        <w:t xml:space="preserve">from</w:t>
      </w:r>
      <w:r>
        <w:rPr>
          <w:rStyle w:val="NormalTok"/>
        </w:rPr>
        <w:t xml:space="preserve"> scipy.stats </w:t>
      </w:r>
      <w:r>
        <w:rPr>
          <w:rStyle w:val="ImportTok"/>
        </w:rPr>
        <w:t xml:space="preserve">import</w:t>
      </w:r>
      <w:r>
        <w:rPr>
          <w:rStyle w:val="NormalTok"/>
        </w:rPr>
        <w:t xml:space="preserve"> gaussian_kde</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br/>
      </w:r>
      <w:r>
        <w:rPr>
          <w:rStyle w:val="NormalTok"/>
        </w:rPr>
        <w:t xml:space="preserve">DATA </w:t>
      </w:r>
      <w:r>
        <w:rPr>
          <w:rStyle w:val="OperatorTok"/>
        </w:rPr>
        <w:t xml:space="preserve">=</w:t>
      </w:r>
      <w:r>
        <w:rPr>
          <w:rStyle w:val="NormalTok"/>
        </w:rPr>
        <w:t xml:space="preserve"> Path(</w:t>
      </w:r>
      <w:r>
        <w:rPr>
          <w:rStyle w:val="StringTok"/>
        </w:rPr>
        <w:t xml:space="preserve">"data"</w:t>
      </w:r>
      <w:r>
        <w:rPr>
          <w:rStyle w:val="NormalTok"/>
        </w:rPr>
        <w:t xml:space="preserve">)                    </w:t>
      </w:r>
      <w:r>
        <w:rPr>
          <w:rStyle w:val="CommentTok"/>
        </w:rPr>
        <w:t xml:space="preserve"># ggf. an Quarto-Projektstruktur anpassen</w:t>
      </w:r>
      <w:r>
        <w:br/>
      </w:r>
      <w:r>
        <w:rPr>
          <w:rStyle w:val="NormalTok"/>
        </w:rPr>
        <w:t xml:space="preserve">BUILDINGS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"rohdaten_python.xlsx"</w:t>
      </w:r>
      <w:r>
        <w:br/>
      </w:r>
      <w:r>
        <w:rPr>
          <w:rStyle w:val="NormalTok"/>
        </w:rPr>
        <w:t xml:space="preserve">STATISTICS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"GFZ_Analyse_AT.xlsx"</w:t>
      </w:r>
      <w:r>
        <w:br/>
      </w:r>
      <w:r>
        <w:rPr>
          <w:rStyle w:val="NormalTok"/>
        </w:rPr>
        <w:t xml:space="preserve">OUT </w:t>
      </w:r>
      <w:r>
        <w:rPr>
          <w:rStyle w:val="OperatorTok"/>
        </w:rPr>
        <w:t xml:space="preserve">=</w:t>
      </w:r>
      <w:r>
        <w:rPr>
          <w:rStyle w:val="NormalTok"/>
        </w:rPr>
        <w:t xml:space="preserve"> Path(</w:t>
      </w:r>
      <w:r>
        <w:rPr>
          <w:rStyle w:val="StringTok"/>
        </w:rPr>
        <w:t xml:space="preserve">"outputs/recalculated"</w:t>
      </w:r>
      <w:r>
        <w:rPr>
          <w:rStyle w:val="NormalTok"/>
        </w:rPr>
        <w:t xml:space="preserve">)</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NGF_PER_BGF </w:t>
      </w:r>
      <w:r>
        <w:rPr>
          <w:rStyle w:val="OperatorTok"/>
        </w:rPr>
        <w:t xml:space="preserve">=</w:t>
      </w:r>
      <w:r>
        <w:rPr>
          <w:rStyle w:val="NormalTok"/>
        </w:rPr>
        <w:t xml:space="preserve"> </w:t>
      </w:r>
      <w:r>
        <w:rPr>
          <w:rStyle w:val="FloatTok"/>
        </w:rPr>
        <w:t xml:space="preserve">0.8</w:t>
      </w:r>
      <w:r>
        <w:br/>
      </w:r>
      <w:r>
        <w:rPr>
          <w:rStyle w:val="NormalTok"/>
        </w:rPr>
        <w:t xml:space="preserve">GFZ_STEP </w:t>
      </w:r>
      <w:r>
        <w:rPr>
          <w:rStyle w:val="OperatorTok"/>
        </w:rPr>
        <w:t xml:space="preserve">=</w:t>
      </w:r>
      <w:r>
        <w:rPr>
          <w:rStyle w:val="NormalTok"/>
        </w:rPr>
        <w:t xml:space="preserve"> </w:t>
      </w:r>
      <w:r>
        <w:rPr>
          <w:rStyle w:val="FloatTok"/>
        </w:rPr>
        <w:t xml:space="preserve">0.1</w:t>
      </w:r>
      <w:r>
        <w:br/>
      </w:r>
      <w:r>
        <w:rPr>
          <w:rStyle w:val="NormalTok"/>
        </w:rPr>
        <w:t xml:space="preserve">GFZ_MAX </w:t>
      </w:r>
      <w:r>
        <w:rPr>
          <w:rStyle w:val="OperatorTok"/>
        </w:rPr>
        <w:t xml:space="preserve">=</w:t>
      </w:r>
      <w:r>
        <w:rPr>
          <w:rStyle w:val="NormalTok"/>
        </w:rPr>
        <w:t xml:space="preserve"> </w:t>
      </w:r>
      <w:r>
        <w:rPr>
          <w:rStyle w:val="FloatTok"/>
        </w:rPr>
        <w:t xml:space="preserve">20.0</w:t>
      </w:r>
      <w:r>
        <w:br/>
      </w:r>
      <w:r>
        <w:rPr>
          <w:rStyle w:val="NormalTok"/>
        </w:rPr>
        <w:t xml:space="preserve">PLOT_GFZ_MAX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nur Sichtfenster, keine Kürzung der Bilanz</w:t>
      </w:r>
      <w:r>
        <w:br/>
      </w:r>
      <w:r>
        <w:rPr>
          <w:rStyle w:val="NormalTok"/>
        </w:rPr>
        <w:t xml:space="preserve">MIN_SAMPLES </w:t>
      </w:r>
      <w:r>
        <w:rPr>
          <w:rStyle w:val="OperatorTok"/>
        </w:rPr>
        <w:t xml:space="preserve">=</w:t>
      </w:r>
      <w:r>
        <w:rPr>
          <w:rStyle w:val="NormalTok"/>
        </w:rPr>
        <w:t xml:space="preserve"> </w:t>
      </w:r>
      <w:r>
        <w:rPr>
          <w:rStyle w:val="DecValTok"/>
        </w:rPr>
        <w:t xml:space="preserve">5</w:t>
      </w:r>
      <w:r>
        <w:br/>
      </w:r>
      <w:r>
        <w:rPr>
          <w:rStyle w:val="NormalTok"/>
        </w:rPr>
        <w:t xml:space="preserve">FALLBACK </w:t>
      </w:r>
      <w:r>
        <w:rPr>
          <w:rStyle w:val="OperatorTok"/>
        </w:rPr>
        <w:t xml:space="preserve">=</w:t>
      </w:r>
      <w:r>
        <w:rPr>
          <w:rStyle w:val="NormalTok"/>
        </w:rPr>
        <w:t xml:space="preserve"> </w:t>
      </w:r>
      <w:r>
        <w:rPr>
          <w:rStyle w:val="StringTok"/>
        </w:rPr>
        <w:t xml:space="preserve">"vienna"</w:t>
      </w:r>
      <w:r>
        <w:rPr>
          <w:rStyle w:val="NormalTok"/>
        </w:rPr>
        <w:t xml:space="preserve">                </w:t>
      </w:r>
      <w:r>
        <w:rPr>
          <w:rStyle w:val="CommentTok"/>
        </w:rPr>
        <w:t xml:space="preserve"># "vienna": gekennzeichnete Ersatzregel; "error": Abbruch</w:t>
      </w:r>
      <w:r>
        <w:br/>
      </w:r>
      <w:r>
        <w:rPr>
          <w:rStyle w:val="NormalTok"/>
        </w:rPr>
        <w:t xml:space="preserve">METHOD </w:t>
      </w:r>
      <w:r>
        <w:rPr>
          <w:rStyle w:val="OperatorTok"/>
        </w:rPr>
        <w:t xml:space="preserve">=</w:t>
      </w:r>
      <w:r>
        <w:rPr>
          <w:rStyle w:val="NormalTok"/>
        </w:rPr>
        <w:t xml:space="preserve"> </w:t>
      </w:r>
      <w:r>
        <w:rPr>
          <w:rStyle w:val="StringTok"/>
        </w:rPr>
        <w:t xml:space="preserve">"kde"</w:t>
      </w:r>
      <w:r>
        <w:rPr>
          <w:rStyle w:val="NormalTok"/>
        </w:rPr>
        <w:t xml:space="preserve">                    </w:t>
      </w:r>
      <w:r>
        <w:rPr>
          <w:rStyle w:val="CommentTok"/>
        </w:rPr>
        <w:t xml:space="preserve"># "kde" oder zu Diagnosezwecken "histogram"</w:t>
      </w:r>
      <w:r>
        <w:br/>
      </w:r>
      <w:r>
        <w:br/>
      </w:r>
      <w:r>
        <w:rPr>
          <w:rStyle w:val="NormalTok"/>
        </w:rPr>
        <w:t xml:space="preserve">PROVINCES </w:t>
      </w:r>
      <w:r>
        <w:rPr>
          <w:rStyle w:val="OperatorTok"/>
        </w:rPr>
        <w:t xml:space="preserve">=</w:t>
      </w:r>
      <w:r>
        <w:rPr>
          <w:rStyle w:val="NormalTok"/>
        </w:rPr>
        <w:t xml:space="preserve"> [</w:t>
      </w:r>
      <w:r>
        <w:rPr>
          <w:rStyle w:val="StringTok"/>
        </w:rPr>
        <w:t xml:space="preserve">"Burgenland"</w:t>
      </w:r>
      <w:r>
        <w:rPr>
          <w:rStyle w:val="NormalTok"/>
        </w:rPr>
        <w:t xml:space="preserve">, </w:t>
      </w:r>
      <w:r>
        <w:rPr>
          <w:rStyle w:val="StringTok"/>
        </w:rPr>
        <w:t xml:space="preserve">"Kärnten"</w:t>
      </w:r>
      <w:r>
        <w:rPr>
          <w:rStyle w:val="NormalTok"/>
        </w:rPr>
        <w:t xml:space="preserve">, </w:t>
      </w:r>
      <w:r>
        <w:rPr>
          <w:rStyle w:val="StringTok"/>
        </w:rPr>
        <w:t xml:space="preserve">"Niederösterreich"</w:t>
      </w:r>
      <w:r>
        <w:rPr>
          <w:rStyle w:val="NormalTok"/>
        </w:rPr>
        <w:t xml:space="preserve">, </w:t>
      </w:r>
      <w:r>
        <w:rPr>
          <w:rStyle w:val="StringTok"/>
        </w:rPr>
        <w:t xml:space="preserve">"Oberösterreich"</w:t>
      </w:r>
      <w:r>
        <w:rPr>
          <w:rStyle w:val="NormalTok"/>
        </w:rPr>
        <w:t xml:space="preserve">,</w:t>
      </w:r>
      <w:r>
        <w:br/>
      </w:r>
      <w:r>
        <w:rPr>
          <w:rStyle w:val="NormalTok"/>
        </w:rPr>
        <w:t xml:space="preserve">             </w:t>
      </w:r>
      <w:r>
        <w:rPr>
          <w:rStyle w:val="StringTok"/>
        </w:rPr>
        <w:t xml:space="preserve">"Salzburg"</w:t>
      </w:r>
      <w:r>
        <w:rPr>
          <w:rStyle w:val="NormalTok"/>
        </w:rPr>
        <w:t xml:space="preserve">, </w:t>
      </w:r>
      <w:r>
        <w:rPr>
          <w:rStyle w:val="StringTok"/>
        </w:rPr>
        <w:t xml:space="preserve">"Steiermark"</w:t>
      </w:r>
      <w:r>
        <w:rPr>
          <w:rStyle w:val="NormalTok"/>
        </w:rPr>
        <w:t xml:space="preserve">, </w:t>
      </w:r>
      <w:r>
        <w:rPr>
          <w:rStyle w:val="StringTok"/>
        </w:rPr>
        <w:t xml:space="preserve">"Tirol"</w:t>
      </w:r>
      <w:r>
        <w:rPr>
          <w:rStyle w:val="NormalTok"/>
        </w:rPr>
        <w:t xml:space="preserve">, </w:t>
      </w:r>
      <w:r>
        <w:rPr>
          <w:rStyle w:val="StringTok"/>
        </w:rPr>
        <w:t xml:space="preserve">"Vorarlberg"</w:t>
      </w:r>
      <w:r>
        <w:rPr>
          <w:rStyle w:val="NormalTok"/>
        </w:rPr>
        <w:t xml:space="preserve">, </w:t>
      </w:r>
      <w:r>
        <w:rPr>
          <w:rStyle w:val="StringTok"/>
        </w:rPr>
        <w:t xml:space="preserve">"Wien"</w:t>
      </w:r>
      <w:r>
        <w:rPr>
          <w:rStyle w:val="NormalTok"/>
        </w:rPr>
        <w:t xml:space="preserve">]</w:t>
      </w:r>
      <w:r>
        <w:br/>
      </w:r>
      <w:r>
        <w:rPr>
          <w:rStyle w:val="NormalTok"/>
        </w:rPr>
        <w:t xml:space="preserve">STOREYS </w:t>
      </w:r>
      <w:r>
        <w:rPr>
          <w:rStyle w:val="OperatorTok"/>
        </w:rPr>
        <w:t xml:space="preserve">=</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"6-10"</w:t>
      </w:r>
      <w:r>
        <w:rPr>
          <w:rStyle w:val="NormalTok"/>
        </w:rPr>
        <w:t xml:space="preserve">, </w:t>
      </w:r>
      <w:r>
        <w:rPr>
          <w:rStyle w:val="StringTok"/>
        </w:rPr>
        <w:t xml:space="preserve">"11+"</w:t>
      </w:r>
      <w:r>
        <w:rPr>
          <w:rStyle w:val="NormalTok"/>
        </w:rPr>
        <w:t xml:space="preserve">]</w:t>
      </w:r>
      <w:r>
        <w:br/>
      </w:r>
      <w:r>
        <w:rPr>
          <w:rStyle w:val="NormalTok"/>
        </w:rPr>
        <w:t xml:space="preserve">USES </w:t>
      </w:r>
      <w:r>
        <w:rPr>
          <w:rStyle w:val="OperatorTok"/>
        </w:rPr>
        <w:t xml:space="preserve">=</w:t>
      </w:r>
      <w:r>
        <w:rPr>
          <w:rStyle w:val="NormalTok"/>
        </w:rPr>
        <w:t xml:space="preserve"> [</w:t>
      </w:r>
      <w:r>
        <w:rPr>
          <w:rStyle w:val="StringTok"/>
        </w:rPr>
        <w:t xml:space="preserve">"Hotels o.Ä."</w:t>
      </w:r>
      <w:r>
        <w:rPr>
          <w:rStyle w:val="NormalTok"/>
        </w:rPr>
        <w:t xml:space="preserve">, </w:t>
      </w:r>
      <w:r>
        <w:rPr>
          <w:rStyle w:val="StringTok"/>
        </w:rPr>
        <w:t xml:space="preserve">"Büronutzung"</w:t>
      </w:r>
      <w:r>
        <w:rPr>
          <w:rStyle w:val="NormalTok"/>
        </w:rPr>
        <w:t xml:space="preserve">, </w:t>
      </w:r>
      <w:r>
        <w:rPr>
          <w:rStyle w:val="StringTok"/>
        </w:rPr>
        <w:t xml:space="preserve">"Groß- und Einzelhandelsgebäude"</w:t>
      </w:r>
      <w:r>
        <w:rPr>
          <w:rStyle w:val="NormalTok"/>
        </w:rPr>
        <w:t xml:space="preserve">,</w:t>
      </w:r>
      <w:r>
        <w:br/>
      </w:r>
      <w:r>
        <w:rPr>
          <w:rStyle w:val="NormalTok"/>
        </w:rPr>
        <w:t xml:space="preserve">        </w:t>
      </w:r>
      <w:r>
        <w:rPr>
          <w:rStyle w:val="StringTok"/>
        </w:rPr>
        <w:t xml:space="preserve">"Verkehrs- und Nachrichtenwesen"</w:t>
      </w:r>
      <w:r>
        <w:rPr>
          <w:rStyle w:val="NormalTok"/>
        </w:rPr>
        <w:t xml:space="preserve">, </w:t>
      </w:r>
      <w:r>
        <w:rPr>
          <w:rStyle w:val="StringTok"/>
        </w:rPr>
        <w:t xml:space="preserve">"Industrie und Lagerung"</w:t>
      </w:r>
      <w:r>
        <w:rPr>
          <w:rStyle w:val="NormalTok"/>
        </w:rPr>
        <w:t xml:space="preserve">,</w:t>
      </w:r>
      <w:r>
        <w:br/>
      </w:r>
      <w:r>
        <w:rPr>
          <w:rStyle w:val="NormalTok"/>
        </w:rPr>
        <w:t xml:space="preserve">        </w:t>
      </w:r>
      <w:r>
        <w:rPr>
          <w:rStyle w:val="StringTok"/>
        </w:rPr>
        <w:t xml:space="preserve">"Kultur, Freizeit, Bildung und Gesundheit"</w:t>
      </w:r>
      <w:r>
        <w:rPr>
          <w:rStyle w:val="NormalTok"/>
        </w:rPr>
        <w:t xml:space="preserve">, </w:t>
      </w:r>
      <w:r>
        <w:rPr>
          <w:rStyle w:val="StringTok"/>
        </w:rPr>
        <w:t xml:space="preserve">"Gemeinschaftsgebäude"</w:t>
      </w:r>
      <w:r>
        <w:rPr>
          <w:rStyle w:val="NormalTok"/>
        </w:rPr>
        <w:t xml:space="preserve">,</w:t>
      </w:r>
      <w:r>
        <w:br/>
      </w:r>
      <w:r>
        <w:rPr>
          <w:rStyle w:val="NormalTok"/>
        </w:rPr>
        <w:t xml:space="preserve">        </w:t>
      </w:r>
      <w:r>
        <w:rPr>
          <w:rStyle w:val="StringTok"/>
        </w:rPr>
        <w:t xml:space="preserve">"Mehrfamilienhaus"</w:t>
      </w:r>
      <w:r>
        <w:rPr>
          <w:rStyle w:val="NormalTok"/>
        </w:rPr>
        <w:t xml:space="preserve">, </w:t>
      </w:r>
      <w:r>
        <w:rPr>
          <w:rStyle w:val="StringTok"/>
        </w:rPr>
        <w:t xml:space="preserve">"Ein- und Zweifamilienhäuser"</w:t>
      </w:r>
      <w:r>
        <w:rPr>
          <w:rStyle w:val="NormalTok"/>
        </w:rPr>
        <w:t xml:space="preserve">]</w:t>
      </w:r>
      <w:r>
        <w:br/>
      </w:r>
      <w:r>
        <w:br/>
      </w:r>
      <w:r>
        <w:rPr>
          <w:rStyle w:val="CommentTok"/>
        </w:rPr>
        <w:t xml:space="preserve"># Einheitliche Farben und Anordnung für ALLE Diagramme</w:t>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StringTok"/>
        </w:rPr>
        <w:t xml:space="preserve">"Groß- und Einzelhandelsgebäude"</w:t>
      </w:r>
      <w:r>
        <w:rPr>
          <w:rStyle w:val="NormalTok"/>
        </w:rPr>
        <w:t xml:space="preserve">: </w:t>
      </w:r>
      <w:r>
        <w:rPr>
          <w:rStyle w:val="StringTok"/>
        </w:rPr>
        <w:t xml:space="preserve">"#abd7e7"</w:t>
      </w:r>
      <w:r>
        <w:rPr>
          <w:rStyle w:val="NormalTok"/>
        </w:rPr>
        <w:t xml:space="preserve">,</w:t>
      </w:r>
      <w:r>
        <w:br/>
      </w:r>
      <w:r>
        <w:rPr>
          <w:rStyle w:val="NormalTok"/>
        </w:rPr>
        <w:t xml:space="preserve">    </w:t>
      </w:r>
      <w:r>
        <w:rPr>
          <w:rStyle w:val="StringTok"/>
        </w:rPr>
        <w:t xml:space="preserve">"Büronutzung"</w:t>
      </w:r>
      <w:r>
        <w:rPr>
          <w:rStyle w:val="NormalTok"/>
        </w:rPr>
        <w:t xml:space="preserve">: </w:t>
      </w:r>
      <w:r>
        <w:rPr>
          <w:rStyle w:val="StringTok"/>
        </w:rPr>
        <w:t xml:space="preserve">"#81c9e6"</w:t>
      </w:r>
      <w:r>
        <w:rPr>
          <w:rStyle w:val="NormalTok"/>
        </w:rPr>
        <w:t xml:space="preserve">,</w:t>
      </w:r>
      <w:r>
        <w:br/>
      </w:r>
      <w:r>
        <w:rPr>
          <w:rStyle w:val="NormalTok"/>
        </w:rPr>
        <w:t xml:space="preserve">    </w:t>
      </w:r>
      <w:r>
        <w:rPr>
          <w:rStyle w:val="StringTok"/>
        </w:rPr>
        <w:t xml:space="preserve">"Hotels o.Ä."</w:t>
      </w:r>
      <w:r>
        <w:rPr>
          <w:rStyle w:val="NormalTok"/>
        </w:rPr>
        <w:t xml:space="preserve">: </w:t>
      </w:r>
      <w:r>
        <w:rPr>
          <w:rStyle w:val="StringTok"/>
        </w:rPr>
        <w:t xml:space="preserve">"#3e82b8"</w:t>
      </w:r>
      <w:r>
        <w:rPr>
          <w:rStyle w:val="NormalTok"/>
        </w:rPr>
        <w:t xml:space="preserve">,</w:t>
      </w:r>
      <w:r>
        <w:br/>
      </w:r>
      <w:r>
        <w:rPr>
          <w:rStyle w:val="NormalTok"/>
        </w:rPr>
        <w:t xml:space="preserve">    </w:t>
      </w:r>
      <w:r>
        <w:rPr>
          <w:rStyle w:val="StringTok"/>
        </w:rPr>
        <w:t xml:space="preserve">"Industrie und Lagerung"</w:t>
      </w:r>
      <w:r>
        <w:rPr>
          <w:rStyle w:val="NormalTok"/>
        </w:rPr>
        <w:t xml:space="preserve">: </w:t>
      </w:r>
      <w:r>
        <w:rPr>
          <w:rStyle w:val="StringTok"/>
        </w:rPr>
        <w:t xml:space="preserve">"#405d77"</w:t>
      </w:r>
      <w:r>
        <w:rPr>
          <w:rStyle w:val="NormalTok"/>
        </w:rPr>
        <w:t xml:space="preserve">,</w:t>
      </w:r>
      <w:r>
        <w:br/>
      </w:r>
      <w:r>
        <w:rPr>
          <w:rStyle w:val="NormalTok"/>
        </w:rPr>
        <w:t xml:space="preserve">    </w:t>
      </w:r>
      <w:r>
        <w:rPr>
          <w:rStyle w:val="StringTok"/>
        </w:rPr>
        <w:t xml:space="preserve">"Ein- und Zweifamilienhäuser"</w:t>
      </w:r>
      <w:r>
        <w:rPr>
          <w:rStyle w:val="NormalTok"/>
        </w:rPr>
        <w:t xml:space="preserve">: </w:t>
      </w:r>
      <w:r>
        <w:rPr>
          <w:rStyle w:val="StringTok"/>
        </w:rPr>
        <w:t xml:space="preserve">"#ff9800"</w:t>
      </w:r>
      <w:r>
        <w:rPr>
          <w:rStyle w:val="NormalTok"/>
        </w:rPr>
        <w:t xml:space="preserve">,</w:t>
      </w:r>
      <w:r>
        <w:br/>
      </w:r>
      <w:r>
        <w:rPr>
          <w:rStyle w:val="NormalTok"/>
        </w:rPr>
        <w:t xml:space="preserve">    </w:t>
      </w:r>
      <w:r>
        <w:rPr>
          <w:rStyle w:val="StringTok"/>
        </w:rPr>
        <w:t xml:space="preserve">"Mehrfamilienhaus"</w:t>
      </w:r>
      <w:r>
        <w:rPr>
          <w:rStyle w:val="NormalTok"/>
        </w:rPr>
        <w:t xml:space="preserve">: </w:t>
      </w:r>
      <w:r>
        <w:rPr>
          <w:rStyle w:val="StringTok"/>
        </w:rPr>
        <w:t xml:space="preserve">"#ff5c48"</w:t>
      </w:r>
      <w:r>
        <w:rPr>
          <w:rStyle w:val="NormalTok"/>
        </w:rPr>
        <w:t xml:space="preserve">,</w:t>
      </w:r>
      <w:r>
        <w:br/>
      </w:r>
      <w:r>
        <w:rPr>
          <w:rStyle w:val="NormalTok"/>
        </w:rPr>
        <w:t xml:space="preserve">    </w:t>
      </w:r>
      <w:r>
        <w:rPr>
          <w:rStyle w:val="StringTok"/>
        </w:rPr>
        <w:t xml:space="preserve">"Gemeinschaftsgebäude"</w:t>
      </w:r>
      <w:r>
        <w:rPr>
          <w:rStyle w:val="NormalTok"/>
        </w:rPr>
        <w:t xml:space="preserve">: </w:t>
      </w:r>
      <w:r>
        <w:rPr>
          <w:rStyle w:val="StringTok"/>
        </w:rPr>
        <w:t xml:space="preserve">"#dca51b"</w:t>
      </w:r>
      <w:r>
        <w:rPr>
          <w:rStyle w:val="NormalTok"/>
        </w:rPr>
        <w:t xml:space="preserve">,</w:t>
      </w:r>
      <w:r>
        <w:br/>
      </w:r>
      <w:r>
        <w:rPr>
          <w:rStyle w:val="NormalTok"/>
        </w:rPr>
        <w:t xml:space="preserve">    </w:t>
      </w:r>
      <w:r>
        <w:rPr>
          <w:rStyle w:val="StringTok"/>
        </w:rPr>
        <w:t xml:space="preserve">"Kultur, Freizeit, Bildung und Gesundheit"</w:t>
      </w:r>
      <w:r>
        <w:rPr>
          <w:rStyle w:val="NormalTok"/>
        </w:rPr>
        <w:t xml:space="preserve">: </w:t>
      </w:r>
      <w:r>
        <w:rPr>
          <w:rStyle w:val="StringTok"/>
        </w:rPr>
        <w:t xml:space="preserve">"#92009a"</w:t>
      </w:r>
      <w:r>
        <w:rPr>
          <w:rStyle w:val="NormalTok"/>
        </w:rPr>
        <w:t xml:space="preserve">,</w:t>
      </w:r>
      <w:r>
        <w:br/>
      </w:r>
      <w:r>
        <w:rPr>
          <w:rStyle w:val="NormalTok"/>
        </w:rPr>
        <w:t xml:space="preserve">    </w:t>
      </w:r>
      <w:r>
        <w:rPr>
          <w:rStyle w:val="StringTok"/>
        </w:rPr>
        <w:t xml:space="preserve">"Verkehrs- und Nachrichtenwesen"</w:t>
      </w:r>
      <w:r>
        <w:rPr>
          <w:rStyle w:val="NormalTok"/>
        </w:rPr>
        <w:t xml:space="preserve">: </w:t>
      </w:r>
      <w:r>
        <w:rPr>
          <w:rStyle w:val="StringTok"/>
        </w:rPr>
        <w:t xml:space="preserve">"#a4a4a4"</w:t>
      </w:r>
      <w:r>
        <w:rPr>
          <w:rStyle w:val="NormalTok"/>
        </w:rPr>
        <w:t xml:space="preserve">,</w:t>
      </w:r>
      <w:r>
        <w:br/>
      </w:r>
      <w:r>
        <w:rPr>
          <w:rStyle w:val="NormalTok"/>
        </w:rPr>
        <w:t xml:space="preserve">}</w:t>
      </w:r>
      <w:r>
        <w:br/>
      </w:r>
      <w:r>
        <w:rPr>
          <w:rStyle w:val="NormalTok"/>
        </w:rPr>
        <w:t xml:space="preserve">PLOT_USE_ORDER </w:t>
      </w:r>
      <w:r>
        <w:rPr>
          <w:rStyle w:val="OperatorTok"/>
        </w:rPr>
        <w:t xml:space="preserve">=</w:t>
      </w:r>
      <w:r>
        <w:rPr>
          <w:rStyle w:val="NormalTok"/>
        </w:rPr>
        <w:t xml:space="preserve"> </w:t>
      </w:r>
      <w:r>
        <w:rPr>
          <w:rStyle w:val="BuiltInTok"/>
        </w:rPr>
        <w:t xml:space="preserve">list</w:t>
      </w:r>
      <w:r>
        <w:rPr>
          <w:rStyle w:val="NormalTok"/>
        </w:rPr>
        <w:t xml:space="preserve">(COLORS)</w:t>
      </w:r>
      <w:r>
        <w:br/>
      </w:r>
      <w:r>
        <w:rPr>
          <w:rStyle w:val="NormalTok"/>
        </w:rPr>
        <w:t xml:space="preserve">plt.rcParams.update({</w:t>
      </w:r>
      <w:r>
        <w:rPr>
          <w:rStyle w:val="StringTok"/>
        </w:rPr>
        <w:t xml:space="preserve">"font.size"</w:t>
      </w:r>
      <w:r>
        <w:rPr>
          <w:rStyle w:val="NormalTok"/>
        </w:rPr>
        <w:t xml:space="preserve">: </w:t>
      </w:r>
      <w:r>
        <w:rPr>
          <w:rStyle w:val="DecValTok"/>
        </w:rPr>
        <w:t xml:space="preserve">10</w:t>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 </w:t>
      </w:r>
      <w:r>
        <w:rPr>
          <w:rStyle w:val="StringTok"/>
        </w:rPr>
        <w:t xml:space="preserve">"figure.dpi"</w:t>
      </w:r>
      <w:r>
        <w:rPr>
          <w:rStyle w:val="NormalTok"/>
        </w:rPr>
        <w:t xml:space="preserve">: </w:t>
      </w:r>
      <w:r>
        <w:rPr>
          <w:rStyle w:val="DecValTok"/>
        </w:rPr>
        <w:t xml:space="preserve">120</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NGF_PER_BGF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MIN_SAMPLES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"NGF/BGF bzw. Stichprobenminimum unzulässig"</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np.isclose(</w:t>
      </w:r>
      <w:r>
        <w:rPr>
          <w:rStyle w:val="BuiltInTok"/>
        </w:rPr>
        <w:t xml:space="preserve">round</w:t>
      </w:r>
      <w:r>
        <w:rPr>
          <w:rStyle w:val="NormalTok"/>
        </w:rPr>
        <w:t xml:space="preserve">(GFZ_MAX </w:t>
      </w:r>
      <w:r>
        <w:rPr>
          <w:rStyle w:val="OperatorTok"/>
        </w:rPr>
        <w:t xml:space="preserve">/</w:t>
      </w:r>
      <w:r>
        <w:rPr>
          <w:rStyle w:val="NormalTok"/>
        </w:rPr>
        <w:t xml:space="preserve"> GFZ_STEP) </w:t>
      </w:r>
      <w:r>
        <w:rPr>
          <w:rStyle w:val="OperatorTok"/>
        </w:rPr>
        <w:t xml:space="preserve">*</w:t>
      </w:r>
      <w:r>
        <w:rPr>
          <w:rStyle w:val="NormalTok"/>
        </w:rPr>
        <w:t xml:space="preserve"> GFZ_STEP, GFZ_MAX):</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"GFZ_MAX muss ein Vielfaches von GFZ_STEP sein"</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(BUILDINGS, STATISTICS):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p.is_file():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f"Quelldatei fehlt: </w:t>
      </w:r>
      <w:r>
        <w:rPr>
          <w:rStyle w:val="SpecialCharTok"/>
        </w:rPr>
        <w:t xml:space="preserve">{</w:t>
      </w:r>
      <w:r>
        <w:rPr>
          <w:rStyle w:val="NormalTok"/>
        </w:rPr>
        <w:t xml:space="preserve">p</w:t>
      </w:r>
      <w:r>
        <w:rPr>
          <w:rStyle w:val="SpecialCharTok"/>
        </w:rPr>
        <w:t xml:space="preserve">.</w:t>
      </w:r>
      <w:r>
        <w:rPr>
          <w:rStyle w:val="NormalTok"/>
        </w:rPr>
        <w:t xml:space="preserve">resolve()</w:t>
      </w:r>
      <w:r>
        <w:rPr>
          <w:rStyle w:val="SpecialCharTok"/>
        </w:rPr>
        <w:t xml:space="preserve">}</w:t>
      </w:r>
      <w:r>
        <w:rPr>
          <w:rStyle w:val="SpecialStringTok"/>
        </w:rPr>
        <w:t xml:space="preserve"> – Pfad in der Parameterzelle setzen"</w:t>
      </w:r>
      <w:r>
        <w:rPr>
          <w:rStyle w:val="NormalTok"/>
        </w:rPr>
        <w:t xml:space="preserve">)</w:t>
      </w:r>
    </w:p>
    <w:bookmarkEnd w:id="453"/>
    <w:bookmarkStart w:id="459" w:name="X9ddb4cf4fb2e6f5a6aa24f37ba8232e36ff0da6"/>
    <w:p>
      <w:pPr>
        <w:pStyle w:val="Heading2"/>
      </w:pPr>
      <w:r>
        <w:t xml:space="preserve">C.2 2. Eingangsdaten und Plausibilisierung der Einzelgebäude</w:t>
      </w:r>
    </w:p>
    <w:p>
      <w:pPr>
        <w:pStyle w:val="FirstParagraph"/>
      </w:pPr>
      <w:r>
        <w:t xml:space="preserve">Die Originaldaten bleiben bei der Einlesung erhalten. Für die Verteilungsbildung werden nur Datensätze mit positiver, endlicher BGF und GFZ bis 20 berücksichtigt. Nicht zu den neun Zielgruppen gehörende Hauptnutzungen sowie nicht aus Wien oder Salzburg stammende Referenzgebäude werden ausgeschlossen. Diese Verluste werden explizit ausgewiesen.</w:t>
      </w:r>
    </w:p>
    <w:p>
      <w:pPr>
        <w:pStyle w:val="BodyText"/>
      </w:pPr>
      <w:r>
        <w:t xml:space="preserve">Die beiden Unterkategorien „Mehrfamilienhaus klein“ und „Mehrfamilienhaus groß“ der gebäudescharfen Daten werden für den Vergleich mit der statistischen Klassifikation als „Mehrfamilienhaus“ zusammengefasst. Die Zuordnung wird</w:t>
      </w:r>
      <w:r>
        <w:t xml:space="preserve"> </w:t>
      </w:r>
      <w:r>
        <w:rPr>
          <w:b/>
          <w:bCs/>
        </w:rPr>
        <w:t xml:space="preserve">nicht</w:t>
      </w:r>
      <w:r>
        <w:t xml:space="preserve"> </w:t>
      </w:r>
      <w:r>
        <w:t xml:space="preserve">für andere unbekannte Nutzungsklassen stillschweigend ergänzt.</w:t>
      </w:r>
    </w:p>
    <w:p>
      <w:pPr>
        <w:pStyle w:val="SourceCode"/>
      </w:pPr>
      <w:r>
        <w:rPr>
          <w:rStyle w:val="CommentTok"/>
        </w:rPr>
        <w:t xml:space="preserve"># Eingabeformate CSV oder Excel (reiner Dateiimport; keine Modellrechnung)</w:t>
      </w:r>
      <w:r>
        <w:br/>
      </w:r>
      <w:r>
        <w:rPr>
          <w:rStyle w:val="ControlFlowTok"/>
        </w:rPr>
        <w:t xml:space="preserve">if</w:t>
      </w:r>
      <w:r>
        <w:rPr>
          <w:rStyle w:val="NormalTok"/>
        </w:rPr>
        <w:t xml:space="preserve"> BUILDINGS.suffix.lower()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samples_raw </w:t>
      </w:r>
      <w:r>
        <w:rPr>
          <w:rStyle w:val="OperatorTok"/>
        </w:rPr>
        <w:t xml:space="preserve">=</w:t>
      </w:r>
      <w:r>
        <w:rPr>
          <w:rStyle w:val="NormalTok"/>
        </w:rPr>
        <w:t xml:space="preserve"> pd.read_csv(BUILDINGS,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ControlFlowTok"/>
        </w:rPr>
        <w:t xml:space="preserve">else</w:t>
      </w:r>
      <w:r>
        <w:rPr>
          <w:rStyle w:val="NormalTok"/>
        </w:rPr>
        <w:t xml:space="preserve">:</w:t>
      </w:r>
      <w:r>
        <w:br/>
      </w:r>
      <w:r>
        <w:rPr>
          <w:rStyle w:val="NormalTok"/>
        </w:rPr>
        <w:t xml:space="preserve">    samples_raw </w:t>
      </w:r>
      <w:r>
        <w:rPr>
          <w:rStyle w:val="OperatorTok"/>
        </w:rPr>
        <w:t xml:space="preserve">=</w:t>
      </w:r>
      <w:r>
        <w:rPr>
          <w:rStyle w:val="NormalTok"/>
        </w:rPr>
        <w:t xml:space="preserve"> pd.read_excel(BUILDINGS, sheet_name</w:t>
      </w:r>
      <w:r>
        <w:rPr>
          <w:rStyle w:val="OperatorTok"/>
        </w:rPr>
        <w:t xml:space="preserve">=</w:t>
      </w:r>
      <w:r>
        <w:rPr>
          <w:rStyle w:val="StringTok"/>
        </w:rPr>
        <w:t xml:space="preserve">"Rohdaten"</w:t>
      </w:r>
      <w:r>
        <w:rPr>
          <w:rStyle w:val="NormalTok"/>
        </w:rPr>
        <w:t xml:space="preserve">,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w:t>
      </w:r>
      <w:r>
        <w:br/>
      </w:r>
      <w:r>
        <w:br/>
      </w:r>
      <w:r>
        <w:rPr>
          <w:rStyle w:val="NormalTok"/>
        </w:rPr>
        <w:t xml:space="preserve">required_samples </w:t>
      </w:r>
      <w:r>
        <w:rPr>
          <w:rStyle w:val="OperatorTok"/>
        </w:rPr>
        <w:t xml:space="preserve">=</w:t>
      </w:r>
      <w:r>
        <w:rPr>
          <w:rStyle w:val="NormalTok"/>
        </w:rPr>
        <w:t xml:space="preserve"> [</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 </w:t>
      </w:r>
      <w:r>
        <w:rPr>
          <w:rStyle w:val="StringTok"/>
        </w:rPr>
        <w:t xml:space="preserve">"GFZ"</w:t>
      </w:r>
      <w:r>
        <w:rPr>
          <w:rStyle w:val="NormalTok"/>
        </w:rPr>
        <w:t xml:space="preserve">, </w:t>
      </w:r>
      <w:r>
        <w:rPr>
          <w:rStyle w:val="StringTok"/>
        </w:rPr>
        <w:t xml:space="preserve">"BGF"</w:t>
      </w:r>
      <w:r>
        <w:rPr>
          <w:rStyle w:val="NormalTok"/>
        </w:rPr>
        <w:t xml:space="preserve">]</w:t>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(required_samples) </w:t>
      </w:r>
      <w:r>
        <w:rPr>
          <w:rStyle w:val="OperatorTok"/>
        </w:rPr>
        <w:t xml:space="preserve">-</w:t>
      </w:r>
      <w:r>
        <w:rPr>
          <w:rStyle w:val="NormalTok"/>
        </w:rPr>
        <w:t xml:space="preserve"> </w:t>
      </w:r>
      <w:r>
        <w:rPr>
          <w:rStyle w:val="BuiltInTok"/>
        </w:rPr>
        <w:t xml:space="preserve">set</w:t>
      </w:r>
      <w:r>
        <w:rPr>
          <w:rStyle w:val="NormalTok"/>
        </w:rPr>
        <w:t xml:space="preserve">(samples_raw))</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f"Referenzdatei: Spalten fehlen: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NormalTok"/>
        </w:rPr>
        <w:t xml:space="preserve">samples </w:t>
      </w:r>
      <w:r>
        <w:rPr>
          <w:rStyle w:val="OperatorTok"/>
        </w:rPr>
        <w:t xml:space="preserve">=</w:t>
      </w:r>
      <w:r>
        <w:rPr>
          <w:rStyle w:val="NormalTok"/>
        </w:rPr>
        <w:t xml:space="preserve"> samples_raw[required_samples].copy()</w:t>
      </w:r>
      <w:r>
        <w:br/>
      </w:r>
      <w:r>
        <w:rPr>
          <w:rStyle w:val="CommentTok"/>
        </w:rPr>
        <w:t xml:space="preserve"># Normalisierung der in den Originaldateien vorkommenden Geschoss-Bezeichnungen</w:t>
      </w:r>
      <w:r>
        <w:br/>
      </w:r>
      <w:r>
        <w:rPr>
          <w:rStyle w:val="NormalTok"/>
        </w:rPr>
        <w:t xml:space="preserve">samples[</w:t>
      </w:r>
      <w:r>
        <w:rPr>
          <w:rStyle w:val="StringTok"/>
        </w:rPr>
        <w:t xml:space="preserve">"GK"</w:t>
      </w:r>
      <w:r>
        <w:rPr>
          <w:rStyle w:val="NormalTok"/>
        </w:rPr>
        <w:t xml:space="preserve">] </w:t>
      </w:r>
      <w:r>
        <w:rPr>
          <w:rStyle w:val="OperatorTok"/>
        </w:rPr>
        <w:t xml:space="preserve">=</w:t>
      </w:r>
      <w:r>
        <w:rPr>
          <w:rStyle w:val="NormalTok"/>
        </w:rPr>
        <w:t xml:space="preserve"> (samples[</w:t>
      </w:r>
      <w:r>
        <w:rPr>
          <w:rStyle w:val="StringTok"/>
        </w:rPr>
        <w:t xml:space="preserve">"GK"</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.lower()</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0</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.replace({</w:t>
      </w:r>
      <w:r>
        <w:rPr>
          <w:rStyle w:val="StringTok"/>
        </w:rPr>
        <w:t xml:space="preserve">"6 bis 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"6010"</w:t>
      </w:r>
      <w:r>
        <w:rPr>
          <w:rStyle w:val="NormalTok"/>
        </w:rPr>
        <w:t xml:space="preserve">: </w:t>
      </w:r>
      <w:r>
        <w:rPr>
          <w:rStyle w:val="StringTok"/>
        </w:rPr>
        <w:t xml:space="preserve">"6-10"</w:t>
      </w:r>
      <w:r>
        <w:rPr>
          <w:rStyle w:val="NormalTok"/>
        </w:rPr>
        <w:t xml:space="preserve">,</w:t>
      </w:r>
      <w:r>
        <w:br/>
      </w:r>
      <w:r>
        <w:rPr>
          <w:rStyle w:val="NormalTok"/>
        </w:rPr>
        <w:t xml:space="preserve">                           </w:t>
      </w:r>
      <w:r>
        <w:rPr>
          <w:rStyle w:val="StringTok"/>
        </w:rPr>
        <w:t xml:space="preserve">"6.0 bis 10.0"</w:t>
      </w:r>
      <w:r>
        <w:rPr>
          <w:rStyle w:val="NormalTok"/>
        </w:rPr>
        <w:t xml:space="preserve">: </w:t>
      </w:r>
      <w:r>
        <w:rPr>
          <w:rStyle w:val="StringTok"/>
        </w:rPr>
        <w:t xml:space="preserve">"6-10"</w:t>
      </w:r>
      <w:r>
        <w:rPr>
          <w:rStyle w:val="NormalTok"/>
        </w:rPr>
        <w:t xml:space="preserve">, </w:t>
      </w:r>
      <w:r>
        <w:rPr>
          <w:rStyle w:val="StringTok"/>
        </w:rPr>
        <w:t xml:space="preserve">"11 und mehr"</w:t>
      </w:r>
      <w:r>
        <w:rPr>
          <w:rStyle w:val="NormalTok"/>
        </w:rPr>
        <w:t xml:space="preserve">: </w:t>
      </w:r>
      <w:r>
        <w:rPr>
          <w:rStyle w:val="StringTok"/>
        </w:rPr>
        <w:t xml:space="preserve">"11+"</w:t>
      </w:r>
      <w:r>
        <w:rPr>
          <w:rStyle w:val="NormalTok"/>
        </w:rPr>
        <w:t xml:space="preserve">,</w:t>
      </w:r>
      <w:r>
        <w:br/>
      </w:r>
      <w:r>
        <w:rPr>
          <w:rStyle w:val="NormalTok"/>
        </w:rPr>
        <w:t xml:space="preserve">                           </w:t>
      </w:r>
      <w:r>
        <w:rPr>
          <w:rStyle w:val="StringTok"/>
        </w:rPr>
        <w:t xml:space="preserve">"11 oder mehr"</w:t>
      </w:r>
      <w:r>
        <w:rPr>
          <w:rStyle w:val="NormalTok"/>
        </w:rPr>
        <w:t xml:space="preserve">: </w:t>
      </w:r>
      <w:r>
        <w:rPr>
          <w:rStyle w:val="StringTok"/>
        </w:rPr>
        <w:t xml:space="preserve">"11+"</w:t>
      </w:r>
      <w:r>
        <w:rPr>
          <w:rStyle w:val="NormalTok"/>
        </w:rPr>
        <w:t xml:space="preserve">, </w:t>
      </w:r>
      <w:r>
        <w:rPr>
          <w:rStyle w:val="StringTok"/>
        </w:rPr>
        <w:t xml:space="preserve">"11plus"</w:t>
      </w:r>
      <w:r>
        <w:rPr>
          <w:rStyle w:val="NormalTok"/>
        </w:rPr>
        <w:t xml:space="preserve">: </w:t>
      </w:r>
      <w:r>
        <w:rPr>
          <w:rStyle w:val="StringTok"/>
        </w:rPr>
        <w:t xml:space="preserve">"11+"</w:t>
      </w:r>
      <w:r>
        <w:rPr>
          <w:rStyle w:val="NormalTok"/>
        </w:rPr>
        <w:t xml:space="preserve">}))</w:t>
      </w:r>
      <w:r>
        <w:br/>
      </w:r>
      <w:r>
        <w:rPr>
          <w:rStyle w:val="NormalTok"/>
        </w:rPr>
        <w:t xml:space="preserve">samples[</w:t>
      </w:r>
      <w:r>
        <w:rPr>
          <w:rStyle w:val="StringTok"/>
        </w:rPr>
        <w:t xml:space="preserve">"GWR_Nutzung"</w:t>
      </w:r>
      <w:r>
        <w:rPr>
          <w:rStyle w:val="NormalTok"/>
        </w:rPr>
        <w:t xml:space="preserve">] </w:t>
      </w:r>
      <w:r>
        <w:rPr>
          <w:rStyle w:val="OperatorTok"/>
        </w:rPr>
        <w:t xml:space="preserve">=</w:t>
      </w:r>
      <w:r>
        <w:rPr>
          <w:rStyle w:val="NormalTok"/>
        </w:rPr>
        <w:t xml:space="preserve"> samples[</w:t>
      </w:r>
      <w:r>
        <w:rPr>
          <w:rStyle w:val="StringTok"/>
        </w:rPr>
        <w:t xml:space="preserve">"GWR_Nutzung"</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.strip().replace({</w:t>
      </w:r>
      <w:r>
        <w:br/>
      </w:r>
      <w:r>
        <w:rPr>
          <w:rStyle w:val="NormalTok"/>
        </w:rPr>
        <w:t xml:space="preserve">    </w:t>
      </w:r>
      <w:r>
        <w:rPr>
          <w:rStyle w:val="StringTok"/>
        </w:rPr>
        <w:t xml:space="preserve">"Mehrfamilienhaus klein"</w:t>
      </w:r>
      <w:r>
        <w:rPr>
          <w:rStyle w:val="NormalTok"/>
        </w:rPr>
        <w:t xml:space="preserve">: </w:t>
      </w:r>
      <w:r>
        <w:rPr>
          <w:rStyle w:val="StringTok"/>
        </w:rPr>
        <w:t xml:space="preserve">"Mehrfamilienhaus"</w:t>
      </w:r>
      <w:r>
        <w:rPr>
          <w:rStyle w:val="NormalTok"/>
        </w:rPr>
        <w:t xml:space="preserve">,</w:t>
      </w:r>
      <w:r>
        <w:br/>
      </w:r>
      <w:r>
        <w:rPr>
          <w:rStyle w:val="NormalTok"/>
        </w:rPr>
        <w:t xml:space="preserve">    </w:t>
      </w:r>
      <w:r>
        <w:rPr>
          <w:rStyle w:val="StringTok"/>
        </w:rPr>
        <w:t xml:space="preserve">"Mehrfamilienhaus groß"</w:t>
      </w:r>
      <w:r>
        <w:rPr>
          <w:rStyle w:val="NormalTok"/>
        </w:rPr>
        <w:t xml:space="preserve">: </w:t>
      </w:r>
      <w:r>
        <w:rPr>
          <w:rStyle w:val="StringTok"/>
        </w:rPr>
        <w:t xml:space="preserve">"Mehrfamilienhaus"</w:t>
      </w:r>
      <w:r>
        <w:rPr>
          <w:rStyle w:val="NormalTok"/>
        </w:rPr>
        <w:t xml:space="preserve">,</w:t>
      </w:r>
      <w:r>
        <w:br/>
      </w:r>
      <w:r>
        <w:rPr>
          <w:rStyle w:val="NormalTok"/>
        </w:rPr>
        <w:t xml:space="preserve">})</w:t>
      </w:r>
      <w:r>
        <w:br/>
      </w:r>
      <w:r>
        <w:rPr>
          <w:rStyle w:val="NormalTok"/>
        </w:rPr>
        <w:t xml:space="preserve">samples[</w:t>
      </w:r>
      <w:r>
        <w:rPr>
          <w:rStyle w:val="StringTok"/>
        </w:rPr>
        <w:t xml:space="preserve">"GFZ"</w:t>
      </w:r>
      <w:r>
        <w:rPr>
          <w:rStyle w:val="NormalTok"/>
        </w:rPr>
        <w:t xml:space="preserve">] </w:t>
      </w:r>
      <w:r>
        <w:rPr>
          <w:rStyle w:val="OperatorTok"/>
        </w:rPr>
        <w:t xml:space="preserve">=</w:t>
      </w:r>
      <w:r>
        <w:rPr>
          <w:rStyle w:val="NormalTok"/>
        </w:rPr>
        <w:t xml:space="preserve"> pd.to_numeric(samples[</w:t>
      </w:r>
      <w:r>
        <w:rPr>
          <w:rStyle w:val="StringTok"/>
        </w:rPr>
        <w:t xml:space="preserve">"GFZ"</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samples[</w:t>
      </w:r>
      <w:r>
        <w:rPr>
          <w:rStyle w:val="StringTok"/>
        </w:rPr>
        <w:t xml:space="preserve">"BGF"</w:t>
      </w:r>
      <w:r>
        <w:rPr>
          <w:rStyle w:val="NormalTok"/>
        </w:rPr>
        <w:t xml:space="preserve">] </w:t>
      </w:r>
      <w:r>
        <w:rPr>
          <w:rStyle w:val="OperatorTok"/>
        </w:rPr>
        <w:t xml:space="preserve">=</w:t>
      </w:r>
      <w:r>
        <w:rPr>
          <w:rStyle w:val="NormalTok"/>
        </w:rPr>
        <w:t xml:space="preserve"> pd.to_numeric(samples[</w:t>
      </w:r>
      <w:r>
        <w:rPr>
          <w:rStyle w:val="StringTok"/>
        </w:rPr>
        <w:t xml:space="preserve">"BGF"</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NormalTok"/>
        </w:rPr>
        <w:t xml:space="preserve">unknown_gk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(samples[</w:t>
      </w:r>
      <w:r>
        <w:rPr>
          <w:rStyle w:val="StringTok"/>
        </w:rPr>
        <w:t xml:space="preserve">"GK"</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(STOREYS))</w:t>
      </w:r>
      <w:r>
        <w:br/>
      </w:r>
      <w:r>
        <w:rPr>
          <w:rStyle w:val="ControlFlowTok"/>
        </w:rPr>
        <w:t xml:space="preserve">if</w:t>
      </w:r>
      <w:r>
        <w:rPr>
          <w:rStyle w:val="NormalTok"/>
        </w:rPr>
        <w:t xml:space="preserve"> unknown_gk:</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f"Unbekannte Geschossklassen in Gebäudedaten: </w:t>
      </w:r>
      <w:r>
        <w:rPr>
          <w:rStyle w:val="SpecialCharTok"/>
        </w:rPr>
        <w:t xml:space="preserve">{</w:t>
      </w:r>
      <w:r>
        <w:rPr>
          <w:rStyle w:val="NormalTok"/>
        </w:rPr>
        <w:t xml:space="preserve">unknown_gk</w:t>
      </w:r>
      <w:r>
        <w:rPr>
          <w:rStyle w:val="SpecialCharTok"/>
        </w:rPr>
        <w:t xml:space="preserve">}</w:t>
      </w:r>
      <w:r>
        <w:rPr>
          <w:rStyle w:val="SpecialStringTok"/>
        </w:rPr>
        <w:t xml:space="preserve">"</w:t>
      </w:r>
      <w:r>
        <w:rPr>
          <w:rStyle w:val="NormalTok"/>
        </w:rPr>
        <w:t xml:space="preserve">)</w:t>
      </w:r>
      <w:r>
        <w:br/>
      </w:r>
      <w:r>
        <w:br/>
      </w:r>
      <w:r>
        <w:rPr>
          <w:rStyle w:val="NormalTok"/>
        </w:rPr>
        <w:t xml:space="preserve">exclude_usage </w:t>
      </w:r>
      <w:r>
        <w:rPr>
          <w:rStyle w:val="OperatorTok"/>
        </w:rPr>
        <w:t xml:space="preserve">=</w:t>
      </w:r>
      <w:r>
        <w:rPr>
          <w:rStyle w:val="NormalTok"/>
        </w:rPr>
        <w:t xml:space="preserve"> </w:t>
      </w:r>
      <w:r>
        <w:rPr>
          <w:rStyle w:val="OperatorTok"/>
        </w:rPr>
        <w:t xml:space="preserve">~</w:t>
      </w:r>
      <w:r>
        <w:rPr>
          <w:rStyle w:val="NormalTok"/>
        </w:rPr>
        <w:t xml:space="preserve">samples[</w:t>
      </w:r>
      <w:r>
        <w:rPr>
          <w:rStyle w:val="StringTok"/>
        </w:rPr>
        <w:t xml:space="preserve">"GWR_Nutzung"</w:t>
      </w:r>
      <w:r>
        <w:rPr>
          <w:rStyle w:val="NormalTok"/>
        </w:rPr>
        <w:t xml:space="preserve">].isin(USES)</w:t>
      </w:r>
      <w:r>
        <w:br/>
      </w:r>
      <w:r>
        <w:rPr>
          <w:rStyle w:val="NormalTok"/>
        </w:rPr>
        <w:t xml:space="preserve">exclude_numeric </w:t>
      </w:r>
      <w:r>
        <w:rPr>
          <w:rStyle w:val="OperatorTok"/>
        </w:rPr>
        <w:t xml:space="preserve">=</w:t>
      </w:r>
      <w:r>
        <w:rPr>
          <w:rStyle w:val="NormalTok"/>
        </w:rPr>
        <w:t xml:space="preserve"> (</w:t>
      </w:r>
      <w:r>
        <w:rPr>
          <w:rStyle w:val="OperatorTok"/>
        </w:rPr>
        <w:t xml:space="preserve">~</w:t>
      </w:r>
      <w:r>
        <w:rPr>
          <w:rStyle w:val="NormalTok"/>
        </w:rPr>
        <w:t xml:space="preserve">np.isfinite(samples[</w:t>
      </w:r>
      <w:r>
        <w:rPr>
          <w:rStyle w:val="StringTok"/>
        </w:rPr>
        <w:t xml:space="preserve">"GFZ"</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np.isfinite(samples[</w:t>
      </w:r>
      <w:r>
        <w:rPr>
          <w:rStyle w:val="StringTok"/>
        </w:rPr>
        <w:t xml:space="preserve">"BGF"</w:t>
      </w:r>
      <w:r>
        <w:rPr>
          <w:rStyle w:val="NormalTok"/>
        </w:rPr>
        <w:t xml:space="preserve">])</w:t>
      </w:r>
      <w:r>
        <w:br/>
      </w:r>
      <w:r>
        <w:rPr>
          <w:rStyle w:val="NormalTok"/>
        </w:rPr>
        <w:t xml:space="preserve">                   </w:t>
      </w:r>
      <w:r>
        <w:rPr>
          <w:rStyle w:val="OperatorTok"/>
        </w:rPr>
        <w:t xml:space="preserve">|</w:t>
      </w:r>
      <w:r>
        <w:rPr>
          <w:rStyle w:val="NormalTok"/>
        </w:rPr>
        <w:t xml:space="preserve"> (samples[</w:t>
      </w:r>
      <w:r>
        <w:rPr>
          <w:rStyle w:val="StringTok"/>
        </w:rPr>
        <w:t xml:space="preserve">"GFZ"</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(samples[</w:t>
      </w:r>
      <w:r>
        <w:rPr>
          <w:rStyle w:val="StringTok"/>
        </w:rPr>
        <w:t xml:space="preserve">"BGF"</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exclude_max </w:t>
      </w:r>
      <w:r>
        <w:rPr>
          <w:rStyle w:val="OperatorTok"/>
        </w:rPr>
        <w:t xml:space="preserve">=</w:t>
      </w:r>
      <w:r>
        <w:rPr>
          <w:rStyle w:val="NormalTok"/>
        </w:rPr>
        <w:t xml:space="preserve"> samples[</w:t>
      </w:r>
      <w:r>
        <w:rPr>
          <w:rStyle w:val="StringTok"/>
        </w:rPr>
        <w:t xml:space="preserve">"GFZ"</w:t>
      </w:r>
      <w:r>
        <w:rPr>
          <w:rStyle w:val="NormalTok"/>
        </w:rPr>
        <w:t xml:space="preserve">] </w:t>
      </w:r>
      <w:r>
        <w:rPr>
          <w:rStyle w:val="OperatorTok"/>
        </w:rPr>
        <w:t xml:space="preserve">&gt;</w:t>
      </w:r>
      <w:r>
        <w:rPr>
          <w:rStyle w:val="NormalTok"/>
        </w:rPr>
        <w:t xml:space="preserve"> GFZ_MAX</w:t>
      </w:r>
      <w:r>
        <w:br/>
      </w:r>
      <w:r>
        <w:rPr>
          <w:rStyle w:val="NormalTok"/>
        </w:rPr>
        <w:t xml:space="preserve">exclude_region </w:t>
      </w:r>
      <w:r>
        <w:rPr>
          <w:rStyle w:val="OperatorTok"/>
        </w:rPr>
        <w:t xml:space="preserve">=</w:t>
      </w:r>
      <w:r>
        <w:rPr>
          <w:rStyle w:val="NormalTok"/>
        </w:rPr>
        <w:t xml:space="preserve"> </w:t>
      </w:r>
      <w:r>
        <w:rPr>
          <w:rStyle w:val="OperatorTok"/>
        </w:rPr>
        <w:t xml:space="preserve">~</w:t>
      </w:r>
      <w:r>
        <w:rPr>
          <w:rStyle w:val="NormalTok"/>
        </w:rPr>
        <w:t xml:space="preserve">samples[</w:t>
      </w:r>
      <w:r>
        <w:rPr>
          <w:rStyle w:val="StringTok"/>
        </w:rPr>
        <w:t xml:space="preserve">"Bundesland"</w:t>
      </w:r>
      <w:r>
        <w:rPr>
          <w:rStyle w:val="NormalTok"/>
        </w:rPr>
        <w:t xml:space="preserve">].isin([</w:t>
      </w:r>
      <w:r>
        <w:rPr>
          <w:rStyle w:val="StringTok"/>
        </w:rPr>
        <w:t xml:space="preserve">"Wien"</w:t>
      </w:r>
      <w:r>
        <w:rPr>
          <w:rStyle w:val="NormalTok"/>
        </w:rPr>
        <w:t xml:space="preserve">, </w:t>
      </w:r>
      <w:r>
        <w:rPr>
          <w:rStyle w:val="StringTok"/>
        </w:rPr>
        <w:t xml:space="preserve">"Salzburg"</w:t>
      </w:r>
      <w:r>
        <w:rPr>
          <w:rStyle w:val="NormalTok"/>
        </w:rPr>
        <w:t xml:space="preserve">])</w:t>
      </w:r>
      <w:r>
        <w:br/>
      </w:r>
      <w:r>
        <w:rPr>
          <w:rStyle w:val="NormalTok"/>
        </w:rPr>
        <w:t xml:space="preserve">exclude_any </w:t>
      </w:r>
      <w:r>
        <w:rPr>
          <w:rStyle w:val="OperatorTok"/>
        </w:rPr>
        <w:t xml:space="preserve">=</w:t>
      </w:r>
      <w:r>
        <w:rPr>
          <w:rStyle w:val="NormalTok"/>
        </w:rPr>
        <w:t xml:space="preserve"> exclude_usage </w:t>
      </w:r>
      <w:r>
        <w:rPr>
          <w:rStyle w:val="OperatorTok"/>
        </w:rPr>
        <w:t xml:space="preserve">|</w:t>
      </w:r>
      <w:r>
        <w:rPr>
          <w:rStyle w:val="NormalTok"/>
        </w:rPr>
        <w:t xml:space="preserve"> exclude_numeric </w:t>
      </w:r>
      <w:r>
        <w:rPr>
          <w:rStyle w:val="OperatorTok"/>
        </w:rPr>
        <w:t xml:space="preserve">|</w:t>
      </w:r>
      <w:r>
        <w:rPr>
          <w:rStyle w:val="NormalTok"/>
        </w:rPr>
        <w:t xml:space="preserve"> exclude_max </w:t>
      </w:r>
      <w:r>
        <w:rPr>
          <w:rStyle w:val="OperatorTok"/>
        </w:rPr>
        <w:t xml:space="preserve">|</w:t>
      </w:r>
      <w:r>
        <w:rPr>
          <w:rStyle w:val="NormalTok"/>
        </w:rPr>
        <w:t xml:space="preserve"> exclude_region</w:t>
      </w:r>
      <w:r>
        <w:br/>
      </w:r>
      <w:r>
        <w:br/>
      </w:r>
      <w:r>
        <w:rPr>
          <w:rStyle w:val="NormalTok"/>
        </w:rPr>
        <w:t xml:space="preserve">selection_report </w:t>
      </w:r>
      <w:r>
        <w:rPr>
          <w:rStyle w:val="OperatorTok"/>
        </w:rPr>
        <w:t xml:space="preserve">=</w:t>
      </w:r>
      <w:r>
        <w:rPr>
          <w:rStyle w:val="NormalTok"/>
        </w:rPr>
        <w:t xml:space="preserve"> pd.Series({</w:t>
      </w:r>
      <w:r>
        <w:br/>
      </w:r>
      <w:r>
        <w:rPr>
          <w:rStyle w:val="NormalTok"/>
        </w:rPr>
        <w:t xml:space="preserve">    </w:t>
      </w:r>
      <w:r>
        <w:rPr>
          <w:rStyle w:val="StringTok"/>
        </w:rPr>
        <w:t xml:space="preserve">"Originale Gebäudezeilen"</w:t>
      </w:r>
      <w:r>
        <w:rPr>
          <w:rStyle w:val="NormalTok"/>
        </w:rPr>
        <w:t xml:space="preserve">: </w:t>
      </w:r>
      <w:r>
        <w:rPr>
          <w:rStyle w:val="BuiltInTok"/>
        </w:rPr>
        <w:t xml:space="preserve">len</w:t>
      </w:r>
      <w:r>
        <w:rPr>
          <w:rStyle w:val="NormalTok"/>
        </w:rPr>
        <w:t xml:space="preserve">(samples),</w:t>
      </w:r>
      <w:r>
        <w:br/>
      </w:r>
      <w:r>
        <w:rPr>
          <w:rStyle w:val="NormalTok"/>
        </w:rPr>
        <w:t xml:space="preserve">    </w:t>
      </w:r>
      <w:r>
        <w:rPr>
          <w:rStyle w:val="StringTok"/>
        </w:rPr>
        <w:t xml:space="preserve">"Nicht abgedeckte Nutzungen"</w:t>
      </w:r>
      <w:r>
        <w:rPr>
          <w:rStyle w:val="NormalTok"/>
        </w:rPr>
        <w:t xml:space="preserve">: </w:t>
      </w:r>
      <w:r>
        <w:rPr>
          <w:rStyle w:val="BuiltInTok"/>
        </w:rPr>
        <w:t xml:space="preserve">int</w:t>
      </w:r>
      <w:r>
        <w:rPr>
          <w:rStyle w:val="NormalTok"/>
        </w:rPr>
        <w:t xml:space="preserve">(exclude_usage.</w:t>
      </w:r>
      <w:r>
        <w:rPr>
          <w:rStyle w:val="BuiltInTok"/>
        </w:rPr>
        <w:t xml:space="preserve">sum</w:t>
      </w:r>
      <w:r>
        <w:rPr>
          <w:rStyle w:val="NormalTok"/>
        </w:rPr>
        <w:t xml:space="preserve">()),</w:t>
      </w:r>
      <w:r>
        <w:br/>
      </w:r>
      <w:r>
        <w:rPr>
          <w:rStyle w:val="NormalTok"/>
        </w:rPr>
        <w:t xml:space="preserve">    </w:t>
      </w:r>
      <w:r>
        <w:rPr>
          <w:rStyle w:val="StringTok"/>
        </w:rPr>
        <w:t xml:space="preserve">"Ungültige GFZ/BGF"</w:t>
      </w:r>
      <w:r>
        <w:rPr>
          <w:rStyle w:val="NormalTok"/>
        </w:rPr>
        <w:t xml:space="preserve">: </w:t>
      </w:r>
      <w:r>
        <w:rPr>
          <w:rStyle w:val="BuiltInTok"/>
        </w:rPr>
        <w:t xml:space="preserve">int</w:t>
      </w:r>
      <w:r>
        <w:rPr>
          <w:rStyle w:val="NormalTok"/>
        </w:rPr>
        <w:t xml:space="preserve">(exclude_numeric.</w:t>
      </w:r>
      <w:r>
        <w:rPr>
          <w:rStyle w:val="BuiltInTok"/>
        </w:rPr>
        <w:t xml:space="preserve">sum</w:t>
      </w:r>
      <w:r>
        <w:rPr>
          <w:rStyle w:val="NormalTok"/>
        </w:rPr>
        <w:t xml:space="preserve">()),</w:t>
      </w:r>
      <w:r>
        <w:br/>
      </w:r>
      <w:r>
        <w:rPr>
          <w:rStyle w:val="NormalTok"/>
        </w:rPr>
        <w:t xml:space="preserve">    </w:t>
      </w:r>
      <w:r>
        <w:rPr>
          <w:rStyle w:val="StringTok"/>
        </w:rPr>
        <w:t xml:space="preserve">"GFZ über Modellgrenze"</w:t>
      </w:r>
      <w:r>
        <w:rPr>
          <w:rStyle w:val="NormalTok"/>
        </w:rPr>
        <w:t xml:space="preserve">: </w:t>
      </w:r>
      <w:r>
        <w:rPr>
          <w:rStyle w:val="BuiltInTok"/>
        </w:rPr>
        <w:t xml:space="preserve">int</w:t>
      </w:r>
      <w:r>
        <w:rPr>
          <w:rStyle w:val="NormalTok"/>
        </w:rPr>
        <w:t xml:space="preserve">(exclude_max.</w:t>
      </w:r>
      <w:r>
        <w:rPr>
          <w:rStyle w:val="BuiltInTok"/>
        </w:rPr>
        <w:t xml:space="preserve">sum</w:t>
      </w:r>
      <w:r>
        <w:rPr>
          <w:rStyle w:val="NormalTok"/>
        </w:rPr>
        <w:t xml:space="preserve">()),</w:t>
      </w:r>
      <w:r>
        <w:br/>
      </w:r>
      <w:r>
        <w:rPr>
          <w:rStyle w:val="NormalTok"/>
        </w:rPr>
        <w:t xml:space="preserve">    </w:t>
      </w:r>
      <w:r>
        <w:rPr>
          <w:rStyle w:val="StringTok"/>
        </w:rPr>
        <w:t xml:space="preserve">"Andere Referenzregionen"</w:t>
      </w:r>
      <w:r>
        <w:rPr>
          <w:rStyle w:val="NormalTok"/>
        </w:rPr>
        <w:t xml:space="preserve">: </w:t>
      </w:r>
      <w:r>
        <w:rPr>
          <w:rStyle w:val="BuiltInTok"/>
        </w:rPr>
        <w:t xml:space="preserve">int</w:t>
      </w:r>
      <w:r>
        <w:rPr>
          <w:rStyle w:val="NormalTok"/>
        </w:rPr>
        <w:t xml:space="preserve">(exclude_region.</w:t>
      </w:r>
      <w:r>
        <w:rPr>
          <w:rStyle w:val="BuiltInTok"/>
        </w:rPr>
        <w:t xml:space="preserve">sum</w:t>
      </w:r>
      <w:r>
        <w:rPr>
          <w:rStyle w:val="NormalTok"/>
        </w:rPr>
        <w:t xml:space="preserve">()),</w:t>
      </w:r>
      <w:r>
        <w:br/>
      </w:r>
      <w:r>
        <w:rPr>
          <w:rStyle w:val="NormalTok"/>
        </w:rPr>
        <w:t xml:space="preserve">    </w:t>
      </w:r>
      <w:r>
        <w:rPr>
          <w:rStyle w:val="StringTok"/>
        </w:rPr>
        <w:t xml:space="preserve">"Entfallene Zeilen (Vereinigung)"</w:t>
      </w:r>
      <w:r>
        <w:rPr>
          <w:rStyle w:val="NormalTok"/>
        </w:rPr>
        <w:t xml:space="preserve">: </w:t>
      </w:r>
      <w:r>
        <w:rPr>
          <w:rStyle w:val="BuiltInTok"/>
        </w:rPr>
        <w:t xml:space="preserve">int</w:t>
      </w:r>
      <w:r>
        <w:rPr>
          <w:rStyle w:val="NormalTok"/>
        </w:rPr>
        <w:t xml:space="preserve">(exclude_any.</w:t>
      </w:r>
      <w:r>
        <w:rPr>
          <w:rStyle w:val="BuiltInTok"/>
        </w:rPr>
        <w:t xml:space="preserve">sum</w:t>
      </w:r>
      <w:r>
        <w:rPr>
          <w:rStyle w:val="NormalTok"/>
        </w:rPr>
        <w:t xml:space="preserve">()),</w:t>
      </w:r>
      <w:r>
        <w:br/>
      </w:r>
      <w:r>
        <w:rPr>
          <w:rStyle w:val="NormalTok"/>
        </w:rPr>
        <w:t xml:space="preserve">    </w:t>
      </w:r>
      <w:r>
        <w:rPr>
          <w:rStyle w:val="StringTok"/>
        </w:rPr>
        <w:t xml:space="preserve">"Verwendete Referenzgebäude"</w:t>
      </w:r>
      <w:r>
        <w:rPr>
          <w:rStyle w:val="NormalTok"/>
        </w:rPr>
        <w:t xml:space="preserve">: </w:t>
      </w:r>
      <w:r>
        <w:rPr>
          <w:rStyle w:val="BuiltInTok"/>
        </w:rPr>
        <w:t xml:space="preserve">int</w:t>
      </w:r>
      <w:r>
        <w:rPr>
          <w:rStyle w:val="NormalTok"/>
        </w:rPr>
        <w:t xml:space="preserve">((</w:t>
      </w:r>
      <w:r>
        <w:rPr>
          <w:rStyle w:val="OperatorTok"/>
        </w:rPr>
        <w:t xml:space="preserve">~</w:t>
      </w:r>
      <w:r>
        <w:rPr>
          <w:rStyle w:val="NormalTok"/>
        </w:rPr>
        <w:t xml:space="preserve">exclude_any).</w:t>
      </w:r>
      <w:r>
        <w:rPr>
          <w:rStyle w:val="BuiltInTok"/>
        </w:rPr>
        <w:t xml:space="preserve">sum</w:t>
      </w:r>
      <w:r>
        <w:rPr>
          <w:rStyle w:val="NormalTok"/>
        </w:rPr>
        <w:t xml:space="preserve">()),</w:t>
      </w:r>
      <w:r>
        <w:br/>
      </w:r>
      <w:r>
        <w:rPr>
          <w:rStyle w:val="NormalTok"/>
        </w:rPr>
        <w:t xml:space="preserve">}, name</w:t>
      </w:r>
      <w:r>
        <w:rPr>
          <w:rStyle w:val="OperatorTok"/>
        </w:rPr>
        <w:t xml:space="preserve">=</w:t>
      </w:r>
      <w:r>
        <w:rPr>
          <w:rStyle w:val="StringTok"/>
        </w:rPr>
        <w:t xml:space="preserve">"Anzahl"</w:t>
      </w:r>
      <w:r>
        <w:rPr>
          <w:rStyle w:val="NormalTok"/>
        </w:rPr>
        <w:t xml:space="preserve">)</w:t>
      </w:r>
      <w:r>
        <w:br/>
      </w:r>
      <w:r>
        <w:rPr>
          <w:rStyle w:val="NormalTok"/>
        </w:rPr>
        <w:t xml:space="preserve">display(selection_report.to_frame())</w:t>
      </w:r>
      <w:r>
        <w:br/>
      </w:r>
      <w:r>
        <w:rPr>
          <w:rStyle w:val="NormalTok"/>
        </w:rPr>
        <w:t xml:space="preserve">samples </w:t>
      </w:r>
      <w:r>
        <w:rPr>
          <w:rStyle w:val="OperatorTok"/>
        </w:rPr>
        <w:t xml:space="preserve">=</w:t>
      </w:r>
      <w:r>
        <w:rPr>
          <w:rStyle w:val="NormalTok"/>
        </w:rPr>
        <w:t xml:space="preserve"> samples.loc[</w:t>
      </w:r>
      <w:r>
        <w:rPr>
          <w:rStyle w:val="OperatorTok"/>
        </w:rPr>
        <w:t xml:space="preserve">~</w:t>
      </w:r>
      <w:r>
        <w:rPr>
          <w:rStyle w:val="NormalTok"/>
        </w:rPr>
        <w:t xml:space="preserve">exclude_any].copy()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Anzahl</w:t>
            </w:r>
          </w:p>
        </w:tc>
      </w:tr>
      <w:tr>
        <w:tc>
          <w:tcPr/>
          <w:p>
            <w:pPr>
              <w:pStyle w:val="Compact"/>
            </w:pPr>
            <w:r>
              <w:t xml:space="preserve">Originale Gebäudezeilen</w:t>
            </w:r>
          </w:p>
        </w:tc>
        <w:tc>
          <w:tcPr/>
          <w:p>
            <w:pPr>
              <w:pStyle w:val="Compact"/>
            </w:pPr>
            <w:r>
              <w:t xml:space="preserve">170163</w:t>
            </w:r>
          </w:p>
        </w:tc>
      </w:tr>
      <w:tr>
        <w:tc>
          <w:tcPr/>
          <w:p>
            <w:pPr>
              <w:pStyle w:val="Compact"/>
            </w:pPr>
            <w:r>
              <w:t xml:space="preserve">Nicht abgedeckte Nutzungen</w:t>
            </w:r>
          </w:p>
        </w:tc>
        <w:tc>
          <w:tcPr/>
          <w:p>
            <w:pPr>
              <w:pStyle w:val="Compact"/>
            </w:pPr>
            <w:r>
              <w:t xml:space="preserve">11811</w:t>
            </w:r>
          </w:p>
        </w:tc>
      </w:tr>
      <w:tr>
        <w:tc>
          <w:tcPr/>
          <w:p>
            <w:pPr>
              <w:pStyle w:val="Compact"/>
            </w:pPr>
            <w:r>
              <w:t xml:space="preserve">Ungültige GFZ/BGF</w:t>
            </w:r>
          </w:p>
        </w:tc>
        <w:tc>
          <w:tcPr/>
          <w:p>
            <w:pPr>
              <w:pStyle w:val="Compact"/>
            </w:pPr>
            <w:r>
              <w:t xml:space="preserve">0</w:t>
            </w:r>
          </w:p>
        </w:tc>
      </w:tr>
      <w:tr>
        <w:tc>
          <w:tcPr/>
          <w:p>
            <w:pPr>
              <w:pStyle w:val="Compact"/>
            </w:pPr>
            <w:r>
              <w:t xml:space="preserve">GFZ über Modellgrenze</w:t>
            </w:r>
          </w:p>
        </w:tc>
        <w:tc>
          <w:tcPr/>
          <w:p>
            <w:pPr>
              <w:pStyle w:val="Compact"/>
            </w:pPr>
            <w:r>
              <w:t xml:space="preserve">2</w:t>
            </w:r>
          </w:p>
        </w:tc>
      </w:tr>
      <w:tr>
        <w:tc>
          <w:tcPr/>
          <w:p>
            <w:pPr>
              <w:pStyle w:val="Compact"/>
            </w:pPr>
            <w:r>
              <w:t xml:space="preserve">Andere Referenzregionen</w:t>
            </w:r>
          </w:p>
        </w:tc>
        <w:tc>
          <w:tcPr/>
          <w:p>
            <w:pPr>
              <w:pStyle w:val="Compact"/>
            </w:pPr>
            <w:r>
              <w:t xml:space="preserve">0</w:t>
            </w:r>
          </w:p>
        </w:tc>
      </w:tr>
      <w:tr>
        <w:tc>
          <w:tcPr/>
          <w:p>
            <w:pPr>
              <w:pStyle w:val="Compact"/>
            </w:pPr>
            <w:r>
              <w:t xml:space="preserve">Entfallene Zeilen (Vereinigung)</w:t>
            </w:r>
          </w:p>
        </w:tc>
        <w:tc>
          <w:tcPr/>
          <w:p>
            <w:pPr>
              <w:pStyle w:val="Compact"/>
            </w:pPr>
            <w:r>
              <w:t xml:space="preserve">11813</w:t>
            </w:r>
          </w:p>
        </w:tc>
      </w:tr>
      <w:tr>
        <w:tc>
          <w:tcPr/>
          <w:p>
            <w:pPr>
              <w:pStyle w:val="Compact"/>
            </w:pPr>
            <w:r>
              <w:t xml:space="preserve">Verwendete Referenzgebäude</w:t>
            </w:r>
          </w:p>
        </w:tc>
        <w:tc>
          <w:tcPr/>
          <w:p>
            <w:pPr>
              <w:pStyle w:val="Compact"/>
            </w:pPr>
            <w:r>
              <w:t xml:space="preserve">158350</w:t>
            </w:r>
          </w:p>
        </w:tc>
      </w:tr>
    </w:tbl>
    <w:bookmarkStart w:id="458" w:name="X0404eba28a28679dd385ba6150731f997d58c8d"/>
    <w:p>
      <w:pPr>
        <w:pStyle w:val="Heading3"/>
      </w:pPr>
      <w:r>
        <w:t xml:space="preserve">C.2.1 Deskriptive Auswertung der Referenzstichproben</w:t>
      </w:r>
    </w:p>
    <w:p>
      <w:pPr>
        <w:pStyle w:val="FirstParagraph"/>
      </w:pPr>
      <w:r>
        <w:t xml:space="preserve">Die nachfolgenden Tabellen berichten</w:t>
      </w:r>
      <w:r>
        <w:t xml:space="preserve"> </w:t>
      </w:r>
      <w:r>
        <w:rPr>
          <w:b/>
          <w:bCs/>
        </w:rPr>
        <w:t xml:space="preserve">Gebäudezahlen, erfasste BGF und GFZ</w:t>
      </w:r>
      <w:r>
        <w:t xml:space="preserve"> </w:t>
      </w:r>
      <w:r>
        <w:t xml:space="preserve">der zwei Stichproben. Sie sind keine bundesweiten Gebäudeflächen. Die mittlere GFZ wird mit der BGF der Einzelgebäude gewichtet; dadurch entspricht sie dem Flächenbezug der späteren KDE. Die zusätzlich angegebenen Quartile sind ungewichtete Quantile der einzelnen Gebäude und dienen ausschließlich der Stichprobenbeschreibung.</w:t>
      </w:r>
    </w:p>
    <w:p>
      <w:pPr>
        <w:pStyle w:val="SourceCode"/>
      </w:pPr>
      <w:r>
        <w:rPr>
          <w:rStyle w:val="CommentTok"/>
        </w:rPr>
        <w:t xml:space="preserve"># Überblick nach Referenzregion und Nutzung</w:t>
      </w:r>
      <w:r>
        <w:br/>
      </w:r>
      <w:r>
        <w:rPr>
          <w:rStyle w:val="NormalTok"/>
        </w:rPr>
        <w:t xml:space="preserve">samples_desc </w:t>
      </w:r>
      <w:r>
        <w:rPr>
          <w:rStyle w:val="OperatorTok"/>
        </w:rPr>
        <w:t xml:space="preserve">=</w:t>
      </w:r>
      <w:r>
        <w:rPr>
          <w:rStyle w:val="NormalTok"/>
        </w:rPr>
        <w:t xml:space="preserve"> (samples.groupby([</w:t>
      </w:r>
      <w:r>
        <w:rPr>
          <w:rStyle w:val="StringTok"/>
        </w:rPr>
        <w:t xml:space="preserve">"Bundesland"</w:t>
      </w:r>
      <w:r>
        <w:rPr>
          <w:rStyle w:val="NormalTok"/>
        </w:rPr>
        <w:t xml:space="preserve">, </w:t>
      </w:r>
      <w:r>
        <w:rPr>
          <w:rStyle w:val="StringTok"/>
        </w:rPr>
        <w:t xml:space="preserve">"GWR_Nutzung"</w:t>
      </w:r>
      <w:r>
        <w:rPr>
          <w:rStyle w:val="NormalTok"/>
        </w:rPr>
        <w:t xml:space="preserve">], observed</w:t>
      </w:r>
      <w:r>
        <w:rPr>
          <w:rStyle w:val="OperatorTok"/>
        </w:rPr>
        <w:t xml:space="preserve">=</w:t>
      </w:r>
      <w:r>
        <w:rPr>
          <w:rStyle w:val="VariableTok"/>
        </w:rPr>
        <w:t xml:space="preserve">True</w:t>
      </w:r>
      <w:r>
        <w:rPr>
          <w:rStyle w:val="NormalTok"/>
        </w:rPr>
        <w:t xml:space="preserve">)</w:t>
      </w:r>
      <w:r>
        <w:br/>
      </w:r>
      <w:r>
        <w:rPr>
          <w:rStyle w:val="NormalTok"/>
        </w:rPr>
        <w:t xml:space="preserve">    .agg(Gebaeude</w:t>
      </w:r>
      <w:r>
        <w:rPr>
          <w:rStyle w:val="OperatorTok"/>
        </w:rPr>
        <w:t xml:space="preserve">=</w:t>
      </w:r>
      <w:r>
        <w:rPr>
          <w:rStyle w:val="NormalTok"/>
        </w:rPr>
        <w:t xml:space="preserve">(</w:t>
      </w:r>
      <w:r>
        <w:rPr>
          <w:rStyle w:val="StringTok"/>
        </w:rPr>
        <w:t xml:space="preserve">"GFZ"</w:t>
      </w:r>
      <w:r>
        <w:rPr>
          <w:rStyle w:val="NormalTok"/>
        </w:rPr>
        <w:t xml:space="preserve">, </w:t>
      </w:r>
      <w:r>
        <w:rPr>
          <w:rStyle w:val="StringTok"/>
        </w:rPr>
        <w:t xml:space="preserve">"size"</w:t>
      </w:r>
      <w:r>
        <w:rPr>
          <w:rStyle w:val="NormalTok"/>
        </w:rPr>
        <w:t xml:space="preserve">), BGF_m2</w:t>
      </w:r>
      <w:r>
        <w:rPr>
          <w:rStyle w:val="OperatorTok"/>
        </w:rPr>
        <w:t xml:space="preserve">=</w:t>
      </w:r>
      <w:r>
        <w:rPr>
          <w:rStyle w:val="NormalTok"/>
        </w:rPr>
        <w:t xml:space="preserve">(</w:t>
      </w:r>
      <w:r>
        <w:rPr>
          <w:rStyle w:val="StringTok"/>
        </w:rPr>
        <w:t xml:space="preserve">"BGF"</w:t>
      </w:r>
      <w:r>
        <w:rPr>
          <w:rStyle w:val="NormalTok"/>
        </w:rPr>
        <w:t xml:space="preserve">, </w:t>
      </w:r>
      <w:r>
        <w:rPr>
          <w:rStyle w:val="StringTok"/>
        </w:rPr>
        <w:t xml:space="preserve">"sum"</w:t>
      </w:r>
      <w:r>
        <w:rPr>
          <w:rStyle w:val="NormalTok"/>
        </w:rPr>
        <w:t xml:space="preserve">),</w:t>
      </w:r>
      <w:r>
        <w:br/>
      </w:r>
      <w:r>
        <w:rPr>
          <w:rStyle w:val="NormalTok"/>
        </w:rPr>
        <w:t xml:space="preserve">         GFZ_Median</w:t>
      </w:r>
      <w:r>
        <w:rPr>
          <w:rStyle w:val="OperatorTok"/>
        </w:rPr>
        <w:t xml:space="preserve">=</w:t>
      </w:r>
      <w:r>
        <w:rPr>
          <w:rStyle w:val="NormalTok"/>
        </w:rPr>
        <w:t xml:space="preserve">(</w:t>
      </w:r>
      <w:r>
        <w:rPr>
          <w:rStyle w:val="StringTok"/>
        </w:rPr>
        <w:t xml:space="preserve">"GFZ"</w:t>
      </w:r>
      <w:r>
        <w:rPr>
          <w:rStyle w:val="NormalTok"/>
        </w:rPr>
        <w:t xml:space="preserve">, </w:t>
      </w:r>
      <w:r>
        <w:rPr>
          <w:rStyle w:val="StringTok"/>
        </w:rPr>
        <w:t xml:space="preserve">"median"</w:t>
      </w:r>
      <w:r>
        <w:rPr>
          <w:rStyle w:val="NormalTok"/>
        </w:rPr>
        <w:t xml:space="preserve">), GFZ_P25</w:t>
      </w:r>
      <w:r>
        <w:rPr>
          <w:rStyle w:val="OperatorTok"/>
        </w:rPr>
        <w:t xml:space="preserve">=</w:t>
      </w:r>
      <w:r>
        <w:rPr>
          <w:rStyle w:val="NormalTok"/>
        </w:rPr>
        <w:t xml:space="preserve">(</w:t>
      </w:r>
      <w:r>
        <w:rPr>
          <w:rStyle w:val="StringTok"/>
        </w:rPr>
        <w:t xml:space="preserve">"GFZ"</w:t>
      </w:r>
      <w:r>
        <w:rPr>
          <w:rStyle w:val="NormalTok"/>
        </w:rPr>
        <w:t xml:space="preserve">, </w:t>
      </w:r>
      <w:r>
        <w:rPr>
          <w:rStyle w:val="KeywordTok"/>
        </w:rPr>
        <w:t xml:space="preserve">lambda</w:t>
      </w:r>
      <w:r>
        <w:rPr>
          <w:rStyle w:val="NormalTok"/>
        </w:rPr>
        <w:t xml:space="preserve"> x: x.quantile(</w:t>
      </w:r>
      <w:r>
        <w:rPr>
          <w:rStyle w:val="FloatTok"/>
        </w:rPr>
        <w:t xml:space="preserve">.25</w:t>
      </w:r>
      <w:r>
        <w:rPr>
          <w:rStyle w:val="NormalTok"/>
        </w:rPr>
        <w:t xml:space="preserve">)),</w:t>
      </w:r>
      <w:r>
        <w:br/>
      </w:r>
      <w:r>
        <w:rPr>
          <w:rStyle w:val="NormalTok"/>
        </w:rPr>
        <w:t xml:space="preserve">         GFZ_P75</w:t>
      </w:r>
      <w:r>
        <w:rPr>
          <w:rStyle w:val="OperatorTok"/>
        </w:rPr>
        <w:t xml:space="preserve">=</w:t>
      </w:r>
      <w:r>
        <w:rPr>
          <w:rStyle w:val="NormalTok"/>
        </w:rPr>
        <w:t xml:space="preserve">(</w:t>
      </w:r>
      <w:r>
        <w:rPr>
          <w:rStyle w:val="StringTok"/>
        </w:rPr>
        <w:t xml:space="preserve">"GFZ"</w:t>
      </w:r>
      <w:r>
        <w:rPr>
          <w:rStyle w:val="NormalTok"/>
        </w:rPr>
        <w:t xml:space="preserve">, </w:t>
      </w:r>
      <w:r>
        <w:rPr>
          <w:rStyle w:val="KeywordTok"/>
        </w:rPr>
        <w:t xml:space="preserve">lambda</w:t>
      </w:r>
      <w:r>
        <w:rPr>
          <w:rStyle w:val="NormalTok"/>
        </w:rPr>
        <w:t xml:space="preserve"> x: x.quantile(</w:t>
      </w:r>
      <w:r>
        <w:rPr>
          <w:rStyle w:val="FloatTok"/>
        </w:rPr>
        <w:t xml:space="preserve">.75</w:t>
      </w:r>
      <w:r>
        <w:rPr>
          <w:rStyle w:val="NormalTok"/>
        </w:rPr>
        <w:t xml:space="preserve">))).reset_index())</w:t>
      </w:r>
      <w:r>
        <w:br/>
      </w:r>
      <w:r>
        <w:rPr>
          <w:rStyle w:val="NormalTok"/>
        </w:rPr>
        <w:t xml:space="preserve">weighted_gfz </w:t>
      </w:r>
      <w:r>
        <w:rPr>
          <w:rStyle w:val="OperatorTok"/>
        </w:rPr>
        <w:t xml:space="preserve">=</w:t>
      </w:r>
      <w:r>
        <w:rPr>
          <w:rStyle w:val="NormalTok"/>
        </w:rPr>
        <w:t xml:space="preserve"> (samples.assign(GFZ_x_BGF</w:t>
      </w:r>
      <w:r>
        <w:rPr>
          <w:rStyle w:val="OperatorTok"/>
        </w:rPr>
        <w:t xml:space="preserve">=</w:t>
      </w:r>
      <w:r>
        <w:rPr>
          <w:rStyle w:val="NormalTok"/>
        </w:rPr>
        <w:t xml:space="preserve">samples.GFZ </w:t>
      </w:r>
      <w:r>
        <w:rPr>
          <w:rStyle w:val="OperatorTok"/>
        </w:rPr>
        <w:t xml:space="preserve">*</w:t>
      </w:r>
      <w:r>
        <w:rPr>
          <w:rStyle w:val="NormalTok"/>
        </w:rPr>
        <w:t xml:space="preserve"> samples.BGF)</w:t>
      </w:r>
      <w:r>
        <w:br/>
      </w:r>
      <w:r>
        <w:rPr>
          <w:rStyle w:val="NormalTok"/>
        </w:rPr>
        <w:t xml:space="preserve">    .groupby([</w:t>
      </w:r>
      <w:r>
        <w:rPr>
          <w:rStyle w:val="StringTok"/>
        </w:rPr>
        <w:t xml:space="preserve">"Bundesland"</w:t>
      </w:r>
      <w:r>
        <w:rPr>
          <w:rStyle w:val="NormalTok"/>
        </w:rPr>
        <w:t xml:space="preserve">, </w:t>
      </w:r>
      <w:r>
        <w:rPr>
          <w:rStyle w:val="StringTok"/>
        </w:rPr>
        <w:t xml:space="preserve">"GWR_Nutzung"</w:t>
      </w:r>
      <w:r>
        <w:rPr>
          <w:rStyle w:val="NormalTok"/>
        </w:rPr>
        <w:t xml:space="preserve">])[[</w:t>
      </w:r>
      <w:r>
        <w:rPr>
          <w:rStyle w:val="StringTok"/>
        </w:rPr>
        <w:t xml:space="preserve">"GFZ_x_BGF"</w:t>
      </w:r>
      <w:r>
        <w:rPr>
          <w:rStyle w:val="NormalTok"/>
        </w:rPr>
        <w:t xml:space="preserve">, </w:t>
      </w:r>
      <w:r>
        <w:rPr>
          <w:rStyle w:val="StringTok"/>
        </w:rPr>
        <w:t xml:space="preserve">"BGF"</w:t>
      </w:r>
      <w:r>
        <w:rPr>
          <w:rStyle w:val="NormalTok"/>
        </w:rPr>
        <w:t xml:space="preserve">]].</w:t>
      </w:r>
      <w:r>
        <w:rPr>
          <w:rStyle w:val="BuiltInTok"/>
        </w:rPr>
        <w:t xml:space="preserve">sum</w:t>
      </w:r>
      <w:r>
        <w:rPr>
          <w:rStyle w:val="NormalTok"/>
        </w:rPr>
        <w:t xml:space="preserve">())</w:t>
      </w:r>
      <w:r>
        <w:br/>
      </w:r>
      <w:r>
        <w:rPr>
          <w:rStyle w:val="NormalTok"/>
        </w:rPr>
        <w:t xml:space="preserve">weighted_gfz </w:t>
      </w:r>
      <w:r>
        <w:rPr>
          <w:rStyle w:val="OperatorTok"/>
        </w:rPr>
        <w:t xml:space="preserve">=</w:t>
      </w:r>
      <w:r>
        <w:rPr>
          <w:rStyle w:val="NormalTok"/>
        </w:rPr>
        <w:t xml:space="preserve"> (weighted_gfz.GFZ_x_BGF </w:t>
      </w:r>
      <w:r>
        <w:rPr>
          <w:rStyle w:val="OperatorTok"/>
        </w:rPr>
        <w:t xml:space="preserve">/</w:t>
      </w:r>
      <w:r>
        <w:rPr>
          <w:rStyle w:val="NormalTok"/>
        </w:rPr>
        <w:t xml:space="preserve"> weighted_gfz.BGF).rename(</w:t>
      </w:r>
      <w:r>
        <w:rPr>
          <w:rStyle w:val="StringTok"/>
        </w:rPr>
        <w:t xml:space="preserve">"GFZ_flächengewichtet"</w:t>
      </w:r>
      <w:r>
        <w:rPr>
          <w:rStyle w:val="NormalTok"/>
        </w:rPr>
        <w:t xml:space="preserve">)</w:t>
      </w:r>
      <w:r>
        <w:br/>
      </w:r>
      <w:r>
        <w:rPr>
          <w:rStyle w:val="NormalTok"/>
        </w:rPr>
        <w:t xml:space="preserve">samples_desc </w:t>
      </w:r>
      <w:r>
        <w:rPr>
          <w:rStyle w:val="OperatorTok"/>
        </w:rPr>
        <w:t xml:space="preserve">=</w:t>
      </w:r>
      <w:r>
        <w:rPr>
          <w:rStyle w:val="NormalTok"/>
        </w:rPr>
        <w:t xml:space="preserve"> samples_desc.merge(weighted_gfz.reset_index(), on</w:t>
      </w:r>
      <w:r>
        <w:rPr>
          <w:rStyle w:val="OperatorTok"/>
        </w:rPr>
        <w:t xml:space="preserve">=</w:t>
      </w:r>
      <w:r>
        <w:rPr>
          <w:rStyle w:val="NormalTok"/>
        </w:rPr>
        <w:t xml:space="preserve">[</w:t>
      </w:r>
      <w:r>
        <w:rPr>
          <w:rStyle w:val="StringTok"/>
        </w:rPr>
        <w:t xml:space="preserve">"Bundesland"</w:t>
      </w:r>
      <w:r>
        <w:rPr>
          <w:rStyle w:val="NormalTok"/>
        </w:rPr>
        <w:t xml:space="preserve">, </w:t>
      </w:r>
      <w:r>
        <w:rPr>
          <w:rStyle w:val="StringTok"/>
        </w:rPr>
        <w:t xml:space="preserve">"GWR_Nutzung"</w:t>
      </w:r>
      <w:r>
        <w:rPr>
          <w:rStyle w:val="NormalTok"/>
        </w:rPr>
        <w:t xml:space="preserve">])</w:t>
      </w:r>
      <w:r>
        <w:br/>
      </w:r>
      <w:r>
        <w:rPr>
          <w:rStyle w:val="NormalTok"/>
        </w:rPr>
        <w:t xml:space="preserve">samples_desc[</w:t>
      </w:r>
      <w:r>
        <w:rPr>
          <w:rStyle w:val="StringTok"/>
        </w:rPr>
        <w:t xml:space="preserve">"BGF_Mio_m2"</w:t>
      </w:r>
      <w:r>
        <w:rPr>
          <w:rStyle w:val="NormalTok"/>
        </w:rPr>
        <w:t xml:space="preserve">] </w:t>
      </w:r>
      <w:r>
        <w:rPr>
          <w:rStyle w:val="OperatorTok"/>
        </w:rPr>
        <w:t xml:space="preserve">=</w:t>
      </w:r>
      <w:r>
        <w:rPr>
          <w:rStyle w:val="NormalTok"/>
        </w:rPr>
        <w:t xml:space="preserve"> samples_desc[</w:t>
      </w:r>
      <w:r>
        <w:rPr>
          <w:rStyle w:val="StringTok"/>
        </w:rPr>
        <w:t xml:space="preserve">"BGF_m2"</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display(samples_desc[[</w:t>
      </w:r>
      <w:r>
        <w:rPr>
          <w:rStyle w:val="StringTok"/>
        </w:rPr>
        <w:t xml:space="preserve">"Bundesland"</w:t>
      </w:r>
      <w:r>
        <w:rPr>
          <w:rStyle w:val="NormalTok"/>
        </w:rPr>
        <w:t xml:space="preserve">, </w:t>
      </w:r>
      <w:r>
        <w:rPr>
          <w:rStyle w:val="StringTok"/>
        </w:rPr>
        <w:t xml:space="preserve">"GWR_Nutzung"</w:t>
      </w:r>
      <w:r>
        <w:rPr>
          <w:rStyle w:val="NormalTok"/>
        </w:rPr>
        <w:t xml:space="preserve">, </w:t>
      </w:r>
      <w:r>
        <w:rPr>
          <w:rStyle w:val="StringTok"/>
        </w:rPr>
        <w:t xml:space="preserve">"Gebaeude"</w:t>
      </w:r>
      <w:r>
        <w:rPr>
          <w:rStyle w:val="NormalTok"/>
        </w:rPr>
        <w:t xml:space="preserve">, </w:t>
      </w:r>
      <w:r>
        <w:rPr>
          <w:rStyle w:val="StringTok"/>
        </w:rPr>
        <w:t xml:space="preserve">"BGF_Mio_m2"</w:t>
      </w:r>
      <w:r>
        <w:rPr>
          <w:rStyle w:val="NormalTok"/>
        </w:rPr>
        <w:t xml:space="preserve">,</w:t>
      </w:r>
      <w:r>
        <w:br/>
      </w:r>
      <w:r>
        <w:rPr>
          <w:rStyle w:val="NormalTok"/>
        </w:rPr>
        <w:t xml:space="preserve">                      </w:t>
      </w:r>
      <w:r>
        <w:rPr>
          <w:rStyle w:val="StringTok"/>
        </w:rPr>
        <w:t xml:space="preserve">"GFZ_Median"</w:t>
      </w:r>
      <w:r>
        <w:rPr>
          <w:rStyle w:val="NormalTok"/>
        </w:rPr>
        <w:t xml:space="preserve">, </w:t>
      </w:r>
      <w:r>
        <w:rPr>
          <w:rStyle w:val="StringTok"/>
        </w:rPr>
        <w:t xml:space="preserve">"GFZ_flächengewichtet"</w:t>
      </w:r>
      <w:r>
        <w:rPr>
          <w:rStyle w:val="NormalTok"/>
        </w:rPr>
        <w:t xml:space="preserve">, </w:t>
      </w:r>
      <w:r>
        <w:rPr>
          <w:rStyle w:val="StringTok"/>
        </w:rPr>
        <w:t xml:space="preserve">"GFZ_P25"</w:t>
      </w:r>
      <w:r>
        <w:rPr>
          <w:rStyle w:val="NormalTok"/>
        </w:rPr>
        <w:t xml:space="preserve">, </w:t>
      </w:r>
      <w:r>
        <w:rPr>
          <w:rStyle w:val="StringTok"/>
        </w:rPr>
        <w:t xml:space="preserve">"GFZ_P75"</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Fallzahlen je Referenz-/Geschossklasse (wichtig für Ersatzregel)</w:t>
      </w:r>
      <w:r>
        <w:br/>
      </w:r>
      <w:r>
        <w:rPr>
          <w:rStyle w:val="NormalTok"/>
        </w:rPr>
        <w:t xml:space="preserve">reference_coverage </w:t>
      </w:r>
      <w:r>
        <w:rPr>
          <w:rStyle w:val="OperatorTok"/>
        </w:rPr>
        <w:t xml:space="preserve">=</w:t>
      </w:r>
      <w:r>
        <w:rPr>
          <w:rStyle w:val="NormalTok"/>
        </w:rPr>
        <w:t xml:space="preserve"> samples.groupby([</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]).size().rename(</w:t>
      </w:r>
      <w:r>
        <w:rPr>
          <w:rStyle w:val="StringTok"/>
        </w:rPr>
        <w:t xml:space="preserve">"n"</w:t>
      </w:r>
      <w:r>
        <w:rPr>
          <w:rStyle w:val="NormalTok"/>
        </w:rPr>
        <w:t xml:space="preserve">).reset_index()</w:t>
      </w:r>
      <w:r>
        <w:br/>
      </w:r>
      <w:r>
        <w:rPr>
          <w:rStyle w:val="NormalTok"/>
        </w:rPr>
        <w:t xml:space="preserve">display(reference_coverage.pivot_table(index</w:t>
      </w:r>
      <w:r>
        <w:rPr>
          <w:rStyle w:val="OperatorTok"/>
        </w:rPr>
        <w:t xml:space="preserve">=</w:t>
      </w:r>
      <w:r>
        <w:rPr>
          <w:rStyle w:val="NormalTok"/>
        </w:rPr>
        <w:t xml:space="preserve">[</w:t>
      </w:r>
      <w:r>
        <w:rPr>
          <w:rStyle w:val="StringTok"/>
        </w:rPr>
        <w:t xml:space="preserve">"Bundesland"</w:t>
      </w:r>
      <w:r>
        <w:rPr>
          <w:rStyle w:val="NormalTok"/>
        </w:rPr>
        <w:t xml:space="preserve">, </w:t>
      </w:r>
      <w:r>
        <w:rPr>
          <w:rStyle w:val="StringTok"/>
        </w:rPr>
        <w:t xml:space="preserve">"GK"</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"n"</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).astype(</w:t>
      </w:r>
      <w:r>
        <w:rPr>
          <w:rStyle w:val="BuiltInTok"/>
        </w:rPr>
        <w:t xml:space="preserve">int</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Bundesland</w:t>
            </w:r>
          </w:p>
        </w:tc>
        <w:tc>
          <w:tcPr/>
          <w:p>
            <w:pPr>
              <w:pStyle w:val="Compact"/>
            </w:pPr>
            <w:r>
              <w:t xml:space="preserve">GWR_Nutzung</w:t>
            </w:r>
          </w:p>
        </w:tc>
        <w:tc>
          <w:tcPr/>
          <w:p>
            <w:pPr>
              <w:pStyle w:val="Compact"/>
            </w:pPr>
            <w:r>
              <w:t xml:space="preserve">Gebaeude</w:t>
            </w:r>
          </w:p>
        </w:tc>
        <w:tc>
          <w:tcPr/>
          <w:p>
            <w:pPr>
              <w:pStyle w:val="Compact"/>
            </w:pPr>
            <w:r>
              <w:t xml:space="preserve">BGF_Mio_m2</w:t>
            </w:r>
          </w:p>
        </w:tc>
        <w:tc>
          <w:tcPr/>
          <w:p>
            <w:pPr>
              <w:pStyle w:val="Compact"/>
            </w:pPr>
            <w:r>
              <w:t xml:space="preserve">GFZ_Median</w:t>
            </w:r>
          </w:p>
        </w:tc>
        <w:tc>
          <w:tcPr/>
          <w:p>
            <w:pPr>
              <w:pStyle w:val="Compact"/>
            </w:pPr>
            <w:r>
              <w:t xml:space="preserve">GFZ_flächengewichtet</w:t>
            </w:r>
          </w:p>
        </w:tc>
        <w:tc>
          <w:tcPr/>
          <w:p>
            <w:pPr>
              <w:pStyle w:val="Compact"/>
            </w:pPr>
            <w:r>
              <w:t xml:space="preserve">GFZ_P25</w:t>
            </w:r>
          </w:p>
        </w:tc>
        <w:tc>
          <w:tcPr/>
          <w:p>
            <w:pPr>
              <w:pStyle w:val="Compact"/>
            </w:pPr>
            <w:r>
              <w:t xml:space="preserve">GFZ_P75</w:t>
            </w:r>
          </w:p>
        </w:tc>
      </w:tr>
      <w:tr>
        <w:tc>
          <w:tcPr/>
          <w:p>
            <w:pPr>
              <w:pStyle w:val="Compact"/>
            </w:pPr>
            <w:r>
              <w:t xml:space="preserve">0</w:t>
            </w:r>
          </w:p>
        </w:tc>
        <w:tc>
          <w:tcPr/>
          <w:p>
            <w:pPr>
              <w:pStyle w:val="Compact"/>
            </w:pPr>
            <w:r>
              <w:t xml:space="preserve">Salzburg</w:t>
            </w:r>
          </w:p>
        </w:tc>
        <w:tc>
          <w:tcPr/>
          <w:p>
            <w:pPr>
              <w:pStyle w:val="Compact"/>
            </w:pPr>
            <w:r>
              <w:t xml:space="preserve">Büronutzung</w:t>
            </w:r>
          </w:p>
        </w:tc>
        <w:tc>
          <w:tcPr/>
          <w:p>
            <w:pPr>
              <w:pStyle w:val="Compact"/>
            </w:pPr>
            <w:r>
              <w:t xml:space="preserve">1268</w:t>
            </w:r>
          </w:p>
        </w:tc>
        <w:tc>
          <w:tcPr/>
          <w:p>
            <w:pPr>
              <w:pStyle w:val="Compact"/>
            </w:pPr>
            <w:r>
              <w:t xml:space="preserve">1.770</w:t>
            </w:r>
          </w:p>
        </w:tc>
        <w:tc>
          <w:tcPr/>
          <w:p>
            <w:pPr>
              <w:pStyle w:val="Compact"/>
            </w:pPr>
            <w:r>
              <w:t xml:space="preserve">0.959</w:t>
            </w:r>
          </w:p>
        </w:tc>
        <w:tc>
          <w:tcPr/>
          <w:p>
            <w:pPr>
              <w:pStyle w:val="Compact"/>
            </w:pPr>
            <w:r>
              <w:t xml:space="preserve">1.817</w:t>
            </w:r>
          </w:p>
        </w:tc>
        <w:tc>
          <w:tcPr/>
          <w:p>
            <w:pPr>
              <w:pStyle w:val="Compact"/>
            </w:pPr>
            <w:r>
              <w:t xml:space="preserve">0.598</w:t>
            </w:r>
          </w:p>
        </w:tc>
        <w:tc>
          <w:tcPr/>
          <w:p>
            <w:pPr>
              <w:pStyle w:val="Compact"/>
            </w:pPr>
            <w:r>
              <w:t xml:space="preserve">1.705</w:t>
            </w:r>
          </w:p>
        </w:tc>
      </w:tr>
      <w:tr>
        <w:tc>
          <w:tcPr/>
          <w:p>
            <w:pPr>
              <w:pStyle w:val="Compact"/>
            </w:pPr>
            <w:r>
              <w:t xml:space="preserve">1</w:t>
            </w:r>
          </w:p>
        </w:tc>
        <w:tc>
          <w:tcPr/>
          <w:p>
            <w:pPr>
              <w:pStyle w:val="Compact"/>
            </w:pPr>
            <w:r>
              <w:t xml:space="preserve">Salzburg</w:t>
            </w:r>
          </w:p>
        </w:tc>
        <w:tc>
          <w:tcPr/>
          <w:p>
            <w:pPr>
              <w:pStyle w:val="Compact"/>
            </w:pPr>
            <w:r>
              <w:t xml:space="preserve">Ein- und Zweifamilienhäuser</w:t>
            </w:r>
          </w:p>
        </w:tc>
        <w:tc>
          <w:tcPr/>
          <w:p>
            <w:pPr>
              <w:pStyle w:val="Compact"/>
            </w:pPr>
            <w:r>
              <w:t xml:space="preserve">38063</w:t>
            </w:r>
          </w:p>
        </w:tc>
        <w:tc>
          <w:tcPr/>
          <w:p>
            <w:pPr>
              <w:pStyle w:val="Compact"/>
            </w:pPr>
            <w:r>
              <w:t xml:space="preserve">11.231</w:t>
            </w:r>
          </w:p>
        </w:tc>
        <w:tc>
          <w:tcPr/>
          <w:p>
            <w:pPr>
              <w:pStyle w:val="Compact"/>
            </w:pPr>
            <w:r>
              <w:t xml:space="preserve">0.460</w:t>
            </w:r>
          </w:p>
        </w:tc>
        <w:tc>
          <w:tcPr/>
          <w:p>
            <w:pPr>
              <w:pStyle w:val="Compact"/>
            </w:pPr>
            <w:r>
              <w:t xml:space="preserve">0.724</w:t>
            </w:r>
          </w:p>
        </w:tc>
        <w:tc>
          <w:tcPr/>
          <w:p>
            <w:pPr>
              <w:pStyle w:val="Compact"/>
            </w:pPr>
            <w:r>
              <w:t xml:space="preserve">0.335</w:t>
            </w:r>
          </w:p>
        </w:tc>
        <w:tc>
          <w:tcPr/>
          <w:p>
            <w:pPr>
              <w:pStyle w:val="Compact"/>
            </w:pPr>
            <w:r>
              <w:t xml:space="preserve">0.640</w:t>
            </w:r>
          </w:p>
        </w:tc>
      </w:tr>
      <w:tr>
        <w:tc>
          <w:tcPr/>
          <w:p>
            <w:pPr>
              <w:pStyle w:val="Compact"/>
            </w:pPr>
            <w:r>
              <w:t xml:space="preserve">2</w:t>
            </w:r>
          </w:p>
        </w:tc>
        <w:tc>
          <w:tcPr/>
          <w:p>
            <w:pPr>
              <w:pStyle w:val="Compact"/>
            </w:pPr>
            <w:r>
              <w:t xml:space="preserve">Salzburg</w:t>
            </w:r>
          </w:p>
        </w:tc>
        <w:tc>
          <w:tcPr/>
          <w:p>
            <w:pPr>
              <w:pStyle w:val="Compact"/>
            </w:pPr>
            <w:r>
              <w:t xml:space="preserve">Groß- und Einzelhandelsgebäude</w:t>
            </w:r>
          </w:p>
        </w:tc>
        <w:tc>
          <w:tcPr/>
          <w:p>
            <w:pPr>
              <w:pStyle w:val="Compact"/>
            </w:pPr>
            <w:r>
              <w:t xml:space="preserve">1670</w:t>
            </w:r>
          </w:p>
        </w:tc>
        <w:tc>
          <w:tcPr/>
          <w:p>
            <w:pPr>
              <w:pStyle w:val="Compact"/>
            </w:pPr>
            <w:r>
              <w:t xml:space="preserve">1.900</w:t>
            </w:r>
          </w:p>
        </w:tc>
        <w:tc>
          <w:tcPr/>
          <w:p>
            <w:pPr>
              <w:pStyle w:val="Compact"/>
            </w:pPr>
            <w:r>
              <w:t xml:space="preserve">0.872</w:t>
            </w:r>
          </w:p>
        </w:tc>
        <w:tc>
          <w:tcPr/>
          <w:p>
            <w:pPr>
              <w:pStyle w:val="Compact"/>
            </w:pPr>
            <w:r>
              <w:t xml:space="preserve">1.476</w:t>
            </w:r>
          </w:p>
        </w:tc>
        <w:tc>
          <w:tcPr/>
          <w:p>
            <w:pPr>
              <w:pStyle w:val="Compact"/>
            </w:pPr>
            <w:r>
              <w:t xml:space="preserve">0.505</w:t>
            </w:r>
          </w:p>
        </w:tc>
        <w:tc>
          <w:tcPr/>
          <w:p>
            <w:pPr>
              <w:pStyle w:val="Compact"/>
            </w:pPr>
            <w:r>
              <w:t xml:space="preserve">1.619</w:t>
            </w:r>
          </w:p>
        </w:tc>
      </w:tr>
      <w:tr>
        <w:tc>
          <w:tcPr/>
          <w:p>
            <w:pPr>
              <w:pStyle w:val="Compact"/>
            </w:pPr>
            <w:r>
              <w:t xml:space="preserve">3</w:t>
            </w:r>
          </w:p>
        </w:tc>
        <w:tc>
          <w:tcPr/>
          <w:p>
            <w:pPr>
              <w:pStyle w:val="Compact"/>
            </w:pPr>
            <w:r>
              <w:t xml:space="preserve">Salzburg</w:t>
            </w:r>
          </w:p>
        </w:tc>
        <w:tc>
          <w:tcPr/>
          <w:p>
            <w:pPr>
              <w:pStyle w:val="Compact"/>
            </w:pPr>
            <w:r>
              <w:t xml:space="preserve">Hotels o.Ä.</w:t>
            </w:r>
          </w:p>
        </w:tc>
        <w:tc>
          <w:tcPr/>
          <w:p>
            <w:pPr>
              <w:pStyle w:val="Compact"/>
            </w:pPr>
            <w:r>
              <w:t xml:space="preserve">2971</w:t>
            </w:r>
          </w:p>
        </w:tc>
        <w:tc>
          <w:tcPr/>
          <w:p>
            <w:pPr>
              <w:pStyle w:val="Compact"/>
            </w:pPr>
            <w:r>
              <w:t xml:space="preserve">3.063</w:t>
            </w:r>
          </w:p>
        </w:tc>
        <w:tc>
          <w:tcPr/>
          <w:p>
            <w:pPr>
              <w:pStyle w:val="Compact"/>
            </w:pPr>
            <w:r>
              <w:t xml:space="preserve">0.808</w:t>
            </w:r>
          </w:p>
        </w:tc>
        <w:tc>
          <w:tcPr/>
          <w:p>
            <w:pPr>
              <w:pStyle w:val="Compact"/>
            </w:pPr>
            <w:r>
              <w:t xml:space="preserve">1.729</w:t>
            </w:r>
          </w:p>
        </w:tc>
        <w:tc>
          <w:tcPr/>
          <w:p>
            <w:pPr>
              <w:pStyle w:val="Compact"/>
            </w:pPr>
            <w:r>
              <w:t xml:space="preserve">0.489</w:t>
            </w:r>
          </w:p>
        </w:tc>
        <w:tc>
          <w:tcPr/>
          <w:p>
            <w:pPr>
              <w:pStyle w:val="Compact"/>
            </w:pPr>
            <w:r>
              <w:t xml:space="preserve">1.541</w:t>
            </w:r>
          </w:p>
        </w:tc>
      </w:tr>
      <w:tr>
        <w:tc>
          <w:tcPr/>
          <w:p>
            <w:pPr>
              <w:pStyle w:val="Compact"/>
            </w:pPr>
            <w:r>
              <w:t xml:space="preserve">4</w:t>
            </w:r>
          </w:p>
        </w:tc>
        <w:tc>
          <w:tcPr/>
          <w:p>
            <w:pPr>
              <w:pStyle w:val="Compact"/>
            </w:pPr>
            <w:r>
              <w:t xml:space="preserve">Salzburg</w:t>
            </w:r>
          </w:p>
        </w:tc>
        <w:tc>
          <w:tcPr/>
          <w:p>
            <w:pPr>
              <w:pStyle w:val="Compact"/>
            </w:pPr>
            <w:r>
              <w:t xml:space="preserve">Industrie und Lagerung</w:t>
            </w:r>
          </w:p>
        </w:tc>
        <w:tc>
          <w:tcPr/>
          <w:p>
            <w:pPr>
              <w:pStyle w:val="Compact"/>
            </w:pPr>
            <w:r>
              <w:t xml:space="preserve">2397</w:t>
            </w:r>
          </w:p>
        </w:tc>
        <w:tc>
          <w:tcPr/>
          <w:p>
            <w:pPr>
              <w:pStyle w:val="Compact"/>
            </w:pPr>
            <w:r>
              <w:t xml:space="preserve">3.337</w:t>
            </w:r>
          </w:p>
        </w:tc>
        <w:tc>
          <w:tcPr/>
          <w:p>
            <w:pPr>
              <w:pStyle w:val="Compact"/>
            </w:pPr>
            <w:r>
              <w:t xml:space="preserve">0.554</w:t>
            </w:r>
          </w:p>
        </w:tc>
        <w:tc>
          <w:tcPr/>
          <w:p>
            <w:pPr>
              <w:pStyle w:val="Compact"/>
            </w:pPr>
            <w:r>
              <w:t xml:space="preserve">1.162</w:t>
            </w:r>
          </w:p>
        </w:tc>
        <w:tc>
          <w:tcPr/>
          <w:p>
            <w:pPr>
              <w:pStyle w:val="Compact"/>
            </w:pPr>
            <w:r>
              <w:t xml:space="preserve">0.341</w:t>
            </w:r>
          </w:p>
        </w:tc>
        <w:tc>
          <w:tcPr/>
          <w:p>
            <w:pPr>
              <w:pStyle w:val="Compact"/>
            </w:pPr>
            <w:r>
              <w:t xml:space="preserve">0.879</w:t>
            </w:r>
          </w:p>
        </w:tc>
      </w:tr>
      <w:tr>
        <w:tc>
          <w:tcPr/>
          <w:p>
            <w:pPr>
              <w:pStyle w:val="Compact"/>
            </w:pPr>
            <w:r>
              <w:t xml:space="preserve">5</w:t>
            </w:r>
          </w:p>
        </w:tc>
        <w:tc>
          <w:tcPr/>
          <w:p>
            <w:pPr>
              <w:pStyle w:val="Compact"/>
            </w:pPr>
            <w:r>
              <w:t xml:space="preserve">Salzburg</w:t>
            </w:r>
          </w:p>
        </w:tc>
        <w:tc>
          <w:tcPr/>
          <w:p>
            <w:pPr>
              <w:pStyle w:val="Compact"/>
            </w:pPr>
            <w:r>
              <w:t xml:space="preserve">Kultur, Freizeit, Bildung und Gesundheit</w:t>
            </w:r>
          </w:p>
        </w:tc>
        <w:tc>
          <w:tcPr/>
          <w:p>
            <w:pPr>
              <w:pStyle w:val="Compact"/>
            </w:pPr>
            <w:r>
              <w:t xml:space="preserve">681</w:t>
            </w:r>
          </w:p>
        </w:tc>
        <w:tc>
          <w:tcPr/>
          <w:p>
            <w:pPr>
              <w:pStyle w:val="Compact"/>
            </w:pPr>
            <w:r>
              <w:t xml:space="preserve">1.231</w:t>
            </w:r>
          </w:p>
        </w:tc>
        <w:tc>
          <w:tcPr/>
          <w:p>
            <w:pPr>
              <w:pStyle w:val="Compact"/>
            </w:pPr>
            <w:r>
              <w:t xml:space="preserve">0.752</w:t>
            </w:r>
          </w:p>
        </w:tc>
        <w:tc>
          <w:tcPr/>
          <w:p>
            <w:pPr>
              <w:pStyle w:val="Compact"/>
            </w:pPr>
            <w:r>
              <w:t xml:space="preserve">1.871</w:t>
            </w:r>
          </w:p>
        </w:tc>
        <w:tc>
          <w:tcPr/>
          <w:p>
            <w:pPr>
              <w:pStyle w:val="Compact"/>
            </w:pPr>
            <w:r>
              <w:t xml:space="preserve">0.394</w:t>
            </w:r>
          </w:p>
        </w:tc>
        <w:tc>
          <w:tcPr/>
          <w:p>
            <w:pPr>
              <w:pStyle w:val="Compact"/>
            </w:pPr>
            <w:r>
              <w:t xml:space="preserve">1.388</w:t>
            </w:r>
          </w:p>
        </w:tc>
      </w:tr>
      <w:tr>
        <w:tc>
          <w:tcPr/>
          <w:p>
            <w:pPr>
              <w:pStyle w:val="Compact"/>
            </w:pPr>
            <w:r>
              <w:t xml:space="preserve">6</w:t>
            </w:r>
          </w:p>
        </w:tc>
        <w:tc>
          <w:tcPr/>
          <w:p>
            <w:pPr>
              <w:pStyle w:val="Compact"/>
            </w:pPr>
            <w:r>
              <w:t xml:space="preserve">Salzburg</w:t>
            </w:r>
          </w:p>
        </w:tc>
        <w:tc>
          <w:tcPr/>
          <w:p>
            <w:pPr>
              <w:pStyle w:val="Compact"/>
            </w:pPr>
            <w:r>
              <w:t xml:space="preserve">Mehrfamilienhaus</w:t>
            </w:r>
          </w:p>
        </w:tc>
        <w:tc>
          <w:tcPr/>
          <w:p>
            <w:pPr>
              <w:pStyle w:val="Compact"/>
            </w:pPr>
            <w:r>
              <w:t xml:space="preserve">23238</w:t>
            </w:r>
          </w:p>
        </w:tc>
        <w:tc>
          <w:tcPr/>
          <w:p>
            <w:pPr>
              <w:pStyle w:val="Compact"/>
            </w:pPr>
            <w:r>
              <w:t xml:space="preserve">16.104</w:t>
            </w:r>
          </w:p>
        </w:tc>
        <w:tc>
          <w:tcPr/>
          <w:p>
            <w:pPr>
              <w:pStyle w:val="Compact"/>
            </w:pPr>
            <w:r>
              <w:t xml:space="preserve">0.673</w:t>
            </w:r>
          </w:p>
        </w:tc>
        <w:tc>
          <w:tcPr/>
          <w:p>
            <w:pPr>
              <w:pStyle w:val="Compact"/>
            </w:pPr>
            <w:r>
              <w:t xml:space="preserve">1.362</w:t>
            </w:r>
          </w:p>
        </w:tc>
        <w:tc>
          <w:tcPr/>
          <w:p>
            <w:pPr>
              <w:pStyle w:val="Compact"/>
            </w:pPr>
            <w:r>
              <w:t xml:space="preserve">0.470</w:t>
            </w:r>
          </w:p>
        </w:tc>
        <w:tc>
          <w:tcPr/>
          <w:p>
            <w:pPr>
              <w:pStyle w:val="Compact"/>
            </w:pPr>
            <w:r>
              <w:t xml:space="preserve">1.112</w:t>
            </w:r>
          </w:p>
        </w:tc>
      </w:tr>
      <w:tr>
        <w:tc>
          <w:tcPr/>
          <w:p>
            <w:pPr>
              <w:pStyle w:val="Compact"/>
            </w:pPr>
            <w:r>
              <w:t xml:space="preserve">7</w:t>
            </w:r>
          </w:p>
        </w:tc>
        <w:tc>
          <w:tcPr/>
          <w:p>
            <w:pPr>
              <w:pStyle w:val="Compact"/>
            </w:pPr>
            <w:r>
              <w:t xml:space="preserve">Salzburg</w:t>
            </w:r>
          </w:p>
        </w:tc>
        <w:tc>
          <w:tcPr/>
          <w:p>
            <w:pPr>
              <w:pStyle w:val="Compact"/>
            </w:pPr>
            <w:r>
              <w:t xml:space="preserve">Verkehrs- und Nachrichtenwesen</w:t>
            </w:r>
          </w:p>
        </w:tc>
        <w:tc>
          <w:tcPr/>
          <w:p>
            <w:pPr>
              <w:pStyle w:val="Compact"/>
            </w:pPr>
            <w:r>
              <w:t xml:space="preserve">78</w:t>
            </w:r>
          </w:p>
        </w:tc>
        <w:tc>
          <w:tcPr/>
          <w:p>
            <w:pPr>
              <w:pStyle w:val="Compact"/>
            </w:pPr>
            <w:r>
              <w:t xml:space="preserve">0.084</w:t>
            </w:r>
          </w:p>
        </w:tc>
        <w:tc>
          <w:tcPr/>
          <w:p>
            <w:pPr>
              <w:pStyle w:val="Compact"/>
            </w:pPr>
            <w:r>
              <w:t xml:space="preserve">0.398</w:t>
            </w:r>
          </w:p>
        </w:tc>
        <w:tc>
          <w:tcPr/>
          <w:p>
            <w:pPr>
              <w:pStyle w:val="Compact"/>
            </w:pPr>
            <w:r>
              <w:t xml:space="preserve">1.604</w:t>
            </w:r>
          </w:p>
        </w:tc>
        <w:tc>
          <w:tcPr/>
          <w:p>
            <w:pPr>
              <w:pStyle w:val="Compact"/>
            </w:pPr>
            <w:r>
              <w:t xml:space="preserve">0.241</w:t>
            </w:r>
          </w:p>
        </w:tc>
        <w:tc>
          <w:tcPr/>
          <w:p>
            <w:pPr>
              <w:pStyle w:val="Compact"/>
            </w:pPr>
            <w:r>
              <w:t xml:space="preserve">0.953</w:t>
            </w:r>
          </w:p>
        </w:tc>
      </w:tr>
      <w:tr>
        <w:tc>
          <w:tcPr/>
          <w:p>
            <w:pPr>
              <w:pStyle w:val="Compact"/>
            </w:pPr>
            <w:r>
              <w:t xml:space="preserve">8</w:t>
            </w:r>
          </w:p>
        </w:tc>
        <w:tc>
          <w:tcPr/>
          <w:p>
            <w:pPr>
              <w:pStyle w:val="Compact"/>
            </w:pPr>
            <w:r>
              <w:t xml:space="preserve">Wien</w:t>
            </w:r>
          </w:p>
        </w:tc>
        <w:tc>
          <w:tcPr/>
          <w:p>
            <w:pPr>
              <w:pStyle w:val="Compact"/>
            </w:pPr>
            <w:r>
              <w:t xml:space="preserve">Büronutzung</w:t>
            </w:r>
          </w:p>
        </w:tc>
        <w:tc>
          <w:tcPr/>
          <w:p>
            <w:pPr>
              <w:pStyle w:val="Compact"/>
            </w:pPr>
            <w:r>
              <w:t xml:space="preserve">4398</w:t>
            </w:r>
          </w:p>
        </w:tc>
        <w:tc>
          <w:tcPr/>
          <w:p>
            <w:pPr>
              <w:pStyle w:val="Compact"/>
            </w:pPr>
            <w:r>
              <w:t xml:space="preserve">15.717</w:t>
            </w:r>
          </w:p>
        </w:tc>
        <w:tc>
          <w:tcPr/>
          <w:p>
            <w:pPr>
              <w:pStyle w:val="Compact"/>
            </w:pPr>
            <w:r>
              <w:t xml:space="preserve">3.320</w:t>
            </w:r>
          </w:p>
        </w:tc>
        <w:tc>
          <w:tcPr/>
          <w:p>
            <w:pPr>
              <w:pStyle w:val="Compact"/>
            </w:pPr>
            <w:r>
              <w:t xml:space="preserve">4.636</w:t>
            </w:r>
          </w:p>
        </w:tc>
        <w:tc>
          <w:tcPr/>
          <w:p>
            <w:pPr>
              <w:pStyle w:val="Compact"/>
            </w:pPr>
            <w:r>
              <w:t xml:space="preserve">1.713</w:t>
            </w:r>
          </w:p>
        </w:tc>
        <w:tc>
          <w:tcPr/>
          <w:p>
            <w:pPr>
              <w:pStyle w:val="Compact"/>
            </w:pPr>
            <w:r>
              <w:t xml:space="preserve">4.816</w:t>
            </w:r>
          </w:p>
        </w:tc>
      </w:tr>
      <w:tr>
        <w:tc>
          <w:tcPr/>
          <w:p>
            <w:pPr>
              <w:pStyle w:val="Compact"/>
            </w:pPr>
            <w:r>
              <w:t xml:space="preserve">9</w:t>
            </w:r>
          </w:p>
        </w:tc>
        <w:tc>
          <w:tcPr/>
          <w:p>
            <w:pPr>
              <w:pStyle w:val="Compact"/>
            </w:pPr>
            <w:r>
              <w:t xml:space="preserve">Wien</w:t>
            </w:r>
          </w:p>
        </w:tc>
        <w:tc>
          <w:tcPr/>
          <w:p>
            <w:pPr>
              <w:pStyle w:val="Compact"/>
            </w:pPr>
            <w:r>
              <w:t xml:space="preserve">Ein- und Zweifamilienhäuser</w:t>
            </w:r>
          </w:p>
        </w:tc>
        <w:tc>
          <w:tcPr/>
          <w:p>
            <w:pPr>
              <w:pStyle w:val="Compact"/>
            </w:pPr>
            <w:r>
              <w:t xml:space="preserve">52141</w:t>
            </w:r>
          </w:p>
        </w:tc>
        <w:tc>
          <w:tcPr/>
          <w:p>
            <w:pPr>
              <w:pStyle w:val="Compact"/>
            </w:pPr>
            <w:r>
              <w:t xml:space="preserve">15.382</w:t>
            </w:r>
          </w:p>
        </w:tc>
        <w:tc>
          <w:tcPr/>
          <w:p>
            <w:pPr>
              <w:pStyle w:val="Compact"/>
            </w:pPr>
            <w:r>
              <w:t xml:space="preserve">0.454</w:t>
            </w:r>
          </w:p>
        </w:tc>
        <w:tc>
          <w:tcPr/>
          <w:p>
            <w:pPr>
              <w:pStyle w:val="Compact"/>
            </w:pPr>
            <w:r>
              <w:t xml:space="preserve">1.880</w:t>
            </w:r>
          </w:p>
        </w:tc>
        <w:tc>
          <w:tcPr/>
          <w:p>
            <w:pPr>
              <w:pStyle w:val="Compact"/>
            </w:pPr>
            <w:r>
              <w:t xml:space="preserve">0.258</w:t>
            </w:r>
          </w:p>
        </w:tc>
        <w:tc>
          <w:tcPr/>
          <w:p>
            <w:pPr>
              <w:pStyle w:val="Compact"/>
            </w:pPr>
            <w:r>
              <w:t xml:space="preserve">1.292</w:t>
            </w:r>
          </w:p>
        </w:tc>
      </w:tr>
      <w:tr>
        <w:tc>
          <w:tcPr/>
          <w:p>
            <w:pPr>
              <w:pStyle w:val="Compact"/>
            </w:pPr>
            <w:r>
              <w:t xml:space="preserve">10</w:t>
            </w:r>
          </w:p>
        </w:tc>
        <w:tc>
          <w:tcPr/>
          <w:p>
            <w:pPr>
              <w:pStyle w:val="Compact"/>
            </w:pPr>
            <w:r>
              <w:t xml:space="preserve">Wien</w:t>
            </w:r>
          </w:p>
        </w:tc>
        <w:tc>
          <w:tcPr/>
          <w:p>
            <w:pPr>
              <w:pStyle w:val="Compact"/>
            </w:pPr>
            <w:r>
              <w:t xml:space="preserve">Gemeinschaftsgebäude</w:t>
            </w:r>
          </w:p>
        </w:tc>
        <w:tc>
          <w:tcPr/>
          <w:p>
            <w:pPr>
              <w:pStyle w:val="Compact"/>
            </w:pPr>
            <w:r>
              <w:t xml:space="preserve">104</w:t>
            </w:r>
          </w:p>
        </w:tc>
        <w:tc>
          <w:tcPr/>
          <w:p>
            <w:pPr>
              <w:pStyle w:val="Compact"/>
            </w:pPr>
            <w:r>
              <w:t xml:space="preserve">0.425</w:t>
            </w:r>
          </w:p>
        </w:tc>
        <w:tc>
          <w:tcPr/>
          <w:p>
            <w:pPr>
              <w:pStyle w:val="Compact"/>
            </w:pPr>
            <w:r>
              <w:t xml:space="preserve">2.214</w:t>
            </w:r>
          </w:p>
        </w:tc>
        <w:tc>
          <w:tcPr/>
          <w:p>
            <w:pPr>
              <w:pStyle w:val="Compact"/>
            </w:pPr>
            <w:r>
              <w:t xml:space="preserve">3.672</w:t>
            </w:r>
          </w:p>
        </w:tc>
        <w:tc>
          <w:tcPr/>
          <w:p>
            <w:pPr>
              <w:pStyle w:val="Compact"/>
            </w:pPr>
            <w:r>
              <w:t xml:space="preserve">0.793</w:t>
            </w:r>
          </w:p>
        </w:tc>
        <w:tc>
          <w:tcPr/>
          <w:p>
            <w:pPr>
              <w:pStyle w:val="Compact"/>
            </w:pPr>
            <w:r>
              <w:t xml:space="preserve">4.012</w:t>
            </w:r>
          </w:p>
        </w:tc>
      </w:tr>
      <w:tr>
        <w:tc>
          <w:tcPr/>
          <w:p>
            <w:pPr>
              <w:pStyle w:val="Compact"/>
            </w:pPr>
            <w:r>
              <w:t xml:space="preserve">11</w:t>
            </w:r>
          </w:p>
        </w:tc>
        <w:tc>
          <w:tcPr/>
          <w:p>
            <w:pPr>
              <w:pStyle w:val="Compact"/>
            </w:pPr>
            <w:r>
              <w:t xml:space="preserve">Wien</w:t>
            </w:r>
          </w:p>
        </w:tc>
        <w:tc>
          <w:tcPr/>
          <w:p>
            <w:pPr>
              <w:pStyle w:val="Compact"/>
            </w:pPr>
            <w:r>
              <w:t xml:space="preserve">Groß- und Einzelhandelsgebäude</w:t>
            </w:r>
          </w:p>
        </w:tc>
        <w:tc>
          <w:tcPr/>
          <w:p>
            <w:pPr>
              <w:pStyle w:val="Compact"/>
            </w:pPr>
            <w:r>
              <w:t xml:space="preserve">631</w:t>
            </w:r>
          </w:p>
        </w:tc>
        <w:tc>
          <w:tcPr/>
          <w:p>
            <w:pPr>
              <w:pStyle w:val="Compact"/>
            </w:pPr>
            <w:r>
              <w:t xml:space="preserve">1.877</w:t>
            </w:r>
          </w:p>
        </w:tc>
        <w:tc>
          <w:tcPr/>
          <w:p>
            <w:pPr>
              <w:pStyle w:val="Compact"/>
            </w:pPr>
            <w:r>
              <w:t xml:space="preserve">0.891</w:t>
            </w:r>
          </w:p>
        </w:tc>
        <w:tc>
          <w:tcPr/>
          <w:p>
            <w:pPr>
              <w:pStyle w:val="Compact"/>
            </w:pPr>
            <w:r>
              <w:t xml:space="preserve">2.599</w:t>
            </w:r>
          </w:p>
        </w:tc>
        <w:tc>
          <w:tcPr/>
          <w:p>
            <w:pPr>
              <w:pStyle w:val="Compact"/>
            </w:pPr>
            <w:r>
              <w:t xml:space="preserve">0.398</w:t>
            </w:r>
          </w:p>
        </w:tc>
        <w:tc>
          <w:tcPr/>
          <w:p>
            <w:pPr>
              <w:pStyle w:val="Compact"/>
            </w:pPr>
            <w:r>
              <w:t xml:space="preserve">1.824</w:t>
            </w:r>
          </w:p>
        </w:tc>
      </w:tr>
      <w:tr>
        <w:tc>
          <w:tcPr/>
          <w:p>
            <w:pPr>
              <w:pStyle w:val="Compact"/>
            </w:pPr>
            <w:r>
              <w:t xml:space="preserve">12</w:t>
            </w:r>
          </w:p>
        </w:tc>
        <w:tc>
          <w:tcPr/>
          <w:p>
            <w:pPr>
              <w:pStyle w:val="Compact"/>
            </w:pPr>
            <w:r>
              <w:t xml:space="preserve">Wien</w:t>
            </w:r>
          </w:p>
        </w:tc>
        <w:tc>
          <w:tcPr/>
          <w:p>
            <w:pPr>
              <w:pStyle w:val="Compact"/>
            </w:pPr>
            <w:r>
              <w:t xml:space="preserve">Hotels o.Ä.</w:t>
            </w:r>
          </w:p>
        </w:tc>
        <w:tc>
          <w:tcPr/>
          <w:p>
            <w:pPr>
              <w:pStyle w:val="Compact"/>
            </w:pPr>
            <w:r>
              <w:t xml:space="preserve">707</w:t>
            </w:r>
          </w:p>
        </w:tc>
        <w:tc>
          <w:tcPr/>
          <w:p>
            <w:pPr>
              <w:pStyle w:val="Compact"/>
            </w:pPr>
            <w:r>
              <w:t xml:space="preserve">2.667</w:t>
            </w:r>
          </w:p>
        </w:tc>
        <w:tc>
          <w:tcPr/>
          <w:p>
            <w:pPr>
              <w:pStyle w:val="Compact"/>
            </w:pPr>
            <w:r>
              <w:t xml:space="preserve">2.531</w:t>
            </w:r>
          </w:p>
        </w:tc>
        <w:tc>
          <w:tcPr/>
          <w:p>
            <w:pPr>
              <w:pStyle w:val="Compact"/>
            </w:pPr>
            <w:r>
              <w:t xml:space="preserve">6.534</w:t>
            </w:r>
          </w:p>
        </w:tc>
        <w:tc>
          <w:tcPr/>
          <w:p>
            <w:pPr>
              <w:pStyle w:val="Compact"/>
            </w:pPr>
            <w:r>
              <w:t xml:space="preserve">0.992</w:t>
            </w:r>
          </w:p>
        </w:tc>
        <w:tc>
          <w:tcPr/>
          <w:p>
            <w:pPr>
              <w:pStyle w:val="Compact"/>
            </w:pPr>
            <w:r>
              <w:t xml:space="preserve">4.534</w:t>
            </w:r>
          </w:p>
        </w:tc>
      </w:tr>
      <w:tr>
        <w:tc>
          <w:tcPr/>
          <w:p>
            <w:pPr>
              <w:pStyle w:val="Compact"/>
            </w:pPr>
            <w:r>
              <w:t xml:space="preserve">13</w:t>
            </w:r>
          </w:p>
        </w:tc>
        <w:tc>
          <w:tcPr/>
          <w:p>
            <w:pPr>
              <w:pStyle w:val="Compact"/>
            </w:pPr>
            <w:r>
              <w:t xml:space="preserve">Wien</w:t>
            </w:r>
          </w:p>
        </w:tc>
        <w:tc>
          <w:tcPr/>
          <w:p>
            <w:pPr>
              <w:pStyle w:val="Compact"/>
            </w:pPr>
            <w:r>
              <w:t xml:space="preserve">Industrie und Lagerung</w:t>
            </w:r>
          </w:p>
        </w:tc>
        <w:tc>
          <w:tcPr/>
          <w:p>
            <w:pPr>
              <w:pStyle w:val="Compact"/>
            </w:pPr>
            <w:r>
              <w:t xml:space="preserve">1437</w:t>
            </w:r>
          </w:p>
        </w:tc>
        <w:tc>
          <w:tcPr/>
          <w:p>
            <w:pPr>
              <w:pStyle w:val="Compact"/>
            </w:pPr>
            <w:r>
              <w:t xml:space="preserve">3.176</w:t>
            </w:r>
          </w:p>
        </w:tc>
        <w:tc>
          <w:tcPr/>
          <w:p>
            <w:pPr>
              <w:pStyle w:val="Compact"/>
            </w:pPr>
            <w:r>
              <w:t xml:space="preserve">1.066</w:t>
            </w:r>
          </w:p>
        </w:tc>
        <w:tc>
          <w:tcPr/>
          <w:p>
            <w:pPr>
              <w:pStyle w:val="Compact"/>
            </w:pPr>
            <w:r>
              <w:t xml:space="preserve">2.402</w:t>
            </w:r>
          </w:p>
        </w:tc>
        <w:tc>
          <w:tcPr/>
          <w:p>
            <w:pPr>
              <w:pStyle w:val="Compact"/>
            </w:pPr>
            <w:r>
              <w:t xml:space="preserve">0.600</w:t>
            </w:r>
          </w:p>
        </w:tc>
        <w:tc>
          <w:tcPr/>
          <w:p>
            <w:pPr>
              <w:pStyle w:val="Compact"/>
            </w:pPr>
            <w:r>
              <w:t xml:space="preserve">1.916</w:t>
            </w:r>
          </w:p>
        </w:tc>
      </w:tr>
      <w:tr>
        <w:tc>
          <w:tcPr/>
          <w:p>
            <w:pPr>
              <w:pStyle w:val="Compact"/>
            </w:pPr>
            <w:r>
              <w:t xml:space="preserve">14</w:t>
            </w:r>
          </w:p>
        </w:tc>
        <w:tc>
          <w:tcPr/>
          <w:p>
            <w:pPr>
              <w:pStyle w:val="Compact"/>
            </w:pPr>
            <w:r>
              <w:t xml:space="preserve">Wien</w:t>
            </w:r>
          </w:p>
        </w:tc>
        <w:tc>
          <w:tcPr/>
          <w:p>
            <w:pPr>
              <w:pStyle w:val="Compact"/>
            </w:pPr>
            <w:r>
              <w:t xml:space="preserve">Kultur, Freizeit, Bildung und Gesundheit</w:t>
            </w:r>
          </w:p>
        </w:tc>
        <w:tc>
          <w:tcPr/>
          <w:p>
            <w:pPr>
              <w:pStyle w:val="Compact"/>
            </w:pPr>
            <w:r>
              <w:t xml:space="preserve">661</w:t>
            </w:r>
          </w:p>
        </w:tc>
        <w:tc>
          <w:tcPr/>
          <w:p>
            <w:pPr>
              <w:pStyle w:val="Compact"/>
            </w:pPr>
            <w:r>
              <w:t xml:space="preserve">4.363</w:t>
            </w:r>
          </w:p>
        </w:tc>
        <w:tc>
          <w:tcPr/>
          <w:p>
            <w:pPr>
              <w:pStyle w:val="Compact"/>
            </w:pPr>
            <w:r>
              <w:t xml:space="preserve">2.884</w:t>
            </w:r>
          </w:p>
        </w:tc>
        <w:tc>
          <w:tcPr/>
          <w:p>
            <w:pPr>
              <w:pStyle w:val="Compact"/>
            </w:pPr>
            <w:r>
              <w:t xml:space="preserve">3.531</w:t>
            </w:r>
          </w:p>
        </w:tc>
        <w:tc>
          <w:tcPr/>
          <w:p>
            <w:pPr>
              <w:pStyle w:val="Compact"/>
            </w:pPr>
            <w:r>
              <w:t xml:space="preserve">0.969</w:t>
            </w:r>
          </w:p>
        </w:tc>
        <w:tc>
          <w:tcPr/>
          <w:p>
            <w:pPr>
              <w:pStyle w:val="Compact"/>
            </w:pPr>
            <w:r>
              <w:t xml:space="preserve">4.135</w:t>
            </w:r>
          </w:p>
        </w:tc>
      </w:tr>
      <w:tr>
        <w:tc>
          <w:tcPr/>
          <w:p>
            <w:pPr>
              <w:pStyle w:val="Compact"/>
            </w:pPr>
            <w:r>
              <w:t xml:space="preserve">15</w:t>
            </w:r>
          </w:p>
        </w:tc>
        <w:tc>
          <w:tcPr/>
          <w:p>
            <w:pPr>
              <w:pStyle w:val="Compact"/>
            </w:pPr>
            <w:r>
              <w:t xml:space="preserve">Wien</w:t>
            </w:r>
          </w:p>
        </w:tc>
        <w:tc>
          <w:tcPr/>
          <w:p>
            <w:pPr>
              <w:pStyle w:val="Compact"/>
            </w:pPr>
            <w:r>
              <w:t xml:space="preserve">Mehrfamilienhaus</w:t>
            </w:r>
          </w:p>
        </w:tc>
        <w:tc>
          <w:tcPr/>
          <w:p>
            <w:pPr>
              <w:pStyle w:val="Compact"/>
            </w:pPr>
            <w:r>
              <w:t xml:space="preserve">27589</w:t>
            </w:r>
          </w:p>
        </w:tc>
        <w:tc>
          <w:tcPr/>
          <w:p>
            <w:pPr>
              <w:pStyle w:val="Compact"/>
            </w:pPr>
            <w:r>
              <w:t xml:space="preserve">64.627</w:t>
            </w:r>
          </w:p>
        </w:tc>
        <w:tc>
          <w:tcPr/>
          <w:p>
            <w:pPr>
              <w:pStyle w:val="Compact"/>
            </w:pPr>
            <w:r>
              <w:t xml:space="preserve">3.782</w:t>
            </w:r>
          </w:p>
        </w:tc>
        <w:tc>
          <w:tcPr/>
          <w:p>
            <w:pPr>
              <w:pStyle w:val="Compact"/>
            </w:pPr>
            <w:r>
              <w:t xml:space="preserve">4.233</w:t>
            </w:r>
          </w:p>
        </w:tc>
        <w:tc>
          <w:tcPr/>
          <w:p>
            <w:pPr>
              <w:pStyle w:val="Compact"/>
            </w:pPr>
            <w:r>
              <w:t xml:space="preserve">2.647</w:t>
            </w:r>
          </w:p>
        </w:tc>
        <w:tc>
          <w:tcPr/>
          <w:p>
            <w:pPr>
              <w:pStyle w:val="Compact"/>
            </w:pPr>
            <w:r>
              <w:t xml:space="preserve">4.707</w:t>
            </w:r>
          </w:p>
        </w:tc>
      </w:tr>
      <w:tr>
        <w:tc>
          <w:tcPr/>
          <w:p>
            <w:pPr>
              <w:pStyle w:val="Compact"/>
            </w:pPr>
            <w:r>
              <w:t xml:space="preserve">16</w:t>
            </w:r>
          </w:p>
        </w:tc>
        <w:tc>
          <w:tcPr/>
          <w:p>
            <w:pPr>
              <w:pStyle w:val="Compact"/>
            </w:pPr>
            <w:r>
              <w:t xml:space="preserve">Wien</w:t>
            </w:r>
          </w:p>
        </w:tc>
        <w:tc>
          <w:tcPr/>
          <w:p>
            <w:pPr>
              <w:pStyle w:val="Compact"/>
            </w:pPr>
            <w:r>
              <w:t xml:space="preserve">Verkehrs- und Nachrichtenwesen</w:t>
            </w:r>
          </w:p>
        </w:tc>
        <w:tc>
          <w:tcPr/>
          <w:p>
            <w:pPr>
              <w:pStyle w:val="Compact"/>
            </w:pPr>
            <w:r>
              <w:t xml:space="preserve">316</w:t>
            </w:r>
          </w:p>
        </w:tc>
        <w:tc>
          <w:tcPr/>
          <w:p>
            <w:pPr>
              <w:pStyle w:val="Compact"/>
            </w:pPr>
            <w:r>
              <w:t xml:space="preserve">0.580</w:t>
            </w:r>
          </w:p>
        </w:tc>
        <w:tc>
          <w:tcPr/>
          <w:p>
            <w:pPr>
              <w:pStyle w:val="Compact"/>
            </w:pPr>
            <w:r>
              <w:t xml:space="preserve">0.772</w:t>
            </w:r>
          </w:p>
        </w:tc>
        <w:tc>
          <w:tcPr/>
          <w:p>
            <w:pPr>
              <w:pStyle w:val="Compact"/>
            </w:pPr>
            <w:r>
              <w:t xml:space="preserve">2.304</w:t>
            </w:r>
          </w:p>
        </w:tc>
        <w:tc>
          <w:tcPr/>
          <w:p>
            <w:pPr>
              <w:pStyle w:val="Compact"/>
            </w:pPr>
            <w:r>
              <w:t xml:space="preserve">0.384</w:t>
            </w:r>
          </w:p>
        </w:tc>
        <w:tc>
          <w:tcPr/>
          <w:p>
            <w:pPr>
              <w:pStyle w:val="Compact"/>
            </w:pPr>
            <w:r>
              <w:t xml:space="preserve">1.541</w:t>
            </w:r>
          </w:p>
        </w:tc>
      </w:tr>
    </w:tbl>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pPr>
            <w:r>
              <w:t xml:space="preserve">GWR_Nutzung</w:t>
            </w:r>
          </w:p>
        </w:tc>
        <w:tc>
          <w:tcPr/>
          <w:p>
            <w:pPr>
              <w:pStyle w:val="Compact"/>
            </w:pPr>
            <w:r>
              <w:t xml:space="preserve">Büronutzung</w:t>
            </w:r>
          </w:p>
        </w:tc>
        <w:tc>
          <w:tcPr/>
          <w:p>
            <w:pPr>
              <w:pStyle w:val="Compact"/>
            </w:pPr>
            <w:r>
              <w:t xml:space="preserve">Ein- und Zweifamilienhäuser</w:t>
            </w:r>
          </w:p>
        </w:tc>
        <w:tc>
          <w:tcPr/>
          <w:p>
            <w:pPr>
              <w:pStyle w:val="Compact"/>
            </w:pPr>
            <w:r>
              <w:t xml:space="preserve">Gemeinschaftsgebäude</w:t>
            </w:r>
          </w:p>
        </w:tc>
        <w:tc>
          <w:tcPr/>
          <w:p>
            <w:pPr>
              <w:pStyle w:val="Compact"/>
            </w:pPr>
            <w:r>
              <w:t xml:space="preserve">Groß- und Einzelhandelsgebäude</w:t>
            </w:r>
          </w:p>
        </w:tc>
        <w:tc>
          <w:tcPr/>
          <w:p>
            <w:pPr>
              <w:pStyle w:val="Compact"/>
            </w:pPr>
            <w:r>
              <w:t xml:space="preserve">Hotels o.Ä.</w:t>
            </w:r>
          </w:p>
        </w:tc>
        <w:tc>
          <w:tcPr/>
          <w:p>
            <w:pPr>
              <w:pStyle w:val="Compact"/>
            </w:pPr>
            <w:r>
              <w:t xml:space="preserve">Industrie und Lagerung</w:t>
            </w:r>
          </w:p>
        </w:tc>
        <w:tc>
          <w:tcPr/>
          <w:p>
            <w:pPr>
              <w:pStyle w:val="Compact"/>
            </w:pPr>
            <w:r>
              <w:t xml:space="preserve">Kultur, Freizeit, Bildung und Gesundheit</w:t>
            </w:r>
          </w:p>
        </w:tc>
        <w:tc>
          <w:tcPr/>
          <w:p>
            <w:pPr>
              <w:pStyle w:val="Compact"/>
            </w:pPr>
            <w:r>
              <w:t xml:space="preserve">Mehrfamilienhaus</w:t>
            </w:r>
          </w:p>
        </w:tc>
        <w:tc>
          <w:tcPr/>
          <w:p>
            <w:pPr>
              <w:pStyle w:val="Compact"/>
            </w:pPr>
            <w:r>
              <w:t xml:space="preserve">Verkehrs- und Nachrichtenwesen</w:t>
            </w:r>
          </w:p>
        </w:tc>
      </w:tr>
      <w:tr>
        <w:trPr>
          <w:tblHeader w:val="on"/>
        </w:trPr>
        <w:tc>
          <w:tcPr/>
          <w:p>
            <w:pPr>
              <w:pStyle w:val="Compact"/>
            </w:pPr>
            <w:r>
              <w:t xml:space="preserve">Bundesland</w:t>
            </w:r>
          </w:p>
        </w:tc>
        <w:tc>
          <w:tcPr/>
          <w:p>
            <w:pPr>
              <w:pStyle w:val="Compact"/>
            </w:pPr>
            <w:r>
              <w:t xml:space="preserve">GK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pPr>
            <w:r>
              <w:t xml:space="preserve">Salzburg</w:t>
            </w:r>
          </w:p>
        </w:tc>
        <w:tc>
          <w:tcPr/>
          <w:p>
            <w:pPr>
              <w:pStyle w:val="Compact"/>
            </w:pPr>
            <w:r>
              <w:t xml:space="preserve">1</w:t>
            </w:r>
          </w:p>
        </w:tc>
        <w:tc>
          <w:tcPr/>
          <w:p>
            <w:pPr>
              <w:pStyle w:val="Compact"/>
            </w:pPr>
            <w:r>
              <w:t xml:space="preserve">63</w:t>
            </w:r>
          </w:p>
        </w:tc>
        <w:tc>
          <w:tcPr/>
          <w:p>
            <w:pPr>
              <w:pStyle w:val="Compact"/>
            </w:pPr>
            <w:r>
              <w:t xml:space="preserve">576</w:t>
            </w:r>
          </w:p>
        </w:tc>
        <w:tc>
          <w:tcPr/>
          <w:p>
            <w:pPr>
              <w:pStyle w:val="Compact"/>
            </w:pPr>
            <w:r>
              <w:t xml:space="preserve">0</w:t>
            </w:r>
          </w:p>
        </w:tc>
        <w:tc>
          <w:tcPr/>
          <w:p>
            <w:pPr>
              <w:pStyle w:val="Compact"/>
            </w:pPr>
            <w:r>
              <w:t xml:space="preserve">240</w:t>
            </w:r>
          </w:p>
        </w:tc>
        <w:tc>
          <w:tcPr/>
          <w:p>
            <w:pPr>
              <w:pStyle w:val="Compact"/>
            </w:pPr>
            <w:r>
              <w:t xml:space="preserve">113</w:t>
            </w:r>
          </w:p>
        </w:tc>
        <w:tc>
          <w:tcPr/>
          <w:p>
            <w:pPr>
              <w:pStyle w:val="Compact"/>
            </w:pPr>
            <w:r>
              <w:t xml:space="preserve">665</w:t>
            </w:r>
          </w:p>
        </w:tc>
        <w:tc>
          <w:tcPr/>
          <w:p>
            <w:pPr>
              <w:pStyle w:val="Compact"/>
            </w:pPr>
            <w:r>
              <w:t xml:space="preserve">85</w:t>
            </w:r>
          </w:p>
        </w:tc>
        <w:tc>
          <w:tcPr/>
          <w:p>
            <w:pPr>
              <w:pStyle w:val="Compact"/>
            </w:pPr>
            <w:r>
              <w:t xml:space="preserve">127</w:t>
            </w:r>
          </w:p>
        </w:tc>
        <w:tc>
          <w:tcPr/>
          <w:p>
            <w:pPr>
              <w:pStyle w:val="Compact"/>
            </w:pPr>
            <w:r>
              <w:t xml:space="preserve">29</w:t>
            </w:r>
          </w:p>
        </w:tc>
      </w:tr>
      <w:tr>
        <w:tc>
          <w:tcPr>
            <w:gridSpan w:val="1"/>
            <w:vMerge w:val="continue"/>
          </w:tcPr>
          <w:p>
            <w:pPr/>
          </w:p>
        </w:tc>
        <w:tc>
          <w:tcPr/>
          <w:p>
            <w:pPr>
              <w:pStyle w:val="Compact"/>
            </w:pPr>
            <w:r>
              <w:t xml:space="preserve">11+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gridSpan w:val="1"/>
            <w:vMerge w:val="continue"/>
          </w:tcPr>
          <w:p>
            <w:pPr/>
          </w:p>
        </w:tc>
        <w:tc>
          <w:tcPr/>
          <w:p>
            <w:pPr>
              <w:pStyle w:val="Compact"/>
            </w:pPr>
            <w:r>
              <w:t xml:space="preserve">2</w:t>
            </w:r>
          </w:p>
        </w:tc>
        <w:tc>
          <w:tcPr/>
          <w:p>
            <w:pPr>
              <w:pStyle w:val="Compact"/>
            </w:pPr>
            <w:r>
              <w:t xml:space="preserve">334</w:t>
            </w:r>
          </w:p>
        </w:tc>
        <w:tc>
          <w:tcPr/>
          <w:p>
            <w:pPr>
              <w:pStyle w:val="Compact"/>
            </w:pPr>
            <w:r>
              <w:t xml:space="preserve">19517</w:t>
            </w:r>
          </w:p>
        </w:tc>
        <w:tc>
          <w:tcPr/>
          <w:p>
            <w:pPr>
              <w:pStyle w:val="Compact"/>
            </w:pPr>
            <w:r>
              <w:t xml:space="preserve">0</w:t>
            </w:r>
          </w:p>
        </w:tc>
        <w:tc>
          <w:tcPr/>
          <w:p>
            <w:pPr>
              <w:pStyle w:val="Compact"/>
            </w:pPr>
            <w:r>
              <w:t xml:space="preserve">601</w:t>
            </w:r>
          </w:p>
        </w:tc>
        <w:tc>
          <w:tcPr/>
          <w:p>
            <w:pPr>
              <w:pStyle w:val="Compact"/>
            </w:pPr>
            <w:r>
              <w:t xml:space="preserve">906</w:t>
            </w:r>
          </w:p>
        </w:tc>
        <w:tc>
          <w:tcPr/>
          <w:p>
            <w:pPr>
              <w:pStyle w:val="Compact"/>
            </w:pPr>
            <w:r>
              <w:t xml:space="preserve">1118</w:t>
            </w:r>
          </w:p>
        </w:tc>
        <w:tc>
          <w:tcPr/>
          <w:p>
            <w:pPr>
              <w:pStyle w:val="Compact"/>
            </w:pPr>
            <w:r>
              <w:t xml:space="preserve">206</w:t>
            </w:r>
          </w:p>
        </w:tc>
        <w:tc>
          <w:tcPr/>
          <w:p>
            <w:pPr>
              <w:pStyle w:val="Compact"/>
            </w:pPr>
            <w:r>
              <w:t xml:space="preserve">5019</w:t>
            </w:r>
          </w:p>
        </w:tc>
        <w:tc>
          <w:tcPr/>
          <w:p>
            <w:pPr>
              <w:pStyle w:val="Compact"/>
            </w:pPr>
            <w:r>
              <w:t xml:space="preserve">23</w:t>
            </w:r>
          </w:p>
        </w:tc>
      </w:tr>
      <w:tr>
        <w:tc>
          <w:tcPr>
            <w:gridSpan w:val="1"/>
            <w:vMerge w:val="continue"/>
          </w:tcPr>
          <w:p>
            <w:pPr/>
          </w:p>
        </w:tc>
        <w:tc>
          <w:tcPr/>
          <w:p>
            <w:pPr>
              <w:pStyle w:val="Compact"/>
            </w:pPr>
            <w:r>
              <w:t xml:space="preserve">3</w:t>
            </w:r>
          </w:p>
        </w:tc>
        <w:tc>
          <w:tcPr/>
          <w:p>
            <w:pPr>
              <w:pStyle w:val="Compact"/>
            </w:pPr>
            <w:r>
              <w:t xml:space="preserve">431</w:t>
            </w:r>
          </w:p>
        </w:tc>
        <w:tc>
          <w:tcPr/>
          <w:p>
            <w:pPr>
              <w:pStyle w:val="Compact"/>
            </w:pPr>
            <w:r>
              <w:t xml:space="preserve">15912</w:t>
            </w:r>
          </w:p>
        </w:tc>
        <w:tc>
          <w:tcPr/>
          <w:p>
            <w:pPr>
              <w:pStyle w:val="Compact"/>
            </w:pPr>
            <w:r>
              <w:t xml:space="preserve">0</w:t>
            </w:r>
          </w:p>
        </w:tc>
        <w:tc>
          <w:tcPr/>
          <w:p>
            <w:pPr>
              <w:pStyle w:val="Compact"/>
            </w:pPr>
            <w:r>
              <w:t xml:space="preserve">551</w:t>
            </w:r>
          </w:p>
        </w:tc>
        <w:tc>
          <w:tcPr/>
          <w:p>
            <w:pPr>
              <w:pStyle w:val="Compact"/>
            </w:pPr>
            <w:r>
              <w:t xml:space="preserve">1173</w:t>
            </w:r>
          </w:p>
        </w:tc>
        <w:tc>
          <w:tcPr/>
          <w:p>
            <w:pPr>
              <w:pStyle w:val="Compact"/>
            </w:pPr>
            <w:r>
              <w:t xml:space="preserve">401</w:t>
            </w:r>
          </w:p>
        </w:tc>
        <w:tc>
          <w:tcPr/>
          <w:p>
            <w:pPr>
              <w:pStyle w:val="Compact"/>
            </w:pPr>
            <w:r>
              <w:t xml:space="preserve">198</w:t>
            </w:r>
          </w:p>
        </w:tc>
        <w:tc>
          <w:tcPr/>
          <w:p>
            <w:pPr>
              <w:pStyle w:val="Compact"/>
            </w:pPr>
            <w:r>
              <w:t xml:space="preserve">11496</w:t>
            </w:r>
          </w:p>
        </w:tc>
        <w:tc>
          <w:tcPr/>
          <w:p>
            <w:pPr>
              <w:pStyle w:val="Compact"/>
            </w:pPr>
            <w:r>
              <w:t xml:space="preserve">13</w:t>
            </w:r>
          </w:p>
        </w:tc>
      </w:tr>
      <w:tr>
        <w:tc>
          <w:tcPr>
            <w:gridSpan w:val="1"/>
            <w:vMerge w:val="continue"/>
          </w:tcPr>
          <w:p>
            <w:pPr/>
          </w:p>
        </w:tc>
        <w:tc>
          <w:tcPr/>
          <w:p>
            <w:pPr>
              <w:pStyle w:val="Compact"/>
            </w:pPr>
            <w:r>
              <w:t xml:space="preserve">4</w:t>
            </w:r>
          </w:p>
        </w:tc>
        <w:tc>
          <w:tcPr/>
          <w:p>
            <w:pPr>
              <w:pStyle w:val="Compact"/>
            </w:pPr>
            <w:r>
              <w:t xml:space="preserve">218</w:t>
            </w:r>
          </w:p>
        </w:tc>
        <w:tc>
          <w:tcPr/>
          <w:p>
            <w:pPr>
              <w:pStyle w:val="Compact"/>
            </w:pPr>
            <w:r>
              <w:t xml:space="preserve">1471</w:t>
            </w:r>
          </w:p>
        </w:tc>
        <w:tc>
          <w:tcPr/>
          <w:p>
            <w:pPr>
              <w:pStyle w:val="Compact"/>
            </w:pPr>
            <w:r>
              <w:t xml:space="preserve">0</w:t>
            </w:r>
          </w:p>
        </w:tc>
        <w:tc>
          <w:tcPr/>
          <w:p>
            <w:pPr>
              <w:pStyle w:val="Compact"/>
            </w:pPr>
            <w:r>
              <w:t xml:space="preserve">166</w:t>
            </w:r>
          </w:p>
        </w:tc>
        <w:tc>
          <w:tcPr/>
          <w:p>
            <w:pPr>
              <w:pStyle w:val="Compact"/>
            </w:pPr>
            <w:r>
              <w:t xml:space="preserve">539</w:t>
            </w:r>
          </w:p>
        </w:tc>
        <w:tc>
          <w:tcPr/>
          <w:p>
            <w:pPr>
              <w:pStyle w:val="Compact"/>
            </w:pPr>
            <w:r>
              <w:t xml:space="preserve">129</w:t>
            </w:r>
          </w:p>
        </w:tc>
        <w:tc>
          <w:tcPr/>
          <w:p>
            <w:pPr>
              <w:pStyle w:val="Compact"/>
            </w:pPr>
            <w:r>
              <w:t xml:space="preserve">110</w:t>
            </w:r>
          </w:p>
        </w:tc>
        <w:tc>
          <w:tcPr/>
          <w:p>
            <w:pPr>
              <w:pStyle w:val="Compact"/>
            </w:pPr>
            <w:r>
              <w:t xml:space="preserve">3877</w:t>
            </w:r>
          </w:p>
        </w:tc>
        <w:tc>
          <w:tcPr/>
          <w:p>
            <w:pPr>
              <w:pStyle w:val="Compact"/>
            </w:pPr>
            <w:r>
              <w:t xml:space="preserve">9</w:t>
            </w:r>
          </w:p>
        </w:tc>
      </w:tr>
      <w:tr>
        <w:tc>
          <w:tcPr>
            <w:gridSpan w:val="1"/>
            <w:vMerge w:val="continue"/>
          </w:tcPr>
          <w:p>
            <w:pPr/>
          </w:p>
        </w:tc>
        <w:tc>
          <w:tcPr/>
          <w:p>
            <w:pPr>
              <w:pStyle w:val="Compact"/>
            </w:pPr>
            <w:r>
              <w:t xml:space="preserve">5</w:t>
            </w:r>
          </w:p>
        </w:tc>
        <w:tc>
          <w:tcPr/>
          <w:p>
            <w:pPr>
              <w:pStyle w:val="Compact"/>
            </w:pPr>
            <w:r>
              <w:t xml:space="preserve">115</w:t>
            </w:r>
          </w:p>
        </w:tc>
        <w:tc>
          <w:tcPr/>
          <w:p>
            <w:pPr>
              <w:pStyle w:val="Compact"/>
            </w:pPr>
            <w:r>
              <w:t xml:space="preserve">303</w:t>
            </w:r>
          </w:p>
        </w:tc>
        <w:tc>
          <w:tcPr/>
          <w:p>
            <w:pPr>
              <w:pStyle w:val="Compact"/>
            </w:pPr>
            <w:r>
              <w:t xml:space="preserve">0</w:t>
            </w:r>
          </w:p>
        </w:tc>
        <w:tc>
          <w:tcPr/>
          <w:p>
            <w:pPr>
              <w:pStyle w:val="Compact"/>
            </w:pPr>
            <w:r>
              <w:t xml:space="preserve">65</w:t>
            </w:r>
          </w:p>
        </w:tc>
        <w:tc>
          <w:tcPr/>
          <w:p>
            <w:pPr>
              <w:pStyle w:val="Compact"/>
            </w:pPr>
            <w:r>
              <w:t xml:space="preserve">175</w:t>
            </w:r>
          </w:p>
        </w:tc>
        <w:tc>
          <w:tcPr/>
          <w:p>
            <w:pPr>
              <w:pStyle w:val="Compact"/>
            </w:pPr>
            <w:r>
              <w:t xml:space="preserve">50</w:t>
            </w:r>
          </w:p>
        </w:tc>
        <w:tc>
          <w:tcPr/>
          <w:p>
            <w:pPr>
              <w:pStyle w:val="Compact"/>
            </w:pPr>
            <w:r>
              <w:t xml:space="preserve">49</w:t>
            </w:r>
          </w:p>
        </w:tc>
        <w:tc>
          <w:tcPr/>
          <w:p>
            <w:pPr>
              <w:pStyle w:val="Compact"/>
            </w:pPr>
            <w:r>
              <w:t xml:space="preserve">1521</w:t>
            </w:r>
          </w:p>
        </w:tc>
        <w:tc>
          <w:tcPr/>
          <w:p>
            <w:pPr>
              <w:pStyle w:val="Compact"/>
            </w:pPr>
            <w:r>
              <w:t xml:space="preserve">1</w:t>
            </w:r>
          </w:p>
        </w:tc>
      </w:tr>
      <w:tr>
        <w:tc>
          <w:tcPr>
            <w:gridSpan w:val="1"/>
            <w:vMerge w:val="continue"/>
          </w:tcPr>
          <w:p>
            <w:pPr/>
          </w:p>
        </w:tc>
        <w:tc>
          <w:tcPr/>
          <w:p>
            <w:pPr>
              <w:pStyle w:val="Compact"/>
            </w:pPr>
            <w:r>
              <w:t xml:space="preserve">6-10</w:t>
            </w:r>
          </w:p>
        </w:tc>
        <w:tc>
          <w:tcPr/>
          <w:p>
            <w:pPr>
              <w:pStyle w:val="Compact"/>
            </w:pPr>
            <w:r>
              <w:t xml:space="preserve">107</w:t>
            </w:r>
          </w:p>
        </w:tc>
        <w:tc>
          <w:tcPr/>
          <w:p>
            <w:pPr>
              <w:pStyle w:val="Compact"/>
            </w:pPr>
            <w:r>
              <w:t xml:space="preserve">284</w:t>
            </w:r>
          </w:p>
        </w:tc>
        <w:tc>
          <w:tcPr/>
          <w:p>
            <w:pPr>
              <w:pStyle w:val="Compact"/>
            </w:pPr>
            <w:r>
              <w:t xml:space="preserve">0</w:t>
            </w:r>
          </w:p>
        </w:tc>
        <w:tc>
          <w:tcPr/>
          <w:p>
            <w:pPr>
              <w:pStyle w:val="Compact"/>
            </w:pPr>
            <w:r>
              <w:t xml:space="preserve">47</w:t>
            </w:r>
          </w:p>
        </w:tc>
        <w:tc>
          <w:tcPr/>
          <w:p>
            <w:pPr>
              <w:pStyle w:val="Compact"/>
            </w:pPr>
            <w:r>
              <w:t xml:space="preserve">65</w:t>
            </w:r>
          </w:p>
        </w:tc>
        <w:tc>
          <w:tcPr/>
          <w:p>
            <w:pPr>
              <w:pStyle w:val="Compact"/>
            </w:pPr>
            <w:r>
              <w:t xml:space="preserve">34</w:t>
            </w:r>
          </w:p>
        </w:tc>
        <w:tc>
          <w:tcPr/>
          <w:p>
            <w:pPr>
              <w:pStyle w:val="Compact"/>
            </w:pPr>
            <w:r>
              <w:t xml:space="preserve">33</w:t>
            </w:r>
          </w:p>
        </w:tc>
        <w:tc>
          <w:tcPr/>
          <w:p>
            <w:pPr>
              <w:pStyle w:val="Compact"/>
            </w:pPr>
            <w:r>
              <w:t xml:space="preserve">1197</w:t>
            </w:r>
          </w:p>
        </w:tc>
        <w:tc>
          <w:tcPr/>
          <w:p>
            <w:pPr>
              <w:pStyle w:val="Compact"/>
            </w:pPr>
            <w:r>
              <w:t xml:space="preserve">3</w:t>
            </w:r>
          </w:p>
        </w:tc>
      </w:tr>
      <w:tr>
        <w:tc>
          <w:tcPr>
            <w:vMerge w:val="restart"/>
          </w:tcPr>
          <w:p>
            <w:pPr>
              <w:pStyle w:val="Compact"/>
            </w:pPr>
            <w:r>
              <w:t xml:space="preserve">Wien</w:t>
            </w:r>
          </w:p>
        </w:tc>
        <w:tc>
          <w:tcPr/>
          <w:p>
            <w:pPr>
              <w:pStyle w:val="Compact"/>
            </w:pPr>
            <w:r>
              <w:t xml:space="preserve">1</w:t>
            </w:r>
          </w:p>
        </w:tc>
        <w:tc>
          <w:tcPr/>
          <w:p>
            <w:pPr>
              <w:pStyle w:val="Compact"/>
            </w:pPr>
            <w:r>
              <w:t xml:space="preserve">137</w:t>
            </w:r>
          </w:p>
        </w:tc>
        <w:tc>
          <w:tcPr/>
          <w:p>
            <w:pPr>
              <w:pStyle w:val="Compact"/>
            </w:pPr>
            <w:r>
              <w:t xml:space="preserve">15342</w:t>
            </w:r>
          </w:p>
        </w:tc>
        <w:tc>
          <w:tcPr/>
          <w:p>
            <w:pPr>
              <w:pStyle w:val="Compact"/>
            </w:pPr>
            <w:r>
              <w:t xml:space="preserve">5</w:t>
            </w:r>
          </w:p>
        </w:tc>
        <w:tc>
          <w:tcPr/>
          <w:p>
            <w:pPr>
              <w:pStyle w:val="Compact"/>
            </w:pPr>
            <w:r>
              <w:t xml:space="preserve">164</w:t>
            </w:r>
          </w:p>
        </w:tc>
        <w:tc>
          <w:tcPr/>
          <w:p>
            <w:pPr>
              <w:pStyle w:val="Compact"/>
            </w:pPr>
            <w:r>
              <w:t xml:space="preserve">56</w:t>
            </w:r>
          </w:p>
        </w:tc>
        <w:tc>
          <w:tcPr/>
          <w:p>
            <w:pPr>
              <w:pStyle w:val="Compact"/>
            </w:pPr>
            <w:r>
              <w:t xml:space="preserve">310</w:t>
            </w:r>
          </w:p>
        </w:tc>
        <w:tc>
          <w:tcPr/>
          <w:p>
            <w:pPr>
              <w:pStyle w:val="Compact"/>
            </w:pPr>
            <w:r>
              <w:t xml:space="preserve">45</w:t>
            </w:r>
          </w:p>
        </w:tc>
        <w:tc>
          <w:tcPr/>
          <w:p>
            <w:pPr>
              <w:pStyle w:val="Compact"/>
            </w:pPr>
            <w:r>
              <w:t xml:space="preserve">100</w:t>
            </w:r>
          </w:p>
        </w:tc>
        <w:tc>
          <w:tcPr/>
          <w:p>
            <w:pPr>
              <w:pStyle w:val="Compact"/>
            </w:pPr>
            <w:r>
              <w:t xml:space="preserve">59</w:t>
            </w:r>
          </w:p>
        </w:tc>
      </w:tr>
      <w:tr>
        <w:tc>
          <w:tcPr>
            <w:gridSpan w:val="1"/>
            <w:vMerge w:val="continue"/>
          </w:tcPr>
          <w:p>
            <w:pPr/>
          </w:p>
        </w:tc>
        <w:tc>
          <w:tcPr/>
          <w:p>
            <w:pPr>
              <w:pStyle w:val="Compact"/>
            </w:pPr>
            <w:r>
              <w:t xml:space="preserve">11+</w:t>
            </w:r>
          </w:p>
        </w:tc>
        <w:tc>
          <w:tcPr/>
          <w:p>
            <w:pPr>
              <w:pStyle w:val="Compact"/>
            </w:pPr>
            <w:r>
              <w:t xml:space="preserve">103</w:t>
            </w:r>
          </w:p>
        </w:tc>
        <w:tc>
          <w:tcPr/>
          <w:p>
            <w:pPr>
              <w:pStyle w:val="Compact"/>
            </w:pPr>
            <w:r>
              <w:t xml:space="preserve">32</w:t>
            </w:r>
          </w:p>
        </w:tc>
        <w:tc>
          <w:tcPr/>
          <w:p>
            <w:pPr>
              <w:pStyle w:val="Compact"/>
            </w:pPr>
            <w:r>
              <w:t xml:space="preserve">2</w:t>
            </w:r>
          </w:p>
        </w:tc>
        <w:tc>
          <w:tcPr/>
          <w:p>
            <w:pPr>
              <w:pStyle w:val="Compact"/>
            </w:pPr>
            <w:r>
              <w:t xml:space="preserve">4</w:t>
            </w:r>
          </w:p>
        </w:tc>
        <w:tc>
          <w:tcPr/>
          <w:p>
            <w:pPr>
              <w:pStyle w:val="Compact"/>
            </w:pPr>
            <w:r>
              <w:t xml:space="preserve">20</w:t>
            </w:r>
          </w:p>
        </w:tc>
        <w:tc>
          <w:tcPr/>
          <w:p>
            <w:pPr>
              <w:pStyle w:val="Compact"/>
            </w:pPr>
            <w:r>
              <w:t xml:space="preserve">5</w:t>
            </w:r>
          </w:p>
        </w:tc>
        <w:tc>
          <w:tcPr/>
          <w:p>
            <w:pPr>
              <w:pStyle w:val="Compact"/>
            </w:pPr>
            <w:r>
              <w:t xml:space="preserve">40</w:t>
            </w:r>
          </w:p>
        </w:tc>
        <w:tc>
          <w:tcPr/>
          <w:p>
            <w:pPr>
              <w:pStyle w:val="Compact"/>
            </w:pPr>
            <w:r>
              <w:t xml:space="preserve">234</w:t>
            </w:r>
          </w:p>
        </w:tc>
        <w:tc>
          <w:tcPr/>
          <w:p>
            <w:pPr>
              <w:pStyle w:val="Compact"/>
            </w:pPr>
            <w:r>
              <w:t xml:space="preserve">1</w:t>
            </w:r>
          </w:p>
        </w:tc>
      </w:tr>
      <w:tr>
        <w:tc>
          <w:tcPr>
            <w:gridSpan w:val="1"/>
            <w:vMerge w:val="continue"/>
          </w:tcPr>
          <w:p>
            <w:pPr/>
          </w:p>
        </w:tc>
        <w:tc>
          <w:tcPr/>
          <w:p>
            <w:pPr>
              <w:pStyle w:val="Compact"/>
            </w:pPr>
            <w:r>
              <w:t xml:space="preserve">2</w:t>
            </w:r>
          </w:p>
        </w:tc>
        <w:tc>
          <w:tcPr/>
          <w:p>
            <w:pPr>
              <w:pStyle w:val="Compact"/>
            </w:pPr>
            <w:r>
              <w:t xml:space="preserve">398</w:t>
            </w:r>
          </w:p>
        </w:tc>
        <w:tc>
          <w:tcPr/>
          <w:p>
            <w:pPr>
              <w:pStyle w:val="Compact"/>
            </w:pPr>
            <w:r>
              <w:t xml:space="preserve">16886</w:t>
            </w:r>
          </w:p>
        </w:tc>
        <w:tc>
          <w:tcPr/>
          <w:p>
            <w:pPr>
              <w:pStyle w:val="Compact"/>
            </w:pPr>
            <w:r>
              <w:t xml:space="preserve">11</w:t>
            </w:r>
          </w:p>
        </w:tc>
        <w:tc>
          <w:tcPr/>
          <w:p>
            <w:pPr>
              <w:pStyle w:val="Compact"/>
            </w:pPr>
            <w:r>
              <w:t xml:space="preserve">153</w:t>
            </w:r>
          </w:p>
        </w:tc>
        <w:tc>
          <w:tcPr/>
          <w:p>
            <w:pPr>
              <w:pStyle w:val="Compact"/>
            </w:pPr>
            <w:r>
              <w:t xml:space="preserve">124</w:t>
            </w:r>
          </w:p>
        </w:tc>
        <w:tc>
          <w:tcPr/>
          <w:p>
            <w:pPr>
              <w:pStyle w:val="Compact"/>
            </w:pPr>
            <w:r>
              <w:t xml:space="preserve">356</w:t>
            </w:r>
          </w:p>
        </w:tc>
        <w:tc>
          <w:tcPr/>
          <w:p>
            <w:pPr>
              <w:pStyle w:val="Compact"/>
            </w:pPr>
            <w:r>
              <w:t xml:space="preserve">56</w:t>
            </w:r>
          </w:p>
        </w:tc>
        <w:tc>
          <w:tcPr/>
          <w:p>
            <w:pPr>
              <w:pStyle w:val="Compact"/>
            </w:pPr>
            <w:r>
              <w:t xml:space="preserve">820</w:t>
            </w:r>
          </w:p>
        </w:tc>
        <w:tc>
          <w:tcPr/>
          <w:p>
            <w:pPr>
              <w:pStyle w:val="Compact"/>
            </w:pPr>
            <w:r>
              <w:t xml:space="preserve">75</w:t>
            </w:r>
          </w:p>
        </w:tc>
      </w:tr>
      <w:tr>
        <w:tc>
          <w:tcPr>
            <w:gridSpan w:val="1"/>
            <w:vMerge w:val="continue"/>
          </w:tcPr>
          <w:p>
            <w:pPr/>
          </w:p>
        </w:tc>
        <w:tc>
          <w:tcPr/>
          <w:p>
            <w:pPr>
              <w:pStyle w:val="Compact"/>
            </w:pPr>
            <w:r>
              <w:t xml:space="preserve">3</w:t>
            </w:r>
          </w:p>
        </w:tc>
        <w:tc>
          <w:tcPr/>
          <w:p>
            <w:pPr>
              <w:pStyle w:val="Compact"/>
            </w:pPr>
            <w:r>
              <w:t xml:space="preserve">457</w:t>
            </w:r>
          </w:p>
        </w:tc>
        <w:tc>
          <w:tcPr/>
          <w:p>
            <w:pPr>
              <w:pStyle w:val="Compact"/>
            </w:pPr>
            <w:r>
              <w:t xml:space="preserve">14311</w:t>
            </w:r>
          </w:p>
        </w:tc>
        <w:tc>
          <w:tcPr/>
          <w:p>
            <w:pPr>
              <w:pStyle w:val="Compact"/>
            </w:pPr>
            <w:r>
              <w:t xml:space="preserve">13</w:t>
            </w:r>
          </w:p>
        </w:tc>
        <w:tc>
          <w:tcPr/>
          <w:p>
            <w:pPr>
              <w:pStyle w:val="Compact"/>
            </w:pPr>
            <w:r>
              <w:t xml:space="preserve">102</w:t>
            </w:r>
          </w:p>
        </w:tc>
        <w:tc>
          <w:tcPr/>
          <w:p>
            <w:pPr>
              <w:pStyle w:val="Compact"/>
            </w:pPr>
            <w:r>
              <w:t xml:space="preserve">94</w:t>
            </w:r>
          </w:p>
        </w:tc>
        <w:tc>
          <w:tcPr/>
          <w:p>
            <w:pPr>
              <w:pStyle w:val="Compact"/>
            </w:pPr>
            <w:r>
              <w:t xml:space="preserve">215</w:t>
            </w:r>
          </w:p>
        </w:tc>
        <w:tc>
          <w:tcPr/>
          <w:p>
            <w:pPr>
              <w:pStyle w:val="Compact"/>
            </w:pPr>
            <w:r>
              <w:t xml:space="preserve">50</w:t>
            </w:r>
          </w:p>
        </w:tc>
        <w:tc>
          <w:tcPr/>
          <w:p>
            <w:pPr>
              <w:pStyle w:val="Compact"/>
            </w:pPr>
            <w:r>
              <w:t xml:space="preserve">1632</w:t>
            </w:r>
          </w:p>
        </w:tc>
        <w:tc>
          <w:tcPr/>
          <w:p>
            <w:pPr>
              <w:pStyle w:val="Compact"/>
            </w:pPr>
            <w:r>
              <w:t xml:space="preserve">79</w:t>
            </w:r>
          </w:p>
        </w:tc>
      </w:tr>
      <w:tr>
        <w:tc>
          <w:tcPr>
            <w:gridSpan w:val="1"/>
            <w:vMerge w:val="continue"/>
          </w:tcPr>
          <w:p>
            <w:pPr/>
          </w:p>
        </w:tc>
        <w:tc>
          <w:tcPr/>
          <w:p>
            <w:pPr>
              <w:pStyle w:val="Compact"/>
            </w:pPr>
            <w:r>
              <w:t xml:space="preserve">4</w:t>
            </w:r>
          </w:p>
        </w:tc>
        <w:tc>
          <w:tcPr/>
          <w:p>
            <w:pPr>
              <w:pStyle w:val="Compact"/>
            </w:pPr>
            <w:r>
              <w:t xml:space="preserve">434</w:t>
            </w:r>
          </w:p>
        </w:tc>
        <w:tc>
          <w:tcPr/>
          <w:p>
            <w:pPr>
              <w:pStyle w:val="Compact"/>
            </w:pPr>
            <w:r>
              <w:t xml:space="preserve">3622</w:t>
            </w:r>
          </w:p>
        </w:tc>
        <w:tc>
          <w:tcPr/>
          <w:p>
            <w:pPr>
              <w:pStyle w:val="Compact"/>
            </w:pPr>
            <w:r>
              <w:t xml:space="preserve">12</w:t>
            </w:r>
          </w:p>
        </w:tc>
        <w:tc>
          <w:tcPr/>
          <w:p>
            <w:pPr>
              <w:pStyle w:val="Compact"/>
            </w:pPr>
            <w:r>
              <w:t xml:space="preserve">71</w:t>
            </w:r>
          </w:p>
        </w:tc>
        <w:tc>
          <w:tcPr/>
          <w:p>
            <w:pPr>
              <w:pStyle w:val="Compact"/>
            </w:pPr>
            <w:r>
              <w:t xml:space="preserve">46</w:t>
            </w:r>
          </w:p>
        </w:tc>
        <w:tc>
          <w:tcPr/>
          <w:p>
            <w:pPr>
              <w:pStyle w:val="Compact"/>
            </w:pPr>
            <w:r>
              <w:t xml:space="preserve">190</w:t>
            </w:r>
          </w:p>
        </w:tc>
        <w:tc>
          <w:tcPr/>
          <w:p>
            <w:pPr>
              <w:pStyle w:val="Compact"/>
            </w:pPr>
            <w:r>
              <w:t xml:space="preserve">69</w:t>
            </w:r>
          </w:p>
        </w:tc>
        <w:tc>
          <w:tcPr/>
          <w:p>
            <w:pPr>
              <w:pStyle w:val="Compact"/>
            </w:pPr>
            <w:r>
              <w:t xml:space="preserve">2191</w:t>
            </w:r>
          </w:p>
        </w:tc>
        <w:tc>
          <w:tcPr/>
          <w:p>
            <w:pPr>
              <w:pStyle w:val="Compact"/>
            </w:pPr>
            <w:r>
              <w:t xml:space="preserve">42</w:t>
            </w:r>
          </w:p>
        </w:tc>
      </w:tr>
      <w:tr>
        <w:tc>
          <w:tcPr>
            <w:gridSpan w:val="1"/>
            <w:vMerge w:val="continue"/>
          </w:tcPr>
          <w:p>
            <w:pPr/>
          </w:p>
        </w:tc>
        <w:tc>
          <w:tcPr/>
          <w:p>
            <w:pPr>
              <w:pStyle w:val="Compact"/>
            </w:pPr>
            <w:r>
              <w:t xml:space="preserve">5</w:t>
            </w:r>
          </w:p>
        </w:tc>
        <w:tc>
          <w:tcPr/>
          <w:p>
            <w:pPr>
              <w:pStyle w:val="Compact"/>
            </w:pPr>
            <w:r>
              <w:t xml:space="preserve">572</w:t>
            </w:r>
          </w:p>
        </w:tc>
        <w:tc>
          <w:tcPr/>
          <w:p>
            <w:pPr>
              <w:pStyle w:val="Compact"/>
            </w:pPr>
            <w:r>
              <w:t xml:space="preserve">956</w:t>
            </w:r>
          </w:p>
        </w:tc>
        <w:tc>
          <w:tcPr/>
          <w:p>
            <w:pPr>
              <w:pStyle w:val="Compact"/>
            </w:pPr>
            <w:r>
              <w:t xml:space="preserve">16</w:t>
            </w:r>
          </w:p>
        </w:tc>
        <w:tc>
          <w:tcPr/>
          <w:p>
            <w:pPr>
              <w:pStyle w:val="Compact"/>
            </w:pPr>
            <w:r>
              <w:t xml:space="preserve">57</w:t>
            </w:r>
          </w:p>
        </w:tc>
        <w:tc>
          <w:tcPr/>
          <w:p>
            <w:pPr>
              <w:pStyle w:val="Compact"/>
            </w:pPr>
            <w:r>
              <w:t xml:space="preserve">70</w:t>
            </w:r>
          </w:p>
        </w:tc>
        <w:tc>
          <w:tcPr/>
          <w:p>
            <w:pPr>
              <w:pStyle w:val="Compact"/>
            </w:pPr>
            <w:r>
              <w:t xml:space="preserve">194</w:t>
            </w:r>
          </w:p>
        </w:tc>
        <w:tc>
          <w:tcPr/>
          <w:p>
            <w:pPr>
              <w:pStyle w:val="Compact"/>
            </w:pPr>
            <w:r>
              <w:t xml:space="preserve">61</w:t>
            </w:r>
          </w:p>
        </w:tc>
        <w:tc>
          <w:tcPr/>
          <w:p>
            <w:pPr>
              <w:pStyle w:val="Compact"/>
            </w:pPr>
            <w:r>
              <w:t xml:space="preserve">3322</w:t>
            </w:r>
          </w:p>
        </w:tc>
        <w:tc>
          <w:tcPr/>
          <w:p>
            <w:pPr>
              <w:pStyle w:val="Compact"/>
            </w:pPr>
            <w:r>
              <w:t xml:space="preserve">19</w:t>
            </w:r>
          </w:p>
        </w:tc>
      </w:tr>
      <w:tr>
        <w:tc>
          <w:tcPr>
            <w:gridSpan w:val="1"/>
            <w:vMerge w:val="continue"/>
          </w:tcPr>
          <w:p>
            <w:pPr/>
          </w:p>
        </w:tc>
        <w:tc>
          <w:tcPr/>
          <w:p>
            <w:pPr>
              <w:pStyle w:val="Compact"/>
            </w:pPr>
            <w:r>
              <w:t xml:space="preserve">6-10</w:t>
            </w:r>
          </w:p>
        </w:tc>
        <w:tc>
          <w:tcPr/>
          <w:p>
            <w:pPr>
              <w:pStyle w:val="Compact"/>
            </w:pPr>
            <w:r>
              <w:t xml:space="preserve">2297</w:t>
            </w:r>
          </w:p>
        </w:tc>
        <w:tc>
          <w:tcPr/>
          <w:p>
            <w:pPr>
              <w:pStyle w:val="Compact"/>
            </w:pPr>
            <w:r>
              <w:t xml:space="preserve">992</w:t>
            </w:r>
          </w:p>
        </w:tc>
        <w:tc>
          <w:tcPr/>
          <w:p>
            <w:pPr>
              <w:pStyle w:val="Compact"/>
            </w:pPr>
            <w:r>
              <w:t xml:space="preserve">45</w:t>
            </w:r>
          </w:p>
        </w:tc>
        <w:tc>
          <w:tcPr/>
          <w:p>
            <w:pPr>
              <w:pStyle w:val="Compact"/>
            </w:pPr>
            <w:r>
              <w:t xml:space="preserve">80</w:t>
            </w:r>
          </w:p>
        </w:tc>
        <w:tc>
          <w:tcPr/>
          <w:p>
            <w:pPr>
              <w:pStyle w:val="Compact"/>
            </w:pPr>
            <w:r>
              <w:t xml:space="preserve">297</w:t>
            </w:r>
          </w:p>
        </w:tc>
        <w:tc>
          <w:tcPr/>
          <w:p>
            <w:pPr>
              <w:pStyle w:val="Compact"/>
            </w:pPr>
            <w:r>
              <w:t xml:space="preserve">167</w:t>
            </w:r>
          </w:p>
        </w:tc>
        <w:tc>
          <w:tcPr/>
          <w:p>
            <w:pPr>
              <w:pStyle w:val="Compact"/>
            </w:pPr>
            <w:r>
              <w:t xml:space="preserve">340</w:t>
            </w:r>
          </w:p>
        </w:tc>
        <w:tc>
          <w:tcPr/>
          <w:p>
            <w:pPr>
              <w:pStyle w:val="Compact"/>
            </w:pPr>
            <w:r>
              <w:t xml:space="preserve">19290</w:t>
            </w:r>
          </w:p>
        </w:tc>
        <w:tc>
          <w:tcPr/>
          <w:p>
            <w:pPr>
              <w:pStyle w:val="Compact"/>
            </w:pPr>
            <w:r>
              <w:t xml:space="preserve">41</w:t>
            </w:r>
          </w:p>
        </w:tc>
      </w:tr>
    </w:tbl>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raw_edges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GFZ_STEP </w:t>
      </w:r>
      <w:r>
        <w:rPr>
          <w:rStyle w:val="OperatorTok"/>
        </w:rPr>
        <w:t xml:space="preserve">/</w:t>
      </w:r>
      <w:r>
        <w:rPr>
          <w:rStyle w:val="NormalTok"/>
        </w:rPr>
        <w:t xml:space="preserve"> </w:t>
      </w:r>
      <w:r>
        <w:rPr>
          <w:rStyle w:val="DecValTok"/>
        </w:rPr>
        <w:t xml:space="preserve">2</w:t>
      </w:r>
      <w:r>
        <w:rPr>
          <w:rStyle w:val="NormalTok"/>
        </w:rPr>
        <w:t xml:space="preserve">, GFZ_STEP)</w:t>
      </w:r>
      <w:r>
        <w:br/>
      </w:r>
      <w:r>
        <w:rPr>
          <w:rStyle w:val="ControlFlowTok"/>
        </w:rPr>
        <w:t xml:space="preserve">for</w:t>
      </w:r>
      <w:r>
        <w:rPr>
          <w:rStyle w:val="NormalTok"/>
        </w:rPr>
        <w:t xml:space="preserve"> region, color </w:t>
      </w:r>
      <w:r>
        <w:rPr>
          <w:rStyle w:val="KeywordTok"/>
        </w:rPr>
        <w:t xml:space="preserve">in</w:t>
      </w:r>
      <w:r>
        <w:rPr>
          <w:rStyle w:val="NormalTok"/>
        </w:rPr>
        <w:t xml:space="preserve"> [(</w:t>
      </w:r>
      <w:r>
        <w:rPr>
          <w:rStyle w:val="StringTok"/>
        </w:rPr>
        <w:t xml:space="preserve">"Wien"</w:t>
      </w:r>
      <w:r>
        <w:rPr>
          <w:rStyle w:val="NormalTok"/>
        </w:rPr>
        <w:t xml:space="preserve">, </w:t>
      </w:r>
      <w:r>
        <w:rPr>
          <w:rStyle w:val="StringTok"/>
        </w:rPr>
        <w:t xml:space="preserve">"#955196"</w:t>
      </w:r>
      <w:r>
        <w:rPr>
          <w:rStyle w:val="NormalTok"/>
        </w:rPr>
        <w:t xml:space="preserve">), (</w:t>
      </w:r>
      <w:r>
        <w:rPr>
          <w:rStyle w:val="StringTok"/>
        </w:rPr>
        <w:t xml:space="preserve">"Salzburg"</w:t>
      </w:r>
      <w:r>
        <w:rPr>
          <w:rStyle w:val="NormalTok"/>
        </w:rPr>
        <w:t xml:space="preserve">, </w:t>
      </w:r>
      <w:r>
        <w:rPr>
          <w:rStyle w:val="StringTok"/>
        </w:rPr>
        <w:t xml:space="preserve">"#007c83"</w:t>
      </w:r>
      <w:r>
        <w:rPr>
          <w:rStyle w:val="NormalTok"/>
        </w:rPr>
        <w:t xml:space="preserve">)]:</w:t>
      </w:r>
      <w:r>
        <w:br/>
      </w:r>
      <w:r>
        <w:rPr>
          <w:rStyle w:val="NormalTok"/>
        </w:rPr>
        <w:t xml:space="preserve">    g </w:t>
      </w:r>
      <w:r>
        <w:rPr>
          <w:rStyle w:val="OperatorTok"/>
        </w:rPr>
        <w:t xml:space="preserve">=</w:t>
      </w:r>
      <w:r>
        <w:rPr>
          <w:rStyle w:val="NormalTok"/>
        </w:rPr>
        <w:t xml:space="preserve"> samples.loc[samples.Bundesland </w:t>
      </w:r>
      <w:r>
        <w:rPr>
          <w:rStyle w:val="OperatorTok"/>
        </w:rPr>
        <w:t xml:space="preserve">==</w:t>
      </w:r>
      <w:r>
        <w:rPr>
          <w:rStyle w:val="NormalTok"/>
        </w:rPr>
        <w:t xml:space="preserve"> region]</w:t>
      </w:r>
      <w:r>
        <w:br/>
      </w:r>
      <w:r>
        <w:rPr>
          <w:rStyle w:val="NormalTok"/>
        </w:rPr>
        <w:t xml:space="preserve">    counts, _ </w:t>
      </w:r>
      <w:r>
        <w:rPr>
          <w:rStyle w:val="OperatorTok"/>
        </w:rPr>
        <w:t xml:space="preserve">=</w:t>
      </w:r>
      <w:r>
        <w:rPr>
          <w:rStyle w:val="NormalTok"/>
        </w:rPr>
        <w:t xml:space="preserve"> np.histogram(g.GFZ, bins</w:t>
      </w:r>
      <w:r>
        <w:rPr>
          <w:rStyle w:val="OperatorTok"/>
        </w:rPr>
        <w:t xml:space="preserve">=</w:t>
      </w:r>
      <w:r>
        <w:rPr>
          <w:rStyle w:val="NormalTok"/>
        </w:rPr>
        <w:t xml:space="preserve">raw_edges, weights</w:t>
      </w:r>
      <w:r>
        <w:rPr>
          <w:rStyle w:val="OperatorTok"/>
        </w:rPr>
        <w:t xml:space="preserve">=</w:t>
      </w:r>
      <w:r>
        <w:rPr>
          <w:rStyle w:val="NormalTok"/>
        </w:rPr>
        <w:t xml:space="preserve">g.BGF)</w:t>
      </w:r>
      <w:r>
        <w:br/>
      </w:r>
      <w:r>
        <w:rPr>
          <w:rStyle w:val="NormalTok"/>
        </w:rPr>
        <w:t xml:space="preserve">    </w:t>
      </w:r>
      <w:r>
        <w:rPr>
          <w:rStyle w:val="CommentTok"/>
        </w:rPr>
        <w:t xml:space="preserve"># normiert auf die GESAMTE Referenz-BGF (einschließlich GFZ &gt; 5)</w:t>
      </w:r>
      <w:r>
        <w:br/>
      </w:r>
      <w:r>
        <w:rPr>
          <w:rStyle w:val="NormalTok"/>
        </w:rPr>
        <w:t xml:space="preserve">    ax.step(raw_edges[:</w:t>
      </w:r>
      <w:r>
        <w:rPr>
          <w:rStyle w:val="Operator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counts </w:t>
      </w:r>
      <w:r>
        <w:rPr>
          <w:rStyle w:val="OperatorTok"/>
        </w:rPr>
        <w:t xml:space="preserve">/</w:t>
      </w:r>
      <w:r>
        <w:rPr>
          <w:rStyle w:val="NormalTok"/>
        </w:rPr>
        <w:t xml:space="preserve"> g.BGF.</w:t>
      </w:r>
      <w:r>
        <w:rPr>
          <w:rStyle w:val="BuiltInTok"/>
        </w:rPr>
        <w:t xml:space="preserve">sum</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            linewidth</w:t>
      </w:r>
      <w:r>
        <w:rPr>
          <w:rStyle w:val="OperatorTok"/>
        </w:rPr>
        <w:t xml:space="preserve">=</w:t>
      </w:r>
      <w:r>
        <w:rPr>
          <w:rStyle w:val="FloatTok"/>
        </w:rPr>
        <w:t xml:space="preserve">1.6</w:t>
      </w:r>
      <w:r>
        <w:rPr>
          <w:rStyle w:val="NormalTok"/>
        </w:rPr>
        <w:t xml:space="preserve">, label</w:t>
      </w:r>
      <w:r>
        <w:rPr>
          <w:rStyle w:val="OperatorTok"/>
        </w:rPr>
        <w:t xml:space="preserve">=</w:t>
      </w:r>
      <w:r>
        <w:rPr>
          <w:rStyle w:val="NormalTok"/>
        </w:rPr>
        <w:t xml:space="preserve">region, color</w:t>
      </w:r>
      <w:r>
        <w:rPr>
          <w:rStyle w:val="OperatorTok"/>
        </w:rPr>
        <w:t xml:space="preserve">=</w:t>
      </w:r>
      <w:r>
        <w:rPr>
          <w:rStyle w:val="NormalTok"/>
        </w:rPr>
        <w:t xml:space="preserve">color)</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"Anteil Referenz-BGF [% je 0,1 GFZ]"</w:t>
      </w:r>
      <w:r>
        <w:rPr>
          <w:rStyle w:val="NormalTok"/>
        </w:rPr>
        <w:t xml:space="preserve">)</w:t>
      </w:r>
      <w:r>
        <w:br/>
      </w:r>
      <w:r>
        <w:rPr>
          <w:rStyle w:val="NormalTok"/>
        </w:rPr>
        <w:t xml:space="preserve">ax.xaxis.set_major_locator(MultipleLocator(</w:t>
      </w:r>
      <w:r>
        <w:rPr>
          <w:rStyle w:val="DecValTok"/>
        </w:rPr>
        <w:t xml:space="preserve">1</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ax.legend()</w:t>
      </w:r>
      <w:r>
        <w:br/>
      </w:r>
      <w:r>
        <w:rPr>
          <w:rStyle w:val="NormalTok"/>
        </w:rPr>
        <w:t xml:space="preserve">fig.savefig(OUT </w:t>
      </w:r>
      <w:r>
        <w:rPr>
          <w:rStyle w:val="OperatorTok"/>
        </w:rPr>
        <w:t xml:space="preserve">/</w:t>
      </w:r>
      <w:r>
        <w:rPr>
          <w:rStyle w:val="NormalTok"/>
        </w:rPr>
        <w:t xml:space="preserve"> </w:t>
      </w:r>
      <w:r>
        <w:rPr>
          <w:rStyle w:val="StringTok"/>
        </w:rPr>
        <w:t xml:space="preserve">"gfz_referenz_rohstichproben.png"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57" w:name="fig-gfz-rohstichproben"/>
          <w:p>
            <w:pPr>
              <w:pStyle w:val="Compact"/>
              <w:jc w:val="center"/>
            </w:pPr>
            <w:r>
              <w:drawing>
                <wp:inline>
                  <wp:extent cx="5334000" cy="2030077"/>
                  <wp:effectExtent b="0" l="0" r="0" t="0"/>
                  <wp:docPr descr="" title="" id="455" name="Picture"/>
                  <a:graphic>
                    <a:graphicData uri="http://schemas.openxmlformats.org/drawingml/2006/picture">
                      <pic:pic>
                        <pic:nvPicPr>
                          <pic:cNvPr descr="Berechnungen\gfz_at/GFZ_AT_Analyse_Anhang_files/figure-docx/fig-gfz-rohstichproben-output-1.png" id="456" name="Picture"/>
                          <pic:cNvPicPr>
                            <a:picLocks noChangeArrowheads="1" noChangeAspect="1"/>
                          </pic:cNvPicPr>
                        </pic:nvPicPr>
                        <pic:blipFill>
                          <a:blip r:embed="rId454"/>
                          <a:stretch>
                            <a:fillRect/>
                          </a:stretch>
                        </pic:blipFill>
                        <pic:spPr bwMode="auto">
                          <a:xfrm>
                            <a:off x="0" y="0"/>
                            <a:ext cx="5334000" cy="2030077"/>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D.2: BGF-gewichtete GFZ-Häufigkeit der bereinigten Referenzgebäude aus Wien und Salzburg. Das Histogramm beschreibt die Stichprobe, nicht die hochgerechnete österreichische BGF.</w:t>
            </w:r>
          </w:p>
          <w:bookmarkEnd w:id="457"/>
        </w:tc>
      </w:tr>
    </w:tbl>
    <w:bookmarkEnd w:id="458"/>
    <w:bookmarkEnd w:id="459"/>
    <w:bookmarkStart w:id="469" w:name="Xc54a97cb5d95ce7cc0e0508c1a00a433b490b08"/>
    <w:p>
      <w:pPr>
        <w:pStyle w:val="Heading2"/>
      </w:pPr>
      <w:r>
        <w:t xml:space="preserve">C.3 3. Statistische Bestandsdaten 2021: Herkunft, Flächen und Struktur</w:t>
      </w:r>
    </w:p>
    <w:p>
      <w:pPr>
        <w:pStyle w:val="FirstParagraph"/>
      </w:pPr>
      <w:r>
        <w:t xml:space="preserve">Für die nationale Hochrechnung bildet die Statistik die verbindliche</w:t>
      </w:r>
      <w:r>
        <w:t xml:space="preserve"> </w:t>
      </w:r>
      <w:r>
        <w:rPr>
          <w:b/>
          <w:bCs/>
        </w:rPr>
        <w:t xml:space="preserve">Mengenbasis</w:t>
      </w:r>
      <w:r>
        <w:t xml:space="preserve">. Aus dem Tabellenblatt</w:t>
      </w:r>
      <w:r>
        <w:t xml:space="preserve"> </w:t>
      </w:r>
      <w:r>
        <w:rPr>
          <w:rStyle w:val="VerbatimChar"/>
        </w:rPr>
        <w:t xml:space="preserve">python</w:t>
      </w:r>
      <w:r>
        <w:t xml:space="preserve"> </w:t>
      </w:r>
      <w:r>
        <w:t xml:space="preserve">werden die neun Bundesländer und sieben Geschossklassen mit den neun Nutzungsgruppen entnommen. Zusätzliche historische Aggregatzeilen („AT ohne Wien und Salzburg“, „Alles“) werden herausgenommen, damit keine Doppelzählung entsteht. Die nationale Zeile</w:t>
      </w:r>
      <w:r>
        <w:t xml:space="preserve"> </w:t>
      </w:r>
      <w:r>
        <w:rPr>
          <w:rStyle w:val="VerbatimChar"/>
        </w:rPr>
        <w:t xml:space="preserve">AT</w:t>
      </w:r>
      <w:r>
        <w:t xml:space="preserve"> </w:t>
      </w:r>
      <w:r>
        <w:t xml:space="preserve">wird nur zur Kontrolle verwendet.</w:t>
      </w:r>
    </w:p>
    <w:p>
      <w:pPr>
        <w:pStyle w:val="BodyText"/>
      </w:pPr>
      <w:r>
        <w:rPr>
          <w:b/>
          <w:bCs/>
        </w:rPr>
        <w:t xml:space="preserve">Wichtig für die Diagramme:</w:t>
      </w:r>
      <w:r>
        <w:t xml:space="preserve"> </w:t>
      </w:r>
      <w:r>
        <w:t xml:space="preserve">Die statistischen Eingangsdaten sind als</w:t>
      </w:r>
      <w:r>
        <w:t xml:space="preserve"> </w:t>
      </w:r>
      <w:r>
        <w:rPr>
          <w:b/>
          <w:bCs/>
        </w:rPr>
        <w:t xml:space="preserve">NGF</w:t>
      </w:r>
      <w:r>
        <w:t xml:space="preserve"> </w:t>
      </w:r>
      <w:r>
        <w:t xml:space="preserve">abgelegt. Erst die Umrechnung mit</w:t>
      </w:r>
      <w:r>
        <w:t xml:space="preserve"> </w:t>
      </w:r>
      <w:r>
        <w:rPr>
          <w:rStyle w:val="VerbatimChar"/>
        </w:rPr>
        <w:t xml:space="preserve">NGF_PER_BGF = 0.8</w:t>
      </w:r>
      <w:r>
        <w:t xml:space="preserve"> </w:t>
      </w:r>
      <w:r>
        <w:t xml:space="preserve">erzeugt die im Anschluss als</w:t>
      </w:r>
      <w:r>
        <w:t xml:space="preserve"> </w:t>
      </w:r>
      <w:r>
        <w:rPr>
          <w:b/>
          <w:bCs/>
        </w:rPr>
        <w:t xml:space="preserve">BGF</w:t>
      </w:r>
      <w:r>
        <w:t xml:space="preserve"> </w:t>
      </w:r>
      <w:r>
        <w:t xml:space="preserve">dargestellten Flächen. In den Diagrammen wird somit die</w:t>
      </w:r>
      <w:r>
        <w:t xml:space="preserve"> </w:t>
      </w:r>
      <w:r>
        <w:rPr>
          <w:i/>
          <w:iCs/>
        </w:rPr>
        <w:t xml:space="preserve">statistisch verankerte, modellierte BGF</w:t>
      </w:r>
      <w:r>
        <w:t xml:space="preserve"> </w:t>
      </w:r>
      <w:r>
        <w:t xml:space="preserve">gezeigt, nicht eine ursprünglich als BGF veröffentlichte Größe.</w:t>
      </w:r>
    </w:p>
    <w:p>
      <w:pPr>
        <w:pStyle w:val="SourceCode"/>
      </w:pPr>
      <w:r>
        <w:rPr>
          <w:rStyle w:val="ControlFlowTok"/>
        </w:rPr>
        <w:t xml:space="preserve">if</w:t>
      </w:r>
      <w:r>
        <w:rPr>
          <w:rStyle w:val="NormalTok"/>
        </w:rPr>
        <w:t xml:space="preserve"> STATISTICS.suffix.lower()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stats_raw </w:t>
      </w:r>
      <w:r>
        <w:rPr>
          <w:rStyle w:val="OperatorTok"/>
        </w:rPr>
        <w:t xml:space="preserve">=</w:t>
      </w:r>
      <w:r>
        <w:rPr>
          <w:rStyle w:val="NormalTok"/>
        </w:rPr>
        <w:t xml:space="preserve"> pd.read_csv(STATISTICS,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ControlFlowTok"/>
        </w:rPr>
        <w:t xml:space="preserve">else</w:t>
      </w:r>
      <w:r>
        <w:rPr>
          <w:rStyle w:val="NormalTok"/>
        </w:rPr>
        <w:t xml:space="preserve">:</w:t>
      </w:r>
      <w:r>
        <w:br/>
      </w:r>
      <w:r>
        <w:rPr>
          <w:rStyle w:val="NormalTok"/>
        </w:rPr>
        <w:t xml:space="preserve">    stats_raw </w:t>
      </w:r>
      <w:r>
        <w:rPr>
          <w:rStyle w:val="OperatorTok"/>
        </w:rPr>
        <w:t xml:space="preserve">=</w:t>
      </w:r>
      <w:r>
        <w:rPr>
          <w:rStyle w:val="NormalTok"/>
        </w:rPr>
        <w:t xml:space="preserve"> pd.read_excel(STATISTICS, sheet_name</w:t>
      </w:r>
      <w:r>
        <w:rPr>
          <w:rStyle w:val="OperatorTok"/>
        </w:rPr>
        <w:t xml:space="preserve">=</w:t>
      </w:r>
      <w:r>
        <w:rPr>
          <w:rStyle w:val="StringTok"/>
        </w:rPr>
        <w:t xml:space="preserve">"python"</w:t>
      </w:r>
      <w:r>
        <w:rPr>
          <w:rStyle w:val="NormalTok"/>
        </w:rPr>
        <w:t xml:space="preserve">, dtype</w:t>
      </w:r>
      <w:r>
        <w:rPr>
          <w:rStyle w:val="OperatorTok"/>
        </w:rPr>
        <w:t xml:space="preserve">=</w:t>
      </w:r>
      <w:r>
        <w:rPr>
          <w:rStyle w:val="NormalTok"/>
        </w:rPr>
        <w:t xml:space="preserve">{</w:t>
      </w:r>
      <w:r>
        <w:rPr>
          <w:rStyle w:val="StringTok"/>
        </w:rPr>
        <w:t xml:space="preserve">"GK"</w:t>
      </w:r>
      <w:r>
        <w:rPr>
          <w:rStyle w:val="NormalTok"/>
        </w:rPr>
        <w:t xml:space="preserve">: </w:t>
      </w:r>
      <w:r>
        <w:rPr>
          <w:rStyle w:val="BuiltInTok"/>
        </w:rPr>
        <w:t xml:space="preserve">str</w:t>
      </w:r>
      <w:r>
        <w:rPr>
          <w:rStyle w:val="NormalTok"/>
        </w:rPr>
        <w:t xml:space="preserve">})</w:t>
      </w:r>
      <w:r>
        <w:br/>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t>
      </w:r>
      <w:r>
        <w:rPr>
          <w:rStyle w:val="StringTok"/>
        </w:rPr>
        <w:t xml:space="preserve">"NUTS"</w:t>
      </w:r>
      <w:r>
        <w:rPr>
          <w:rStyle w:val="NormalTok"/>
        </w:rPr>
        <w:t xml:space="preserve">, </w:t>
      </w:r>
      <w:r>
        <w:rPr>
          <w:rStyle w:val="StringTok"/>
        </w:rPr>
        <w:t xml:space="preserve">"GK"</w:t>
      </w:r>
      <w:r>
        <w:rPr>
          <w:rStyle w:val="NormalTok"/>
        </w:rPr>
        <w:t xml:space="preserve">, </w:t>
      </w:r>
      <w:r>
        <w:rPr>
          <w:rStyle w:val="OperatorTok"/>
        </w:rPr>
        <w:t xml:space="preserve">*</w:t>
      </w:r>
      <w:r>
        <w:rPr>
          <w:rStyle w:val="NormalTok"/>
        </w:rPr>
        <w:t xml:space="preserve">USES]) </w:t>
      </w:r>
      <w:r>
        <w:rPr>
          <w:rStyle w:val="OperatorTok"/>
        </w:rPr>
        <w:t xml:space="preserve">-</w:t>
      </w:r>
      <w:r>
        <w:rPr>
          <w:rStyle w:val="NormalTok"/>
        </w:rPr>
        <w:t xml:space="preserve"> </w:t>
      </w:r>
      <w:r>
        <w:rPr>
          <w:rStyle w:val="BuiltInTok"/>
        </w:rPr>
        <w:t xml:space="preserve">set</w:t>
      </w:r>
      <w:r>
        <w:rPr>
          <w:rStyle w:val="NormalTok"/>
        </w:rPr>
        <w:t xml:space="preserve">(stats_raw.columns))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f"Statistikdatei: Spalten fehlen: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NormalTok"/>
        </w:rPr>
        <w:t xml:space="preserve">legacy_aggregates </w:t>
      </w:r>
      <w:r>
        <w:rPr>
          <w:rStyle w:val="OperatorTok"/>
        </w:rPr>
        <w:t xml:space="preserve">=</w:t>
      </w:r>
      <w:r>
        <w:rPr>
          <w:rStyle w:val="NormalTok"/>
        </w:rPr>
        <w:t xml:space="preserve"> [</w:t>
      </w:r>
      <w:r>
        <w:rPr>
          <w:rStyle w:val="StringTok"/>
        </w:rPr>
        <w:t xml:space="preserve">"AT ohne Wien und Salzburg"</w:t>
      </w:r>
      <w:r>
        <w:rPr>
          <w:rStyle w:val="NormalTok"/>
        </w:rPr>
        <w:t xml:space="preserve">, </w:t>
      </w:r>
      <w:r>
        <w:rPr>
          <w:rStyle w:val="StringTok"/>
        </w:rPr>
        <w:t xml:space="preserve">"Alles"</w:t>
      </w:r>
      <w:r>
        <w:rPr>
          <w:rStyle w:val="NormalTok"/>
        </w:rPr>
        <w:t xml:space="preserve">]</w:t>
      </w:r>
      <w:r>
        <w:br/>
      </w:r>
      <w:r>
        <w:rPr>
          <w:rStyle w:val="NormalTok"/>
        </w:rPr>
        <w:t xml:space="preserve">removed_aggregates </w:t>
      </w:r>
      <w:r>
        <w:rPr>
          <w:rStyle w:val="OperatorTok"/>
        </w:rPr>
        <w:t xml:space="preserve">=</w:t>
      </w:r>
      <w:r>
        <w:rPr>
          <w:rStyle w:val="NormalTok"/>
        </w:rPr>
        <w:t xml:space="preserve"> stats_raw.loc[stats_raw.NUTS.isin(legacy_aggregates), </w:t>
      </w:r>
      <w:r>
        <w:rPr>
          <w:rStyle w:val="StringTok"/>
        </w:rPr>
        <w:t xml:space="preserve">"NUTS"</w:t>
      </w:r>
      <w:r>
        <w:rPr>
          <w:rStyle w:val="NormalTok"/>
        </w:rPr>
        <w:t xml:space="preserve">].value_counts()</w:t>
      </w:r>
      <w:r>
        <w:br/>
      </w:r>
      <w:r>
        <w:rPr>
          <w:rStyle w:val="NormalTok"/>
        </w:rPr>
        <w:t xml:space="preserve">stats </w:t>
      </w:r>
      <w:r>
        <w:rPr>
          <w:rStyle w:val="OperatorTok"/>
        </w:rPr>
        <w:t xml:space="preserve">=</w:t>
      </w:r>
      <w:r>
        <w:rPr>
          <w:rStyle w:val="NormalTok"/>
        </w:rPr>
        <w:t xml:space="preserve"> stats_raw.loc[</w:t>
      </w:r>
      <w:r>
        <w:rPr>
          <w:rStyle w:val="OperatorTok"/>
        </w:rPr>
        <w:t xml:space="preserve">~</w:t>
      </w:r>
      <w:r>
        <w:rPr>
          <w:rStyle w:val="NormalTok"/>
        </w:rPr>
        <w:t xml:space="preserve">stats_raw.NUTS.isin(legacy_aggregates), [</w:t>
      </w:r>
      <w:r>
        <w:rPr>
          <w:rStyle w:val="StringTok"/>
        </w:rPr>
        <w:t xml:space="preserve">"NUTS"</w:t>
      </w:r>
      <w:r>
        <w:rPr>
          <w:rStyle w:val="NormalTok"/>
        </w:rPr>
        <w:t xml:space="preserve">, </w:t>
      </w:r>
      <w:r>
        <w:rPr>
          <w:rStyle w:val="StringTok"/>
        </w:rPr>
        <w:t xml:space="preserve">"GK"</w:t>
      </w:r>
      <w:r>
        <w:rPr>
          <w:rStyle w:val="NormalTok"/>
        </w:rPr>
        <w:t xml:space="preserve">, </w:t>
      </w:r>
      <w:r>
        <w:rPr>
          <w:rStyle w:val="OperatorTok"/>
        </w:rPr>
        <w:t xml:space="preserve">*</w:t>
      </w:r>
      <w:r>
        <w:rPr>
          <w:rStyle w:val="NormalTok"/>
        </w:rPr>
        <w:t xml:space="preserve">USES]].copy()</w:t>
      </w:r>
      <w:r>
        <w:br/>
      </w:r>
      <w:r>
        <w:rPr>
          <w:rStyle w:val="NormalTok"/>
        </w:rPr>
        <w:t xml:space="preserve">stats[</w:t>
      </w:r>
      <w:r>
        <w:rPr>
          <w:rStyle w:val="StringTok"/>
        </w:rPr>
        <w:t xml:space="preserve">"GK"</w:t>
      </w:r>
      <w:r>
        <w:rPr>
          <w:rStyle w:val="NormalTok"/>
        </w:rPr>
        <w:t xml:space="preserve">] </w:t>
      </w:r>
      <w:r>
        <w:rPr>
          <w:rStyle w:val="OperatorTok"/>
        </w:rPr>
        <w:t xml:space="preserve">=</w:t>
      </w:r>
      <w:r>
        <w:rPr>
          <w:rStyle w:val="NormalTok"/>
        </w:rPr>
        <w:t xml:space="preserve"> (stats[</w:t>
      </w:r>
      <w:r>
        <w:rPr>
          <w:rStyle w:val="StringTok"/>
        </w:rPr>
        <w:t xml:space="preserve">"GK"</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.lower()</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0</w:t>
      </w:r>
      <w:r>
        <w:rPr>
          <w:rStyle w:val="DecVal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.replace({</w:t>
      </w:r>
      <w:r>
        <w:rPr>
          <w:rStyle w:val="StringTok"/>
        </w:rPr>
        <w:t xml:space="preserve">"6 bis 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"6-10"</w:t>
      </w:r>
      <w:r>
        <w:rPr>
          <w:rStyle w:val="NormalTok"/>
        </w:rPr>
        <w:t xml:space="preserve">, </w:t>
      </w:r>
      <w:r>
        <w:rPr>
          <w:rStyle w:val="StringTok"/>
        </w:rPr>
        <w:t xml:space="preserve">"6010"</w:t>
      </w:r>
      <w:r>
        <w:rPr>
          <w:rStyle w:val="NormalTok"/>
        </w:rPr>
        <w:t xml:space="preserve">: </w:t>
      </w:r>
      <w:r>
        <w:rPr>
          <w:rStyle w:val="StringTok"/>
        </w:rPr>
        <w:t xml:space="preserve">"6-10"</w:t>
      </w:r>
      <w:r>
        <w:rPr>
          <w:rStyle w:val="NormalTok"/>
        </w:rPr>
        <w:t xml:space="preserve">,</w:t>
      </w:r>
      <w:r>
        <w:br/>
      </w:r>
      <w:r>
        <w:rPr>
          <w:rStyle w:val="NormalTok"/>
        </w:rPr>
        <w:t xml:space="preserve">                          </w:t>
      </w:r>
      <w:r>
        <w:rPr>
          <w:rStyle w:val="StringTok"/>
        </w:rPr>
        <w:t xml:space="preserve">"6.0 bis 10.0"</w:t>
      </w:r>
      <w:r>
        <w:rPr>
          <w:rStyle w:val="NormalTok"/>
        </w:rPr>
        <w:t xml:space="preserve">: </w:t>
      </w:r>
      <w:r>
        <w:rPr>
          <w:rStyle w:val="StringTok"/>
        </w:rPr>
        <w:t xml:space="preserve">"6-10"</w:t>
      </w:r>
      <w:r>
        <w:rPr>
          <w:rStyle w:val="NormalTok"/>
        </w:rPr>
        <w:t xml:space="preserve">, </w:t>
      </w:r>
      <w:r>
        <w:rPr>
          <w:rStyle w:val="StringTok"/>
        </w:rPr>
        <w:t xml:space="preserve">"11 und mehr"</w:t>
      </w:r>
      <w:r>
        <w:rPr>
          <w:rStyle w:val="NormalTok"/>
        </w:rPr>
        <w:t xml:space="preserve">: </w:t>
      </w:r>
      <w:r>
        <w:rPr>
          <w:rStyle w:val="StringTok"/>
        </w:rPr>
        <w:t xml:space="preserve">"11+"</w:t>
      </w:r>
      <w:r>
        <w:rPr>
          <w:rStyle w:val="NormalTok"/>
        </w:rPr>
        <w:t xml:space="preserve">,</w:t>
      </w:r>
      <w:r>
        <w:br/>
      </w:r>
      <w:r>
        <w:rPr>
          <w:rStyle w:val="NormalTok"/>
        </w:rPr>
        <w:t xml:space="preserve">                          </w:t>
      </w:r>
      <w:r>
        <w:rPr>
          <w:rStyle w:val="StringTok"/>
        </w:rPr>
        <w:t xml:space="preserve">"11 oder mehr"</w:t>
      </w:r>
      <w:r>
        <w:rPr>
          <w:rStyle w:val="NormalTok"/>
        </w:rPr>
        <w:t xml:space="preserve">: </w:t>
      </w:r>
      <w:r>
        <w:rPr>
          <w:rStyle w:val="StringTok"/>
        </w:rPr>
        <w:t xml:space="preserve">"11+"</w:t>
      </w:r>
      <w:r>
        <w:rPr>
          <w:rStyle w:val="NormalTok"/>
        </w:rPr>
        <w:t xml:space="preserve">, </w:t>
      </w:r>
      <w:r>
        <w:rPr>
          <w:rStyle w:val="StringTok"/>
        </w:rPr>
        <w:t xml:space="preserve">"11plus"</w:t>
      </w:r>
      <w:r>
        <w:rPr>
          <w:rStyle w:val="NormalTok"/>
        </w:rPr>
        <w:t xml:space="preserve">: </w:t>
      </w:r>
      <w:r>
        <w:rPr>
          <w:rStyle w:val="StringTok"/>
        </w:rPr>
        <w:t xml:space="preserve">"11+"</w:t>
      </w:r>
      <w:r>
        <w:rPr>
          <w:rStyle w:val="NormalTok"/>
        </w:rPr>
        <w:t xml:space="preserve">}))</w:t>
      </w:r>
      <w:r>
        <w:br/>
      </w:r>
      <w:r>
        <w:br/>
      </w:r>
      <w:r>
        <w:rPr>
          <w:rStyle w:val="NormalTok"/>
        </w:rPr>
        <w:t xml:space="preserve">bad_regions </w:t>
      </w:r>
      <w:r>
        <w:rPr>
          <w:rStyle w:val="OperatorTok"/>
        </w:rPr>
        <w:t xml:space="preserve">=</w:t>
      </w:r>
      <w:r>
        <w:rPr>
          <w:rStyle w:val="NormalTok"/>
        </w:rPr>
        <w:t xml:space="preserve"> </w:t>
      </w:r>
      <w:r>
        <w:rPr>
          <w:rStyle w:val="BuiltInTok"/>
        </w:rPr>
        <w:t xml:space="preserve">set</w:t>
      </w:r>
      <w:r>
        <w:rPr>
          <w:rStyle w:val="NormalTok"/>
        </w:rPr>
        <w:t xml:space="preserve">(stats.NUTS.dropna().astype(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(PROVINCES </w:t>
      </w:r>
      <w:r>
        <w:rPr>
          <w:rStyle w:val="OperatorTok"/>
        </w:rPr>
        <w:t xml:space="preserve">+</w:t>
      </w:r>
      <w:r>
        <w:rPr>
          <w:rStyle w:val="NormalTok"/>
        </w:rPr>
        <w:t xml:space="preserve"> [</w:t>
      </w:r>
      <w:r>
        <w:rPr>
          <w:rStyle w:val="StringTok"/>
        </w:rPr>
        <w:t xml:space="preserve">"AT"</w:t>
      </w:r>
      <w:r>
        <w:rPr>
          <w:rStyle w:val="NormalTok"/>
        </w:rPr>
        <w:t xml:space="preserve">])</w:t>
      </w:r>
      <w:r>
        <w:br/>
      </w:r>
      <w:r>
        <w:rPr>
          <w:rStyle w:val="ControlFlowTok"/>
        </w:rPr>
        <w:t xml:space="preserve">if</w:t>
      </w:r>
      <w:r>
        <w:rPr>
          <w:rStyle w:val="NormalTok"/>
        </w:rPr>
        <w:t xml:space="preserve"> bad_regions: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f"Unbekannte Regionen in Statistik: </w:t>
      </w:r>
      <w:r>
        <w:rPr>
          <w:rStyle w:val="SpecialCharTok"/>
        </w:rPr>
        <w:t xml:space="preserve">{</w:t>
      </w:r>
      <w:r>
        <w:rPr>
          <w:rStyle w:val="NormalTok"/>
        </w:rPr>
        <w:t xml:space="preserve">bad_regions</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stats.duplicated([</w:t>
      </w:r>
      <w:r>
        <w:rPr>
          <w:rStyle w:val="StringTok"/>
        </w:rPr>
        <w:t xml:space="preserve">"NUTS"</w:t>
      </w:r>
      <w:r>
        <w:rPr>
          <w:rStyle w:val="NormalTok"/>
        </w:rPr>
        <w:t xml:space="preserve">, </w:t>
      </w:r>
      <w:r>
        <w:rPr>
          <w:rStyle w:val="StringTok"/>
        </w:rPr>
        <w:t xml:space="preserve">"GK"</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"Doppelte Statistikzeilen mit identischem NUTS/GK"</w:t>
      </w:r>
      <w:r>
        <w:rPr>
          <w:rStyle w:val="NormalTok"/>
        </w:rPr>
        <w:t xml:space="preserve">)</w:t>
      </w:r>
      <w:r>
        <w:br/>
      </w:r>
      <w:r>
        <w:rPr>
          <w:rStyle w:val="NormalTok"/>
        </w:rPr>
        <w:t xml:space="preserve">missing_pairs </w:t>
      </w:r>
      <w:r>
        <w:rPr>
          <w:rStyle w:val="OperatorTok"/>
        </w:rPr>
        <w:t xml:space="preserve">=</w:t>
      </w:r>
      <w:r>
        <w:rPr>
          <w:rStyle w:val="NormalTok"/>
        </w:rPr>
        <w:t xml:space="preserve"> {(b, g) </w:t>
      </w:r>
      <w:r>
        <w:rPr>
          <w:rStyle w:val="ControlFlowTok"/>
        </w:rPr>
        <w:t xml:space="preserve">for</w:t>
      </w:r>
      <w:r>
        <w:rPr>
          <w:rStyle w:val="NormalTok"/>
        </w:rPr>
        <w:t xml:space="preserve"> b </w:t>
      </w:r>
      <w:r>
        <w:rPr>
          <w:rStyle w:val="KeywordTok"/>
        </w:rPr>
        <w:t xml:space="preserve">in</w:t>
      </w:r>
      <w:r>
        <w:rPr>
          <w:rStyle w:val="NormalTok"/>
        </w:rPr>
        <w:t xml:space="preserve"> PROVINCES </w:t>
      </w:r>
      <w:r>
        <w:rPr>
          <w:rStyle w:val="OperatorTok"/>
        </w:rPr>
        <w:t xml:space="preserve">+</w:t>
      </w:r>
      <w:r>
        <w:rPr>
          <w:rStyle w:val="NormalTok"/>
        </w:rPr>
        <w:t xml:space="preserve"> [</w:t>
      </w:r>
      <w:r>
        <w:rPr>
          <w:rStyle w:val="StringTok"/>
        </w:rPr>
        <w:t xml:space="preserve">"AT"</w:t>
      </w:r>
      <w:r>
        <w:rPr>
          <w:rStyle w:val="NormalTok"/>
        </w:rPr>
        <w:t xml:space="preserve">] </w:t>
      </w:r>
      <w:r>
        <w:rPr>
          <w:rStyle w:val="ControlFlowTok"/>
        </w:rPr>
        <w:t xml:space="preserve">for</w:t>
      </w:r>
      <w:r>
        <w:rPr>
          <w:rStyle w:val="NormalTok"/>
        </w:rPr>
        <w:t xml:space="preserve"> g </w:t>
      </w:r>
      <w:r>
        <w:rPr>
          <w:rStyle w:val="KeywordTok"/>
        </w:rPr>
        <w:t xml:space="preserve">in</w:t>
      </w:r>
      <w:r>
        <w:rPr>
          <w:rStyle w:val="NormalTok"/>
        </w:rPr>
        <w:t xml:space="preserve"> STOREYS}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zip</w:t>
      </w:r>
      <w:r>
        <w:rPr>
          <w:rStyle w:val="NormalTok"/>
        </w:rPr>
        <w:t xml:space="preserve">(stats.NUTS, stats.GK))</w:t>
      </w:r>
      <w:r>
        <w:br/>
      </w:r>
      <w:r>
        <w:rPr>
          <w:rStyle w:val="ControlFlowTok"/>
        </w:rPr>
        <w:t xml:space="preserve">if</w:t>
      </w:r>
      <w:r>
        <w:rPr>
          <w:rStyle w:val="NormalTok"/>
        </w:rPr>
        <w:t xml:space="preserve"> missing_pairs: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f"Geschossklassen in Statistik nicht vollständig: </w:t>
      </w:r>
      <w:r>
        <w:rPr>
          <w:rStyle w:val="SpecialCharTok"/>
        </w:rPr>
        <w:t xml:space="preserve">{</w:t>
      </w:r>
      <w:r>
        <w:rPr>
          <w:rStyle w:val="BuiltInTok"/>
        </w:rPr>
        <w:t xml:space="preserve">sorted</w:t>
      </w:r>
      <w:r>
        <w:rPr>
          <w:rStyle w:val="NormalTok"/>
        </w:rPr>
        <w:t xml:space="preserve">(missing_pairs)</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u </w:t>
      </w:r>
      <w:r>
        <w:rPr>
          <w:rStyle w:val="KeywordTok"/>
        </w:rPr>
        <w:t xml:space="preserve">in</w:t>
      </w:r>
      <w:r>
        <w:rPr>
          <w:rStyle w:val="NormalTok"/>
        </w:rPr>
        <w:t xml:space="preserve"> USES:</w:t>
      </w:r>
      <w:r>
        <w:br/>
      </w:r>
      <w:r>
        <w:rPr>
          <w:rStyle w:val="NormalTok"/>
        </w:rPr>
        <w:t xml:space="preserve">    stats[u] </w:t>
      </w:r>
      <w:r>
        <w:rPr>
          <w:rStyle w:val="OperatorTok"/>
        </w:rPr>
        <w:t xml:space="preserve">=</w:t>
      </w:r>
      <w:r>
        <w:rPr>
          <w:rStyle w:val="NormalTok"/>
        </w:rPr>
        <w:t xml:space="preserve"> pd.to_numeric(stats[u], errors</w:t>
      </w:r>
      <w:r>
        <w:rPr>
          <w:rStyle w:val="OperatorTok"/>
        </w:rPr>
        <w:t xml:space="preserve">=</w:t>
      </w:r>
      <w:r>
        <w:rPr>
          <w:rStyle w:val="StringTok"/>
        </w:rPr>
        <w:t xml:space="preserve">"raise"</w:t>
      </w:r>
      <w:r>
        <w:rPr>
          <w:rStyle w:val="NormalTok"/>
        </w:rPr>
        <w:t xml:space="preserve">).fillna(</w:t>
      </w:r>
      <w:r>
        <w:rPr>
          <w:rStyle w:val="DecValTok"/>
        </w:rPr>
        <w:t xml:space="preserve">0</w:t>
      </w:r>
      <w:r>
        <w:rPr>
          <w:rStyle w:val="NormalTok"/>
        </w:rPr>
        <w:t xml:space="preserve">)</w:t>
      </w:r>
      <w:r>
        <w:br/>
      </w:r>
      <w:r>
        <w:rPr>
          <w:rStyle w:val="ControlFlowTok"/>
        </w:rPr>
        <w:t xml:space="preserve">if</w:t>
      </w:r>
      <w:r>
        <w:rPr>
          <w:rStyle w:val="NormalTok"/>
        </w:rPr>
        <w:t xml:space="preserve"> stats[USES].lt(</w:t>
      </w:r>
      <w:r>
        <w:rPr>
          <w:rStyle w:val="DecValTok"/>
        </w:rPr>
        <w:t xml:space="preserve">0</w:t>
      </w:r>
      <w:r>
        <w:rPr>
          <w:rStyle w:val="NormalTok"/>
        </w:rPr>
        <w:t xml:space="preserve">).</w:t>
      </w:r>
      <w:r>
        <w:rPr>
          <w:rStyle w:val="BuiltInTok"/>
        </w:rPr>
        <w:t xml:space="preserve">any</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"Statistische NGF enthält negative Werte"</w:t>
      </w:r>
      <w:r>
        <w:rPr>
          <w:rStyle w:val="NormalTok"/>
        </w:rPr>
        <w:t xml:space="preserve">)</w:t>
      </w:r>
      <w:r>
        <w:br/>
      </w:r>
      <w:r>
        <w:br/>
      </w:r>
      <w:r>
        <w:rPr>
          <w:rStyle w:val="CommentTok"/>
        </w:rPr>
        <w:t xml:space="preserve"># Statistik: breites Eingangsschema in Bundesland × GK × Nutzung überführen</w:t>
      </w:r>
      <w:r>
        <w:br/>
      </w:r>
      <w:r>
        <w:rPr>
          <w:rStyle w:val="NormalTok"/>
        </w:rPr>
        <w:t xml:space="preserve">stats_long </w:t>
      </w:r>
      <w:r>
        <w:rPr>
          <w:rStyle w:val="OperatorTok"/>
        </w:rPr>
        <w:t xml:space="preserve">=</w:t>
      </w:r>
      <w:r>
        <w:rPr>
          <w:rStyle w:val="NormalTok"/>
        </w:rPr>
        <w:t xml:space="preserve"> stats.melt(id_vars</w:t>
      </w:r>
      <w:r>
        <w:rPr>
          <w:rStyle w:val="OperatorTok"/>
        </w:rPr>
        <w:t xml:space="preserve">=</w:t>
      </w:r>
      <w:r>
        <w:rPr>
          <w:rStyle w:val="NormalTok"/>
        </w:rPr>
        <w:t xml:space="preserve">[</w:t>
      </w:r>
      <w:r>
        <w:rPr>
          <w:rStyle w:val="StringTok"/>
        </w:rPr>
        <w:t xml:space="preserve">"NUTS"</w:t>
      </w:r>
      <w:r>
        <w:rPr>
          <w:rStyle w:val="NormalTok"/>
        </w:rPr>
        <w:t xml:space="preserve">, </w:t>
      </w:r>
      <w:r>
        <w:rPr>
          <w:rStyle w:val="StringTok"/>
        </w:rPr>
        <w:t xml:space="preserve">"GK"</w:t>
      </w:r>
      <w:r>
        <w:rPr>
          <w:rStyle w:val="NormalTok"/>
        </w:rPr>
        <w:t xml:space="preserve">], value_vars</w:t>
      </w:r>
      <w:r>
        <w:rPr>
          <w:rStyle w:val="OperatorTok"/>
        </w:rPr>
        <w:t xml:space="preserve">=</w:t>
      </w:r>
      <w:r>
        <w:rPr>
          <w:rStyle w:val="NormalTok"/>
        </w:rPr>
        <w:t xml:space="preserve">USES,</w:t>
      </w:r>
      <w:r>
        <w:br/>
      </w:r>
      <w:r>
        <w:rPr>
          <w:rStyle w:val="NormalTok"/>
        </w:rPr>
        <w:t xml:space="preserve">                        var_name</w:t>
      </w:r>
      <w:r>
        <w:rPr>
          <w:rStyle w:val="OperatorTok"/>
        </w:rPr>
        <w:t xml:space="preserve">=</w:t>
      </w:r>
      <w:r>
        <w:rPr>
          <w:rStyle w:val="StringTok"/>
        </w:rPr>
        <w:t xml:space="preserve">"GWR_Nutzung"</w:t>
      </w:r>
      <w:r>
        <w:rPr>
          <w:rStyle w:val="NormalTok"/>
        </w:rPr>
        <w:t xml:space="preserve">, value_name</w:t>
      </w:r>
      <w:r>
        <w:rPr>
          <w:rStyle w:val="OperatorTok"/>
        </w:rPr>
        <w:t xml:space="preserve">=</w:t>
      </w:r>
      <w:r>
        <w:rPr>
          <w:rStyle w:val="StringTok"/>
        </w:rPr>
        <w:t xml:space="preserve">"NGF_m2"</w:t>
      </w:r>
      <w:r>
        <w:rPr>
          <w:rStyle w:val="NormalTok"/>
        </w:rPr>
        <w:t xml:space="preserve">)</w:t>
      </w:r>
      <w:r>
        <w:br/>
      </w:r>
      <w:r>
        <w:rPr>
          <w:rStyle w:val="NormalTok"/>
        </w:rPr>
        <w:t xml:space="preserve">control_at </w:t>
      </w:r>
      <w:r>
        <w:rPr>
          <w:rStyle w:val="OperatorTok"/>
        </w:rPr>
        <w:t xml:space="preserve">=</w:t>
      </w:r>
      <w:r>
        <w:rPr>
          <w:rStyle w:val="NormalTok"/>
        </w:rPr>
        <w:t xml:space="preserve"> (stats_long.loc[stats_long.NUTS </w:t>
      </w:r>
      <w:r>
        <w:rPr>
          <w:rStyle w:val="OperatorTok"/>
        </w:rPr>
        <w:t xml:space="preserve">==</w:t>
      </w:r>
      <w:r>
        <w:rPr>
          <w:rStyle w:val="NormalTok"/>
        </w:rPr>
        <w:t xml:space="preserve"> </w:t>
      </w:r>
      <w:r>
        <w:rPr>
          <w:rStyle w:val="StringTok"/>
        </w:rPr>
        <w:t xml:space="preserve">"AT"</w:t>
      </w:r>
      <w:r>
        <w:rPr>
          <w:rStyle w:val="NormalTok"/>
        </w:rPr>
        <w:t xml:space="preserve">]</w:t>
      </w:r>
      <w:r>
        <w:br/>
      </w:r>
      <w:r>
        <w:rPr>
          <w:rStyle w:val="NormalTok"/>
        </w:rPr>
        <w:t xml:space="preserve">              .set_index([</w:t>
      </w:r>
      <w:r>
        <w:rPr>
          <w:rStyle w:val="StringTok"/>
        </w:rPr>
        <w:t xml:space="preserve">"GK"</w:t>
      </w:r>
      <w:r>
        <w:rPr>
          <w:rStyle w:val="NormalTok"/>
        </w:rPr>
        <w:t xml:space="preserve">, </w:t>
      </w:r>
      <w:r>
        <w:rPr>
          <w:rStyle w:val="StringTok"/>
        </w:rPr>
        <w:t xml:space="preserve">"GWR_Nutzung"</w:t>
      </w:r>
      <w:r>
        <w:rPr>
          <w:rStyle w:val="NormalTok"/>
        </w:rPr>
        <w:t xml:space="preserve">])[</w:t>
      </w:r>
      <w:r>
        <w:rPr>
          <w:rStyle w:val="StringTok"/>
        </w:rPr>
        <w:t xml:space="preserve">"NGF_m2"</w:t>
      </w:r>
      <w:r>
        <w:rPr>
          <w:rStyle w:val="NormalTok"/>
        </w:rPr>
        <w:t xml:space="preserve">])</w:t>
      </w:r>
      <w:r>
        <w:br/>
      </w:r>
      <w:r>
        <w:rPr>
          <w:rStyle w:val="NormalTok"/>
        </w:rPr>
        <w:t xml:space="preserve">provinces_ngf </w:t>
      </w:r>
      <w:r>
        <w:rPr>
          <w:rStyle w:val="OperatorTok"/>
        </w:rPr>
        <w:t xml:space="preserve">=</w:t>
      </w:r>
      <w:r>
        <w:rPr>
          <w:rStyle w:val="NormalTok"/>
        </w:rPr>
        <w:t xml:space="preserve"> stats_long.loc[stats_long.NUTS.isin(PROVINCES)].copy()</w:t>
      </w:r>
      <w:r>
        <w:br/>
      </w:r>
      <w:r>
        <w:rPr>
          <w:rStyle w:val="NormalTok"/>
        </w:rPr>
        <w:t xml:space="preserve">control_regions </w:t>
      </w:r>
      <w:r>
        <w:rPr>
          <w:rStyle w:val="OperatorTok"/>
        </w:rPr>
        <w:t xml:space="preserve">=</w:t>
      </w:r>
      <w:r>
        <w:rPr>
          <w:rStyle w:val="NormalTok"/>
        </w:rPr>
        <w:t xml:space="preserve"> provinces_ngf.groupby([</w:t>
      </w:r>
      <w:r>
        <w:rPr>
          <w:rStyle w:val="StringTok"/>
        </w:rPr>
        <w:t xml:space="preserve">"GK"</w:t>
      </w:r>
      <w:r>
        <w:rPr>
          <w:rStyle w:val="NormalTok"/>
        </w:rPr>
        <w:t xml:space="preserve">, </w:t>
      </w:r>
      <w:r>
        <w:rPr>
          <w:rStyle w:val="StringTok"/>
        </w:rPr>
        <w:t xml:space="preserve">"GWR_Nutzung"</w:t>
      </w:r>
      <w:r>
        <w:rPr>
          <w:rStyle w:val="NormalTok"/>
        </w:rPr>
        <w:t xml:space="preserve">])[</w:t>
      </w:r>
      <w:r>
        <w:rPr>
          <w:rStyle w:val="StringTok"/>
        </w:rPr>
        <w:t xml:space="preserve">"NGF_m2"</w:t>
      </w:r>
      <w:r>
        <w:rPr>
          <w:rStyle w:val="NormalTok"/>
        </w:rPr>
        <w:t xml:space="preserve">].</w:t>
      </w:r>
      <w:r>
        <w:rPr>
          <w:rStyle w:val="BuiltInTok"/>
        </w:rPr>
        <w:t xml:space="preserve">sum</w:t>
      </w:r>
      <w:r>
        <w:rPr>
          <w:rStyle w:val="NormalTok"/>
        </w:rPr>
        <w:t xml:space="preserve">()</w:t>
      </w:r>
      <w:r>
        <w:br/>
      </w:r>
      <w:r>
        <w:rPr>
          <w:rStyle w:val="NormalTok"/>
        </w:rPr>
        <w:t xml:space="preserve">control_delta </w:t>
      </w:r>
      <w:r>
        <w:rPr>
          <w:rStyle w:val="OperatorTok"/>
        </w:rPr>
        <w:t xml:space="preserve">=</w:t>
      </w:r>
      <w:r>
        <w:rPr>
          <w:rStyle w:val="NormalTok"/>
        </w:rPr>
        <w:t xml:space="preserve"> control_regions.sub(control_at, fill_value</w:t>
      </w:r>
      <w:r>
        <w:rPr>
          <w:rStyle w:val="OperatorTok"/>
        </w:rPr>
        <w:t xml:space="preserve">=</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np.allclose(control_delta.to_numpy(), </w:t>
      </w:r>
      <w:r>
        <w:rPr>
          <w:rStyle w:val="DecValTok"/>
        </w:rPr>
        <w:t xml:space="preserve">0</w:t>
      </w:r>
      <w:r>
        <w:rPr>
          <w:rStyle w:val="NormalTok"/>
        </w:rPr>
        <w:t xml:space="preserve">, rtol</w:t>
      </w:r>
      <w:r>
        <w:rPr>
          <w:rStyle w:val="OperatorTok"/>
        </w:rPr>
        <w:t xml:space="preserve">=</w:t>
      </w:r>
      <w:r>
        <w:rPr>
          <w:rStyle w:val="DecValTok"/>
        </w:rPr>
        <w:t xml:space="preserve">0</w:t>
      </w:r>
      <w:r>
        <w:rPr>
          <w:rStyle w:val="NormalTok"/>
        </w:rPr>
        <w:t xml:space="preserve">, atol</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pecialStringTok"/>
        </w:rPr>
        <w:t xml:space="preserve">f"Bundesländer ≠ AT-Zeile; Beispiele: </w:t>
      </w:r>
      <w:r>
        <w:rPr>
          <w:rStyle w:val="SpecialCharTok"/>
        </w:rPr>
        <w:t xml:space="preserve">{</w:t>
      </w:r>
      <w:r>
        <w:rPr>
          <w:rStyle w:val="NormalTok"/>
        </w:rPr>
        <w:t xml:space="preserve">control_delta[control_delta.</w:t>
      </w:r>
      <w:r>
        <w:rPr>
          <w:rStyle w:val="BuiltInTok"/>
        </w:rPr>
        <w:t xml:space="preserve">abs</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w:t>
      </w:r>
      <w:r>
        <w:rPr>
          <w:rStyle w:val="SpecialCharTok"/>
        </w:rPr>
        <w:t xml:space="preserve">.</w:t>
      </w:r>
      <w:r>
        <w:rPr>
          <w:rStyle w:val="NormalTok"/>
        </w:rPr>
        <w:t xml:space="preserve">head()</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br/>
      </w:r>
      <w:r>
        <w:rPr>
          <w:rStyle w:val="CommentTok"/>
        </w:rPr>
        <w:t xml:space="preserve"># Der explizite Umrechnungsschritt: aus statistischer NGF wird Modell-BGF.</w:t>
      </w:r>
      <w:r>
        <w:br/>
      </w:r>
      <w:r>
        <w:rPr>
          <w:rStyle w:val="NormalTok"/>
        </w:rPr>
        <w:t xml:space="preserve">targets </w:t>
      </w:r>
      <w:r>
        <w:rPr>
          <w:rStyle w:val="OperatorTok"/>
        </w:rPr>
        <w:t xml:space="preserve">=</w:t>
      </w:r>
      <w:r>
        <w:rPr>
          <w:rStyle w:val="NormalTok"/>
        </w:rPr>
        <w:t xml:space="preserve"> provinces_ngf.rename(columns</w:t>
      </w:r>
      <w:r>
        <w:rPr>
          <w:rStyle w:val="OperatorTok"/>
        </w:rPr>
        <w:t xml:space="preserve">=</w:t>
      </w:r>
      <w:r>
        <w:rPr>
          <w:rStyle w:val="NormalTok"/>
        </w:rPr>
        <w:t xml:space="preserve">{</w:t>
      </w:r>
      <w:r>
        <w:rPr>
          <w:rStyle w:val="StringTok"/>
        </w:rPr>
        <w:t xml:space="preserve">"NUTS"</w:t>
      </w:r>
      <w:r>
        <w:rPr>
          <w:rStyle w:val="NormalTok"/>
        </w:rPr>
        <w:t xml:space="preserve">: </w:t>
      </w:r>
      <w:r>
        <w:rPr>
          <w:rStyle w:val="StringTok"/>
        </w:rPr>
        <w:t xml:space="preserve">"Bundesland"</w:t>
      </w:r>
      <w:r>
        <w:rPr>
          <w:rStyle w:val="NormalTok"/>
        </w:rPr>
        <w:t xml:space="preserve">}).copy()</w:t>
      </w:r>
      <w:r>
        <w:br/>
      </w:r>
      <w:r>
        <w:rPr>
          <w:rStyle w:val="NormalTok"/>
        </w:rPr>
        <w:t xml:space="preserve">targets[</w:t>
      </w:r>
      <w:r>
        <w:rPr>
          <w:rStyle w:val="StringTok"/>
        </w:rPr>
        <w:t xml:space="preserve">"BGF_target_m2"</w:t>
      </w:r>
      <w:r>
        <w:rPr>
          <w:rStyle w:val="NormalTok"/>
        </w:rPr>
        <w:t xml:space="preserve">] </w:t>
      </w:r>
      <w:r>
        <w:rPr>
          <w:rStyle w:val="OperatorTok"/>
        </w:rPr>
        <w:t xml:space="preserve">=</w:t>
      </w:r>
      <w:r>
        <w:rPr>
          <w:rStyle w:val="NormalTok"/>
        </w:rPr>
        <w:t xml:space="preserve"> targets[</w:t>
      </w:r>
      <w:r>
        <w:rPr>
          <w:rStyle w:val="StringTok"/>
        </w:rPr>
        <w:t xml:space="preserve">"NGF_m2"</w:t>
      </w:r>
      <w:r>
        <w:rPr>
          <w:rStyle w:val="NormalTok"/>
        </w:rPr>
        <w:t xml:space="preserve">] </w:t>
      </w:r>
      <w:r>
        <w:rPr>
          <w:rStyle w:val="OperatorTok"/>
        </w:rPr>
        <w:t xml:space="preserve">/</w:t>
      </w:r>
      <w:r>
        <w:rPr>
          <w:rStyle w:val="NormalTok"/>
        </w:rPr>
        <w:t xml:space="preserve"> NGF_PER_BGF</w:t>
      </w:r>
      <w:r>
        <w:br/>
      </w:r>
      <w:r>
        <w:rPr>
          <w:rStyle w:val="BuiltInTok"/>
        </w:rPr>
        <w:t xml:space="preserve">print</w:t>
      </w:r>
      <w:r>
        <w:rPr>
          <w:rStyle w:val="NormalTok"/>
        </w:rPr>
        <w:t xml:space="preserve">(</w:t>
      </w:r>
      <w:r>
        <w:rPr>
          <w:rStyle w:val="StringTok"/>
        </w:rPr>
        <w:t xml:space="preserve">"Historische Summenzeilen ausgeschlossen:"</w:t>
      </w:r>
      <w:r>
        <w:rPr>
          <w:rStyle w:val="NormalTok"/>
        </w:rPr>
        <w:t xml:space="preserve">, removed_aggregates.to_dict())</w:t>
      </w:r>
      <w:r>
        <w:br/>
      </w:r>
      <w:r>
        <w:rPr>
          <w:rStyle w:val="BuiltInTok"/>
        </w:rPr>
        <w:t xml:space="preserve">print</w:t>
      </w:r>
      <w:r>
        <w:rPr>
          <w:rStyle w:val="NormalTok"/>
        </w:rPr>
        <w:t xml:space="preserve">(</w:t>
      </w:r>
      <w:r>
        <w:rPr>
          <w:rStyle w:val="SpecialStringTok"/>
        </w:rPr>
        <w:t xml:space="preserve">f"AT-NGF nach Kontrollzeile: </w:t>
      </w:r>
      <w:r>
        <w:rPr>
          <w:rStyle w:val="SpecialCharTok"/>
        </w:rPr>
        <w:t xml:space="preserve">{</w:t>
      </w:r>
      <w:r>
        <w:rPr>
          <w:rStyle w:val="NormalTok"/>
        </w:rPr>
        <w:t xml:space="preserve">control_at</w:t>
      </w:r>
      <w:r>
        <w:rPr>
          <w:rStyle w:val="SpecialChar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f"AT-BGF aus NGF/0,8: </w:t>
      </w:r>
      <w:r>
        <w:rPr>
          <w:rStyle w:val="SpecialCharTok"/>
        </w:rPr>
        <w:t xml:space="preserve">{</w:t>
      </w:r>
      <w:r>
        <w:rPr>
          <w:rStyle w:val="NormalTok"/>
        </w:rPr>
        <w:t xml:space="preserve">targets</w:t>
      </w:r>
      <w:r>
        <w:rPr>
          <w:rStyle w:val="SpecialCharTok"/>
        </w:rPr>
        <w:t xml:space="preserve">.</w:t>
      </w:r>
      <w:r>
        <w:rPr>
          <w:rStyle w:val="NormalTok"/>
        </w:rPr>
        <w:t xml:space="preserve">BGF_target_m2</w:t>
      </w:r>
      <w:r>
        <w:rPr>
          <w:rStyle w:val="SpecialChar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f"Maximale Differenz zur AT-Kontrollzeile: </w:t>
      </w:r>
      <w:r>
        <w:rPr>
          <w:rStyle w:val="SpecialCharTok"/>
        </w:rPr>
        <w:t xml:space="preserve">{</w:t>
      </w:r>
      <w:r>
        <w:rPr>
          <w:rStyle w:val="NormalTok"/>
        </w:rPr>
        <w:t xml:space="preserve">control_delta</w:t>
      </w:r>
      <w:r>
        <w:rPr>
          <w:rStyle w:val="SpecialCharTok"/>
        </w:rPr>
        <w:t xml:space="preserve">.</w:t>
      </w:r>
      <w:r>
        <w:rPr>
          <w:rStyle w:val="BuiltInTok"/>
        </w:rPr>
        <w:t xml:space="preserve">abs</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:.6f}</w:t>
      </w:r>
      <w:r>
        <w:rPr>
          <w:rStyle w:val="SpecialStringTok"/>
        </w:rPr>
        <w:t xml:space="preserve"> m² NGF"</w:t>
      </w:r>
      <w:r>
        <w:rPr>
          <w:rStyle w:val="NormalTok"/>
        </w:rPr>
        <w:t xml:space="preserve">)</w:t>
      </w:r>
    </w:p>
    <w:p>
      <w:pPr>
        <w:pStyle w:val="SourceCode"/>
      </w:pPr>
      <w:r>
        <w:rPr>
          <w:rStyle w:val="VerbatimChar"/>
        </w:rPr>
        <w:t xml:space="preserve">Historische Summenzeilen ausgeschlossen: {'AT ohne Wien und Salzburg': 7, 'Alles': 1}</w:t>
      </w:r>
      <w:r>
        <w:br/>
      </w:r>
      <w:r>
        <w:rPr>
          <w:rStyle w:val="VerbatimChar"/>
        </w:rPr>
        <w:t xml:space="preserve">AT-NGF nach Kontrollzeile: 847.148 Mio. m²</w:t>
      </w:r>
      <w:r>
        <w:br/>
      </w:r>
      <w:r>
        <w:rPr>
          <w:rStyle w:val="VerbatimChar"/>
        </w:rPr>
        <w:t xml:space="preserve">AT-BGF aus NGF/0,8: 1,058.935 Mio. m²</w:t>
      </w:r>
      <w:r>
        <w:br/>
      </w:r>
      <w:r>
        <w:rPr>
          <w:rStyle w:val="VerbatimChar"/>
        </w:rPr>
        <w:t xml:space="preserve">Maximale Differenz zur AT-Kontrollzeile: 0.000000 m² NGF</w:t>
      </w:r>
    </w:p>
    <w:bookmarkStart w:id="468" w:name="X51d8b9a8f2678efdbd2ef3734ae7dc46b7cd812"/>
    <w:p>
      <w:pPr>
        <w:pStyle w:val="Heading3"/>
      </w:pPr>
      <w:r>
        <w:t xml:space="preserve">C.3.1 Deskriptive Statistik des nationalen Bestandsmodells</w:t>
      </w:r>
    </w:p>
    <w:p>
      <w:pPr>
        <w:pStyle w:val="FirstParagraph"/>
      </w:pPr>
      <w:r>
        <w:t xml:space="preserve">Die erste Tabelle weist je Bundesland die NGF aus der Statistik, die daraus abgeleitete BGF und den Anteil an der nationalen Modell-BGF aus. Anschließend werden die Flächen nach Geschossklasse und Nutzung ausgewertet. Alle folgenden Flächenbalken verwenden die</w:t>
      </w:r>
      <w:r>
        <w:t xml:space="preserve"> </w:t>
      </w:r>
      <w:r>
        <w:rPr>
          <w:b/>
          <w:bCs/>
        </w:rPr>
        <w:t xml:space="preserve">gleichen neun Nutzungsfarben</w:t>
      </w:r>
      <w:r>
        <w:t xml:space="preserve">, die später auch für die österreichische GFZ-Verteilung gelten. Ein gestapelter Balken zeigt die absoluten, summierbaren BGF-Beiträge, keine Gebäudeanzahlen.</w:t>
      </w:r>
    </w:p>
    <w:p>
      <w:pPr>
        <w:pStyle w:val="SourceCode"/>
      </w:pPr>
      <w:r>
        <w:rPr>
          <w:rStyle w:val="NormalTok"/>
        </w:rPr>
        <w:t xml:space="preserve">stats_province </w:t>
      </w:r>
      <w:r>
        <w:rPr>
          <w:rStyle w:val="OperatorTok"/>
        </w:rPr>
        <w:t xml:space="preserve">=</w:t>
      </w:r>
      <w:r>
        <w:rPr>
          <w:rStyle w:val="NormalTok"/>
        </w:rPr>
        <w:t xml:space="preserve"> (targets.groupby(</w:t>
      </w:r>
      <w:r>
        <w:rPr>
          <w:rStyle w:val="StringTok"/>
        </w:rPr>
        <w:t xml:space="preserve">"Bundesland"</w:t>
      </w:r>
      <w:r>
        <w:rPr>
          <w:rStyle w:val="NormalTok"/>
        </w:rPr>
        <w:t xml:space="preserve">, as_index</w:t>
      </w:r>
      <w:r>
        <w:rPr>
          <w:rStyle w:val="OperatorTok"/>
        </w:rPr>
        <w:t xml:space="preserve">=</w:t>
      </w:r>
      <w:r>
        <w:rPr>
          <w:rStyle w:val="VariableTok"/>
        </w:rPr>
        <w:t xml:space="preserve">False</w:t>
      </w:r>
      <w:r>
        <w:rPr>
          <w:rStyle w:val="NormalTok"/>
        </w:rPr>
        <w:t xml:space="preserve">)[[</w:t>
      </w:r>
      <w:r>
        <w:rPr>
          <w:rStyle w:val="StringTok"/>
        </w:rPr>
        <w:t xml:space="preserve">"NGF_m2"</w:t>
      </w:r>
      <w:r>
        <w:rPr>
          <w:rStyle w:val="NormalTok"/>
        </w:rPr>
        <w:t xml:space="preserve">, </w:t>
      </w:r>
      <w:r>
        <w:rPr>
          <w:rStyle w:val="StringTok"/>
        </w:rPr>
        <w:t xml:space="preserve">"BGF_target_m2"</w:t>
      </w:r>
      <w:r>
        <w:rPr>
          <w:rStyle w:val="NormalTok"/>
        </w:rPr>
        <w:t xml:space="preserve">]]</w:t>
      </w:r>
      <w:r>
        <w:br/>
      </w:r>
      <w:r>
        <w:rPr>
          <w:rStyle w:val="NormalTok"/>
        </w:rPr>
        <w:t xml:space="preserve">                  .</w:t>
      </w:r>
      <w:r>
        <w:rPr>
          <w:rStyle w:val="BuiltInTok"/>
        </w:rPr>
        <w:t xml:space="preserve">sum</w:t>
      </w:r>
      <w:r>
        <w:rPr>
          <w:rStyle w:val="NormalTok"/>
        </w:rPr>
        <w:t xml:space="preserve">().set_index(</w:t>
      </w:r>
      <w:r>
        <w:rPr>
          <w:rStyle w:val="StringTok"/>
        </w:rPr>
        <w:t xml:space="preserve">"Bundesland"</w:t>
      </w:r>
      <w:r>
        <w:rPr>
          <w:rStyle w:val="NormalTok"/>
        </w:rPr>
        <w:t xml:space="preserve">).reindex(PROVINCES))</w:t>
      </w:r>
      <w:r>
        <w:br/>
      </w:r>
      <w:r>
        <w:rPr>
          <w:rStyle w:val="NormalTok"/>
        </w:rPr>
        <w:t xml:space="preserve">stats_province[</w:t>
      </w:r>
      <w:r>
        <w:rPr>
          <w:rStyle w:val="StringTok"/>
        </w:rPr>
        <w:t xml:space="preserve">"Anteil_AT_%"</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stats_province.BGF_target_m2 </w:t>
      </w:r>
      <w:r>
        <w:rPr>
          <w:rStyle w:val="OperatorTok"/>
        </w:rPr>
        <w:t xml:space="preserve">/</w:t>
      </w:r>
      <w:r>
        <w:rPr>
          <w:rStyle w:val="NormalTok"/>
        </w:rPr>
        <w:t xml:space="preserve"> stats_province.BGF_target_m2.</w:t>
      </w:r>
      <w:r>
        <w:rPr>
          <w:rStyle w:val="BuiltInTok"/>
        </w:rPr>
        <w:t xml:space="preserve">sum</w:t>
      </w:r>
      <w:r>
        <w:rPr>
          <w:rStyle w:val="NormalTok"/>
        </w:rPr>
        <w:t xml:space="preserve">()</w:t>
      </w:r>
      <w:r>
        <w:br/>
      </w:r>
      <w:r>
        <w:rPr>
          <w:rStyle w:val="NormalTok"/>
        </w:rPr>
        <w:t xml:space="preserve">stats_display </w:t>
      </w:r>
      <w:r>
        <w:rPr>
          <w:rStyle w:val="OperatorTok"/>
        </w:rPr>
        <w:t xml:space="preserve">=</w:t>
      </w:r>
      <w:r>
        <w:rPr>
          <w:rStyle w:val="NormalTok"/>
        </w:rPr>
        <w:t xml:space="preserve"> stats_province.copy()</w:t>
      </w:r>
      <w:r>
        <w:br/>
      </w:r>
      <w:r>
        <w:rPr>
          <w:rStyle w:val="NormalTok"/>
        </w:rPr>
        <w:t xml:space="preserve">stats_display[</w:t>
      </w:r>
      <w:r>
        <w:rPr>
          <w:rStyle w:val="StringTok"/>
        </w:rPr>
        <w:t xml:space="preserve">"NGF_Mio_m2"</w:t>
      </w:r>
      <w:r>
        <w:rPr>
          <w:rStyle w:val="NormalTok"/>
        </w:rPr>
        <w:t xml:space="preserve">] </w:t>
      </w:r>
      <w:r>
        <w:rPr>
          <w:rStyle w:val="OperatorTok"/>
        </w:rPr>
        <w:t xml:space="preserve">=</w:t>
      </w:r>
      <w:r>
        <w:rPr>
          <w:rStyle w:val="NormalTok"/>
        </w:rPr>
        <w:t xml:space="preserve"> stats_display.NGF_m2 </w:t>
      </w:r>
      <w:r>
        <w:rPr>
          <w:rStyle w:val="OperatorTok"/>
        </w:rPr>
        <w:t xml:space="preserve">/</w:t>
      </w:r>
      <w:r>
        <w:rPr>
          <w:rStyle w:val="NormalTok"/>
        </w:rPr>
        <w:t xml:space="preserve"> </w:t>
      </w:r>
      <w:r>
        <w:rPr>
          <w:rStyle w:val="FloatTok"/>
        </w:rPr>
        <w:t xml:space="preserve">1e6</w:t>
      </w:r>
      <w:r>
        <w:br/>
      </w:r>
      <w:r>
        <w:rPr>
          <w:rStyle w:val="NormalTok"/>
        </w:rPr>
        <w:t xml:space="preserve">stats_display[</w:t>
      </w:r>
      <w:r>
        <w:rPr>
          <w:rStyle w:val="StringTok"/>
        </w:rPr>
        <w:t xml:space="preserve">"BGF_Mio_m2"</w:t>
      </w:r>
      <w:r>
        <w:rPr>
          <w:rStyle w:val="NormalTok"/>
        </w:rPr>
        <w:t xml:space="preserve">] </w:t>
      </w:r>
      <w:r>
        <w:rPr>
          <w:rStyle w:val="OperatorTok"/>
        </w:rPr>
        <w:t xml:space="preserve">=</w:t>
      </w:r>
      <w:r>
        <w:rPr>
          <w:rStyle w:val="NormalTok"/>
        </w:rPr>
        <w:t xml:space="preserve"> stats_display.BGF_target_m2 </w:t>
      </w:r>
      <w:r>
        <w:rPr>
          <w:rStyle w:val="OperatorTok"/>
        </w:rPr>
        <w:t xml:space="preserve">/</w:t>
      </w:r>
      <w:r>
        <w:rPr>
          <w:rStyle w:val="NormalTok"/>
        </w:rPr>
        <w:t xml:space="preserve"> </w:t>
      </w:r>
      <w:r>
        <w:rPr>
          <w:rStyle w:val="FloatTok"/>
        </w:rPr>
        <w:t xml:space="preserve">1e6</w:t>
      </w:r>
      <w:r>
        <w:br/>
      </w:r>
      <w:r>
        <w:rPr>
          <w:rStyle w:val="NormalTok"/>
        </w:rPr>
        <w:t xml:space="preserve">display(stats_display[[</w:t>
      </w:r>
      <w:r>
        <w:rPr>
          <w:rStyle w:val="StringTok"/>
        </w:rPr>
        <w:t xml:space="preserve">"NGF_Mio_m2"</w:t>
      </w:r>
      <w:r>
        <w:rPr>
          <w:rStyle w:val="NormalTok"/>
        </w:rPr>
        <w:t xml:space="preserve">, </w:t>
      </w:r>
      <w:r>
        <w:rPr>
          <w:rStyle w:val="StringTok"/>
        </w:rPr>
        <w:t xml:space="preserve">"BGF_Mio_m2"</w:t>
      </w:r>
      <w:r>
        <w:rPr>
          <w:rStyle w:val="NormalTok"/>
        </w:rPr>
        <w:t xml:space="preserve">, </w:t>
      </w:r>
      <w:r>
        <w:rPr>
          <w:rStyle w:val="StringTok"/>
        </w:rPr>
        <w:t xml:space="preserve">"Anteil_AT_%"</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NormalTok"/>
        </w:rPr>
        <w:t xml:space="preserve">stats_gk </w:t>
      </w:r>
      <w:r>
        <w:rPr>
          <w:rStyle w:val="OperatorTok"/>
        </w:rPr>
        <w:t xml:space="preserve">=</w:t>
      </w:r>
      <w:r>
        <w:rPr>
          <w:rStyle w:val="NormalTok"/>
        </w:rPr>
        <w:t xml:space="preserve"> (targets.groupby(</w:t>
      </w:r>
      <w:r>
        <w:rPr>
          <w:rStyle w:val="StringTok"/>
        </w:rPr>
        <w:t xml:space="preserve">"GK"</w:t>
      </w:r>
      <w:r>
        <w:rPr>
          <w:rStyle w:val="NormalTok"/>
        </w:rPr>
        <w:t xml:space="preserve">)[</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NormalTok"/>
        </w:rPr>
        <w:t xml:space="preserve">            .reindex(STOREYS).div(</w:t>
      </w:r>
      <w:r>
        <w:rPr>
          <w:rStyle w:val="FloatTok"/>
        </w:rPr>
        <w:t xml:space="preserve">1e6</w:t>
      </w:r>
      <w:r>
        <w:rPr>
          <w:rStyle w:val="NormalTok"/>
        </w:rPr>
        <w:t xml:space="preserve">).rename(</w:t>
      </w:r>
      <w:r>
        <w:rPr>
          <w:rStyle w:val="StringTok"/>
        </w:rPr>
        <w:t xml:space="preserve">"BGF_Mio_m2"</w:t>
      </w:r>
      <w:r>
        <w:rPr>
          <w:rStyle w:val="NormalTok"/>
        </w:rPr>
        <w:t xml:space="preserve">))</w:t>
      </w:r>
      <w:r>
        <w:br/>
      </w:r>
      <w:r>
        <w:rPr>
          <w:rStyle w:val="NormalTok"/>
        </w:rPr>
        <w:t xml:space="preserve">stats_use </w:t>
      </w:r>
      <w:r>
        <w:rPr>
          <w:rStyle w:val="OperatorTok"/>
        </w:rPr>
        <w:t xml:space="preserve">=</w:t>
      </w:r>
      <w:r>
        <w:rPr>
          <w:rStyle w:val="NormalTok"/>
        </w:rPr>
        <w:t xml:space="preserve"> (targets.groupby(</w:t>
      </w:r>
      <w:r>
        <w:rPr>
          <w:rStyle w:val="StringTok"/>
        </w:rPr>
        <w:t xml:space="preserve">"GWR_Nutzung"</w:t>
      </w:r>
      <w:r>
        <w:rPr>
          <w:rStyle w:val="NormalTok"/>
        </w:rPr>
        <w:t xml:space="preserve">)[</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NormalTok"/>
        </w:rPr>
        <w:t xml:space="preserve">             .reindex(PLOT_USE_ORDER).div(</w:t>
      </w:r>
      <w:r>
        <w:rPr>
          <w:rStyle w:val="FloatTok"/>
        </w:rPr>
        <w:t xml:space="preserve">1e6</w:t>
      </w:r>
      <w:r>
        <w:rPr>
          <w:rStyle w:val="NormalTok"/>
        </w:rPr>
        <w:t xml:space="preserve">).rename(</w:t>
      </w:r>
      <w:r>
        <w:rPr>
          <w:rStyle w:val="StringTok"/>
        </w:rPr>
        <w:t xml:space="preserve">"BGF_Mio_m2"</w:t>
      </w:r>
      <w:r>
        <w:rPr>
          <w:rStyle w:val="NormalTok"/>
        </w:rPr>
        <w:t xml:space="preserve">))</w:t>
      </w:r>
      <w:r>
        <w:br/>
      </w:r>
      <w:r>
        <w:rPr>
          <w:rStyle w:val="NormalTok"/>
        </w:rPr>
        <w:t xml:space="preserve">display(pd.DataFrame({</w:t>
      </w:r>
      <w:r>
        <w:rPr>
          <w:rStyle w:val="StringTok"/>
        </w:rPr>
        <w:t xml:space="preserve">"BGF Mio. m² nach Geschossklasse"</w:t>
      </w:r>
      <w:r>
        <w:rPr>
          <w:rStyle w:val="NormalTok"/>
        </w:rPr>
        <w:t xml:space="preserve">: stats_gk}))</w:t>
      </w:r>
      <w:r>
        <w:br/>
      </w:r>
      <w:r>
        <w:rPr>
          <w:rStyle w:val="NormalTok"/>
        </w:rPr>
        <w:t xml:space="preserve">display(pd.DataFrame({</w:t>
      </w:r>
      <w:r>
        <w:rPr>
          <w:rStyle w:val="StringTok"/>
        </w:rPr>
        <w:t xml:space="preserve">"BGF Mio. m² nach Hauptnutzung"</w:t>
      </w:r>
      <w:r>
        <w:rPr>
          <w:rStyle w:val="NormalTok"/>
        </w:rPr>
        <w:t xml:space="preserve">: stats_use}).sort_values(</w:t>
      </w:r>
      <w:r>
        <w:rPr>
          <w:rStyle w:val="StringTok"/>
        </w:rPr>
        <w:t xml:space="preserve">"BGF Mio. m² nach Hauptnutzung"</w:t>
      </w:r>
      <w:r>
        <w:rPr>
          <w:rStyle w:val="NormalTok"/>
        </w:rPr>
        <w:t xml:space="preserve">, ascending</w:t>
      </w:r>
      <w:r>
        <w:rPr>
          <w:rStyle w:val="OperatorTok"/>
        </w:rPr>
        <w:t xml:space="preserve">=</w:t>
      </w:r>
      <w:r>
        <w:rPr>
          <w:rStyle w:val="VariableTok"/>
        </w:rPr>
        <w:t xml:space="preserve">False</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NGF_Mio_m2</w:t>
            </w:r>
          </w:p>
        </w:tc>
        <w:tc>
          <w:tcPr/>
          <w:p>
            <w:pPr>
              <w:pStyle w:val="Compact"/>
            </w:pPr>
            <w:r>
              <w:t xml:space="preserve">BGF_Mio_m2</w:t>
            </w:r>
          </w:p>
        </w:tc>
        <w:tc>
          <w:tcPr/>
          <w:p>
            <w:pPr>
              <w:pStyle w:val="Compact"/>
            </w:pPr>
            <w:r>
              <w:t xml:space="preserve">Anteil_AT_%</w:t>
            </w:r>
          </w:p>
        </w:tc>
      </w:tr>
      <w:tr>
        <w:trPr>
          <w:tblHeader w:val="on"/>
        </w:trPr>
        <w:tc>
          <w:tcPr/>
          <w:p>
            <w:pPr>
              <w:pStyle w:val="Compact"/>
            </w:pPr>
            <w:r>
              <w:t xml:space="preserve">Bundesland</w:t>
            </w:r>
          </w:p>
        </w:tc>
        <w:tc>
          <w:tcPr/>
          <w:p>
            <w:pPr>
              <w:pStyle w:val="Compact"/>
            </w:pPr>
          </w:p>
        </w:tc>
        <w:tc>
          <w:tcPr/>
          <w:p>
            <w:pPr>
              <w:pStyle w:val="Compact"/>
            </w:pPr>
          </w:p>
        </w:tc>
        <w:tc>
          <w:tcPr/>
          <w:p>
            <w:pPr>
              <w:pStyle w:val="Compact"/>
            </w:pPr>
          </w:p>
        </w:tc>
      </w:tr>
      <w:tr>
        <w:tc>
          <w:tcPr/>
          <w:p>
            <w:pPr>
              <w:pStyle w:val="Compact"/>
            </w:pPr>
            <w:r>
              <w:t xml:space="preserve">Burgenland</w:t>
            </w:r>
          </w:p>
        </w:tc>
        <w:tc>
          <w:tcPr/>
          <w:p>
            <w:pPr>
              <w:pStyle w:val="Compact"/>
            </w:pPr>
            <w:r>
              <w:t xml:space="preserve">30.434</w:t>
            </w:r>
          </w:p>
        </w:tc>
        <w:tc>
          <w:tcPr/>
          <w:p>
            <w:pPr>
              <w:pStyle w:val="Compact"/>
            </w:pPr>
            <w:r>
              <w:t xml:space="preserve">38.043</w:t>
            </w:r>
          </w:p>
        </w:tc>
        <w:tc>
          <w:tcPr/>
          <w:p>
            <w:pPr>
              <w:pStyle w:val="Compact"/>
            </w:pPr>
            <w:r>
              <w:t xml:space="preserve">3.593</w:t>
            </w:r>
          </w:p>
        </w:tc>
      </w:tr>
      <w:tr>
        <w:tc>
          <w:tcPr/>
          <w:p>
            <w:pPr>
              <w:pStyle w:val="Compact"/>
            </w:pPr>
            <w:r>
              <w:t xml:space="preserve">Kärnten</w:t>
            </w:r>
          </w:p>
        </w:tc>
        <w:tc>
          <w:tcPr/>
          <w:p>
            <w:pPr>
              <w:pStyle w:val="Compact"/>
            </w:pPr>
            <w:r>
              <w:t xml:space="preserve">54.446</w:t>
            </w:r>
          </w:p>
        </w:tc>
        <w:tc>
          <w:tcPr/>
          <w:p>
            <w:pPr>
              <w:pStyle w:val="Compact"/>
            </w:pPr>
            <w:r>
              <w:t xml:space="preserve">68.058</w:t>
            </w:r>
          </w:p>
        </w:tc>
        <w:tc>
          <w:tcPr/>
          <w:p>
            <w:pPr>
              <w:pStyle w:val="Compact"/>
            </w:pPr>
            <w:r>
              <w:t xml:space="preserve">6.427</w:t>
            </w:r>
          </w:p>
        </w:tc>
      </w:tr>
      <w:tr>
        <w:tc>
          <w:tcPr/>
          <w:p>
            <w:pPr>
              <w:pStyle w:val="Compact"/>
            </w:pPr>
            <w:r>
              <w:t xml:space="preserve">Niederösterreich</w:t>
            </w:r>
          </w:p>
        </w:tc>
        <w:tc>
          <w:tcPr/>
          <w:p>
            <w:pPr>
              <w:pStyle w:val="Compact"/>
            </w:pPr>
            <w:r>
              <w:t xml:space="preserve">171.910</w:t>
            </w:r>
          </w:p>
        </w:tc>
        <w:tc>
          <w:tcPr/>
          <w:p>
            <w:pPr>
              <w:pStyle w:val="Compact"/>
            </w:pPr>
            <w:r>
              <w:t xml:space="preserve">214.888</w:t>
            </w:r>
          </w:p>
        </w:tc>
        <w:tc>
          <w:tcPr/>
          <w:p>
            <w:pPr>
              <w:pStyle w:val="Compact"/>
            </w:pPr>
            <w:r>
              <w:t xml:space="preserve">20.293</w:t>
            </w:r>
          </w:p>
        </w:tc>
      </w:tr>
      <w:tr>
        <w:tc>
          <w:tcPr/>
          <w:p>
            <w:pPr>
              <w:pStyle w:val="Compact"/>
            </w:pPr>
            <w:r>
              <w:t xml:space="preserve">Oberösterreich</w:t>
            </w:r>
          </w:p>
        </w:tc>
        <w:tc>
          <w:tcPr/>
          <w:p>
            <w:pPr>
              <w:pStyle w:val="Compact"/>
            </w:pPr>
            <w:r>
              <w:t xml:space="preserve">157.719</w:t>
            </w:r>
          </w:p>
        </w:tc>
        <w:tc>
          <w:tcPr/>
          <w:p>
            <w:pPr>
              <w:pStyle w:val="Compact"/>
            </w:pPr>
            <w:r>
              <w:t xml:space="preserve">197.149</w:t>
            </w:r>
          </w:p>
        </w:tc>
        <w:tc>
          <w:tcPr/>
          <w:p>
            <w:pPr>
              <w:pStyle w:val="Compact"/>
            </w:pPr>
            <w:r>
              <w:t xml:space="preserve">18.618</w:t>
            </w:r>
          </w:p>
        </w:tc>
      </w:tr>
      <w:tr>
        <w:tc>
          <w:tcPr/>
          <w:p>
            <w:pPr>
              <w:pStyle w:val="Compact"/>
            </w:pPr>
            <w:r>
              <w:t xml:space="preserve">Salzburg</w:t>
            </w:r>
          </w:p>
        </w:tc>
        <w:tc>
          <w:tcPr/>
          <w:p>
            <w:pPr>
              <w:pStyle w:val="Compact"/>
            </w:pPr>
            <w:r>
              <w:t xml:space="preserve">55.595</w:t>
            </w:r>
          </w:p>
        </w:tc>
        <w:tc>
          <w:tcPr/>
          <w:p>
            <w:pPr>
              <w:pStyle w:val="Compact"/>
            </w:pPr>
            <w:r>
              <w:t xml:space="preserve">69.494</w:t>
            </w:r>
          </w:p>
        </w:tc>
        <w:tc>
          <w:tcPr/>
          <w:p>
            <w:pPr>
              <w:pStyle w:val="Compact"/>
            </w:pPr>
            <w:r>
              <w:t xml:space="preserve">6.563</w:t>
            </w:r>
          </w:p>
        </w:tc>
      </w:tr>
      <w:tr>
        <w:tc>
          <w:tcPr/>
          <w:p>
            <w:pPr>
              <w:pStyle w:val="Compact"/>
            </w:pPr>
            <w:r>
              <w:t xml:space="preserve">Steiermark</w:t>
            </w:r>
          </w:p>
        </w:tc>
        <w:tc>
          <w:tcPr/>
          <w:p>
            <w:pPr>
              <w:pStyle w:val="Compact"/>
            </w:pPr>
            <w:r>
              <w:t xml:space="preserve">120.031</w:t>
            </w:r>
          </w:p>
        </w:tc>
        <w:tc>
          <w:tcPr/>
          <w:p>
            <w:pPr>
              <w:pStyle w:val="Compact"/>
            </w:pPr>
            <w:r>
              <w:t xml:space="preserve">150.038</w:t>
            </w:r>
          </w:p>
        </w:tc>
        <w:tc>
          <w:tcPr/>
          <w:p>
            <w:pPr>
              <w:pStyle w:val="Compact"/>
            </w:pPr>
            <w:r>
              <w:t xml:space="preserve">14.169</w:t>
            </w:r>
          </w:p>
        </w:tc>
      </w:tr>
      <w:tr>
        <w:tc>
          <w:tcPr/>
          <w:p>
            <w:pPr>
              <w:pStyle w:val="Compact"/>
            </w:pPr>
            <w:r>
              <w:t xml:space="preserve">Tirol</w:t>
            </w:r>
          </w:p>
        </w:tc>
        <w:tc>
          <w:tcPr/>
          <w:p>
            <w:pPr>
              <w:pStyle w:val="Compact"/>
            </w:pPr>
            <w:r>
              <w:t xml:space="preserve">79.835</w:t>
            </w:r>
          </w:p>
        </w:tc>
        <w:tc>
          <w:tcPr/>
          <w:p>
            <w:pPr>
              <w:pStyle w:val="Compact"/>
            </w:pPr>
            <w:r>
              <w:t xml:space="preserve">99.794</w:t>
            </w:r>
          </w:p>
        </w:tc>
        <w:tc>
          <w:tcPr/>
          <w:p>
            <w:pPr>
              <w:pStyle w:val="Compact"/>
            </w:pPr>
            <w:r>
              <w:t xml:space="preserve">9.424</w:t>
            </w:r>
          </w:p>
        </w:tc>
      </w:tr>
      <w:tr>
        <w:tc>
          <w:tcPr/>
          <w:p>
            <w:pPr>
              <w:pStyle w:val="Compact"/>
            </w:pPr>
            <w:r>
              <w:t xml:space="preserve">Vorarlberg</w:t>
            </w:r>
          </w:p>
        </w:tc>
        <w:tc>
          <w:tcPr/>
          <w:p>
            <w:pPr>
              <w:pStyle w:val="Compact"/>
            </w:pPr>
            <w:r>
              <w:t xml:space="preserve">37.347</w:t>
            </w:r>
          </w:p>
        </w:tc>
        <w:tc>
          <w:tcPr/>
          <w:p>
            <w:pPr>
              <w:pStyle w:val="Compact"/>
            </w:pPr>
            <w:r>
              <w:t xml:space="preserve">46.683</w:t>
            </w:r>
          </w:p>
        </w:tc>
        <w:tc>
          <w:tcPr/>
          <w:p>
            <w:pPr>
              <w:pStyle w:val="Compact"/>
            </w:pPr>
            <w:r>
              <w:t xml:space="preserve">4.409</w:t>
            </w:r>
          </w:p>
        </w:tc>
      </w:tr>
      <w:tr>
        <w:tc>
          <w:tcPr/>
          <w:p>
            <w:pPr>
              <w:pStyle w:val="Compact"/>
            </w:pPr>
            <w:r>
              <w:t xml:space="preserve">Wien</w:t>
            </w:r>
          </w:p>
        </w:tc>
        <w:tc>
          <w:tcPr/>
          <w:p>
            <w:pPr>
              <w:pStyle w:val="Compact"/>
            </w:pPr>
            <w:r>
              <w:t xml:space="preserve">139.830</w:t>
            </w:r>
          </w:p>
        </w:tc>
        <w:tc>
          <w:tcPr/>
          <w:p>
            <w:pPr>
              <w:pStyle w:val="Compact"/>
            </w:pPr>
            <w:r>
              <w:t xml:space="preserve">174.787</w:t>
            </w:r>
          </w:p>
        </w:tc>
        <w:tc>
          <w:tcPr/>
          <w:p>
            <w:pPr>
              <w:pStyle w:val="Compact"/>
            </w:pPr>
            <w:r>
              <w:t xml:space="preserve">16.506</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BGF Mio. m² nach Geschossklasse</w:t>
            </w:r>
          </w:p>
        </w:tc>
      </w:tr>
      <w:tr>
        <w:trPr>
          <w:tblHeader w:val="on"/>
        </w:trPr>
        <w:tc>
          <w:tcPr/>
          <w:p>
            <w:pPr>
              <w:pStyle w:val="Compact"/>
            </w:pPr>
            <w:r>
              <w:t xml:space="preserve">GK</w:t>
            </w:r>
          </w:p>
        </w:tc>
        <w:tc>
          <w:tcPr/>
          <w:p>
            <w:pPr>
              <w:pStyle w:val="Compact"/>
            </w:pPr>
          </w:p>
        </w:tc>
      </w:tr>
      <w:tr>
        <w:tc>
          <w:tcPr/>
          <w:p>
            <w:pPr>
              <w:pStyle w:val="Compact"/>
            </w:pPr>
            <w:r>
              <w:t xml:space="preserve">1</w:t>
            </w:r>
          </w:p>
        </w:tc>
        <w:tc>
          <w:tcPr/>
          <w:p>
            <w:pPr>
              <w:pStyle w:val="Compact"/>
            </w:pPr>
            <w:r>
              <w:t xml:space="preserve">216.827551</w:t>
            </w:r>
          </w:p>
        </w:tc>
      </w:tr>
      <w:tr>
        <w:tc>
          <w:tcPr/>
          <w:p>
            <w:pPr>
              <w:pStyle w:val="Compact"/>
            </w:pPr>
            <w:r>
              <w:t xml:space="preserve">2</w:t>
            </w:r>
          </w:p>
        </w:tc>
        <w:tc>
          <w:tcPr/>
          <w:p>
            <w:pPr>
              <w:pStyle w:val="Compact"/>
            </w:pPr>
            <w:r>
              <w:t xml:space="preserve">382.613315</w:t>
            </w:r>
          </w:p>
        </w:tc>
      </w:tr>
      <w:tr>
        <w:tc>
          <w:tcPr/>
          <w:p>
            <w:pPr>
              <w:pStyle w:val="Compact"/>
            </w:pPr>
            <w:r>
              <w:t xml:space="preserve">3</w:t>
            </w:r>
          </w:p>
        </w:tc>
        <w:tc>
          <w:tcPr/>
          <w:p>
            <w:pPr>
              <w:pStyle w:val="Compact"/>
            </w:pPr>
            <w:r>
              <w:t xml:space="preserve">179.588949</w:t>
            </w:r>
          </w:p>
        </w:tc>
      </w:tr>
      <w:tr>
        <w:tc>
          <w:tcPr/>
          <w:p>
            <w:pPr>
              <w:pStyle w:val="Compact"/>
            </w:pPr>
            <w:r>
              <w:t xml:space="preserve">4</w:t>
            </w:r>
          </w:p>
        </w:tc>
        <w:tc>
          <w:tcPr/>
          <w:p>
            <w:pPr>
              <w:pStyle w:val="Compact"/>
            </w:pPr>
            <w:r>
              <w:t xml:space="preserve">104.302704</w:t>
            </w:r>
          </w:p>
        </w:tc>
      </w:tr>
      <w:tr>
        <w:tc>
          <w:tcPr/>
          <w:p>
            <w:pPr>
              <w:pStyle w:val="Compact"/>
            </w:pPr>
            <w:r>
              <w:t xml:space="preserve">5</w:t>
            </w:r>
          </w:p>
        </w:tc>
        <w:tc>
          <w:tcPr/>
          <w:p>
            <w:pPr>
              <w:pStyle w:val="Compact"/>
            </w:pPr>
            <w:r>
              <w:t xml:space="preserve">60.409821</w:t>
            </w:r>
          </w:p>
        </w:tc>
      </w:tr>
      <w:tr>
        <w:tc>
          <w:tcPr/>
          <w:p>
            <w:pPr>
              <w:pStyle w:val="Compact"/>
            </w:pPr>
            <w:r>
              <w:t xml:space="preserve">6-10</w:t>
            </w:r>
          </w:p>
        </w:tc>
        <w:tc>
          <w:tcPr/>
          <w:p>
            <w:pPr>
              <w:pStyle w:val="Compact"/>
            </w:pPr>
            <w:r>
              <w:t xml:space="preserve">103.898680</w:t>
            </w:r>
          </w:p>
        </w:tc>
      </w:tr>
      <w:tr>
        <w:tc>
          <w:tcPr/>
          <w:p>
            <w:pPr>
              <w:pStyle w:val="Compact"/>
            </w:pPr>
            <w:r>
              <w:t xml:space="preserve">11+</w:t>
            </w:r>
          </w:p>
        </w:tc>
        <w:tc>
          <w:tcPr/>
          <w:p>
            <w:pPr>
              <w:pStyle w:val="Compact"/>
            </w:pPr>
            <w:r>
              <w:t xml:space="preserve">11.293873</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BGF Mio. m² nach Hauptnutzung</w:t>
            </w:r>
          </w:p>
        </w:tc>
      </w:tr>
      <w:tr>
        <w:trPr>
          <w:tblHeader w:val="on"/>
        </w:trPr>
        <w:tc>
          <w:tcPr/>
          <w:p>
            <w:pPr>
              <w:pStyle w:val="Compact"/>
            </w:pPr>
            <w:r>
              <w:t xml:space="preserve">GWR_Nutzung</w:t>
            </w:r>
          </w:p>
        </w:tc>
        <w:tc>
          <w:tcPr/>
          <w:p>
            <w:pPr>
              <w:pStyle w:val="Compact"/>
            </w:pPr>
          </w:p>
        </w:tc>
      </w:tr>
      <w:tr>
        <w:tc>
          <w:tcPr/>
          <w:p>
            <w:pPr>
              <w:pStyle w:val="Compact"/>
            </w:pPr>
            <w:r>
              <w:t xml:space="preserve">Ein- und Zweifamilienhäuser</w:t>
            </w:r>
          </w:p>
        </w:tc>
        <w:tc>
          <w:tcPr/>
          <w:p>
            <w:pPr>
              <w:pStyle w:val="Compact"/>
            </w:pPr>
            <w:r>
              <w:t xml:space="preserve">375.776284</w:t>
            </w:r>
          </w:p>
        </w:tc>
      </w:tr>
      <w:tr>
        <w:tc>
          <w:tcPr/>
          <w:p>
            <w:pPr>
              <w:pStyle w:val="Compact"/>
            </w:pPr>
            <w:r>
              <w:t xml:space="preserve">Mehrfamilienhaus</w:t>
            </w:r>
          </w:p>
        </w:tc>
        <w:tc>
          <w:tcPr/>
          <w:p>
            <w:pPr>
              <w:pStyle w:val="Compact"/>
            </w:pPr>
            <w:r>
              <w:t xml:space="preserve">271.624840</w:t>
            </w:r>
          </w:p>
        </w:tc>
      </w:tr>
      <w:tr>
        <w:tc>
          <w:tcPr/>
          <w:p>
            <w:pPr>
              <w:pStyle w:val="Compact"/>
            </w:pPr>
            <w:r>
              <w:t xml:space="preserve">Industrie und Lagerung</w:t>
            </w:r>
          </w:p>
        </w:tc>
        <w:tc>
          <w:tcPr/>
          <w:p>
            <w:pPr>
              <w:pStyle w:val="Compact"/>
            </w:pPr>
            <w:r>
              <w:t xml:space="preserve">122.853401</w:t>
            </w:r>
          </w:p>
        </w:tc>
      </w:tr>
      <w:tr>
        <w:tc>
          <w:tcPr/>
          <w:p>
            <w:pPr>
              <w:pStyle w:val="Compact"/>
            </w:pPr>
            <w:r>
              <w:t xml:space="preserve">Büronutzung</w:t>
            </w:r>
          </w:p>
        </w:tc>
        <w:tc>
          <w:tcPr/>
          <w:p>
            <w:pPr>
              <w:pStyle w:val="Compact"/>
            </w:pPr>
            <w:r>
              <w:t xml:space="preserve">76.624895</w:t>
            </w:r>
          </w:p>
        </w:tc>
      </w:tr>
      <w:tr>
        <w:tc>
          <w:tcPr/>
          <w:p>
            <w:pPr>
              <w:pStyle w:val="Compact"/>
            </w:pPr>
            <w:r>
              <w:t xml:space="preserve">Kultur, Freizeit, Bildung und Gesundheit</w:t>
            </w:r>
          </w:p>
        </w:tc>
        <w:tc>
          <w:tcPr/>
          <w:p>
            <w:pPr>
              <w:pStyle w:val="Compact"/>
            </w:pPr>
            <w:r>
              <w:t xml:space="preserve">65.894111</w:t>
            </w:r>
          </w:p>
        </w:tc>
      </w:tr>
      <w:tr>
        <w:tc>
          <w:tcPr/>
          <w:p>
            <w:pPr>
              <w:pStyle w:val="Compact"/>
            </w:pPr>
            <w:r>
              <w:t xml:space="preserve">Groß- und Einzelhandelsgebäude</w:t>
            </w:r>
          </w:p>
        </w:tc>
        <w:tc>
          <w:tcPr/>
          <w:p>
            <w:pPr>
              <w:pStyle w:val="Compact"/>
            </w:pPr>
            <w:r>
              <w:t xml:space="preserve">64.865034</w:t>
            </w:r>
          </w:p>
        </w:tc>
      </w:tr>
      <w:tr>
        <w:tc>
          <w:tcPr/>
          <w:p>
            <w:pPr>
              <w:pStyle w:val="Compact"/>
            </w:pPr>
            <w:r>
              <w:t xml:space="preserve">Hotels o.Ä.</w:t>
            </w:r>
          </w:p>
        </w:tc>
        <w:tc>
          <w:tcPr/>
          <w:p>
            <w:pPr>
              <w:pStyle w:val="Compact"/>
            </w:pPr>
            <w:r>
              <w:t xml:space="preserve">51.366923</w:t>
            </w:r>
          </w:p>
        </w:tc>
      </w:tr>
      <w:tr>
        <w:tc>
          <w:tcPr/>
          <w:p>
            <w:pPr>
              <w:pStyle w:val="Compact"/>
            </w:pPr>
            <w:r>
              <w:t xml:space="preserve">Gemeinschaftsgebäude</w:t>
            </w:r>
          </w:p>
        </w:tc>
        <w:tc>
          <w:tcPr/>
          <w:p>
            <w:pPr>
              <w:pStyle w:val="Compact"/>
            </w:pPr>
            <w:r>
              <w:t xml:space="preserve">17.056024</w:t>
            </w:r>
          </w:p>
        </w:tc>
      </w:tr>
      <w:tr>
        <w:tc>
          <w:tcPr/>
          <w:p>
            <w:pPr>
              <w:pStyle w:val="Compact"/>
            </w:pPr>
            <w:r>
              <w:t xml:space="preserve">Verkehrs- und Nachrichtenwesen</w:t>
            </w:r>
          </w:p>
        </w:tc>
        <w:tc>
          <w:tcPr/>
          <w:p>
            <w:pPr>
              <w:pStyle w:val="Compact"/>
            </w:pPr>
            <w:r>
              <w:t xml:space="preserve">12.873381</w:t>
            </w:r>
          </w:p>
        </w:tc>
      </w:tr>
    </w:tbl>
    <w:p>
      <w:pPr>
        <w:pStyle w:val="SourceCode"/>
      </w:pPr>
      <w:r>
        <w:rPr>
          <w:rStyle w:val="CommentTok"/>
        </w:rPr>
        <w:t xml:space="preserve"># Statistische BGF nach Bundesland × Hauptnutzung (keine KDE beteiligt)</w:t>
      </w:r>
      <w:r>
        <w:br/>
      </w:r>
      <w:r>
        <w:rPr>
          <w:rStyle w:val="NormalTok"/>
        </w:rPr>
        <w:t xml:space="preserve">by_province_use </w:t>
      </w:r>
      <w:r>
        <w:rPr>
          <w:rStyle w:val="OperatorTok"/>
        </w:rPr>
        <w:t xml:space="preserve">=</w:t>
      </w:r>
      <w:r>
        <w:rPr>
          <w:rStyle w:val="NormalTok"/>
        </w:rPr>
        <w:t xml:space="preserve"> (targets.pivot_table(index</w:t>
      </w:r>
      <w:r>
        <w:rPr>
          <w:rStyle w:val="OperatorTok"/>
        </w:rPr>
        <w:t xml:space="preserve">=</w:t>
      </w:r>
      <w:r>
        <w:rPr>
          <w:rStyle w:val="StringTok"/>
        </w:rPr>
        <w:t xml:space="preserve">"Bundesland"</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"BGF_target_m2"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.reindex(index</w:t>
      </w:r>
      <w:r>
        <w:rPr>
          <w:rStyle w:val="OperatorTok"/>
        </w:rPr>
        <w:t xml:space="preserve">=</w:t>
      </w:r>
      <w:r>
        <w:rPr>
          <w:rStyle w:val="NormalTok"/>
        </w:rPr>
        <w:t xml:space="preserve">PROVINCES, 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6.5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left </w:t>
      </w:r>
      <w:r>
        <w:rPr>
          <w:rStyle w:val="OperatorTok"/>
        </w:rPr>
        <w:t xml:space="preserve">=</w:t>
      </w:r>
      <w:r>
        <w:rPr>
          <w:rStyle w:val="NormalTok"/>
        </w:rPr>
        <w:t xml:space="preserve"> np.zeros(</w:t>
      </w:r>
      <w:r>
        <w:rPr>
          <w:rStyle w:val="BuiltInTok"/>
        </w:rPr>
        <w:t xml:space="preserve">len</w:t>
      </w:r>
      <w:r>
        <w:rPr>
          <w:rStyle w:val="NormalTok"/>
        </w:rPr>
        <w:t xml:space="preserve">(PROVINCES))</w:t>
      </w:r>
      <w:r>
        <w:br/>
      </w:r>
      <w:r>
        <w:rPr>
          <w:rStyle w:val="ControlFlowTok"/>
        </w:rPr>
        <w:t xml:space="preserve">for</w:t>
      </w:r>
      <w:r>
        <w:rPr>
          <w:rStyle w:val="NormalTok"/>
        </w:rPr>
        <w:t xml:space="preserve"> usage </w:t>
      </w:r>
      <w:r>
        <w:rPr>
          <w:rStyle w:val="KeywordTok"/>
        </w:rPr>
        <w:t xml:space="preserve">in</w:t>
      </w:r>
      <w:r>
        <w:rPr>
          <w:rStyle w:val="NormalTok"/>
        </w:rPr>
        <w:t xml:space="preserve"> PLOT_USE_ORDER:</w:t>
      </w:r>
      <w:r>
        <w:br/>
      </w:r>
      <w:r>
        <w:rPr>
          <w:rStyle w:val="NormalTok"/>
        </w:rPr>
        <w:t xml:space="preserve">    vals </w:t>
      </w:r>
      <w:r>
        <w:rPr>
          <w:rStyle w:val="OperatorTok"/>
        </w:rPr>
        <w:t xml:space="preserve">=</w:t>
      </w:r>
      <w:r>
        <w:rPr>
          <w:rStyle w:val="NormalTok"/>
        </w:rPr>
        <w:t xml:space="preserve"> by_province_use[usage].to_numpy()</w:t>
      </w:r>
      <w:r>
        <w:br/>
      </w:r>
      <w:r>
        <w:rPr>
          <w:rStyle w:val="NormalTok"/>
        </w:rPr>
        <w:t xml:space="preserve">    ax.barh(PROVINCES, vals, left</w:t>
      </w:r>
      <w:r>
        <w:rPr>
          <w:rStyle w:val="OperatorTok"/>
        </w:rPr>
        <w:t xml:space="preserve">=</w:t>
      </w:r>
      <w:r>
        <w:rPr>
          <w:rStyle w:val="NormalTok"/>
        </w:rPr>
        <w:t xml:space="preserve">left, label</w:t>
      </w:r>
      <w:r>
        <w:rPr>
          <w:rStyle w:val="OperatorTok"/>
        </w:rPr>
        <w:t xml:space="preserve">=</w:t>
      </w:r>
      <w:r>
        <w:rPr>
          <w:rStyle w:val="NormalTok"/>
        </w:rPr>
        <w:t xml:space="preserve">usage, color</w:t>
      </w:r>
      <w:r>
        <w:rPr>
          <w:rStyle w:val="OperatorTok"/>
        </w:rPr>
        <w:t xml:space="preserve">=</w:t>
      </w:r>
      <w:r>
        <w:rPr>
          <w:rStyle w:val="NormalTok"/>
        </w:rPr>
        <w:t xml:space="preserve">COLORS[usage],</w:t>
      </w:r>
      <w:r>
        <w:br/>
      </w:r>
      <w:r>
        <w:rPr>
          <w:rStyle w:val="NormalTok"/>
        </w:rPr>
        <w:t xml:space="preserve">            height</w:t>
      </w:r>
      <w:r>
        <w:rPr>
          <w:rStyle w:val="OperatorTok"/>
        </w:rPr>
        <w:t xml:space="preserve">=</w:t>
      </w:r>
      <w:r>
        <w:rPr>
          <w:rStyle w:val="FloatTok"/>
        </w:rPr>
        <w:t xml:space="preserve">.75</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.25</w:t>
      </w:r>
      <w:r>
        <w:rPr>
          <w:rStyle w:val="NormalTok"/>
        </w:rPr>
        <w:t xml:space="preserve">)</w:t>
      </w:r>
      <w:r>
        <w:br/>
      </w:r>
      <w:r>
        <w:rPr>
          <w:rStyle w:val="NormalTok"/>
        </w:rPr>
        <w:t xml:space="preserve">    left </w:t>
      </w:r>
      <w:r>
        <w:rPr>
          <w:rStyle w:val="OperatorTok"/>
        </w:rPr>
        <w:t xml:space="preserve">+=</w:t>
      </w:r>
      <w:r>
        <w:rPr>
          <w:rStyle w:val="NormalTok"/>
        </w:rPr>
        <w:t xml:space="preserve"> vals</w:t>
      </w:r>
      <w:r>
        <w:br/>
      </w:r>
      <w:r>
        <w:rPr>
          <w:rStyle w:val="CommentTok"/>
        </w:rPr>
        <w:t xml:space="preserve"># Gesamtsummen neben den Balken</w:t>
      </w:r>
      <w:r>
        <w:br/>
      </w:r>
      <w:r>
        <w:rPr>
          <w:rStyle w:val="ControlFlowTok"/>
        </w:rPr>
        <w:t xml:space="preserve">for</w:t>
      </w:r>
      <w:r>
        <w:rPr>
          <w:rStyle w:val="NormalTok"/>
        </w:rPr>
        <w:t xml:space="preserve"> y, total </w:t>
      </w:r>
      <w:r>
        <w:rPr>
          <w:rStyle w:val="KeywordTok"/>
        </w:rPr>
        <w:t xml:space="preserve">in</w:t>
      </w:r>
      <w:r>
        <w:rPr>
          <w:rStyle w:val="NormalTok"/>
        </w:rPr>
        <w:t xml:space="preserve"> </w:t>
      </w:r>
      <w:r>
        <w:rPr>
          <w:rStyle w:val="BuiltInTok"/>
        </w:rPr>
        <w:t xml:space="preserve">enumerate</w:t>
      </w:r>
      <w:r>
        <w:rPr>
          <w:rStyle w:val="NormalTok"/>
        </w:rPr>
        <w:t xml:space="preserve">(left):</w:t>
      </w:r>
      <w:r>
        <w:br/>
      </w:r>
      <w:r>
        <w:rPr>
          <w:rStyle w:val="NormalTok"/>
        </w:rPr>
        <w:t xml:space="preserve">    ax.text(total </w:t>
      </w:r>
      <w:r>
        <w:rPr>
          <w:rStyle w:val="OperatorTok"/>
        </w:rPr>
        <w:t xml:space="preserve">+</w:t>
      </w:r>
      <w:r>
        <w:rPr>
          <w:rStyle w:val="NormalTok"/>
        </w:rPr>
        <w:t xml:space="preserve"> </w:t>
      </w:r>
      <w:r>
        <w:rPr>
          <w:rStyle w:val="DecValTok"/>
        </w:rPr>
        <w:t xml:space="preserve">2</w:t>
      </w:r>
      <w:r>
        <w:rPr>
          <w:rStyle w:val="NormalTok"/>
        </w:rPr>
        <w:t xml:space="preserve">, y, </w:t>
      </w:r>
      <w:r>
        <w:rPr>
          <w:rStyle w:val="SpecialStringTok"/>
        </w:rPr>
        <w:t xml:space="preserve">f"</w:t>
      </w:r>
      <w:r>
        <w:rPr>
          <w:rStyle w:val="SpecialCha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fontsize</w:t>
      </w:r>
      <w:r>
        <w:rPr>
          <w:rStyle w:val="OperatorTok"/>
        </w:rPr>
        <w:t xml:space="preserve">=</w:t>
      </w:r>
      <w:r>
        <w:rPr>
          <w:rStyle w:val="DecValTok"/>
        </w:rPr>
        <w:t xml:space="preserve">8</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ax.set_xlim(</w:t>
      </w:r>
      <w:r>
        <w:rPr>
          <w:rStyle w:val="DecValTok"/>
        </w:rPr>
        <w:t xml:space="preserve">0</w:t>
      </w:r>
      <w:r>
        <w:rPr>
          <w:rStyle w:val="NormalTok"/>
        </w:rPr>
        <w:t xml:space="preserve">, </w:t>
      </w:r>
      <w:r>
        <w:rPr>
          <w:rStyle w:val="BuiltInTok"/>
        </w:rPr>
        <w:t xml:space="preserve">max</w:t>
      </w:r>
      <w:r>
        <w:rPr>
          <w:rStyle w:val="NormalTok"/>
        </w:rPr>
        <w:t xml:space="preserve">(left) </w:t>
      </w:r>
      <w:r>
        <w:rPr>
          <w:rStyle w:val="OperatorTok"/>
        </w:rPr>
        <w:t xml:space="preserve">*</w:t>
      </w:r>
      <w:r>
        <w:rPr>
          <w:rStyle w:val="NormalTok"/>
        </w:rPr>
        <w:t xml:space="preserve"> </w:t>
      </w:r>
      <w:r>
        <w:rPr>
          <w:rStyle w:val="FloatTok"/>
        </w:rPr>
        <w:t xml:space="preserve">1.17</w:t>
      </w:r>
      <w:r>
        <w:rPr>
          <w:rStyle w:val="NormalTok"/>
        </w:rPr>
        <w:t xml:space="preserve">)</w:t>
      </w:r>
      <w:r>
        <w:br/>
      </w:r>
      <w:r>
        <w:rPr>
          <w:rStyle w:val="NormalTok"/>
        </w:rPr>
        <w:t xml:space="preserve">ax.</w:t>
      </w:r>
      <w:r>
        <w:rPr>
          <w:rStyle w:val="BuiltInTok"/>
        </w:rPr>
        <w:t xml:space="preserve">set</w:t>
      </w:r>
      <w:r>
        <w:rPr>
          <w:rStyle w:val="NormalTok"/>
        </w:rPr>
        <w:t xml:space="preserve">(xlabel</w:t>
      </w:r>
      <w:r>
        <w:rPr>
          <w:rStyle w:val="OperatorTok"/>
        </w:rPr>
        <w:t xml:space="preserve">=</w:t>
      </w:r>
      <w:r>
        <w:rPr>
          <w:rStyle w:val="StringTok"/>
        </w:rPr>
        <w:t xml:space="preserve">"BGF [Mio. m²]"</w:t>
      </w:r>
      <w:r>
        <w:rPr>
          <w:rStyle w:val="NormalTok"/>
        </w:rPr>
        <w:t xml:space="preserve">, ylabel</w:t>
      </w:r>
      <w:r>
        <w:rPr>
          <w:rStyle w:val="OperatorTok"/>
        </w:rPr>
        <w:t xml:space="preserve">=</w:t>
      </w:r>
      <w:r>
        <w:rPr>
          <w:rStyle w:val="StringTok"/>
        </w:rPr>
        <w:t xml:space="preserve">"Bundesland"</w:t>
      </w:r>
      <w:r>
        <w:rPr>
          <w:rStyle w:val="NormalTok"/>
        </w:rPr>
        <w:t xml:space="preserve">)</w:t>
      </w:r>
      <w:r>
        <w:br/>
      </w:r>
      <w:r>
        <w:rPr>
          <w:rStyle w:val="NormalTok"/>
        </w:rPr>
        <w:t xml:space="preserve">ax.invert_yaxis()</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.18</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left"</w:t>
      </w:r>
      <w:r>
        <w:rPr>
          <w:rStyle w:val="NormalTok"/>
        </w:rPr>
        <w:t xml:space="preserve">, bbox_to_anchor</w:t>
      </w:r>
      <w:r>
        <w:rPr>
          <w:rStyle w:val="OperatorTok"/>
        </w:rPr>
        <w:t xml:space="preserve">=</w:t>
      </w:r>
      <w:r>
        <w:rPr>
          <w:rStyle w:val="NormalTok"/>
        </w:rPr>
        <w:t xml:space="preserve">(</w:t>
      </w:r>
      <w:r>
        <w:rPr>
          <w:rStyle w:val="FloatTok"/>
        </w:rPr>
        <w:t xml:space="preserve">1.01</w:t>
      </w:r>
      <w:r>
        <w:rPr>
          <w:rStyle w:val="NormalTok"/>
        </w:rPr>
        <w:t xml:space="preserve">, </w:t>
      </w:r>
      <w:r>
        <w:rPr>
          <w:rStyle w:val="DecValTok"/>
        </w:rPr>
        <w:t xml:space="preserve">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"gfz_statistik_bgf_bundeslaender.png"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63" w:name="fig-gfz-statistik-bundesland"/>
          <w:p>
            <w:pPr>
              <w:pStyle w:val="Compact"/>
              <w:jc w:val="center"/>
            </w:pPr>
            <w:r>
              <w:drawing>
                <wp:inline>
                  <wp:extent cx="5334000" cy="2689041"/>
                  <wp:effectExtent b="0" l="0" r="0" t="0"/>
                  <wp:docPr descr="" title="" id="461" name="Picture"/>
                  <a:graphic>
                    <a:graphicData uri="http://schemas.openxmlformats.org/drawingml/2006/picture">
                      <pic:pic>
                        <pic:nvPicPr>
                          <pic:cNvPr descr="Berechnungen\gfz_at/GFZ_AT_Analyse_Anhang_files/figure-docx/fig-gfz-statistik-bundesland-output-1.png" id="462" name="Picture"/>
                          <pic:cNvPicPr>
                            <a:picLocks noChangeArrowheads="1" noChangeAspect="1"/>
                          </pic:cNvPicPr>
                        </pic:nvPicPr>
                        <pic:blipFill>
                          <a:blip r:embed="rId460"/>
                          <a:stretch>
                            <a:fillRect/>
                          </a:stretch>
                        </pic:blipFill>
                        <pic:spPr bwMode="auto">
                          <a:xfrm>
                            <a:off x="0" y="0"/>
                            <a:ext cx="5334000" cy="268904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D.3: Statistisch verankerte Bruttogrundfläche 2021 nach Bundesland und Gebäudehauptnutzung. Die BGF wird aus der statistischen NGF mit NGF/BGF = 0,8 abgeleitet; gestapelte Balken, absolute Flächen in Mio. m².</w:t>
            </w:r>
          </w:p>
          <w:bookmarkEnd w:id="463"/>
        </w:tc>
      </w:tr>
    </w:tbl>
    <w:p>
      <w:pPr>
        <w:pStyle w:val="SourceCode"/>
      </w:pPr>
      <w:r>
        <w:rPr>
          <w:rStyle w:val="CommentTok"/>
        </w:rPr>
        <w:t xml:space="preserve"># Statistische BGF nach Geschossklasse × Hauptnutzung (keine GFZ-Modellierung beteiligt)</w:t>
      </w:r>
      <w:r>
        <w:br/>
      </w:r>
      <w:r>
        <w:rPr>
          <w:rStyle w:val="NormalTok"/>
        </w:rPr>
        <w:t xml:space="preserve">by_gk_use </w:t>
      </w:r>
      <w:r>
        <w:rPr>
          <w:rStyle w:val="OperatorTok"/>
        </w:rPr>
        <w:t xml:space="preserve">=</w:t>
      </w:r>
      <w:r>
        <w:rPr>
          <w:rStyle w:val="NormalTok"/>
        </w:rPr>
        <w:t xml:space="preserve"> (targets.pivot_table(index</w:t>
      </w:r>
      <w:r>
        <w:rPr>
          <w:rStyle w:val="OperatorTok"/>
        </w:rPr>
        <w:t xml:space="preserve">=</w:t>
      </w:r>
      <w:r>
        <w:rPr>
          <w:rStyle w:val="StringTok"/>
        </w:rPr>
        <w:t xml:space="preserve">"GK"</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"BGF_target_m2"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.reindex(index</w:t>
      </w:r>
      <w:r>
        <w:rPr>
          <w:rStyle w:val="OperatorTok"/>
        </w:rPr>
        <w:t xml:space="preserve">=</w:t>
      </w:r>
      <w:r>
        <w:rPr>
          <w:rStyle w:val="NormalTok"/>
        </w:rPr>
        <w:t xml:space="preserve">STOREYS, 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5.5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(STOREYS))</w:t>
      </w:r>
      <w:r>
        <w:br/>
      </w:r>
      <w:r>
        <w:rPr>
          <w:rStyle w:val="ControlFlowTok"/>
        </w:rPr>
        <w:t xml:space="preserve">for</w:t>
      </w:r>
      <w:r>
        <w:rPr>
          <w:rStyle w:val="NormalTok"/>
        </w:rPr>
        <w:t xml:space="preserve"> usage </w:t>
      </w:r>
      <w:r>
        <w:rPr>
          <w:rStyle w:val="KeywordTok"/>
        </w:rPr>
        <w:t xml:space="preserve">in</w:t>
      </w:r>
      <w:r>
        <w:rPr>
          <w:rStyle w:val="NormalTok"/>
        </w:rPr>
        <w:t xml:space="preserve"> PLOT_USE_ORDER:</w:t>
      </w:r>
      <w:r>
        <w:br/>
      </w:r>
      <w:r>
        <w:rPr>
          <w:rStyle w:val="NormalTok"/>
        </w:rPr>
        <w:t xml:space="preserve">    vals </w:t>
      </w:r>
      <w:r>
        <w:rPr>
          <w:rStyle w:val="OperatorTok"/>
        </w:rPr>
        <w:t xml:space="preserve">=</w:t>
      </w:r>
      <w:r>
        <w:rPr>
          <w:rStyle w:val="NormalTok"/>
        </w:rPr>
        <w:t xml:space="preserve"> by_gk_use[usage].to_numpy()</w:t>
      </w:r>
      <w:r>
        <w:br/>
      </w:r>
      <w:r>
        <w:rPr>
          <w:rStyle w:val="NormalTok"/>
        </w:rPr>
        <w:t xml:space="preserve">    ax.bar(STOREYS, vals, bottom</w:t>
      </w:r>
      <w:r>
        <w:rPr>
          <w:rStyle w:val="OperatorTok"/>
        </w:rPr>
        <w:t xml:space="preserve">=</w:t>
      </w:r>
      <w:r>
        <w:rPr>
          <w:rStyle w:val="NormalTok"/>
        </w:rPr>
        <w:t xml:space="preserve">bottom, label</w:t>
      </w:r>
      <w:r>
        <w:rPr>
          <w:rStyle w:val="OperatorTok"/>
        </w:rPr>
        <w:t xml:space="preserve">=</w:t>
      </w:r>
      <w:r>
        <w:rPr>
          <w:rStyle w:val="NormalTok"/>
        </w:rPr>
        <w:t xml:space="preserve">usage, color</w:t>
      </w:r>
      <w:r>
        <w:rPr>
          <w:rStyle w:val="OperatorTok"/>
        </w:rPr>
        <w:t xml:space="preserve">=</w:t>
      </w:r>
      <w:r>
        <w:rPr>
          <w:rStyle w:val="NormalTok"/>
        </w:rPr>
        <w:t xml:space="preserve">COLORS[usage],</w:t>
      </w:r>
      <w:r>
        <w:br/>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.25</w:t>
      </w:r>
      <w:r>
        <w:rPr>
          <w:rStyle w:val="NormalTok"/>
        </w:rPr>
        <w:t xml:space="preserve">, width</w:t>
      </w:r>
      <w:r>
        <w:rPr>
          <w:rStyle w:val="OperatorTok"/>
        </w:rPr>
        <w:t xml:space="preserve">=</w:t>
      </w:r>
      <w:r>
        <w:rPr>
          <w:rStyle w:val="FloatTok"/>
        </w:rPr>
        <w:t xml:space="preserve">.78</w:t>
      </w:r>
      <w:r>
        <w:rPr>
          <w:rStyle w:val="NormalTok"/>
        </w:rPr>
        <w:t xml:space="preserve">)</w:t>
      </w:r>
      <w:r>
        <w:br/>
      </w:r>
      <w:r>
        <w:rPr>
          <w:rStyle w:val="NormalTok"/>
        </w:rPr>
        <w:t xml:space="preserve">    bottom </w:t>
      </w:r>
      <w:r>
        <w:rPr>
          <w:rStyle w:val="OperatorTok"/>
        </w:rPr>
        <w:t xml:space="preserve">+=</w:t>
      </w:r>
      <w:r>
        <w:rPr>
          <w:rStyle w:val="NormalTok"/>
        </w:rPr>
        <w:t xml:space="preserve"> vals</w:t>
      </w:r>
      <w:r>
        <w:br/>
      </w:r>
      <w:r>
        <w:rPr>
          <w:rStyle w:val="NormalTok"/>
        </w:rPr>
        <w:t xml:space="preserve">ax.</w:t>
      </w:r>
      <w:r>
        <w:rPr>
          <w:rStyle w:val="BuiltInTok"/>
        </w:rPr>
        <w:t xml:space="preserve">set</w:t>
      </w:r>
      <w:r>
        <w:rPr>
          <w:rStyle w:val="NormalTok"/>
        </w:rPr>
        <w:t xml:space="preserve">(xlabel</w:t>
      </w:r>
      <w:r>
        <w:rPr>
          <w:rStyle w:val="OperatorTok"/>
        </w:rPr>
        <w:t xml:space="preserve">=</w:t>
      </w:r>
      <w:r>
        <w:rPr>
          <w:rStyle w:val="StringTok"/>
        </w:rPr>
        <w:t xml:space="preserve">"Geschossklasse"</w:t>
      </w:r>
      <w:r>
        <w:rPr>
          <w:rStyle w:val="NormalTok"/>
        </w:rPr>
        <w:t xml:space="preserve">, ylabel</w:t>
      </w:r>
      <w:r>
        <w:rPr>
          <w:rStyle w:val="OperatorTok"/>
        </w:rPr>
        <w:t xml:space="preserve">=</w:t>
      </w:r>
      <w:r>
        <w:rPr>
          <w:rStyle w:val="StringTok"/>
        </w:rPr>
        <w:t xml:space="preserve">"BGF [Mio. m²]"</w:t>
      </w:r>
      <w:r>
        <w:rPr>
          <w:rStyle w:val="NormalTok"/>
        </w:rPr>
        <w:t xml:space="preserve">)</w:t>
      </w:r>
      <w:r>
        <w:br/>
      </w:r>
      <w:r>
        <w:rPr>
          <w:rStyle w:val="NormalTok"/>
        </w:rPr>
        <w:t xml:space="preserve">ax.set_ylim(bottom</w:t>
      </w:r>
      <w:r>
        <w:rPr>
          <w:rStyle w:val="OperatorTok"/>
        </w:rPr>
        <w:t xml:space="preserve">=</w:t>
      </w:r>
      <w:r>
        <w:rPr>
          <w:rStyle w:val="DecValTok"/>
        </w:rPr>
        <w:t xml:space="preserve">0</w:t>
      </w:r>
      <w:r>
        <w:rPr>
          <w:rStyle w:val="NormalTok"/>
        </w:rPr>
        <w:t xml:space="preserve">)</w:t>
      </w:r>
      <w:r>
        <w:br/>
      </w:r>
      <w:r>
        <w:rPr>
          <w:rStyle w:val="NormalTok"/>
        </w:rPr>
        <w:t xml:space="preserve">ax.grid(axis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left"</w:t>
      </w:r>
      <w:r>
        <w:rPr>
          <w:rStyle w:val="NormalTok"/>
        </w:rPr>
        <w:t xml:space="preserve">, bbox_to_anchor</w:t>
      </w:r>
      <w:r>
        <w:rPr>
          <w:rStyle w:val="OperatorTok"/>
        </w:rPr>
        <w:t xml:space="preserve">=</w:t>
      </w:r>
      <w:r>
        <w:rPr>
          <w:rStyle w:val="NormalTok"/>
        </w:rPr>
        <w:t xml:space="preserve">(</w:t>
      </w:r>
      <w:r>
        <w:rPr>
          <w:rStyle w:val="FloatTok"/>
        </w:rPr>
        <w:t xml:space="preserve">1.01</w:t>
      </w:r>
      <w:r>
        <w:rPr>
          <w:rStyle w:val="NormalTok"/>
        </w:rPr>
        <w:t xml:space="preserve">, </w:t>
      </w:r>
      <w:r>
        <w:rPr>
          <w:rStyle w:val="DecValTok"/>
        </w:rPr>
        <w:t xml:space="preserve">1</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"gfz_statistik_bgf_geschosse.png"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67" w:name="fig-gfz-statistik-geschosse"/>
          <w:p>
            <w:pPr>
              <w:pStyle w:val="Compact"/>
              <w:jc w:val="center"/>
            </w:pPr>
            <w:r>
              <w:drawing>
                <wp:inline>
                  <wp:extent cx="5334000" cy="2470600"/>
                  <wp:effectExtent b="0" l="0" r="0" t="0"/>
                  <wp:docPr descr="" title="" id="465" name="Picture"/>
                  <a:graphic>
                    <a:graphicData uri="http://schemas.openxmlformats.org/drawingml/2006/picture">
                      <pic:pic>
                        <pic:nvPicPr>
                          <pic:cNvPr descr="Berechnungen\gfz_at/GFZ_AT_Analyse_Anhang_files/figure-docx/fig-gfz-statistik-geschosse-output-1.png" id="466" name="Picture"/>
                          <pic:cNvPicPr>
                            <a:picLocks noChangeArrowheads="1" noChangeAspect="1"/>
                          </pic:cNvPicPr>
                        </pic:nvPicPr>
                        <pic:blipFill>
                          <a:blip r:embed="rId464"/>
                          <a:stretch>
                            <a:fillRect/>
                          </a:stretch>
                        </pic:blipFill>
                        <pic:spPr bwMode="auto">
                          <a:xfrm>
                            <a:off x="0" y="0"/>
                            <a:ext cx="5334000" cy="247060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D.4: Statistisch verankerte Bruttogrundfläche 2021 nach sieben Geschossklassen und Hauptnutzung, österreichweit. Jede Säule summiert die BGF aller neun Bundesländer der betreffenden Geschossklasse.</w:t>
            </w:r>
          </w:p>
          <w:bookmarkEnd w:id="467"/>
        </w:tc>
      </w:tr>
    </w:tbl>
    <w:bookmarkEnd w:id="468"/>
    <w:bookmarkEnd w:id="469"/>
    <w:bookmarkStart w:id="470" w:name="X982d1cc0ed0dd1dcc3af3fd94e37f6ce8d32797"/>
    <w:p>
      <w:pPr>
        <w:pStyle w:val="Heading2"/>
      </w:pPr>
      <w:r>
        <w:t xml:space="preserve">C.4 4. Bestimmung der verfügbaren Referenzgruppen</w:t>
      </w:r>
    </w:p>
    <w:p>
      <w:pPr>
        <w:pStyle w:val="FirstParagraph"/>
      </w:pPr>
      <w:r>
        <w:t xml:space="preserve">Die Hochrechnung erfolgt für jede positive Kombination aus Bundesland, Geschossklasse und Hauptnutzung. Die statistische Fläche der Zielkombination wird unverändert übernommen. Zur Ermittlung ihrer Dichteverteilung wird jeweils eine gebäudescharfe</w:t>
      </w:r>
      <w:r>
        <w:t xml:space="preserve"> </w:t>
      </w:r>
      <w:r>
        <w:rPr>
          <w:b/>
          <w:bCs/>
        </w:rPr>
        <w:t xml:space="preserve">Referenzgruppe</w:t>
      </w:r>
      <w:r>
        <w:t xml:space="preserve"> </w:t>
      </w:r>
      <w:r>
        <w:t xml:space="preserve">ausgewählt:</w:t>
      </w:r>
    </w:p>
    <w:p>
      <w:pPr>
        <w:pStyle w:val="Compact"/>
        <w:numPr>
          <w:ilvl w:val="0"/>
          <w:numId w:val="1007"/>
        </w:numPr>
      </w:pPr>
      <w:r>
        <w:t xml:space="preserve">Für Wien: gleiche Nutzung und Geschossklasse aus Wien. Für die übrigen Bundesländer: gleiche Nutzung und Geschossklasse aus Salzburg.</w:t>
      </w:r>
    </w:p>
    <w:p>
      <w:pPr>
        <w:pStyle w:val="Compact"/>
        <w:numPr>
          <w:ilvl w:val="0"/>
          <w:numId w:val="1007"/>
        </w:numPr>
      </w:pPr>
      <w:r>
        <w:t xml:space="preserve">Sind weniger als fünf Gebäude verfügbar: gleiche Nutzung und Geschossklasse aus Wien (sofern ausreichend belegt).</w:t>
      </w:r>
    </w:p>
    <w:p>
      <w:pPr>
        <w:pStyle w:val="Compact"/>
        <w:numPr>
          <w:ilvl w:val="0"/>
          <w:numId w:val="1007"/>
        </w:numPr>
      </w:pPr>
      <w:r>
        <w:t xml:space="preserve">Falls weiterhin unzureichend: gleiche Nutzung aus einer</w:t>
      </w:r>
      <w:r>
        <w:t xml:space="preserve"> </w:t>
      </w:r>
      <w:r>
        <w:rPr>
          <w:b/>
          <w:bCs/>
        </w:rPr>
        <w:t xml:space="preserve">nächstgelegenen Geschossklasse</w:t>
      </w:r>
      <w:r>
        <w:t xml:space="preserve">, zuerst in der vorgesehenen Referenzregion, dann in Wien. Die Auswahl erfolgt anhand des Indexabstands der sieben Geschossklassen; die Klassenfolge ist oben definiert.</w:t>
      </w:r>
    </w:p>
    <w:p>
      <w:pPr>
        <w:pStyle w:val="FirstParagraph"/>
      </w:pPr>
      <w:r>
        <w:t xml:space="preserve">Jede Ersatzzuordnung wird als eigener Status und mit ihrer Referenzregion/-geschossklasse protokolliert. Wenn keine ausreichend große Referenzstichprobe gefunden wird, bricht die Rechnung ab. Die Ersatzregel für diesen Arbeitsstand ist freigegeben; sie ist keine zusätzliche statistische Messung.</w:t>
      </w:r>
    </w:p>
    <w:p>
      <w:pPr>
        <w:pStyle w:val="SourceCode"/>
      </w:pPr>
      <w:r>
        <w:rPr>
          <w:rStyle w:val="CommentTok"/>
        </w:rPr>
        <w:t xml:space="preserve"># Explizite Zuordnung je positiver Bundesland/GK/Nutzung-Zielkombination</w:t>
      </w:r>
      <w:r>
        <w:br/>
      </w:r>
      <w:r>
        <w:rPr>
          <w:rStyle w:val="NormalTok"/>
        </w:rPr>
        <w:t xml:space="preserve">reference_groups </w:t>
      </w:r>
      <w:r>
        <w:rPr>
          <w:rStyle w:val="OperatorTok"/>
        </w:rPr>
        <w:t xml:space="preserve">=</w:t>
      </w:r>
      <w:r>
        <w:rPr>
          <w:rStyle w:val="NormalTok"/>
        </w:rPr>
        <w:t xml:space="preserve"> {</w:t>
      </w:r>
      <w:r>
        <w:br/>
      </w:r>
      <w:r>
        <w:rPr>
          <w:rStyle w:val="NormalTok"/>
        </w:rPr>
        <w:t xml:space="preserve">    key: group </w:t>
      </w:r>
      <w:r>
        <w:rPr>
          <w:rStyle w:val="ControlFlowTok"/>
        </w:rPr>
        <w:t xml:space="preserve">for</w:t>
      </w:r>
      <w:r>
        <w:rPr>
          <w:rStyle w:val="NormalTok"/>
        </w:rPr>
        <w:t xml:space="preserve"> key, group </w:t>
      </w:r>
      <w:r>
        <w:rPr>
          <w:rStyle w:val="KeywordTok"/>
        </w:rPr>
        <w:t xml:space="preserve">in</w:t>
      </w:r>
      <w:r>
        <w:rPr>
          <w:rStyle w:val="NormalTok"/>
        </w:rPr>
        <w:t xml:space="preserve"> samples.groupby([</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 sort</w:t>
      </w:r>
      <w:r>
        <w:rPr>
          <w:rStyle w:val="OperatorTok"/>
        </w:rPr>
        <w:t xml:space="preserve">=</w:t>
      </w:r>
      <w:r>
        <w:rPr>
          <w:rStyle w:val="VariableTok"/>
        </w:rPr>
        <w:t xml:space="preserve">False</w:t>
      </w:r>
      <w:r>
        <w:rPr>
          <w:rStyle w:val="NormalTok"/>
        </w:rPr>
        <w:t xml:space="preserve">)</w:t>
      </w:r>
      <w:r>
        <w:br/>
      </w:r>
      <w:r>
        <w:rPr>
          <w:rStyle w:val="NormalTok"/>
        </w:rPr>
        <w:t xml:space="preserve">}</w:t>
      </w:r>
      <w:r>
        <w:br/>
      </w:r>
      <w:r>
        <w:rPr>
          <w:rStyle w:val="NormalTok"/>
        </w:rPr>
        <w:t xml:space="preserve">coverage_rows </w:t>
      </w:r>
      <w:r>
        <w:rPr>
          <w:rStyle w:val="OperatorTok"/>
        </w:rPr>
        <w:t xml:space="preserve">=</w:t>
      </w:r>
      <w:r>
        <w:rPr>
          <w:rStyle w:val="NormalTok"/>
        </w:rPr>
        <w:t xml:space="preserve"> []</w:t>
      </w:r>
      <w:r>
        <w:br/>
      </w:r>
      <w:r>
        <w:rPr>
          <w:rStyle w:val="ControlFlowTok"/>
        </w:rPr>
        <w:t xml:space="preserve">for</w:t>
      </w:r>
      <w:r>
        <w:rPr>
          <w:rStyle w:val="NormalTok"/>
        </w:rPr>
        <w:t xml:space="preserve"> row </w:t>
      </w:r>
      <w:r>
        <w:rPr>
          <w:rStyle w:val="KeywordTok"/>
        </w:rPr>
        <w:t xml:space="preserve">in</w:t>
      </w:r>
      <w:r>
        <w:rPr>
          <w:rStyle w:val="NormalTok"/>
        </w:rPr>
        <w:t xml:space="preserve"> targets.itertuples(index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row.BGF_target_m2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primary_region </w:t>
      </w:r>
      <w:r>
        <w:rPr>
          <w:rStyle w:val="OperatorTok"/>
        </w:rPr>
        <w:t xml:space="preserve">=</w:t>
      </w:r>
      <w:r>
        <w:rPr>
          <w:rStyle w:val="NormalTok"/>
        </w:rPr>
        <w:t xml:space="preserve"> </w:t>
      </w:r>
      <w:r>
        <w:rPr>
          <w:rStyle w:val="StringTok"/>
        </w:rPr>
        <w:t xml:space="preserve">"Wien"</w:t>
      </w:r>
      <w:r>
        <w:rPr>
          <w:rStyle w:val="NormalTok"/>
        </w:rPr>
        <w:t xml:space="preserve"> </w:t>
      </w:r>
      <w:r>
        <w:rPr>
          <w:rStyle w:val="ControlFlowTok"/>
        </w:rPr>
        <w:t xml:space="preserve">if</w:t>
      </w:r>
      <w:r>
        <w:rPr>
          <w:rStyle w:val="NormalTok"/>
        </w:rPr>
        <w:t xml:space="preserve"> row.Bundesland </w:t>
      </w:r>
      <w:r>
        <w:rPr>
          <w:rStyle w:val="OperatorTok"/>
        </w:rPr>
        <w:t xml:space="preserve">==</w:t>
      </w:r>
      <w:r>
        <w:rPr>
          <w:rStyle w:val="NormalTok"/>
        </w:rPr>
        <w:t xml:space="preserve"> </w:t>
      </w:r>
      <w:r>
        <w:rPr>
          <w:rStyle w:val="StringTok"/>
        </w:rPr>
        <w:t xml:space="preserve">"Wien"</w:t>
      </w:r>
      <w:r>
        <w:rPr>
          <w:rStyle w:val="NormalTok"/>
        </w:rPr>
        <w:t xml:space="preserve"> </w:t>
      </w:r>
      <w:r>
        <w:rPr>
          <w:rStyle w:val="ControlFlowTok"/>
        </w:rPr>
        <w:t xml:space="preserve">else</w:t>
      </w:r>
      <w:r>
        <w:rPr>
          <w:rStyle w:val="NormalTok"/>
        </w:rPr>
        <w:t xml:space="preserve"> </w:t>
      </w:r>
      <w:r>
        <w:rPr>
          <w:rStyle w:val="StringTok"/>
        </w:rPr>
        <w:t xml:space="preserve">"Salzburg"</w:t>
      </w:r>
      <w:r>
        <w:br/>
      </w:r>
      <w:r>
        <w:rPr>
          <w:rStyle w:val="NormalTok"/>
        </w:rPr>
        <w:t xml:space="preserve">    primary </w:t>
      </w:r>
      <w:r>
        <w:rPr>
          <w:rStyle w:val="OperatorTok"/>
        </w:rPr>
        <w:t xml:space="preserve">=</w:t>
      </w:r>
      <w:r>
        <w:rPr>
          <w:rStyle w:val="NormalTok"/>
        </w:rPr>
        <w:t xml:space="preserve"> (primary_region, row.GK, row.GWR_Nutzung)</w:t>
      </w:r>
      <w:r>
        <w:br/>
      </w:r>
      <w:r>
        <w:rPr>
          <w:rStyle w:val="NormalTok"/>
        </w:rPr>
        <w:t xml:space="preserve">    primary_n </w:t>
      </w:r>
      <w:r>
        <w:rPr>
          <w:rStyle w:val="OperatorTok"/>
        </w:rPr>
        <w:t xml:space="preserve">=</w:t>
      </w:r>
      <w:r>
        <w:rPr>
          <w:rStyle w:val="NormalTok"/>
        </w:rPr>
        <w:t xml:space="preserve"> </w:t>
      </w:r>
      <w:r>
        <w:rPr>
          <w:rStyle w:val="BuiltInTok"/>
        </w:rPr>
        <w:t xml:space="preserve">len</w:t>
      </w:r>
      <w:r>
        <w:rPr>
          <w:rStyle w:val="NormalTok"/>
        </w:rPr>
        <w:t xml:space="preserve">(reference_groups.get(primary, ()))</w:t>
      </w:r>
      <w:r>
        <w:br/>
      </w:r>
      <w:r>
        <w:rPr>
          <w:rStyle w:val="NormalTok"/>
        </w:rPr>
        <w:t xml:space="preserve">    source, status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primary_n </w:t>
      </w:r>
      <w:r>
        <w:rPr>
          <w:rStyle w:val="OperatorTok"/>
        </w:rPr>
        <w:t xml:space="preserve">&gt;=</w:t>
      </w:r>
      <w:r>
        <w:rPr>
          <w:rStyle w:val="NormalTok"/>
        </w:rPr>
        <w:t xml:space="preserve"> MIN_SAMPLES:</w:t>
      </w:r>
      <w:r>
        <w:br/>
      </w:r>
      <w:r>
        <w:rPr>
          <w:rStyle w:val="NormalTok"/>
        </w:rPr>
        <w:t xml:space="preserve">        source, status </w:t>
      </w:r>
      <w:r>
        <w:rPr>
          <w:rStyle w:val="OperatorTok"/>
        </w:rPr>
        <w:t xml:space="preserve">=</w:t>
      </w:r>
      <w:r>
        <w:rPr>
          <w:rStyle w:val="NormalTok"/>
        </w:rPr>
        <w:t xml:space="preserve"> primary, </w:t>
      </w:r>
      <w:r>
        <w:rPr>
          <w:rStyle w:val="StringTok"/>
        </w:rPr>
        <w:t xml:space="preserve">"reference-exact"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FALLBACK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f"Nicht ausreichende Referenzgruppe: </w:t>
      </w:r>
      <w:r>
        <w:rPr>
          <w:rStyle w:val="SpecialCharTok"/>
        </w:rPr>
        <w:t xml:space="preserve">{</w:t>
      </w:r>
      <w:r>
        <w:rPr>
          <w:rStyle w:val="NormalTok"/>
        </w:rPr>
        <w:t xml:space="preserve">primary</w:t>
      </w:r>
      <w:r>
        <w:rPr>
          <w:rStyle w:val="SpecialCharTok"/>
        </w:rPr>
        <w:t xml:space="preserve">}</w:t>
      </w:r>
      <w:r>
        <w:rPr>
          <w:rStyle w:val="SpecialStringTok"/>
        </w:rPr>
        <w:t xml:space="preserve">, n=</w:t>
      </w:r>
      <w:r>
        <w:rPr>
          <w:rStyle w:val="SpecialCharTok"/>
        </w:rPr>
        <w:t xml:space="preserve">{</w:t>
      </w:r>
      <w:r>
        <w:rPr>
          <w:rStyle w:val="NormalTok"/>
        </w:rPr>
        <w:t xml:space="preserve">primary_n</w:t>
      </w:r>
      <w:r>
        <w:rPr>
          <w:rStyle w:val="SpecialCharTok"/>
        </w:rPr>
        <w:t xml:space="preserve">}</w:t>
      </w:r>
      <w:r>
        <w:rPr>
          <w:rStyle w:val="SpecialStringTok"/>
        </w:rPr>
        <w:t xml:space="preserve">"</w:t>
      </w:r>
      <w:r>
        <w:rPr>
          <w:rStyle w:val="NormalTok"/>
        </w:rPr>
        <w:t xml:space="preserve">)</w:t>
      </w:r>
      <w:r>
        <w:br/>
      </w:r>
      <w:r>
        <w:rPr>
          <w:rStyle w:val="NormalTok"/>
        </w:rPr>
        <w:t xml:space="preserve">        vienna_exact </w:t>
      </w:r>
      <w:r>
        <w:rPr>
          <w:rStyle w:val="OperatorTok"/>
        </w:rPr>
        <w:t xml:space="preserve">=</w:t>
      </w:r>
      <w:r>
        <w:rPr>
          <w:rStyle w:val="NormalTok"/>
        </w:rPr>
        <w:t xml:space="preserve"> (</w:t>
      </w:r>
      <w:r>
        <w:rPr>
          <w:rStyle w:val="StringTok"/>
        </w:rPr>
        <w:t xml:space="preserve">"Wien"</w:t>
      </w:r>
      <w:r>
        <w:rPr>
          <w:rStyle w:val="NormalTok"/>
        </w:rPr>
        <w:t xml:space="preserve">, row.GK, row.GWR_Nutzung)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(reference_groups.get(vienna_exact, ())) </w:t>
      </w:r>
      <w:r>
        <w:rPr>
          <w:rStyle w:val="OperatorTok"/>
        </w:rPr>
        <w:t xml:space="preserve">&gt;=</w:t>
      </w:r>
      <w:r>
        <w:rPr>
          <w:rStyle w:val="NormalTok"/>
        </w:rPr>
        <w:t xml:space="preserve"> MIN_SAMPLES:</w:t>
      </w:r>
      <w:r>
        <w:br/>
      </w:r>
      <w:r>
        <w:rPr>
          <w:rStyle w:val="NormalTok"/>
        </w:rPr>
        <w:t xml:space="preserve">            source, status </w:t>
      </w:r>
      <w:r>
        <w:rPr>
          <w:rStyle w:val="OperatorTok"/>
        </w:rPr>
        <w:t xml:space="preserve">=</w:t>
      </w:r>
      <w:r>
        <w:rPr>
          <w:rStyle w:val="NormalTok"/>
        </w:rPr>
        <w:t xml:space="preserve"> vienna_exact, </w:t>
      </w:r>
      <w:r>
        <w:rPr>
          <w:rStyle w:val="StringTok"/>
        </w:rPr>
        <w:t xml:space="preserve">"fallback-vienna-exact"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Gleiche Hauptnutzung, minimale Distanz der Geschossklassen</w:t>
      </w:r>
      <w:r>
        <w:br/>
      </w:r>
      <w:r>
        <w:rPr>
          <w:rStyle w:val="NormalTok"/>
        </w:rPr>
        <w:t xml:space="preserve">            </w:t>
      </w:r>
      <w:r>
        <w:rPr>
          <w:rStyle w:val="ControlFlowTok"/>
        </w:rPr>
        <w:t xml:space="preserve">for</w:t>
      </w:r>
      <w:r>
        <w:rPr>
          <w:rStyle w:val="NormalTok"/>
        </w:rPr>
        <w:t xml:space="preserve"> candidate_region </w:t>
      </w:r>
      <w:r>
        <w:rPr>
          <w:rStyle w:val="KeywordTok"/>
        </w:rPr>
        <w:t xml:space="preserve">in</w:t>
      </w:r>
      <w:r>
        <w:rPr>
          <w:rStyle w:val="NormalTok"/>
        </w:rPr>
        <w:t xml:space="preserve"> </w:t>
      </w:r>
      <w:r>
        <w:rPr>
          <w:rStyle w:val="BuiltInTok"/>
        </w:rPr>
        <w:t xml:space="preserve">dict</w:t>
      </w:r>
      <w:r>
        <w:rPr>
          <w:rStyle w:val="NormalTok"/>
        </w:rPr>
        <w:t xml:space="preserve">.fromkeys([primary_region, </w:t>
      </w:r>
      <w:r>
        <w:rPr>
          <w:rStyle w:val="StringTok"/>
        </w:rPr>
        <w:t xml:space="preserve">"Wien"</w:t>
      </w:r>
      <w:r>
        <w:rPr>
          <w:rStyle w:val="NormalTok"/>
        </w:rPr>
        <w:t xml:space="preserve">]):</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BuiltInTok"/>
        </w:rPr>
        <w:t xml:space="preserve">abs</w:t>
      </w:r>
      <w:r>
        <w:rPr>
          <w:rStyle w:val="NormalTok"/>
        </w:rPr>
        <w:t xml:space="preserve">(STOREYS.index(row.GK) </w:t>
      </w:r>
      <w:r>
        <w:rPr>
          <w:rStyle w:val="OperatorTok"/>
        </w:rPr>
        <w:t xml:space="preserve">-</w:t>
      </w:r>
      <w:r>
        <w:rPr>
          <w:rStyle w:val="NormalTok"/>
        </w:rPr>
        <w:t xml:space="preserve"> STOREYS.index(other_gk)), other_gk)</w:t>
      </w:r>
      <w:r>
        <w:br/>
      </w:r>
      <w:r>
        <w:rPr>
          <w:rStyle w:val="NormalTok"/>
        </w:rPr>
        <w:t xml:space="preserve">                    </w:t>
      </w:r>
      <w:r>
        <w:rPr>
          <w:rStyle w:val="ControlFlowTok"/>
        </w:rPr>
        <w:t xml:space="preserve">for</w:t>
      </w:r>
      <w:r>
        <w:rPr>
          <w:rStyle w:val="NormalTok"/>
        </w:rPr>
        <w:t xml:space="preserve"> other_gk </w:t>
      </w:r>
      <w:r>
        <w:rPr>
          <w:rStyle w:val="KeywordTok"/>
        </w:rPr>
        <w:t xml:space="preserve">in</w:t>
      </w:r>
      <w:r>
        <w:rPr>
          <w:rStyle w:val="NormalTok"/>
        </w:rPr>
        <w:t xml:space="preserve"> STOREYS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(reference_groups.get((candidate_region, other_gk, row.GWR_Nutzung), ())) </w:t>
      </w:r>
      <w:r>
        <w:rPr>
          <w:rStyle w:val="OperatorTok"/>
        </w:rPr>
        <w:t xml:space="preserve">&gt;=</w:t>
      </w:r>
      <w:r>
        <w:rPr>
          <w:rStyle w:val="NormalTok"/>
        </w:rPr>
        <w:t xml:space="preserve"> MIN_SAMPLES</w:t>
      </w:r>
      <w:r>
        <w:br/>
      </w:r>
      <w:r>
        <w:rPr>
          <w:rStyle w:val="NormalTok"/>
        </w:rPr>
        <w:t xml:space="preserve">                ]</w:t>
      </w:r>
      <w:r>
        <w:br/>
      </w:r>
      <w:r>
        <w:rPr>
          <w:rStyle w:val="NormalTok"/>
        </w:rPr>
        <w:t xml:space="preserve">                </w:t>
      </w:r>
      <w:r>
        <w:rPr>
          <w:rStyle w:val="ControlFlowTok"/>
        </w:rPr>
        <w:t xml:space="preserve">if</w:t>
      </w:r>
      <w:r>
        <w:rPr>
          <w:rStyle w:val="NormalTok"/>
        </w:rPr>
        <w:t xml:space="preserve"> candidates:</w:t>
      </w:r>
      <w:r>
        <w:br/>
      </w:r>
      <w:r>
        <w:rPr>
          <w:rStyle w:val="NormalTok"/>
        </w:rPr>
        <w:t xml:space="preserve">                    _, nearest_gk </w:t>
      </w:r>
      <w:r>
        <w:rPr>
          <w:rStyle w:val="OperatorTok"/>
        </w:rPr>
        <w:t xml:space="preserve">=</w:t>
      </w:r>
      <w:r>
        <w:rPr>
          <w:rStyle w:val="NormalTok"/>
        </w:rPr>
        <w:t xml:space="preserve"> </w:t>
      </w:r>
      <w:r>
        <w:rPr>
          <w:rStyle w:val="BuiltInTok"/>
        </w:rPr>
        <w:t xml:space="preserve">min</w:t>
      </w:r>
      <w:r>
        <w:rPr>
          <w:rStyle w:val="NormalTok"/>
        </w:rPr>
        <w:t xml:space="preserve">(candidates)</w:t>
      </w:r>
      <w:r>
        <w:br/>
      </w:r>
      <w:r>
        <w:rPr>
          <w:rStyle w:val="NormalTok"/>
        </w:rPr>
        <w:t xml:space="preserve">                    source </w:t>
      </w:r>
      <w:r>
        <w:rPr>
          <w:rStyle w:val="OperatorTok"/>
        </w:rPr>
        <w:t xml:space="preserve">=</w:t>
      </w:r>
      <w:r>
        <w:rPr>
          <w:rStyle w:val="NormalTok"/>
        </w:rPr>
        <w:t xml:space="preserve"> (candidate_region, nearest_gk, row.GWR_Nutzung)</w:t>
      </w:r>
      <w:r>
        <w:br/>
      </w:r>
      <w:r>
        <w:rPr>
          <w:rStyle w:val="NormalTok"/>
        </w:rPr>
        <w:t xml:space="preserve">                    status </w:t>
      </w:r>
      <w:r>
        <w:rPr>
          <w:rStyle w:val="OperatorTok"/>
        </w:rPr>
        <w:t xml:space="preserve">=</w:t>
      </w:r>
      <w:r>
        <w:rPr>
          <w:rStyle w:val="NormalTok"/>
        </w:rPr>
        <w:t xml:space="preserve"> </w:t>
      </w:r>
      <w:r>
        <w:rPr>
          <w:rStyle w:val="SpecialStringTok"/>
        </w:rPr>
        <w:t xml:space="preserve">f"fallback-</w:t>
      </w:r>
      <w:r>
        <w:rPr>
          <w:rStyle w:val="SpecialCharTok"/>
        </w:rPr>
        <w:t xml:space="preserve">{</w:t>
      </w:r>
      <w:r>
        <w:rPr>
          <w:rStyle w:val="NormalTok"/>
        </w:rPr>
        <w:t xml:space="preserve">candidate_region</w:t>
      </w:r>
      <w:r>
        <w:rPr>
          <w:rStyle w:val="SpecialCharTok"/>
        </w:rPr>
        <w:t xml:space="preserve">.</w:t>
      </w:r>
      <w:r>
        <w:rPr>
          <w:rStyle w:val="NormalTok"/>
        </w:rPr>
        <w:t xml:space="preserve">lower()</w:t>
      </w:r>
      <w:r>
        <w:rPr>
          <w:rStyle w:val="SpecialCharTok"/>
        </w:rPr>
        <w:t xml:space="preserve">}</w:t>
      </w:r>
      <w:r>
        <w:rPr>
          <w:rStyle w:val="SpecialStringTok"/>
        </w:rPr>
        <w:t xml:space="preserve">-nearest-storey"</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source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f"Keine gültige Referenz für </w:t>
      </w:r>
      <w:r>
        <w:rPr>
          <w:rStyle w:val="SpecialCharTok"/>
        </w:rPr>
        <w:t xml:space="preserve">{</w:t>
      </w:r>
      <w:r>
        <w:rPr>
          <w:rStyle w:val="NormalTok"/>
        </w:rPr>
        <w:t xml:space="preserve">row</w:t>
      </w:r>
      <w:r>
        <w:rPr>
          <w:rStyle w:val="SpecialCharTok"/>
        </w:rPr>
        <w:t xml:space="preserve">.</w:t>
      </w:r>
      <w:r>
        <w:rPr>
          <w:rStyle w:val="NormalTok"/>
        </w:rPr>
        <w:t xml:space="preserve">Bundesland</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pecialCharTok"/>
        </w:rPr>
        <w:t xml:space="preserve">.</w:t>
      </w:r>
      <w:r>
        <w:rPr>
          <w:rStyle w:val="NormalTok"/>
        </w:rPr>
        <w:t xml:space="preserve">GK</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pecialCharTok"/>
        </w:rPr>
        <w:t xml:space="preserve">.</w:t>
      </w:r>
      <w:r>
        <w:rPr>
          <w:rStyle w:val="NormalTok"/>
        </w:rPr>
        <w:t xml:space="preserve">GWR_Nutzung</w:t>
      </w:r>
      <w:r>
        <w:rPr>
          <w:rStyle w:val="SpecialCharTok"/>
        </w:rPr>
        <w:t xml:space="preserve">}</w:t>
      </w:r>
      <w:r>
        <w:rPr>
          <w:rStyle w:val="SpecialStringTok"/>
        </w:rPr>
        <w:t xml:space="preserve">"</w:t>
      </w:r>
      <w:r>
        <w:rPr>
          <w:rStyle w:val="NormalTok"/>
        </w:rPr>
        <w:t xml:space="preserve">)</w:t>
      </w:r>
      <w:r>
        <w:br/>
      </w:r>
      <w:r>
        <w:br/>
      </w:r>
      <w:r>
        <w:rPr>
          <w:rStyle w:val="NormalTok"/>
        </w:rPr>
        <w:t xml:space="preserve">    coverage_rows.append({</w:t>
      </w:r>
      <w:r>
        <w:br/>
      </w:r>
      <w:r>
        <w:rPr>
          <w:rStyle w:val="NormalTok"/>
        </w:rPr>
        <w:t xml:space="preserve">        </w:t>
      </w:r>
      <w:r>
        <w:rPr>
          <w:rStyle w:val="StringTok"/>
        </w:rPr>
        <w:t xml:space="preserve">"Bundesland"</w:t>
      </w:r>
      <w:r>
        <w:rPr>
          <w:rStyle w:val="NormalTok"/>
        </w:rPr>
        <w:t xml:space="preserve">: row.Bundesland, </w:t>
      </w:r>
      <w:r>
        <w:rPr>
          <w:rStyle w:val="StringTok"/>
        </w:rPr>
        <w:t xml:space="preserve">"GK"</w:t>
      </w:r>
      <w:r>
        <w:rPr>
          <w:rStyle w:val="NormalTok"/>
        </w:rPr>
        <w:t xml:space="preserve">: row.GK, </w:t>
      </w:r>
      <w:r>
        <w:rPr>
          <w:rStyle w:val="StringTok"/>
        </w:rPr>
        <w:t xml:space="preserve">"GWR_Nutzung"</w:t>
      </w:r>
      <w:r>
        <w:rPr>
          <w:rStyle w:val="NormalTok"/>
        </w:rPr>
        <w:t xml:space="preserve">: row.GWR_Nutzung,</w:t>
      </w:r>
      <w:r>
        <w:br/>
      </w:r>
      <w:r>
        <w:rPr>
          <w:rStyle w:val="NormalTok"/>
        </w:rPr>
        <w:t xml:space="preserve">        </w:t>
      </w:r>
      <w:r>
        <w:rPr>
          <w:rStyle w:val="StringTok"/>
        </w:rPr>
        <w:t xml:space="preserve">"NGF_m2"</w:t>
      </w:r>
      <w:r>
        <w:rPr>
          <w:rStyle w:val="NormalTok"/>
        </w:rPr>
        <w:t xml:space="preserve">: row.NGF_m2, </w:t>
      </w:r>
      <w:r>
        <w:rPr>
          <w:rStyle w:val="StringTok"/>
        </w:rPr>
        <w:t xml:space="preserve">"BGF_target_m2"</w:t>
      </w:r>
      <w:r>
        <w:rPr>
          <w:rStyle w:val="NormalTok"/>
        </w:rPr>
        <w:t xml:space="preserve">: row.BGF_target_m2,</w:t>
      </w:r>
      <w:r>
        <w:br/>
      </w:r>
      <w:r>
        <w:rPr>
          <w:rStyle w:val="NormalTok"/>
        </w:rPr>
        <w:t xml:space="preserve">        </w:t>
      </w:r>
      <w:r>
        <w:rPr>
          <w:rStyle w:val="StringTok"/>
        </w:rPr>
        <w:t xml:space="preserve">"primary_region"</w:t>
      </w:r>
      <w:r>
        <w:rPr>
          <w:rStyle w:val="NormalTok"/>
        </w:rPr>
        <w:t xml:space="preserve">: primary_region, </w:t>
      </w:r>
      <w:r>
        <w:rPr>
          <w:rStyle w:val="StringTok"/>
        </w:rPr>
        <w:t xml:space="preserve">"primary_n"</w:t>
      </w:r>
      <w:r>
        <w:rPr>
          <w:rStyle w:val="NormalTok"/>
        </w:rPr>
        <w:t xml:space="preserve">: primary_n,</w:t>
      </w:r>
      <w:r>
        <w:br/>
      </w:r>
      <w:r>
        <w:rPr>
          <w:rStyle w:val="NormalTok"/>
        </w:rPr>
        <w:t xml:space="preserve">        </w:t>
      </w:r>
      <w:r>
        <w:rPr>
          <w:rStyle w:val="StringTok"/>
        </w:rPr>
        <w:t xml:space="preserve">"reference_region"</w:t>
      </w:r>
      <w:r>
        <w:rPr>
          <w:rStyle w:val="NormalTok"/>
        </w:rPr>
        <w:t xml:space="preserve">: source[</w:t>
      </w:r>
      <w:r>
        <w:rPr>
          <w:rStyle w:val="DecValTok"/>
        </w:rPr>
        <w:t xml:space="preserve">0</w:t>
      </w:r>
      <w:r>
        <w:rPr>
          <w:rStyle w:val="NormalTok"/>
        </w:rPr>
        <w:t xml:space="preserve">], </w:t>
      </w:r>
      <w:r>
        <w:rPr>
          <w:rStyle w:val="StringTok"/>
        </w:rPr>
        <w:t xml:space="preserve">"reference_gk"</w:t>
      </w:r>
      <w:r>
        <w:rPr>
          <w:rStyle w:val="NormalTok"/>
        </w:rPr>
        <w:t xml:space="preserve">: source[</w:t>
      </w:r>
      <w:r>
        <w:rPr>
          <w:rStyle w:val="DecValTok"/>
        </w:rPr>
        <w:t xml:space="preserve">1</w:t>
      </w:r>
      <w:r>
        <w:rPr>
          <w:rStyle w:val="NormalTok"/>
        </w:rPr>
        <w:t xml:space="preserve">],</w:t>
      </w:r>
      <w:r>
        <w:br/>
      </w:r>
      <w:r>
        <w:rPr>
          <w:rStyle w:val="NormalTok"/>
        </w:rPr>
        <w:t xml:space="preserve">        </w:t>
      </w:r>
      <w:r>
        <w:rPr>
          <w:rStyle w:val="StringTok"/>
        </w:rPr>
        <w:t xml:space="preserve">"status"</w:t>
      </w:r>
      <w:r>
        <w:rPr>
          <w:rStyle w:val="NormalTok"/>
        </w:rPr>
        <w:t xml:space="preserve">: status, </w:t>
      </w:r>
      <w:r>
        <w:rPr>
          <w:rStyle w:val="StringTok"/>
        </w:rPr>
        <w:t xml:space="preserve">"n_reference_buildings"</w:t>
      </w:r>
      <w:r>
        <w:rPr>
          <w:rStyle w:val="NormalTok"/>
        </w:rPr>
        <w:t xml:space="preserve">: </w:t>
      </w:r>
      <w:r>
        <w:rPr>
          <w:rStyle w:val="BuiltInTok"/>
        </w:rPr>
        <w:t xml:space="preserve">len</w:t>
      </w:r>
      <w:r>
        <w:rPr>
          <w:rStyle w:val="NormalTok"/>
        </w:rPr>
        <w:t xml:space="preserve">(reference_groups[source]),</w:t>
      </w:r>
      <w:r>
        <w:br/>
      </w:r>
      <w:r>
        <w:rPr>
          <w:rStyle w:val="NormalTok"/>
        </w:rPr>
        <w:t xml:space="preserve">    })</w:t>
      </w:r>
      <w:r>
        <w:br/>
      </w:r>
      <w:r>
        <w:rPr>
          <w:rStyle w:val="NormalTok"/>
        </w:rPr>
        <w:t xml:space="preserve">coverage </w:t>
      </w:r>
      <w:r>
        <w:rPr>
          <w:rStyle w:val="OperatorTok"/>
        </w:rPr>
        <w:t xml:space="preserve">=</w:t>
      </w:r>
      <w:r>
        <w:rPr>
          <w:rStyle w:val="NormalTok"/>
        </w:rPr>
        <w:t xml:space="preserve"> pd.DataFrame(coverage_rows)</w:t>
      </w:r>
      <w:r>
        <w:br/>
      </w:r>
      <w:r>
        <w:rPr>
          <w:rStyle w:val="BuiltInTok"/>
        </w:rPr>
        <w:t xml:space="preserve">print</w:t>
      </w:r>
      <w:r>
        <w:rPr>
          <w:rStyle w:val="NormalTok"/>
        </w:rPr>
        <w:t xml:space="preserve">(</w:t>
      </w:r>
      <w:r>
        <w:rPr>
          <w:rStyle w:val="StringTok"/>
        </w:rPr>
        <w:t xml:space="preserve">"Positive statistische Zielkombinationen:"</w:t>
      </w:r>
      <w:r>
        <w:rPr>
          <w:rStyle w:val="NormalTok"/>
        </w:rPr>
        <w:t xml:space="preserve">, </w:t>
      </w:r>
      <w:r>
        <w:rPr>
          <w:rStyle w:val="BuiltInTok"/>
        </w:rPr>
        <w:t xml:space="preserve">len</w:t>
      </w:r>
      <w:r>
        <w:rPr>
          <w:rStyle w:val="NormalTok"/>
        </w:rPr>
        <w:t xml:space="preserve">(coverage))</w:t>
      </w:r>
      <w:r>
        <w:br/>
      </w:r>
      <w:r>
        <w:rPr>
          <w:rStyle w:val="BuiltInTok"/>
        </w:rPr>
        <w:t xml:space="preserve">print</w:t>
      </w:r>
      <w:r>
        <w:rPr>
          <w:rStyle w:val="NormalTok"/>
        </w:rPr>
        <w:t xml:space="preserve">(</w:t>
      </w:r>
      <w:r>
        <w:rPr>
          <w:rStyle w:val="StringTok"/>
        </w:rPr>
        <w:t xml:space="preserve">"Unmittelbare Referenzen:"</w:t>
      </w:r>
      <w:r>
        <w:rPr>
          <w:rStyle w:val="NormalTok"/>
        </w:rPr>
        <w:t xml:space="preserve">, </w:t>
      </w:r>
      <w:r>
        <w:rPr>
          <w:rStyle w:val="BuiltInTok"/>
        </w:rPr>
        <w:t xml:space="preserve">int</w:t>
      </w:r>
      <w:r>
        <w:rPr>
          <w:rStyle w:val="NormalTok"/>
        </w:rPr>
        <w:t xml:space="preserve">((coverage.status </w:t>
      </w:r>
      <w:r>
        <w:rPr>
          <w:rStyle w:val="OperatorTok"/>
        </w:rPr>
        <w:t xml:space="preserve">==</w:t>
      </w:r>
      <w:r>
        <w:rPr>
          <w:rStyle w:val="NormalTok"/>
        </w:rPr>
        <w:t xml:space="preserve"> </w:t>
      </w:r>
      <w:r>
        <w:rPr>
          <w:rStyle w:val="StringTok"/>
        </w:rPr>
        <w:t xml:space="preserve">"reference-exact"</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"Ersatzreferenzen:"</w:t>
      </w:r>
      <w:r>
        <w:rPr>
          <w:rStyle w:val="NormalTok"/>
        </w:rPr>
        <w:t xml:space="preserve">, </w:t>
      </w:r>
      <w:r>
        <w:rPr>
          <w:rStyle w:val="BuiltInTok"/>
        </w:rPr>
        <w:t xml:space="preserve">int</w:t>
      </w:r>
      <w:r>
        <w:rPr>
          <w:rStyle w:val="NormalTok"/>
        </w:rPr>
        <w:t xml:space="preserve">((coverage.status </w:t>
      </w:r>
      <w:r>
        <w:rPr>
          <w:rStyle w:val="OperatorTok"/>
        </w:rPr>
        <w:t xml:space="preserve">!=</w:t>
      </w:r>
      <w:r>
        <w:rPr>
          <w:rStyle w:val="NormalTok"/>
        </w:rPr>
        <w:t xml:space="preserve"> </w:t>
      </w:r>
      <w:r>
        <w:rPr>
          <w:rStyle w:val="StringTok"/>
        </w:rPr>
        <w:t xml:space="preserve">"reference-exact"</w:t>
      </w:r>
      <w:r>
        <w:rPr>
          <w:rStyle w:val="NormalTok"/>
        </w:rPr>
        <w:t xml:space="preserve">).</w:t>
      </w:r>
      <w:r>
        <w:rPr>
          <w:rStyle w:val="BuiltInTok"/>
        </w:rPr>
        <w:t xml:space="preserve">sum</w:t>
      </w:r>
      <w:r>
        <w:rPr>
          <w:rStyle w:val="NormalTok"/>
        </w:rPr>
        <w:t xml:space="preserve">()))</w:t>
      </w:r>
      <w:r>
        <w:br/>
      </w:r>
      <w:r>
        <w:rPr>
          <w:rStyle w:val="NormalTok"/>
        </w:rPr>
        <w:t xml:space="preserve">display(coverage.groupby(</w:t>
      </w:r>
      <w:r>
        <w:rPr>
          <w:rStyle w:val="StringTok"/>
        </w:rPr>
        <w:t xml:space="preserve">"status"</w:t>
      </w:r>
      <w:r>
        <w:rPr>
          <w:rStyle w:val="NormalTok"/>
        </w:rPr>
        <w:t xml:space="preserve">).agg(Kombinationen</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"size"</w:t>
      </w:r>
      <w:r>
        <w:rPr>
          <w:rStyle w:val="NormalTok"/>
        </w:rPr>
        <w:t xml:space="preserve">),</w:t>
      </w:r>
      <w:r>
        <w:br/>
      </w:r>
      <w:r>
        <w:rPr>
          <w:rStyle w:val="NormalTok"/>
        </w:rPr>
        <w:t xml:space="preserve">                    BGF_Mio_m2</w:t>
      </w:r>
      <w:r>
        <w:rPr>
          <w:rStyle w:val="OperatorTok"/>
        </w:rPr>
        <w:t xml:space="preserve">=</w:t>
      </w:r>
      <w:r>
        <w:rPr>
          <w:rStyle w:val="NormalTok"/>
        </w:rPr>
        <w:t xml:space="preserve">(</w:t>
      </w:r>
      <w:r>
        <w:rPr>
          <w:rStyle w:val="StringTok"/>
        </w:rPr>
        <w:t xml:space="preserve">"BGF_target_m2"</w:t>
      </w:r>
      <w:r>
        <w:rPr>
          <w:rStyle w:val="NormalTok"/>
        </w:rPr>
        <w:t xml:space="preserve">, </w:t>
      </w:r>
      <w:r>
        <w:rPr>
          <w:rStyle w:val="KeywordTok"/>
        </w:rPr>
        <w:t xml:space="preserve">lambda</w:t>
      </w:r>
      <w:r>
        <w:rPr>
          <w:rStyle w:val="NormalTok"/>
        </w:rPr>
        <w:t xml:space="preserve"> s: s.</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display(coverage.loc[coverage.status </w:t>
      </w:r>
      <w:r>
        <w:rPr>
          <w:rStyle w:val="OperatorTok"/>
        </w:rPr>
        <w:t xml:space="preserve">!=</w:t>
      </w:r>
      <w:r>
        <w:rPr>
          <w:rStyle w:val="NormalTok"/>
        </w:rPr>
        <w:t xml:space="preserve"> </w:t>
      </w:r>
      <w:r>
        <w:rPr>
          <w:rStyle w:val="StringTok"/>
        </w:rPr>
        <w:t xml:space="preserve">"reference-exact"</w:t>
      </w:r>
      <w:r>
        <w:rPr>
          <w:rStyle w:val="NormalTok"/>
        </w:rPr>
        <w:t xml:space="preserve">, [</w:t>
      </w:r>
      <w:r>
        <w:rPr>
          <w:rStyle w:val="StringTok"/>
        </w:rPr>
        <w:t xml:space="preserve">"Bundesland"</w:t>
      </w:r>
      <w:r>
        <w:rPr>
          <w:rStyle w:val="NormalTok"/>
        </w:rPr>
        <w:t xml:space="preserve">, </w:t>
      </w:r>
      <w:r>
        <w:rPr>
          <w:rStyle w:val="StringTok"/>
        </w:rPr>
        <w:t xml:space="preserve">"GK"</w:t>
      </w:r>
      <w:r>
        <w:rPr>
          <w:rStyle w:val="NormalTok"/>
        </w:rPr>
        <w:t xml:space="preserve">, </w:t>
      </w:r>
      <w:r>
        <w:rPr>
          <w:rStyle w:val="StringTok"/>
        </w:rPr>
        <w:t xml:space="preserve">"GWR_Nutzung"</w:t>
      </w:r>
      <w:r>
        <w:rPr>
          <w:rStyle w:val="NormalTok"/>
        </w:rPr>
        <w:t xml:space="preserve">,</w:t>
      </w:r>
      <w:r>
        <w:br/>
      </w:r>
      <w:r>
        <w:rPr>
          <w:rStyle w:val="NormalTok"/>
        </w:rPr>
        <w:t xml:space="preserve">               </w:t>
      </w:r>
      <w:r>
        <w:rPr>
          <w:rStyle w:val="StringTok"/>
        </w:rPr>
        <w:t xml:space="preserve">"primary_n"</w:t>
      </w:r>
      <w:r>
        <w:rPr>
          <w:rStyle w:val="NormalTok"/>
        </w:rPr>
        <w:t xml:space="preserve">, </w:t>
      </w:r>
      <w:r>
        <w:rPr>
          <w:rStyle w:val="StringTok"/>
        </w:rPr>
        <w:t xml:space="preserve">"reference_region"</w:t>
      </w:r>
      <w:r>
        <w:rPr>
          <w:rStyle w:val="NormalTok"/>
        </w:rPr>
        <w:t xml:space="preserve">, </w:t>
      </w:r>
      <w:r>
        <w:rPr>
          <w:rStyle w:val="StringTok"/>
        </w:rPr>
        <w:t xml:space="preserve">"reference_gk"</w:t>
      </w:r>
      <w:r>
        <w:rPr>
          <w:rStyle w:val="NormalTok"/>
        </w:rPr>
        <w:t xml:space="preserve">, </w:t>
      </w:r>
      <w:r>
        <w:rPr>
          <w:rStyle w:val="StringTok"/>
        </w:rPr>
        <w:t xml:space="preserve">"n_reference_buildings"</w:t>
      </w:r>
      <w:r>
        <w:rPr>
          <w:rStyle w:val="NormalTok"/>
        </w:rPr>
        <w:t xml:space="preserve">, </w:t>
      </w:r>
      <w:r>
        <w:rPr>
          <w:rStyle w:val="StringTok"/>
        </w:rPr>
        <w:t xml:space="preserve">"status"</w:t>
      </w:r>
      <w:r>
        <w:rPr>
          <w:rStyle w:val="NormalTok"/>
        </w:rPr>
        <w:t xml:space="preserve">]].head(</w:t>
      </w:r>
      <w:r>
        <w:rPr>
          <w:rStyle w:val="DecValTok"/>
        </w:rPr>
        <w:t xml:space="preserve">30</w:t>
      </w:r>
      <w:r>
        <w:rPr>
          <w:rStyle w:val="NormalTok"/>
        </w:rPr>
        <w:t xml:space="preserve">))</w:t>
      </w:r>
    </w:p>
    <w:p>
      <w:pPr>
        <w:pStyle w:val="SourceCode"/>
      </w:pPr>
      <w:r>
        <w:rPr>
          <w:rStyle w:val="VerbatimChar"/>
        </w:rPr>
        <w:t xml:space="preserve">Positive statistische Zielkombinationen: 516</w:t>
      </w:r>
      <w:r>
        <w:br/>
      </w:r>
      <w:r>
        <w:rPr>
          <w:rStyle w:val="VerbatimChar"/>
        </w:rPr>
        <w:t xml:space="preserve">Unmittelbare Referenzen: 425</w:t>
      </w:r>
      <w:r>
        <w:br/>
      </w:r>
      <w:r>
        <w:rPr>
          <w:rStyle w:val="VerbatimChar"/>
        </w:rPr>
        <w:t xml:space="preserve">Ersatzreferenzen: 91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Kombinationen</w:t>
            </w:r>
          </w:p>
        </w:tc>
        <w:tc>
          <w:tcPr/>
          <w:p>
            <w:pPr>
              <w:pStyle w:val="Compact"/>
            </w:pPr>
            <w:r>
              <w:t xml:space="preserve">BGF_Mio_m2</w:t>
            </w:r>
          </w:p>
        </w:tc>
      </w:tr>
      <w:tr>
        <w:trPr>
          <w:tblHeader w:val="on"/>
        </w:trPr>
        <w:tc>
          <w:tcPr/>
          <w:p>
            <w:pPr>
              <w:pStyle w:val="Compact"/>
            </w:pPr>
            <w:r>
              <w:t xml:space="preserve">status</w:t>
            </w:r>
          </w:p>
        </w:tc>
        <w:tc>
          <w:tcPr/>
          <w:p>
            <w:pPr>
              <w:pStyle w:val="Compact"/>
            </w:pPr>
          </w:p>
        </w:tc>
        <w:tc>
          <w:tcPr/>
          <w:p>
            <w:pPr>
              <w:pStyle w:val="Compact"/>
            </w:pPr>
          </w:p>
        </w:tc>
      </w:tr>
      <w:tr>
        <w:tc>
          <w:tcPr/>
          <w:p>
            <w:pPr>
              <w:pStyle w:val="Compact"/>
            </w:pPr>
            <w:r>
              <w:t xml:space="preserve">fallback-salzburg-nearest-storey</w:t>
            </w:r>
          </w:p>
        </w:tc>
        <w:tc>
          <w:tcPr/>
          <w:p>
            <w:pPr>
              <w:pStyle w:val="Compact"/>
            </w:pPr>
            <w:r>
              <w:t xml:space="preserve">3</w:t>
            </w:r>
          </w:p>
        </w:tc>
        <w:tc>
          <w:tcPr/>
          <w:p>
            <w:pPr>
              <w:pStyle w:val="Compact"/>
            </w:pPr>
            <w:r>
              <w:t xml:space="preserve">0.066</w:t>
            </w:r>
          </w:p>
        </w:tc>
      </w:tr>
      <w:tr>
        <w:tc>
          <w:tcPr/>
          <w:p>
            <w:pPr>
              <w:pStyle w:val="Compact"/>
            </w:pPr>
            <w:r>
              <w:t xml:space="preserve">fallback-vienna-exact</w:t>
            </w:r>
          </w:p>
        </w:tc>
        <w:tc>
          <w:tcPr/>
          <w:p>
            <w:pPr>
              <w:pStyle w:val="Compact"/>
            </w:pPr>
            <w:r>
              <w:t xml:space="preserve">84</w:t>
            </w:r>
          </w:p>
        </w:tc>
        <w:tc>
          <w:tcPr/>
          <w:p>
            <w:pPr>
              <w:pStyle w:val="Compact"/>
            </w:pPr>
            <w:r>
              <w:t xml:space="preserve">17.362</w:t>
            </w:r>
          </w:p>
        </w:tc>
      </w:tr>
      <w:tr>
        <w:tc>
          <w:tcPr/>
          <w:p>
            <w:pPr>
              <w:pStyle w:val="Compact"/>
            </w:pPr>
            <w:r>
              <w:t xml:space="preserve">fallback-wien-nearest-storey</w:t>
            </w:r>
          </w:p>
        </w:tc>
        <w:tc>
          <w:tcPr/>
          <w:p>
            <w:pPr>
              <w:pStyle w:val="Compact"/>
            </w:pPr>
            <w:r>
              <w:t xml:space="preserve">4</w:t>
            </w:r>
          </w:p>
        </w:tc>
        <w:tc>
          <w:tcPr/>
          <w:p>
            <w:pPr>
              <w:pStyle w:val="Compact"/>
            </w:pPr>
            <w:r>
              <w:t xml:space="preserve">0.532</w:t>
            </w:r>
          </w:p>
        </w:tc>
      </w:tr>
      <w:tr>
        <w:tc>
          <w:tcPr/>
          <w:p>
            <w:pPr>
              <w:pStyle w:val="Compact"/>
            </w:pPr>
            <w:r>
              <w:t xml:space="preserve">reference-exact</w:t>
            </w:r>
          </w:p>
        </w:tc>
        <w:tc>
          <w:tcPr/>
          <w:p>
            <w:pPr>
              <w:pStyle w:val="Compact"/>
            </w:pPr>
            <w:r>
              <w:t xml:space="preserve">425</w:t>
            </w:r>
          </w:p>
        </w:tc>
        <w:tc>
          <w:tcPr/>
          <w:p>
            <w:pPr>
              <w:pStyle w:val="Compact"/>
            </w:pPr>
            <w:r>
              <w:t xml:space="preserve">1040.974</w:t>
            </w:r>
          </w:p>
        </w:tc>
      </w:tr>
    </w:tbl>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Bundesland</w:t>
            </w:r>
          </w:p>
        </w:tc>
        <w:tc>
          <w:tcPr/>
          <w:p>
            <w:pPr>
              <w:pStyle w:val="Compact"/>
            </w:pPr>
            <w:r>
              <w:t xml:space="preserve">GK</w:t>
            </w:r>
          </w:p>
        </w:tc>
        <w:tc>
          <w:tcPr/>
          <w:p>
            <w:pPr>
              <w:pStyle w:val="Compact"/>
            </w:pPr>
            <w:r>
              <w:t xml:space="preserve">GWR_Nutzung</w:t>
            </w:r>
          </w:p>
        </w:tc>
        <w:tc>
          <w:tcPr/>
          <w:p>
            <w:pPr>
              <w:pStyle w:val="Compact"/>
            </w:pPr>
            <w:r>
              <w:t xml:space="preserve">primary_n</w:t>
            </w:r>
          </w:p>
        </w:tc>
        <w:tc>
          <w:tcPr/>
          <w:p>
            <w:pPr>
              <w:pStyle w:val="Compact"/>
            </w:pPr>
            <w:r>
              <w:t xml:space="preserve">reference_region</w:t>
            </w:r>
          </w:p>
        </w:tc>
        <w:tc>
          <w:tcPr/>
          <w:p>
            <w:pPr>
              <w:pStyle w:val="Compact"/>
            </w:pPr>
            <w:r>
              <w:t xml:space="preserve">reference_gk</w:t>
            </w:r>
          </w:p>
        </w:tc>
        <w:tc>
          <w:tcPr/>
          <w:p>
            <w:pPr>
              <w:pStyle w:val="Compact"/>
            </w:pPr>
            <w:r>
              <w:t xml:space="preserve">n_reference_buildings</w:t>
            </w:r>
          </w:p>
        </w:tc>
        <w:tc>
          <w:tcPr/>
          <w:p>
            <w:pPr>
              <w:pStyle w:val="Compact"/>
            </w:pPr>
            <w:r>
              <w:t xml:space="preserve">status</w:t>
            </w:r>
          </w:p>
        </w:tc>
      </w:tr>
      <w:tr>
        <w:tc>
          <w:tcPr/>
          <w:p>
            <w:pPr>
              <w:pStyle w:val="Compact"/>
            </w:pPr>
            <w:r>
              <w:t xml:space="preserve">24</w:t>
            </w:r>
          </w:p>
        </w:tc>
        <w:tc>
          <w:tcPr/>
          <w:p>
            <w:pPr>
              <w:pStyle w:val="Compact"/>
            </w:pPr>
            <w:r>
              <w:t xml:space="preserve">Oberösterreich</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43</w:t>
            </w:r>
          </w:p>
        </w:tc>
        <w:tc>
          <w:tcPr/>
          <w:p>
            <w:pPr>
              <w:pStyle w:val="Compact"/>
            </w:pPr>
            <w:r>
              <w:t xml:space="preserve">Tirol</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50</w:t>
            </w:r>
          </w:p>
        </w:tc>
        <w:tc>
          <w:tcPr/>
          <w:p>
            <w:pPr>
              <w:pStyle w:val="Compact"/>
            </w:pPr>
            <w:r>
              <w:t xml:space="preserve">Vorarlberg</w:t>
            </w:r>
          </w:p>
        </w:tc>
        <w:tc>
          <w:tcPr/>
          <w:p>
            <w:pPr>
              <w:pStyle w:val="Compact"/>
            </w:pPr>
            <w:r>
              <w:t xml:space="preserve">11+</w:t>
            </w:r>
          </w:p>
        </w:tc>
        <w:tc>
          <w:tcPr/>
          <w:p>
            <w:pPr>
              <w:pStyle w:val="Compact"/>
            </w:pPr>
            <w:r>
              <w:t xml:space="preserve">Hotels o.Ä.</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20</w:t>
            </w:r>
          </w:p>
        </w:tc>
        <w:tc>
          <w:tcPr/>
          <w:p>
            <w:pPr>
              <w:pStyle w:val="Compact"/>
            </w:pPr>
            <w:r>
              <w:t xml:space="preserve">fallback-vienna-exact</w:t>
            </w:r>
          </w:p>
        </w:tc>
      </w:tr>
      <w:tr>
        <w:tc>
          <w:tcPr/>
          <w:p>
            <w:pPr>
              <w:pStyle w:val="Compact"/>
            </w:pPr>
            <w:r>
              <w:t xml:space="preserve">70</w:t>
            </w:r>
          </w:p>
        </w:tc>
        <w:tc>
          <w:tcPr/>
          <w:p>
            <w:pPr>
              <w:pStyle w:val="Compact"/>
            </w:pPr>
            <w:r>
              <w:t xml:space="preserve">Kärnten</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77</w:t>
            </w:r>
          </w:p>
        </w:tc>
        <w:tc>
          <w:tcPr/>
          <w:p>
            <w:pPr>
              <w:pStyle w:val="Compact"/>
            </w:pPr>
            <w:r>
              <w:t xml:space="preserve">Niederösterreich</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84</w:t>
            </w:r>
          </w:p>
        </w:tc>
        <w:tc>
          <w:tcPr/>
          <w:p>
            <w:pPr>
              <w:pStyle w:val="Compact"/>
            </w:pPr>
            <w:r>
              <w:t xml:space="preserve">Oberösterreich</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97</w:t>
            </w:r>
          </w:p>
        </w:tc>
        <w:tc>
          <w:tcPr/>
          <w:p>
            <w:pPr>
              <w:pStyle w:val="Compact"/>
            </w:pPr>
            <w:r>
              <w:t xml:space="preserve">Steiermark</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104</w:t>
            </w:r>
          </w:p>
        </w:tc>
        <w:tc>
          <w:tcPr/>
          <w:p>
            <w:pPr>
              <w:pStyle w:val="Compact"/>
            </w:pPr>
            <w:r>
              <w:t xml:space="preserve">Tirol</w:t>
            </w:r>
          </w:p>
        </w:tc>
        <w:tc>
          <w:tcPr/>
          <w:p>
            <w:pPr>
              <w:pStyle w:val="Compact"/>
            </w:pPr>
            <w:r>
              <w:t xml:space="preserve">11+</w:t>
            </w:r>
          </w:p>
        </w:tc>
        <w:tc>
          <w:tcPr/>
          <w:p>
            <w:pPr>
              <w:pStyle w:val="Compact"/>
            </w:pPr>
            <w:r>
              <w:t xml:space="preserve">Büronutzung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103</w:t>
            </w:r>
          </w:p>
        </w:tc>
        <w:tc>
          <w:tcPr/>
          <w:p>
            <w:pPr>
              <w:pStyle w:val="Compact"/>
            </w:pPr>
            <w:r>
              <w:t xml:space="preserve">fallback-vienna-exact</w:t>
            </w:r>
          </w:p>
        </w:tc>
      </w:tr>
      <w:tr>
        <w:tc>
          <w:tcPr/>
          <w:p>
            <w:pPr>
              <w:pStyle w:val="Compact"/>
            </w:pPr>
            <w:r>
              <w:t xml:space="preserve">142</w:t>
            </w:r>
          </w:p>
        </w:tc>
        <w:tc>
          <w:tcPr/>
          <w:p>
            <w:pPr>
              <w:pStyle w:val="Compact"/>
            </w:pPr>
            <w:r>
              <w:t xml:space="preserve">Oberösterreich</w:t>
            </w:r>
          </w:p>
        </w:tc>
        <w:tc>
          <w:tcPr/>
          <w:p>
            <w:pPr>
              <w:pStyle w:val="Compact"/>
            </w:pPr>
            <w:r>
              <w:t xml:space="preserve">11+</w:t>
            </w:r>
          </w:p>
        </w:tc>
        <w:tc>
          <w:tcPr/>
          <w:p>
            <w:pPr>
              <w:pStyle w:val="Compact"/>
            </w:pPr>
            <w:r>
              <w:t xml:space="preserve">Groß- und Einzelhandelsgebäude</w:t>
            </w:r>
          </w:p>
        </w:tc>
        <w:tc>
          <w:tcPr/>
          <w:p>
            <w:pPr>
              <w:pStyle w:val="Compact"/>
            </w:pPr>
            <w:r>
              <w:t xml:space="preserve">0</w:t>
            </w:r>
          </w:p>
        </w:tc>
        <w:tc>
          <w:tcPr/>
          <w:p>
            <w:pPr>
              <w:pStyle w:val="Compact"/>
            </w:pPr>
            <w:r>
              <w:t xml:space="preserve">Salzburg</w:t>
            </w:r>
          </w:p>
        </w:tc>
        <w:tc>
          <w:tcPr/>
          <w:p>
            <w:pPr>
              <w:pStyle w:val="Compact"/>
            </w:pPr>
            <w:r>
              <w:t xml:space="preserve">6-10</w:t>
            </w:r>
          </w:p>
        </w:tc>
        <w:tc>
          <w:tcPr/>
          <w:p>
            <w:pPr>
              <w:pStyle w:val="Compact"/>
            </w:pPr>
            <w:r>
              <w:t xml:space="preserve">47</w:t>
            </w:r>
          </w:p>
        </w:tc>
        <w:tc>
          <w:tcPr/>
          <w:p>
            <w:pPr>
              <w:pStyle w:val="Compact"/>
            </w:pPr>
            <w:r>
              <w:t xml:space="preserve">fallback-salzburg-nearest-storey</w:t>
            </w:r>
          </w:p>
        </w:tc>
      </w:tr>
      <w:tr>
        <w:tc>
          <w:tcPr/>
          <w:p>
            <w:pPr>
              <w:pStyle w:val="Compact"/>
            </w:pPr>
            <w:r>
              <w:t xml:space="preserve">161</w:t>
            </w:r>
          </w:p>
        </w:tc>
        <w:tc>
          <w:tcPr/>
          <w:p>
            <w:pPr>
              <w:pStyle w:val="Compact"/>
            </w:pPr>
            <w:r>
              <w:t xml:space="preserve">Tirol</w:t>
            </w:r>
          </w:p>
        </w:tc>
        <w:tc>
          <w:tcPr/>
          <w:p>
            <w:pPr>
              <w:pStyle w:val="Compact"/>
            </w:pPr>
            <w:r>
              <w:t xml:space="preserve">11+</w:t>
            </w:r>
          </w:p>
        </w:tc>
        <w:tc>
          <w:tcPr/>
          <w:p>
            <w:pPr>
              <w:pStyle w:val="Compact"/>
            </w:pPr>
            <w:r>
              <w:t xml:space="preserve">Groß- und Einzelhandelsgebäude</w:t>
            </w:r>
          </w:p>
        </w:tc>
        <w:tc>
          <w:tcPr/>
          <w:p>
            <w:pPr>
              <w:pStyle w:val="Compact"/>
            </w:pPr>
            <w:r>
              <w:t xml:space="preserve">0</w:t>
            </w:r>
          </w:p>
        </w:tc>
        <w:tc>
          <w:tcPr/>
          <w:p>
            <w:pPr>
              <w:pStyle w:val="Compact"/>
            </w:pPr>
            <w:r>
              <w:t xml:space="preserve">Salzburg</w:t>
            </w:r>
          </w:p>
        </w:tc>
        <w:tc>
          <w:tcPr/>
          <w:p>
            <w:pPr>
              <w:pStyle w:val="Compact"/>
            </w:pPr>
            <w:r>
              <w:t xml:space="preserve">6-10</w:t>
            </w:r>
          </w:p>
        </w:tc>
        <w:tc>
          <w:tcPr/>
          <w:p>
            <w:pPr>
              <w:pStyle w:val="Compact"/>
            </w:pPr>
            <w:r>
              <w:t xml:space="preserve">47</w:t>
            </w:r>
          </w:p>
        </w:tc>
        <w:tc>
          <w:tcPr/>
          <w:p>
            <w:pPr>
              <w:pStyle w:val="Compact"/>
            </w:pPr>
            <w:r>
              <w:t xml:space="preserve">fallback-salzburg-nearest-storey</w:t>
            </w:r>
          </w:p>
        </w:tc>
      </w:tr>
      <w:tr>
        <w:tc>
          <w:tcPr/>
          <w:p>
            <w:pPr>
              <w:pStyle w:val="Compact"/>
            </w:pPr>
            <w:r>
              <w:t xml:space="preserve">174</w:t>
            </w:r>
          </w:p>
        </w:tc>
        <w:tc>
          <w:tcPr/>
          <w:p>
            <w:pPr>
              <w:pStyle w:val="Compact"/>
            </w:pPr>
            <w:r>
              <w:t xml:space="preserve">Wien</w:t>
            </w:r>
          </w:p>
        </w:tc>
        <w:tc>
          <w:tcPr/>
          <w:p>
            <w:pPr>
              <w:pStyle w:val="Compact"/>
            </w:pPr>
            <w:r>
              <w:t xml:space="preserve">11+</w:t>
            </w:r>
          </w:p>
        </w:tc>
        <w:tc>
          <w:tcPr/>
          <w:p>
            <w:pPr>
              <w:pStyle w:val="Compact"/>
            </w:pPr>
            <w:r>
              <w:t xml:space="preserve">Groß- und Einzelhandelsgebäude</w:t>
            </w:r>
          </w:p>
        </w:tc>
        <w:tc>
          <w:tcPr/>
          <w:p>
            <w:pPr>
              <w:pStyle w:val="Compact"/>
            </w:pPr>
            <w:r>
              <w:t xml:space="preserve">4</w:t>
            </w:r>
          </w:p>
        </w:tc>
        <w:tc>
          <w:tcPr/>
          <w:p>
            <w:pPr>
              <w:pStyle w:val="Compact"/>
            </w:pPr>
            <w:r>
              <w:t xml:space="preserve">Wien</w:t>
            </w:r>
          </w:p>
        </w:tc>
        <w:tc>
          <w:tcPr/>
          <w:p>
            <w:pPr>
              <w:pStyle w:val="Compact"/>
            </w:pPr>
            <w:r>
              <w:t xml:space="preserve">6-10</w:t>
            </w:r>
          </w:p>
        </w:tc>
        <w:tc>
          <w:tcPr/>
          <w:p>
            <w:pPr>
              <w:pStyle w:val="Compact"/>
            </w:pPr>
            <w:r>
              <w:t xml:space="preserve">80</w:t>
            </w:r>
          </w:p>
        </w:tc>
        <w:tc>
          <w:tcPr/>
          <w:p>
            <w:pPr>
              <w:pStyle w:val="Compact"/>
            </w:pPr>
            <w:r>
              <w:t xml:space="preserve">fallback-wien-nearest-storey</w:t>
            </w:r>
          </w:p>
        </w:tc>
      </w:tr>
      <w:tr>
        <w:tc>
          <w:tcPr/>
          <w:p>
            <w:pPr>
              <w:pStyle w:val="Compact"/>
            </w:pPr>
            <w:r>
              <w:t xml:space="preserve">182</w:t>
            </w:r>
          </w:p>
        </w:tc>
        <w:tc>
          <w:tcPr/>
          <w:p>
            <w:pPr>
              <w:pStyle w:val="Compact"/>
            </w:pPr>
            <w:r>
              <w:t xml:space="preserve">Kärnten</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183</w:t>
            </w:r>
          </w:p>
        </w:tc>
        <w:tc>
          <w:tcPr/>
          <w:p>
            <w:pPr>
              <w:pStyle w:val="Compact"/>
            </w:pPr>
            <w:r>
              <w:t xml:space="preserve">Kärnten</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188</w:t>
            </w:r>
          </w:p>
        </w:tc>
        <w:tc>
          <w:tcPr/>
          <w:p>
            <w:pPr>
              <w:pStyle w:val="Compact"/>
            </w:pPr>
            <w:r>
              <w:t xml:space="preserve">Niederösterreich</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189</w:t>
            </w:r>
          </w:p>
        </w:tc>
        <w:tc>
          <w:tcPr/>
          <w:p>
            <w:pPr>
              <w:pStyle w:val="Compact"/>
            </w:pPr>
            <w:r>
              <w:t xml:space="preserve">Niederösterreich</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194</w:t>
            </w:r>
          </w:p>
        </w:tc>
        <w:tc>
          <w:tcPr/>
          <w:p>
            <w:pPr>
              <w:pStyle w:val="Compact"/>
            </w:pPr>
            <w:r>
              <w:t xml:space="preserve">Oberösterreich</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195</w:t>
            </w:r>
          </w:p>
        </w:tc>
        <w:tc>
          <w:tcPr/>
          <w:p>
            <w:pPr>
              <w:pStyle w:val="Compact"/>
            </w:pPr>
            <w:r>
              <w:t xml:space="preserve">Oberösterreich</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200</w:t>
            </w:r>
          </w:p>
        </w:tc>
        <w:tc>
          <w:tcPr/>
          <w:p>
            <w:pPr>
              <w:pStyle w:val="Compact"/>
            </w:pPr>
            <w:r>
              <w:t xml:space="preserve">Salzburg</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201</w:t>
            </w:r>
          </w:p>
        </w:tc>
        <w:tc>
          <w:tcPr/>
          <w:p>
            <w:pPr>
              <w:pStyle w:val="Compact"/>
            </w:pPr>
            <w:r>
              <w:t xml:space="preserve">Salzburg</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206</w:t>
            </w:r>
          </w:p>
        </w:tc>
        <w:tc>
          <w:tcPr/>
          <w:p>
            <w:pPr>
              <w:pStyle w:val="Compact"/>
            </w:pPr>
            <w:r>
              <w:t xml:space="preserve">Steiermark</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207</w:t>
            </w:r>
          </w:p>
        </w:tc>
        <w:tc>
          <w:tcPr/>
          <w:p>
            <w:pPr>
              <w:pStyle w:val="Compact"/>
            </w:pPr>
            <w:r>
              <w:t xml:space="preserve">Steiermark</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212</w:t>
            </w:r>
          </w:p>
        </w:tc>
        <w:tc>
          <w:tcPr/>
          <w:p>
            <w:pPr>
              <w:pStyle w:val="Compact"/>
            </w:pPr>
            <w:r>
              <w:t xml:space="preserve">Tirol</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213</w:t>
            </w:r>
          </w:p>
        </w:tc>
        <w:tc>
          <w:tcPr/>
          <w:p>
            <w:pPr>
              <w:pStyle w:val="Compact"/>
            </w:pPr>
            <w:r>
              <w:t xml:space="preserve">Tirol</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214</w:t>
            </w:r>
          </w:p>
        </w:tc>
        <w:tc>
          <w:tcPr/>
          <w:p>
            <w:pPr>
              <w:pStyle w:val="Compact"/>
            </w:pPr>
            <w:r>
              <w:t xml:space="preserve">Tirol</w:t>
            </w:r>
          </w:p>
        </w:tc>
        <w:tc>
          <w:tcPr/>
          <w:p>
            <w:pPr>
              <w:pStyle w:val="Compact"/>
            </w:pPr>
            <w:r>
              <w:t xml:space="preserve">11+</w:t>
            </w:r>
          </w:p>
        </w:tc>
        <w:tc>
          <w:tcPr/>
          <w:p>
            <w:pPr>
              <w:pStyle w:val="Compact"/>
            </w:pPr>
            <w:r>
              <w:t xml:space="preserve">Verkehrs- und Nachrichtenwesen</w:t>
            </w:r>
          </w:p>
        </w:tc>
        <w:tc>
          <w:tcPr/>
          <w:p>
            <w:pPr>
              <w:pStyle w:val="Compact"/>
            </w:pPr>
            <w:r>
              <w:t xml:space="preserve">0</w:t>
            </w:r>
          </w:p>
        </w:tc>
        <w:tc>
          <w:tcPr/>
          <w:p>
            <w:pPr>
              <w:pStyle w:val="Compact"/>
            </w:pPr>
            <w:r>
              <w:t xml:space="preserve">Salzburg</w:t>
            </w:r>
          </w:p>
        </w:tc>
        <w:tc>
          <w:tcPr/>
          <w:p>
            <w:pPr>
              <w:pStyle w:val="Compact"/>
            </w:pPr>
            <w:r>
              <w:t xml:space="preserve">4</w:t>
            </w:r>
          </w:p>
        </w:tc>
        <w:tc>
          <w:tcPr/>
          <w:p>
            <w:pPr>
              <w:pStyle w:val="Compact"/>
            </w:pPr>
            <w:r>
              <w:t xml:space="preserve">9</w:t>
            </w:r>
          </w:p>
        </w:tc>
        <w:tc>
          <w:tcPr/>
          <w:p>
            <w:pPr>
              <w:pStyle w:val="Compact"/>
            </w:pPr>
            <w:r>
              <w:t xml:space="preserve">fallback-salzburg-nearest-storey</w:t>
            </w:r>
          </w:p>
        </w:tc>
      </w:tr>
      <w:tr>
        <w:tc>
          <w:tcPr/>
          <w:p>
            <w:pPr>
              <w:pStyle w:val="Compact"/>
            </w:pPr>
            <w:r>
              <w:t xml:space="preserve">219</w:t>
            </w:r>
          </w:p>
        </w:tc>
        <w:tc>
          <w:tcPr/>
          <w:p>
            <w:pPr>
              <w:pStyle w:val="Compact"/>
            </w:pPr>
            <w:r>
              <w:t xml:space="preserve">Vorarlberg</w:t>
            </w:r>
          </w:p>
        </w:tc>
        <w:tc>
          <w:tcPr/>
          <w:p>
            <w:pPr>
              <w:pStyle w:val="Compact"/>
            </w:pPr>
            <w:r>
              <w:t xml:space="preserve">5</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5</w:t>
            </w:r>
          </w:p>
        </w:tc>
        <w:tc>
          <w:tcPr/>
          <w:p>
            <w:pPr>
              <w:pStyle w:val="Compact"/>
            </w:pPr>
            <w:r>
              <w:t xml:space="preserve">19</w:t>
            </w:r>
          </w:p>
        </w:tc>
        <w:tc>
          <w:tcPr/>
          <w:p>
            <w:pPr>
              <w:pStyle w:val="Compact"/>
            </w:pPr>
            <w:r>
              <w:t xml:space="preserve">fallback-vienna-exact</w:t>
            </w:r>
          </w:p>
        </w:tc>
      </w:tr>
      <w:tr>
        <w:tc>
          <w:tcPr/>
          <w:p>
            <w:pPr>
              <w:pStyle w:val="Compact"/>
            </w:pPr>
            <w:r>
              <w:t xml:space="preserve">220</w:t>
            </w:r>
          </w:p>
        </w:tc>
        <w:tc>
          <w:tcPr/>
          <w:p>
            <w:pPr>
              <w:pStyle w:val="Compact"/>
            </w:pPr>
            <w:r>
              <w:t xml:space="preserve">Vorarlberg</w:t>
            </w:r>
          </w:p>
        </w:tc>
        <w:tc>
          <w:tcPr/>
          <w:p>
            <w:pPr>
              <w:pStyle w:val="Compact"/>
            </w:pPr>
            <w:r>
              <w:t xml:space="preserve">6-10</w:t>
            </w:r>
          </w:p>
        </w:tc>
        <w:tc>
          <w:tcPr/>
          <w:p>
            <w:pPr>
              <w:pStyle w:val="Compact"/>
            </w:pPr>
            <w:r>
              <w:t xml:space="preserve">Verkehrs- und Nachrichtenwesen</w:t>
            </w:r>
          </w:p>
        </w:tc>
        <w:tc>
          <w:tcPr/>
          <w:p>
            <w:pPr>
              <w:pStyle w:val="Compact"/>
            </w:pPr>
            <w:r>
              <w:t xml:space="preserve">3</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fallback-vienna-exact</w:t>
            </w:r>
          </w:p>
        </w:tc>
      </w:tr>
      <w:tr>
        <w:tc>
          <w:tcPr/>
          <w:p>
            <w:pPr>
              <w:pStyle w:val="Compact"/>
            </w:pPr>
            <w:r>
              <w:t xml:space="preserve">227</w:t>
            </w:r>
          </w:p>
        </w:tc>
        <w:tc>
          <w:tcPr/>
          <w:p>
            <w:pPr>
              <w:pStyle w:val="Compact"/>
            </w:pPr>
            <w:r>
              <w:t xml:space="preserve">Wien</w:t>
            </w:r>
          </w:p>
        </w:tc>
        <w:tc>
          <w:tcPr/>
          <w:p>
            <w:pPr>
              <w:pStyle w:val="Compact"/>
            </w:pPr>
            <w:r>
              <w:t xml:space="preserve">11+</w:t>
            </w:r>
          </w:p>
        </w:tc>
        <w:tc>
          <w:tcPr/>
          <w:p>
            <w:pPr>
              <w:pStyle w:val="Compact"/>
            </w:pPr>
            <w:r>
              <w:t xml:space="preserve">Verkehrs- und Nachrichtenwesen</w:t>
            </w:r>
          </w:p>
        </w:tc>
        <w:tc>
          <w:tcPr/>
          <w:p>
            <w:pPr>
              <w:pStyle w:val="Compact"/>
            </w:pPr>
            <w:r>
              <w:t xml:space="preserve">1</w:t>
            </w:r>
          </w:p>
        </w:tc>
        <w:tc>
          <w:tcPr/>
          <w:p>
            <w:pPr>
              <w:pStyle w:val="Compact"/>
            </w:pPr>
            <w:r>
              <w:t xml:space="preserve">Wien</w:t>
            </w:r>
          </w:p>
        </w:tc>
        <w:tc>
          <w:tcPr/>
          <w:p>
            <w:pPr>
              <w:pStyle w:val="Compact"/>
            </w:pPr>
            <w:r>
              <w:t xml:space="preserve">6-10</w:t>
            </w:r>
          </w:p>
        </w:tc>
        <w:tc>
          <w:tcPr/>
          <w:p>
            <w:pPr>
              <w:pStyle w:val="Compact"/>
            </w:pPr>
            <w:r>
              <w:t xml:space="preserve">41</w:t>
            </w:r>
          </w:p>
        </w:tc>
        <w:tc>
          <w:tcPr/>
          <w:p>
            <w:pPr>
              <w:pStyle w:val="Compact"/>
            </w:pPr>
            <w:r>
              <w:t xml:space="preserve">fallback-wien-nearest-storey</w:t>
            </w:r>
          </w:p>
        </w:tc>
      </w:tr>
      <w:tr>
        <w:tc>
          <w:tcPr/>
          <w:p>
            <w:pPr>
              <w:pStyle w:val="Compact"/>
            </w:pPr>
            <w:r>
              <w:t xml:space="preserve">246</w:t>
            </w:r>
          </w:p>
        </w:tc>
        <w:tc>
          <w:tcPr/>
          <w:p>
            <w:pPr>
              <w:pStyle w:val="Compact"/>
            </w:pPr>
            <w:r>
              <w:t xml:space="preserve">Niederösterreich</w:t>
            </w:r>
          </w:p>
        </w:tc>
        <w:tc>
          <w:tcPr/>
          <w:p>
            <w:pPr>
              <w:pStyle w:val="Compact"/>
            </w:pPr>
            <w:r>
              <w:t xml:space="preserve">11+</w:t>
            </w:r>
          </w:p>
        </w:tc>
        <w:tc>
          <w:tcPr/>
          <w:p>
            <w:pPr>
              <w:pStyle w:val="Compact"/>
            </w:pPr>
            <w:r>
              <w:t xml:space="preserve">Industrie und Lagerung</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5</w:t>
            </w:r>
          </w:p>
        </w:tc>
        <w:tc>
          <w:tcPr/>
          <w:p>
            <w:pPr>
              <w:pStyle w:val="Compact"/>
            </w:pPr>
            <w:r>
              <w:t xml:space="preserve">fallback-vienna-exact</w:t>
            </w:r>
          </w:p>
        </w:tc>
      </w:tr>
      <w:tr>
        <w:tc>
          <w:tcPr/>
          <w:p>
            <w:pPr>
              <w:pStyle w:val="Compact"/>
            </w:pPr>
            <w:r>
              <w:t xml:space="preserve">295</w:t>
            </w:r>
          </w:p>
        </w:tc>
        <w:tc>
          <w:tcPr/>
          <w:p>
            <w:pPr>
              <w:pStyle w:val="Compact"/>
            </w:pPr>
            <w:r>
              <w:t xml:space="preserve">Kärnten</w:t>
            </w:r>
          </w:p>
        </w:tc>
        <w:tc>
          <w:tcPr/>
          <w:p>
            <w:pPr>
              <w:pStyle w:val="Compact"/>
            </w:pPr>
            <w:r>
              <w:t xml:space="preserve">11+</w:t>
            </w:r>
          </w:p>
        </w:tc>
        <w:tc>
          <w:tcPr/>
          <w:p>
            <w:pPr>
              <w:pStyle w:val="Compact"/>
            </w:pPr>
            <w:r>
              <w:t xml:space="preserve">Kultur, Freizeit, Bildung und Gesundheit</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40</w:t>
            </w:r>
          </w:p>
        </w:tc>
        <w:tc>
          <w:tcPr/>
          <w:p>
            <w:pPr>
              <w:pStyle w:val="Compact"/>
            </w:pPr>
            <w:r>
              <w:t xml:space="preserve">fallback-vienna-exact</w:t>
            </w:r>
          </w:p>
        </w:tc>
      </w:tr>
      <w:tr>
        <w:tc>
          <w:tcPr/>
          <w:p>
            <w:pPr>
              <w:pStyle w:val="Compact"/>
            </w:pPr>
            <w:r>
              <w:t xml:space="preserve">308</w:t>
            </w:r>
          </w:p>
        </w:tc>
        <w:tc>
          <w:tcPr/>
          <w:p>
            <w:pPr>
              <w:pStyle w:val="Compact"/>
            </w:pPr>
            <w:r>
              <w:t xml:space="preserve">Oberösterreich</w:t>
            </w:r>
          </w:p>
        </w:tc>
        <w:tc>
          <w:tcPr/>
          <w:p>
            <w:pPr>
              <w:pStyle w:val="Compact"/>
            </w:pPr>
            <w:r>
              <w:t xml:space="preserve">11+</w:t>
            </w:r>
          </w:p>
        </w:tc>
        <w:tc>
          <w:tcPr/>
          <w:p>
            <w:pPr>
              <w:pStyle w:val="Compact"/>
            </w:pPr>
            <w:r>
              <w:t xml:space="preserve">Kultur, Freizeit, Bildung und Gesundheit</w:t>
            </w:r>
          </w:p>
        </w:tc>
        <w:tc>
          <w:tcPr/>
          <w:p>
            <w:pPr>
              <w:pStyle w:val="Compact"/>
            </w:pPr>
            <w:r>
              <w:t xml:space="preserve">0</w:t>
            </w:r>
          </w:p>
        </w:tc>
        <w:tc>
          <w:tcPr/>
          <w:p>
            <w:pPr>
              <w:pStyle w:val="Compact"/>
            </w:pPr>
            <w:r>
              <w:t xml:space="preserve">Wien</w:t>
            </w:r>
          </w:p>
        </w:tc>
        <w:tc>
          <w:tcPr/>
          <w:p>
            <w:pPr>
              <w:pStyle w:val="Compact"/>
            </w:pPr>
            <w:r>
              <w:t xml:space="preserve">11+</w:t>
            </w:r>
          </w:p>
        </w:tc>
        <w:tc>
          <w:tcPr/>
          <w:p>
            <w:pPr>
              <w:pStyle w:val="Compact"/>
            </w:pPr>
            <w:r>
              <w:t xml:space="preserve">40</w:t>
            </w:r>
          </w:p>
        </w:tc>
        <w:tc>
          <w:tcPr/>
          <w:p>
            <w:pPr>
              <w:pStyle w:val="Compact"/>
            </w:pPr>
            <w:r>
              <w:t xml:space="preserve">fallback-vienna-exact</w:t>
            </w:r>
          </w:p>
        </w:tc>
      </w:tr>
    </w:tbl>
    <w:bookmarkEnd w:id="470"/>
    <w:bookmarkStart w:id="475" w:name="Xe39d4fbb5537e8b74401eb85696d2bf91dbf4c0"/>
    <w:p>
      <w:pPr>
        <w:pStyle w:val="Heading2"/>
      </w:pPr>
      <w:r>
        <w:t xml:space="preserve">C.5 5. BGF-gewichtete Kerndichteschätzung auf dem GFZ-Raster</w:t>
      </w:r>
    </w:p>
    <w:p>
      <w:pPr>
        <w:pStyle w:val="FirstParagraph"/>
      </w:pPr>
      <w:r>
        <w:t xml:space="preserve">Für eine Referenzgruppe</w:t>
      </w:r>
      <w:r>
        <w:t xml:space="preserve"> </w:t>
      </w:r>
      <m:oMath>
        <m:r>
          <m:t>r</m:t>
        </m:r>
      </m:oMath>
      <w:r>
        <w:t xml:space="preserve"> </w:t>
      </w:r>
      <w:r>
        <w:t xml:space="preserve">mit Gebäuden</w:t>
      </w:r>
      <w:r>
        <w:t xml:space="preserve"> </w:t>
      </w:r>
      <m:oMath>
        <m:r>
          <m:t>i</m:t>
        </m:r>
      </m:oMath>
      <w:r>
        <w:t xml:space="preserve"> </w:t>
      </w:r>
      <w:r>
        <w:t xml:space="preserve">bildet die Kerndichteschätzung die Verteilung der GFZ</w:t>
      </w:r>
      <w:r>
        <w:t xml:space="preserve"> </w:t>
      </w:r>
      <w:r>
        <w:rPr>
          <w:b/>
          <w:bCs/>
        </w:rPr>
        <w:t xml:space="preserve">flächengewichtet</w:t>
      </w:r>
      <w:r>
        <w:t xml:space="preserve"> </w:t>
      </w:r>
      <w:r>
        <w:t xml:space="preserve">ab. Das Gewicht des Einzelgebäudes ist seine BGF</w:t>
      </w:r>
      <w:r>
        <w:t xml:space="preserve"> </w:t>
      </w:r>
      <m:oMath>
        <m:sSub>
          <m:e>
            <m:r>
              <m:t>w</m:t>
            </m:r>
          </m:e>
          <m:sub>
            <m:r>
              <m:t>i</m:t>
            </m:r>
          </m:sub>
        </m:sSub>
        <m:r>
          <m:rPr>
            <m:sty m:val="p"/>
          </m:rPr>
          <m:t>=</m:t>
        </m:r>
        <m:sSub>
          <m:e>
            <m:r>
              <m:t>A</m:t>
            </m:r>
          </m:e>
          <m:sub>
            <m:r>
              <m:rPr>
                <m:sty m:val="p"/>
              </m:rPr>
              <m:t>B</m:t>
            </m:r>
            <m:r>
              <m:rPr>
                <m:sty m:val="p"/>
              </m:rPr>
              <m:t>G</m:t>
            </m:r>
            <m:r>
              <m:rPr>
                <m:sty m:val="p"/>
              </m:rPr>
              <m:t>F</m:t>
            </m:r>
            <m:r>
              <m:rPr>
                <m:sty m:val="p"/>
              </m:rPr>
              <m:t>,</m:t>
            </m:r>
            <m:r>
              <m:t>i</m:t>
            </m:r>
          </m:sub>
        </m:sSub>
      </m:oMath>
      <w:r>
        <w:t xml:space="preserve">. Für die KDE wird die Scott-Bandbreite (</w:t>
      </w:r>
      <w:r>
        <w:rPr>
          <w:rStyle w:val="VerbatimChar"/>
        </w:rPr>
        <w:t xml:space="preserve">scipy.stats.gaussian_kde</w:t>
      </w:r>
      <w:r>
        <w:t xml:space="preserve">,</w:t>
      </w:r>
      <w:r>
        <w:t xml:space="preserve"> </w:t>
      </w:r>
      <w:r>
        <w:rPr>
          <w:rStyle w:val="VerbatimChar"/>
        </w:rPr>
        <w:t xml:space="preserve">bw_method="scott"</w:t>
      </w:r>
      <w:r>
        <w:t xml:space="preserve">) verwendet.</w:t>
      </w:r>
    </w:p>
    <w:p>
      <w:pPr>
        <w:pStyle w:val="BodyText"/>
      </w:pPr>
      <w:r>
        <w:t xml:space="preserve">Die Funktion wird an gleich breiten</w:t>
      </w:r>
      <w:r>
        <w:t xml:space="preserve"> </w:t>
      </w:r>
      <w:r>
        <w:rPr>
          <w:b/>
          <w:bCs/>
        </w:rPr>
        <w:t xml:space="preserve">Klassenmitten</w:t>
      </w:r>
      <w:r>
        <w:t xml:space="preserve"> </w:t>
      </w:r>
      <w:r>
        <w:t xml:space="preserve">ausgewertet:</w:t>
      </w:r>
      <w:r>
        <w:t xml:space="preserve"> </w:t>
      </w:r>
      <m:oMath>
        <m:sSub>
          <m:e>
            <m:r>
              <m:t>d</m:t>
            </m:r>
          </m:e>
          <m:sub>
            <m:r>
              <m:t>j</m:t>
            </m:r>
          </m:sub>
        </m:sSub>
        <m:r>
          <m:rPr>
            <m:sty m:val="p"/>
          </m:rPr>
          <m:t>=</m:t>
        </m:r>
        <m:r>
          <m:rPr>
            <m:sty m:val="p"/>
          </m:rPr>
          <m:t>(</m:t>
        </m:r>
        <m:r>
          <m:t>j</m:t>
        </m:r>
        <m:r>
          <m:rPr>
            <m:sty m:val="p"/>
          </m:rPr>
          <m:t>+</m:t>
        </m:r>
        <m:r>
          <m:t>0</m:t>
        </m:r>
        <m:r>
          <m:rPr>
            <m:sty m:val="p"/>
          </m:rPr>
          <m:t>,</m:t>
        </m:r>
        <m:r>
          <m:t>5</m:t>
        </m:r>
        <m:r>
          <m:rPr>
            <m:sty m:val="p"/>
          </m:rPr>
          <m:t>)</m:t>
        </m:r>
        <m:r>
          <m:rPr>
            <m:sty m:val="p"/>
          </m:rPr>
          <m:t>Δ</m:t>
        </m:r>
        <m:r>
          <m:t>d</m:t>
        </m:r>
      </m:oMath>
      <w:r>
        <w:t xml:space="preserve">,</w:t>
      </w:r>
      <w:r>
        <w:t xml:space="preserve"> </w:t>
      </w:r>
      <m:oMath>
        <m:r>
          <m:rPr>
            <m:sty m:val="p"/>
          </m:rPr>
          <m:t>Δ</m:t>
        </m:r>
        <m:r>
          <m:t>d</m:t>
        </m:r>
        <m:r>
          <m:rPr>
            <m:sty m:val="p"/>
          </m:rPr>
          <m:t>=</m:t>
        </m:r>
        <m:r>
          <m:t>0</m:t>
        </m:r>
        <m:r>
          <m:rPr>
            <m:sty m:val="p"/>
          </m:rPr>
          <m:t>,</m:t>
        </m:r>
        <m:r>
          <m:t>1</m:t>
        </m:r>
      </m:oMath>
      <w:r>
        <w:t xml:space="preserve">,</w:t>
      </w:r>
      <w:r>
        <w:t xml:space="preserve"> </w:t>
      </w:r>
      <m:oMath>
        <m:r>
          <m:t>0</m:t>
        </m:r>
        <m:r>
          <m:rPr>
            <m:sty m:val="p"/>
          </m:rPr>
          <m:t>≤</m:t>
        </m:r>
        <m:r>
          <m:t>d</m:t>
        </m:r>
        <m:r>
          <m:rPr>
            <m:sty m:val="p"/>
          </m:rPr>
          <m:t>&lt;</m:t>
        </m:r>
        <m:r>
          <m:t>20</m:t>
        </m:r>
      </m:oMath>
      <w:r>
        <w:t xml:space="preserve">. Aus den dort berechneten Dichtewerten</w:t>
      </w:r>
      <w:r>
        <w:t xml:space="preserve"> </w:t>
      </w:r>
      <m:oMath>
        <m:sSub>
          <m:e>
            <m:acc>
              <m:accPr>
                <m:chr m:val="̂"/>
              </m:accPr>
              <m:e>
                <m:r>
                  <m:t>f</m:t>
                </m:r>
              </m:e>
            </m:acc>
          </m:e>
          <m:sub>
            <m:r>
              <m:t>r</m:t>
            </m:r>
          </m:sub>
        </m:sSub>
        <m:r>
          <m:rPr>
            <m:sty m:val="p"/>
          </m:rPr>
          <m:t>(</m:t>
        </m:r>
        <m:sSub>
          <m:e>
            <m:r>
              <m:t>d</m:t>
            </m:r>
          </m:e>
          <m:sub>
            <m:r>
              <m:t>j</m:t>
            </m:r>
          </m:sub>
        </m:sSub>
        <m:r>
          <m:rPr>
            <m:sty m:val="p"/>
          </m:rPr>
          <m:t>)</m:t>
        </m:r>
      </m:oMath>
      <w:r>
        <w:t xml:space="preserve"> </w:t>
      </w:r>
      <w:r>
        <w:t xml:space="preserve">entstehen diskrete Massen:</w:t>
      </w:r>
    </w:p>
    <w:p>
      <w:pPr>
        <w:pStyle w:val="BodyText"/>
      </w:pPr>
      <m:oMathPara>
        <m:oMathParaPr>
          <m:jc m:val="center"/>
        </m:oMathParaPr>
        <m:oMath>
          <m:sSub>
            <m:e>
              <m:r>
                <m:t>p</m:t>
              </m:r>
            </m:e>
            <m:sub>
              <m:r>
                <m:t>r</m:t>
              </m:r>
              <m:r>
                <m:rPr>
                  <m:sty m:val="p"/>
                </m:rPr>
                <m:t>,</m:t>
              </m:r>
              <m:r>
                <m:t>j</m:t>
              </m:r>
            </m:sub>
          </m:sSub>
          <m:r>
            <m:rPr>
              <m:sty m:val="p"/>
            </m:rPr>
            <m:t>=</m:t>
          </m:r>
          <m:f>
            <m:fPr>
              <m:type m:val="bar"/>
            </m:fPr>
            <m:num>
              <m:sSub>
                <m:e>
                  <m:acc>
                    <m:accPr>
                      <m:chr m:val="̂"/>
                    </m:accPr>
                    <m:e>
                      <m:r>
                        <m:t>f</m:t>
                      </m:r>
                    </m:e>
                  </m:acc>
                </m:e>
                <m:sub>
                  <m:r>
                    <m:t>r</m:t>
                  </m:r>
                </m:sub>
              </m:sSub>
              <m:r>
                <m:rPr>
                  <m:sty m:val="p"/>
                </m:rPr>
                <m:t>(</m:t>
              </m:r>
              <m:sSub>
                <m:e>
                  <m:r>
                    <m:t>d</m:t>
                  </m:r>
                </m:e>
                <m:sub>
                  <m:r>
                    <m:t>j</m:t>
                  </m:r>
                </m:sub>
              </m:sSub>
              <m:r>
                <m:rPr>
                  <m:sty m:val="p"/>
                </m:rPr>
                <m:t>)</m:t>
              </m:r>
            </m:num>
            <m:den>
              <m:nary>
                <m:naryPr>
                  <m:chr m:val="∑"/>
                  <m:limLoc m:val="undOvr"/>
                  <m:subHide m:val="off"/>
                  <m:supHide m:val="on"/>
                </m:naryPr>
                <m:sub>
                  <m:r>
                    <m:t>k</m:t>
                  </m:r>
                </m:sub>
                <m:sup>
                  <m:r>
                    <m:t>​</m:t>
                  </m:r>
                </m:sup>
                <m:e>
                  <m:sSub>
                    <m:e>
                      <m:acc>
                        <m:accPr>
                          <m:chr m:val="̂"/>
                        </m:accPr>
                        <m:e>
                          <m:r>
                            <m:t>f</m:t>
                          </m:r>
                        </m:e>
                      </m:acc>
                    </m:e>
                    <m:sub>
                      <m:r>
                        <m:t>r</m:t>
                      </m:r>
                    </m:sub>
                  </m:sSub>
                </m:e>
              </m:nary>
              <m:r>
                <m:rPr>
                  <m:sty m:val="p"/>
                </m:rPr>
                <m:t>(</m:t>
              </m:r>
              <m:sSub>
                <m:e>
                  <m:r>
                    <m:t>d</m:t>
                  </m:r>
                </m:e>
                <m:sub>
                  <m:r>
                    <m:t>k</m:t>
                  </m:r>
                </m:sub>
              </m:sSub>
              <m:r>
                <m:rPr>
                  <m:sty m:val="p"/>
                </m:rPr>
                <m:t>)</m:t>
              </m:r>
            </m:den>
          </m:f>
          <m:r>
            <m:rPr>
              <m:sty m:val="p"/>
            </m:rPr>
            <m:t>,</m:t>
          </m:r>
          <m:r>
            <m:t>  </m:t>
          </m:r>
          <m:nary>
            <m:naryPr>
              <m:chr m:val="∑"/>
              <m:limLoc m:val="undOvr"/>
              <m:subHide m:val="off"/>
              <m:supHide m:val="on"/>
            </m:naryPr>
            <m:sub>
              <m:r>
                <m:t>j</m:t>
              </m:r>
            </m:sub>
            <m:sup>
              <m:r>
                <m:t>​</m:t>
              </m:r>
            </m:sup>
            <m:e>
              <m:sSub>
                <m:e>
                  <m:r>
                    <m:t>p</m:t>
                  </m:r>
                </m:e>
                <m:sub>
                  <m:r>
                    <m:t>r</m:t>
                  </m:r>
                  <m:r>
                    <m:rPr>
                      <m:sty m:val="p"/>
                    </m:rPr>
                    <m:t>,</m:t>
                  </m:r>
                  <m:r>
                    <m:t>j</m:t>
                  </m:r>
                </m:sub>
              </m:sSub>
            </m:e>
          </m:nary>
          <m:r>
            <m:rPr>
              <m:sty m:val="p"/>
            </m:rPr>
            <m:t>=</m:t>
          </m:r>
          <m:r>
            <m:t>1</m:t>
          </m:r>
          <m:r>
            <m:rPr>
              <m:sty m:val="p"/>
            </m:rPr>
            <m:t>.</m:t>
          </m:r>
        </m:oMath>
      </m:oMathPara>
    </w:p>
    <w:p>
      <w:pPr>
        <w:pStyle w:val="FirstParagraph"/>
      </w:pPr>
      <w:r>
        <w:t xml:space="preserve">Die diskrete Normalisierung stellt sicher, dass die nachfolgende Zuordnung</w:t>
      </w:r>
      <w:r>
        <w:t xml:space="preserve"> </w:t>
      </w:r>
      <w:r>
        <w:rPr>
          <w:b/>
          <w:bCs/>
        </w:rPr>
        <w:t xml:space="preserve">flächenbilanztreu</w:t>
      </w:r>
      <w:r>
        <w:t xml:space="preserve"> </w:t>
      </w:r>
      <w:r>
        <w:t xml:space="preserve">ist. Wegen der Normierung auf ein begrenztes Raster ist dies keine von Grenz- bzw. Bandbreiteneffekten freie Schätzung. Bei identischen GFZ-Werten innerhalb einer ansonsten ausreichend großen Gruppe wird anstelle der singulären KDE ein BGF-gewichtetes Histogramm im gleichen Raster verwendet und entsprechend als solches gekennzeichnet.</w:t>
      </w:r>
    </w:p>
    <w:p>
      <w:pPr>
        <w:pStyle w:val="SourceCode"/>
      </w:pPr>
      <w:r>
        <w:rPr>
          <w:rStyle w:val="CommentTok"/>
        </w:rPr>
        <w:t xml:space="preserve"># Jedes Rasterelement vertritt das Intervall [j*0,1 ; (j+1)*0,1)</w:t>
      </w:r>
      <w:r>
        <w:br/>
      </w:r>
      <w:r>
        <w:rPr>
          <w:rStyle w:val="NormalTok"/>
        </w:rPr>
        <w:t xml:space="preserve">nbins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(GFZ_MAX </w:t>
      </w:r>
      <w:r>
        <w:rPr>
          <w:rStyle w:val="OperatorTok"/>
        </w:rPr>
        <w:t xml:space="preserve">/</w:t>
      </w:r>
      <w:r>
        <w:rPr>
          <w:rStyle w:val="NormalTok"/>
        </w:rPr>
        <w:t xml:space="preserve"> GFZ_STEP))</w:t>
      </w:r>
      <w:r>
        <w:br/>
      </w:r>
      <w:r>
        <w:rPr>
          <w:rStyle w:val="NormalTok"/>
        </w:rPr>
        <w:t xml:space="preserve">gfz_centers </w:t>
      </w:r>
      <w:r>
        <w:rPr>
          <w:rStyle w:val="OperatorTok"/>
        </w:rPr>
        <w:t xml:space="preserve">=</w:t>
      </w:r>
      <w:r>
        <w:rPr>
          <w:rStyle w:val="NormalTok"/>
        </w:rPr>
        <w:t xml:space="preserve"> (np.arange(nbins) </w:t>
      </w:r>
      <w:r>
        <w:rPr>
          <w:rStyle w:val="OperatorTok"/>
        </w:rPr>
        <w:t xml:space="preserve">+</w:t>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 GFZ_STEP</w:t>
      </w:r>
      <w:r>
        <w:br/>
      </w:r>
      <w:r>
        <w:rPr>
          <w:rStyle w:val="NormalTok"/>
        </w:rPr>
        <w:t xml:space="preserve">bin_edges </w:t>
      </w:r>
      <w:r>
        <w:rPr>
          <w:rStyle w:val="OperatorTok"/>
        </w:rPr>
        <w:t xml:space="preserve">=</w:t>
      </w:r>
      <w:r>
        <w:rPr>
          <w:rStyle w:val="NormalTok"/>
        </w:rPr>
        <w:t xml:space="preserve"> np.r_[gfz_centers[</w:t>
      </w:r>
      <w:r>
        <w:rPr>
          <w:rStyle w:val="DecValTok"/>
        </w:rPr>
        <w:t xml:space="preserve">0</w:t>
      </w:r>
      <w:r>
        <w:rPr>
          <w:rStyle w:val="NormalTok"/>
        </w:rPr>
        <w:t xml:space="preserve">] </w:t>
      </w:r>
      <w:r>
        <w:rPr>
          <w:rStyle w:val="OperatorTok"/>
        </w:rPr>
        <w:t xml:space="preserve">-</w:t>
      </w:r>
      <w:r>
        <w:rPr>
          <w:rStyle w:val="NormalTok"/>
        </w:rPr>
        <w:t xml:space="preserve"> GFZ_STEP</w:t>
      </w:r>
      <w:r>
        <w:rPr>
          <w:rStyle w:val="OperatorTok"/>
        </w:rPr>
        <w:t xml:space="preserve">/</w:t>
      </w:r>
      <w:r>
        <w:rPr>
          <w:rStyle w:val="DecValTok"/>
        </w:rPr>
        <w:t xml:space="preserve">2</w:t>
      </w:r>
      <w:r>
        <w:rPr>
          <w:rStyle w:val="NormalTok"/>
        </w:rPr>
        <w:t xml:space="preserve">, gfz_centers </w:t>
      </w:r>
      <w:r>
        <w:rPr>
          <w:rStyle w:val="OperatorTok"/>
        </w:rPr>
        <w:t xml:space="preserve">+</w:t>
      </w:r>
      <w:r>
        <w:rPr>
          <w:rStyle w:val="NormalTok"/>
        </w:rPr>
        <w:t xml:space="preserve"> GFZ_STEP</w:t>
      </w:r>
      <w:r>
        <w:rPr>
          <w:rStyle w:val="OperatorTok"/>
        </w:rPr>
        <w:t xml:space="preserve">/</w:t>
      </w:r>
      <w:r>
        <w:rPr>
          <w:rStyle w:val="DecValTok"/>
        </w:rPr>
        <w:t xml:space="preserve">2</w:t>
      </w:r>
      <w:r>
        <w:rPr>
          <w:rStyle w:val="NormalTok"/>
        </w:rPr>
        <w:t xml:space="preserve">]</w:t>
      </w:r>
      <w:r>
        <w:br/>
      </w:r>
      <w:r>
        <w:br/>
      </w:r>
      <w:r>
        <w:rPr>
          <w:rStyle w:val="CommentTok"/>
        </w:rPr>
        <w:t xml:space="preserve"># Einmalige KDE je wirklich verwendeter Referenz (wiederholte Referenzen teilen sich die Kurve)</w:t>
      </w:r>
      <w:r>
        <w:br/>
      </w:r>
      <w:r>
        <w:rPr>
          <w:rStyle w:val="NormalTok"/>
        </w:rPr>
        <w:t xml:space="preserve">source_keys </w:t>
      </w:r>
      <w:r>
        <w:rPr>
          <w:rStyle w:val="OperatorTok"/>
        </w:rPr>
        <w:t xml:space="preserve">=</w:t>
      </w:r>
      <w:r>
        <w:rPr>
          <w:rStyle w:val="NormalTok"/>
        </w:rPr>
        <w:t xml:space="preserve"> coverage[[</w:t>
      </w:r>
      <w:r>
        <w:rPr>
          <w:rStyle w:val="StringTok"/>
        </w:rPr>
        <w:t xml:space="preserve">"reference_region"</w:t>
      </w:r>
      <w:r>
        <w:rPr>
          <w:rStyle w:val="NormalTok"/>
        </w:rPr>
        <w:t xml:space="preserve">, </w:t>
      </w:r>
      <w:r>
        <w:rPr>
          <w:rStyle w:val="StringTok"/>
        </w:rPr>
        <w:t xml:space="preserve">"reference_gk"</w:t>
      </w:r>
      <w:r>
        <w:rPr>
          <w:rStyle w:val="NormalTok"/>
        </w:rPr>
        <w:t xml:space="preserve">, </w:t>
      </w:r>
      <w:r>
        <w:rPr>
          <w:rStyle w:val="StringTok"/>
        </w:rPr>
        <w:t xml:space="preserve">"GWR_Nutzung"</w:t>
      </w:r>
      <w:r>
        <w:rPr>
          <w:rStyle w:val="NormalTok"/>
        </w:rPr>
        <w:t xml:space="preserve">]].drop_duplicates()</w:t>
      </w:r>
      <w:r>
        <w:br/>
      </w:r>
      <w:r>
        <w:rPr>
          <w:rStyle w:val="NormalTok"/>
        </w:rPr>
        <w:t xml:space="preserve">probability_cache </w:t>
      </w:r>
      <w:r>
        <w:rPr>
          <w:rStyle w:val="OperatorTok"/>
        </w:rPr>
        <w:t xml:space="preserve">=</w:t>
      </w:r>
      <w:r>
        <w:rPr>
          <w:rStyle w:val="NormalTok"/>
        </w:rPr>
        <w:t xml:space="preserve"> {}</w:t>
      </w:r>
      <w:r>
        <w:br/>
      </w:r>
      <w:r>
        <w:rPr>
          <w:rStyle w:val="NormalTok"/>
        </w:rPr>
        <w:t xml:space="preserve">estimator_cache </w:t>
      </w:r>
      <w:r>
        <w:rPr>
          <w:rStyle w:val="OperatorTok"/>
        </w:rPr>
        <w:t xml:space="preserve">=</w:t>
      </w:r>
      <w:r>
        <w:rPr>
          <w:rStyle w:val="NormalTok"/>
        </w:rPr>
        <w:t xml:space="preserve"> {}</w:t>
      </w:r>
      <w:r>
        <w:br/>
      </w:r>
      <w:r>
        <w:rPr>
          <w:rStyle w:val="ControlFlowTok"/>
        </w:rPr>
        <w:t xml:space="preserve">for</w:t>
      </w:r>
      <w:r>
        <w:rPr>
          <w:rStyle w:val="NormalTok"/>
        </w:rPr>
        <w:t xml:space="preserve"> source_row </w:t>
      </w:r>
      <w:r>
        <w:rPr>
          <w:rStyle w:val="KeywordTok"/>
        </w:rPr>
        <w:t xml:space="preserve">in</w:t>
      </w:r>
      <w:r>
        <w:rPr>
          <w:rStyle w:val="NormalTok"/>
        </w:rPr>
        <w:t xml:space="preserve"> source_keys.itertuples(index</w:t>
      </w:r>
      <w:r>
        <w:rPr>
          <w:rStyle w:val="OperatorTok"/>
        </w:rPr>
        <w:t xml:space="preserve">=</w:t>
      </w:r>
      <w:r>
        <w:rPr>
          <w:rStyle w:val="VariableTok"/>
        </w:rPr>
        <w:t xml:space="preserve">False</w:t>
      </w:r>
      <w:r>
        <w:rPr>
          <w:rStyle w:val="NormalTok"/>
        </w:rPr>
        <w:t xml:space="preserve">):</w:t>
      </w:r>
      <w:r>
        <w:br/>
      </w:r>
      <w:r>
        <w:rPr>
          <w:rStyle w:val="NormalTok"/>
        </w:rPr>
        <w:t xml:space="preserve">    key </w:t>
      </w:r>
      <w:r>
        <w:rPr>
          <w:rStyle w:val="OperatorTok"/>
        </w:rPr>
        <w:t xml:space="preserve">=</w:t>
      </w:r>
      <w:r>
        <w:rPr>
          <w:rStyle w:val="NormalTok"/>
        </w:rPr>
        <w:t xml:space="preserve"> (source_row.reference_region, source_row.reference_gk, source_row.GWR_Nutzung)</w:t>
      </w:r>
      <w:r>
        <w:br/>
      </w:r>
      <w:r>
        <w:rPr>
          <w:rStyle w:val="NormalTok"/>
        </w:rPr>
        <w:t xml:space="preserve">    source_data </w:t>
      </w:r>
      <w:r>
        <w:rPr>
          <w:rStyle w:val="OperatorTok"/>
        </w:rPr>
        <w:t xml:space="preserve">=</w:t>
      </w:r>
      <w:r>
        <w:rPr>
          <w:rStyle w:val="NormalTok"/>
        </w:rPr>
        <w:t xml:space="preserve"> reference_groups[key]</w:t>
      </w:r>
      <w:r>
        <w:br/>
      </w:r>
      <w:r>
        <w:rPr>
          <w:rStyle w:val="NormalTok"/>
        </w:rPr>
        <w:t xml:space="preserve">    x_gfz </w:t>
      </w:r>
      <w:r>
        <w:rPr>
          <w:rStyle w:val="OperatorTok"/>
        </w:rPr>
        <w:t xml:space="preserve">=</w:t>
      </w:r>
      <w:r>
        <w:rPr>
          <w:rStyle w:val="NormalTok"/>
        </w:rPr>
        <w:t xml:space="preserve"> source_data.GFZ.to_numpy(dtype</w:t>
      </w:r>
      <w:r>
        <w:rPr>
          <w:rStyle w:val="OperatorTok"/>
        </w:rPr>
        <w:t xml:space="preserve">=</w:t>
      </w:r>
      <w:r>
        <w:rPr>
          <w:rStyle w:val="BuiltInTok"/>
        </w:rPr>
        <w:t xml:space="preserve">float</w:t>
      </w:r>
      <w:r>
        <w:rPr>
          <w:rStyle w:val="NormalTok"/>
        </w:rPr>
        <w:t xml:space="preserve">)</w:t>
      </w:r>
      <w:r>
        <w:br/>
      </w:r>
      <w:r>
        <w:rPr>
          <w:rStyle w:val="NormalTok"/>
        </w:rPr>
        <w:t xml:space="preserve">    area_weight </w:t>
      </w:r>
      <w:r>
        <w:rPr>
          <w:rStyle w:val="OperatorTok"/>
        </w:rPr>
        <w:t xml:space="preserve">=</w:t>
      </w:r>
      <w:r>
        <w:rPr>
          <w:rStyle w:val="NormalTok"/>
        </w:rPr>
        <w:t xml:space="preserve"> source_data.BGF.to_numpy(dtype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"histogram"</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(np.unique(x_gfz))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unnormalized, _ </w:t>
      </w:r>
      <w:r>
        <w:rPr>
          <w:rStyle w:val="OperatorTok"/>
        </w:rPr>
        <w:t xml:space="preserve">=</w:t>
      </w:r>
      <w:r>
        <w:rPr>
          <w:rStyle w:val="NormalTok"/>
        </w:rPr>
        <w:t xml:space="preserve"> np.histogram(x_gfz, bins</w:t>
      </w:r>
      <w:r>
        <w:rPr>
          <w:rStyle w:val="OperatorTok"/>
        </w:rPr>
        <w:t xml:space="preserve">=</w:t>
      </w:r>
      <w:r>
        <w:rPr>
          <w:rStyle w:val="NormalTok"/>
        </w:rPr>
        <w:t xml:space="preserve">bin_edges, weights</w:t>
      </w:r>
      <w:r>
        <w:rPr>
          <w:rStyle w:val="OperatorTok"/>
        </w:rPr>
        <w:t xml:space="preserve">=</w:t>
      </w:r>
      <w:r>
        <w:rPr>
          <w:rStyle w:val="NormalTok"/>
        </w:rPr>
        <w:t xml:space="preserve">area_weight)</w:t>
      </w:r>
      <w:r>
        <w:br/>
      </w:r>
      <w:r>
        <w:rPr>
          <w:rStyle w:val="NormalTok"/>
        </w:rPr>
        <w:t xml:space="preserve">        estimator_cache[key] </w:t>
      </w:r>
      <w:r>
        <w:rPr>
          <w:rStyle w:val="OperatorTok"/>
        </w:rPr>
        <w:t xml:space="preserve">=</w:t>
      </w:r>
      <w:r>
        <w:rPr>
          <w:rStyle w:val="NormalTok"/>
        </w:rPr>
        <w:t xml:space="preserve"> </w:t>
      </w:r>
      <w:r>
        <w:rPr>
          <w:rStyle w:val="StringTok"/>
        </w:rPr>
        <w:t xml:space="preserve">"bgf-weighted-histogram"</w:t>
      </w:r>
      <w:r>
        <w:br/>
      </w:r>
      <w:r>
        <w:rPr>
          <w:rStyle w:val="NormalTok"/>
        </w:rPr>
        <w:t xml:space="preserve">    </w:t>
      </w:r>
      <w:r>
        <w:rPr>
          <w:rStyle w:val="ControlFlowTok"/>
        </w:rPr>
        <w:t xml:space="preserve">else</w:t>
      </w:r>
      <w:r>
        <w:rPr>
          <w:rStyle w:val="NormalTok"/>
        </w:rPr>
        <w:t xml:space="preserve">:</w:t>
      </w:r>
      <w:r>
        <w:br/>
      </w:r>
      <w:r>
        <w:rPr>
          <w:rStyle w:val="NormalTok"/>
        </w:rPr>
        <w:t xml:space="preserve">        kde </w:t>
      </w:r>
      <w:r>
        <w:rPr>
          <w:rStyle w:val="OperatorTok"/>
        </w:rPr>
        <w:t xml:space="preserve">=</w:t>
      </w:r>
      <w:r>
        <w:rPr>
          <w:rStyle w:val="NormalTok"/>
        </w:rPr>
        <w:t xml:space="preserve"> gaussian_kde(x_gfz, weights</w:t>
      </w:r>
      <w:r>
        <w:rPr>
          <w:rStyle w:val="OperatorTok"/>
        </w:rPr>
        <w:t xml:space="preserve">=</w:t>
      </w:r>
      <w:r>
        <w:rPr>
          <w:rStyle w:val="NormalTok"/>
        </w:rPr>
        <w:t xml:space="preserve">area_weight, bw_method</w:t>
      </w:r>
      <w:r>
        <w:rPr>
          <w:rStyle w:val="OperatorTok"/>
        </w:rPr>
        <w:t xml:space="preserve">=</w:t>
      </w:r>
      <w:r>
        <w:rPr>
          <w:rStyle w:val="StringTok"/>
        </w:rPr>
        <w:t xml:space="preserve">"scott"</w:t>
      </w:r>
      <w:r>
        <w:rPr>
          <w:rStyle w:val="NormalTok"/>
        </w:rPr>
        <w:t xml:space="preserve">)</w:t>
      </w:r>
      <w:r>
        <w:br/>
      </w:r>
      <w:r>
        <w:rPr>
          <w:rStyle w:val="NormalTok"/>
        </w:rPr>
        <w:t xml:space="preserve">        unnormalized </w:t>
      </w:r>
      <w:r>
        <w:rPr>
          <w:rStyle w:val="OperatorTok"/>
        </w:rPr>
        <w:t xml:space="preserve">=</w:t>
      </w:r>
      <w:r>
        <w:rPr>
          <w:rStyle w:val="NormalTok"/>
        </w:rPr>
        <w:t xml:space="preserve"> kde(gfz_centers)</w:t>
      </w:r>
      <w:r>
        <w:br/>
      </w:r>
      <w:r>
        <w:rPr>
          <w:rStyle w:val="NormalTok"/>
        </w:rPr>
        <w:t xml:space="preserve">        estimator_cache[key] </w:t>
      </w:r>
      <w:r>
        <w:rPr>
          <w:rStyle w:val="OperatorTok"/>
        </w:rPr>
        <w:t xml:space="preserve">=</w:t>
      </w:r>
      <w:r>
        <w:rPr>
          <w:rStyle w:val="NormalTok"/>
        </w:rPr>
        <w:t xml:space="preserve"> </w:t>
      </w:r>
      <w:r>
        <w:rPr>
          <w:rStyle w:val="StringTok"/>
        </w:rPr>
        <w:t xml:space="preserve">"bgf-weighted-kde-scott"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np.isfinite(unnormalized).</w:t>
      </w:r>
      <w:r>
        <w:rPr>
          <w:rStyle w:val="BuiltInTok"/>
        </w:rPr>
        <w:t xml:space="preserve">all</w:t>
      </w:r>
      <w:r>
        <w:rPr>
          <w:rStyle w:val="NormalTok"/>
        </w:rPr>
        <w:t xml:space="preserve">() </w:t>
      </w:r>
      <w:r>
        <w:rPr>
          <w:rStyle w:val="KeywordTok"/>
        </w:rPr>
        <w:t xml:space="preserve">or</w:t>
      </w:r>
      <w:r>
        <w:rPr>
          <w:rStyle w:val="NormalTok"/>
        </w:rPr>
        <w:t xml:space="preserve"> unnormalized.</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f"Dichteschätzung unbrauchbar: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p </w:t>
      </w:r>
      <w:r>
        <w:rPr>
          <w:rStyle w:val="OperatorTok"/>
        </w:rPr>
        <w:t xml:space="preserve">=</w:t>
      </w:r>
      <w:r>
        <w:rPr>
          <w:rStyle w:val="NormalTok"/>
        </w:rPr>
        <w:t xml:space="preserve"> unnormalized </w:t>
      </w:r>
      <w:r>
        <w:rPr>
          <w:rStyle w:val="OperatorTok"/>
        </w:rPr>
        <w:t xml:space="preserve">/</w:t>
      </w:r>
      <w:r>
        <w:rPr>
          <w:rStyle w:val="NormalTok"/>
        </w:rPr>
        <w:t xml:space="preserve"> unnormalized.</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any</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np.isclose(p.</w:t>
      </w:r>
      <w:r>
        <w:rPr>
          <w:rStyle w:val="BuiltInTok"/>
        </w:rPr>
        <w:t xml:space="preserve">sum</w:t>
      </w:r>
      <w:r>
        <w:rPr>
          <w:rStyle w:val="NormalTok"/>
        </w:rPr>
        <w:t xml:space="preserve">(), </w:t>
      </w:r>
      <w:r>
        <w:rPr>
          <w:rStyle w:val="DecValTok"/>
        </w:rPr>
        <w:t xml:space="preserve">1</w:t>
      </w:r>
      <w:r>
        <w:rPr>
          <w:rStyle w:val="NormalTok"/>
        </w:rPr>
        <w:t xml:space="preserve">, atol</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pecialStringTok"/>
        </w:rPr>
        <w:t xml:space="preserve">f"KDE-Massen nicht korrekt normiert: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probability_cache[key] </w:t>
      </w:r>
      <w:r>
        <w:rPr>
          <w:rStyle w:val="OperatorTok"/>
        </w:rPr>
        <w:t xml:space="preserve">=</w:t>
      </w:r>
      <w:r>
        <w:rPr>
          <w:rStyle w:val="NormalTok"/>
        </w:rPr>
        <w:t xml:space="preserve"> p</w:t>
      </w:r>
      <w:r>
        <w:br/>
      </w:r>
      <w:r>
        <w:br/>
      </w:r>
      <w:r>
        <w:rPr>
          <w:rStyle w:val="BuiltInTok"/>
        </w:rPr>
        <w:t xml:space="preserve">print</w:t>
      </w:r>
      <w:r>
        <w:rPr>
          <w:rStyle w:val="NormalTok"/>
        </w:rPr>
        <w:t xml:space="preserve">(</w:t>
      </w:r>
      <w:r>
        <w:rPr>
          <w:rStyle w:val="StringTok"/>
        </w:rPr>
        <w:t xml:space="preserve">"Eigenständige Referenzverteilungen:"</w:t>
      </w:r>
      <w:r>
        <w:rPr>
          <w:rStyle w:val="NormalTok"/>
        </w:rPr>
        <w:t xml:space="preserve">, </w:t>
      </w:r>
      <w:r>
        <w:rPr>
          <w:rStyle w:val="BuiltInTok"/>
        </w:rPr>
        <w:t xml:space="preserve">len</w:t>
      </w:r>
      <w:r>
        <w:rPr>
          <w:rStyle w:val="NormalTok"/>
        </w:rPr>
        <w:t xml:space="preserve">(probability_cache))</w:t>
      </w:r>
      <w:r>
        <w:br/>
      </w:r>
      <w:r>
        <w:rPr>
          <w:rStyle w:val="BuiltInTok"/>
        </w:rPr>
        <w:t xml:space="preserve">print</w:t>
      </w:r>
      <w:r>
        <w:rPr>
          <w:rStyle w:val="NormalTok"/>
        </w:rPr>
        <w:t xml:space="preserve">(pd.Series(estimator_cache).value_counts().to_string())</w:t>
      </w:r>
    </w:p>
    <w:p>
      <w:pPr>
        <w:pStyle w:val="SourceCode"/>
      </w:pPr>
      <w:r>
        <w:rPr>
          <w:rStyle w:val="VerbatimChar"/>
        </w:rPr>
        <w:t xml:space="preserve">Eigenständige Referenzverteilungen: 106</w:t>
      </w:r>
      <w:r>
        <w:br/>
      </w:r>
      <w:r>
        <w:rPr>
          <w:rStyle w:val="VerbatimChar"/>
        </w:rPr>
        <w:t xml:space="preserve">bgf-weighted-kde-scott    106</w:t>
      </w:r>
    </w:p>
    <w:p>
      <w:pPr>
        <w:pStyle w:val="SourceCode"/>
      </w:pPr>
      <w:r>
        <w:rPr>
          <w:rStyle w:val="CommentTok"/>
        </w:rPr>
        <w:t xml:space="preserve"># Möglichst anschauliche Beispielgruppe auswählen, ansonsten erste verfügbare Quelle</w:t>
      </w:r>
      <w:r>
        <w:br/>
      </w:r>
      <w:r>
        <w:rPr>
          <w:rStyle w:val="NormalTok"/>
        </w:rPr>
        <w:t xml:space="preserve">example_key </w:t>
      </w:r>
      <w:r>
        <w:rPr>
          <w:rStyle w:val="OperatorTok"/>
        </w:rPr>
        <w:t xml:space="preserve">=</w:t>
      </w:r>
      <w:r>
        <w:rPr>
          <w:rStyle w:val="NormalTok"/>
        </w:rPr>
        <w:t xml:space="preserve"> (</w:t>
      </w:r>
      <w:r>
        <w:rPr>
          <w:rStyle w:val="StringTok"/>
        </w:rPr>
        <w:t xml:space="preserve">"Salzburg"</w:t>
      </w:r>
      <w:r>
        <w:rPr>
          <w:rStyle w:val="NormalTok"/>
        </w:rPr>
        <w:t xml:space="preserve">, </w:t>
      </w:r>
      <w:r>
        <w:rPr>
          <w:rStyle w:val="StringTok"/>
        </w:rPr>
        <w:t xml:space="preserve">"1"</w:t>
      </w:r>
      <w:r>
        <w:rPr>
          <w:rStyle w:val="NormalTok"/>
        </w:rPr>
        <w:t xml:space="preserve">, </w:t>
      </w:r>
      <w:r>
        <w:rPr>
          <w:rStyle w:val="StringTok"/>
        </w:rPr>
        <w:t xml:space="preserve">"Ein- und Zweifamilienhäuser"</w:t>
      </w:r>
      <w:r>
        <w:rPr>
          <w:rStyle w:val="NormalTok"/>
        </w:rPr>
        <w:t xml:space="preserve">)</w:t>
      </w:r>
      <w:r>
        <w:br/>
      </w:r>
      <w:r>
        <w:rPr>
          <w:rStyle w:val="ControlFlowTok"/>
        </w:rPr>
        <w:t xml:space="preserve">if</w:t>
      </w:r>
      <w:r>
        <w:rPr>
          <w:rStyle w:val="NormalTok"/>
        </w:rPr>
        <w:t xml:space="preserve"> example_key </w:t>
      </w:r>
      <w:r>
        <w:rPr>
          <w:rStyle w:val="KeywordTok"/>
        </w:rPr>
        <w:t xml:space="preserve">not</w:t>
      </w:r>
      <w:r>
        <w:rPr>
          <w:rStyle w:val="NormalTok"/>
        </w:rPr>
        <w:t xml:space="preserve"> </w:t>
      </w:r>
      <w:r>
        <w:rPr>
          <w:rStyle w:val="KeywordTok"/>
        </w:rPr>
        <w:t xml:space="preserve">in</w:t>
      </w:r>
      <w:r>
        <w:rPr>
          <w:rStyle w:val="NormalTok"/>
        </w:rPr>
        <w:t xml:space="preserve"> probability_cache:</w:t>
      </w:r>
      <w:r>
        <w:br/>
      </w:r>
      <w:r>
        <w:rPr>
          <w:rStyle w:val="NormalTok"/>
        </w:rPr>
        <w:t xml:space="preserve">    example_key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(probability_cache))</w:t>
      </w:r>
      <w:r>
        <w:br/>
      </w:r>
      <w:r>
        <w:rPr>
          <w:rStyle w:val="NormalTok"/>
        </w:rPr>
        <w:t xml:space="preserve">example </w:t>
      </w:r>
      <w:r>
        <w:rPr>
          <w:rStyle w:val="OperatorTok"/>
        </w:rPr>
        <w:t xml:space="preserve">=</w:t>
      </w:r>
      <w:r>
        <w:rPr>
          <w:rStyle w:val="NormalTok"/>
        </w:rPr>
        <w:t xml:space="preserve"> reference_groups[example_key]</w:t>
      </w:r>
      <w:r>
        <w:br/>
      </w:r>
      <w:r>
        <w:rPr>
          <w:rStyle w:val="NormalTok"/>
        </w:rPr>
        <w:t xml:space="preserve">hist_area, _ </w:t>
      </w:r>
      <w:r>
        <w:rPr>
          <w:rStyle w:val="OperatorTok"/>
        </w:rPr>
        <w:t xml:space="preserve">=</w:t>
      </w:r>
      <w:r>
        <w:rPr>
          <w:rStyle w:val="NormalTok"/>
        </w:rPr>
        <w:t xml:space="preserve"> np.histogram(example.GFZ, bins</w:t>
      </w:r>
      <w:r>
        <w:rPr>
          <w:rStyle w:val="OperatorTok"/>
        </w:rPr>
        <w:t xml:space="preserve">=</w:t>
      </w:r>
      <w:r>
        <w:rPr>
          <w:rStyle w:val="NormalTok"/>
        </w:rPr>
        <w:t xml:space="preserve">bin_edges, weights</w:t>
      </w:r>
      <w:r>
        <w:rPr>
          <w:rStyle w:val="OperatorTok"/>
        </w:rPr>
        <w:t xml:space="preserve">=</w:t>
      </w:r>
      <w:r>
        <w:rPr>
          <w:rStyle w:val="NormalTok"/>
        </w:rPr>
        <w:t xml:space="preserve">example.BGF)</w:t>
      </w:r>
      <w:r>
        <w:br/>
      </w:r>
      <w:r>
        <w:rPr>
          <w:rStyle w:val="NormalTok"/>
        </w:rPr>
        <w:t xml:space="preserve">hist_density </w:t>
      </w:r>
      <w:r>
        <w:rPr>
          <w:rStyle w:val="OperatorTok"/>
        </w:rPr>
        <w:t xml:space="preserve">=</w:t>
      </w:r>
      <w:r>
        <w:rPr>
          <w:rStyle w:val="NormalTok"/>
        </w:rPr>
        <w:t xml:space="preserve"> hist_area </w:t>
      </w:r>
      <w:r>
        <w:rPr>
          <w:rStyle w:val="OperatorTok"/>
        </w:rPr>
        <w:t xml:space="preserve">/</w:t>
      </w:r>
      <w:r>
        <w:rPr>
          <w:rStyle w:val="NormalTok"/>
        </w:rPr>
        <w:t xml:space="preserve"> hist_area.</w:t>
      </w:r>
      <w:r>
        <w:rPr>
          <w:rStyle w:val="BuiltInTok"/>
        </w:rPr>
        <w:t xml:space="preserve">sum</w:t>
      </w:r>
      <w:r>
        <w:rPr>
          <w:rStyle w:val="NormalTok"/>
        </w:rPr>
        <w:t xml:space="preserve">() </w:t>
      </w:r>
      <w:r>
        <w:rPr>
          <w:rStyle w:val="OperatorTok"/>
        </w:rPr>
        <w:t xml:space="preserve">/</w:t>
      </w:r>
      <w:r>
        <w:rPr>
          <w:rStyle w:val="NormalTok"/>
        </w:rPr>
        <w:t xml:space="preserve"> GFZ_STEP</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view </w:t>
      </w:r>
      <w:r>
        <w:rPr>
          <w:rStyle w:val="OperatorTok"/>
        </w:rPr>
        <w:t xml:space="preserve">=</w:t>
      </w:r>
      <w:r>
        <w:rPr>
          <w:rStyle w:val="NormalTok"/>
        </w:rPr>
        <w:t xml:space="preserve"> gfz_centers </w:t>
      </w:r>
      <w:r>
        <w:rPr>
          <w:rStyle w:val="OperatorTok"/>
        </w:rPr>
        <w:t xml:space="preserve">&lt;=</w:t>
      </w:r>
      <w:r>
        <w:rPr>
          <w:rStyle w:val="NormalTok"/>
        </w:rPr>
        <w:t xml:space="preserve"> </w:t>
      </w:r>
      <w:r>
        <w:rPr>
          <w:rStyle w:val="DecValTok"/>
        </w:rPr>
        <w:t xml:space="preserve">4</w:t>
      </w:r>
      <w:r>
        <w:br/>
      </w:r>
      <w:r>
        <w:rPr>
          <w:rStyle w:val="NormalTok"/>
        </w:rPr>
        <w:t xml:space="preserve">ax.bar(gfz_centers[view], hist_density[view], width</w:t>
      </w:r>
      <w:r>
        <w:rPr>
          <w:rStyle w:val="OperatorTok"/>
        </w:rPr>
        <w:t xml:space="preserve">=</w:t>
      </w:r>
      <w:r>
        <w:rPr>
          <w:rStyle w:val="NormalTok"/>
        </w:rPr>
        <w:t xml:space="preserve">GFZ_STEP</w:t>
      </w:r>
      <w:r>
        <w:rPr>
          <w:rStyle w:val="OperatorTok"/>
        </w:rPr>
        <w:t xml:space="preserve">*</w:t>
      </w:r>
      <w:r>
        <w:rPr>
          <w:rStyle w:val="FloatTok"/>
        </w:rPr>
        <w:t xml:space="preserve">.9</w:t>
      </w:r>
      <w:r>
        <w:rPr>
          <w:rStyle w:val="NormalTok"/>
        </w:rPr>
        <w:t xml:space="preserve">,</w:t>
      </w:r>
      <w:r>
        <w:br/>
      </w:r>
      <w:r>
        <w:rPr>
          <w:rStyle w:val="NormalTok"/>
        </w:rPr>
        <w:t xml:space="preserve">       color</w:t>
      </w:r>
      <w:r>
        <w:rPr>
          <w:rStyle w:val="OperatorTok"/>
        </w:rPr>
        <w:t xml:space="preserve">=</w:t>
      </w:r>
      <w:r>
        <w:rPr>
          <w:rStyle w:val="StringTok"/>
        </w:rPr>
        <w:t xml:space="preserve">"#bbbbbb"</w:t>
      </w:r>
      <w:r>
        <w:rPr>
          <w:rStyle w:val="NormalTok"/>
        </w:rPr>
        <w:t xml:space="preserve">, label</w:t>
      </w:r>
      <w:r>
        <w:rPr>
          <w:rStyle w:val="OperatorTok"/>
        </w:rPr>
        <w:t xml:space="preserve">=</w:t>
      </w:r>
      <w:r>
        <w:rPr>
          <w:rStyle w:val="StringTok"/>
        </w:rPr>
        <w:t xml:space="preserve">"Einzelgebäude: BGF-Histogramm"</w:t>
      </w:r>
      <w:r>
        <w:rPr>
          <w:rStyle w:val="NormalTok"/>
        </w:rPr>
        <w:t xml:space="preserve">)</w:t>
      </w:r>
      <w:r>
        <w:br/>
      </w:r>
      <w:r>
        <w:rPr>
          <w:rStyle w:val="NormalTok"/>
        </w:rPr>
        <w:t xml:space="preserve">ax.plot(gfz_centers[view], probability_cache[example_key][view] </w:t>
      </w:r>
      <w:r>
        <w:rPr>
          <w:rStyle w:val="OperatorTok"/>
        </w:rPr>
        <w:t xml:space="preserve">/</w:t>
      </w:r>
      <w:r>
        <w:rPr>
          <w:rStyle w:val="NormalTok"/>
        </w:rPr>
        <w:t xml:space="preserve"> GFZ_STEP,</w:t>
      </w:r>
      <w:r>
        <w:br/>
      </w:r>
      <w:r>
        <w:rPr>
          <w:rStyle w:val="NormalTok"/>
        </w:rPr>
        <w:t xml:space="preserve">        color</w:t>
      </w:r>
      <w:r>
        <w:rPr>
          <w:rStyle w:val="OperatorTok"/>
        </w:rPr>
        <w:t xml:space="preserve">=</w:t>
      </w:r>
      <w:r>
        <w:rPr>
          <w:rStyle w:val="StringTok"/>
        </w:rPr>
        <w:t xml:space="preserve">"#b52640"</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"BGF-gewichtete Schätzung"</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"Dichte [je GFZ-Einheit]"</w:t>
      </w:r>
      <w:r>
        <w:rPr>
          <w:rStyle w:val="NormalTok"/>
        </w:rPr>
        <w:t xml:space="preserve">)</w:t>
      </w:r>
      <w:r>
        <w:br/>
      </w:r>
      <w:r>
        <w:rPr>
          <w:rStyle w:val="NormalTok"/>
        </w:rPr>
        <w:t xml:space="preserve">ax.xaxis.set_major_locator(MultipleLocator(</w:t>
      </w:r>
      <w:r>
        <w:rPr>
          <w:rStyle w:val="FloatTok"/>
        </w:rPr>
        <w:t xml:space="preserve">.5</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.15</w:t>
      </w:r>
      <w:r>
        <w:rPr>
          <w:rStyle w:val="NormalTok"/>
        </w:rPr>
        <w:t xml:space="preserve">)</w:t>
      </w:r>
      <w:r>
        <w:br/>
      </w:r>
      <w:r>
        <w:rPr>
          <w:rStyle w:val="NormalTok"/>
        </w:rPr>
        <w:t xml:space="preserve">ax.legend(title</w:t>
      </w:r>
      <w:r>
        <w:rPr>
          <w:rStyle w:val="OperatorTok"/>
        </w:rPr>
        <w:t xml:space="preserve">=</w:t>
      </w:r>
      <w:r>
        <w:rPr>
          <w:rStyle w:val="StringTok"/>
        </w:rPr>
        <w:t xml:space="preserve">" / "</w:t>
      </w:r>
      <w:r>
        <w:rPr>
          <w:rStyle w:val="NormalTok"/>
        </w:rPr>
        <w:t xml:space="preserve">.join(example_key), fontsize</w:t>
      </w:r>
      <w:r>
        <w:rPr>
          <w:rStyle w:val="OperatorTok"/>
        </w:rPr>
        <w:t xml:space="preserve">=</w:t>
      </w:r>
      <w:r>
        <w:rPr>
          <w:rStyle w:val="DecValTok"/>
        </w:rPr>
        <w:t xml:space="preserve">9</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"gfz_kde_beispiel.png"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74" w:name="fig-gfz-kde-beispiel"/>
          <w:p>
            <w:pPr>
              <w:pStyle w:val="Compact"/>
              <w:jc w:val="center"/>
            </w:pPr>
            <w:r>
              <w:drawing>
                <wp:inline>
                  <wp:extent cx="5334000" cy="2212829"/>
                  <wp:effectExtent b="0" l="0" r="0" t="0"/>
                  <wp:docPr descr="" title="" id="472" name="Picture"/>
                  <a:graphic>
                    <a:graphicData uri="http://schemas.openxmlformats.org/drawingml/2006/picture">
                      <pic:pic>
                        <pic:nvPicPr>
                          <pic:cNvPr descr="Berechnungen\gfz_at/GFZ_AT_Analyse_Anhang_files/figure-docx/fig-gfz-kde-beispiel-output-1.png" id="473" name="Picture"/>
                          <pic:cNvPicPr>
                            <a:picLocks noChangeArrowheads="1" noChangeAspect="1"/>
                          </pic:cNvPicPr>
                        </pic:nvPicPr>
                        <pic:blipFill>
                          <a:blip r:embed="rId471"/>
                          <a:stretch>
                            <a:fillRect/>
                          </a:stretch>
                        </pic:blipFill>
                        <pic:spPr bwMode="auto">
                          <a:xfrm>
                            <a:off x="0" y="0"/>
                            <a:ext cx="5334000" cy="2212829"/>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D.5: Beispiel der BGF-gewichteten Dichteschätzung für eine Referenzgruppe: Histogramm der Einzelgebäude und auf GFZ 0–20 normierte KDE bzw. Histogramm-Ersatzschätzung. Die Darstellung dient der methodischen Nachvollziehbarkeit.</w:t>
            </w:r>
          </w:p>
          <w:bookmarkEnd w:id="474"/>
        </w:tc>
      </w:tr>
    </w:tbl>
    <w:bookmarkEnd w:id="475"/>
    <w:bookmarkStart w:id="476" w:name="X728c3eb33147a3099e688a2b9af783c99a4bd28"/>
    <w:p>
      <w:pPr>
        <w:pStyle w:val="Heading2"/>
      </w:pPr>
      <w:r>
        <w:t xml:space="preserve">C.6 6. Hochrechnung: statistische BGF × Dichtemasse</w:t>
      </w:r>
    </w:p>
    <w:p>
      <w:pPr>
        <w:pStyle w:val="FirstParagraph"/>
      </w:pPr>
      <w:r>
        <w:t xml:space="preserve">Jede positive Zielkombination</w:t>
      </w:r>
      <w:r>
        <w:t xml:space="preserve"> </w:t>
      </w:r>
      <m:oMath>
        <m:r>
          <m:t>c</m:t>
        </m:r>
        <m:r>
          <m:rPr>
            <m:sty m:val="p"/>
          </m:rPr>
          <m:t>=</m:t>
        </m:r>
        <m:r>
          <m:rPr>
            <m:sty m:val="p"/>
          </m:rPr>
          <m:t>(</m:t>
        </m:r>
        <m:r>
          <m:t>b</m:t>
        </m:r>
        <m:r>
          <m:rPr>
            <m:sty m:val="p"/>
          </m:rPr>
          <m:t>,</m:t>
        </m:r>
        <m:r>
          <m:t>g</m:t>
        </m:r>
        <m:r>
          <m:rPr>
            <m:sty m:val="p"/>
          </m:rPr>
          <m:t>,</m:t>
        </m:r>
        <m:r>
          <m:t>u</m:t>
        </m:r>
        <m:r>
          <m:rPr>
            <m:sty m:val="p"/>
          </m:rPr>
          <m:t>)</m:t>
        </m:r>
      </m:oMath>
      <w:r>
        <w:t xml:space="preserve"> </w:t>
      </w:r>
      <w:r>
        <w:t xml:space="preserve">besitzt eine aus der Statistik abgeleitete BGF</w:t>
      </w:r>
      <w:r>
        <w:t xml:space="preserve"> </w:t>
      </w:r>
      <m:oMath>
        <m:sSub>
          <m:e>
            <m:r>
              <m:t>A</m:t>
            </m:r>
          </m:e>
          <m:sub>
            <m:r>
              <m:t>c</m:t>
            </m:r>
          </m:sub>
        </m:sSub>
      </m:oMath>
      <w:r>
        <w:t xml:space="preserve"> </w:t>
      </w:r>
      <w:r>
        <w:t xml:space="preserve">und eine oben ausgewählte Referenzkurve</w:t>
      </w:r>
      <w:r>
        <w:t xml:space="preserve"> </w:t>
      </w:r>
      <m:oMath>
        <m:r>
          <m:t>r</m:t>
        </m:r>
        <m:r>
          <m:rPr>
            <m:sty m:val="p"/>
          </m:rPr>
          <m:t>(</m:t>
        </m:r>
        <m:r>
          <m:t>c</m:t>
        </m:r>
        <m:r>
          <m:rPr>
            <m:sty m:val="p"/>
          </m:rPr>
          <m:t>)</m:t>
        </m:r>
      </m:oMath>
      <w:r>
        <w:t xml:space="preserve">. Für jede GFZ-Klasse</w:t>
      </w:r>
      <w:r>
        <w:t xml:space="preserve"> </w:t>
      </w:r>
      <m:oMath>
        <m:r>
          <m:t>j</m:t>
        </m:r>
      </m:oMath>
      <w:r>
        <w:t xml:space="preserve"> </w:t>
      </w:r>
      <w:r>
        <w:t xml:space="preserve">wird ihr Flächenbeitrag berechnet:</w:t>
      </w:r>
    </w:p>
    <w:p>
      <w:pPr>
        <w:pStyle w:val="BodyText"/>
      </w:pPr>
      <m:oMathPara>
        <m:oMathParaPr>
          <m:jc m:val="center"/>
        </m:oMathParaPr>
        <m:oMath>
          <m:sSub>
            <m:e>
              <m:r>
                <m:t>A</m:t>
              </m:r>
            </m:e>
            <m:sub>
              <m:r>
                <m:t>c</m:t>
              </m:r>
              <m:r>
                <m:rPr>
                  <m:sty m:val="p"/>
                </m:rPr>
                <m:t>,</m:t>
              </m:r>
              <m:r>
                <m:t>j</m:t>
              </m:r>
            </m:sub>
          </m:sSub>
          <m:r>
            <m:rPr>
              <m:sty m:val="p"/>
            </m:rPr>
            <m:t>=</m:t>
          </m:r>
          <m:sSub>
            <m:e>
              <m:r>
                <m:t>A</m:t>
              </m:r>
            </m:e>
            <m:sub>
              <m:r>
                <m:t>c</m:t>
              </m:r>
            </m:sub>
          </m:sSub>
          <m:r>
            <m:t> </m:t>
          </m:r>
          <m:sSub>
            <m:e>
              <m:r>
                <m:t>p</m:t>
              </m:r>
            </m:e>
            <m:sub>
              <m:r>
                <m:t>r</m:t>
              </m:r>
              <m:r>
                <m:rPr>
                  <m:sty m:val="p"/>
                </m:rPr>
                <m:t>(</m:t>
              </m:r>
              <m:r>
                <m:t>c</m:t>
              </m:r>
              <m:r>
                <m:rPr>
                  <m:sty m:val="p"/>
                </m:rPr>
                <m:t>)</m:t>
              </m:r>
              <m:r>
                <m:rPr>
                  <m:sty m:val="p"/>
                </m:rPr>
                <m:t>,</m:t>
              </m:r>
              <m:r>
                <m:t>j</m:t>
              </m:r>
            </m:sub>
          </m:sSub>
          <m:r>
            <m:rPr>
              <m:sty m:val="p"/>
            </m:rPr>
            <m:t>.</m:t>
          </m:r>
        </m:oMath>
      </m:oMathPara>
    </w:p>
    <w:p>
      <w:pPr>
        <w:pStyle w:val="FirstParagraph"/>
      </w:pPr>
      <w:r>
        <w:t xml:space="preserve">Wegen</w:t>
      </w:r>
      <w:r>
        <w:t xml:space="preserve"> </w:t>
      </w:r>
      <m:oMath>
        <m:nary>
          <m:naryPr>
            <m:chr m:val="∑"/>
            <m:limLoc m:val="undOvr"/>
            <m:subHide m:val="off"/>
            <m:supHide m:val="on"/>
          </m:naryPr>
          <m:sub>
            <m:r>
              <m:t>j</m:t>
            </m:r>
          </m:sub>
          <m:sup>
            <m:r>
              <m:t>​</m:t>
            </m:r>
          </m:sup>
          <m:e>
            <m:sSub>
              <m:e>
                <m:r>
                  <m:t>p</m:t>
                </m:r>
              </m:e>
              <m:sub>
                <m:r>
                  <m:t>r</m:t>
                </m:r>
                <m:r>
                  <m:rPr>
                    <m:sty m:val="p"/>
                  </m:rPr>
                  <m:t>(</m:t>
                </m:r>
                <m:r>
                  <m:t>c</m:t>
                </m:r>
                <m:r>
                  <m:rPr>
                    <m:sty m:val="p"/>
                  </m:rPr>
                  <m:t>)</m:t>
                </m:r>
                <m:r>
                  <m:rPr>
                    <m:sty m:val="p"/>
                  </m:rPr>
                  <m:t>,</m:t>
                </m:r>
                <m:r>
                  <m:t>j</m:t>
                </m:r>
              </m:sub>
            </m:sSub>
          </m:e>
        </m:nary>
        <m:r>
          <m:rPr>
            <m:sty m:val="p"/>
          </m:rPr>
          <m:t>=</m:t>
        </m:r>
        <m:r>
          <m:t>1</m:t>
        </m:r>
      </m:oMath>
      <w:r>
        <w:t xml:space="preserve"> </w:t>
      </w:r>
      <w:r>
        <w:t xml:space="preserve">gilt</w:t>
      </w:r>
      <w:r>
        <w:t xml:space="preserve"> </w:t>
      </w:r>
      <m:oMath>
        <m:nary>
          <m:naryPr>
            <m:chr m:val="∑"/>
            <m:limLoc m:val="undOvr"/>
            <m:subHide m:val="off"/>
            <m:supHide m:val="on"/>
          </m:naryPr>
          <m:sub>
            <m:r>
              <m:t>j</m:t>
            </m:r>
          </m:sub>
          <m:sup>
            <m:r>
              <m:t>​</m:t>
            </m:r>
          </m:sup>
          <m:e>
            <m:sSub>
              <m:e>
                <m:r>
                  <m:t>A</m:t>
                </m:r>
              </m:e>
              <m:sub>
                <m:r>
                  <m:t>c</m:t>
                </m:r>
                <m:r>
                  <m:rPr>
                    <m:sty m:val="p"/>
                  </m:rPr>
                  <m:t>,</m:t>
                </m:r>
                <m:r>
                  <m:t>j</m:t>
                </m:r>
              </m:sub>
            </m:sSub>
          </m:e>
        </m:nary>
        <m:r>
          <m:rPr>
            <m:sty m:val="p"/>
          </m:rPr>
          <m:t>=</m:t>
        </m:r>
        <m:sSub>
          <m:e>
            <m:r>
              <m:t>A</m:t>
            </m:r>
          </m:e>
          <m:sub>
            <m:r>
              <m:t>c</m:t>
            </m:r>
          </m:sub>
        </m:sSub>
      </m:oMath>
      <w:r>
        <w:t xml:space="preserve"> </w:t>
      </w:r>
      <w:r>
        <w:t xml:space="preserve">für jede einzelne Zielkombination. Die Summe über alle neun Bundesländer liefert die österreichische GFZ-Verteilung nach Hauptnutzung:</w:t>
      </w:r>
    </w:p>
    <w:p>
      <w:pPr>
        <w:pStyle w:val="BodyText"/>
      </w:pPr>
      <m:oMathPara>
        <m:oMathParaPr>
          <m:jc m:val="center"/>
        </m:oMathParaPr>
        <m:oMath>
          <m:sSub>
            <m:e>
              <m:r>
                <m:t>A</m:t>
              </m:r>
            </m:e>
            <m:sub>
              <m:r>
                <m:rPr>
                  <m:sty m:val="p"/>
                </m:rPr>
                <m:t>A</m:t>
              </m:r>
              <m:r>
                <m:rPr>
                  <m:sty m:val="p"/>
                </m:rPr>
                <m:t>T</m:t>
              </m:r>
              <m:r>
                <m:rPr>
                  <m:sty m:val="p"/>
                </m:rPr>
                <m:t>,</m:t>
              </m:r>
              <m:r>
                <m:t>u</m:t>
              </m:r>
              <m:r>
                <m:rPr>
                  <m:sty m:val="p"/>
                </m:rPr>
                <m:t>,</m:t>
              </m:r>
              <m:r>
                <m:t>j</m:t>
              </m:r>
            </m:sub>
          </m:sSub>
          <m:r>
            <m:rPr>
              <m:sty m:val="p"/>
            </m:rPr>
            <m:t>=</m:t>
          </m:r>
          <m:nary>
            <m:naryPr>
              <m:chr m:val="∑"/>
              <m:limLoc m:val="undOvr"/>
              <m:subHide m:val="off"/>
              <m:supHide m:val="on"/>
            </m:naryPr>
            <m:sub>
              <m:r>
                <m:t>b</m:t>
              </m:r>
            </m:sub>
            <m:sup>
              <m:r>
                <m:t>​</m:t>
              </m:r>
            </m:sup>
            <m:e>
              <m:nary>
                <m:naryPr>
                  <m:chr m:val="∑"/>
                  <m:limLoc m:val="undOvr"/>
                  <m:subHide m:val="off"/>
                  <m:supHide m:val="on"/>
                </m:naryPr>
                <m:sub>
                  <m:r>
                    <m:t>g</m:t>
                  </m:r>
                </m:sub>
                <m:sup>
                  <m:r>
                    <m:t>​</m:t>
                  </m:r>
                </m:sup>
                <m:e>
                  <m:sSub>
                    <m:e>
                      <m:r>
                        <m:t>A</m:t>
                      </m:r>
                    </m:e>
                    <m:sub>
                      <m:r>
                        <m:t>b</m:t>
                      </m:r>
                      <m:r>
                        <m:rPr>
                          <m:sty m:val="p"/>
                        </m:rPr>
                        <m:t>,</m:t>
                      </m:r>
                      <m:r>
                        <m:t>g</m:t>
                      </m:r>
                      <m:r>
                        <m:rPr>
                          <m:sty m:val="p"/>
                        </m:rPr>
                        <m:t>,</m:t>
                      </m:r>
                      <m:r>
                        <m:t>u</m:t>
                      </m:r>
                      <m:r>
                        <m:rPr>
                          <m:sty m:val="p"/>
                        </m:rPr>
                        <m:t>,</m:t>
                      </m:r>
                      <m:r>
                        <m:t>j</m:t>
                      </m:r>
                    </m:sub>
                  </m:sSub>
                </m:e>
              </m:nary>
            </m:e>
          </m:nary>
          <m:r>
            <m:rPr>
              <m:sty m:val="p"/>
            </m:rPr>
            <m:t>.</m:t>
          </m:r>
        </m:oMath>
      </m:oMathPara>
    </w:p>
    <w:p>
      <w:pPr>
        <w:pStyle w:val="FirstParagraph"/>
      </w:pPr>
      <w:r>
        <w:t xml:space="preserve">Die Referenzgruppen verändern somit die Verteilung</w:t>
      </w:r>
      <w:r>
        <w:t xml:space="preserve"> </w:t>
      </w:r>
      <w:r>
        <w:rPr>
          <w:i/>
          <w:iCs/>
        </w:rPr>
        <w:t xml:space="preserve">innerhalb</w:t>
      </w:r>
      <w:r>
        <w:t xml:space="preserve"> </w:t>
      </w:r>
      <w:r>
        <w:t xml:space="preserve">der statistischen Zielgruppen, aber</w:t>
      </w:r>
      <w:r>
        <w:t xml:space="preserve"> </w:t>
      </w:r>
      <w:r>
        <w:rPr>
          <w:b/>
          <w:bCs/>
        </w:rPr>
        <w:t xml:space="preserve">nicht</w:t>
      </w:r>
      <w:r>
        <w:t xml:space="preserve"> </w:t>
      </w:r>
      <w:r>
        <w:t xml:space="preserve">deren Flächensummen. Gerade diese Unterscheidung zwischen Stichprobeninformation und statistischer Flächenmenge ist das Prinzip der bundeslandweisen Hochrechnung.</w:t>
      </w:r>
    </w:p>
    <w:p>
      <w:pPr>
        <w:pStyle w:val="SourceCode"/>
      </w:pPr>
      <w:r>
        <w:rPr>
          <w:rStyle w:val="CommentTok"/>
        </w:rPr>
        <w:t xml:space="preserve"># In jeder Zielzelle dieselbe normierte Referenzmasse, aber andere statistische Fläche</w:t>
      </w:r>
      <w:r>
        <w:br/>
      </w:r>
      <w:r>
        <w:rPr>
          <w:rStyle w:val="NormalTok"/>
        </w:rPr>
        <w:t xml:space="preserve">allocation_blocks </w:t>
      </w:r>
      <w:r>
        <w:rPr>
          <w:rStyle w:val="OperatorTok"/>
        </w:rPr>
        <w:t xml:space="preserve">=</w:t>
      </w:r>
      <w:r>
        <w:rPr>
          <w:rStyle w:val="NormalTok"/>
        </w:rPr>
        <w:t xml:space="preserve"> []</w:t>
      </w:r>
      <w:r>
        <w:br/>
      </w:r>
      <w:r>
        <w:rPr>
          <w:rStyle w:val="NormalTok"/>
        </w:rPr>
        <w:t xml:space="preserve">audit_rows </w:t>
      </w:r>
      <w:r>
        <w:rPr>
          <w:rStyle w:val="OperatorTok"/>
        </w:rPr>
        <w:t xml:space="preserve">=</w:t>
      </w:r>
      <w:r>
        <w:rPr>
          <w:rStyle w:val="NormalTok"/>
        </w:rPr>
        <w:t xml:space="preserve"> []</w:t>
      </w:r>
      <w:r>
        <w:br/>
      </w:r>
      <w:r>
        <w:rPr>
          <w:rStyle w:val="ControlFlowTok"/>
        </w:rPr>
        <w:t xml:space="preserve">for</w:t>
      </w:r>
      <w:r>
        <w:rPr>
          <w:rStyle w:val="NormalTok"/>
        </w:rPr>
        <w:t xml:space="preserve"> target </w:t>
      </w:r>
      <w:r>
        <w:rPr>
          <w:rStyle w:val="KeywordTok"/>
        </w:rPr>
        <w:t xml:space="preserve">in</w:t>
      </w:r>
      <w:r>
        <w:rPr>
          <w:rStyle w:val="NormalTok"/>
        </w:rPr>
        <w:t xml:space="preserve"> coverage.itertuples(index</w:t>
      </w:r>
      <w:r>
        <w:rPr>
          <w:rStyle w:val="OperatorTok"/>
        </w:rPr>
        <w:t xml:space="preserve">=</w:t>
      </w:r>
      <w:r>
        <w:rPr>
          <w:rStyle w:val="VariableTok"/>
        </w:rPr>
        <w:t xml:space="preserve">False</w:t>
      </w:r>
      <w:r>
        <w:rPr>
          <w:rStyle w:val="NormalTok"/>
        </w:rPr>
        <w:t xml:space="preserve">):</w:t>
      </w:r>
      <w:r>
        <w:br/>
      </w:r>
      <w:r>
        <w:rPr>
          <w:rStyle w:val="NormalTok"/>
        </w:rPr>
        <w:t xml:space="preserve">    ref </w:t>
      </w:r>
      <w:r>
        <w:rPr>
          <w:rStyle w:val="OperatorTok"/>
        </w:rPr>
        <w:t xml:space="preserve">=</w:t>
      </w:r>
      <w:r>
        <w:rPr>
          <w:rStyle w:val="NormalTok"/>
        </w:rPr>
        <w:t xml:space="preserve"> (target.reference_region, target.reference_gk, target.GWR_Nutzung)</w:t>
      </w:r>
      <w:r>
        <w:br/>
      </w:r>
      <w:r>
        <w:rPr>
          <w:rStyle w:val="NormalTok"/>
        </w:rPr>
        <w:t xml:space="preserve">    probabilities </w:t>
      </w:r>
      <w:r>
        <w:rPr>
          <w:rStyle w:val="OperatorTok"/>
        </w:rPr>
        <w:t xml:space="preserve">=</w:t>
      </w:r>
      <w:r>
        <w:rPr>
          <w:rStyle w:val="NormalTok"/>
        </w:rPr>
        <w:t xml:space="preserve"> probability_cache[ref]</w:t>
      </w:r>
      <w:r>
        <w:br/>
      </w:r>
      <w:r>
        <w:rPr>
          <w:rStyle w:val="NormalTok"/>
        </w:rPr>
        <w:t xml:space="preserve">    allocated_bgf </w:t>
      </w:r>
      <w:r>
        <w:rPr>
          <w:rStyle w:val="OperatorTok"/>
        </w:rPr>
        <w:t xml:space="preserve">=</w:t>
      </w:r>
      <w:r>
        <w:rPr>
          <w:rStyle w:val="NormalTok"/>
        </w:rPr>
        <w:t xml:space="preserve"> target.BGF_target_m2 </w:t>
      </w:r>
      <w:r>
        <w:rPr>
          <w:rStyle w:val="OperatorTok"/>
        </w:rPr>
        <w:t xml:space="preserve">*</w:t>
      </w:r>
      <w:r>
        <w:rPr>
          <w:rStyle w:val="NormalTok"/>
        </w:rPr>
        <w:t xml:space="preserve"> probabilities</w:t>
      </w:r>
      <w:r>
        <w:br/>
      </w:r>
      <w:r>
        <w:rPr>
          <w:rStyle w:val="NormalTok"/>
        </w:rPr>
        <w:t xml:space="preserve">    cell_id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NormalTok"/>
        </w:rPr>
        <w:t xml:space="preserve">Bundesland</w:t>
      </w:r>
      <w:r>
        <w:rPr>
          <w:rStyle w:val="SpecialCharTok"/>
        </w:rPr>
        <w:t xml:space="preserve">}</w:t>
      </w:r>
      <w:r>
        <w:rPr>
          <w:rStyle w:val="SpecialStringTok"/>
        </w:rPr>
        <w:t xml:space="preserve">|</w:t>
      </w:r>
      <w:r>
        <w:rPr>
          <w:rStyle w:val="SpecialCharTok"/>
        </w:rPr>
        <w:t xml:space="preserve">{</w:t>
      </w:r>
      <w:r>
        <w:rPr>
          <w:rStyle w:val="NormalTok"/>
        </w:rPr>
        <w:t xml:space="preserve">target</w:t>
      </w:r>
      <w:r>
        <w:rPr>
          <w:rStyle w:val="SpecialCharTok"/>
        </w:rPr>
        <w:t xml:space="preserve">.</w:t>
      </w:r>
      <w:r>
        <w:rPr>
          <w:rStyle w:val="NormalTok"/>
        </w:rPr>
        <w:t xml:space="preserve">GK</w:t>
      </w:r>
      <w:r>
        <w:rPr>
          <w:rStyle w:val="SpecialCharTok"/>
        </w:rPr>
        <w:t xml:space="preserve">}</w:t>
      </w:r>
      <w:r>
        <w:rPr>
          <w:rStyle w:val="SpecialStringTok"/>
        </w:rPr>
        <w:t xml:space="preserve">|</w:t>
      </w:r>
      <w:r>
        <w:rPr>
          <w:rStyle w:val="SpecialCharTok"/>
        </w:rPr>
        <w:t xml:space="preserve">{</w:t>
      </w:r>
      <w:r>
        <w:rPr>
          <w:rStyle w:val="NormalTok"/>
        </w:rPr>
        <w:t xml:space="preserve">target</w:t>
      </w:r>
      <w:r>
        <w:rPr>
          <w:rStyle w:val="SpecialCharTok"/>
        </w:rPr>
        <w:t xml:space="preserve">.</w:t>
      </w:r>
      <w:r>
        <w:rPr>
          <w:rStyle w:val="NormalTok"/>
        </w:rPr>
        <w:t xml:space="preserve">GWR_Nutzung</w:t>
      </w:r>
      <w:r>
        <w:rPr>
          <w:rStyle w:val="SpecialCharTok"/>
        </w:rPr>
        <w:t xml:space="preserve">}</w:t>
      </w:r>
      <w:r>
        <w:rPr>
          <w:rStyle w:val="SpecialStringTok"/>
        </w:rPr>
        <w:t xml:space="preserve">"</w:t>
      </w:r>
      <w:r>
        <w:br/>
      </w:r>
      <w:r>
        <w:rPr>
          <w:rStyle w:val="NormalTok"/>
        </w:rPr>
        <w:t xml:space="preserve">    allocation_blocks.append(pd.DataFrame({</w:t>
      </w:r>
      <w:r>
        <w:br/>
      </w:r>
      <w:r>
        <w:rPr>
          <w:rStyle w:val="NormalTok"/>
        </w:rPr>
        <w:t xml:space="preserve">        </w:t>
      </w:r>
      <w:r>
        <w:rPr>
          <w:rStyle w:val="StringTok"/>
        </w:rPr>
        <w:t xml:space="preserve">"cell_id"</w:t>
      </w:r>
      <w:r>
        <w:rPr>
          <w:rStyle w:val="NormalTok"/>
        </w:rPr>
        <w:t xml:space="preserve">: cell_id, </w:t>
      </w:r>
      <w:r>
        <w:rPr>
          <w:rStyle w:val="StringTok"/>
        </w:rPr>
        <w:t xml:space="preserve">"Bundesland"</w:t>
      </w:r>
      <w:r>
        <w:rPr>
          <w:rStyle w:val="NormalTok"/>
        </w:rPr>
        <w:t xml:space="preserve">: target.Bundesland, </w:t>
      </w:r>
      <w:r>
        <w:rPr>
          <w:rStyle w:val="StringTok"/>
        </w:rPr>
        <w:t xml:space="preserve">"GK"</w:t>
      </w:r>
      <w:r>
        <w:rPr>
          <w:rStyle w:val="NormalTok"/>
        </w:rPr>
        <w:t xml:space="preserve">: target.GK,</w:t>
      </w:r>
      <w:r>
        <w:br/>
      </w:r>
      <w:r>
        <w:rPr>
          <w:rStyle w:val="NormalTok"/>
        </w:rPr>
        <w:t xml:space="preserve">        </w:t>
      </w:r>
      <w:r>
        <w:rPr>
          <w:rStyle w:val="StringTok"/>
        </w:rPr>
        <w:t xml:space="preserve">"GWR_Nutzung"</w:t>
      </w:r>
      <w:r>
        <w:rPr>
          <w:rStyle w:val="NormalTok"/>
        </w:rPr>
        <w:t xml:space="preserve">: target.GWR_Nutzung, </w:t>
      </w:r>
      <w:r>
        <w:rPr>
          <w:rStyle w:val="StringTok"/>
        </w:rPr>
        <w:t xml:space="preserve">"GFZ"</w:t>
      </w:r>
      <w:r>
        <w:rPr>
          <w:rStyle w:val="NormalTok"/>
        </w:rPr>
        <w:t xml:space="preserve">: np.</w:t>
      </w:r>
      <w:r>
        <w:rPr>
          <w:rStyle w:val="BuiltInTok"/>
        </w:rPr>
        <w:t xml:space="preserve">round</w:t>
      </w:r>
      <w:r>
        <w:rPr>
          <w:rStyle w:val="NormalTok"/>
        </w:rPr>
        <w:t xml:space="preserve">(gfz_centers, </w:t>
      </w:r>
      <w:r>
        <w:rPr>
          <w:rStyle w:val="DecValTok"/>
        </w:rPr>
        <w:t xml:space="preserve">10</w:t>
      </w:r>
      <w:r>
        <w:rPr>
          <w:rStyle w:val="NormalTok"/>
        </w:rPr>
        <w:t xml:space="preserve">),</w:t>
      </w:r>
      <w:r>
        <w:br/>
      </w:r>
      <w:r>
        <w:rPr>
          <w:rStyle w:val="NormalTok"/>
        </w:rPr>
        <w:t xml:space="preserve">        </w:t>
      </w:r>
      <w:r>
        <w:rPr>
          <w:rStyle w:val="StringTok"/>
        </w:rPr>
        <w:t xml:space="preserve">"BGF_m2"</w:t>
      </w:r>
      <w:r>
        <w:rPr>
          <w:rStyle w:val="NormalTok"/>
        </w:rPr>
        <w:t xml:space="preserve">: allocated_bgf,</w:t>
      </w:r>
      <w:r>
        <w:br/>
      </w:r>
      <w:r>
        <w:rPr>
          <w:rStyle w:val="NormalTok"/>
        </w:rPr>
        <w:t xml:space="preserve">    }))</w:t>
      </w:r>
      <w:r>
        <w:br/>
      </w:r>
      <w:r>
        <w:rPr>
          <w:rStyle w:val="NormalTok"/>
        </w:rPr>
        <w:t xml:space="preserve">    audit_rows.append({</w:t>
      </w:r>
      <w:r>
        <w:br/>
      </w:r>
      <w:r>
        <w:rPr>
          <w:rStyle w:val="NormalTok"/>
        </w:rPr>
        <w:t xml:space="preserve">        </w:t>
      </w:r>
      <w:r>
        <w:rPr>
          <w:rStyle w:val="StringTok"/>
        </w:rPr>
        <w:t xml:space="preserve">"cell_id"</w:t>
      </w:r>
      <w:r>
        <w:rPr>
          <w:rStyle w:val="NormalTok"/>
        </w:rPr>
        <w:t xml:space="preserve">: cell_id, </w:t>
      </w:r>
      <w:r>
        <w:rPr>
          <w:rStyle w:val="StringTok"/>
        </w:rPr>
        <w:t xml:space="preserve">"Bundesland"</w:t>
      </w:r>
      <w:r>
        <w:rPr>
          <w:rStyle w:val="NormalTok"/>
        </w:rPr>
        <w:t xml:space="preserve">: target.Bundesland, </w:t>
      </w:r>
      <w:r>
        <w:rPr>
          <w:rStyle w:val="StringTok"/>
        </w:rPr>
        <w:t xml:space="preserve">"GK"</w:t>
      </w:r>
      <w:r>
        <w:rPr>
          <w:rStyle w:val="NormalTok"/>
        </w:rPr>
        <w:t xml:space="preserve">: target.GK,</w:t>
      </w:r>
      <w:r>
        <w:br/>
      </w:r>
      <w:r>
        <w:rPr>
          <w:rStyle w:val="NormalTok"/>
        </w:rPr>
        <w:t xml:space="preserve">        </w:t>
      </w:r>
      <w:r>
        <w:rPr>
          <w:rStyle w:val="StringTok"/>
        </w:rPr>
        <w:t xml:space="preserve">"GWR_Nutzung"</w:t>
      </w:r>
      <w:r>
        <w:rPr>
          <w:rStyle w:val="NormalTok"/>
        </w:rPr>
        <w:t xml:space="preserve">: target.GWR_Nutzung, </w:t>
      </w:r>
      <w:r>
        <w:rPr>
          <w:rStyle w:val="StringTok"/>
        </w:rPr>
        <w:t xml:space="preserve">"BGF_target_m2"</w:t>
      </w:r>
      <w:r>
        <w:rPr>
          <w:rStyle w:val="NormalTok"/>
        </w:rPr>
        <w:t xml:space="preserve">: target.BGF_target_m2,</w:t>
      </w:r>
      <w:r>
        <w:br/>
      </w:r>
      <w:r>
        <w:rPr>
          <w:rStyle w:val="NormalTok"/>
        </w:rPr>
        <w:t xml:space="preserve">        </w:t>
      </w:r>
      <w:r>
        <w:rPr>
          <w:rStyle w:val="StringTok"/>
        </w:rPr>
        <w:t xml:space="preserve">"BGF_allocated_m2"</w:t>
      </w:r>
      <w:r>
        <w:rPr>
          <w:rStyle w:val="NormalTok"/>
        </w:rPr>
        <w:t xml:space="preserve">: </w:t>
      </w:r>
      <w:r>
        <w:rPr>
          <w:rStyle w:val="BuiltInTok"/>
        </w:rPr>
        <w:t xml:space="preserve">float</w:t>
      </w:r>
      <w:r>
        <w:rPr>
          <w:rStyle w:val="NormalTok"/>
        </w:rPr>
        <w:t xml:space="preserve">(allocated_bgf.</w:t>
      </w:r>
      <w:r>
        <w:rPr>
          <w:rStyle w:val="BuiltInTok"/>
        </w:rPr>
        <w:t xml:space="preserve">sum</w:t>
      </w:r>
      <w:r>
        <w:rPr>
          <w:rStyle w:val="NormalTok"/>
        </w:rPr>
        <w:t xml:space="preserve">()),</w:t>
      </w:r>
      <w:r>
        <w:br/>
      </w:r>
      <w:r>
        <w:rPr>
          <w:rStyle w:val="NormalTok"/>
        </w:rPr>
        <w:t xml:space="preserve">        </w:t>
      </w:r>
      <w:r>
        <w:rPr>
          <w:rStyle w:val="StringTok"/>
        </w:rPr>
        <w:t xml:space="preserve">"delta_m2"</w:t>
      </w:r>
      <w:r>
        <w:rPr>
          <w:rStyle w:val="NormalTok"/>
        </w:rPr>
        <w:t xml:space="preserve">: </w:t>
      </w:r>
      <w:r>
        <w:rPr>
          <w:rStyle w:val="BuiltInTok"/>
        </w:rPr>
        <w:t xml:space="preserve">float</w:t>
      </w:r>
      <w:r>
        <w:rPr>
          <w:rStyle w:val="NormalTok"/>
        </w:rPr>
        <w:t xml:space="preserve">(allocated_bgf.</w:t>
      </w:r>
      <w:r>
        <w:rPr>
          <w:rStyle w:val="BuiltInTok"/>
        </w:rPr>
        <w:t xml:space="preserve">sum</w:t>
      </w:r>
      <w:r>
        <w:rPr>
          <w:rStyle w:val="NormalTok"/>
        </w:rPr>
        <w:t xml:space="preserve">() </w:t>
      </w:r>
      <w:r>
        <w:rPr>
          <w:rStyle w:val="OperatorTok"/>
        </w:rPr>
        <w:t xml:space="preserve">-</w:t>
      </w:r>
      <w:r>
        <w:rPr>
          <w:rStyle w:val="NormalTok"/>
        </w:rPr>
        <w:t xml:space="preserve"> target.BGF_target_m2),</w:t>
      </w:r>
      <w:r>
        <w:br/>
      </w:r>
      <w:r>
        <w:rPr>
          <w:rStyle w:val="NormalTok"/>
        </w:rPr>
        <w:t xml:space="preserve">        </w:t>
      </w:r>
      <w:r>
        <w:rPr>
          <w:rStyle w:val="StringTok"/>
        </w:rPr>
        <w:t xml:space="preserve">"reference_region"</w:t>
      </w:r>
      <w:r>
        <w:rPr>
          <w:rStyle w:val="NormalTok"/>
        </w:rPr>
        <w:t xml:space="preserve">: target.reference_region, </w:t>
      </w:r>
      <w:r>
        <w:rPr>
          <w:rStyle w:val="StringTok"/>
        </w:rPr>
        <w:t xml:space="preserve">"reference_gk"</w:t>
      </w:r>
      <w:r>
        <w:rPr>
          <w:rStyle w:val="NormalTok"/>
        </w:rPr>
        <w:t xml:space="preserve">: target.reference_gk,</w:t>
      </w:r>
      <w:r>
        <w:br/>
      </w:r>
      <w:r>
        <w:rPr>
          <w:rStyle w:val="NormalTok"/>
        </w:rPr>
        <w:t xml:space="preserve">        </w:t>
      </w:r>
      <w:r>
        <w:rPr>
          <w:rStyle w:val="StringTok"/>
        </w:rPr>
        <w:t xml:space="preserve">"status"</w:t>
      </w:r>
      <w:r>
        <w:rPr>
          <w:rStyle w:val="NormalTok"/>
        </w:rPr>
        <w:t xml:space="preserve">: target.status, </w:t>
      </w:r>
      <w:r>
        <w:rPr>
          <w:rStyle w:val="StringTok"/>
        </w:rPr>
        <w:t xml:space="preserve">"n_reference_buildings"</w:t>
      </w:r>
      <w:r>
        <w:rPr>
          <w:rStyle w:val="NormalTok"/>
        </w:rPr>
        <w:t xml:space="preserve">: target.n_reference_buildings,</w:t>
      </w:r>
      <w:r>
        <w:br/>
      </w:r>
      <w:r>
        <w:rPr>
          <w:rStyle w:val="NormalTok"/>
        </w:rPr>
        <w:t xml:space="preserve">        </w:t>
      </w:r>
      <w:r>
        <w:rPr>
          <w:rStyle w:val="StringTok"/>
        </w:rPr>
        <w:t xml:space="preserve">"estimate_method"</w:t>
      </w:r>
      <w:r>
        <w:rPr>
          <w:rStyle w:val="NormalTok"/>
        </w:rPr>
        <w:t xml:space="preserve">: estimator_cache[ref],</w:t>
      </w:r>
      <w:r>
        <w:br/>
      </w:r>
      <w:r>
        <w:rPr>
          <w:rStyle w:val="NormalTok"/>
        </w:rPr>
        <w:t xml:space="preserve">        </w:t>
      </w:r>
      <w:r>
        <w:rPr>
          <w:rStyle w:val="StringTok"/>
        </w:rPr>
        <w:t xml:space="preserve">"expected_gfz"</w:t>
      </w:r>
      <w:r>
        <w:rPr>
          <w:rStyle w:val="NormalTok"/>
        </w:rPr>
        <w:t xml:space="preserve">: </w:t>
      </w:r>
      <w:r>
        <w:rPr>
          <w:rStyle w:val="BuiltInTok"/>
        </w:rPr>
        <w:t xml:space="preserve">float</w:t>
      </w:r>
      <w:r>
        <w:rPr>
          <w:rStyle w:val="NormalTok"/>
        </w:rPr>
        <w:t xml:space="preserve">(np.dot(gfz_centers, probabilities)),</w:t>
      </w:r>
      <w:r>
        <w:br/>
      </w:r>
      <w:r>
        <w:rPr>
          <w:rStyle w:val="NormalTok"/>
        </w:rPr>
        <w:t xml:space="preserve">    })</w:t>
      </w:r>
      <w:r>
        <w:br/>
      </w:r>
      <w:r>
        <w:br/>
      </w:r>
      <w:r>
        <w:rPr>
          <w:rStyle w:val="CommentTok"/>
        </w:rPr>
        <w:t xml:space="preserve"># Gruppen mit Null-Masse nicht als eigene CSV-Zeilen ausgeben (wie in gfz_hydrator)</w:t>
      </w:r>
      <w:r>
        <w:br/>
      </w:r>
      <w:r>
        <w:rPr>
          <w:rStyle w:val="NormalTok"/>
        </w:rPr>
        <w:t xml:space="preserve">detail </w:t>
      </w:r>
      <w:r>
        <w:rPr>
          <w:rStyle w:val="OperatorTok"/>
        </w:rPr>
        <w:t xml:space="preserve">=</w:t>
      </w:r>
      <w:r>
        <w:rPr>
          <w:rStyle w:val="NormalTok"/>
        </w:rPr>
        <w:t xml:space="preserve"> pd.concat(allocation_blocks, ignore_index</w:t>
      </w:r>
      <w:r>
        <w:rPr>
          <w:rStyle w:val="OperatorTok"/>
        </w:rPr>
        <w:t xml:space="preserve">=</w:t>
      </w:r>
      <w:r>
        <w:rPr>
          <w:rStyle w:val="VariableTok"/>
        </w:rPr>
        <w:t xml:space="preserve">True</w:t>
      </w:r>
      <w:r>
        <w:rPr>
          <w:rStyle w:val="NormalTok"/>
        </w:rPr>
        <w:t xml:space="preserve">)</w:t>
      </w:r>
      <w:r>
        <w:br/>
      </w:r>
      <w:r>
        <w:rPr>
          <w:rStyle w:val="NormalTok"/>
        </w:rPr>
        <w:t xml:space="preserve">detail </w:t>
      </w:r>
      <w:r>
        <w:rPr>
          <w:rStyle w:val="OperatorTok"/>
        </w:rPr>
        <w:t xml:space="preserve">=</w:t>
      </w:r>
      <w:r>
        <w:rPr>
          <w:rStyle w:val="NormalTok"/>
        </w:rPr>
        <w:t xml:space="preserve"> detail.loc[detail.BGF_m2 </w:t>
      </w:r>
      <w:r>
        <w:rPr>
          <w:rStyle w:val="OperatorTok"/>
        </w:rPr>
        <w:t xml:space="preserve">&gt;</w:t>
      </w:r>
      <w:r>
        <w:rPr>
          <w:rStyle w:val="NormalTok"/>
        </w:rPr>
        <w:t xml:space="preserve"> </w:t>
      </w:r>
      <w:r>
        <w:rPr>
          <w:rStyle w:val="DecValTok"/>
        </w:rPr>
        <w:t xml:space="preserve">0</w:t>
      </w:r>
      <w:r>
        <w:rPr>
          <w:rStyle w:val="NormalTok"/>
        </w:rPr>
        <w:t xml:space="preserve">].copy()</w:t>
      </w:r>
      <w:r>
        <w:br/>
      </w:r>
      <w:r>
        <w:rPr>
          <w:rStyle w:val="NormalTok"/>
        </w:rPr>
        <w:t xml:space="preserve">audit </w:t>
      </w:r>
      <w:r>
        <w:rPr>
          <w:rStyle w:val="OperatorTok"/>
        </w:rPr>
        <w:t xml:space="preserve">=</w:t>
      </w:r>
      <w:r>
        <w:rPr>
          <w:rStyle w:val="NormalTok"/>
        </w:rPr>
        <w:t xml:space="preserve"> pd.DataFrame(audit_rows)</w:t>
      </w:r>
      <w:r>
        <w:br/>
      </w:r>
      <w:r>
        <w:br/>
      </w:r>
      <w:r>
        <w:rPr>
          <w:rStyle w:val="CommentTok"/>
        </w:rPr>
        <w:t xml:space="preserve"># Alle späteren Ergebnisdiagramme basieren auf DIESEN hier berechneten Tabellen.</w:t>
      </w:r>
      <w:r>
        <w:br/>
      </w:r>
      <w:r>
        <w:rPr>
          <w:rStyle w:val="NormalTok"/>
        </w:rPr>
        <w:t xml:space="preserve">at_by_use </w:t>
      </w:r>
      <w:r>
        <w:rPr>
          <w:rStyle w:val="OperatorTok"/>
        </w:rPr>
        <w:t xml:space="preserve">=</w:t>
      </w:r>
      <w:r>
        <w:rPr>
          <w:rStyle w:val="NormalTok"/>
        </w:rPr>
        <w:t xml:space="preserve"> detail.groupby([</w:t>
      </w:r>
      <w:r>
        <w:rPr>
          <w:rStyle w:val="StringTok"/>
        </w:rPr>
        <w:t xml:space="preserve">"GFZ"</w:t>
      </w:r>
      <w:r>
        <w:rPr>
          <w:rStyle w:val="NormalTok"/>
        </w:rPr>
        <w:t xml:space="preserve">, </w:t>
      </w:r>
      <w:r>
        <w:rPr>
          <w:rStyle w:val="StringTok"/>
        </w:rPr>
        <w:t xml:space="preserve">"GWR_Nutzung"</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NormalTok"/>
        </w:rPr>
        <w:t xml:space="preserve">by_province </w:t>
      </w:r>
      <w:r>
        <w:rPr>
          <w:rStyle w:val="OperatorTok"/>
        </w:rPr>
        <w:t xml:space="preserve">=</w:t>
      </w:r>
      <w:r>
        <w:rPr>
          <w:rStyle w:val="NormalTok"/>
        </w:rPr>
        <w:t xml:space="preserve"> detail.groupby([</w:t>
      </w:r>
      <w:r>
        <w:rPr>
          <w:rStyle w:val="StringTok"/>
        </w:rPr>
        <w:t xml:space="preserve">"Bundesland"</w:t>
      </w:r>
      <w:r>
        <w:rPr>
          <w:rStyle w:val="NormalTok"/>
        </w:rPr>
        <w:t xml:space="preserve">, </w:t>
      </w:r>
      <w:r>
        <w:rPr>
          <w:rStyle w:val="StringTok"/>
        </w:rPr>
        <w:t xml:space="preserve">"GFZ"</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NormalTok"/>
        </w:rPr>
        <w:t xml:space="preserve">at_by_gk_use </w:t>
      </w:r>
      <w:r>
        <w:rPr>
          <w:rStyle w:val="OperatorTok"/>
        </w:rPr>
        <w:t xml:space="preserve">=</w:t>
      </w:r>
      <w:r>
        <w:rPr>
          <w:rStyle w:val="NormalTok"/>
        </w:rPr>
        <w:t xml:space="preserve"> detail.groupby([</w:t>
      </w:r>
      <w:r>
        <w:rPr>
          <w:rStyle w:val="StringTok"/>
        </w:rPr>
        <w:t xml:space="preserve">"GK"</w:t>
      </w:r>
      <w:r>
        <w:rPr>
          <w:rStyle w:val="NormalTok"/>
        </w:rPr>
        <w:t xml:space="preserve">, </w:t>
      </w:r>
      <w:r>
        <w:rPr>
          <w:rStyle w:val="StringTok"/>
        </w:rPr>
        <w:t xml:space="preserve">"GWR_Nutzung"</w:t>
      </w:r>
      <w:r>
        <w:rPr>
          <w:rStyle w:val="NormalTok"/>
        </w:rPr>
        <w:t xml:space="preserve">, </w:t>
      </w:r>
      <w:r>
        <w:rPr>
          <w:rStyle w:val="StringTok"/>
        </w:rPr>
        <w:t xml:space="preserve">"GFZ"</w:t>
      </w:r>
      <w:r>
        <w:rPr>
          <w:rStyle w:val="NormalTok"/>
        </w:rPr>
        <w:t xml:space="preserve">], as_index</w:t>
      </w:r>
      <w:r>
        <w:rPr>
          <w:rStyle w:val="OperatorTok"/>
        </w:rPr>
        <w:t xml:space="preserve">=</w:t>
      </w:r>
      <w:r>
        <w:rPr>
          <w:rStyle w:val="VariableTok"/>
        </w:rPr>
        <w:t xml:space="preserve">False</w:t>
      </w:r>
      <w:r>
        <w:rPr>
          <w:rStyle w:val="NormalTok"/>
        </w:rPr>
        <w:t xml:space="preserve">).BGF_m2.</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f"Berechnete GFZ-Zuordnungen: </w:t>
      </w:r>
      <w:r>
        <w:rPr>
          <w:rStyle w:val="SpecialCharTok"/>
        </w:rPr>
        <w:t xml:space="preserve">{</w:t>
      </w:r>
      <w:r>
        <w:rPr>
          <w:rStyle w:val="BuiltInTok"/>
        </w:rPr>
        <w:t xml:space="preserve">len</w:t>
      </w:r>
      <w:r>
        <w:rPr>
          <w:rStyle w:val="NormalTok"/>
        </w:rPr>
        <w:t xml:space="preserve">(detail)</w:t>
      </w:r>
      <w:r>
        <w:rPr>
          <w:rStyle w:val="SpecialCharTok"/>
        </w:rPr>
        <w:t xml:space="preserve">:,}</w:t>
      </w:r>
      <w:r>
        <w:rPr>
          <w:rStyle w:val="SpecialStringTok"/>
        </w:rPr>
        <w:t xml:space="preserve"> Zeilen"</w:t>
      </w:r>
      <w:r>
        <w:rPr>
          <w:rStyle w:val="NormalTok"/>
        </w:rPr>
        <w:t xml:space="preserve">)</w:t>
      </w:r>
    </w:p>
    <w:p>
      <w:pPr>
        <w:pStyle w:val="SourceCode"/>
      </w:pPr>
      <w:r>
        <w:rPr>
          <w:rStyle w:val="VerbatimChar"/>
        </w:rPr>
        <w:t xml:space="preserve">Berechnete GFZ-Zuordnungen: 83,703 Zeilen</w:t>
      </w:r>
    </w:p>
    <w:bookmarkEnd w:id="476"/>
    <w:bookmarkStart w:id="481" w:name="kontrollrechnungen-und-abdeckung"/>
    <w:p>
      <w:pPr>
        <w:pStyle w:val="Heading2"/>
      </w:pPr>
      <w:r>
        <w:t xml:space="preserve">C.7 7. Kontrollrechnungen und Abdeckung</w:t>
      </w:r>
    </w:p>
    <w:p>
      <w:pPr>
        <w:pStyle w:val="FirstParagraph"/>
      </w:pPr>
      <w:r>
        <w:t xml:space="preserve">Die Flächenbilanz wird auf</w:t>
      </w:r>
      <w:r>
        <w:t xml:space="preserve"> </w:t>
      </w:r>
      <w:r>
        <w:rPr>
          <w:b/>
          <w:bCs/>
        </w:rPr>
        <w:t xml:space="preserve">drei Ebenen</w:t>
      </w:r>
      <w:r>
        <w:t xml:space="preserve"> </w:t>
      </w:r>
      <w:r>
        <w:t xml:space="preserve">geprüft: jede Zielkombination, Gesamtsumme der neun Bundesländer und nationale Statistik-Kontrollzeile</w:t>
      </w:r>
      <w:r>
        <w:t xml:space="preserve"> </w:t>
      </w:r>
      <w:r>
        <w:rPr>
          <w:rStyle w:val="VerbatimChar"/>
        </w:rPr>
        <w:t xml:space="preserve">AT</w:t>
      </w:r>
      <w:r>
        <w:t xml:space="preserve">. Ersatzschätzungen werden sowohl nach</w:t>
      </w:r>
      <w:r>
        <w:t xml:space="preserve"> </w:t>
      </w:r>
      <w:r>
        <w:rPr>
          <w:i/>
          <w:iCs/>
        </w:rPr>
        <w:t xml:space="preserve">Anzahl</w:t>
      </w:r>
      <w:r>
        <w:t xml:space="preserve"> </w:t>
      </w:r>
      <w:r>
        <w:t xml:space="preserve">der betroffenen Kombinationen als auch nach ihrem</w:t>
      </w:r>
      <w:r>
        <w:t xml:space="preserve"> </w:t>
      </w:r>
      <w:r>
        <w:rPr>
          <w:i/>
          <w:iCs/>
        </w:rPr>
        <w:t xml:space="preserve">BGF-Anteil</w:t>
      </w:r>
      <w:r>
        <w:t xml:space="preserve"> </w:t>
      </w:r>
      <w:r>
        <w:t xml:space="preserve">ausgewiesen. Hohe Zahlen kleiner Ersatzgruppen können einen niedrigen Flächenanteil haben.</w:t>
      </w:r>
    </w:p>
    <w:p>
      <w:pPr>
        <w:pStyle w:val="SourceCode"/>
      </w:pPr>
      <w:r>
        <w:rPr>
          <w:rStyle w:val="CommentTok"/>
        </w:rPr>
        <w:t xml:space="preserve"># Flächenerhaltung pro Zelle und landesweit</w:t>
      </w:r>
      <w:r>
        <w:br/>
      </w:r>
      <w:r>
        <w:rPr>
          <w:rStyle w:val="ControlFlowTok"/>
        </w:rPr>
        <w:t xml:space="preserve">assert</w:t>
      </w:r>
      <w:r>
        <w:rPr>
          <w:rStyle w:val="NormalTok"/>
        </w:rPr>
        <w:t xml:space="preserve"> np.allclose(audit.BGF_allocated_m2, audit.BGF_target_m2,</w:t>
      </w:r>
      <w:r>
        <w:br/>
      </w:r>
      <w:r>
        <w:rPr>
          <w:rStyle w:val="NormalTok"/>
        </w:rPr>
        <w:t xml:space="preserve">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1e-5</w:t>
      </w:r>
      <w:r>
        <w:rPr>
          <w:rStyle w:val="NormalTok"/>
        </w:rPr>
        <w:t xml:space="preserve">), </w:t>
      </w:r>
      <w:r>
        <w:rPr>
          <w:rStyle w:val="StringTok"/>
        </w:rPr>
        <w:t xml:space="preserve">"Fehler bei einer statistischen Zielgruppe"</w:t>
      </w:r>
      <w:r>
        <w:br/>
      </w:r>
      <w:r>
        <w:rPr>
          <w:rStyle w:val="NormalTok"/>
        </w:rPr>
        <w:t xml:space="preserve">national_target </w:t>
      </w:r>
      <w:r>
        <w:rPr>
          <w:rStyle w:val="OperatorTok"/>
        </w:rPr>
        <w:t xml:space="preserve">=</w:t>
      </w:r>
      <w:r>
        <w:rPr>
          <w:rStyle w:val="NormalTok"/>
        </w:rPr>
        <w:t xml:space="preserve"> </w:t>
      </w:r>
      <w:r>
        <w:rPr>
          <w:rStyle w:val="BuiltInTok"/>
        </w:rPr>
        <w:t xml:space="preserve">float</w:t>
      </w:r>
      <w:r>
        <w:rPr>
          <w:rStyle w:val="NormalTok"/>
        </w:rPr>
        <w:t xml:space="preserve">(targets.BGF_target_m2.</w:t>
      </w:r>
      <w:r>
        <w:rPr>
          <w:rStyle w:val="BuiltInTok"/>
        </w:rPr>
        <w:t xml:space="preserve">sum</w:t>
      </w:r>
      <w:r>
        <w:rPr>
          <w:rStyle w:val="NormalTok"/>
        </w:rPr>
        <w:t xml:space="preserve">())</w:t>
      </w:r>
      <w:r>
        <w:br/>
      </w:r>
      <w:r>
        <w:rPr>
          <w:rStyle w:val="NormalTok"/>
        </w:rPr>
        <w:t xml:space="preserve">national_allocated </w:t>
      </w:r>
      <w:r>
        <w:rPr>
          <w:rStyle w:val="OperatorTok"/>
        </w:rPr>
        <w:t xml:space="preserve">=</w:t>
      </w:r>
      <w:r>
        <w:rPr>
          <w:rStyle w:val="NormalTok"/>
        </w:rPr>
        <w:t xml:space="preserve"> </w:t>
      </w:r>
      <w:r>
        <w:rPr>
          <w:rStyle w:val="BuiltInTok"/>
        </w:rPr>
        <w:t xml:space="preserve">float</w:t>
      </w:r>
      <w:r>
        <w:rPr>
          <w:rStyle w:val="NormalTok"/>
        </w:rPr>
        <w:t xml:space="preserve">(detail.BGF_m2.</w:t>
      </w:r>
      <w:r>
        <w:rPr>
          <w:rStyle w:val="BuiltInTok"/>
        </w:rPr>
        <w:t xml:space="preserve">sum</w:t>
      </w:r>
      <w:r>
        <w:rPr>
          <w:rStyle w:val="NormalTok"/>
        </w:rPr>
        <w:t xml:space="preserve">())</w:t>
      </w:r>
      <w:r>
        <w:br/>
      </w:r>
      <w:r>
        <w:rPr>
          <w:rStyle w:val="ControlFlowTok"/>
        </w:rPr>
        <w:t xml:space="preserve">assert</w:t>
      </w:r>
      <w:r>
        <w:rPr>
          <w:rStyle w:val="NormalTok"/>
        </w:rPr>
        <w:t xml:space="preserve"> np.isclose(national_allocated, national_target,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1e-4</w:t>
      </w:r>
      <w:r>
        <w:rPr>
          <w:rStyle w:val="NormalTok"/>
        </w:rPr>
        <w:t xml:space="preserve">), </w:t>
      </w:r>
      <w:r>
        <w:rPr>
          <w:rStyle w:val="StringTok"/>
        </w:rPr>
        <w:t xml:space="preserve">"Nationale BGF-Bilanz fehlerhaft"</w:t>
      </w:r>
      <w:r>
        <w:br/>
      </w:r>
      <w:r>
        <w:rPr>
          <w:rStyle w:val="ControlFlowTok"/>
        </w:rPr>
        <w:t xml:space="preserve">assert</w:t>
      </w:r>
      <w:r>
        <w:rPr>
          <w:rStyle w:val="NormalTok"/>
        </w:rPr>
        <w:t xml:space="preserve"> np.isclose(national_target, control_at.</w:t>
      </w:r>
      <w:r>
        <w:rPr>
          <w:rStyle w:val="BuiltInTok"/>
        </w:rPr>
        <w:t xml:space="preserve">sum</w:t>
      </w:r>
      <w:r>
        <w:rPr>
          <w:rStyle w:val="NormalTok"/>
        </w:rPr>
        <w:t xml:space="preserve">()</w:t>
      </w:r>
      <w:r>
        <w:rPr>
          <w:rStyle w:val="OperatorTok"/>
        </w:rPr>
        <w:t xml:space="preserve">/</w:t>
      </w:r>
      <w:r>
        <w:rPr>
          <w:rStyle w:val="NormalTok"/>
        </w:rPr>
        <w:t xml:space="preserve">NGF_PER_BGF, atol</w:t>
      </w:r>
      <w:r>
        <w:rPr>
          <w:rStyle w:val="OperatorTok"/>
        </w:rPr>
        <w:t xml:space="preserve">=</w:t>
      </w:r>
      <w:r>
        <w:rPr>
          <w:rStyle w:val="FloatTok"/>
        </w:rPr>
        <w:t xml:space="preserve">0.02</w:t>
      </w:r>
      <w:r>
        <w:rPr>
          <w:rStyle w:val="NormalTok"/>
        </w:rPr>
        <w:t xml:space="preserve">, rtol</w:t>
      </w:r>
      <w:r>
        <w:rPr>
          <w:rStyle w:val="OperatorTok"/>
        </w:rPr>
        <w:t xml:space="preserve">=</w:t>
      </w:r>
      <w:r>
        <w:rPr>
          <w:rStyle w:val="DecValTok"/>
        </w:rPr>
        <w:t xml:space="preserve">0</w:t>
      </w:r>
      <w:r>
        <w:rPr>
          <w:rStyle w:val="NormalTok"/>
        </w:rPr>
        <w:t xml:space="preserve">)</w:t>
      </w:r>
      <w:r>
        <w:br/>
      </w:r>
      <w:r>
        <w:br/>
      </w:r>
      <w:r>
        <w:rPr>
          <w:rStyle w:val="NormalTok"/>
        </w:rPr>
        <w:t xml:space="preserve">fallback_mask </w:t>
      </w:r>
      <w:r>
        <w:rPr>
          <w:rStyle w:val="OperatorTok"/>
        </w:rPr>
        <w:t xml:space="preserve">=</w:t>
      </w:r>
      <w:r>
        <w:rPr>
          <w:rStyle w:val="NormalTok"/>
        </w:rPr>
        <w:t xml:space="preserve"> audit.status </w:t>
      </w:r>
      <w:r>
        <w:rPr>
          <w:rStyle w:val="OperatorTok"/>
        </w:rPr>
        <w:t xml:space="preserve">!=</w:t>
      </w:r>
      <w:r>
        <w:rPr>
          <w:rStyle w:val="NormalTok"/>
        </w:rPr>
        <w:t xml:space="preserve"> </w:t>
      </w:r>
      <w:r>
        <w:rPr>
          <w:rStyle w:val="StringTok"/>
        </w:rPr>
        <w:t xml:space="preserve">"reference-exact"</w:t>
      </w:r>
      <w:r>
        <w:br/>
      </w:r>
      <w:r>
        <w:rPr>
          <w:rStyle w:val="NormalTok"/>
        </w:rPr>
        <w:t xml:space="preserve">fallback_area </w:t>
      </w:r>
      <w:r>
        <w:rPr>
          <w:rStyle w:val="OperatorTok"/>
        </w:rPr>
        <w:t xml:space="preserve">=</w:t>
      </w:r>
      <w:r>
        <w:rPr>
          <w:rStyle w:val="NormalTok"/>
        </w:rPr>
        <w:t xml:space="preserve"> </w:t>
      </w:r>
      <w:r>
        <w:rPr>
          <w:rStyle w:val="BuiltInTok"/>
        </w:rPr>
        <w:t xml:space="preserve">float</w:t>
      </w:r>
      <w:r>
        <w:rPr>
          <w:rStyle w:val="NormalTok"/>
        </w:rPr>
        <w:t xml:space="preserve">(audit.loc[fallback_mask, </w:t>
      </w:r>
      <w:r>
        <w:rPr>
          <w:rStyle w:val="StringTok"/>
        </w:rPr>
        <w:t xml:space="preserve">"BGF_target_m2"</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f"Statistische Ziel-BGF Österreich: </w:t>
      </w:r>
      <w:r>
        <w:rPr>
          <w:rStyle w:val="SpecialCharTok"/>
        </w:rPr>
        <w:t xml:space="preserve">{</w:t>
      </w:r>
      <w:r>
        <w:rPr>
          <w:rStyle w:val="NormalTok"/>
        </w:rPr>
        <w:t xml:space="preserve">national_target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f"Verteilte BGF Österreich:        </w:t>
      </w:r>
      <w:r>
        <w:rPr>
          <w:rStyle w:val="SpecialCharTok"/>
        </w:rPr>
        <w:t xml:space="preserve">{</w:t>
      </w:r>
      <w:r>
        <w:rPr>
          <w:rStyle w:val="NormalTok"/>
        </w:rPr>
        <w:t xml:space="preserve">national_allocated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 Mio. m²"</w:t>
      </w:r>
      <w:r>
        <w:rPr>
          <w:rStyle w:val="NormalTok"/>
        </w:rPr>
        <w:t xml:space="preserve">)</w:t>
      </w:r>
      <w:r>
        <w:br/>
      </w:r>
      <w:r>
        <w:rPr>
          <w:rStyle w:val="BuiltInTok"/>
        </w:rPr>
        <w:t xml:space="preserve">print</w:t>
      </w:r>
      <w:r>
        <w:rPr>
          <w:rStyle w:val="NormalTok"/>
        </w:rPr>
        <w:t xml:space="preserve">(</w:t>
      </w:r>
      <w:r>
        <w:rPr>
          <w:rStyle w:val="SpecialStringTok"/>
        </w:rPr>
        <w:t xml:space="preserve">f"Bilanzdifferenz:                 </w:t>
      </w:r>
      <w:r>
        <w:rPr>
          <w:rStyle w:val="SpecialCharTok"/>
        </w:rPr>
        <w:t xml:space="preserve">{</w:t>
      </w:r>
      <w:r>
        <w:rPr>
          <w:rStyle w:val="NormalTok"/>
        </w:rPr>
        <w:t xml:space="preserve">national_allocated </w:t>
      </w:r>
      <w:r>
        <w:rPr>
          <w:rStyle w:val="OperatorTok"/>
        </w:rPr>
        <w:t xml:space="preserve">-</w:t>
      </w:r>
      <w:r>
        <w:rPr>
          <w:rStyle w:val="NormalTok"/>
        </w:rPr>
        <w:t xml:space="preserve"> national_target</w:t>
      </w:r>
      <w:r>
        <w:rPr>
          <w:rStyle w:val="SpecialCharTok"/>
        </w:rPr>
        <w:t xml:space="preserve">:.9f}</w:t>
      </w:r>
      <w:r>
        <w:rPr>
          <w:rStyle w:val="SpecialStringTok"/>
        </w:rPr>
        <w:t xml:space="preserve"> m²"</w:t>
      </w:r>
      <w:r>
        <w:rPr>
          <w:rStyle w:val="NormalTok"/>
        </w:rPr>
        <w:t xml:space="preserve">)</w:t>
      </w:r>
      <w:r>
        <w:br/>
      </w:r>
      <w:r>
        <w:rPr>
          <w:rStyle w:val="BuiltInTok"/>
        </w:rPr>
        <w:t xml:space="preserve">print</w:t>
      </w:r>
      <w:r>
        <w:rPr>
          <w:rStyle w:val="NormalTok"/>
        </w:rPr>
        <w:t xml:space="preserve">(</w:t>
      </w:r>
      <w:r>
        <w:rPr>
          <w:rStyle w:val="SpecialStringTok"/>
        </w:rPr>
        <w:t xml:space="preserve">f"Max. Betrag je Zelle:           </w:t>
      </w:r>
      <w:r>
        <w:rPr>
          <w:rStyle w:val="SpecialCharTok"/>
        </w:rPr>
        <w:t xml:space="preserve">{</w:t>
      </w:r>
      <w:r>
        <w:rPr>
          <w:rStyle w:val="NormalTok"/>
        </w:rPr>
        <w:t xml:space="preserve">audit</w:t>
      </w:r>
      <w:r>
        <w:rPr>
          <w:rStyle w:val="SpecialCharTok"/>
        </w:rPr>
        <w:t xml:space="preserve">.</w:t>
      </w:r>
      <w:r>
        <w:rPr>
          <w:rStyle w:val="NormalTok"/>
        </w:rPr>
        <w:t xml:space="preserve">delta_m2</w:t>
      </w:r>
      <w:r>
        <w:rPr>
          <w:rStyle w:val="SpecialCharTok"/>
        </w:rPr>
        <w:t xml:space="preserve">.</w:t>
      </w:r>
      <w:r>
        <w:rPr>
          <w:rStyle w:val="BuiltInTok"/>
        </w:rPr>
        <w:t xml:space="preserve">abs</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:.9f}</w:t>
      </w:r>
      <w:r>
        <w:rPr>
          <w:rStyle w:val="SpecialStringTok"/>
        </w:rPr>
        <w:t xml:space="preserve"> m²"</w:t>
      </w:r>
      <w:r>
        <w:rPr>
          <w:rStyle w:val="NormalTok"/>
        </w:rPr>
        <w:t xml:space="preserve">)</w:t>
      </w:r>
      <w:r>
        <w:br/>
      </w:r>
      <w:r>
        <w:rPr>
          <w:rStyle w:val="BuiltInTok"/>
        </w:rPr>
        <w:t xml:space="preserve">print</w:t>
      </w:r>
      <w:r>
        <w:rPr>
          <w:rStyle w:val="NormalTok"/>
        </w:rPr>
        <w:t xml:space="preserve">(</w:t>
      </w:r>
      <w:r>
        <w:rPr>
          <w:rStyle w:val="SpecialStringTok"/>
        </w:rPr>
        <w:t xml:space="preserve">f"Kombinationen:                  </w:t>
      </w:r>
      <w:r>
        <w:rPr>
          <w:rStyle w:val="SpecialCharTok"/>
        </w:rPr>
        <w:t xml:space="preserve">{</w:t>
      </w:r>
      <w:r>
        <w:rPr>
          <w:rStyle w:val="BuiltInTok"/>
        </w:rPr>
        <w:t xml:space="preserve">len</w:t>
      </w:r>
      <w:r>
        <w:rPr>
          <w:rStyle w:val="NormalTok"/>
        </w:rPr>
        <w:t xml:space="preserve">(audit)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f"Ersatzreferenzen:                </w:t>
      </w:r>
      <w:r>
        <w:rPr>
          <w:rStyle w:val="SpecialCharTok"/>
        </w:rPr>
        <w:t xml:space="preserve">{</w:t>
      </w:r>
      <w:r>
        <w:rPr>
          <w:rStyle w:val="NormalTok"/>
        </w:rPr>
        <w:t xml:space="preserve">fallback_mask</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DecValTok"/>
        </w:rPr>
        <w:t xml:space="preserve">100</w:t>
      </w:r>
      <w:r>
        <w:rPr>
          <w:rStyle w:val="OperatorTok"/>
        </w:rPr>
        <w:t xml:space="preserve">*</w:t>
      </w:r>
      <w:r>
        <w:rPr>
          <w:rStyle w:val="NormalTok"/>
        </w:rPr>
        <w:t xml:space="preserve">fallback_mask</w:t>
      </w:r>
      <w:r>
        <w:rPr>
          <w:rStyle w:val="SpecialCharTok"/>
        </w:rPr>
        <w:t xml:space="preserve">.</w:t>
      </w:r>
      <w:r>
        <w:rPr>
          <w:rStyle w:val="NormalTok"/>
        </w:rPr>
        <w:t xml:space="preserve">mean()</w:t>
      </w:r>
      <w:r>
        <w:rPr>
          <w:rStyle w:val="SpecialCharTok"/>
        </w:rPr>
        <w:t xml:space="preserve">:.2f}</w:t>
      </w:r>
      <w:r>
        <w:rPr>
          <w:rStyle w:val="SpecialStringTok"/>
        </w:rPr>
        <w:t xml:space="preserve"> % der Kombinationen)"</w:t>
      </w:r>
      <w:r>
        <w:rPr>
          <w:rStyle w:val="NormalTok"/>
        </w:rPr>
        <w:t xml:space="preserve">)</w:t>
      </w:r>
      <w:r>
        <w:br/>
      </w:r>
      <w:r>
        <w:rPr>
          <w:rStyle w:val="BuiltInTok"/>
        </w:rPr>
        <w:t xml:space="preserve">print</w:t>
      </w:r>
      <w:r>
        <w:rPr>
          <w:rStyle w:val="NormalTok"/>
        </w:rPr>
        <w:t xml:space="preserve">(</w:t>
      </w:r>
      <w:r>
        <w:rPr>
          <w:rStyle w:val="SpecialStringTok"/>
        </w:rPr>
        <w:t xml:space="preserve">f"BGF-Anteil der Ersatzreferenzen: </w:t>
      </w:r>
      <w:r>
        <w:rPr>
          <w:rStyle w:val="SpecialCharTok"/>
        </w:rPr>
        <w:t xml:space="preserve">{</w:t>
      </w:r>
      <w:r>
        <w:rPr>
          <w:rStyle w:val="DecValTok"/>
        </w:rPr>
        <w:t xml:space="preserve">100</w:t>
      </w:r>
      <w:r>
        <w:rPr>
          <w:rStyle w:val="OperatorTok"/>
        </w:rPr>
        <w:t xml:space="preserve">*</w:t>
      </w:r>
      <w:r>
        <w:rPr>
          <w:rStyle w:val="NormalTok"/>
        </w:rPr>
        <w:t xml:space="preserve">fallback_area</w:t>
      </w:r>
      <w:r>
        <w:rPr>
          <w:rStyle w:val="OperatorTok"/>
        </w:rPr>
        <w:t xml:space="preserve">/</w:t>
      </w:r>
      <w:r>
        <w:rPr>
          <w:rStyle w:val="NormalTok"/>
        </w:rPr>
        <w:t xml:space="preserve">national_target</w:t>
      </w:r>
      <w:r>
        <w:rPr>
          <w:rStyle w:val="SpecialCharTok"/>
        </w:rPr>
        <w:t xml:space="preserve">:.3f}</w:t>
      </w:r>
      <w:r>
        <w:rPr>
          <w:rStyle w:val="SpecialStringTok"/>
        </w:rPr>
        <w:t xml:space="preserve"> %"</w:t>
      </w:r>
      <w:r>
        <w:rPr>
          <w:rStyle w:val="NormalTok"/>
        </w:rPr>
        <w:t xml:space="preserve">)</w:t>
      </w:r>
      <w:r>
        <w:br/>
      </w:r>
      <w:r>
        <w:br/>
      </w:r>
      <w:r>
        <w:rPr>
          <w:rStyle w:val="NormalTok"/>
        </w:rPr>
        <w:t xml:space="preserve">land_area </w:t>
      </w:r>
      <w:r>
        <w:rPr>
          <w:rStyle w:val="OperatorTok"/>
        </w:rPr>
        <w:t xml:space="preserve">=</w:t>
      </w:r>
      <w:r>
        <w:rPr>
          <w:rStyle w:val="NormalTok"/>
        </w:rPr>
        <w:t xml:space="preserve"> (detail.groupby(</w:t>
      </w:r>
      <w:r>
        <w:rPr>
          <w:rStyle w:val="StringTok"/>
        </w:rPr>
        <w:t xml:space="preserve">"Bundesland"</w:t>
      </w:r>
      <w:r>
        <w:rPr>
          <w:rStyle w:val="NormalTok"/>
        </w:rPr>
        <w:t xml:space="preserve">).BGF_m2.</w:t>
      </w:r>
      <w:r>
        <w:rPr>
          <w:rStyle w:val="BuiltInTok"/>
        </w:rPr>
        <w:t xml:space="preserve">sum</w:t>
      </w:r>
      <w:r>
        <w:rPr>
          <w:rStyle w:val="NormalTok"/>
        </w:rPr>
        <w:t xml:space="preserve">().reindex(PROVINCES))</w:t>
      </w:r>
      <w:r>
        <w:br/>
      </w:r>
      <w:r>
        <w:rPr>
          <w:rStyle w:val="NormalTok"/>
        </w:rPr>
        <w:t xml:space="preserve">land_target </w:t>
      </w:r>
      <w:r>
        <w:rPr>
          <w:rStyle w:val="OperatorTok"/>
        </w:rPr>
        <w:t xml:space="preserve">=</w:t>
      </w:r>
      <w:r>
        <w:rPr>
          <w:rStyle w:val="NormalTok"/>
        </w:rPr>
        <w:t xml:space="preserve"> (targets.groupby(</w:t>
      </w:r>
      <w:r>
        <w:rPr>
          <w:rStyle w:val="StringTok"/>
        </w:rPr>
        <w:t xml:space="preserve">"Bundesland"</w:t>
      </w:r>
      <w:r>
        <w:rPr>
          <w:rStyle w:val="NormalTok"/>
        </w:rPr>
        <w:t xml:space="preserve">).BGF_target_m2.</w:t>
      </w:r>
      <w:r>
        <w:rPr>
          <w:rStyle w:val="BuiltInTok"/>
        </w:rPr>
        <w:t xml:space="preserve">sum</w:t>
      </w:r>
      <w:r>
        <w:rPr>
          <w:rStyle w:val="NormalTok"/>
        </w:rPr>
        <w:t xml:space="preserve">().reindex(PROVINCES))</w:t>
      </w:r>
      <w:r>
        <w:br/>
      </w:r>
      <w:r>
        <w:rPr>
          <w:rStyle w:val="ControlFlowTok"/>
        </w:rPr>
        <w:t xml:space="preserve">assert</w:t>
      </w:r>
      <w:r>
        <w:rPr>
          <w:rStyle w:val="NormalTok"/>
        </w:rPr>
        <w:t xml:space="preserve"> np.allclose(land_area, land_target, rtol</w:t>
      </w:r>
      <w:r>
        <w:rPr>
          <w:rStyle w:val="OperatorTok"/>
        </w:rPr>
        <w:t xml:space="preserve">=</w:t>
      </w:r>
      <w:r>
        <w:rPr>
          <w:rStyle w:val="FloatTok"/>
        </w:rPr>
        <w:t xml:space="preserve">1e-12</w:t>
      </w:r>
      <w:r>
        <w:rPr>
          <w:rStyle w:val="NormalTok"/>
        </w:rPr>
        <w:t xml:space="preserve">, atol</w:t>
      </w:r>
      <w:r>
        <w:rPr>
          <w:rStyle w:val="OperatorTok"/>
        </w:rPr>
        <w:t xml:space="preserve">=</w:t>
      </w:r>
      <w:r>
        <w:rPr>
          <w:rStyle w:val="FloatTok"/>
        </w:rPr>
        <w:t xml:space="preserve">1e-4</w:t>
      </w:r>
      <w:r>
        <w:rPr>
          <w:rStyle w:val="NormalTok"/>
        </w:rPr>
        <w:t xml:space="preserve">)</w:t>
      </w:r>
      <w:r>
        <w:br/>
      </w:r>
      <w:r>
        <w:br/>
      </w:r>
      <w:r>
        <w:rPr>
          <w:rStyle w:val="CommentTok"/>
        </w:rPr>
        <w:t xml:space="preserve"># Gewichteter Mittelwert der modellierten GFZ: kein nationales BGF/Grundstücksfläche-Verhältnis</w:t>
      </w:r>
      <w:r>
        <w:br/>
      </w:r>
      <w:r>
        <w:rPr>
          <w:rStyle w:val="NormalTok"/>
        </w:rPr>
        <w:t xml:space="preserve">mean_gfz </w:t>
      </w:r>
      <w:r>
        <w:rPr>
          <w:rStyle w:val="OperatorTok"/>
        </w:rPr>
        <w:t xml:space="preserve">=</w:t>
      </w:r>
      <w:r>
        <w:rPr>
          <w:rStyle w:val="NormalTok"/>
        </w:rPr>
        <w:t xml:space="preserve"> </w:t>
      </w:r>
      <w:r>
        <w:rPr>
          <w:rStyle w:val="BuiltInTok"/>
        </w:rPr>
        <w:t xml:space="preserve">float</w:t>
      </w:r>
      <w:r>
        <w:rPr>
          <w:rStyle w:val="NormalTok"/>
        </w:rPr>
        <w:t xml:space="preserve">(np.dot(detail.GFZ, detail.BGF_m2) </w:t>
      </w:r>
      <w:r>
        <w:rPr>
          <w:rStyle w:val="OperatorTok"/>
        </w:rPr>
        <w:t xml:space="preserve">/</w:t>
      </w:r>
      <w:r>
        <w:rPr>
          <w:rStyle w:val="NormalTok"/>
        </w:rPr>
        <w:t xml:space="preserve"> national_allocated)</w:t>
      </w:r>
      <w:r>
        <w:br/>
      </w:r>
      <w:r>
        <w:rPr>
          <w:rStyle w:val="BuiltInTok"/>
        </w:rPr>
        <w:t xml:space="preserve">print</w:t>
      </w:r>
      <w:r>
        <w:rPr>
          <w:rStyle w:val="NormalTok"/>
        </w:rPr>
        <w:t xml:space="preserve">(</w:t>
      </w:r>
      <w:r>
        <w:rPr>
          <w:rStyle w:val="SpecialStringTok"/>
        </w:rPr>
        <w:t xml:space="preserve">f"Flächengewichtete mittlere Modell-GFZ: </w:t>
      </w:r>
      <w:r>
        <w:rPr>
          <w:rStyle w:val="SpecialCharTok"/>
        </w:rPr>
        <w:t xml:space="preserve">{</w:t>
      </w:r>
      <w:r>
        <w:rPr>
          <w:rStyle w:val="NormalTok"/>
        </w:rPr>
        <w:t xml:space="preserve">mean_gfz</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Statistische Ziel-BGF Österreich: 1,058.935 Mio. m²</w:t>
      </w:r>
      <w:r>
        <w:br/>
      </w:r>
      <w:r>
        <w:rPr>
          <w:rStyle w:val="VerbatimChar"/>
        </w:rPr>
        <w:t xml:space="preserve">Verteilte BGF Österreich:        1,058.935 Mio. m²</w:t>
      </w:r>
      <w:r>
        <w:br/>
      </w:r>
      <w:r>
        <w:rPr>
          <w:rStyle w:val="VerbatimChar"/>
        </w:rPr>
        <w:t xml:space="preserve">Bilanzdifferenz:                 -0.000000119 m²</w:t>
      </w:r>
      <w:r>
        <w:br/>
      </w:r>
      <w:r>
        <w:rPr>
          <w:rStyle w:val="VerbatimChar"/>
        </w:rPr>
        <w:t xml:space="preserve">Max. Betrag je Zelle:           0.000000015 m²</w:t>
      </w:r>
      <w:r>
        <w:br/>
      </w:r>
      <w:r>
        <w:rPr>
          <w:rStyle w:val="VerbatimChar"/>
        </w:rPr>
        <w:t xml:space="preserve">Kombinationen:                  516</w:t>
      </w:r>
      <w:r>
        <w:br/>
      </w:r>
      <w:r>
        <w:rPr>
          <w:rStyle w:val="VerbatimChar"/>
        </w:rPr>
        <w:t xml:space="preserve">Ersatzreferenzen:                91 (17.64 % der Kombinationen)</w:t>
      </w:r>
      <w:r>
        <w:br/>
      </w:r>
      <w:r>
        <w:rPr>
          <w:rStyle w:val="VerbatimChar"/>
        </w:rPr>
        <w:t xml:space="preserve">BGF-Anteil der Ersatzreferenzen: 1.696 %</w:t>
      </w:r>
      <w:r>
        <w:br/>
      </w:r>
      <w:r>
        <w:rPr>
          <w:rStyle w:val="VerbatimChar"/>
        </w:rPr>
        <w:t xml:space="preserve">Flächengewichtete mittlere Modell-GFZ: 1.231</w:t>
      </w:r>
    </w:p>
    <w:p>
      <w:pPr>
        <w:pStyle w:val="SourceCode"/>
      </w:pPr>
      <w:r>
        <w:rPr>
          <w:rStyle w:val="NormalTok"/>
        </w:rPr>
        <w:t xml:space="preserve">fall_by_land </w:t>
      </w:r>
      <w:r>
        <w:rPr>
          <w:rStyle w:val="OperatorTok"/>
        </w:rPr>
        <w:t xml:space="preserve">=</w:t>
      </w:r>
      <w:r>
        <w:rPr>
          <w:rStyle w:val="NormalTok"/>
        </w:rPr>
        <w:t xml:space="preserve"> (audit.assign(fallback_BGF_m2</w:t>
      </w:r>
      <w:r>
        <w:rPr>
          <w:rStyle w:val="OperatorTok"/>
        </w:rPr>
        <w:t xml:space="preserve">=</w:t>
      </w:r>
      <w:r>
        <w:rPr>
          <w:rStyle w:val="NormalTok"/>
        </w:rPr>
        <w:t xml:space="preserve">np.where(fallback_mask, audit.BGF_target_m2, </w:t>
      </w:r>
      <w:r>
        <w:rPr>
          <w:rStyle w:val="DecValTok"/>
        </w:rPr>
        <w:t xml:space="preserve">0</w:t>
      </w:r>
      <w:r>
        <w:rPr>
          <w:rStyle w:val="NormalTok"/>
        </w:rPr>
        <w:t xml:space="preserve">))</w:t>
      </w:r>
      <w:r>
        <w:br/>
      </w:r>
      <w:r>
        <w:rPr>
          <w:rStyle w:val="NormalTok"/>
        </w:rPr>
        <w:t xml:space="preserve">    .groupby(</w:t>
      </w:r>
      <w:r>
        <w:rPr>
          <w:rStyle w:val="StringTok"/>
        </w:rPr>
        <w:t xml:space="preserve">"Bundesland"</w:t>
      </w:r>
      <w:r>
        <w:rPr>
          <w:rStyle w:val="NormalTok"/>
        </w:rPr>
        <w:t xml:space="preserve">)[[</w:t>
      </w:r>
      <w:r>
        <w:rPr>
          <w:rStyle w:val="StringTok"/>
        </w:rPr>
        <w:t xml:space="preserve">"BGF_target_m2"</w:t>
      </w:r>
      <w:r>
        <w:rPr>
          <w:rStyle w:val="NormalTok"/>
        </w:rPr>
        <w:t xml:space="preserve">, </w:t>
      </w:r>
      <w:r>
        <w:rPr>
          <w:rStyle w:val="StringTok"/>
        </w:rPr>
        <w:t xml:space="preserve">"fallback_BGF_m2"</w:t>
      </w:r>
      <w:r>
        <w:rPr>
          <w:rStyle w:val="NormalTok"/>
        </w:rPr>
        <w:t xml:space="preserve">]].</w:t>
      </w:r>
      <w:r>
        <w:rPr>
          <w:rStyle w:val="BuiltInTok"/>
        </w:rPr>
        <w:t xml:space="preserve">sum</w:t>
      </w:r>
      <w:r>
        <w:rPr>
          <w:rStyle w:val="NormalTok"/>
        </w:rPr>
        <w:t xml:space="preserve">().reindex(PROVINCES))</w:t>
      </w:r>
      <w:r>
        <w:br/>
      </w:r>
      <w:r>
        <w:rPr>
          <w:rStyle w:val="NormalTok"/>
        </w:rPr>
        <w:t xml:space="preserve">fall_by_land.loc[</w:t>
      </w:r>
      <w:r>
        <w:rPr>
          <w:rStyle w:val="StringTok"/>
        </w:rPr>
        <w:t xml:space="preserve">"Österreich"</w:t>
      </w:r>
      <w:r>
        <w:rPr>
          <w:rStyle w:val="NormalTok"/>
        </w:rPr>
        <w:t xml:space="preserve">] </w:t>
      </w:r>
      <w:r>
        <w:rPr>
          <w:rStyle w:val="OperatorTok"/>
        </w:rPr>
        <w:t xml:space="preserve">=</w:t>
      </w:r>
      <w:r>
        <w:rPr>
          <w:rStyle w:val="NormalTok"/>
        </w:rPr>
        <w:t xml:space="preserve"> fall_by_land.</w:t>
      </w:r>
      <w:r>
        <w:rPr>
          <w:rStyle w:val="BuiltInTok"/>
        </w:rPr>
        <w:t xml:space="preserve">sum</w:t>
      </w:r>
      <w:r>
        <w:rPr>
          <w:rStyle w:val="NormalTok"/>
        </w:rPr>
        <w:t xml:space="preserve">()</w:t>
      </w:r>
      <w:r>
        <w:br/>
      </w:r>
      <w:r>
        <w:rPr>
          <w:rStyle w:val="NormalTok"/>
        </w:rPr>
        <w:t xml:space="preserve">fall_share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fall_by_land.fallback_BGF_m2 </w:t>
      </w:r>
      <w:r>
        <w:rPr>
          <w:rStyle w:val="OperatorTok"/>
        </w:rPr>
        <w:t xml:space="preserve">/</w:t>
      </w:r>
      <w:r>
        <w:rPr>
          <w:rStyle w:val="NormalTok"/>
        </w:rPr>
        <w:t xml:space="preserve"> fall_by_land.BGF_target_m2</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ax.barh(fall_share.index, </w:t>
      </w:r>
      <w:r>
        <w:rPr>
          <w:rStyle w:val="DecValTok"/>
        </w:rPr>
        <w:t xml:space="preserve">100</w:t>
      </w:r>
      <w:r>
        <w:rPr>
          <w:rStyle w:val="NormalTok"/>
        </w:rPr>
        <w:t xml:space="preserve"> </w:t>
      </w:r>
      <w:r>
        <w:rPr>
          <w:rStyle w:val="OperatorTok"/>
        </w:rPr>
        <w:t xml:space="preserve">-</w:t>
      </w:r>
      <w:r>
        <w:rPr>
          <w:rStyle w:val="NormalTok"/>
        </w:rPr>
        <w:t xml:space="preserve"> fall_share, color</w:t>
      </w:r>
      <w:r>
        <w:rPr>
          <w:rStyle w:val="OperatorTok"/>
        </w:rPr>
        <w:t xml:space="preserve">=</w:t>
      </w:r>
      <w:r>
        <w:rPr>
          <w:rStyle w:val="StringTok"/>
        </w:rPr>
        <w:t xml:space="preserve">"#007c83"</w:t>
      </w:r>
      <w:r>
        <w:rPr>
          <w:rStyle w:val="NormalTok"/>
        </w:rPr>
        <w:t xml:space="preserve">, label</w:t>
      </w:r>
      <w:r>
        <w:rPr>
          <w:rStyle w:val="OperatorTok"/>
        </w:rPr>
        <w:t xml:space="preserve">=</w:t>
      </w:r>
      <w:r>
        <w:rPr>
          <w:rStyle w:val="StringTok"/>
        </w:rPr>
        <w:t xml:space="preserve">"Primärreferenz"</w:t>
      </w:r>
      <w:r>
        <w:rPr>
          <w:rStyle w:val="NormalTok"/>
        </w:rPr>
        <w:t xml:space="preserve">)</w:t>
      </w:r>
      <w:r>
        <w:br/>
      </w:r>
      <w:r>
        <w:rPr>
          <w:rStyle w:val="NormalTok"/>
        </w:rPr>
        <w:t xml:space="preserve">ax.barh(fall_share.index, fall_share, left</w:t>
      </w:r>
      <w:r>
        <w:rPr>
          <w:rStyle w:val="OperatorTok"/>
        </w:rPr>
        <w:t xml:space="preserve">=</w:t>
      </w:r>
      <w:r>
        <w:rPr>
          <w:rStyle w:val="DecValTok"/>
        </w:rPr>
        <w:t xml:space="preserve">100</w:t>
      </w:r>
      <w:r>
        <w:rPr>
          <w:rStyle w:val="OperatorTok"/>
        </w:rPr>
        <w:t xml:space="preserve">-</w:t>
      </w:r>
      <w:r>
        <w:rPr>
          <w:rStyle w:val="NormalTok"/>
        </w:rPr>
        <w:t xml:space="preserve">fall_share,</w:t>
      </w:r>
      <w:r>
        <w:br/>
      </w:r>
      <w:r>
        <w:rPr>
          <w:rStyle w:val="NormalTok"/>
        </w:rPr>
        <w:t xml:space="preserve">        color</w:t>
      </w:r>
      <w:r>
        <w:rPr>
          <w:rStyle w:val="OperatorTok"/>
        </w:rPr>
        <w:t xml:space="preserve">=</w:t>
      </w:r>
      <w:r>
        <w:rPr>
          <w:rStyle w:val="StringTok"/>
        </w:rPr>
        <w:t xml:space="preserve">"#df9c38"</w:t>
      </w:r>
      <w:r>
        <w:rPr>
          <w:rStyle w:val="NormalTok"/>
        </w:rPr>
        <w:t xml:space="preserve">, label</w:t>
      </w:r>
      <w:r>
        <w:rPr>
          <w:rStyle w:val="OperatorTok"/>
        </w:rPr>
        <w:t xml:space="preserve">=</w:t>
      </w:r>
      <w:r>
        <w:rPr>
          <w:rStyle w:val="StringTok"/>
        </w:rPr>
        <w:t xml:space="preserve">"Ersatzreferenz"</w:t>
      </w:r>
      <w:r>
        <w:rPr>
          <w:rStyle w:val="NormalTok"/>
        </w:rPr>
        <w:t xml:space="preserve">)</w:t>
      </w:r>
      <w:r>
        <w:br/>
      </w:r>
      <w:r>
        <w:rPr>
          <w:rStyle w:val="ControlFlowTok"/>
        </w:rPr>
        <w:t xml:space="preserve">for</w:t>
      </w:r>
      <w:r>
        <w:rPr>
          <w:rStyle w:val="NormalTok"/>
        </w:rPr>
        <w:t xml:space="preserve"> y, share </w:t>
      </w:r>
      <w:r>
        <w:rPr>
          <w:rStyle w:val="KeywordTok"/>
        </w:rPr>
        <w:t xml:space="preserve">in</w:t>
      </w:r>
      <w:r>
        <w:rPr>
          <w:rStyle w:val="NormalTok"/>
        </w:rPr>
        <w:t xml:space="preserve"> </w:t>
      </w:r>
      <w:r>
        <w:rPr>
          <w:rStyle w:val="BuiltInTok"/>
        </w:rPr>
        <w:t xml:space="preserve">enumerate</w:t>
      </w:r>
      <w:r>
        <w:rPr>
          <w:rStyle w:val="NormalTok"/>
        </w:rPr>
        <w:t xml:space="preserve">(fall_share):</w:t>
      </w:r>
      <w:r>
        <w:br/>
      </w:r>
      <w:r>
        <w:rPr>
          <w:rStyle w:val="NormalTok"/>
        </w:rPr>
        <w:t xml:space="preserve">    ax.text(</w:t>
      </w:r>
      <w:r>
        <w:rPr>
          <w:rStyle w:val="DecValTok"/>
        </w:rPr>
        <w:t xml:space="preserve">101</w:t>
      </w:r>
      <w:r>
        <w:rPr>
          <w:rStyle w:val="NormalTok"/>
        </w:rPr>
        <w:t xml:space="preserve">, y, </w:t>
      </w:r>
      <w:r>
        <w:rPr>
          <w:rStyle w:val="SpecialStringTok"/>
        </w:rPr>
        <w:t xml:space="preserve">f"</w:t>
      </w:r>
      <w:r>
        <w:rPr>
          <w:rStyle w:val="SpecialCharTok"/>
        </w:rPr>
        <w:t xml:space="preserve">{</w:t>
      </w:r>
      <w:r>
        <w:rPr>
          <w:rStyle w:val="NormalTok"/>
        </w:rPr>
        <w:t xml:space="preserve">share</w:t>
      </w:r>
      <w:r>
        <w:rPr>
          <w:rStyle w:val="SpecialCharTok"/>
        </w:rPr>
        <w:t xml:space="preserve">:.2f}</w:t>
      </w:r>
      <w:r>
        <w:rPr>
          <w:rStyle w:val="SpecialStringTok"/>
        </w:rPr>
        <w:t xml:space="preserve"> %"</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114</w:t>
      </w:r>
      <w:r>
        <w:rPr>
          <w:rStyle w:val="NormalTok"/>
        </w:rPr>
        <w:t xml:space="preserve">), xlabel</w:t>
      </w:r>
      <w:r>
        <w:rPr>
          <w:rStyle w:val="OperatorTok"/>
        </w:rPr>
        <w:t xml:space="preserve">=</w:t>
      </w:r>
      <w:r>
        <w:rPr>
          <w:rStyle w:val="StringTok"/>
        </w:rPr>
        <w:t xml:space="preserve">"Anteil an der BGF des Bundeslands [%]"</w:t>
      </w:r>
      <w:r>
        <w:rPr>
          <w:rStyle w:val="NormalTok"/>
        </w:rPr>
        <w:t xml:space="preserve">)</w:t>
      </w:r>
      <w:r>
        <w:br/>
      </w:r>
      <w:r>
        <w:rPr>
          <w:rStyle w:val="NormalTok"/>
        </w:rPr>
        <w:t xml:space="preserve">ax.invert_yaxis()</w:t>
      </w:r>
      <w:r>
        <w:br/>
      </w:r>
      <w:r>
        <w:rPr>
          <w:rStyle w:val="NormalTok"/>
        </w:rPr>
        <w:t xml:space="preserve">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"fallback_bundeslaender.png"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80" w:name="fig-gfz-ersatzanteile"/>
          <w:p>
            <w:pPr>
              <w:pStyle w:val="Compact"/>
              <w:jc w:val="center"/>
            </w:pPr>
            <w:r>
              <w:drawing>
                <wp:inline>
                  <wp:extent cx="5334000" cy="2695582"/>
                  <wp:effectExtent b="0" l="0" r="0" t="0"/>
                  <wp:docPr descr="" title="" id="478" name="Picture"/>
                  <a:graphic>
                    <a:graphicData uri="http://schemas.openxmlformats.org/drawingml/2006/picture">
                      <pic:pic>
                        <pic:nvPicPr>
                          <pic:cNvPr descr="Berechnungen\gfz_at/GFZ_AT_Analyse_Anhang_files/figure-docx/fig-gfz-ersatzanteile-output-1.png" id="479" name="Picture"/>
                          <pic:cNvPicPr>
                            <a:picLocks noChangeArrowheads="1" noChangeAspect="1"/>
                          </pic:cNvPicPr>
                        </pic:nvPicPr>
                        <pic:blipFill>
                          <a:blip r:embed="rId477"/>
                          <a:stretch>
                            <a:fillRect/>
                          </a:stretch>
                        </pic:blipFill>
                        <pic:spPr bwMode="auto">
                          <a:xfrm>
                            <a:off x="0" y="0"/>
                            <a:ext cx="5334000" cy="2695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D.6: BGF-Abdeckung der primären Referenzen und expliziten Ersatzschätzungen nach Bundesland. Die Balken zeigen Anteile der jeweiligen statistischen Landes-BGF, nicht Anteile der Gebäudefälle.</w:t>
            </w:r>
          </w:p>
          <w:bookmarkEnd w:id="480"/>
        </w:tc>
      </w:tr>
    </w:tbl>
    <w:bookmarkEnd w:id="481"/>
    <w:bookmarkStart w:id="496" w:name="Xd5f755a3b14d6a9ed8a2d82486626ce41532c85"/>
    <w:p>
      <w:pPr>
        <w:pStyle w:val="Heading2"/>
      </w:pPr>
      <w:r>
        <w:t xml:space="preserve">C.8 8. Modellierte österreichische GFZ-Verteilung</w:t>
      </w:r>
    </w:p>
    <w:p>
      <w:pPr>
        <w:pStyle w:val="FirstParagraph"/>
      </w:pPr>
      <w:r>
        <w:t xml:space="preserve">Die Abbildung zeigt die aus der Statistik hochgerechnete BGF je</w:t>
      </w:r>
      <w:r>
        <w:t xml:space="preserve"> </w:t>
      </w:r>
      <w:r>
        <w:rPr>
          <w:b/>
          <w:bCs/>
        </w:rPr>
        <w:t xml:space="preserve">GFZ-Intervall von 0,1</w:t>
      </w:r>
      <w:r>
        <w:t xml:space="preserve">, aufgeteilt auf die neun Hauptnutzungen. Die Darstellung ist eine gestapelte Balkengrafik (kein Dichteplot): die Höhe eines Balkens ist die Summe von Mio. m² BGF in dieser GFZ-Klasse. Das sichtbare GFZ-Fenster kann ohne Neuberechnung verändert werden; alle Klassen bis GFZ 20 bleiben in der Flächenbilanz erhalten.</w:t>
      </w:r>
    </w:p>
    <w:p>
      <w:pPr>
        <w:pStyle w:val="SourceCode"/>
      </w:pPr>
      <w:r>
        <w:rPr>
          <w:rStyle w:val="NormalTok"/>
        </w:rPr>
        <w:t xml:space="preserve">wide </w:t>
      </w:r>
      <w:r>
        <w:rPr>
          <w:rStyle w:val="OperatorTok"/>
        </w:rPr>
        <w:t xml:space="preserve">=</w:t>
      </w:r>
      <w:r>
        <w:rPr>
          <w:rStyle w:val="NormalTok"/>
        </w:rPr>
        <w:t xml:space="preserve"> (at_by_use.pivot_table(index</w:t>
      </w:r>
      <w:r>
        <w:rPr>
          <w:rStyle w:val="OperatorTok"/>
        </w:rPr>
        <w:t xml:space="preserve">=</w:t>
      </w:r>
      <w:r>
        <w:rPr>
          <w:rStyle w:val="StringTok"/>
        </w:rPr>
        <w:t xml:space="preserve">"GFZ"</w:t>
      </w:r>
      <w:r>
        <w:rPr>
          <w:rStyle w:val="NormalTok"/>
        </w:rPr>
        <w:t xml:space="preserve">, columns</w:t>
      </w:r>
      <w:r>
        <w:rPr>
          <w:rStyle w:val="OperatorTok"/>
        </w:rPr>
        <w:t xml:space="preserve">=</w:t>
      </w:r>
      <w:r>
        <w:rPr>
          <w:rStyle w:val="StringTok"/>
        </w:rPr>
        <w:t xml:space="preserve">"GWR_Nutzung"</w:t>
      </w:r>
      <w:r>
        <w:rPr>
          <w:rStyle w:val="NormalTok"/>
        </w:rPr>
        <w:t xml:space="preserve">,</w:t>
      </w:r>
      <w:r>
        <w:br/>
      </w:r>
      <w:r>
        <w:rPr>
          <w:rStyle w:val="NormalTok"/>
        </w:rPr>
        <w:t xml:space="preserve">           values</w:t>
      </w:r>
      <w:r>
        <w:rPr>
          <w:rStyle w:val="OperatorTok"/>
        </w:rPr>
        <w:t xml:space="preserve">=</w:t>
      </w:r>
      <w:r>
        <w:rPr>
          <w:rStyle w:val="StringTok"/>
        </w:rPr>
        <w:t xml:space="preserve">"BGF_m2"</w:t>
      </w:r>
      <w:r>
        <w:rPr>
          <w:rStyle w:val="NormalTok"/>
        </w:rPr>
        <w:t xml:space="preserve">, aggfunc</w:t>
      </w:r>
      <w:r>
        <w:rPr>
          <w:rStyle w:val="OperatorTok"/>
        </w:rPr>
        <w:t xml:space="preserve">=</w:t>
      </w:r>
      <w:r>
        <w:rPr>
          <w:rStyle w:val="StringTok"/>
        </w:rPr>
        <w:t xml:space="preserve">"sum"</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        .reindex(columns</w:t>
      </w:r>
      <w:r>
        <w:rPr>
          <w:rStyle w:val="OperatorTok"/>
        </w:rPr>
        <w:t xml:space="preserve">=</w:t>
      </w:r>
      <w:r>
        <w:rPr>
          <w:rStyle w:val="NormalTok"/>
        </w:rPr>
        <w:t xml:space="preserve">PLOT_USE_ORDER, fill_value</w:t>
      </w:r>
      <w:r>
        <w:rPr>
          <w:rStyle w:val="OperatorTok"/>
        </w:rPr>
        <w:t xml:space="preserve">=</w:t>
      </w:r>
      <w:r>
        <w:rPr>
          <w:rStyle w:val="DecValTok"/>
        </w:rPr>
        <w:t xml:space="preserve">0</w:t>
      </w:r>
      <w:r>
        <w:rPr>
          <w:rStyle w:val="NormalTok"/>
        </w:rPr>
        <w:t xml:space="preserve">).sort_index()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view </w:t>
      </w:r>
      <w:r>
        <w:rPr>
          <w:rStyle w:val="OperatorTok"/>
        </w:rPr>
        <w:t xml:space="preserve">=</w:t>
      </w:r>
      <w:r>
        <w:rPr>
          <w:rStyle w:val="NormalTok"/>
        </w:rPr>
        <w:t xml:space="preserve"> wide.loc[wide.index </w:t>
      </w:r>
      <w:r>
        <w:rPr>
          <w:rStyle w:val="OperatorTok"/>
        </w:rPr>
        <w:t xml:space="preserve">&lt;=</w:t>
      </w:r>
      <w:r>
        <w:rPr>
          <w:rStyle w:val="NormalTok"/>
        </w:rPr>
        <w:t xml:space="preserve"> PLOT_GFZ_MAX]</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6</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(view))</w:t>
      </w:r>
      <w:r>
        <w:br/>
      </w:r>
      <w:r>
        <w:rPr>
          <w:rStyle w:val="ControlFlowTok"/>
        </w:rPr>
        <w:t xml:space="preserve">for</w:t>
      </w:r>
      <w:r>
        <w:rPr>
          <w:rStyle w:val="NormalTok"/>
        </w:rPr>
        <w:t xml:space="preserve"> use </w:t>
      </w:r>
      <w:r>
        <w:rPr>
          <w:rStyle w:val="KeywordTok"/>
        </w:rPr>
        <w:t xml:space="preserve">in</w:t>
      </w:r>
      <w:r>
        <w:rPr>
          <w:rStyle w:val="NormalTok"/>
        </w:rPr>
        <w:t xml:space="preserve"> PLOT_USE_ORDER:</w:t>
      </w:r>
      <w:r>
        <w:br/>
      </w:r>
      <w:r>
        <w:rPr>
          <w:rStyle w:val="NormalTok"/>
        </w:rPr>
        <w:t xml:space="preserve">    v </w:t>
      </w:r>
      <w:r>
        <w:rPr>
          <w:rStyle w:val="OperatorTok"/>
        </w:rPr>
        <w:t xml:space="preserve">=</w:t>
      </w:r>
      <w:r>
        <w:rPr>
          <w:rStyle w:val="NormalTok"/>
        </w:rPr>
        <w:t xml:space="preserve"> view[use].to_numpy()</w:t>
      </w:r>
      <w:r>
        <w:br/>
      </w:r>
      <w:r>
        <w:rPr>
          <w:rStyle w:val="NormalTok"/>
        </w:rPr>
        <w:t xml:space="preserve">    ax.bar(view.index.to_numpy(), v, width</w:t>
      </w:r>
      <w:r>
        <w:rPr>
          <w:rStyle w:val="OperatorTok"/>
        </w:rPr>
        <w:t xml:space="preserve">=</w:t>
      </w:r>
      <w:r>
        <w:rPr>
          <w:rStyle w:val="NormalTok"/>
        </w:rPr>
        <w:t xml:space="preserve">GFZ_STEP </w:t>
      </w:r>
      <w:r>
        <w:rPr>
          <w:rStyle w:val="OperatorTok"/>
        </w:rPr>
        <w:t xml:space="preserve">*</w:t>
      </w:r>
      <w:r>
        <w:rPr>
          <w:rStyle w:val="NormalTok"/>
        </w:rPr>
        <w:t xml:space="preserve"> </w:t>
      </w:r>
      <w:r>
        <w:rPr>
          <w:rStyle w:val="FloatTok"/>
        </w:rPr>
        <w:t xml:space="preserve">.96</w:t>
      </w:r>
      <w:r>
        <w:rPr>
          <w:rStyle w:val="NormalTok"/>
        </w:rPr>
        <w:t xml:space="preserve">,</w:t>
      </w:r>
      <w:r>
        <w:br/>
      </w:r>
      <w:r>
        <w:rPr>
          <w:rStyle w:val="NormalTok"/>
        </w:rPr>
        <w:t xml:space="preserve">           align</w:t>
      </w:r>
      <w:r>
        <w:rPr>
          <w:rStyle w:val="OperatorTok"/>
        </w:rPr>
        <w:t xml:space="preserve">=</w:t>
      </w:r>
      <w:r>
        <w:rPr>
          <w:rStyle w:val="StringTok"/>
        </w:rPr>
        <w:t xml:space="preserve">"center"</w:t>
      </w:r>
      <w:r>
        <w:rPr>
          <w:rStyle w:val="NormalTok"/>
        </w:rPr>
        <w:t xml:space="preserve">, bottom</w:t>
      </w:r>
      <w:r>
        <w:rPr>
          <w:rStyle w:val="OperatorTok"/>
        </w:rPr>
        <w:t xml:space="preserve">=</w:t>
      </w:r>
      <w:r>
        <w:rPr>
          <w:rStyle w:val="NormalTok"/>
        </w:rPr>
        <w:t xml:space="preserve">bottom, color</w:t>
      </w:r>
      <w:r>
        <w:rPr>
          <w:rStyle w:val="OperatorTok"/>
        </w:rPr>
        <w:t xml:space="preserve">=</w:t>
      </w:r>
      <w:r>
        <w:rPr>
          <w:rStyle w:val="NormalTok"/>
        </w:rPr>
        <w:t xml:space="preserve">COLORS[use],</w:t>
      </w:r>
      <w:r>
        <w:br/>
      </w:r>
      <w:r>
        <w:rPr>
          <w:rStyle w:val="NormalTok"/>
        </w:rPr>
        <w:t xml:space="preserve">           edgecolor</w:t>
      </w:r>
      <w:r>
        <w:rPr>
          <w:rStyle w:val="OperatorTok"/>
        </w:rPr>
        <w:t xml:space="preserve">=</w:t>
      </w:r>
      <w:r>
        <w:rPr>
          <w:rStyle w:val="StringTok"/>
        </w:rPr>
        <w:t xml:space="preserve">"none"</w:t>
      </w:r>
      <w:r>
        <w:rPr>
          <w:rStyle w:val="NormalTok"/>
        </w:rPr>
        <w:t xml:space="preserve">, label</w:t>
      </w:r>
      <w:r>
        <w:rPr>
          <w:rStyle w:val="OperatorTok"/>
        </w:rPr>
        <w:t xml:space="preserve">=</w:t>
      </w:r>
      <w:r>
        <w:rPr>
          <w:rStyle w:val="NormalTok"/>
        </w:rPr>
        <w:t xml:space="preserve">use)</w:t>
      </w:r>
      <w:r>
        <w:br/>
      </w:r>
      <w:r>
        <w:rPr>
          <w:rStyle w:val="NormalTok"/>
        </w:rPr>
        <w:t xml:space="preserve">    bottom </w:t>
      </w:r>
      <w:r>
        <w:rPr>
          <w:rStyle w:val="OperatorTok"/>
        </w:rPr>
        <w:t xml:space="preserve">+=</w:t>
      </w:r>
      <w:r>
        <w:rPr>
          <w:rStyle w:val="NormalTok"/>
        </w:rPr>
        <w:t xml:space="preserve"> v</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PLOT_GFZ_MAX),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xlabel</w:t>
      </w:r>
      <w:r>
        <w:rPr>
          <w:rStyle w:val="OperatorTok"/>
        </w:rPr>
        <w:t xml:space="preserve">=</w:t>
      </w:r>
      <w:r>
        <w:rPr>
          <w:rStyle w:val="StringTok"/>
        </w:rPr>
        <w:t xml:space="preserve">"Geschossflächenzahl (GFZ)"</w:t>
      </w:r>
      <w:r>
        <w:rPr>
          <w:rStyle w:val="NormalTok"/>
        </w:rPr>
        <w:t xml:space="preserve">, ylabel</w:t>
      </w:r>
      <w:r>
        <w:rPr>
          <w:rStyle w:val="OperatorTok"/>
        </w:rPr>
        <w:t xml:space="preserve">=</w:t>
      </w:r>
      <w:r>
        <w:rPr>
          <w:rStyle w:val="StringTok"/>
        </w:rPr>
        <w:t xml:space="preserve">"BGF [Mio. m² je 0,1 GFZ]"</w:t>
      </w:r>
      <w:r>
        <w:rPr>
          <w:rStyle w:val="NormalTok"/>
        </w:rPr>
        <w:t xml:space="preserve">)</w:t>
      </w:r>
      <w:r>
        <w:br/>
      </w:r>
      <w:r>
        <w:rPr>
          <w:rStyle w:val="NormalTok"/>
        </w:rPr>
        <w:t xml:space="preserve">ax.xaxis.set_major_locator(MultipleLocator(</w:t>
      </w:r>
      <w:r>
        <w:rPr>
          <w:rStyle w:val="FloatTok"/>
        </w:rPr>
        <w:t xml:space="preserve">1.0</w:t>
      </w:r>
      <w:r>
        <w:rPr>
          <w:rStyle w:val="NormalTok"/>
        </w:rPr>
        <w:t xml:space="preserve">))</w:t>
      </w:r>
      <w:r>
        <w:br/>
      </w:r>
      <w:r>
        <w:rPr>
          <w:rStyle w:val="NormalTok"/>
        </w:rPr>
        <w:t xml:space="preserve">ax.xaxis.set_minor_locator(MultipleLocator(GFZ_STEP))</w:t>
      </w:r>
      <w:r>
        <w:br/>
      </w:r>
      <w:r>
        <w:rPr>
          <w:rStyle w:val="NormalTok"/>
        </w:rPr>
        <w:t xml:space="preserve">ax.tick_params(axis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length</w:t>
      </w:r>
      <w:r>
        <w:rPr>
          <w:rStyle w:val="OperatorTok"/>
        </w:rPr>
        <w:t xml:space="preserve">=</w:t>
      </w:r>
      <w:r>
        <w:rPr>
          <w:rStyle w:val="DecValTok"/>
        </w:rPr>
        <w:t xml:space="preserve">6</w:t>
      </w:r>
      <w:r>
        <w:rPr>
          <w:rStyle w:val="NormalTok"/>
        </w:rPr>
        <w:t xml:space="preserve">)</w:t>
      </w:r>
      <w:r>
        <w:br/>
      </w:r>
      <w:r>
        <w:rPr>
          <w:rStyle w:val="NormalTok"/>
        </w:rPr>
        <w:t xml:space="preserve">ax.tick_params(axis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"minor"</w:t>
      </w:r>
      <w:r>
        <w:rPr>
          <w:rStyle w:val="NormalTok"/>
        </w:rPr>
        <w:t xml:space="preserve">, length</w:t>
      </w:r>
      <w:r>
        <w:rPr>
          <w:rStyle w:val="OperatorTok"/>
        </w:rPr>
        <w:t xml:space="preserve">=</w:t>
      </w:r>
      <w:r>
        <w:rPr>
          <w:rStyle w:val="DecValTok"/>
        </w:rPr>
        <w:t xml:space="preserve">3</w:t>
      </w:r>
      <w:r>
        <w:rPr>
          <w:rStyle w:val="NormalTok"/>
        </w:rPr>
        <w:t xml:space="preserve">)</w:t>
      </w:r>
      <w:r>
        <w:br/>
      </w:r>
      <w:r>
        <w:rPr>
          <w:rStyle w:val="NormalTok"/>
        </w:rPr>
        <w:t xml:space="preserve">ax.set_axisbelow(</w:t>
      </w:r>
      <w:r>
        <w:rPr>
          <w:rStyle w:val="VariableTok"/>
        </w:rPr>
        <w:t xml:space="preserve">True</w:t>
      </w:r>
      <w:r>
        <w:rPr>
          <w:rStyle w:val="NormalTok"/>
        </w:rPr>
        <w:t xml:space="preserve">)</w:t>
      </w:r>
      <w:r>
        <w:br/>
      </w:r>
      <w:r>
        <w:rPr>
          <w:rStyle w:val="NormalTok"/>
        </w:rPr>
        <w:t xml:space="preserve">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alpha</w:t>
      </w:r>
      <w:r>
        <w:rPr>
          <w:rStyle w:val="OperatorTok"/>
        </w:rPr>
        <w:t xml:space="preserve">=</w:t>
      </w:r>
      <w:r>
        <w:rPr>
          <w:rStyle w:val="FloatTok"/>
        </w:rPr>
        <w:t xml:space="preserve">.22</w:t>
      </w:r>
      <w:r>
        <w:rPr>
          <w:rStyle w:val="NormalTok"/>
        </w:rPr>
        <w:t xml:space="preserve">)</w:t>
      </w:r>
      <w:r>
        <w:br/>
      </w:r>
      <w:r>
        <w:rPr>
          <w:rStyle w:val="NormalTok"/>
        </w:rPr>
        <w:t xml:space="preserve">ax.legend(title</w:t>
      </w:r>
      <w:r>
        <w:rPr>
          <w:rStyle w:val="OperatorTok"/>
        </w:rPr>
        <w:t xml:space="preserve">=</w:t>
      </w:r>
      <w:r>
        <w:rPr>
          <w:rStyle w:val="StringTok"/>
        </w:rPr>
        <w:t xml:space="preserve">"Hauptnutzung"</w:t>
      </w:r>
      <w:r>
        <w:rPr>
          <w:rStyle w:val="NormalTok"/>
        </w:rPr>
        <w:t xml:space="preserve">, 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8</w:t>
      </w:r>
      <w:r>
        <w:rPr>
          <w:rStyle w:val="NormalTok"/>
        </w:rPr>
        <w:t xml:space="preserve">, title_fontsize</w:t>
      </w:r>
      <w:r>
        <w:rPr>
          <w:rStyle w:val="OperatorTok"/>
        </w:rPr>
        <w:t xml:space="preserve">=</w:t>
      </w:r>
      <w:r>
        <w:rPr>
          <w:rStyle w:val="DecValTok"/>
        </w:rPr>
        <w:t xml:space="preserve">10</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"gfz_oesterreich_nutzung.png"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share_beyond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wide.loc[wide.index </w:t>
      </w:r>
      <w:r>
        <w:rPr>
          <w:rStyle w:val="OperatorTok"/>
        </w:rPr>
        <w:t xml:space="preserve">&gt;</w:t>
      </w:r>
      <w:r>
        <w:rPr>
          <w:rStyle w:val="NormalTok"/>
        </w:rPr>
        <w:t xml:space="preserve"> PLOT_GFZ_MAX].to_numpy().</w:t>
      </w:r>
      <w:r>
        <w:rPr>
          <w:rStyle w:val="BuiltInTok"/>
        </w:rPr>
        <w:t xml:space="preserve">sum</w:t>
      </w:r>
      <w:r>
        <w:rPr>
          <w:rStyle w:val="NormalTok"/>
        </w:rPr>
        <w:t xml:space="preserve">() </w:t>
      </w:r>
      <w:r>
        <w:rPr>
          <w:rStyle w:val="OperatorTok"/>
        </w:rPr>
        <w:t xml:space="preserve">/</w:t>
      </w:r>
      <w:r>
        <w:rPr>
          <w:rStyle w:val="NormalTok"/>
        </w:rPr>
        <w:t xml:space="preserve"> wide.to_numpy().</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f"Außerhalb des Darstellungsfensters GFZ &gt; </w:t>
      </w:r>
      <w:r>
        <w:rPr>
          <w:rStyle w:val="SpecialCharTok"/>
        </w:rPr>
        <w:t xml:space="preserve">{</w:t>
      </w:r>
      <w:r>
        <w:rPr>
          <w:rStyle w:val="NormalTok"/>
        </w:rPr>
        <w:t xml:space="preserve">PLOT_GFZ_MAX</w:t>
      </w:r>
      <w:r>
        <w:rPr>
          <w:rStyle w:val="SpecialCharTok"/>
        </w:rPr>
        <w:t xml:space="preserve">:g}</w:t>
      </w:r>
      <w:r>
        <w:rPr>
          <w:rStyle w:val="SpecialStringTok"/>
        </w:rPr>
        <w:t xml:space="preserve">: </w:t>
      </w:r>
      <w:r>
        <w:rPr>
          <w:rStyle w:val="SpecialCharTok"/>
        </w:rPr>
        <w:t xml:space="preserve">{</w:t>
      </w:r>
      <w:r>
        <w:rPr>
          <w:rStyle w:val="NormalTok"/>
        </w:rPr>
        <w:t xml:space="preserve">share_beyond</w:t>
      </w:r>
      <w:r>
        <w:rPr>
          <w:rStyle w:val="SpecialCharTok"/>
        </w:rPr>
        <w:t xml:space="preserve">:.3f}</w:t>
      </w:r>
      <w:r>
        <w:rPr>
          <w:rStyle w:val="SpecialStringTok"/>
        </w:rPr>
        <w:t xml:space="preserve"> % der AT-BGF; in Bilanz enthalten."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85" w:name="fig-gfz-oesterreich"/>
          <w:p>
            <w:pPr>
              <w:pStyle w:val="Compact"/>
              <w:jc w:val="center"/>
            </w:pPr>
            <w:r>
              <w:drawing>
                <wp:inline>
                  <wp:extent cx="5334000" cy="2485582"/>
                  <wp:effectExtent b="0" l="0" r="0" t="0"/>
                  <wp:docPr descr="" title="" id="483" name="Picture"/>
                  <a:graphic>
                    <a:graphicData uri="http://schemas.openxmlformats.org/drawingml/2006/picture">
                      <pic:pic>
                        <pic:nvPicPr>
                          <pic:cNvPr descr="Berechnungen\gfz_at/GFZ_AT_Analyse_Anhang_files/figure-docx/fig-gfz-oesterreich-output-1.png" id="484" name="Picture"/>
                          <pic:cNvPicPr>
                            <a:picLocks noChangeArrowheads="1" noChangeAspect="1"/>
                          </pic:cNvPicPr>
                        </pic:nvPicPr>
                        <pic:blipFill>
                          <a:blip r:embed="rId482"/>
                          <a:stretch>
                            <a:fillRect/>
                          </a:stretch>
                        </pic:blipFill>
                        <pic:spPr bwMode="auto">
                          <a:xfrm>
                            <a:off x="0" y="0"/>
                            <a:ext cx="5334000" cy="248558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D.7: Modellierte österreichische BGF-Verteilung 2021 nach Hauptnutzung (gestapelte 0,1-GFZ-Balken). Die Berechnung erfolgt bis GFZ 20; ein gegebenenfalls abgeschnittener Anteil ist im Text unter der Grafik ausgewiesen.</w:t>
            </w:r>
          </w:p>
          <w:bookmarkEnd w:id="485"/>
        </w:tc>
      </w:tr>
    </w:tbl>
    <w:p>
      <w:pPr>
        <w:pStyle w:val="SourceCode"/>
      </w:pPr>
      <w:r>
        <w:rPr>
          <w:rStyle w:val="VerbatimChar"/>
        </w:rPr>
        <w:t xml:space="preserve">Außerhalb des Darstellungsfensters GFZ &gt; 8: 0.500 % der AT-BGF; in Bilanz enthalten.</w:t>
      </w:r>
    </w:p>
    <w:bookmarkStart w:id="490" w:name="X2b90f9c4b6271ba8f3cd92fd0eab51f3606762f"/>
    <w:p>
      <w:pPr>
        <w:pStyle w:val="Heading3"/>
      </w:pPr>
      <w:r>
        <w:t xml:space="preserve">C.8.1 Kerndichteprofile nach Geschossklasse und Hauptnutzung</w:t>
      </w:r>
    </w:p>
    <w:p>
      <w:pPr>
        <w:pStyle w:val="FirstParagraph"/>
      </w:pPr>
      <w:r>
        <w:t xml:space="preserve">Zur Überprüfung der angewendeten Dichteformen können die BGF-Anteile</w:t>
      </w:r>
      <w:r>
        <w:t xml:space="preserve"> </w:t>
      </w:r>
      <w:r>
        <w:rPr>
          <w:i/>
          <w:iCs/>
        </w:rPr>
        <w:t xml:space="preserve">innerhalb</w:t>
      </w:r>
      <w:r>
        <w:t xml:space="preserve"> </w:t>
      </w:r>
      <w:r>
        <w:t xml:space="preserve">jeder Kombination aus Geschossklasse und Hauptnutzung wieder auf 1 normiert werden. Daraus entsteht eine Matrix von flächengewichteten Dichteprofilen.</w:t>
      </w:r>
      <w:r>
        <w:t xml:space="preserve"> </w:t>
      </w:r>
      <w:r>
        <w:rPr>
          <w:b/>
          <w:bCs/>
        </w:rPr>
        <w:t xml:space="preserve">Diese Kurven sind anders normiert als die absoluten BGF-Balken</w:t>
      </w:r>
      <w:r>
        <w:t xml:space="preserve"> </w:t>
      </w:r>
      <w:r>
        <w:t xml:space="preserve">und dürfen nicht als Mio. m² interpretiert werden. Alle Geschossklassen, für die kein statistischer Flächenanteil vorliegt, bleiben leer.</w:t>
      </w:r>
    </w:p>
    <w:p>
      <w:pPr>
        <w:pStyle w:val="BodyText"/>
      </w:pPr>
      <w:r>
        <w:t xml:space="preserve">Die roten senkrechten Markierungen zeigen bei eindeutig benannten Geschossklassen nur den Zahlenwert der Geschosszahl als Orientierung an. Sie sind</w:t>
      </w:r>
      <w:r>
        <w:t xml:space="preserve"> </w:t>
      </w:r>
      <w:r>
        <w:rPr>
          <w:b/>
          <w:bCs/>
        </w:rPr>
        <w:t xml:space="preserve">keine geprüften physikalischen GFZ-Obergrenzen</w:t>
      </w:r>
      <w:r>
        <w:t xml:space="preserve">. Bei „11+“ gibt es keine einzelne Obergrenze.</w:t>
      </w:r>
    </w:p>
    <w:p>
      <w:pPr>
        <w:pStyle w:val="SourceCode"/>
      </w:pPr>
      <w:r>
        <w:rPr>
          <w:rStyle w:val="NormalTok"/>
        </w:rPr>
        <w:t xml:space="preserve">fig, axes </w:t>
      </w:r>
      <w:r>
        <w:rPr>
          <w:rStyle w:val="OperatorTok"/>
        </w:rPr>
        <w:t xml:space="preserve">=</w:t>
      </w:r>
      <w:r>
        <w:rPr>
          <w:rStyle w:val="NormalTok"/>
        </w:rPr>
        <w:t xml:space="preserve"> plt.subplots(</w:t>
      </w:r>
      <w:r>
        <w:rPr>
          <w:rStyle w:val="BuiltInTok"/>
        </w:rPr>
        <w:t xml:space="preserve">len</w:t>
      </w:r>
      <w:r>
        <w:rPr>
          <w:rStyle w:val="NormalTok"/>
        </w:rPr>
        <w:t xml:space="preserve">(STOREYS), </w:t>
      </w:r>
      <w:r>
        <w:rPr>
          <w:rStyle w:val="BuiltInTok"/>
        </w:rPr>
        <w:t xml:space="preserve">len</w:t>
      </w:r>
      <w:r>
        <w:rPr>
          <w:rStyle w:val="NormalTok"/>
        </w:rPr>
        <w:t xml:space="preserve">(PLOT_USE_ORDER),</w:t>
      </w:r>
      <w:r>
        <w:br/>
      </w:r>
      <w:r>
        <w:rPr>
          <w:rStyle w:val="NormalTok"/>
        </w:rPr>
        <w:t xml:space="preserve">                         figsize</w:t>
      </w:r>
      <w:r>
        <w:rPr>
          <w:rStyle w:val="OperatorTok"/>
        </w:rPr>
        <w:t xml:space="preserve">=</w:t>
      </w:r>
      <w:r>
        <w:rPr>
          <w:rStyle w:val="NormalTok"/>
        </w:rPr>
        <w:t xml:space="preserve">(</w:t>
      </w:r>
      <w:r>
        <w:rPr>
          <w:rStyle w:val="DecValTok"/>
        </w:rPr>
        <w:t xml:space="preserve">24</w:t>
      </w:r>
      <w:r>
        <w:rPr>
          <w:rStyle w:val="NormalTok"/>
        </w:rPr>
        <w:t xml:space="preserve">, </w:t>
      </w:r>
      <w:r>
        <w:rPr>
          <w:rStyle w:val="DecValTok"/>
        </w:rPr>
        <w:t xml:space="preserve">13</w:t>
      </w:r>
      <w:r>
        <w:rPr>
          <w:rStyle w:val="NormalTok"/>
        </w:rPr>
        <w:t xml:space="preserve">), sharex</w:t>
      </w:r>
      <w:r>
        <w:rPr>
          <w:rStyle w:val="OperatorTok"/>
        </w:rPr>
        <w:t xml:space="preserve">=</w:t>
      </w:r>
      <w:r>
        <w:rPr>
          <w:rStyle w:val="VariableTok"/>
        </w:rPr>
        <w:t xml:space="preserve">True</w:t>
      </w:r>
      <w:r>
        <w:rPr>
          <w:rStyle w:val="NormalTok"/>
        </w:rPr>
        <w:t xml:space="preserve">, sharey</w:t>
      </w:r>
      <w:r>
        <w:rPr>
          <w:rStyle w:val="OperatorTok"/>
        </w:rPr>
        <w:t xml:space="preserve">=</w:t>
      </w:r>
      <w:r>
        <w:rPr>
          <w:rStyle w:val="StringTok"/>
        </w:rPr>
        <w:t xml:space="preserve">"row"</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ControlFlowTok"/>
        </w:rPr>
        <w:t xml:space="preserve">for</w:t>
      </w:r>
      <w:r>
        <w:rPr>
          <w:rStyle w:val="NormalTok"/>
        </w:rPr>
        <w:t xml:space="preserve"> i, gk </w:t>
      </w:r>
      <w:r>
        <w:rPr>
          <w:rStyle w:val="KeywordTok"/>
        </w:rPr>
        <w:t xml:space="preserve">in</w:t>
      </w:r>
      <w:r>
        <w:rPr>
          <w:rStyle w:val="NormalTok"/>
        </w:rPr>
        <w:t xml:space="preserve"> </w:t>
      </w:r>
      <w:r>
        <w:rPr>
          <w:rStyle w:val="BuiltInTok"/>
        </w:rPr>
        <w:t xml:space="preserve">enumerate</w:t>
      </w:r>
      <w:r>
        <w:rPr>
          <w:rStyle w:val="NormalTok"/>
        </w:rPr>
        <w:t xml:space="preserve">(STOREYS):</w:t>
      </w:r>
      <w:r>
        <w:br/>
      </w:r>
      <w:r>
        <w:rPr>
          <w:rStyle w:val="NormalTok"/>
        </w:rPr>
        <w:t xml:space="preserve">    </w:t>
      </w:r>
      <w:r>
        <w:rPr>
          <w:rStyle w:val="ControlFlowTok"/>
        </w:rPr>
        <w:t xml:space="preserve">for</w:t>
      </w:r>
      <w:r>
        <w:rPr>
          <w:rStyle w:val="NormalTok"/>
        </w:rPr>
        <w:t xml:space="preserve"> j, use </w:t>
      </w:r>
      <w:r>
        <w:rPr>
          <w:rStyle w:val="KeywordTok"/>
        </w:rPr>
        <w:t xml:space="preserve">in</w:t>
      </w:r>
      <w:r>
        <w:rPr>
          <w:rStyle w:val="NormalTok"/>
        </w:rPr>
        <w:t xml:space="preserve"> </w:t>
      </w:r>
      <w:r>
        <w:rPr>
          <w:rStyle w:val="BuiltInTok"/>
        </w:rPr>
        <w:t xml:space="preserve">enumerate</w:t>
      </w:r>
      <w:r>
        <w:rPr>
          <w:rStyle w:val="NormalTok"/>
        </w:rPr>
        <w:t xml:space="preserve">(PLOT_USE_ORDER):</w:t>
      </w:r>
      <w:r>
        <w:br/>
      </w:r>
      <w:r>
        <w:rPr>
          <w:rStyle w:val="NormalTok"/>
        </w:rPr>
        <w:t xml:space="preserve">        ax </w:t>
      </w:r>
      <w:r>
        <w:rPr>
          <w:rStyle w:val="OperatorTok"/>
        </w:rPr>
        <w:t xml:space="preserve">=</w:t>
      </w:r>
      <w:r>
        <w:rPr>
          <w:rStyle w:val="NormalTok"/>
        </w:rPr>
        <w:t xml:space="preserve"> axes[i, j]</w:t>
      </w:r>
      <w:r>
        <w:br/>
      </w:r>
      <w:r>
        <w:rPr>
          <w:rStyle w:val="NormalTok"/>
        </w:rPr>
        <w:t xml:space="preserve">        one </w:t>
      </w:r>
      <w:r>
        <w:rPr>
          <w:rStyle w:val="OperatorTok"/>
        </w:rPr>
        <w:t xml:space="preserve">=</w:t>
      </w:r>
      <w:r>
        <w:rPr>
          <w:rStyle w:val="NormalTok"/>
        </w:rPr>
        <w:t xml:space="preserve"> at_by_gk_use.loc[(at_by_gk_use.GK </w:t>
      </w:r>
      <w:r>
        <w:rPr>
          <w:rStyle w:val="OperatorTok"/>
        </w:rPr>
        <w:t xml:space="preserve">==</w:t>
      </w:r>
      <w:r>
        <w:rPr>
          <w:rStyle w:val="NormalTok"/>
        </w:rPr>
        <w:t xml:space="preserve"> gk) </w:t>
      </w:r>
      <w:r>
        <w:rPr>
          <w:rStyle w:val="OperatorTok"/>
        </w:rPr>
        <w:t xml:space="preserve">&amp;</w:t>
      </w:r>
      <w:r>
        <w:br/>
      </w:r>
      <w:r>
        <w:rPr>
          <w:rStyle w:val="NormalTok"/>
        </w:rPr>
        <w:t xml:space="preserve">                               (at_by_gk_use.GWR_Nutzung </w:t>
      </w:r>
      <w:r>
        <w:rPr>
          <w:rStyle w:val="OperatorTok"/>
        </w:rPr>
        <w:t xml:space="preserve">==</w:t>
      </w:r>
      <w:r>
        <w:rPr>
          <w:rStyle w:val="NormalTok"/>
        </w:rPr>
        <w:t xml:space="preserve"> use)].sort_values(</w:t>
      </w:r>
      <w:r>
        <w:rPr>
          <w:rStyle w:val="StringTok"/>
        </w:rPr>
        <w:t xml:space="preserve">"GFZ"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one.empty </w:t>
      </w:r>
      <w:r>
        <w:rPr>
          <w:rStyle w:val="KeywordTok"/>
        </w:rPr>
        <w:t xml:space="preserve">and</w:t>
      </w:r>
      <w:r>
        <w:rPr>
          <w:rStyle w:val="NormalTok"/>
        </w:rPr>
        <w:t xml:space="preserve"> one.BGF_m2.</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density </w:t>
      </w:r>
      <w:r>
        <w:rPr>
          <w:rStyle w:val="OperatorTok"/>
        </w:rPr>
        <w:t xml:space="preserve">=</w:t>
      </w:r>
      <w:r>
        <w:rPr>
          <w:rStyle w:val="NormalTok"/>
        </w:rPr>
        <w:t xml:space="preserve"> one.BGF_m2.to_numpy() </w:t>
      </w:r>
      <w:r>
        <w:rPr>
          <w:rStyle w:val="OperatorTok"/>
        </w:rPr>
        <w:t xml:space="preserve">/</w:t>
      </w:r>
      <w:r>
        <w:rPr>
          <w:rStyle w:val="NormalTok"/>
        </w:rPr>
        <w:t xml:space="preserve"> one.BGF_m2.</w:t>
      </w:r>
      <w:r>
        <w:rPr>
          <w:rStyle w:val="BuiltInTok"/>
        </w:rPr>
        <w:t xml:space="preserve">sum</w:t>
      </w:r>
      <w:r>
        <w:rPr>
          <w:rStyle w:val="NormalTok"/>
        </w:rPr>
        <w:t xml:space="preserve">() </w:t>
      </w:r>
      <w:r>
        <w:rPr>
          <w:rStyle w:val="OperatorTok"/>
        </w:rPr>
        <w:t xml:space="preserve">/</w:t>
      </w:r>
      <w:r>
        <w:rPr>
          <w:rStyle w:val="NormalTok"/>
        </w:rPr>
        <w:t xml:space="preserve"> GFZ_STEP</w:t>
      </w:r>
      <w:r>
        <w:br/>
      </w:r>
      <w:r>
        <w:rPr>
          <w:rStyle w:val="NormalTok"/>
        </w:rPr>
        <w:t xml:space="preserve">            ax.plot(one.GFZ, density, color</w:t>
      </w:r>
      <w:r>
        <w:rPr>
          <w:rStyle w:val="OperatorTok"/>
        </w:rPr>
        <w:t xml:space="preserve">=</w:t>
      </w:r>
      <w:r>
        <w:rPr>
          <w:rStyle w:val="NormalTok"/>
        </w:rPr>
        <w:t xml:space="preserve">COLORS[use], linewidth</w:t>
      </w:r>
      <w:r>
        <w:rPr>
          <w:rStyle w:val="OperatorTok"/>
        </w:rPr>
        <w:t xml:space="preserve">=</w:t>
      </w:r>
      <w:r>
        <w:rPr>
          <w:rStyle w:val="FloatTok"/>
        </w:rPr>
        <w:t xml:space="preserve">1.1</w:t>
      </w:r>
      <w:r>
        <w:rPr>
          <w:rStyle w:val="NormalTok"/>
        </w:rPr>
        <w:t xml:space="preserve">)</w:t>
      </w:r>
      <w:r>
        <w:br/>
      </w:r>
      <w:r>
        <w:rPr>
          <w:rStyle w:val="NormalTok"/>
        </w:rPr>
        <w:t xml:space="preserve">            ax.fill_between(one.GFZ, </w:t>
      </w:r>
      <w:r>
        <w:rPr>
          <w:rStyle w:val="DecValTok"/>
        </w:rPr>
        <w:t xml:space="preserve">0</w:t>
      </w:r>
      <w:r>
        <w:rPr>
          <w:rStyle w:val="NormalTok"/>
        </w:rPr>
        <w:t xml:space="preserve">, density, color</w:t>
      </w:r>
      <w:r>
        <w:rPr>
          <w:rStyle w:val="OperatorTok"/>
        </w:rPr>
        <w:t xml:space="preserve">=</w:t>
      </w:r>
      <w:r>
        <w:rPr>
          <w:rStyle w:val="NormalTok"/>
        </w:rPr>
        <w:t xml:space="preserve">COLORS[use], alpha</w:t>
      </w:r>
      <w:r>
        <w:rPr>
          <w:rStyle w:val="OperatorTok"/>
        </w:rPr>
        <w:t xml:space="preserve">=</w:t>
      </w:r>
      <w:r>
        <w:rPr>
          <w:rStyle w:val="FloatTok"/>
        </w:rPr>
        <w:t xml:space="preserve">.27</w:t>
      </w:r>
      <w:r>
        <w:rPr>
          <w:rStyle w:val="NormalTok"/>
        </w:rPr>
        <w:t xml:space="preserve">)</w:t>
      </w:r>
      <w:r>
        <w:br/>
      </w:r>
      <w:r>
        <w:rPr>
          <w:rStyle w:val="NormalTok"/>
        </w:rPr>
        <w:t xml:space="preserve">        marker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if</w:t>
      </w:r>
      <w:r>
        <w:rPr>
          <w:rStyle w:val="NormalTok"/>
        </w:rPr>
        <w:t xml:space="preserve"> gk </w:t>
      </w:r>
      <w:r>
        <w:rPr>
          <w:rStyle w:val="OperatorTok"/>
        </w:rPr>
        <w:t xml:space="preserve">==</w:t>
      </w:r>
      <w:r>
        <w:rPr>
          <w:rStyle w:val="NormalTok"/>
        </w:rPr>
        <w:t xml:space="preserve"> </w:t>
      </w:r>
      <w:r>
        <w:rPr>
          <w:rStyle w:val="StringTok"/>
        </w:rPr>
        <w:t xml:space="preserve">"6-10"</w:t>
      </w:r>
      <w:r>
        <w:rPr>
          <w:rStyle w:val="NormalTok"/>
        </w:rPr>
        <w:t xml:space="preserve"> </w:t>
      </w:r>
      <w:r>
        <w:rPr>
          <w:rStyle w:val="ControlFlowTok"/>
        </w:rPr>
        <w:t xml:space="preserve">else</w:t>
      </w:r>
      <w:r>
        <w:rPr>
          <w:rStyle w:val="NormalTok"/>
        </w:rPr>
        <w:t xml:space="preserve"> (</w:t>
      </w:r>
      <w:r>
        <w:rPr>
          <w:rStyle w:val="BuiltInTok"/>
        </w:rPr>
        <w:t xml:space="preserve">int</w:t>
      </w:r>
      <w:r>
        <w:rPr>
          <w:rStyle w:val="NormalTok"/>
        </w:rPr>
        <w:t xml:space="preserve">(gk) </w:t>
      </w:r>
      <w:r>
        <w:rPr>
          <w:rStyle w:val="ControlFlowTok"/>
        </w:rPr>
        <w:t xml:space="preserve">if</w:t>
      </w:r>
      <w:r>
        <w:rPr>
          <w:rStyle w:val="NormalTok"/>
        </w:rPr>
        <w:t xml:space="preserve"> gk.isdigit()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marker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ax.axvline(marker,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FloatTok"/>
        </w:rPr>
        <w:t xml:space="preserve">.9</w:t>
      </w:r>
      <w:r>
        <w:rPr>
          <w:rStyle w:val="NormalTok"/>
        </w:rPr>
        <w:t xml:space="preserve">, alpha</w:t>
      </w:r>
      <w:r>
        <w:rPr>
          <w:rStyle w:val="OperatorTok"/>
        </w:rPr>
        <w:t xml:space="preserve">=</w:t>
      </w:r>
      <w:r>
        <w:rPr>
          <w:rStyle w:val="FloatTok"/>
        </w:rPr>
        <w:t xml:space="preserve">.7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ax.set_ylim(bottom</w:t>
      </w:r>
      <w:r>
        <w:rPr>
          <w:rStyle w:val="OperatorTok"/>
        </w:rPr>
        <w:t xml:space="preserve">=</w:t>
      </w:r>
      <w:r>
        <w:rPr>
          <w:rStyle w:val="DecValTok"/>
        </w:rPr>
        <w:t xml:space="preserve">0</w:t>
      </w:r>
      <w:r>
        <w:rPr>
          <w:rStyle w:val="NormalTok"/>
        </w:rPr>
        <w:t xml:space="preserve">)</w:t>
      </w:r>
      <w:r>
        <w:br/>
      </w:r>
      <w:r>
        <w:rPr>
          <w:rStyle w:val="NormalTok"/>
        </w:rPr>
        <w:t xml:space="preserve">        ax.xaxis.set_major_locator(MultipleLocator(</w:t>
      </w:r>
      <w:r>
        <w:rPr>
          <w:rStyle w:val="DecValTok"/>
        </w:rPr>
        <w:t xml:space="preserve">2</w:t>
      </w:r>
      <w:r>
        <w:rPr>
          <w:rStyle w:val="NormalTok"/>
        </w:rPr>
        <w:t xml:space="preserve">))</w:t>
      </w:r>
      <w:r>
        <w:br/>
      </w:r>
      <w:r>
        <w:rPr>
          <w:rStyle w:val="NormalTok"/>
        </w:rPr>
        <w:t xml:space="preserve">        ax.xaxis.set_minor_locator(MultipleLocator(</w:t>
      </w:r>
      <w:r>
        <w:rPr>
          <w:rStyle w:val="FloatTok"/>
        </w:rPr>
        <w:t xml:space="preserve">.5</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"major"</w:t>
      </w:r>
      <w:r>
        <w:rPr>
          <w:rStyle w:val="NormalTok"/>
        </w:rPr>
        <w:t xml:space="preserve">, alpha</w:t>
      </w:r>
      <w:r>
        <w:rPr>
          <w:rStyle w:val="OperatorTok"/>
        </w:rPr>
        <w:t xml:space="preserve">=</w:t>
      </w:r>
      <w:r>
        <w:rPr>
          <w:rStyle w:val="FloatTok"/>
        </w:rPr>
        <w:t xml:space="preserve">.16</w:t>
      </w:r>
      <w:r>
        <w:rPr>
          <w:rStyle w:val="NormalTok"/>
        </w:rPr>
        <w:t xml:space="preserve">)</w:t>
      </w:r>
      <w:r>
        <w:br/>
      </w:r>
      <w:r>
        <w:rPr>
          <w:rStyle w:val="NormalTok"/>
        </w:rPr>
        <w:t xml:space="preserve">        ax.grid(axis</w:t>
      </w:r>
      <w:r>
        <w:rPr>
          <w:rStyle w:val="OperatorTok"/>
        </w:rPr>
        <w:t xml:space="preserve">=</w:t>
      </w:r>
      <w:r>
        <w:rPr>
          <w:rStyle w:val="StringTok"/>
        </w:rPr>
        <w:t xml:space="preserve">"x"</w:t>
      </w:r>
      <w:r>
        <w:rPr>
          <w:rStyle w:val="NormalTok"/>
        </w:rPr>
        <w:t xml:space="preserve">, which</w:t>
      </w:r>
      <w:r>
        <w:rPr>
          <w:rStyle w:val="OperatorTok"/>
        </w:rPr>
        <w:t xml:space="preserve">=</w:t>
      </w:r>
      <w:r>
        <w:rPr>
          <w:rStyle w:val="StringTok"/>
        </w:rPr>
        <w:t xml:space="preserve">"minor"</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ax.tick_params(axis</w:t>
      </w:r>
      <w:r>
        <w:rPr>
          <w:rStyle w:val="OperatorTok"/>
        </w:rPr>
        <w:t xml:space="preserve">=</w:t>
      </w:r>
      <w:r>
        <w:rPr>
          <w:rStyle w:val="StringTok"/>
        </w:rPr>
        <w:t xml:space="preserve">"both"</w:t>
      </w:r>
      <w:r>
        <w:rPr>
          <w:rStyle w:val="NormalTok"/>
        </w:rPr>
        <w:t xml:space="preserve">, labelsize</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ax.set_title(textwrap.fill(use, </w:t>
      </w:r>
      <w:r>
        <w:rPr>
          <w:rStyle w:val="DecValTok"/>
        </w:rPr>
        <w:t xml:space="preserve">17</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ax.set_ylabel((</w:t>
      </w:r>
      <w:r>
        <w:rPr>
          <w:rStyle w:val="SpecialStringTok"/>
        </w:rPr>
        <w:t xml:space="preserve">f"</w:t>
      </w:r>
      <w:r>
        <w:rPr>
          <w:rStyle w:val="SpecialCharTok"/>
        </w:rPr>
        <w:t xml:space="preserve">{</w:t>
      </w:r>
      <w:r>
        <w:rPr>
          <w:rStyle w:val="NormalTok"/>
        </w:rPr>
        <w:t xml:space="preserve">gk</w:t>
      </w:r>
      <w:r>
        <w:rPr>
          <w:rStyle w:val="SpecialCharTok"/>
        </w:rPr>
        <w:t xml:space="preserve">}</w:t>
      </w:r>
      <w:r>
        <w:rPr>
          <w:rStyle w:val="SpecialStringTok"/>
        </w:rPr>
        <w:t xml:space="preserve"> Geschoss(e)"</w:t>
      </w:r>
      <w:r>
        <w:rPr>
          <w:rStyle w:val="NormalTok"/>
        </w:rPr>
        <w:t xml:space="preserve"> </w:t>
      </w:r>
      <w:r>
        <w:rPr>
          <w:rStyle w:val="ControlFlowTok"/>
        </w:rPr>
        <w:t xml:space="preserve">if</w:t>
      </w:r>
      <w:r>
        <w:rPr>
          <w:rStyle w:val="NormalTok"/>
        </w:rPr>
        <w:t xml:space="preserve"> gk </w:t>
      </w:r>
      <w:r>
        <w:rPr>
          <w:rStyle w:val="OperatorTok"/>
        </w:rPr>
        <w:t xml:space="preserve">!=</w:t>
      </w:r>
      <w:r>
        <w:rPr>
          <w:rStyle w:val="NormalTok"/>
        </w:rPr>
        <w:t xml:space="preserve"> </w:t>
      </w:r>
      <w:r>
        <w:rPr>
          <w:rStyle w:val="String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"1 Geschoss"</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Dichte [1/GFZ]"</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(STOREYS)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ax.set_xlabel(</w:t>
      </w:r>
      <w:r>
        <w:rPr>
          <w:rStyle w:val="StringTok"/>
        </w:rPr>
        <w:t xml:space="preserve">"GFZ"</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fig.savefig(OUT </w:t>
      </w:r>
      <w:r>
        <w:rPr>
          <w:rStyle w:val="OperatorTok"/>
        </w:rPr>
        <w:t xml:space="preserve">/</w:t>
      </w:r>
      <w:r>
        <w:rPr>
          <w:rStyle w:val="NormalTok"/>
        </w:rPr>
        <w:t xml:space="preserve"> </w:t>
      </w:r>
      <w:r>
        <w:rPr>
          <w:rStyle w:val="StringTok"/>
        </w:rPr>
        <w:t xml:space="preserve">"gfz_at_kde_matrix.png"</w:t>
      </w:r>
      <w:r>
        <w:rPr>
          <w:rStyle w:val="NormalTok"/>
        </w:rPr>
        <w:t xml:space="preserve">, dpi</w:t>
      </w:r>
      <w:r>
        <w:rPr>
          <w:rStyle w:val="OperatorTok"/>
        </w:rPr>
        <w:t xml:space="preserve">=</w:t>
      </w:r>
      <w:r>
        <w:rPr>
          <w:rStyle w:val="DecValTok"/>
        </w:rPr>
        <w:t xml:space="preserve">160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89" w:name="fig-gfz-kde-matrix"/>
          <w:p>
            <w:pPr>
              <w:pStyle w:val="Compact"/>
              <w:jc w:val="center"/>
            </w:pPr>
            <w:r>
              <w:drawing>
                <wp:inline>
                  <wp:extent cx="5334000" cy="2900235"/>
                  <wp:effectExtent b="0" l="0" r="0" t="0"/>
                  <wp:docPr descr="" title="" id="487" name="Picture"/>
                  <a:graphic>
                    <a:graphicData uri="http://schemas.openxmlformats.org/drawingml/2006/picture">
                      <pic:pic>
                        <pic:nvPicPr>
                          <pic:cNvPr descr="Berechnungen\gfz_at/GFZ_AT_Analyse_Anhang_files/figure-docx/fig-gfz-kde-matrix-output-1.png" id="488" name="Picture"/>
                          <pic:cNvPicPr>
                            <a:picLocks noChangeArrowheads="1" noChangeAspect="1"/>
                          </pic:cNvPicPr>
                        </pic:nvPicPr>
                        <pic:blipFill>
                          <a:blip r:embed="rId486"/>
                          <a:stretch>
                            <a:fillRect/>
                          </a:stretch>
                        </pic:blipFill>
                        <pic:spPr bwMode="auto">
                          <a:xfrm>
                            <a:off x="0" y="0"/>
                            <a:ext cx="5334000" cy="290023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D.8: Flächengewichtete modellierte GFZ-Dichteprofile Österreichs, normiert innerhalb jeder Geschossklassen-/Nutzungskombination (7 × 9). Rote Linien: Geschosszahl als Orientierung, nicht als verbindliche GFZ-Grenze.</w:t>
            </w:r>
          </w:p>
          <w:bookmarkEnd w:id="489"/>
        </w:tc>
      </w:tr>
    </w:tbl>
    <w:bookmarkEnd w:id="490"/>
    <w:bookmarkStart w:id="495" w:name="ländervergleich"/>
    <w:p>
      <w:pPr>
        <w:pStyle w:val="Heading3"/>
      </w:pPr>
      <w:r>
        <w:t xml:space="preserve">C.8.2 Ländervergleich</w:t>
      </w:r>
    </w:p>
    <w:p>
      <w:pPr>
        <w:pStyle w:val="FirstParagraph"/>
      </w:pPr>
      <w:r>
        <w:t xml:space="preserve">Die auf</w:t>
      </w:r>
      <w:r>
        <w:t xml:space="preserve"> </w:t>
      </w:r>
      <w:r>
        <w:rPr>
          <w:b/>
          <w:bCs/>
        </w:rPr>
        <w:t xml:space="preserve">100 % der jeweiligen Bundesland-BGF</w:t>
      </w:r>
      <w:r>
        <w:t xml:space="preserve"> </w:t>
      </w:r>
      <w:r>
        <w:t xml:space="preserve">normierten Kurven erlauben einen Strukturvergleich von Wien und Salzburg. Diese Kurven repräsentieren das mit der Statistik gewichtete Landesmodell einschließlich dokumentierter Ersatzreferenzen –</w:t>
      </w:r>
      <w:r>
        <w:t xml:space="preserve"> </w:t>
      </w:r>
      <w:r>
        <w:rPr>
          <w:b/>
          <w:bCs/>
        </w:rPr>
        <w:t xml:space="preserve">nicht</w:t>
      </w:r>
      <w:r>
        <w:t xml:space="preserve"> </w:t>
      </w:r>
      <w:r>
        <w:t xml:space="preserve">unmittelbar die Rohstichproben aus § 2.</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4.5</w:t>
      </w:r>
      <w:r>
        <w:rPr>
          <w:rStyle w:val="NormalTok"/>
        </w:rPr>
        <w:t xml:space="preserve">), layout</w:t>
      </w:r>
      <w:r>
        <w:rPr>
          <w:rStyle w:val="OperatorTok"/>
        </w:rPr>
        <w:t xml:space="preserve">=</w:t>
      </w:r>
      <w:r>
        <w:rPr>
          <w:rStyle w:val="StringTok"/>
        </w:rPr>
        <w:t xml:space="preserve">"constrained"</w:t>
      </w:r>
      <w:r>
        <w:rPr>
          <w:rStyle w:val="NormalTok"/>
        </w:rPr>
        <w:t xml:space="preserve">)</w:t>
      </w:r>
      <w:r>
        <w:br/>
      </w:r>
      <w:r>
        <w:rPr>
          <w:rStyle w:val="ControlFlowTok"/>
        </w:rPr>
        <w:t xml:space="preserve">for</w:t>
      </w:r>
      <w:r>
        <w:rPr>
          <w:rStyle w:val="NormalTok"/>
        </w:rPr>
        <w:t xml:space="preserve"> region, color </w:t>
      </w:r>
      <w:r>
        <w:rPr>
          <w:rStyle w:val="KeywordTok"/>
        </w:rPr>
        <w:t xml:space="preserve">in</w:t>
      </w:r>
      <w:r>
        <w:rPr>
          <w:rStyle w:val="NormalTok"/>
        </w:rPr>
        <w:t xml:space="preserve"> [(</w:t>
      </w:r>
      <w:r>
        <w:rPr>
          <w:rStyle w:val="StringTok"/>
        </w:rPr>
        <w:t xml:space="preserve">"Wien"</w:t>
      </w:r>
      <w:r>
        <w:rPr>
          <w:rStyle w:val="NormalTok"/>
        </w:rPr>
        <w:t xml:space="preserve">, </w:t>
      </w:r>
      <w:r>
        <w:rPr>
          <w:rStyle w:val="StringTok"/>
        </w:rPr>
        <w:t xml:space="preserve">"#955196"</w:t>
      </w:r>
      <w:r>
        <w:rPr>
          <w:rStyle w:val="NormalTok"/>
        </w:rPr>
        <w:t xml:space="preserve">), (</w:t>
      </w:r>
      <w:r>
        <w:rPr>
          <w:rStyle w:val="StringTok"/>
        </w:rPr>
        <w:t xml:space="preserve">"Salzburg"</w:t>
      </w:r>
      <w:r>
        <w:rPr>
          <w:rStyle w:val="NormalTok"/>
        </w:rPr>
        <w:t xml:space="preserve">, </w:t>
      </w:r>
      <w:r>
        <w:rPr>
          <w:rStyle w:val="StringTok"/>
        </w:rPr>
        <w:t xml:space="preserve">"#007c83"</w:t>
      </w:r>
      <w:r>
        <w:rPr>
          <w:rStyle w:val="NormalTok"/>
        </w:rPr>
        <w:t xml:space="preserve">)]:</w:t>
      </w:r>
      <w:r>
        <w:br/>
      </w:r>
      <w:r>
        <w:rPr>
          <w:rStyle w:val="NormalTok"/>
        </w:rPr>
        <w:t xml:space="preserve">    reg </w:t>
      </w:r>
      <w:r>
        <w:rPr>
          <w:rStyle w:val="OperatorTok"/>
        </w:rPr>
        <w:t xml:space="preserve">=</w:t>
      </w:r>
      <w:r>
        <w:rPr>
          <w:rStyle w:val="NormalTok"/>
        </w:rPr>
        <w:t xml:space="preserve"> by_province.loc[by_province.Bundesland </w:t>
      </w:r>
      <w:r>
        <w:rPr>
          <w:rStyle w:val="OperatorTok"/>
        </w:rPr>
        <w:t xml:space="preserve">==</w:t>
      </w:r>
      <w:r>
        <w:rPr>
          <w:rStyle w:val="NormalTok"/>
        </w:rPr>
        <w:t xml:space="preserve"> region].sort_values(</w:t>
      </w:r>
      <w:r>
        <w:rPr>
          <w:rStyle w:val="StringTok"/>
        </w:rPr>
        <w:t xml:space="preserve">"GFZ"</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reg.BGF_m2 </w:t>
      </w:r>
      <w:r>
        <w:rPr>
          <w:rStyle w:val="OperatorTok"/>
        </w:rPr>
        <w:t xml:space="preserve">/</w:t>
      </w:r>
      <w:r>
        <w:rPr>
          <w:rStyle w:val="NormalTok"/>
        </w:rPr>
        <w:t xml:space="preserve"> reg.BGF_m2.</w:t>
      </w:r>
      <w:r>
        <w:rPr>
          <w:rStyle w:val="BuiltInTok"/>
        </w:rPr>
        <w:t xml:space="preserve">sum</w:t>
      </w:r>
      <w:r>
        <w:rPr>
          <w:rStyle w:val="NormalTok"/>
        </w:rPr>
        <w:t xml:space="preserve">()</w:t>
      </w:r>
      <w:r>
        <w:br/>
      </w:r>
      <w:r>
        <w:rPr>
          <w:rStyle w:val="NormalTok"/>
        </w:rPr>
        <w:t xml:space="preserve">    ax.plot(reg.GFZ, y, label</w:t>
      </w:r>
      <w:r>
        <w:rPr>
          <w:rStyle w:val="OperatorTok"/>
        </w:rPr>
        <w:t xml:space="preserve">=</w:t>
      </w:r>
      <w:r>
        <w:rPr>
          <w:rStyle w:val="NormalTok"/>
        </w:rPr>
        <w:t xml:space="preserve">region, color</w:t>
      </w:r>
      <w:r>
        <w:rPr>
          <w:rStyle w:val="OperatorTok"/>
        </w:rPr>
        <w:t xml:space="preserve">=</w:t>
      </w:r>
      <w:r>
        <w:rPr>
          <w:rStyle w:val="NormalTok"/>
        </w:rPr>
        <w:t xml:space="preserve">color, linewidth</w:t>
      </w:r>
      <w:r>
        <w:rPr>
          <w:rStyle w:val="OperatorTok"/>
        </w:rPr>
        <w:t xml:space="preserve">=</w:t>
      </w:r>
      <w:r>
        <w:rPr>
          <w:rStyle w:val="FloatTok"/>
        </w:rPr>
        <w:t xml:space="preserve">1.6</w:t>
      </w:r>
      <w:r>
        <w:rPr>
          <w:rStyle w:val="NormalTok"/>
        </w:rPr>
        <w:t xml:space="preserve">)</w:t>
      </w:r>
      <w:r>
        <w:br/>
      </w:r>
      <w:r>
        <w:rPr>
          <w:rStyle w:val="NormalTok"/>
        </w:rPr>
        <w:t xml:space="preserve">ax.</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 PLOT_GFZ_MAX), ylim</w:t>
      </w:r>
      <w:r>
        <w:rPr>
          <w:rStyle w:val="OperatorTok"/>
        </w:rPr>
        <w:t xml:space="preserve">=</w:t>
      </w:r>
      <w:r>
        <w:rPr>
          <w:rStyle w:val="NormalTok"/>
        </w:rPr>
        <w:t xml:space="preserve">(</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xlabel</w:t>
      </w:r>
      <w:r>
        <w:rPr>
          <w:rStyle w:val="OperatorTok"/>
        </w:rPr>
        <w:t xml:space="preserve">=</w:t>
      </w:r>
      <w:r>
        <w:rPr>
          <w:rStyle w:val="StringTok"/>
        </w:rPr>
        <w:t xml:space="preserve">"Geschossflächenzahl (GFZ)"</w:t>
      </w:r>
      <w:r>
        <w:rPr>
          <w:rStyle w:val="NormalTok"/>
        </w:rPr>
        <w:t xml:space="preserve">,</w:t>
      </w:r>
      <w:r>
        <w:br/>
      </w:r>
      <w:r>
        <w:rPr>
          <w:rStyle w:val="NormalTok"/>
        </w:rPr>
        <w:t xml:space="preserve">       ylabel</w:t>
      </w:r>
      <w:r>
        <w:rPr>
          <w:rStyle w:val="OperatorTok"/>
        </w:rPr>
        <w:t xml:space="preserve">=</w:t>
      </w:r>
      <w:r>
        <w:rPr>
          <w:rStyle w:val="StringTok"/>
        </w:rPr>
        <w:t xml:space="preserve">"Anteil an der jeweiligen Landes-BGF [% je 0,1 GFZ]"</w:t>
      </w:r>
      <w:r>
        <w:rPr>
          <w:rStyle w:val="NormalTok"/>
        </w:rPr>
        <w:t xml:space="preserve">)</w:t>
      </w:r>
      <w:r>
        <w:br/>
      </w:r>
      <w:r>
        <w:rPr>
          <w:rStyle w:val="NormalTok"/>
        </w:rPr>
        <w:t xml:space="preserve">ax.xaxis.set_major_locator(MultipleLocator(</w:t>
      </w:r>
      <w:r>
        <w:rPr>
          <w:rStyle w:val="DecValTok"/>
        </w:rPr>
        <w:t xml:space="preserve">1</w:t>
      </w:r>
      <w:r>
        <w:rPr>
          <w:rStyle w:val="NormalTok"/>
        </w:rPr>
        <w:t xml:space="preserve">))</w:t>
      </w:r>
      <w:r>
        <w:br/>
      </w:r>
      <w:r>
        <w:rPr>
          <w:rStyle w:val="NormalTok"/>
        </w:rPr>
        <w:t xml:space="preserve">ax.xaxis.set_minor_locator(MultipleLocator(GFZ_STEP))</w:t>
      </w:r>
      <w:r>
        <w:br/>
      </w:r>
      <w:r>
        <w:rPr>
          <w:rStyle w:val="NormalTok"/>
        </w:rPr>
        <w:t xml:space="preserve">ax.grid(axis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.17</w:t>
      </w:r>
      <w:r>
        <w:rPr>
          <w:rStyle w:val="NormalTok"/>
        </w:rPr>
        <w:t xml:space="preserve">)</w:t>
      </w:r>
      <w:r>
        <w:br/>
      </w:r>
      <w:r>
        <w:rPr>
          <w:rStyle w:val="NormalTok"/>
        </w:rPr>
        <w:t xml:space="preserve">ax.legend()</w:t>
      </w:r>
      <w:r>
        <w:br/>
      </w:r>
      <w:r>
        <w:rPr>
          <w:rStyle w:val="NormalTok"/>
        </w:rPr>
        <w:t xml:space="preserve">fig.savefig(OUT </w:t>
      </w:r>
      <w:r>
        <w:rPr>
          <w:rStyle w:val="OperatorTok"/>
        </w:rPr>
        <w:t xml:space="preserve">/</w:t>
      </w:r>
      <w:r>
        <w:rPr>
          <w:rStyle w:val="NormalTok"/>
        </w:rPr>
        <w:t xml:space="preserve"> </w:t>
      </w:r>
      <w:r>
        <w:rPr>
          <w:rStyle w:val="StringTok"/>
        </w:rPr>
        <w:t xml:space="preserve">"gfz_wien_salzburg.png"</w:t>
      </w:r>
      <w:r>
        <w:rPr>
          <w:rStyle w:val="NormalTok"/>
        </w:rPr>
        <w:t xml:space="preserve">, dpi</w:t>
      </w:r>
      <w:r>
        <w:rPr>
          <w:rStyle w:val="OperatorTok"/>
        </w:rPr>
        <w:t xml:space="preserve">=</w:t>
      </w:r>
      <w:r>
        <w:rPr>
          <w:rStyle w:val="DecValTok"/>
        </w:rPr>
        <w:t xml:space="preserve">180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94" w:name="fig-gfz-wien-salzburg"/>
          <w:p>
            <w:pPr>
              <w:pStyle w:val="Compact"/>
              <w:jc w:val="center"/>
            </w:pPr>
            <w:r>
              <w:drawing>
                <wp:inline>
                  <wp:extent cx="5334000" cy="2431741"/>
                  <wp:effectExtent b="0" l="0" r="0" t="0"/>
                  <wp:docPr descr="" title="" id="492" name="Picture"/>
                  <a:graphic>
                    <a:graphicData uri="http://schemas.openxmlformats.org/drawingml/2006/picture">
                      <pic:pic>
                        <pic:nvPicPr>
                          <pic:cNvPr descr="Berechnungen\gfz_at/GFZ_AT_Analyse_Anhang_files/figure-docx/fig-gfz-wien-salzburg-output-1.png" id="493" name="Picture"/>
                          <pic:cNvPicPr>
                            <a:picLocks noChangeArrowheads="1" noChangeAspect="1"/>
                          </pic:cNvPicPr>
                        </pic:nvPicPr>
                        <pic:blipFill>
                          <a:blip r:embed="rId491"/>
                          <a:stretch>
                            <a:fillRect/>
                          </a:stretch>
                        </pic:blipFill>
                        <pic:spPr bwMode="auto">
                          <a:xfrm>
                            <a:off x="0" y="0"/>
                            <a:ext cx="5334000" cy="2431741"/>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D.9: Vergleich der statistisch hochgerechneten GFZ-Flächenverteilungen von Wien und Salzburg. Jede Landeskurve ist auf die vollständige Landes-BGF im GFZ-Raster bis 20 normiert.</w:t>
            </w:r>
          </w:p>
          <w:bookmarkEnd w:id="494"/>
        </w:tc>
      </w:tr>
    </w:tbl>
    <w:bookmarkEnd w:id="495"/>
    <w:bookmarkEnd w:id="496"/>
    <w:bookmarkStart w:id="497" w:name="export-und-reproduzierbarkeit"/>
    <w:p>
      <w:pPr>
        <w:pStyle w:val="Heading2"/>
      </w:pPr>
      <w:r>
        <w:t xml:space="preserve">C.9 9. Export und Reproduzierbarkeit</w:t>
      </w:r>
    </w:p>
    <w:p>
      <w:pPr>
        <w:pStyle w:val="FirstParagraph"/>
      </w:pPr>
      <w:r>
        <w:t xml:space="preserve">Die Ergebnisse werden direkt aus den Notebook-Tabellen gespeichert. Die Datei</w:t>
      </w:r>
      <w:r>
        <w:t xml:space="preserve"> </w:t>
      </w:r>
      <w:r>
        <w:rPr>
          <w:rStyle w:val="VerbatimChar"/>
        </w:rPr>
        <w:t xml:space="preserve">gfz_distribution_by_province_use_storeys.csv</w:t>
      </w:r>
      <w:r>
        <w:t xml:space="preserve"> </w:t>
      </w:r>
      <w:r>
        <w:t xml:space="preserve">enthält die vollständige Verteilung je Zielkombination;</w:t>
      </w:r>
      <w:r>
        <w:t xml:space="preserve"> </w:t>
      </w:r>
      <w:r>
        <w:rPr>
          <w:rStyle w:val="VerbatimChar"/>
        </w:rPr>
        <w:t xml:space="preserve">allocation_audit.csv</w:t>
      </w:r>
      <w:r>
        <w:t xml:space="preserve"> </w:t>
      </w:r>
      <w:r>
        <w:t xml:space="preserve">protokolliert jede Zielgruppe, die Referenz und die Bilanz; die aggregierten CSV-Dateien speisen die Abbildungen.</w:t>
      </w:r>
    </w:p>
    <w:p>
      <w:pPr>
        <w:pStyle w:val="SourceCode"/>
      </w:pPr>
      <w:r>
        <w:rPr>
          <w:rStyle w:val="CommentTok"/>
        </w:rPr>
        <w:t xml:space="preserve"># CSV-Ausgaben zur Nachnutzung im Hintergrundbericht</w:t>
      </w:r>
      <w:r>
        <w:br/>
      </w:r>
      <w:r>
        <w:rPr>
          <w:rStyle w:val="NormalTok"/>
        </w:rPr>
        <w:t xml:space="preserve">(detail.to_csv(OUT </w:t>
      </w:r>
      <w:r>
        <w:rPr>
          <w:rStyle w:val="OperatorTok"/>
        </w:rPr>
        <w:t xml:space="preserve">/</w:t>
      </w:r>
      <w:r>
        <w:rPr>
          <w:rStyle w:val="NormalTok"/>
        </w:rPr>
        <w:t xml:space="preserve"> </w:t>
      </w:r>
      <w:r>
        <w:rPr>
          <w:rStyle w:val="StringTok"/>
        </w:rPr>
        <w:t xml:space="preserve">"gfz_distribution_by_province_use_storeys.csv"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(audit.to_csv(OUT </w:t>
      </w:r>
      <w:r>
        <w:rPr>
          <w:rStyle w:val="OperatorTok"/>
        </w:rPr>
        <w:t xml:space="preserve">/</w:t>
      </w:r>
      <w:r>
        <w:rPr>
          <w:rStyle w:val="NormalTok"/>
        </w:rPr>
        <w:t xml:space="preserve"> </w:t>
      </w:r>
      <w:r>
        <w:rPr>
          <w:rStyle w:val="StringTok"/>
        </w:rPr>
        <w:t xml:space="preserve">"allocation_audit.csv"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(by_province.to_csv(OUT </w:t>
      </w:r>
      <w:r>
        <w:rPr>
          <w:rStyle w:val="OperatorTok"/>
        </w:rPr>
        <w:t xml:space="preserve">/</w:t>
      </w:r>
      <w:r>
        <w:rPr>
          <w:rStyle w:val="NormalTok"/>
        </w:rPr>
        <w:t xml:space="preserve"> </w:t>
      </w:r>
      <w:r>
        <w:rPr>
          <w:rStyle w:val="StringTok"/>
        </w:rPr>
        <w:t xml:space="preserve">"gfz_distribution_by_province.csv"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(at_by_use.to_csv(OUT </w:t>
      </w:r>
      <w:r>
        <w:rPr>
          <w:rStyle w:val="OperatorTok"/>
        </w:rPr>
        <w:t xml:space="preserve">/</w:t>
      </w:r>
      <w:r>
        <w:rPr>
          <w:rStyle w:val="NormalTok"/>
        </w:rPr>
        <w:t xml:space="preserve"> </w:t>
      </w:r>
      <w:r>
        <w:rPr>
          <w:rStyle w:val="StringTok"/>
        </w:rPr>
        <w:t xml:space="preserve">"gfz_distribution_austria_by_use.csv"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(coverage.to_csv(OUT </w:t>
      </w:r>
      <w:r>
        <w:rPr>
          <w:rStyle w:val="OperatorTok"/>
        </w:rPr>
        <w:t xml:space="preserve">/</w:t>
      </w:r>
      <w:r>
        <w:rPr>
          <w:rStyle w:val="NormalTok"/>
        </w:rPr>
        <w:t xml:space="preserve"> </w:t>
      </w:r>
      <w:r>
        <w:rPr>
          <w:rStyle w:val="StringTok"/>
        </w:rPr>
        <w:t xml:space="preserve">"reference_coverage.csv"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(stats_province.reset_index().to_csv(OUT </w:t>
      </w:r>
      <w:r>
        <w:rPr>
          <w:rStyle w:val="OperatorTok"/>
        </w:rPr>
        <w:t xml:space="preserve">/</w:t>
      </w:r>
      <w:r>
        <w:rPr>
          <w:rStyle w:val="NormalTok"/>
        </w:rPr>
        <w:t xml:space="preserve"> </w:t>
      </w:r>
      <w:r>
        <w:rPr>
          <w:rStyle w:val="StringTok"/>
        </w:rPr>
        <w:t xml:space="preserve">"statistik_flaechen_bundeslaender.csv"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report </w:t>
      </w:r>
      <w:r>
        <w:rPr>
          <w:rStyle w:val="OperatorTok"/>
        </w:rPr>
        <w:t xml:space="preserv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"GFZ Österreich 2021 – vollständige Notebook-Rechnung"</w:t>
      </w:r>
      <w:r>
        <w:rPr>
          <w:rStyle w:val="NormalTok"/>
        </w:rPr>
        <w:t xml:space="preserve">,</w:t>
      </w:r>
      <w:r>
        <w:br/>
      </w:r>
      <w:r>
        <w:rPr>
          <w:rStyle w:val="NormalTok"/>
        </w:rPr>
        <w:t xml:space="preserve">    </w:t>
      </w:r>
      <w:r>
        <w:rPr>
          <w:rStyle w:val="StringTok"/>
        </w:rPr>
        <w:t xml:space="preserve">"gfz_step"</w:t>
      </w:r>
      <w:r>
        <w:rPr>
          <w:rStyle w:val="NormalTok"/>
        </w:rPr>
        <w:t xml:space="preserve">: GFZ_STEP, </w:t>
      </w:r>
      <w:r>
        <w:rPr>
          <w:rStyle w:val="StringTok"/>
        </w:rPr>
        <w:t xml:space="preserve">"gfz_max"</w:t>
      </w:r>
      <w:r>
        <w:rPr>
          <w:rStyle w:val="NormalTok"/>
        </w:rPr>
        <w:t xml:space="preserve">: GFZ_MAX, </w:t>
      </w:r>
      <w:r>
        <w:rPr>
          <w:rStyle w:val="StringTok"/>
        </w:rPr>
        <w:t xml:space="preserve">"ngf_per_bgf"</w:t>
      </w:r>
      <w:r>
        <w:rPr>
          <w:rStyle w:val="NormalTok"/>
        </w:rPr>
        <w:t xml:space="preserve">: NGF_PER_BGF,</w:t>
      </w:r>
      <w:r>
        <w:br/>
      </w:r>
      <w:r>
        <w:rPr>
          <w:rStyle w:val="NormalTok"/>
        </w:rPr>
        <w:t xml:space="preserve">    </w:t>
      </w:r>
      <w:r>
        <w:rPr>
          <w:rStyle w:val="StringTok"/>
        </w:rPr>
        <w:t xml:space="preserve">"method"</w:t>
      </w:r>
      <w:r>
        <w:rPr>
          <w:rStyle w:val="NormalTok"/>
        </w:rPr>
        <w:t xml:space="preserve">: METHOD, </w:t>
      </w:r>
      <w:r>
        <w:rPr>
          <w:rStyle w:val="StringTok"/>
        </w:rPr>
        <w:t xml:space="preserve">"fallback"</w:t>
      </w:r>
      <w:r>
        <w:rPr>
          <w:rStyle w:val="NormalTok"/>
        </w:rPr>
        <w:t xml:space="preserve">: FALLBACK, </w:t>
      </w:r>
      <w:r>
        <w:rPr>
          <w:rStyle w:val="StringTok"/>
        </w:rPr>
        <w:t xml:space="preserve">"min_samples"</w:t>
      </w:r>
      <w:r>
        <w:rPr>
          <w:rStyle w:val="NormalTok"/>
        </w:rPr>
        <w:t xml:space="preserve">: MIN_SAMPLES,</w:t>
      </w:r>
      <w:r>
        <w:br/>
      </w:r>
      <w:r>
        <w:rPr>
          <w:rStyle w:val="NormalTok"/>
        </w:rPr>
        <w:t xml:space="preserve">    </w:t>
      </w:r>
      <w:r>
        <w:rPr>
          <w:rStyle w:val="StringTok"/>
        </w:rPr>
        <w:t xml:space="preserve">"n_positive_statistical_cells"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(coverage)),</w:t>
      </w:r>
      <w:r>
        <w:br/>
      </w:r>
      <w:r>
        <w:rPr>
          <w:rStyle w:val="NormalTok"/>
        </w:rPr>
        <w:t xml:space="preserve">    </w:t>
      </w:r>
      <w:r>
        <w:rPr>
          <w:rStyle w:val="StringTok"/>
        </w:rPr>
        <w:t xml:space="preserve">"n_fallback_cells"</w:t>
      </w:r>
      <w:r>
        <w:rPr>
          <w:rStyle w:val="NormalTok"/>
        </w:rPr>
        <w:t xml:space="preserve">: </w:t>
      </w:r>
      <w:r>
        <w:rPr>
          <w:rStyle w:val="BuiltInTok"/>
        </w:rPr>
        <w:t xml:space="preserve">int</w:t>
      </w:r>
      <w:r>
        <w:rPr>
          <w:rStyle w:val="NormalTok"/>
        </w:rPr>
        <w:t xml:space="preserve">(fallback_mask.</w:t>
      </w:r>
      <w:r>
        <w:rPr>
          <w:rStyle w:val="BuiltInTok"/>
        </w:rPr>
        <w:t xml:space="preserve">sum</w:t>
      </w:r>
      <w:r>
        <w:rPr>
          <w:rStyle w:val="NormalTok"/>
        </w:rPr>
        <w:t xml:space="preserve">()),</w:t>
      </w:r>
      <w:r>
        <w:br/>
      </w:r>
      <w:r>
        <w:rPr>
          <w:rStyle w:val="NormalTok"/>
        </w:rPr>
        <w:t xml:space="preserve">    </w:t>
      </w:r>
      <w:r>
        <w:rPr>
          <w:rStyle w:val="StringTok"/>
        </w:rPr>
        <w:t xml:space="preserve">"fallback_bgf_m2"</w:t>
      </w:r>
      <w:r>
        <w:rPr>
          <w:rStyle w:val="NormalTok"/>
        </w:rPr>
        <w:t xml:space="preserve">: fallback_area,</w:t>
      </w:r>
      <w:r>
        <w:br/>
      </w:r>
      <w:r>
        <w:rPr>
          <w:rStyle w:val="NormalTok"/>
        </w:rPr>
        <w:t xml:space="preserve">    </w:t>
      </w:r>
      <w:r>
        <w:rPr>
          <w:rStyle w:val="StringTok"/>
        </w:rPr>
        <w:t xml:space="preserve">"fallback_share_of_total_bgf"</w:t>
      </w:r>
      <w:r>
        <w:rPr>
          <w:rStyle w:val="NormalTok"/>
        </w:rPr>
        <w:t xml:space="preserve">: fallback_area </w:t>
      </w:r>
      <w:r>
        <w:rPr>
          <w:rStyle w:val="OperatorTok"/>
        </w:rPr>
        <w:t xml:space="preserve">/</w:t>
      </w:r>
      <w:r>
        <w:rPr>
          <w:rStyle w:val="NormalTok"/>
        </w:rPr>
        <w:t xml:space="preserve"> national_target,</w:t>
      </w:r>
      <w:r>
        <w:br/>
      </w:r>
      <w:r>
        <w:rPr>
          <w:rStyle w:val="NormalTok"/>
        </w:rPr>
        <w:t xml:space="preserve">    </w:t>
      </w:r>
      <w:r>
        <w:rPr>
          <w:rStyle w:val="StringTok"/>
        </w:rPr>
        <w:t xml:space="preserve">"statistics_ngf_total_m2"</w:t>
      </w:r>
      <w:r>
        <w:rPr>
          <w:rStyle w:val="NormalTok"/>
        </w:rPr>
        <w:t xml:space="preserve">: </w:t>
      </w:r>
      <w:r>
        <w:rPr>
          <w:rStyle w:val="BuiltInTok"/>
        </w:rPr>
        <w:t xml:space="preserve">float</w:t>
      </w:r>
      <w:r>
        <w:rPr>
          <w:rStyle w:val="NormalTok"/>
        </w:rPr>
        <w:t xml:space="preserve">(control_at.</w:t>
      </w:r>
      <w:r>
        <w:rPr>
          <w:rStyle w:val="BuiltInTok"/>
        </w:rPr>
        <w:t xml:space="preserve">sum</w:t>
      </w:r>
      <w:r>
        <w:rPr>
          <w:rStyle w:val="NormalTok"/>
        </w:rPr>
        <w:t xml:space="preserve">()),</w:t>
      </w:r>
      <w:r>
        <w:br/>
      </w:r>
      <w:r>
        <w:rPr>
          <w:rStyle w:val="NormalTok"/>
        </w:rPr>
        <w:t xml:space="preserve">    </w:t>
      </w:r>
      <w:r>
        <w:rPr>
          <w:rStyle w:val="StringTok"/>
        </w:rPr>
        <w:t xml:space="preserve">"statistics_bgf_total_m2"</w:t>
      </w:r>
      <w:r>
        <w:rPr>
          <w:rStyle w:val="NormalTok"/>
        </w:rPr>
        <w:t xml:space="preserve">: national_target,</w:t>
      </w:r>
      <w:r>
        <w:br/>
      </w:r>
      <w:r>
        <w:rPr>
          <w:rStyle w:val="NormalTok"/>
        </w:rPr>
        <w:t xml:space="preserve">    </w:t>
      </w:r>
      <w:r>
        <w:rPr>
          <w:rStyle w:val="StringTok"/>
        </w:rPr>
        <w:t xml:space="preserve">"allocated_bgf_m2"</w:t>
      </w:r>
      <w:r>
        <w:rPr>
          <w:rStyle w:val="NormalTok"/>
        </w:rPr>
        <w:t xml:space="preserve">: national_allocated,</w:t>
      </w:r>
      <w:r>
        <w:br/>
      </w:r>
      <w:r>
        <w:rPr>
          <w:rStyle w:val="NormalTok"/>
        </w:rPr>
        <w:t xml:space="preserve">    </w:t>
      </w:r>
      <w:r>
        <w:rPr>
          <w:rStyle w:val="StringTok"/>
        </w:rPr>
        <w:t xml:space="preserve">"total_allocation_residual_m2"</w:t>
      </w:r>
      <w:r>
        <w:rPr>
          <w:rStyle w:val="NormalTok"/>
        </w:rPr>
        <w:t xml:space="preserve">: national_allocated </w:t>
      </w:r>
      <w:r>
        <w:rPr>
          <w:rStyle w:val="OperatorTok"/>
        </w:rPr>
        <w:t xml:space="preserve">-</w:t>
      </w:r>
      <w:r>
        <w:rPr>
          <w:rStyle w:val="NormalTok"/>
        </w:rPr>
        <w:t xml:space="preserve"> national_target,</w:t>
      </w:r>
      <w:r>
        <w:br/>
      </w:r>
      <w:r>
        <w:rPr>
          <w:rStyle w:val="NormalTok"/>
        </w:rPr>
        <w:t xml:space="preserve">    </w:t>
      </w:r>
      <w:r>
        <w:rPr>
          <w:rStyle w:val="StringTok"/>
        </w:rPr>
        <w:t xml:space="preserve">"mean_gfz_area_weighted"</w:t>
      </w:r>
      <w:r>
        <w:rPr>
          <w:rStyle w:val="NormalTok"/>
        </w:rPr>
        <w:t xml:space="preserve">: mean_gfz,</w:t>
      </w:r>
      <w:r>
        <w:br/>
      </w:r>
      <w:r>
        <w:rPr>
          <w:rStyle w:val="NormalTok"/>
        </w:rPr>
        <w:t xml:space="preserve">    </w:t>
      </w:r>
      <w:r>
        <w:rPr>
          <w:rStyle w:val="StringTok"/>
        </w:rPr>
        <w:t xml:space="preserve">"reference_input_files"</w:t>
      </w:r>
      <w:r>
        <w:rPr>
          <w:rStyle w:val="NormalTok"/>
        </w:rPr>
        <w:t xml:space="preserve">: {</w:t>
      </w:r>
      <w:r>
        <w:rPr>
          <w:rStyle w:val="StringTok"/>
        </w:rPr>
        <w:t xml:space="preserve">"buildings"</w:t>
      </w:r>
      <w:r>
        <w:rPr>
          <w:rStyle w:val="NormalTok"/>
        </w:rPr>
        <w:t xml:space="preserve">: </w:t>
      </w:r>
      <w:r>
        <w:rPr>
          <w:rStyle w:val="BuiltInTok"/>
        </w:rPr>
        <w:t xml:space="preserve">str</w:t>
      </w:r>
      <w:r>
        <w:rPr>
          <w:rStyle w:val="NormalTok"/>
        </w:rPr>
        <w:t xml:space="preserve">(BUILDINGS), </w:t>
      </w:r>
      <w:r>
        <w:rPr>
          <w:rStyle w:val="StringTok"/>
        </w:rPr>
        <w:t xml:space="preserve">"statistics"</w:t>
      </w:r>
      <w:r>
        <w:rPr>
          <w:rStyle w:val="NormalTok"/>
        </w:rPr>
        <w:t xml:space="preserve">: </w:t>
      </w:r>
      <w:r>
        <w:rPr>
          <w:rStyle w:val="BuiltInTok"/>
        </w:rPr>
        <w:t xml:space="preserve">str</w:t>
      </w:r>
      <w:r>
        <w:rPr>
          <w:rStyle w:val="NormalTok"/>
        </w:rPr>
        <w:t xml:space="preserve">(STATISTICS)},</w:t>
      </w:r>
      <w:r>
        <w:br/>
      </w:r>
      <w:r>
        <w:rPr>
          <w:rStyle w:val="NormalTok"/>
        </w:rPr>
        <w:t xml:space="preserve">    </w:t>
      </w:r>
      <w:r>
        <w:rPr>
          <w:rStyle w:val="StringTok"/>
        </w:rPr>
        <w:t xml:space="preserve">"input_sha256"</w:t>
      </w:r>
      <w:r>
        <w:rPr>
          <w:rStyle w:val="NormalTok"/>
        </w:rPr>
        <w:t xml:space="preserve">: {p.name: hashlib.sha256(p.read_bytes()).hexdigest()</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(BUILDINGS, STATISTICS)},</w:t>
      </w:r>
      <w:r>
        <w:br/>
      </w:r>
      <w:r>
        <w:rPr>
          <w:rStyle w:val="NormalTok"/>
        </w:rPr>
        <w:t xml:space="preserve">}</w:t>
      </w:r>
      <w:r>
        <w:br/>
      </w:r>
      <w:r>
        <w:rPr>
          <w:rStyle w:val="NormalTok"/>
        </w:rPr>
        <w:t xml:space="preserve">(OUT </w:t>
      </w:r>
      <w:r>
        <w:rPr>
          <w:rStyle w:val="OperatorTok"/>
        </w:rPr>
        <w:t xml:space="preserve">/</w:t>
      </w:r>
      <w:r>
        <w:rPr>
          <w:rStyle w:val="NormalTok"/>
        </w:rPr>
        <w:t xml:space="preserve"> </w:t>
      </w:r>
      <w:r>
        <w:rPr>
          <w:rStyle w:val="StringTok"/>
        </w:rPr>
        <w:t xml:space="preserve">"validation.json"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"Ausgabeordner:"</w:t>
      </w:r>
      <w:r>
        <w:rPr>
          <w:rStyle w:val="NormalTok"/>
        </w:rPr>
        <w:t xml:space="preserve">, OUT.resolve())</w:t>
      </w:r>
      <w:r>
        <w:br/>
      </w:r>
      <w:r>
        <w:rPr>
          <w:rStyle w:val="BuiltInTok"/>
        </w:rPr>
        <w:t xml:space="preserve">print</w:t>
      </w:r>
      <w:r>
        <w:rPr>
          <w:rStyle w:val="NormalTok"/>
        </w:rPr>
        <w:t xml:space="preserve">(</w:t>
      </w:r>
      <w:r>
        <w:rPr>
          <w:rStyle w:val="StringTok"/>
        </w:rPr>
        <w:t xml:space="preserve">"CSV-, PNG- und validation.json-Dateien gespeichert."</w:t>
      </w:r>
      <w:r>
        <w:rPr>
          <w:rStyle w:val="NormalTok"/>
        </w:rPr>
        <w:t xml:space="preserve">)</w:t>
      </w:r>
    </w:p>
    <w:p>
      <w:pPr>
        <w:pStyle w:val="SourceCode"/>
      </w:pPr>
      <w:r>
        <w:rPr>
          <w:rStyle w:val="VerbatimChar"/>
        </w:rPr>
        <w:t xml:space="preserve">Ausgabeordner: C:\Users\schneids\code\peq-higrube\peq-higrube\Berechnungen\gfz_at\outputs\recalculated</w:t>
      </w:r>
      <w:r>
        <w:br/>
      </w:r>
      <w:r>
        <w:rPr>
          <w:rStyle w:val="VerbatimChar"/>
        </w:rPr>
        <w:t xml:space="preserve">CSV-, PNG- und validation.json-Dateien gespeichert.</w:t>
      </w:r>
    </w:p>
    <w:bookmarkEnd w:id="497"/>
    <w:bookmarkStart w:id="498" w:name="X40a90a541914a743d3825d225fb73bdaa9073c5"/>
    <w:p>
      <w:pPr>
        <w:pStyle w:val="Heading2"/>
      </w:pPr>
      <w:r>
        <w:t xml:space="preserve">C.10 10. Methodische Einordnung und Einschränkungen</w:t>
      </w:r>
    </w:p>
    <w:p>
      <w:pPr>
        <w:pStyle w:val="Compact"/>
        <w:numPr>
          <w:ilvl w:val="0"/>
          <w:numId w:val="1008"/>
        </w:numPr>
      </w:pPr>
      <w:r>
        <w:rPr>
          <w:b/>
          <w:bCs/>
        </w:rPr>
        <w:t xml:space="preserve">Stichprobenübertragung:</w:t>
      </w:r>
      <w:r>
        <w:t xml:space="preserve"> </w:t>
      </w:r>
      <w:r>
        <w:t xml:space="preserve">Salzburg repräsentiert im aktuellen Modell acht Bundesländer, Wien ausschließlich Wien. Unterschiede innerhalb und zwischen den Ländern können in der Stichprobe unzureichend erfasst sein.</w:t>
      </w:r>
    </w:p>
    <w:p>
      <w:pPr>
        <w:pStyle w:val="Compact"/>
        <w:numPr>
          <w:ilvl w:val="0"/>
          <w:numId w:val="1008"/>
        </w:numPr>
      </w:pPr>
      <w:r>
        <w:rPr>
          <w:b/>
          <w:bCs/>
        </w:rPr>
        <w:t xml:space="preserve">Flächenumrechnung:</w:t>
      </w:r>
      <w:r>
        <w:t xml:space="preserve"> </w:t>
      </w:r>
      <w:r>
        <w:t xml:space="preserve">Das konstante NGF/BGF-Verhältnis von 0,8 beeinflusst die absolute BGF sämtlicher statistischer Zielgruppen. Es wird nicht nutzungs- oder regionalspezifisch kalibriert.</w:t>
      </w:r>
    </w:p>
    <w:p>
      <w:pPr>
        <w:pStyle w:val="Compact"/>
        <w:numPr>
          <w:ilvl w:val="0"/>
          <w:numId w:val="1008"/>
        </w:numPr>
      </w:pPr>
      <w:r>
        <w:rPr>
          <w:b/>
          <w:bCs/>
        </w:rPr>
        <w:t xml:space="preserve">KDE:</w:t>
      </w:r>
      <w:r>
        <w:t xml:space="preserve"> </w:t>
      </w:r>
      <w:r>
        <w:t xml:space="preserve">Scott-Bandbreite, begrenzter GFZ-Bereich 0–20, diskrete 0,1-Schritte und Ersatzreferenzen beeinflussen die Dichteform. Die Normierung garantiert die Flächenerhaltung,</w:t>
      </w:r>
      <w:r>
        <w:t xml:space="preserve"> </w:t>
      </w:r>
      <w:r>
        <w:rPr>
          <w:b/>
          <w:bCs/>
        </w:rPr>
        <w:t xml:space="preserve">nicht</w:t>
      </w:r>
      <w:r>
        <w:t xml:space="preserve"> </w:t>
      </w:r>
      <w:r>
        <w:t xml:space="preserve">die empirische Richtigkeit jeder Kurve. Bei identischen GFZ wird eine ausdrücklich gekennzeichnete Histogrammverteilung verwendet.</w:t>
      </w:r>
    </w:p>
    <w:p>
      <w:pPr>
        <w:pStyle w:val="Compact"/>
        <w:numPr>
          <w:ilvl w:val="0"/>
          <w:numId w:val="1008"/>
        </w:numPr>
      </w:pPr>
      <w:r>
        <w:rPr>
          <w:b/>
          <w:bCs/>
        </w:rPr>
        <w:t xml:space="preserve">Abdeckung:</w:t>
      </w:r>
      <w:r>
        <w:t xml:space="preserve"> </w:t>
      </w:r>
      <w:r>
        <w:t xml:space="preserve">Gering besetzte Nutzung-/Geschosskombinationen werden nach der dokumentierten Ersatzhierarchie abgebildet. Die Anzahl der Ersatzkombinationen und ihr Flächenanteil sind getrennt zu interpretieren.</w:t>
      </w:r>
    </w:p>
    <w:p>
      <w:pPr>
        <w:pStyle w:val="Compact"/>
        <w:numPr>
          <w:ilvl w:val="0"/>
          <w:numId w:val="1008"/>
        </w:numPr>
      </w:pPr>
      <w:r>
        <w:rPr>
          <w:b/>
          <w:bCs/>
        </w:rPr>
        <w:t xml:space="preserve">Modellgegenstand:</w:t>
      </w:r>
      <w:r>
        <w:t xml:space="preserve"> </w:t>
      </w:r>
      <w:r>
        <w:t xml:space="preserve">Die ermittelte GFZ-Verteilung ist eine flächengewichtete modellierte Verteilung des</w:t>
      </w:r>
      <w:r>
        <w:t xml:space="preserve"> </w:t>
      </w:r>
      <w:r>
        <w:rPr>
          <w:i/>
          <w:iCs/>
        </w:rPr>
        <w:t xml:space="preserve">Bestands 2021</w:t>
      </w:r>
      <w:r>
        <w:t xml:space="preserve">, keine flurstücksweise Vermessung des gesamten österreichischen Gebäudebestands.</w:t>
      </w:r>
    </w:p>
    <w:bookmarkEnd w:id="498"/>
    <w:bookmarkEnd w:id="499"/>
    <w:bookmarkStart w:id="500" w:name="Xe4138e61fc6710333f3d11010cb9aa29bd6c45c"/>
    <w:p>
      <w:pPr>
        <w:pStyle w:val="Heading1"/>
      </w:pPr>
      <w:r>
        <w:t xml:space="preserve">Appendix D — Sektorale Energieallokation – Transition 2040</w:t>
      </w:r>
    </w:p>
    <w:bookmarkEnd w:id="500"/>
    <w:bookmarkStart w:id="509" w:name="sec-allokation-notebook"/>
    <w:p>
      <w:pPr>
        <w:pStyle w:val="Heading1"/>
      </w:pPr>
      <w:r>
        <w:t xml:space="preserve">Appendix D — Quantitative sektorale Allokation</w:t>
      </w:r>
    </w:p>
    <w:p>
      <w:pPr>
        <w:pStyle w:val="FirstParagraph"/>
      </w:pPr>
      <w:r>
        <w:t xml:space="preserve">Stand: 29. Oktober 2026. Dieser Anhang berechnet die Top-down-Grundlage der PEQ-Kalibrierung: den nationalen elektrischen Gebäudesektorsaldo einschließlich MIV und ein einmalig zugeteilte zentrale Restdeckung. Alle fachlichen Rechnungen stehen in diesen Zellen. Die Gebäudetypologien werden im Gebäudesektormodell abgeglichen.</w:t>
      </w:r>
    </w:p>
    <w:p>
      <w:pPr>
        <w:pStyle w:val="BodyText"/>
      </w:pPr>
      <w:r>
        <w:rPr>
          <w:b/>
          <w:bCs/>
        </w:rPr>
        <w:t xml:space="preserve">Quellen:</w:t>
      </w:r>
      <w:r>
        <w:t xml:space="preserve"> </w:t>
      </w:r>
      <w:r>
        <w:t xml:space="preserve">UBA REP-0880, Tabelle 15, S. 60 (Strombedarf) und Tabelle 16, S. 63 (Erzeugung/Nettohandel), Ausgabe ©2024, Titelblatt 2023</w:t>
      </w:r>
      <w:r>
        <w:t xml:space="preserve"> </w:t>
      </w:r>
      <w:r>
        <w:t xml:space="preserve">(Umweltbundesamt 2024)</w:t>
      </w:r>
      <w:r>
        <w:t xml:space="preserve">. Die Zuordnungslogik folgt der in</w:t>
      </w:r>
      <w:r>
        <w:t xml:space="preserve"> </w:t>
      </w:r>
      <w:hyperlink w:anchor="sec-allokation">
        <w:r>
          <w:rPr>
            <w:rStyle w:val="Hyperlink"/>
          </w:rPr>
          <w:t xml:space="preserve">Kapitel 11</w:t>
        </w:r>
      </w:hyperlink>
      <w:r>
        <w:t xml:space="preserve"> </w:t>
      </w:r>
      <w:r>
        <w:t xml:space="preserve">beschriebenen Weiterentwicklung der historischen Methode</w:t>
      </w:r>
      <w:r>
        <w:t xml:space="preserve"> </w:t>
      </w:r>
      <w:r>
        <w:t xml:space="preserve">(Schneider u. a. 2020, 2023)</w:t>
      </w:r>
      <w:r>
        <w:t xml:space="preserve">. Die nachfolgenden Parameter sind ausdrücklich eigene Rechenannahmen, keine vom UBA veröffentlichten Verkehrs- oder PV-Anteile.</w:t>
      </w:r>
    </w:p>
    <w:bookmarkStart w:id="501" w:name="bilanzgrenze-und-einheiten"/>
    <w:p>
      <w:pPr>
        <w:pStyle w:val="Heading2"/>
      </w:pPr>
      <w:r>
        <w:t xml:space="preserve">D.1 1. Bilanzgrenze und Einheiten</w:t>
      </w:r>
    </w:p>
    <w:p>
      <w:pPr>
        <w:pStyle w:val="FirstParagraph"/>
      </w:pPr>
      <w:r>
        <w:t xml:space="preserve">Alle Flüsse sind jährliche</w:t>
      </w:r>
      <w:r>
        <w:t xml:space="preserve"> </w:t>
      </w:r>
      <w:r>
        <w:rPr>
          <w:b/>
          <w:bCs/>
        </w:rPr>
        <w:t xml:space="preserve">elektrische Endenergie in PJ/a</w:t>
      </w:r>
      <w:r>
        <w:t xml:space="preserve">; 1 PJ = 1/3,6 TWh. Positive Salden bedeuten Deckung minus Bedarf. Gebäude umfassen hier die UBA-Betriebsposition sowie den zugeordneten MIV. Nicht-elektrische Wärme, Brennstoffe, graue Energie und Primärenergie werden nicht mit Strom addiert. Ein virtuelles MIV-Budget ist eine Zuordnung vorhandener Erzeugung, keine zusätzliche Energiequelle.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 hashlib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rPr>
          <w:rStyle w:val="NormalTok"/>
        </w:rPr>
        <w:t xml:space="preserve">ROOT </w:t>
      </w:r>
      <w:r>
        <w:rPr>
          <w:rStyle w:val="OperatorTok"/>
        </w:rPr>
        <w:t xml:space="preserve">=</w:t>
      </w:r>
      <w:r>
        <w:rPr>
          <w:rStyle w:val="NormalTok"/>
        </w:rPr>
        <w:t xml:space="preserve"> </w:t>
      </w:r>
      <w:r>
        <w:rPr>
          <w:rStyle w:val="BuiltInTok"/>
        </w:rPr>
        <w:t xml:space="preserve">next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[Path.cwd(), </w:t>
      </w:r>
      <w:r>
        <w:rPr>
          <w:rStyle w:val="OperatorTok"/>
        </w:rPr>
        <w:t xml:space="preserve">*</w:t>
      </w:r>
      <w:r>
        <w:rPr>
          <w:rStyle w:val="NormalTok"/>
        </w:rPr>
        <w:t xml:space="preserve">Path.cwd().parents] </w:t>
      </w:r>
      <w:r>
        <w:rPr>
          <w:rStyle w:val="ControlFlowTok"/>
        </w:rPr>
        <w:t xml:space="preserve">if</w:t>
      </w:r>
      <w:r>
        <w:rPr>
          <w:rStyle w:val="NormalTok"/>
        </w:rPr>
        <w:t xml:space="preserve"> (p</w:t>
      </w:r>
      <w:r>
        <w:rPr>
          <w:rStyle w:val="OperatorTok"/>
        </w:rPr>
        <w:t xml:space="preserve">/</w:t>
      </w:r>
      <w:r>
        <w:rPr>
          <w:rStyle w:val="StringTok"/>
        </w:rPr>
        <w:t xml:space="preserve">'_quarto.yml'</w:t>
      </w:r>
      <w:r>
        <w:rPr>
          <w:rStyle w:val="NormalTok"/>
        </w:rPr>
        <w:t xml:space="preserve">).exists())</w:t>
      </w:r>
      <w:r>
        <w:br/>
      </w:r>
      <w:r>
        <w:rPr>
          <w:rStyle w:val="NormalTok"/>
        </w:rPr>
        <w:t xml:space="preserve">DATA </w:t>
      </w:r>
      <w:r>
        <w:rPr>
          <w:rStyle w:val="OperatorTok"/>
        </w:rPr>
        <w:t xml:space="preserve">=</w:t>
      </w:r>
      <w:r>
        <w:rPr>
          <w:rStyle w:val="NormalTok"/>
        </w:rPr>
        <w:t xml:space="preserve"> ROOT</w:t>
      </w:r>
      <w:r>
        <w:rPr>
          <w:rStyle w:val="OperatorTok"/>
        </w:rPr>
        <w:t xml:space="preserve">/</w:t>
      </w:r>
      <w:r>
        <w:rPr>
          <w:rStyle w:val="StringTok"/>
        </w:rPr>
        <w:t xml:space="preserve">'Daten/sektorenmodell'</w:t>
      </w:r>
      <w:r>
        <w:br/>
      </w:r>
      <w:r>
        <w:rPr>
          <w:rStyle w:val="NormalTok"/>
        </w:rPr>
        <w:t xml:space="preserve">OUT </w:t>
      </w:r>
      <w:r>
        <w:rPr>
          <w:rStyle w:val="OperatorTok"/>
        </w:rPr>
        <w:t xml:space="preserve">=</w:t>
      </w:r>
      <w:r>
        <w:rPr>
          <w:rStyle w:val="NormalTok"/>
        </w:rPr>
        <w:t xml:space="preserve"> ROOT</w:t>
      </w:r>
      <w:r>
        <w:rPr>
          <w:rStyle w:val="OperatorTok"/>
        </w:rPr>
        <w:t xml:space="preserve">/</w:t>
      </w:r>
      <w:r>
        <w:rPr>
          <w:rStyle w:val="StringTok"/>
        </w:rPr>
        <w:t xml:space="preserve">'Berechnungen/sektorenmodell/outputs/allokation'</w:t>
      </w:r>
      <w:r>
        <w:br/>
      </w:r>
      <w:r>
        <w:rPr>
          <w:rStyle w:val="NormalTok"/>
        </w:rPr>
        <w:t xml:space="preserve">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plt.rcParams.update({</w:t>
      </w:r>
      <w:r>
        <w:rPr>
          <w:rStyle w:val="StringTok"/>
        </w:rPr>
        <w:t xml:space="preserve">'figure.dpi'</w:t>
      </w:r>
      <w:r>
        <w:rPr>
          <w:rStyle w:val="NormalTok"/>
        </w:rPr>
        <w:t xml:space="preserve">:</w:t>
      </w:r>
      <w:r>
        <w:rPr>
          <w:rStyle w:val="DecValTok"/>
        </w:rPr>
        <w:t xml:space="preserve">130</w:t>
      </w:r>
      <w:r>
        <w:rPr>
          <w:rStyle w:val="NormalTok"/>
        </w:rPr>
        <w:t xml:space="preserve">, </w:t>
      </w:r>
      <w:r>
        <w:rPr>
          <w:rStyle w:val="StringTok"/>
        </w:rPr>
        <w:t xml:space="preserve">'font.size'</w:t>
      </w:r>
      <w:r>
        <w:rPr>
          <w:rStyle w:val="NormalTok"/>
        </w:rPr>
        <w:t xml:space="preserve">:</w:t>
      </w:r>
      <w:r>
        <w:rPr>
          <w:rStyle w:val="DecValTok"/>
        </w:rPr>
        <w:t xml:space="preserve">10</w:t>
      </w:r>
      <w:r>
        <w:rPr>
          <w:rStyle w:val="NormalTok"/>
        </w:rPr>
        <w:t xml:space="preserve">, </w:t>
      </w:r>
      <w:r>
        <w:rPr>
          <w:rStyle w:val="StringTok"/>
        </w:rPr>
        <w:t xml:space="preserve">'axes.spines.top'</w:t>
      </w:r>
      <w:r>
        <w:rPr>
          <w:rStyle w:val="NormalTok"/>
        </w:rPr>
        <w:t xml:space="preserve">:</w:t>
      </w:r>
      <w:r>
        <w:rPr>
          <w:rStyle w:val="VariableTok"/>
        </w:rPr>
        <w:t xml:space="preserve">False</w:t>
      </w:r>
      <w:r>
        <w:rPr>
          <w:rStyle w:val="NormalTok"/>
        </w:rPr>
        <w:t xml:space="preserve">, </w:t>
      </w:r>
      <w:r>
        <w:rPr>
          <w:rStyle w:val="StringTok"/>
        </w:rPr>
        <w:t xml:space="preserve">'axes.spines.right'</w:t>
      </w:r>
      <w:r>
        <w:rPr>
          <w:rStyle w:val="NormalTok"/>
        </w:rPr>
        <w:t xml:space="preserve">:</w:t>
      </w:r>
      <w:r>
        <w:rPr>
          <w:rStyle w:val="VariableTok"/>
        </w:rPr>
        <w:t xml:space="preserve">False</w:t>
      </w:r>
      <w:r>
        <w:rPr>
          <w:rStyle w:val="NormalTok"/>
        </w:rPr>
        <w:t xml:space="preserve">})</w:t>
      </w:r>
      <w:r>
        <w:br/>
      </w:r>
      <w:r>
        <w:rPr>
          <w:rStyle w:val="NormalTok"/>
        </w:rPr>
        <w:t xml:space="preserve">tables</w:t>
      </w:r>
      <w:r>
        <w:rPr>
          <w:rStyle w:val="OperatorTok"/>
        </w:rPr>
        <w:t xml:space="preserve">=</w:t>
      </w:r>
      <w:r>
        <w:rPr>
          <w:rStyle w:val="NormalTok"/>
        </w:rPr>
        <w:t xml:space="preserve">{name:pd.read_csv(DATA</w:t>
      </w:r>
      <w:r>
        <w:rPr>
          <w:rStyle w:val="OperatorTok"/>
        </w:rPr>
        <w:t xml:space="preserve">/</w:t>
      </w:r>
      <w:r>
        <w:rPr>
          <w:rStyle w:val="NormalTok"/>
        </w:rPr>
        <w:t xml:space="preserve">name)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'stromerzeugung_2040.csv'</w:t>
      </w:r>
      <w:r>
        <w:rPr>
          <w:rStyle w:val="NormalTok"/>
        </w:rPr>
        <w:t xml:space="preserve">,</w:t>
      </w:r>
      <w:r>
        <w:rPr>
          <w:rStyle w:val="StringTok"/>
        </w:rPr>
        <w:t xml:space="preserve">'strombedarf_2040.csv'</w:t>
      </w:r>
      <w:r>
        <w:rPr>
          <w:rStyle w:val="NormalTok"/>
        </w:rPr>
        <w:t xml:space="preserve">]}</w:t>
      </w:r>
      <w:r>
        <w:br/>
      </w:r>
      <w:r>
        <w:rPr>
          <w:rStyle w:val="NormalTok"/>
        </w:rPr>
        <w:t xml:space="preserve">selected</w:t>
      </w:r>
      <w:r>
        <w:rPr>
          <w:rStyle w:val="OperatorTok"/>
        </w:rPr>
        <w:t xml:space="preserve">=</w:t>
      </w:r>
      <w:r>
        <w:rPr>
          <w:rStyle w:val="NormalTok"/>
        </w:rPr>
        <w:t xml:space="preserve">{name:df.loc[df.scenario.eq(</w:t>
      </w:r>
      <w:r>
        <w:rPr>
          <w:rStyle w:val="StringTok"/>
        </w:rPr>
        <w:t xml:space="preserve">'transition_2040'</w:t>
      </w:r>
      <w:r>
        <w:rPr>
          <w:rStyle w:val="NormalTok"/>
        </w:rPr>
        <w:t xml:space="preserve">)].copy() </w:t>
      </w:r>
      <w:r>
        <w:rPr>
          <w:rStyle w:val="ControlFlowTok"/>
        </w:rPr>
        <w:t xml:space="preserve">for</w:t>
      </w:r>
      <w:r>
        <w:rPr>
          <w:rStyle w:val="NormalTok"/>
        </w:rPr>
        <w:t xml:space="preserve"> name,df </w:t>
      </w:r>
      <w:r>
        <w:rPr>
          <w:rStyle w:val="KeywordTok"/>
        </w:rPr>
        <w:t xml:space="preserve">in</w:t>
      </w:r>
      <w:r>
        <w:rPr>
          <w:rStyle w:val="NormalTok"/>
        </w:rPr>
        <w:t xml:space="preserve"> tables.items()}</w:t>
      </w:r>
      <w:r>
        <w:br/>
      </w:r>
      <w:r>
        <w:rPr>
          <w:rStyle w:val="ControlFlowTok"/>
        </w:rPr>
        <w:t xml:space="preserve">for</w:t>
      </w:r>
      <w:r>
        <w:rPr>
          <w:rStyle w:val="NormalTok"/>
        </w:rPr>
        <w:t xml:space="preserve"> name,df </w:t>
      </w:r>
      <w:r>
        <w:rPr>
          <w:rStyle w:val="KeywordTok"/>
        </w:rPr>
        <w:t xml:space="preserve">in</w:t>
      </w:r>
      <w:r>
        <w:rPr>
          <w:rStyle w:val="NormalTok"/>
        </w:rPr>
        <w:t xml:space="preserve"> selected.items():</w:t>
      </w:r>
      <w:r>
        <w:br/>
      </w:r>
      <w:r>
        <w:rPr>
          <w:rStyle w:val="NormalTok"/>
        </w:rPr>
        <w:t xml:space="preserve">    </w:t>
      </w:r>
      <w:r>
        <w:rPr>
          <w:rStyle w:val="ControlFlowTok"/>
        </w:rPr>
        <w:t xml:space="preserve">assert</w:t>
      </w:r>
      <w:r>
        <w:rPr>
          <w:rStyle w:val="NormalTok"/>
        </w:rPr>
        <w:t xml:space="preserve"> df.metric.is_unique </w:t>
      </w:r>
      <w:r>
        <w:rPr>
          <w:rStyle w:val="KeywordTok"/>
        </w:rPr>
        <w:t xml:space="preserve">and</w:t>
      </w:r>
      <w:r>
        <w:rPr>
          <w:rStyle w:val="NormalTok"/>
        </w:rPr>
        <w:t xml:space="preserve"> df.value_pj.notna().</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df.year.eq(</w:t>
      </w:r>
      <w:r>
        <w:rPr>
          <w:rStyle w:val="DecValTok"/>
        </w:rPr>
        <w:t xml:space="preserve">2040</w:t>
      </w:r>
      <w:r>
        <w:rPr>
          <w:rStyle w:val="NormalTok"/>
        </w:rPr>
        <w:t xml:space="preserve">).</w:t>
      </w:r>
      <w:r>
        <w:rPr>
          <w:rStyle w:val="BuiltInTok"/>
        </w:rPr>
        <w:t xml:space="preserve">all</w:t>
      </w:r>
      <w:r>
        <w:rPr>
          <w:rStyle w:val="NormalTok"/>
        </w:rPr>
        <w:t xml:space="preserve">() </w:t>
      </w:r>
      <w:r>
        <w:rPr>
          <w:rStyle w:val="KeywordTok"/>
        </w:rPr>
        <w:t xml:space="preserve">and</w:t>
      </w:r>
      <w:r>
        <w:rPr>
          <w:rStyle w:val="NormalTok"/>
        </w:rPr>
        <w:t xml:space="preserve"> df.source_id.eq(</w:t>
      </w:r>
      <w:r>
        <w:rPr>
          <w:rStyle w:val="StringTok"/>
        </w:rPr>
        <w:t xml:space="preserve">'TRANSITION'</w:t>
      </w:r>
      <w:r>
        <w:rPr>
          <w:rStyle w:val="NormalTok"/>
        </w:rPr>
        <w:t xml:space="preserve">).</w:t>
      </w:r>
      <w:r>
        <w:rPr>
          <w:rStyle w:val="BuiltInTok"/>
        </w:rPr>
        <w:t xml:space="preserve">all</w:t>
      </w:r>
      <w:r>
        <w:rPr>
          <w:rStyle w:val="NormalTok"/>
        </w:rPr>
        <w:t xml:space="preserve">()</w:t>
      </w:r>
      <w:r>
        <w:br/>
      </w:r>
      <w:r>
        <w:rPr>
          <w:rStyle w:val="NormalTok"/>
        </w:rPr>
        <w:t xml:space="preserve">    display(df[[</w:t>
      </w:r>
      <w:r>
        <w:rPr>
          <w:rStyle w:val="StringTok"/>
        </w:rPr>
        <w:t xml:space="preserve">'metric'</w:t>
      </w:r>
      <w:r>
        <w:rPr>
          <w:rStyle w:val="NormalTok"/>
        </w:rPr>
        <w:t xml:space="preserve">,</w:t>
      </w:r>
      <w:r>
        <w:rPr>
          <w:rStyle w:val="StringTok"/>
        </w:rPr>
        <w:t xml:space="preserve">'value_pj'</w:t>
      </w:r>
      <w:r>
        <w:rPr>
          <w:rStyle w:val="NormalTok"/>
        </w:rPr>
        <w:t xml:space="preserve">,</w:t>
      </w:r>
      <w:r>
        <w:rPr>
          <w:rStyle w:val="StringTok"/>
        </w:rPr>
        <w:t xml:space="preserve">'energy_basis'</w:t>
      </w:r>
      <w:r>
        <w:rPr>
          <w:rStyle w:val="NormalTok"/>
        </w:rPr>
        <w:t xml:space="preserve">,</w:t>
      </w:r>
      <w:r>
        <w:rPr>
          <w:rStyle w:val="StringTok"/>
        </w:rPr>
        <w:t xml:space="preserve">'source_location'</w:t>
      </w:r>
      <w:r>
        <w:rPr>
          <w:rStyle w:val="NormalTok"/>
        </w:rPr>
        <w:t xml:space="preserve">]])</w:t>
      </w:r>
      <w:r>
        <w:br/>
      </w:r>
      <w:r>
        <w:rPr>
          <w:rStyle w:val="NormalTok"/>
        </w:rPr>
        <w:t xml:space="preserve">g</w:t>
      </w:r>
      <w:r>
        <w:rPr>
          <w:rStyle w:val="OperatorTok"/>
        </w:rPr>
        <w:t xml:space="preserve">=</w:t>
      </w:r>
      <w:r>
        <w:rPr>
          <w:rStyle w:val="NormalTok"/>
        </w:rPr>
        <w:t xml:space="preserve">selected[</w:t>
      </w:r>
      <w:r>
        <w:rPr>
          <w:rStyle w:val="StringTok"/>
        </w:rPr>
        <w:t xml:space="preserve">'stromerzeugung_2040.csv'</w:t>
      </w:r>
      <w:r>
        <w:rPr>
          <w:rStyle w:val="NormalTok"/>
        </w:rPr>
        <w:t xml:space="preserve">].set_index(</w:t>
      </w:r>
      <w:r>
        <w:rPr>
          <w:rStyle w:val="StringTok"/>
        </w:rPr>
        <w:t xml:space="preserve">'metric'</w:t>
      </w:r>
      <w:r>
        <w:rPr>
          <w:rStyle w:val="NormalTok"/>
        </w:rPr>
        <w:t xml:space="preserve">).value_pj.to_dict()</w:t>
      </w:r>
      <w:r>
        <w:br/>
      </w:r>
      <w:r>
        <w:rPr>
          <w:rStyle w:val="NormalTok"/>
        </w:rPr>
        <w:t xml:space="preserve">d</w:t>
      </w:r>
      <w:r>
        <w:rPr>
          <w:rStyle w:val="OperatorTok"/>
        </w:rPr>
        <w:t xml:space="preserve">=</w:t>
      </w:r>
      <w:r>
        <w:rPr>
          <w:rStyle w:val="NormalTok"/>
        </w:rPr>
        <w:t xml:space="preserve">selected[</w:t>
      </w:r>
      <w:r>
        <w:rPr>
          <w:rStyle w:val="StringTok"/>
        </w:rPr>
        <w:t xml:space="preserve">'strombedarf_2040.csv'</w:t>
      </w:r>
      <w:r>
        <w:rPr>
          <w:rStyle w:val="NormalTok"/>
        </w:rPr>
        <w:t xml:space="preserve">].set_index(</w:t>
      </w:r>
      <w:r>
        <w:rPr>
          <w:rStyle w:val="StringTok"/>
        </w:rPr>
        <w:t xml:space="preserve">'metric'</w:t>
      </w:r>
      <w:r>
        <w:rPr>
          <w:rStyle w:val="NormalTok"/>
        </w:rPr>
        <w:t xml:space="preserve">).value_pj.to_dict()</w:t>
      </w:r>
      <w:r>
        <w:br/>
      </w:r>
      <w:r>
        <w:rPr>
          <w:rStyle w:val="NormalTok"/>
        </w:rPr>
        <w:t xml:space="preserve">provenance</w:t>
      </w:r>
      <w:r>
        <w:rPr>
          <w:rStyle w:val="OperatorTok"/>
        </w:rPr>
        <w:t xml:space="preserve">=</w:t>
      </w:r>
      <w:r>
        <w:rPr>
          <w:rStyle w:val="NormalTok"/>
        </w:rPr>
        <w:t xml:space="preserve">{name:hashlib.sha256((DATA</w:t>
      </w:r>
      <w:r>
        <w:rPr>
          <w:rStyle w:val="OperatorTok"/>
        </w:rPr>
        <w:t xml:space="preserve">/</w:t>
      </w:r>
      <w:r>
        <w:rPr>
          <w:rStyle w:val="NormalTok"/>
        </w:rPr>
        <w:t xml:space="preserve">name).read_bytes()).hexdigest() </w:t>
      </w:r>
      <w:r>
        <w:rPr>
          <w:rStyle w:val="ControlFlowTok"/>
        </w:rPr>
        <w:t xml:space="preserve">for</w:t>
      </w:r>
      <w:r>
        <w:rPr>
          <w:rStyle w:val="NormalTok"/>
        </w:rPr>
        <w:t xml:space="preserve"> name </w:t>
      </w:r>
      <w:r>
        <w:rPr>
          <w:rStyle w:val="KeywordTok"/>
        </w:rPr>
        <w:t xml:space="preserve">in</w:t>
      </w:r>
      <w:r>
        <w:rPr>
          <w:rStyle w:val="NormalTok"/>
        </w:rPr>
        <w:t xml:space="preserve">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metric</w:t>
            </w:r>
          </w:p>
        </w:tc>
        <w:tc>
          <w:tcPr/>
          <w:p>
            <w:pPr>
              <w:pStyle w:val="Compact"/>
            </w:pPr>
            <w:r>
              <w:t xml:space="preserve">value_pj</w:t>
            </w:r>
          </w:p>
        </w:tc>
        <w:tc>
          <w:tcPr/>
          <w:p>
            <w:pPr>
              <w:pStyle w:val="Compact"/>
            </w:pPr>
            <w:r>
              <w:t xml:space="preserve">energy_basis</w:t>
            </w:r>
          </w:p>
        </w:tc>
        <w:tc>
          <w:tcPr/>
          <w:p>
            <w:pPr>
              <w:pStyle w:val="Compact"/>
            </w:pPr>
            <w:r>
              <w:t xml:space="preserve">source_location</w:t>
            </w:r>
          </w:p>
        </w:tc>
      </w:tr>
      <w:tr>
        <w:tc>
          <w:tcPr/>
          <w:p>
            <w:pPr>
              <w:pStyle w:val="Compact"/>
            </w:pPr>
            <w:r>
              <w:t xml:space="preserve">18</w:t>
            </w:r>
          </w:p>
        </w:tc>
        <w:tc>
          <w:tcPr/>
          <w:p>
            <w:pPr>
              <w:pStyle w:val="Compact"/>
            </w:pPr>
            <w:r>
              <w:t xml:space="preserve">fossil</w:t>
            </w:r>
          </w:p>
        </w:tc>
        <w:tc>
          <w:tcPr/>
          <w:p>
            <w:pPr>
              <w:pStyle w:val="Compact"/>
            </w:pPr>
            <w:r>
              <w:t xml:space="preserve">1</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19</w:t>
            </w:r>
          </w:p>
        </w:tc>
        <w:tc>
          <w:tcPr/>
          <w:p>
            <w:pPr>
              <w:pStyle w:val="Compact"/>
            </w:pPr>
            <w:r>
              <w:t xml:space="preserve">hydro</w:t>
            </w:r>
          </w:p>
        </w:tc>
        <w:tc>
          <w:tcPr/>
          <w:p>
            <w:pPr>
              <w:pStyle w:val="Compact"/>
            </w:pPr>
            <w:r>
              <w:t xml:space="preserve">173</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20</w:t>
            </w:r>
          </w:p>
        </w:tc>
        <w:tc>
          <w:tcPr/>
          <w:p>
            <w:pPr>
              <w:pStyle w:val="Compact"/>
            </w:pPr>
            <w:r>
              <w:t xml:space="preserve">biomass</w:t>
            </w:r>
          </w:p>
        </w:tc>
        <w:tc>
          <w:tcPr/>
          <w:p>
            <w:pPr>
              <w:pStyle w:val="Compact"/>
            </w:pPr>
            <w:r>
              <w:t xml:space="preserve">21</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21</w:t>
            </w:r>
          </w:p>
        </w:tc>
        <w:tc>
          <w:tcPr/>
          <w:p>
            <w:pPr>
              <w:pStyle w:val="Compact"/>
            </w:pPr>
            <w:r>
              <w:t xml:space="preserve">geothermal</w:t>
            </w:r>
          </w:p>
        </w:tc>
        <w:tc>
          <w:tcPr/>
          <w:p>
            <w:pPr>
              <w:pStyle w:val="Compact"/>
            </w:pPr>
            <w:r>
              <w:t xml:space="preserve">4</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22</w:t>
            </w:r>
          </w:p>
        </w:tc>
        <w:tc>
          <w:tcPr/>
          <w:p>
            <w:pPr>
              <w:pStyle w:val="Compact"/>
            </w:pPr>
            <w:r>
              <w:t xml:space="preserve">pv</w:t>
            </w:r>
          </w:p>
        </w:tc>
        <w:tc>
          <w:tcPr/>
          <w:p>
            <w:pPr>
              <w:pStyle w:val="Compact"/>
            </w:pPr>
            <w:r>
              <w:t xml:space="preserve">149</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23</w:t>
            </w:r>
          </w:p>
        </w:tc>
        <w:tc>
          <w:tcPr/>
          <w:p>
            <w:pPr>
              <w:pStyle w:val="Compact"/>
            </w:pPr>
            <w:r>
              <w:t xml:space="preserve">wind</w:t>
            </w:r>
          </w:p>
        </w:tc>
        <w:tc>
          <w:tcPr/>
          <w:p>
            <w:pPr>
              <w:pStyle w:val="Compact"/>
            </w:pPr>
            <w:r>
              <w:t xml:space="preserve">105</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24</w:t>
            </w:r>
          </w:p>
        </w:tc>
        <w:tc>
          <w:tcPr/>
          <w:p>
            <w:pPr>
              <w:pStyle w:val="Compact"/>
            </w:pPr>
            <w:r>
              <w:t xml:space="preserve">hydrogen_electricity</w:t>
            </w:r>
          </w:p>
        </w:tc>
        <w:tc>
          <w:tcPr/>
          <w:p>
            <w:pPr>
              <w:pStyle w:val="Compact"/>
            </w:pPr>
            <w:r>
              <w:t xml:space="preserve">4</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25</w:t>
            </w:r>
          </w:p>
        </w:tc>
        <w:tc>
          <w:tcPr/>
          <w:p>
            <w:pPr>
              <w:pStyle w:val="Compact"/>
            </w:pPr>
            <w:r>
              <w:t xml:space="preserve">generation_published_total</w:t>
            </w:r>
          </w:p>
        </w:tc>
        <w:tc>
          <w:tcPr/>
          <w:p>
            <w:pPr>
              <w:pStyle w:val="Compact"/>
            </w:pPr>
            <w:r>
              <w:t xml:space="preserve">457</w:t>
            </w:r>
          </w:p>
        </w:tc>
        <w:tc>
          <w:tcPr/>
          <w:p>
            <w:pPr>
              <w:pStyle w:val="Compact"/>
            </w:pPr>
            <w:r>
              <w:t xml:space="preserve">electricity_generation_or_net_import</w:t>
            </w:r>
          </w:p>
        </w:tc>
        <w:tc>
          <w:tcPr/>
          <w:p>
            <w:pPr>
              <w:pStyle w:val="Compact"/>
            </w:pPr>
            <w:r>
              <w:t xml:space="preserve">Tabelle 16, S. 63</w:t>
            </w:r>
          </w:p>
        </w:tc>
      </w:tr>
      <w:tr>
        <w:tc>
          <w:tcPr/>
          <w:p>
            <w:pPr>
              <w:pStyle w:val="Compact"/>
            </w:pPr>
            <w:r>
              <w:t xml:space="preserve">26</w:t>
            </w:r>
          </w:p>
        </w:tc>
        <w:tc>
          <w:tcPr/>
          <w:p>
            <w:pPr>
              <w:pStyle w:val="Compact"/>
            </w:pPr>
            <w:r>
              <w:t xml:space="preserve">net_imports</w:t>
            </w:r>
          </w:p>
        </w:tc>
        <w:tc>
          <w:tcPr/>
          <w:p>
            <w:pPr>
              <w:pStyle w:val="Compact"/>
            </w:pPr>
            <w:r>
              <w:t xml:space="preserve">-7</w:t>
            </w:r>
          </w:p>
        </w:tc>
        <w:tc>
          <w:tcPr/>
          <w:p>
            <w:pPr>
              <w:pStyle w:val="Compact"/>
            </w:pPr>
            <w:r>
              <w:t xml:space="preserve">electricity_generation_or_net_import</w:t>
            </w:r>
          </w:p>
        </w:tc>
        <w:tc>
          <w:tcPr/>
          <w:p>
            <w:pPr>
              <w:pStyle w:val="Compact"/>
            </w:pPr>
            <w:r>
              <w:t xml:space="preserve">Tabelle 16, S. 63</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metric</w:t>
            </w:r>
          </w:p>
        </w:tc>
        <w:tc>
          <w:tcPr/>
          <w:p>
            <w:pPr>
              <w:pStyle w:val="Compact"/>
            </w:pPr>
            <w:r>
              <w:t xml:space="preserve">value_pj</w:t>
            </w:r>
          </w:p>
        </w:tc>
        <w:tc>
          <w:tcPr/>
          <w:p>
            <w:pPr>
              <w:pStyle w:val="Compact"/>
            </w:pPr>
            <w:r>
              <w:t xml:space="preserve">energy_basis</w:t>
            </w:r>
          </w:p>
        </w:tc>
        <w:tc>
          <w:tcPr/>
          <w:p>
            <w:pPr>
              <w:pStyle w:val="Compact"/>
            </w:pPr>
            <w:r>
              <w:t xml:space="preserve">source_location</w:t>
            </w:r>
          </w:p>
        </w:tc>
      </w:tr>
      <w:tr>
        <w:tc>
          <w:tcPr/>
          <w:p>
            <w:pPr>
              <w:pStyle w:val="Compact"/>
            </w:pPr>
            <w:r>
              <w:t xml:space="preserve">16</w:t>
            </w:r>
          </w:p>
        </w:tc>
        <w:tc>
          <w:tcPr/>
          <w:p>
            <w:pPr>
              <w:pStyle w:val="Compact"/>
            </w:pPr>
            <w:r>
              <w:t xml:space="preserve">verkehr</w:t>
            </w:r>
          </w:p>
        </w:tc>
        <w:tc>
          <w:tcPr/>
          <w:p>
            <w:pPr>
              <w:pStyle w:val="Compact"/>
            </w:pPr>
            <w:r>
              <w:t xml:space="preserve">90</w:t>
            </w:r>
          </w:p>
        </w:tc>
        <w:tc>
          <w:tcPr/>
          <w:p>
            <w:pPr>
              <w:pStyle w:val="Compact"/>
            </w:pPr>
            <w:r>
              <w:t xml:space="preserve">electricity_demand</w:t>
            </w:r>
          </w:p>
        </w:tc>
        <w:tc>
          <w:tcPr/>
          <w:p>
            <w:pPr>
              <w:pStyle w:val="Compact"/>
            </w:pPr>
            <w:r>
              <w:t xml:space="preserve">Tabelle 15, S. 60</w:t>
            </w:r>
          </w:p>
        </w:tc>
      </w:tr>
      <w:tr>
        <w:tc>
          <w:tcPr/>
          <w:p>
            <w:pPr>
              <w:pStyle w:val="Compact"/>
            </w:pPr>
            <w:r>
              <w:t xml:space="preserve">17</w:t>
            </w:r>
          </w:p>
        </w:tc>
        <w:tc>
          <w:tcPr/>
          <w:p>
            <w:pPr>
              <w:pStyle w:val="Compact"/>
            </w:pPr>
            <w:r>
              <w:t xml:space="preserve">gebaeude</w:t>
            </w:r>
          </w:p>
        </w:tc>
        <w:tc>
          <w:tcPr/>
          <w:p>
            <w:pPr>
              <w:pStyle w:val="Compact"/>
            </w:pPr>
            <w:r>
              <w:t xml:space="preserve">108</w:t>
            </w:r>
          </w:p>
        </w:tc>
        <w:tc>
          <w:tcPr/>
          <w:p>
            <w:pPr>
              <w:pStyle w:val="Compact"/>
            </w:pPr>
            <w:r>
              <w:t xml:space="preserve">electricity_demand</w:t>
            </w:r>
          </w:p>
        </w:tc>
        <w:tc>
          <w:tcPr/>
          <w:p>
            <w:pPr>
              <w:pStyle w:val="Compact"/>
            </w:pPr>
            <w:r>
              <w:t xml:space="preserve">Tabelle 15, S. 60</w:t>
            </w:r>
          </w:p>
        </w:tc>
      </w:tr>
      <w:tr>
        <w:tc>
          <w:tcPr/>
          <w:p>
            <w:pPr>
              <w:pStyle w:val="Compact"/>
            </w:pPr>
            <w:r>
              <w:t xml:space="preserve">18</w:t>
            </w:r>
          </w:p>
        </w:tc>
        <w:tc>
          <w:tcPr/>
          <w:p>
            <w:pPr>
              <w:pStyle w:val="Compact"/>
            </w:pPr>
            <w:r>
              <w:t xml:space="preserve">landwirtschaft</w:t>
            </w:r>
          </w:p>
        </w:tc>
        <w:tc>
          <w:tcPr/>
          <w:p>
            <w:pPr>
              <w:pStyle w:val="Compact"/>
            </w:pPr>
            <w:r>
              <w:t xml:space="preserve">4</w:t>
            </w:r>
          </w:p>
        </w:tc>
        <w:tc>
          <w:tcPr/>
          <w:p>
            <w:pPr>
              <w:pStyle w:val="Compact"/>
            </w:pPr>
            <w:r>
              <w:t xml:space="preserve">electricity_demand</w:t>
            </w:r>
          </w:p>
        </w:tc>
        <w:tc>
          <w:tcPr/>
          <w:p>
            <w:pPr>
              <w:pStyle w:val="Compact"/>
            </w:pPr>
            <w:r>
              <w:t xml:space="preserve">Tabelle 15, S. 60</w:t>
            </w:r>
          </w:p>
        </w:tc>
      </w:tr>
      <w:tr>
        <w:tc>
          <w:tcPr/>
          <w:p>
            <w:pPr>
              <w:pStyle w:val="Compact"/>
            </w:pPr>
            <w:r>
              <w:t xml:space="preserve">19</w:t>
            </w:r>
          </w:p>
        </w:tc>
        <w:tc>
          <w:tcPr/>
          <w:p>
            <w:pPr>
              <w:pStyle w:val="Compact"/>
            </w:pPr>
            <w:r>
              <w:t xml:space="preserve">industrie</w:t>
            </w:r>
          </w:p>
        </w:tc>
        <w:tc>
          <w:tcPr/>
          <w:p>
            <w:pPr>
              <w:pStyle w:val="Compact"/>
            </w:pPr>
            <w:r>
              <w:t xml:space="preserve">140</w:t>
            </w:r>
          </w:p>
        </w:tc>
        <w:tc>
          <w:tcPr/>
          <w:p>
            <w:pPr>
              <w:pStyle w:val="Compact"/>
            </w:pPr>
            <w:r>
              <w:t xml:space="preserve">electricity_demand</w:t>
            </w:r>
          </w:p>
        </w:tc>
        <w:tc>
          <w:tcPr/>
          <w:p>
            <w:pPr>
              <w:pStyle w:val="Compact"/>
            </w:pPr>
            <w:r>
              <w:t xml:space="preserve">Tabelle 15, S. 60</w:t>
            </w:r>
          </w:p>
        </w:tc>
      </w:tr>
      <w:tr>
        <w:tc>
          <w:tcPr/>
          <w:p>
            <w:pPr>
              <w:pStyle w:val="Compact"/>
            </w:pPr>
            <w:r>
              <w:t xml:space="preserve">20</w:t>
            </w:r>
          </w:p>
        </w:tc>
        <w:tc>
          <w:tcPr/>
          <w:p>
            <w:pPr>
              <w:pStyle w:val="Compact"/>
            </w:pPr>
            <w:r>
              <w:t xml:space="preserve">verbrauch_sektor_energie</w:t>
            </w:r>
          </w:p>
        </w:tc>
        <w:tc>
          <w:tcPr/>
          <w:p>
            <w:pPr>
              <w:pStyle w:val="Compact"/>
            </w:pPr>
            <w:r>
              <w:t xml:space="preserve">34</w:t>
            </w:r>
          </w:p>
        </w:tc>
        <w:tc>
          <w:tcPr/>
          <w:p>
            <w:pPr>
              <w:pStyle w:val="Compact"/>
            </w:pPr>
            <w:r>
              <w:t xml:space="preserve">electricity_demand</w:t>
            </w:r>
          </w:p>
        </w:tc>
        <w:tc>
          <w:tcPr/>
          <w:p>
            <w:pPr>
              <w:pStyle w:val="Compact"/>
            </w:pPr>
            <w:r>
              <w:t xml:space="preserve">Tabelle 15, S. 60</w:t>
            </w:r>
          </w:p>
        </w:tc>
      </w:tr>
      <w:tr>
        <w:tc>
          <w:tcPr/>
          <w:p>
            <w:pPr>
              <w:pStyle w:val="Compact"/>
            </w:pPr>
            <w:r>
              <w:t xml:space="preserve">21</w:t>
            </w:r>
          </w:p>
        </w:tc>
        <w:tc>
          <w:tcPr/>
          <w:p>
            <w:pPr>
              <w:pStyle w:val="Compact"/>
            </w:pPr>
            <w:r>
              <w:t xml:space="preserve">transportverluste</w:t>
            </w:r>
          </w:p>
        </w:tc>
        <w:tc>
          <w:tcPr/>
          <w:p>
            <w:pPr>
              <w:pStyle w:val="Compact"/>
            </w:pPr>
            <w:r>
              <w:t xml:space="preserve">19</w:t>
            </w:r>
          </w:p>
        </w:tc>
        <w:tc>
          <w:tcPr/>
          <w:p>
            <w:pPr>
              <w:pStyle w:val="Compact"/>
            </w:pPr>
            <w:r>
              <w:t xml:space="preserve">electricity_demand</w:t>
            </w:r>
          </w:p>
        </w:tc>
        <w:tc>
          <w:tcPr/>
          <w:p>
            <w:pPr>
              <w:pStyle w:val="Compact"/>
            </w:pPr>
            <w:r>
              <w:t xml:space="preserve">Tabelle 15, S. 60</w:t>
            </w:r>
          </w:p>
        </w:tc>
      </w:tr>
      <w:tr>
        <w:tc>
          <w:tcPr/>
          <w:p>
            <w:pPr>
              <w:pStyle w:val="Compact"/>
            </w:pPr>
            <w:r>
              <w:t xml:space="preserve">22</w:t>
            </w:r>
          </w:p>
        </w:tc>
        <w:tc>
          <w:tcPr/>
          <w:p>
            <w:pPr>
              <w:pStyle w:val="Compact"/>
            </w:pPr>
            <w:r>
              <w:t xml:space="preserve">umwandlungseinsatz</w:t>
            </w:r>
          </w:p>
        </w:tc>
        <w:tc>
          <w:tcPr/>
          <w:p>
            <w:pPr>
              <w:pStyle w:val="Compact"/>
            </w:pPr>
            <w:r>
              <w:t xml:space="preserve">57</w:t>
            </w:r>
          </w:p>
        </w:tc>
        <w:tc>
          <w:tcPr/>
          <w:p>
            <w:pPr>
              <w:pStyle w:val="Compact"/>
            </w:pPr>
            <w:r>
              <w:t xml:space="preserve">electricity_demand</w:t>
            </w:r>
          </w:p>
        </w:tc>
        <w:tc>
          <w:tcPr/>
          <w:p>
            <w:pPr>
              <w:pStyle w:val="Compact"/>
            </w:pPr>
            <w:r>
              <w:t xml:space="preserve">Tabelle 15, S. 60</w:t>
            </w:r>
          </w:p>
        </w:tc>
      </w:tr>
      <w:tr>
        <w:tc>
          <w:tcPr/>
          <w:p>
            <w:pPr>
              <w:pStyle w:val="Compact"/>
            </w:pPr>
            <w:r>
              <w:t xml:space="preserve">23</w:t>
            </w:r>
          </w:p>
        </w:tc>
        <w:tc>
          <w:tcPr/>
          <w:p>
            <w:pPr>
              <w:pStyle w:val="Compact"/>
            </w:pPr>
            <w:r>
              <w:t xml:space="preserve">electricity_demand_published_total</w:t>
            </w:r>
          </w:p>
        </w:tc>
        <w:tc>
          <w:tcPr/>
          <w:p>
            <w:pPr>
              <w:pStyle w:val="Compact"/>
            </w:pPr>
            <w:r>
              <w:t xml:space="preserve">450</w:t>
            </w:r>
          </w:p>
        </w:tc>
        <w:tc>
          <w:tcPr/>
          <w:p>
            <w:pPr>
              <w:pStyle w:val="Compact"/>
            </w:pPr>
            <w:r>
              <w:t xml:space="preserve">electricity_demand</w:t>
            </w:r>
          </w:p>
        </w:tc>
        <w:tc>
          <w:tcPr/>
          <w:p>
            <w:pPr>
              <w:pStyle w:val="Compact"/>
            </w:pPr>
            <w:r>
              <w:t xml:space="preserve">Tabelle 15, S. 60</w:t>
            </w:r>
          </w:p>
        </w:tc>
      </w:tr>
    </w:tbl>
    <w:bookmarkEnd w:id="501"/>
    <w:bookmarkStart w:id="502" w:name="quellbilanz-vor-allokation"/>
    <w:p>
      <w:pPr>
        <w:pStyle w:val="Heading2"/>
      </w:pPr>
      <w:r>
        <w:t xml:space="preserve">D.2 2. Quellbilanz vor Allokation</w:t>
      </w:r>
    </w:p>
    <w:p>
      <w:pPr>
        <w:pStyle w:val="FirstParagraph"/>
      </w:pPr>
      <m:oMath>
        <m:sSub>
          <m:e>
            <m:r>
              <m:t>R</m:t>
            </m:r>
          </m:e>
          <m:sub>
            <m:r>
              <m:t>Q</m:t>
            </m:r>
            <m:r>
              <m:t>u</m:t>
            </m:r>
            <m:r>
              <m:t>e</m:t>
            </m:r>
            <m:r>
              <m:t>l</m:t>
            </m:r>
            <m:r>
              <m:t>l</m:t>
            </m:r>
            <m:r>
              <m:t>e</m:t>
            </m:r>
          </m:sub>
        </m:sSub>
        <m:r>
          <m:rPr>
            <m:sty m:val="p"/>
          </m:rPr>
          <m:t>=</m:t>
        </m:r>
        <m:r>
          <m:t>G</m:t>
        </m:r>
        <m:r>
          <m:rPr>
            <m:sty m:val="p"/>
          </m:rPr>
          <m:t>+</m:t>
        </m:r>
        <m:r>
          <m:t>I</m:t>
        </m:r>
        <m:r>
          <m:rPr>
            <m:sty m:val="p"/>
          </m:rPr>
          <m:t>−</m:t>
        </m:r>
        <m:r>
          <m:t>D</m:t>
        </m:r>
      </m:oMath>
      <w:r>
        <w:t xml:space="preserve">. Nettoimporte</w:t>
      </w:r>
      <w:r>
        <w:t xml:space="preserve"> </w:t>
      </w:r>
      <m:oMath>
        <m:r>
          <m:t>I</m:t>
        </m:r>
        <m:r>
          <m:rPr>
            <m:sty m:val="p"/>
          </m:rPr>
          <m:t>&lt;</m:t>
        </m:r>
        <m:r>
          <m:t>0</m:t>
        </m:r>
      </m:oMath>
      <w:r>
        <w:t xml:space="preserve"> </w:t>
      </w:r>
      <w:r>
        <w:t xml:space="preserve">sind Exporte. Die gedruckte Gesamtsumme des Bedarfs wird neben der Summe der Komponenten erhalten. Die Zuordnung arbeitet mit den Komponenten, ohne ihren Unterschied zu verteilen.</w:t>
      </w:r>
    </w:p>
    <w:p>
      <w:pPr>
        <w:pStyle w:val="SourceCode"/>
      </w:pPr>
      <w:r>
        <w:rPr>
          <w:rStyle w:val="NormalTok"/>
        </w:rPr>
        <w:t xml:space="preserve">generation_keys</w:t>
      </w:r>
      <w:r>
        <w:rPr>
          <w:rStyle w:val="OperatorTok"/>
        </w:rPr>
        <w:t xml:space="preserve">=</w:t>
      </w:r>
      <w:r>
        <w:rPr>
          <w:rStyle w:val="NormalTok"/>
        </w:rPr>
        <w:t xml:space="preserve">[</w:t>
      </w:r>
      <w:r>
        <w:rPr>
          <w:rStyle w:val="StringTok"/>
        </w:rPr>
        <w:t xml:space="preserve">'hydro'</w:t>
      </w:r>
      <w:r>
        <w:rPr>
          <w:rStyle w:val="NormalTok"/>
        </w:rPr>
        <w:t xml:space="preserve">,</w:t>
      </w:r>
      <w:r>
        <w:rPr>
          <w:rStyle w:val="StringTok"/>
        </w:rPr>
        <w:t xml:space="preserve">'wind'</w:t>
      </w:r>
      <w:r>
        <w:rPr>
          <w:rStyle w:val="NormalTok"/>
        </w:rPr>
        <w:t xml:space="preserve">,</w:t>
      </w:r>
      <w:r>
        <w:rPr>
          <w:rStyle w:val="StringTok"/>
        </w:rPr>
        <w:t xml:space="preserve">'biomass'</w:t>
      </w:r>
      <w:r>
        <w:rPr>
          <w:rStyle w:val="NormalTok"/>
        </w:rPr>
        <w:t xml:space="preserve">,</w:t>
      </w:r>
      <w:r>
        <w:rPr>
          <w:rStyle w:val="StringTok"/>
        </w:rPr>
        <w:t xml:space="preserve">'geothermal'</w:t>
      </w:r>
      <w:r>
        <w:rPr>
          <w:rStyle w:val="NormalTok"/>
        </w:rPr>
        <w:t xml:space="preserve">,</w:t>
      </w:r>
      <w:r>
        <w:rPr>
          <w:rStyle w:val="StringTok"/>
        </w:rPr>
        <w:t xml:space="preserve">'hydrogen_electricity'</w:t>
      </w:r>
      <w:r>
        <w:rPr>
          <w:rStyle w:val="NormalTok"/>
        </w:rPr>
        <w:t xml:space="preserve">,</w:t>
      </w:r>
      <w:r>
        <w:rPr>
          <w:rStyle w:val="StringTok"/>
        </w:rPr>
        <w:t xml:space="preserve">'pv'</w:t>
      </w:r>
      <w:r>
        <w:rPr>
          <w:rStyle w:val="NormalTok"/>
        </w:rPr>
        <w:t xml:space="preserve">,</w:t>
      </w:r>
      <w:r>
        <w:rPr>
          <w:rStyle w:val="StringTok"/>
        </w:rPr>
        <w:t xml:space="preserve">'fossil'</w:t>
      </w:r>
      <w:r>
        <w:rPr>
          <w:rStyle w:val="NormalTok"/>
        </w:rPr>
        <w:t xml:space="preserve">]</w:t>
      </w:r>
      <w:r>
        <w:br/>
      </w:r>
      <w:r>
        <w:rPr>
          <w:rStyle w:val="NormalTok"/>
        </w:rPr>
        <w:t xml:space="preserve">demand_keys</w:t>
      </w:r>
      <w:r>
        <w:rPr>
          <w:rStyle w:val="OperatorTok"/>
        </w:rPr>
        <w:t xml:space="preserve">=</w:t>
      </w:r>
      <w:r>
        <w:rPr>
          <w:rStyle w:val="NormalTok"/>
        </w:rPr>
        <w:t xml:space="preserve">[</w:t>
      </w:r>
      <w:r>
        <w:rPr>
          <w:rStyle w:val="StringTok"/>
        </w:rPr>
        <w:t xml:space="preserve">'verkehr'</w:t>
      </w:r>
      <w:r>
        <w:rPr>
          <w:rStyle w:val="NormalTok"/>
        </w:rPr>
        <w:t xml:space="preserve">,</w:t>
      </w:r>
      <w:r>
        <w:rPr>
          <w:rStyle w:val="StringTok"/>
        </w:rPr>
        <w:t xml:space="preserve">'gebaeude'</w:t>
      </w:r>
      <w:r>
        <w:rPr>
          <w:rStyle w:val="NormalTok"/>
        </w:rPr>
        <w:t xml:space="preserve">,</w:t>
      </w:r>
      <w:r>
        <w:rPr>
          <w:rStyle w:val="StringTok"/>
        </w:rPr>
        <w:t xml:space="preserve">'industrie'</w:t>
      </w:r>
      <w:r>
        <w:rPr>
          <w:rStyle w:val="NormalTok"/>
        </w:rPr>
        <w:t xml:space="preserve">,</w:t>
      </w:r>
      <w:r>
        <w:rPr>
          <w:rStyle w:val="StringTok"/>
        </w:rPr>
        <w:t xml:space="preserve">'landwirtschaft'</w:t>
      </w:r>
      <w:r>
        <w:rPr>
          <w:rStyle w:val="NormalTok"/>
        </w:rPr>
        <w:t xml:space="preserve">,</w:t>
      </w:r>
      <w:r>
        <w:rPr>
          <w:rStyle w:val="StringTok"/>
        </w:rPr>
        <w:t xml:space="preserve">'verbrauch_sektor_energie'</w:t>
      </w:r>
      <w:r>
        <w:rPr>
          <w:rStyle w:val="NormalTok"/>
        </w:rPr>
        <w:t xml:space="preserve">,</w:t>
      </w:r>
      <w:r>
        <w:rPr>
          <w:rStyle w:val="StringTok"/>
        </w:rPr>
        <w:t xml:space="preserve">'transportverluste'</w:t>
      </w:r>
      <w:r>
        <w:rPr>
          <w:rStyle w:val="NormalTok"/>
        </w:rPr>
        <w:t xml:space="preserve">,</w:t>
      </w:r>
      <w:r>
        <w:rPr>
          <w:rStyle w:val="StringTok"/>
        </w:rPr>
        <w:t xml:space="preserve">'umwandlungseinsatz'</w:t>
      </w:r>
      <w:r>
        <w:rPr>
          <w:rStyle w:val="NormalTok"/>
        </w:rPr>
        <w:t xml:space="preserve">]</w:t>
      </w:r>
      <w:r>
        <w:br/>
      </w:r>
      <w:r>
        <w:rPr>
          <w:rStyle w:val="NormalTok"/>
        </w:rPr>
        <w:t xml:space="preserve">source_generation</w:t>
      </w:r>
      <w:r>
        <w:rPr>
          <w:rStyle w:val="OperatorTok"/>
        </w:rPr>
        <w:t xml:space="preserve">=</w:t>
      </w:r>
      <w:r>
        <w:rPr>
          <w:rStyle w:val="BuiltInTok"/>
        </w:rPr>
        <w:t xml:space="preserve">sum</w:t>
      </w:r>
      <w:r>
        <w:rPr>
          <w:rStyle w:val="NormalTok"/>
        </w:rPr>
        <w:t xml:space="preserve">(g[k] </w:t>
      </w:r>
      <w:r>
        <w:rPr>
          <w:rStyle w:val="ControlFlowTok"/>
        </w:rPr>
        <w:t xml:space="preserve">for</w:t>
      </w:r>
      <w:r>
        <w:rPr>
          <w:rStyle w:val="NormalTok"/>
        </w:rPr>
        <w:t xml:space="preserve"> k </w:t>
      </w:r>
      <w:r>
        <w:rPr>
          <w:rStyle w:val="KeywordTok"/>
        </w:rPr>
        <w:t xml:space="preserve">in</w:t>
      </w:r>
      <w:r>
        <w:rPr>
          <w:rStyle w:val="NormalTok"/>
        </w:rPr>
        <w:t xml:space="preserve"> generation_keys)</w:t>
      </w:r>
      <w:r>
        <w:br/>
      </w:r>
      <w:r>
        <w:rPr>
          <w:rStyle w:val="NormalTok"/>
        </w:rPr>
        <w:t xml:space="preserve">source_demand</w:t>
      </w:r>
      <w:r>
        <w:rPr>
          <w:rStyle w:val="OperatorTok"/>
        </w:rPr>
        <w:t xml:space="preserve">=</w:t>
      </w:r>
      <w:r>
        <w:rPr>
          <w:rStyle w:val="BuiltInTok"/>
        </w:rPr>
        <w:t xml:space="preserve">sum</w:t>
      </w:r>
      <w:r>
        <w:rPr>
          <w:rStyle w:val="NormalTok"/>
        </w:rPr>
        <w:t xml:space="preserve">(d[k] </w:t>
      </w:r>
      <w:r>
        <w:rPr>
          <w:rStyle w:val="ControlFlowTok"/>
        </w:rPr>
        <w:t xml:space="preserve">for</w:t>
      </w:r>
      <w:r>
        <w:rPr>
          <w:rStyle w:val="NormalTok"/>
        </w:rPr>
        <w:t xml:space="preserve"> k </w:t>
      </w:r>
      <w:r>
        <w:rPr>
          <w:rStyle w:val="KeywordTok"/>
        </w:rPr>
        <w:t xml:space="preserve">in</w:t>
      </w:r>
      <w:r>
        <w:rPr>
          <w:rStyle w:val="NormalTok"/>
        </w:rPr>
        <w:t xml:space="preserve"> demand_keys)</w:t>
      </w:r>
      <w:r>
        <w:br/>
      </w:r>
      <w:r>
        <w:rPr>
          <w:rStyle w:val="NormalTok"/>
        </w:rPr>
        <w:t xml:space="preserve">source_residual</w:t>
      </w:r>
      <w:r>
        <w:rPr>
          <w:rStyle w:val="OperatorTok"/>
        </w:rPr>
        <w:t xml:space="preserve">=</w:t>
      </w:r>
      <w:r>
        <w:rPr>
          <w:rStyle w:val="NormalTok"/>
        </w:rPr>
        <w:t xml:space="preserve">source_generation</w:t>
      </w:r>
      <w:r>
        <w:rPr>
          <w:rStyle w:val="OperatorTok"/>
        </w:rPr>
        <w:t xml:space="preserve">+</w:t>
      </w:r>
      <w:r>
        <w:rPr>
          <w:rStyle w:val="NormalTok"/>
        </w:rPr>
        <w:t xml:space="preserve">g[</w:t>
      </w:r>
      <w:r>
        <w:rPr>
          <w:rStyle w:val="StringTok"/>
        </w:rPr>
        <w:t xml:space="preserve">'net_imports'</w:t>
      </w:r>
      <w:r>
        <w:rPr>
          <w:rStyle w:val="NormalTok"/>
        </w:rPr>
        <w:t xml:space="preserve">]</w:t>
      </w:r>
      <w:r>
        <w:rPr>
          <w:rStyle w:val="OperatorTok"/>
        </w:rPr>
        <w:t xml:space="preserve">-</w:t>
      </w:r>
      <w:r>
        <w:rPr>
          <w:rStyle w:val="NormalTok"/>
        </w:rPr>
        <w:t xml:space="preserve">source_demand</w:t>
      </w:r>
      <w:r>
        <w:br/>
      </w:r>
      <w:r>
        <w:rPr>
          <w:rStyle w:val="ControlFlowTok"/>
        </w:rPr>
        <w:t xml:space="preserve">assert</w:t>
      </w:r>
      <w:r>
        <w:rPr>
          <w:rStyle w:val="NormalTok"/>
        </w:rPr>
        <w:t xml:space="preserve"> source_generation</w:t>
      </w:r>
      <w:r>
        <w:rPr>
          <w:rStyle w:val="OperatorTok"/>
        </w:rPr>
        <w:t xml:space="preserve">==</w:t>
      </w:r>
      <w:r>
        <w:rPr>
          <w:rStyle w:val="DecValTok"/>
        </w:rPr>
        <w:t xml:space="preserve">457</w:t>
      </w:r>
      <w:r>
        <w:rPr>
          <w:rStyle w:val="NormalTok"/>
        </w:rPr>
        <w:t xml:space="preserve"> </w:t>
      </w:r>
      <w:r>
        <w:rPr>
          <w:rStyle w:val="KeywordTok"/>
        </w:rPr>
        <w:t xml:space="preserve">and</w:t>
      </w:r>
      <w:r>
        <w:rPr>
          <w:rStyle w:val="NormalTok"/>
        </w:rPr>
        <w:t xml:space="preserve"> source_demand</w:t>
      </w:r>
      <w:r>
        <w:rPr>
          <w:rStyle w:val="OperatorTok"/>
        </w:rPr>
        <w:t xml:space="preserve">==</w:t>
      </w:r>
      <w:r>
        <w:rPr>
          <w:rStyle w:val="DecValTok"/>
        </w:rPr>
        <w:t xml:space="preserve">452</w:t>
      </w:r>
      <w:r>
        <w:rPr>
          <w:rStyle w:val="NormalTok"/>
        </w:rPr>
        <w:t xml:space="preserve"> </w:t>
      </w:r>
      <w:r>
        <w:rPr>
          <w:rStyle w:val="KeywordTok"/>
        </w:rPr>
        <w:t xml:space="preserve">and</w:t>
      </w:r>
      <w:r>
        <w:rPr>
          <w:rStyle w:val="NormalTok"/>
        </w:rPr>
        <w:t xml:space="preserve"> source_residual</w:t>
      </w:r>
      <w:r>
        <w:rPr>
          <w:rStyle w:val="OperatorTok"/>
        </w:rPr>
        <w:t xml:space="preserve">==-</w:t>
      </w:r>
      <w:r>
        <w:rPr>
          <w:rStyle w:val="DecValTok"/>
        </w:rPr>
        <w:t xml:space="preserve">2</w:t>
      </w:r>
      <w:r>
        <w:br/>
      </w:r>
      <w:r>
        <w:rPr>
          <w:rStyle w:val="NormalTok"/>
        </w:rPr>
        <w:t xml:space="preserve">display(pd.DataFrame({</w:t>
      </w:r>
      <w:r>
        <w:rPr>
          <w:rStyle w:val="StringTok"/>
        </w:rPr>
        <w:t xml:space="preserve">'Position'</w:t>
      </w:r>
      <w:r>
        <w:rPr>
          <w:rStyle w:val="NormalTok"/>
        </w:rPr>
        <w:t xml:space="preserve">:[</w:t>
      </w:r>
      <w:r>
        <w:rPr>
          <w:rStyle w:val="StringTok"/>
        </w:rPr>
        <w:t xml:space="preserve">'Erzeugung'</w:t>
      </w:r>
      <w:r>
        <w:rPr>
          <w:rStyle w:val="NormalTok"/>
        </w:rPr>
        <w:t xml:space="preserve">,</w:t>
      </w:r>
      <w:r>
        <w:rPr>
          <w:rStyle w:val="StringTok"/>
        </w:rPr>
        <w:t xml:space="preserve">'Nettoimporte'</w:t>
      </w:r>
      <w:r>
        <w:rPr>
          <w:rStyle w:val="NormalTok"/>
        </w:rPr>
        <w:t xml:space="preserve">,</w:t>
      </w:r>
      <w:r>
        <w:rPr>
          <w:rStyle w:val="StringTok"/>
        </w:rPr>
        <w:t xml:space="preserve">'Bedarf publiziert'</w:t>
      </w:r>
      <w:r>
        <w:rPr>
          <w:rStyle w:val="NormalTok"/>
        </w:rPr>
        <w:t xml:space="preserve">,</w:t>
      </w:r>
      <w:r>
        <w:rPr>
          <w:rStyle w:val="StringTok"/>
        </w:rPr>
        <w:t xml:space="preserve">'Bedarf Komponenten'</w:t>
      </w:r>
      <w:r>
        <w:rPr>
          <w:rStyle w:val="NormalTok"/>
        </w:rPr>
        <w:t xml:space="preserve">,</w:t>
      </w:r>
      <w:r>
        <w:rPr>
          <w:rStyle w:val="StringTok"/>
        </w:rPr>
        <w:t xml:space="preserve">'Rest Komponenten'</w:t>
      </w:r>
      <w:r>
        <w:rPr>
          <w:rStyle w:val="NormalTok"/>
        </w:rPr>
        <w:t xml:space="preserve">],</w:t>
      </w:r>
      <w:r>
        <w:br/>
      </w:r>
      <w:r>
        <w:rPr>
          <w:rStyle w:val="NormalTok"/>
        </w:rPr>
        <w:t xml:space="preserve">                      </w:t>
      </w:r>
      <w:r>
        <w:rPr>
          <w:rStyle w:val="StringTok"/>
        </w:rPr>
        <w:t xml:space="preserve">'PJ_el/a'</w:t>
      </w:r>
      <w:r>
        <w:rPr>
          <w:rStyle w:val="NormalTok"/>
        </w:rPr>
        <w:t xml:space="preserve">:[source_generation,g[</w:t>
      </w:r>
      <w:r>
        <w:rPr>
          <w:rStyle w:val="StringTok"/>
        </w:rPr>
        <w:t xml:space="preserve">'net_imports'</w:t>
      </w:r>
      <w:r>
        <w:rPr>
          <w:rStyle w:val="NormalTok"/>
        </w:rPr>
        <w:t xml:space="preserve">],d[</w:t>
      </w:r>
      <w:r>
        <w:rPr>
          <w:rStyle w:val="StringTok"/>
        </w:rPr>
        <w:t xml:space="preserve">'electricity_demand_published_total'</w:t>
      </w:r>
      <w:r>
        <w:rPr>
          <w:rStyle w:val="NormalTok"/>
        </w:rPr>
        <w:t xml:space="preserve">],source_demand,source_residual]}))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Position</w:t>
            </w:r>
          </w:p>
        </w:tc>
        <w:tc>
          <w:tcPr/>
          <w:p>
            <w:pPr>
              <w:pStyle w:val="Compact"/>
            </w:pPr>
            <w:r>
              <w:t xml:space="preserve">PJ_el/a</w:t>
            </w:r>
          </w:p>
        </w:tc>
      </w:tr>
      <w:tr>
        <w:tc>
          <w:tcPr/>
          <w:p>
            <w:pPr>
              <w:pStyle w:val="Compact"/>
            </w:pPr>
            <w:r>
              <w:t xml:space="preserve">0</w:t>
            </w:r>
          </w:p>
        </w:tc>
        <w:tc>
          <w:tcPr/>
          <w:p>
            <w:pPr>
              <w:pStyle w:val="Compact"/>
            </w:pPr>
            <w:r>
              <w:t xml:space="preserve">Erzeugung</w:t>
            </w:r>
          </w:p>
        </w:tc>
        <w:tc>
          <w:tcPr/>
          <w:p>
            <w:pPr>
              <w:pStyle w:val="Compact"/>
            </w:pPr>
            <w:r>
              <w:t xml:space="preserve">457</w:t>
            </w:r>
          </w:p>
        </w:tc>
      </w:tr>
      <w:tr>
        <w:tc>
          <w:tcPr/>
          <w:p>
            <w:pPr>
              <w:pStyle w:val="Compact"/>
            </w:pPr>
            <w:r>
              <w:t xml:space="preserve">1</w:t>
            </w:r>
          </w:p>
        </w:tc>
        <w:tc>
          <w:tcPr/>
          <w:p>
            <w:pPr>
              <w:pStyle w:val="Compact"/>
            </w:pPr>
            <w:r>
              <w:t xml:space="preserve">Nettoimporte</w:t>
            </w:r>
          </w:p>
        </w:tc>
        <w:tc>
          <w:tcPr/>
          <w:p>
            <w:pPr>
              <w:pStyle w:val="Compact"/>
            </w:pPr>
            <w:r>
              <w:t xml:space="preserve">-7</w:t>
            </w:r>
          </w:p>
        </w:tc>
      </w:tr>
      <w:tr>
        <w:tc>
          <w:tcPr/>
          <w:p>
            <w:pPr>
              <w:pStyle w:val="Compact"/>
            </w:pPr>
            <w:r>
              <w:t xml:space="preserve">2</w:t>
            </w:r>
          </w:p>
        </w:tc>
        <w:tc>
          <w:tcPr/>
          <w:p>
            <w:pPr>
              <w:pStyle w:val="Compact"/>
            </w:pPr>
            <w:r>
              <w:t xml:space="preserve">Bedarf publiziert</w:t>
            </w:r>
          </w:p>
        </w:tc>
        <w:tc>
          <w:tcPr/>
          <w:p>
            <w:pPr>
              <w:pStyle w:val="Compact"/>
            </w:pPr>
            <w:r>
              <w:t xml:space="preserve">450</w:t>
            </w:r>
          </w:p>
        </w:tc>
      </w:tr>
      <w:tr>
        <w:tc>
          <w:tcPr/>
          <w:p>
            <w:pPr>
              <w:pStyle w:val="Compact"/>
            </w:pPr>
            <w:r>
              <w:t xml:space="preserve">3</w:t>
            </w:r>
          </w:p>
        </w:tc>
        <w:tc>
          <w:tcPr/>
          <w:p>
            <w:pPr>
              <w:pStyle w:val="Compact"/>
            </w:pPr>
            <w:r>
              <w:t xml:space="preserve">Bedarf Komponenten</w:t>
            </w:r>
          </w:p>
        </w:tc>
        <w:tc>
          <w:tcPr/>
          <w:p>
            <w:pPr>
              <w:pStyle w:val="Compact"/>
            </w:pPr>
            <w:r>
              <w:t xml:space="preserve">452</w:t>
            </w:r>
          </w:p>
        </w:tc>
      </w:tr>
      <w:tr>
        <w:tc>
          <w:tcPr/>
          <w:p>
            <w:pPr>
              <w:pStyle w:val="Compact"/>
            </w:pPr>
            <w:r>
              <w:t xml:space="preserve">4</w:t>
            </w:r>
          </w:p>
        </w:tc>
        <w:tc>
          <w:tcPr/>
          <w:p>
            <w:pPr>
              <w:pStyle w:val="Compact"/>
            </w:pPr>
            <w:r>
              <w:t xml:space="preserve">Rest Komponenten</w:t>
            </w:r>
          </w:p>
        </w:tc>
        <w:tc>
          <w:tcPr/>
          <w:p>
            <w:pPr>
              <w:pStyle w:val="Compact"/>
            </w:pPr>
            <w:r>
              <w:t xml:space="preserve">-2</w:t>
            </w:r>
          </w:p>
        </w:tc>
      </w:tr>
    </w:tbl>
    <w:bookmarkEnd w:id="502"/>
    <w:bookmarkStart w:id="503" w:name="modellannahmen-vom-29.10.2026"/>
    <w:p>
      <w:pPr>
        <w:pStyle w:val="Heading2"/>
      </w:pPr>
      <w:r>
        <w:t xml:space="preserve">D.3 3. Modellannahmen vom 29.10.2026</w:t>
      </w:r>
    </w:p>
    <w:p>
      <w:pPr>
        <w:pStyle w:val="FirstParagraph"/>
      </w:pPr>
      <w:r>
        <w:t xml:space="preserve">Freiflächen-PV gehört zu den zentralen Großkraftwerken. Gebäude-PV umfasst Eigenverbrauch und Einspeisung. H₂-Rückverstromung (4 PJ/a) und fossiler Strom (1 PJ/a) werden vollständig als Deckung berücksichtigt; damit wird fossiler Strom nicht als erneuerbar bezeichnet.</w:t>
      </w:r>
    </w:p>
    <w:p>
      <w:pPr>
        <w:pStyle w:val="BodyText"/>
      </w:pPr>
      <w:r>
        <w:t xml:space="preserve">Der Nettoexport wird für dieses Modell mit</w:t>
      </w:r>
      <w:r>
        <w:t xml:space="preserve"> </w:t>
      </w:r>
      <w:r>
        <w:rPr>
          <w:b/>
          <w:bCs/>
        </w:rPr>
        <w:t xml:space="preserve">5 statt 7 PJ/a</w:t>
      </w:r>
      <w:r>
        <w:t xml:space="preserve"> </w:t>
      </w:r>
      <w:r>
        <w:t xml:space="preserve">angesetzt: 457 PJ Erzeugung = 452 PJ Bedarfskomponenten + 5 PJ Export. Die Quelldaten bleiben unverändert. Der Quellrest beträgt −2 PJ/a, der Modellrest null. Dies ist eine Modellannahme zur Bilanzschließung, keine Korrektur der UBA-Quelle.</w:t>
      </w:r>
    </w:p>
    <w:p>
      <w:pPr>
        <w:pStyle w:val="BodyText"/>
      </w:pPr>
      <w:r>
        <w:t xml:space="preserve">Die Referenz setzt 0 % Freiflächen-PV und 80/20/0 % MIV/ÖPNV/übrigen Verkehr. Verkehrsanteile beziehen sich auf den elektrischen Energiebedarf des Verkehrs insgesamt. Industrie, Landwirtschaft, Energiebranche, Umwandlung, Verluste und Export sowie Nicht-MIV-Verkehr werden einmalig abgezogen. Der Elektrolysebedarf bleibt enthalten.</w:t>
      </w:r>
    </w:p>
    <w:p>
      <w:pPr>
        <w:pStyle w:val="SourceCode"/>
      </w:pPr>
      <w:r>
        <w:rPr>
          <w:rStyle w:val="NormalTok"/>
        </w:rPr>
        <w:t xml:space="preserve">assumptions </w:t>
      </w:r>
      <w:r>
        <w:rPr>
          <w:rStyle w:val="OperatorTok"/>
        </w:rPr>
        <w:t xml:space="preserve">=</w:t>
      </w:r>
      <w:r>
        <w:rPr>
          <w:rStyle w:val="NormalTok"/>
        </w:rPr>
        <w:t xml:space="preserve"> </w:t>
      </w:r>
      <w:r>
        <w:rPr>
          <w:rStyle w:val="BuiltInTok"/>
        </w:rPr>
        <w:t xml:space="preserve">dict</w:t>
      </w:r>
      <w:r>
        <w:rPr>
          <w:rStyle w:val="NormalTok"/>
        </w:rPr>
        <w:t xml:space="preserve">(date</w:t>
      </w:r>
      <w:r>
        <w:rPr>
          <w:rStyle w:val="OperatorTok"/>
        </w:rPr>
        <w:t xml:space="preserve">=</w:t>
      </w:r>
      <w:r>
        <w:rPr>
          <w:rStyle w:val="StringTok"/>
        </w:rPr>
        <w:t xml:space="preserve">'2026-10-29'</w:t>
      </w:r>
      <w:r>
        <w:rPr>
          <w:rStyle w:val="NormalTok"/>
        </w:rPr>
        <w:t xml:space="preserve">, scenario</w:t>
      </w:r>
      <w:r>
        <w:rPr>
          <w:rStyle w:val="OperatorTok"/>
        </w:rPr>
        <w:t xml:space="preserve">=</w:t>
      </w:r>
      <w:r>
        <w:rPr>
          <w:rStyle w:val="StringTok"/>
        </w:rPr>
        <w:t xml:space="preserve">'transition_2040'</w:t>
      </w:r>
      <w:r>
        <w:rPr>
          <w:rStyle w:val="NormalTok"/>
        </w:rPr>
        <w:t xml:space="preserve">,</w:t>
      </w:r>
      <w:r>
        <w:br/>
      </w:r>
      <w:r>
        <w:rPr>
          <w:rStyle w:val="NormalTok"/>
        </w:rPr>
        <w:t xml:space="preserve">    source_net_exports_pj</w:t>
      </w:r>
      <w:r>
        <w:rPr>
          <w:rStyle w:val="OperatorTok"/>
        </w:rPr>
        <w:t xml:space="preserve">=</w:t>
      </w:r>
      <w:r>
        <w:rPr>
          <w:rStyle w:val="DecValTok"/>
        </w:rPr>
        <w:t xml:space="preserve">7</w:t>
      </w:r>
      <w:r>
        <w:rPr>
          <w:rStyle w:val="NormalTok"/>
        </w:rPr>
        <w:t xml:space="preserve">, model_net_exports_pj</w:t>
      </w:r>
      <w:r>
        <w:rPr>
          <w:rStyle w:val="OperatorTok"/>
        </w:rPr>
        <w:t xml:space="preserve">=</w:t>
      </w:r>
      <w:r>
        <w:rPr>
          <w:rStyle w:val="DecValTok"/>
        </w:rPr>
        <w:t xml:space="preserve">5</w:t>
      </w:r>
      <w:r>
        <w:rPr>
          <w:rStyle w:val="NormalTok"/>
        </w:rPr>
        <w:t xml:space="preserve">, export_adjustment_pj</w:t>
      </w:r>
      <w:r>
        <w:rPr>
          <w:rStyle w:val="OperatorTok"/>
        </w:rPr>
        <w:t xml:space="preserve">=-</w:t>
      </w:r>
      <w:r>
        <w:rPr>
          <w:rStyle w:val="DecValTok"/>
        </w:rPr>
        <w:t xml:space="preserve">2</w:t>
      </w:r>
      <w:r>
        <w:rPr>
          <w:rStyle w:val="NormalTok"/>
        </w:rPr>
        <w:t xml:space="preserve">,</w:t>
      </w:r>
      <w:r>
        <w:br/>
      </w:r>
      <w:r>
        <w:rPr>
          <w:rStyle w:val="NormalTok"/>
        </w:rPr>
        <w:t xml:space="preserve">    reason</w:t>
      </w:r>
      <w:r>
        <w:rPr>
          <w:rStyle w:val="OperatorTok"/>
        </w:rPr>
        <w:t xml:space="preserve">=</w:t>
      </w:r>
      <w:r>
        <w:rPr>
          <w:rStyle w:val="StringTok"/>
        </w:rPr>
        <w:t xml:space="preserve">'Dokumentierte Modellannahme zur Bilanzschließung bei 452 PJ Bedarfskomponenten'</w:t>
      </w:r>
      <w:r>
        <w:rPr>
          <w:rStyle w:val="NormalTok"/>
        </w:rPr>
        <w:t xml:space="preserve">,</w:t>
      </w:r>
      <w:r>
        <w:br/>
      </w:r>
      <w:r>
        <w:rPr>
          <w:rStyle w:val="NormalTok"/>
        </w:rPr>
        <w:t xml:space="preserve">    hydrogen_electricity_included_pj</w:t>
      </w:r>
      <w:r>
        <w:rPr>
          <w:rStyle w:val="OperatorTok"/>
        </w:rPr>
        <w:t xml:space="preserve">=</w:t>
      </w:r>
      <w:r>
        <w:rPr>
          <w:rStyle w:val="DecValTok"/>
        </w:rPr>
        <w:t xml:space="preserve">4</w:t>
      </w:r>
      <w:r>
        <w:rPr>
          <w:rStyle w:val="NormalTok"/>
        </w:rPr>
        <w:t xml:space="preserve">, fossil_included_pj</w:t>
      </w:r>
      <w:r>
        <w:rPr>
          <w:rStyle w:val="OperatorTok"/>
        </w:rPr>
        <w:t xml:space="preserve">=</w:t>
      </w:r>
      <w:r>
        <w:rPr>
          <w:rStyle w:val="DecValTok"/>
        </w:rPr>
        <w:t xml:space="preserve">1</w:t>
      </w:r>
      <w:r>
        <w:rPr>
          <w:rStyle w:val="NormalTok"/>
        </w:rPr>
        <w:t xml:space="preserve">)</w:t>
      </w:r>
      <w:r>
        <w:br/>
      </w:r>
      <w:r>
        <w:rPr>
          <w:rStyle w:val="NormalTok"/>
        </w:rPr>
        <w:t xml:space="preserve">parameters</w:t>
      </w:r>
      <w:r>
        <w:rPr>
          <w:rStyle w:val="OperatorTok"/>
        </w:rPr>
        <w:t xml:space="preserve">=</w:t>
      </w:r>
      <w:r>
        <w:rPr>
          <w:rStyle w:val="BuiltInTok"/>
        </w:rPr>
        <w:t xml:space="preserve">dict</w:t>
      </w:r>
      <w:r>
        <w:rPr>
          <w:rStyle w:val="NormalTok"/>
        </w:rPr>
        <w:t xml:space="preserve">(other_pv_share</w:t>
      </w:r>
      <w:r>
        <w:rPr>
          <w:rStyle w:val="OperatorTok"/>
        </w:rPr>
        <w:t xml:space="preserve">=</w:t>
      </w:r>
      <w:r>
        <w:rPr>
          <w:rStyle w:val="FloatTok"/>
        </w:rPr>
        <w:t xml:space="preserve">0.</w:t>
      </w:r>
      <w:r>
        <w:rPr>
          <w:rStyle w:val="NormalTok"/>
        </w:rPr>
        <w:t xml:space="preserve">,miv_share</w:t>
      </w:r>
      <w:r>
        <w:rPr>
          <w:rStyle w:val="OperatorTok"/>
        </w:rPr>
        <w:t xml:space="preserve">=</w:t>
      </w:r>
      <w:r>
        <w:rPr>
          <w:rStyle w:val="FloatTok"/>
        </w:rPr>
        <w:t xml:space="preserve">.8</w:t>
      </w:r>
      <w:r>
        <w:rPr>
          <w:rStyle w:val="NormalTok"/>
        </w:rPr>
        <w:t xml:space="preserve">,public_transport_share</w:t>
      </w:r>
      <w:r>
        <w:rPr>
          <w:rStyle w:val="OperatorTok"/>
        </w:rPr>
        <w:t xml:space="preserve">=</w:t>
      </w:r>
      <w:r>
        <w:rPr>
          <w:rStyle w:val="FloatTok"/>
        </w:rPr>
        <w:t xml:space="preserve">.2</w:t>
      </w:r>
      <w:r>
        <w:rPr>
          <w:rStyle w:val="NormalTok"/>
        </w:rPr>
        <w:t xml:space="preserve">,other_transport_share</w:t>
      </w:r>
      <w:r>
        <w:rPr>
          <w:rStyle w:val="OperatorTok"/>
        </w:rPr>
        <w:t xml:space="preserve">=</w:t>
      </w:r>
      <w:r>
        <w:rPr>
          <w:rStyle w:val="FloatTok"/>
        </w:rPr>
        <w:t xml:space="preserve">0.</w:t>
      </w:r>
      <w:r>
        <w:rPr>
          <w:rStyle w:val="NormalTok"/>
        </w:rPr>
        <w:t xml:space="preserve">,</w:t>
      </w:r>
      <w:r>
        <w:br/>
      </w:r>
      <w:r>
        <w:rPr>
          <w:rStyle w:val="NormalTok"/>
        </w:rPr>
        <w:t xml:space="preserve">    source</w:t>
      </w:r>
      <w:r>
        <w:rPr>
          <w:rStyle w:val="OperatorTok"/>
        </w:rPr>
        <w:t xml:space="preserve">=</w:t>
      </w:r>
      <w:r>
        <w:rPr>
          <w:rStyle w:val="StringTok"/>
        </w:rPr>
        <w:t xml:space="preserve">'Modellannahmen 29.10.2026; PV- und Verkehrsanteile sind Varianten'</w:t>
      </w:r>
      <w:r>
        <w:rPr>
          <w:rStyle w:val="NormalTok"/>
        </w:rPr>
        <w:t xml:space="preserve">,</w:t>
      </w:r>
      <w:r>
        <w:br/>
      </w:r>
      <w:r>
        <w:rPr>
          <w:rStyle w:val="NormalTok"/>
        </w:rPr>
        <w:t xml:space="preserve">    pe_factor_electricity</w:t>
      </w:r>
      <w:r>
        <w:rPr>
          <w:rStyle w:val="OperatorTok"/>
        </w:rPr>
        <w:t xml:space="preserve">=</w:t>
      </w:r>
      <w:r>
        <w:rPr>
          <w:rStyle w:val="VariableTok"/>
        </w:rPr>
        <w:t xml:space="preserve">None</w:t>
      </w:r>
      <w:r>
        <w:rPr>
          <w:rStyle w:val="NormalTok"/>
        </w:rPr>
        <w:t xml:space="preserve">,pe_factor_year</w:t>
      </w:r>
      <w:r>
        <w:rPr>
          <w:rStyle w:val="OperatorTok"/>
        </w:rPr>
        <w:t xml:space="preserve">=</w:t>
      </w:r>
      <w:r>
        <w:rPr>
          <w:rStyle w:val="VariableTok"/>
        </w:rPr>
        <w:t xml:space="preserve">None</w:t>
      </w:r>
      <w:r>
        <w:rPr>
          <w:rStyle w:val="NormalTok"/>
        </w:rPr>
        <w:t xml:space="preserve">,pe_factor_source</w:t>
      </w:r>
      <w:r>
        <w:rPr>
          <w:rStyle w:val="OperatorTok"/>
        </w:rPr>
        <w:t xml:space="preserve">=</w:t>
      </w:r>
      <w:r>
        <w:rPr>
          <w:rStyle w:val="VariableTok"/>
        </w:rPr>
        <w:t xml:space="preserve">None</w:t>
      </w:r>
      <w:r>
        <w:rPr>
          <w:rStyle w:val="NormalTok"/>
        </w:rPr>
        <w:t xml:space="preserve">)</w:t>
      </w:r>
      <w:r>
        <w:br/>
      </w:r>
      <w:r>
        <w:rPr>
          <w:rStyle w:val="NormalTok"/>
        </w:rPr>
        <w:t xml:space="preserve">model_residual</w:t>
      </w:r>
      <w:r>
        <w:rPr>
          <w:rStyle w:val="OperatorTok"/>
        </w:rPr>
        <w:t xml:space="preserve">=</w:t>
      </w:r>
      <w:r>
        <w:rPr>
          <w:rStyle w:val="NormalTok"/>
        </w:rPr>
        <w:t xml:space="preserve">source_generation</w:t>
      </w:r>
      <w:r>
        <w:rPr>
          <w:rStyle w:val="OperatorTok"/>
        </w:rPr>
        <w:t xml:space="preserve">-</w:t>
      </w:r>
      <w:r>
        <w:rPr>
          <w:rStyle w:val="NormalTok"/>
        </w:rPr>
        <w:t xml:space="preserve">assumptions[</w:t>
      </w:r>
      <w:r>
        <w:rPr>
          <w:rStyle w:val="StringTok"/>
        </w:rPr>
        <w:t xml:space="preserve">'model_net_exports_pj'</w:t>
      </w:r>
      <w:r>
        <w:rPr>
          <w:rStyle w:val="NormalTok"/>
        </w:rPr>
        <w:t xml:space="preserve">]</w:t>
      </w:r>
      <w:r>
        <w:rPr>
          <w:rStyle w:val="OperatorTok"/>
        </w:rPr>
        <w:t xml:space="preserve">-</w:t>
      </w:r>
      <w:r>
        <w:rPr>
          <w:rStyle w:val="NormalTok"/>
        </w:rPr>
        <w:t xml:space="preserve">source_demand</w:t>
      </w:r>
      <w:r>
        <w:br/>
      </w:r>
      <w:r>
        <w:rPr>
          <w:rStyle w:val="ControlFlowTok"/>
        </w:rPr>
        <w:t xml:space="preserve">assert</w:t>
      </w:r>
      <w:r>
        <w:rPr>
          <w:rStyle w:val="NormalTok"/>
        </w:rPr>
        <w:t xml:space="preserve"> np.isclose(model_residual,</w:t>
      </w:r>
      <w:r>
        <w:rPr>
          <w:rStyle w:val="DecValTok"/>
        </w:rPr>
        <w:t xml:space="preserve">0</w:t>
      </w:r>
      <w:r>
        <w:rPr>
          <w:rStyle w:val="NormalTok"/>
        </w:rPr>
        <w:t xml:space="preserve">)</w:t>
      </w:r>
      <w:r>
        <w:br/>
      </w:r>
      <w:r>
        <w:rPr>
          <w:rStyle w:val="NormalTok"/>
        </w:rPr>
        <w:t xml:space="preserve">display(pd.DataFrame([assumptions]).T)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0</w:t>
            </w:r>
          </w:p>
        </w:tc>
      </w:tr>
      <w:tr>
        <w:tc>
          <w:tcPr/>
          <w:p>
            <w:pPr>
              <w:pStyle w:val="Compact"/>
            </w:pPr>
            <w:r>
              <w:t xml:space="preserve">date</w:t>
            </w:r>
          </w:p>
        </w:tc>
        <w:tc>
          <w:tcPr/>
          <w:p>
            <w:pPr>
              <w:pStyle w:val="Compact"/>
            </w:pPr>
            <w:r>
              <w:t xml:space="preserve">2026-10-29</w:t>
            </w:r>
          </w:p>
        </w:tc>
      </w:tr>
      <w:tr>
        <w:tc>
          <w:tcPr/>
          <w:p>
            <w:pPr>
              <w:pStyle w:val="Compact"/>
            </w:pPr>
            <w:r>
              <w:t xml:space="preserve">scenario</w:t>
            </w:r>
          </w:p>
        </w:tc>
        <w:tc>
          <w:tcPr/>
          <w:p>
            <w:pPr>
              <w:pStyle w:val="Compact"/>
            </w:pPr>
            <w:r>
              <w:t xml:space="preserve">transition_2040</w:t>
            </w:r>
          </w:p>
        </w:tc>
      </w:tr>
      <w:tr>
        <w:tc>
          <w:tcPr/>
          <w:p>
            <w:pPr>
              <w:pStyle w:val="Compact"/>
            </w:pPr>
            <w:r>
              <w:t xml:space="preserve">source_net_exports_pj</w:t>
            </w:r>
          </w:p>
        </w:tc>
        <w:tc>
          <w:tcPr/>
          <w:p>
            <w:pPr>
              <w:pStyle w:val="Compact"/>
            </w:pPr>
            <w:r>
              <w:t xml:space="preserve">7</w:t>
            </w:r>
          </w:p>
        </w:tc>
      </w:tr>
      <w:tr>
        <w:tc>
          <w:tcPr/>
          <w:p>
            <w:pPr>
              <w:pStyle w:val="Compact"/>
            </w:pPr>
            <w:r>
              <w:t xml:space="preserve">model_net_exports_pj</w:t>
            </w:r>
          </w:p>
        </w:tc>
        <w:tc>
          <w:tcPr/>
          <w:p>
            <w:pPr>
              <w:pStyle w:val="Compact"/>
            </w:pPr>
            <w:r>
              <w:t xml:space="preserve">5</w:t>
            </w:r>
          </w:p>
        </w:tc>
      </w:tr>
      <w:tr>
        <w:tc>
          <w:tcPr/>
          <w:p>
            <w:pPr>
              <w:pStyle w:val="Compact"/>
            </w:pPr>
            <w:r>
              <w:t xml:space="preserve">export_adjustment_pj</w:t>
            </w:r>
          </w:p>
        </w:tc>
        <w:tc>
          <w:tcPr/>
          <w:p>
            <w:pPr>
              <w:pStyle w:val="Compact"/>
            </w:pPr>
            <w:r>
              <w:t xml:space="preserve">-2</w:t>
            </w:r>
          </w:p>
        </w:tc>
      </w:tr>
      <w:tr>
        <w:tc>
          <w:tcPr/>
          <w:p>
            <w:pPr>
              <w:pStyle w:val="Compact"/>
            </w:pPr>
            <w:r>
              <w:t xml:space="preserve">reason</w:t>
            </w:r>
          </w:p>
        </w:tc>
        <w:tc>
          <w:tcPr/>
          <w:p>
            <w:pPr>
              <w:pStyle w:val="Compact"/>
            </w:pPr>
            <w:r>
              <w:t xml:space="preserve">Dokumentierte Modellannahme zur Bilanzschließu...</w:t>
            </w:r>
          </w:p>
        </w:tc>
      </w:tr>
      <w:tr>
        <w:tc>
          <w:tcPr/>
          <w:p>
            <w:pPr>
              <w:pStyle w:val="Compact"/>
            </w:pPr>
            <w:r>
              <w:t xml:space="preserve">hydrogen_electricity_included_pj</w:t>
            </w:r>
          </w:p>
        </w:tc>
        <w:tc>
          <w:tcPr/>
          <w:p>
            <w:pPr>
              <w:pStyle w:val="Compact"/>
            </w:pPr>
            <w:r>
              <w:t xml:space="preserve">4</w:t>
            </w:r>
          </w:p>
        </w:tc>
      </w:tr>
      <w:tr>
        <w:tc>
          <w:tcPr/>
          <w:p>
            <w:pPr>
              <w:pStyle w:val="Compact"/>
            </w:pPr>
            <w:r>
              <w:t xml:space="preserve">fossil_included_pj</w:t>
            </w:r>
          </w:p>
        </w:tc>
        <w:tc>
          <w:tcPr/>
          <w:p>
            <w:pPr>
              <w:pStyle w:val="Compact"/>
            </w:pPr>
            <w:r>
              <w:t xml:space="preserve">1</w:t>
            </w:r>
          </w:p>
        </w:tc>
      </w:tr>
    </w:tbl>
    <w:bookmarkEnd w:id="503"/>
    <w:bookmarkStart w:id="504" w:name="zentrale-großkraftwerke-und-restdeckung"/>
    <w:p>
      <w:pPr>
        <w:pStyle w:val="Heading2"/>
      </w:pPr>
      <w:r>
        <w:t xml:space="preserve">D.4 4. Zentrale Großkraftwerke und Restdeckung</w:t>
      </w:r>
    </w:p>
    <w:p>
      <w:pPr>
        <w:pStyle w:val="FirstParagraph"/>
      </w:pPr>
      <m:oMathPara>
        <m:oMathParaPr>
          <m:jc m:val="center"/>
        </m:oMathParaPr>
        <m:oMath>
          <m:r>
            <m:t>C</m:t>
          </m:r>
          <m:r>
            <m:rPr>
              <m:sty m:val="p"/>
            </m:rPr>
            <m:t>=</m:t>
          </m:r>
          <m:nary>
            <m:naryPr>
              <m:chr m:val="∑"/>
              <m:limLoc m:val="undOvr"/>
              <m:subHide m:val="off"/>
              <m:supHide m:val="on"/>
            </m:naryPr>
            <m:sub>
              <m:r>
                <m:t>i</m:t>
              </m:r>
              <m:r>
                <m:rPr>
                  <m:sty m:val="p"/>
                </m:rPr>
                <m:t>≠</m:t>
              </m:r>
              <m:r>
                <m:t>P</m:t>
              </m:r>
              <m:r>
                <m:t>V</m:t>
              </m:r>
            </m:sub>
            <m:sup>
              <m:r>
                <m:t>​</m:t>
              </m:r>
            </m:sup>
            <m:e>
              <m:sSub>
                <m:e>
                  <m:r>
                    <m:t>G</m:t>
                  </m:r>
                </m:e>
                <m:sub>
                  <m:r>
                    <m:t>i</m:t>
                  </m:r>
                </m:sub>
              </m:sSub>
            </m:e>
          </m:nary>
          <m:r>
            <m:rPr>
              <m:sty m:val="p"/>
            </m:rPr>
            <m:t>+</m:t>
          </m:r>
          <m:r>
            <m:t>f</m:t>
          </m:r>
          <m:sSub>
            <m:e>
              <m:r>
                <m:t>G</m:t>
              </m:r>
            </m:e>
            <m:sub>
              <m:r>
                <m:t>P</m:t>
              </m:r>
              <m:r>
                <m:t>V</m:t>
              </m:r>
            </m:sub>
          </m:sSub>
          <m:r>
            <m:rPr>
              <m:sty m:val="p"/>
            </m:rPr>
            <m:t>+</m:t>
          </m:r>
          <m:sSub>
            <m:e>
              <m:r>
                <m:t>I</m:t>
              </m:r>
            </m:e>
            <m:sub>
              <m:r>
                <m:rPr>
                  <m:sty m:val="p"/>
                </m:rPr>
                <m:t>+</m:t>
              </m:r>
            </m:sub>
          </m:sSub>
          <m:r>
            <m:rPr>
              <m:sty m:val="p"/>
            </m:rPr>
            <m:t>,</m:t>
          </m:r>
          <m:r>
            <m:t>  </m:t>
          </m:r>
          <m:r>
            <m:t>R</m:t>
          </m:r>
          <m:r>
            <m:rPr>
              <m:sty m:val="p"/>
            </m:rPr>
            <m:t>=</m:t>
          </m:r>
          <m:r>
            <m:t>C</m:t>
          </m:r>
          <m:r>
            <m:rPr>
              <m:sty m:val="p"/>
            </m:rPr>
            <m:t>−</m:t>
          </m:r>
          <m:r>
            <m:t>F</m:t>
          </m:r>
          <m:r>
            <m:rPr>
              <m:sty m:val="p"/>
            </m:rPr>
            <m:t>−</m:t>
          </m:r>
          <m:r>
            <m:rPr>
              <m:sty m:val="p"/>
            </m:rPr>
            <m:t>(</m:t>
          </m:r>
          <m:r>
            <m:t>o</m:t>
          </m:r>
          <m:r>
            <m:rPr>
              <m:sty m:val="p"/>
            </m:rPr>
            <m:t>+</m:t>
          </m:r>
          <m:r>
            <m:t>r</m:t>
          </m:r>
          <m:r>
            <m:rPr>
              <m:sty m:val="p"/>
            </m:rPr>
            <m:t>)</m:t>
          </m:r>
          <m:sSub>
            <m:e>
              <m:r>
                <m:t>D</m:t>
              </m:r>
            </m:e>
            <m:sub>
              <m:r>
                <m:t>V</m:t>
              </m:r>
              <m:r>
                <m:t>e</m:t>
              </m:r>
              <m:r>
                <m:t>r</m:t>
              </m:r>
              <m:r>
                <m:t>k</m:t>
              </m:r>
              <m:r>
                <m:t>e</m:t>
              </m:r>
              <m:r>
                <m:t>h</m:t>
              </m:r>
              <m:r>
                <m:t>r</m:t>
              </m:r>
            </m:sub>
          </m:sSub>
          <m:r>
            <m:rPr>
              <m:sty m:val="p"/>
            </m:rPr>
            <m:t>.</m:t>
          </m:r>
        </m:oMath>
      </m:oMathPara>
    </w:p>
    <w:p>
      <w:pPr>
        <w:pStyle w:val="FirstParagraph"/>
      </w:pPr>
      <m:oMath>
        <m:r>
          <m:t>F</m:t>
        </m:r>
      </m:oMath>
      <w:r>
        <w:t xml:space="preserve"> </w:t>
      </w:r>
      <w:r>
        <w:t xml:space="preserve">enthält die priorisierten Bedarfe einschließlich Modell-Nettoexport. Die Restdeckung</w:t>
      </w:r>
      <w:r>
        <w:t xml:space="preserve"> </w:t>
      </w:r>
      <m:oMath>
        <m:r>
          <m:t>R</m:t>
        </m:r>
      </m:oMath>
      <w:r>
        <w:t xml:space="preserve"> </w:t>
      </w:r>
      <w:r>
        <w:t xml:space="preserve">wird vollständig Gebäude + MIV zugeordnet, ohne Obergrenze durch den MIV-Bedarf. Ein negatives</w:t>
      </w:r>
      <w:r>
        <w:t xml:space="preserve"> </w:t>
      </w:r>
      <m:oMath>
        <m:r>
          <m:t>R</m:t>
        </m:r>
      </m:oMath>
      <w:r>
        <w:t xml:space="preserve"> </w:t>
      </w:r>
      <w:r>
        <w:t xml:space="preserve">wird als zentraler Fehlbetrag separat dargestellt und durch den Gebäude-PV-Überschuss ausgeglichen.</w:t>
      </w:r>
    </w:p>
    <w:bookmarkEnd w:id="504"/>
    <w:bookmarkStart w:id="505" w:name="vollständige-zuordnungsprüfung"/>
    <w:p>
      <w:pPr>
        <w:pStyle w:val="Heading2"/>
      </w:pPr>
      <w:r>
        <w:t xml:space="preserve">D.5 5. Vollständige Zuordnungsprüfung</w:t>
      </w:r>
    </w:p>
    <w:p>
      <w:pPr>
        <w:pStyle w:val="FirstParagraph"/>
      </w:pPr>
      <m:oMathPara>
        <m:oMathParaPr>
          <m:jc m:val="center"/>
        </m:oMathParaPr>
        <m:oMath>
          <m:sSub>
            <m:e>
              <m:r>
                <m:t>B</m:t>
              </m:r>
            </m:e>
            <m:sub>
              <m:r>
                <m:t>G</m:t>
              </m:r>
              <m:r>
                <m:t>e</m:t>
              </m:r>
              <m:r>
                <m:t>b</m:t>
              </m:r>
              <m:r>
                <m:rPr>
                  <m:sty m:val="p"/>
                </m:rPr>
                <m:t>+</m:t>
              </m:r>
              <m:r>
                <m:t>M</m:t>
              </m:r>
              <m:r>
                <m:t>I</m:t>
              </m:r>
              <m:r>
                <m:t>V</m:t>
              </m:r>
            </m:sub>
          </m:sSub>
          <m:r>
            <m:rPr>
              <m:sty m:val="p"/>
            </m:rPr>
            <m:t>=</m:t>
          </m:r>
          <m:r>
            <m:rPr>
              <m:sty m:val="p"/>
            </m:rPr>
            <m:t>(</m:t>
          </m:r>
          <m:r>
            <m:t>1</m:t>
          </m:r>
          <m:r>
            <m:rPr>
              <m:sty m:val="p"/>
            </m:rPr>
            <m:t>−</m:t>
          </m:r>
          <m:r>
            <m:t>f</m:t>
          </m:r>
          <m:r>
            <m:rPr>
              <m:sty m:val="p"/>
            </m:rPr>
            <m:t>)</m:t>
          </m:r>
          <m:sSub>
            <m:e>
              <m:r>
                <m:t>G</m:t>
              </m:r>
            </m:e>
            <m:sub>
              <m:r>
                <m:t>P</m:t>
              </m:r>
              <m:r>
                <m:t>V</m:t>
              </m:r>
            </m:sub>
          </m:sSub>
          <m:r>
            <m:rPr>
              <m:sty m:val="p"/>
            </m:rPr>
            <m:t>+</m:t>
          </m:r>
          <m:r>
            <m:t>R</m:t>
          </m:r>
          <m:r>
            <m:rPr>
              <m:sty m:val="p"/>
            </m:rPr>
            <m:t>−</m:t>
          </m:r>
          <m:sSub>
            <m:e>
              <m:r>
                <m:t>D</m:t>
              </m:r>
            </m:e>
            <m:sub>
              <m:r>
                <m:t>G</m:t>
              </m:r>
              <m:r>
                <m:t>e</m:t>
              </m:r>
              <m:r>
                <m:t>b</m:t>
              </m:r>
            </m:sub>
          </m:sSub>
          <m:r>
            <m:rPr>
              <m:sty m:val="p"/>
            </m:rPr>
            <m:t>−</m:t>
          </m:r>
          <m:r>
            <m:t>m</m:t>
          </m:r>
          <m:sSub>
            <m:e>
              <m:r>
                <m:t>D</m:t>
              </m:r>
            </m:e>
            <m:sub>
              <m:r>
                <m:t>V</m:t>
              </m:r>
              <m:r>
                <m:t>e</m:t>
              </m:r>
              <m:r>
                <m:t>r</m:t>
              </m:r>
              <m:r>
                <m:t>k</m:t>
              </m:r>
              <m:r>
                <m:t>e</m:t>
              </m:r>
              <m:r>
                <m:t>h</m:t>
              </m:r>
              <m:r>
                <m:t>r</m:t>
              </m:r>
            </m:sub>
          </m:sSub>
          <m:r>
            <m:rPr>
              <m:sty m:val="p"/>
            </m:rPr>
            <m:t>=</m:t>
          </m:r>
          <m:sSub>
            <m:e>
              <m:r>
                <m:t>R</m:t>
              </m:r>
            </m:e>
            <m:sub>
              <m:r>
                <m:t>M</m:t>
              </m:r>
              <m:r>
                <m:t>o</m:t>
              </m:r>
              <m:r>
                <m:t>d</m:t>
              </m:r>
              <m:r>
                <m:t>e</m:t>
              </m:r>
              <m:r>
                <m:t>l</m:t>
              </m:r>
              <m:r>
                <m:t>l</m:t>
              </m:r>
            </m:sub>
          </m:sSub>
          <m:r>
            <m:rPr>
              <m:sty m:val="p"/>
            </m:rPr>
            <m:t>=</m:t>
          </m:r>
          <m:r>
            <m:t>0</m:t>
          </m:r>
          <m:r>
            <m:rPr>
              <m:sty m:val="p"/>
            </m:rPr>
            <m:t>.</m:t>
          </m:r>
        </m:oMath>
      </m:oMathPara>
    </w:p>
    <w:p>
      <w:pPr>
        <w:pStyle w:val="FirstParagraph"/>
      </w:pPr>
      <w:r>
        <w:t xml:space="preserve">Für die Anzeige gilt: verfügbare Restdeckung</w:t>
      </w:r>
      <w:r>
        <w:t xml:space="preserve"> </w:t>
      </w:r>
      <m:oMath>
        <m:r>
          <m:rPr>
            <m:sty m:val="p"/>
          </m:rPr>
          <m:t>=</m:t>
        </m:r>
        <m:r>
          <m:rPr>
            <m:sty m:val="p"/>
          </m:rPr>
          <m:t>max</m:t>
        </m:r>
        <m:r>
          <m:rPr>
            <m:sty m:val="p"/>
          </m:rPr>
          <m:t>(</m:t>
        </m:r>
        <m:r>
          <m:t>R</m:t>
        </m:r>
        <m:r>
          <m:rPr>
            <m:sty m:val="p"/>
          </m:rPr>
          <m:t>,</m:t>
        </m:r>
        <m:r>
          <m:t>0</m:t>
        </m:r>
        <m:r>
          <m:rPr>
            <m:sty m:val="p"/>
          </m:rPr>
          <m:t>)</m:t>
        </m:r>
      </m:oMath>
      <w:r>
        <w:t xml:space="preserve">, zentraler Fehlbetrag</w:t>
      </w:r>
      <w:r>
        <w:t xml:space="preserve"> </w:t>
      </w:r>
      <m:oMath>
        <m:r>
          <m:rPr>
            <m:sty m:val="p"/>
          </m:rPr>
          <m:t>=</m:t>
        </m:r>
        <m:r>
          <m:rPr>
            <m:sty m:val="p"/>
          </m:rPr>
          <m:t>max</m:t>
        </m:r>
        <m:r>
          <m:rPr>
            <m:sty m:val="p"/>
          </m:rPr>
          <m:t>(</m:t>
        </m:r>
        <m:r>
          <m:rPr>
            <m:sty m:val="p"/>
          </m:rPr>
          <m:t>−</m:t>
        </m:r>
        <m:r>
          <m:t>R</m:t>
        </m:r>
        <m:r>
          <m:rPr>
            <m:sty m:val="p"/>
          </m:rPr>
          <m:t>,</m:t>
        </m:r>
        <m:r>
          <m:t>0</m:t>
        </m:r>
        <m:r>
          <m:rPr>
            <m:sty m:val="p"/>
          </m:rPr>
          <m:t>)</m:t>
        </m:r>
      </m:oMath>
      <w:r>
        <w:t xml:space="preserve">. Der Fehlbetrag darf nicht durch Kappung verschwinden. Gebäude-PV plus verfügbare Restdeckung decken Gebäude, MIV und gegebenenfalls diesen zentralen Fehlbetrag.</w:t>
      </w:r>
    </w:p>
    <w:p>
      <w:pPr>
        <w:pStyle w:val="SourceCode"/>
      </w:pPr>
      <w:r>
        <w:rPr>
          <w:rStyle w:val="KeywordTok"/>
        </w:rPr>
        <w:t xml:space="preserve">def</w:t>
      </w:r>
      <w:r>
        <w:rPr>
          <w:rStyle w:val="NormalTok"/>
        </w:rPr>
        <w:t xml:space="preserve"> allocate(p):</w:t>
      </w:r>
      <w:r>
        <w:br/>
      </w:r>
      <w:r>
        <w:rPr>
          <w:rStyle w:val="NormalTok"/>
        </w:rPr>
        <w:t xml:space="preserve">    </w:t>
      </w:r>
      <w:r>
        <w:rPr>
          <w:rStyle w:val="ControlFlowTok"/>
        </w:rPr>
        <w:t xml:space="preserve">assert</w:t>
      </w:r>
      <w:r>
        <w:rPr>
          <w:rStyle w:val="NormalTok"/>
        </w:rPr>
        <w:t xml:space="preserve"> </w:t>
      </w:r>
      <w:r>
        <w:rPr>
          <w:rStyle w:val="StringTok"/>
        </w:rPr>
        <w:t xml:space="preserve">'eligible_nonpv_share'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 </w:t>
      </w:r>
      <w:r>
        <w:rPr>
          <w:rStyle w:val="StringTok"/>
        </w:rPr>
        <w:t xml:space="preserve">'Veraltete Anrechnungsparameter: volle Deckungsanrechnung ist festgelegt'</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'other_pv_share'</w:t>
      </w:r>
      <w:r>
        <w:rPr>
          <w:rStyle w:val="NormalTok"/>
        </w:rPr>
        <w:t xml:space="preserve">,</w:t>
      </w:r>
      <w:r>
        <w:rPr>
          <w:rStyle w:val="StringTok"/>
        </w:rPr>
        <w:t xml:space="preserve">'miv_share'</w:t>
      </w:r>
      <w:r>
        <w:rPr>
          <w:rStyle w:val="NormalTok"/>
        </w:rPr>
        <w:t xml:space="preserve">,</w:t>
      </w:r>
      <w:r>
        <w:rPr>
          <w:rStyle w:val="StringTok"/>
        </w:rPr>
        <w:t xml:space="preserve">'public_transport_share'</w:t>
      </w:r>
      <w:r>
        <w:rPr>
          <w:rStyle w:val="NormalTok"/>
        </w:rPr>
        <w:t xml:space="preserve">,</w:t>
      </w:r>
      <w:r>
        <w:rPr>
          <w:rStyle w:val="StringTok"/>
        </w:rPr>
        <w:t xml:space="preserve">'other_transport_share'</w:t>
      </w:r>
      <w:r>
        <w:rPr>
          <w:rStyle w:val="NormalTok"/>
        </w:rPr>
        <w:t xml:space="preserve">]:</w:t>
      </w:r>
      <w:r>
        <w:br/>
      </w:r>
      <w:r>
        <w:rPr>
          <w:rStyle w:val="NormalTok"/>
        </w:rPr>
        <w:t xml:space="preserve">        </w:t>
      </w:r>
      <w:r>
        <w:rPr>
          <w:rStyle w:val="ControlFlowTok"/>
        </w:rPr>
        <w:t xml:space="preserve">assert</w:t>
      </w:r>
      <w:r>
        <w:rPr>
          <w:rStyle w:val="NormalTok"/>
        </w:rPr>
        <w:t xml:space="preserve"> np.isfinite(p[key]) </w:t>
      </w:r>
      <w:r>
        <w:rPr>
          <w:rStyle w:val="KeywordTok"/>
        </w:rPr>
        <w:t xml:space="preserve">and</w:t>
      </w:r>
      <w:r>
        <w:rPr>
          <w:rStyle w:val="NormalTok"/>
        </w:rPr>
        <w:t xml:space="preserve"> </w:t>
      </w:r>
      <w:r>
        <w:rPr>
          <w:rStyle w:val="DecValTok"/>
        </w:rPr>
        <w:t xml:space="preserve">0</w:t>
      </w:r>
      <w:r>
        <w:rPr>
          <w:rStyle w:val="OperatorTok"/>
        </w:rPr>
        <w:t xml:space="preserve">&lt;=</w:t>
      </w:r>
      <w:r>
        <w:rPr>
          <w:rStyle w:val="NormalTok"/>
        </w:rPr>
        <w:t xml:space="preserve">p[key]</w:t>
      </w:r>
      <w:r>
        <w:rPr>
          <w:rStyle w:val="OperatorTok"/>
        </w:rPr>
        <w:t xml:space="preserve">&lt;=</w:t>
      </w:r>
      <w:r>
        <w:rPr>
          <w:rStyle w:val="DecValTok"/>
        </w:rPr>
        <w:t xml:space="preserve">1</w:t>
      </w:r>
      <w:r>
        <w:rPr>
          <w:rStyle w:val="NormalTok"/>
        </w:rPr>
        <w:t xml:space="preserve">, key</w:t>
      </w:r>
      <w:r>
        <w:br/>
      </w:r>
      <w:r>
        <w:rPr>
          <w:rStyle w:val="NormalTok"/>
        </w:rPr>
        <w:t xml:space="preserve">    </w:t>
      </w:r>
      <w:r>
        <w:rPr>
          <w:rStyle w:val="ControlFlowTok"/>
        </w:rPr>
        <w:t xml:space="preserve">assert</w:t>
      </w:r>
      <w:r>
        <w:rPr>
          <w:rStyle w:val="NormalTok"/>
        </w:rPr>
        <w:t xml:space="preserve"> np.isclose(</w:t>
      </w:r>
      <w:r>
        <w:rPr>
          <w:rStyle w:val="BuiltInTok"/>
        </w:rPr>
        <w:t xml:space="preserve">sum</w:t>
      </w:r>
      <w:r>
        <w:rPr>
          <w:rStyle w:val="NormalTok"/>
        </w:rPr>
        <w:t xml:space="preserve">(p[k]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'miv_share'</w:t>
      </w:r>
      <w:r>
        <w:rPr>
          <w:rStyle w:val="NormalTok"/>
        </w:rPr>
        <w:t xml:space="preserve">,</w:t>
      </w:r>
      <w:r>
        <w:rPr>
          <w:rStyle w:val="StringTok"/>
        </w:rPr>
        <w:t xml:space="preserve">'public_transport_share'</w:t>
      </w:r>
      <w:r>
        <w:rPr>
          <w:rStyle w:val="NormalTok"/>
        </w:rPr>
        <w:t xml:space="preserve">,</w:t>
      </w:r>
      <w:r>
        <w:rPr>
          <w:rStyle w:val="StringTok"/>
        </w:rPr>
        <w:t xml:space="preserve">'other_transport_share'</w:t>
      </w:r>
      <w:r>
        <w:rPr>
          <w:rStyle w:val="NormalTok"/>
        </w:rPr>
        <w:t xml:space="preserve">]),</w:t>
      </w:r>
      <w:r>
        <w:rPr>
          <w:rStyle w:val="DecValTok"/>
        </w:rPr>
        <w:t xml:space="preserve">1</w:t>
      </w:r>
      <w:r>
        <w:rPr>
          <w:rStyle w:val="NormalTok"/>
        </w:rPr>
        <w:t xml:space="preserve">)</w:t>
      </w:r>
      <w:r>
        <w:br/>
      </w:r>
      <w:r>
        <w:rPr>
          <w:rStyle w:val="NormalTok"/>
        </w:rPr>
        <w:t xml:space="preserve">    pv_other</w:t>
      </w:r>
      <w:r>
        <w:rPr>
          <w:rStyle w:val="OperatorTok"/>
        </w:rPr>
        <w:t xml:space="preserve">=</w:t>
      </w:r>
      <w:r>
        <w:rPr>
          <w:rStyle w:val="NormalTok"/>
        </w:rPr>
        <w:t xml:space="preserve">g[</w:t>
      </w:r>
      <w:r>
        <w:rPr>
          <w:rStyle w:val="StringTok"/>
        </w:rPr>
        <w:t xml:space="preserve">'pv'</w:t>
      </w:r>
      <w:r>
        <w:rPr>
          <w:rStyle w:val="NormalTok"/>
        </w:rPr>
        <w:t xml:space="preserve">]</w:t>
      </w:r>
      <w:r>
        <w:rPr>
          <w:rStyle w:val="OperatorTok"/>
        </w:rPr>
        <w:t xml:space="preserve">*</w:t>
      </w:r>
      <w:r>
        <w:rPr>
          <w:rStyle w:val="NormalTok"/>
        </w:rPr>
        <w:t xml:space="preserve">p[</w:t>
      </w:r>
      <w:r>
        <w:rPr>
          <w:rStyle w:val="StringTok"/>
        </w:rPr>
        <w:t xml:space="preserve">'other_pv_share'</w:t>
      </w:r>
      <w:r>
        <w:rPr>
          <w:rStyle w:val="NormalTok"/>
        </w:rPr>
        <w:t xml:space="preserve">]</w:t>
      </w:r>
      <w:r>
        <w:rPr>
          <w:rStyle w:val="OperatorTok"/>
        </w:rPr>
        <w:t xml:space="preserve">;</w:t>
      </w:r>
      <w:r>
        <w:rPr>
          <w:rStyle w:val="NormalTok"/>
        </w:rPr>
        <w:t xml:space="preserve"> pv_building</w:t>
      </w:r>
      <w:r>
        <w:rPr>
          <w:rStyle w:val="OperatorTok"/>
        </w:rPr>
        <w:t xml:space="preserve">=</w:t>
      </w:r>
      <w:r>
        <w:rPr>
          <w:rStyle w:val="NormalTok"/>
        </w:rPr>
        <w:t xml:space="preserve">g[</w:t>
      </w:r>
      <w:r>
        <w:rPr>
          <w:rStyle w:val="StringTok"/>
        </w:rPr>
        <w:t xml:space="preserve">'pv'</w:t>
      </w:r>
      <w:r>
        <w:rPr>
          <w:rStyle w:val="NormalTok"/>
        </w:rPr>
        <w:t xml:space="preserve">]</w:t>
      </w:r>
      <w:r>
        <w:rPr>
          <w:rStyle w:val="OperatorTok"/>
        </w:rPr>
        <w:t xml:space="preserve">-</w:t>
      </w:r>
      <w:r>
        <w:rPr>
          <w:rStyle w:val="NormalTok"/>
        </w:rPr>
        <w:t xml:space="preserve">pv_other</w:t>
      </w:r>
      <w:r>
        <w:br/>
      </w:r>
      <w:r>
        <w:rPr>
          <w:rStyle w:val="NormalTok"/>
        </w:rPr>
        <w:t xml:space="preserve">    central</w:t>
      </w:r>
      <w:r>
        <w:rPr>
          <w:rStyle w:val="OperatorTok"/>
        </w:rPr>
        <w:t xml:space="preserve">=</w:t>
      </w:r>
      <w:r>
        <w:rPr>
          <w:rStyle w:val="BuiltInTok"/>
        </w:rPr>
        <w:t xml:space="preserve">sum</w:t>
      </w:r>
      <w:r>
        <w:rPr>
          <w:rStyle w:val="NormalTok"/>
        </w:rPr>
        <w:t xml:space="preserve">(g[k] </w:t>
      </w:r>
      <w:r>
        <w:rPr>
          <w:rStyle w:val="ControlFlowTok"/>
        </w:rPr>
        <w:t xml:space="preserve">for</w:t>
      </w:r>
      <w:r>
        <w:rPr>
          <w:rStyle w:val="NormalTok"/>
        </w:rPr>
        <w:t xml:space="preserve"> k </w:t>
      </w:r>
      <w:r>
        <w:rPr>
          <w:rStyle w:val="KeywordTok"/>
        </w:rPr>
        <w:t xml:space="preserve">in</w:t>
      </w:r>
      <w:r>
        <w:rPr>
          <w:rStyle w:val="NormalTok"/>
        </w:rPr>
        <w:t xml:space="preserve"> generation_keys </w:t>
      </w:r>
      <w:r>
        <w:rPr>
          <w:rStyle w:val="ControlFlowTok"/>
        </w:rPr>
        <w:t xml:space="preserve">if</w:t>
      </w:r>
      <w:r>
        <w:rPr>
          <w:rStyle w:val="NormalTok"/>
        </w:rPr>
        <w:t xml:space="preserve"> k</w:t>
      </w:r>
      <w:r>
        <w:rPr>
          <w:rStyle w:val="OperatorTok"/>
        </w:rPr>
        <w:t xml:space="preserve">!=</w:t>
      </w:r>
      <w:r>
        <w:rPr>
          <w:rStyle w:val="StringTok"/>
        </w:rPr>
        <w:t xml:space="preserve">'pv'</w:t>
      </w:r>
      <w:r>
        <w:rPr>
          <w:rStyle w:val="NormalTok"/>
        </w:rPr>
        <w:t xml:space="preserve">)</w:t>
      </w:r>
      <w:r>
        <w:rPr>
          <w:rStyle w:val="OperatorTok"/>
        </w:rPr>
        <w:t xml:space="preserve">+</w:t>
      </w:r>
      <w:r>
        <w:rPr>
          <w:rStyle w:val="NormalTok"/>
        </w:rPr>
        <w:t xml:space="preserve">pv_other</w:t>
      </w:r>
      <w:r>
        <w:rPr>
          <w:rStyle w:val="OperatorTok"/>
        </w:rPr>
        <w:t xml:space="preserve">+</w:t>
      </w:r>
      <w:r>
        <w:rPr>
          <w:rStyle w:val="BuiltInTok"/>
        </w:rPr>
        <w:t xml:space="preserve">max</w:t>
      </w:r>
      <w:r>
        <w:rPr>
          <w:rStyle w:val="NormalTok"/>
        </w:rPr>
        <w:t xml:space="preserve">(g[</w:t>
      </w:r>
      <w:r>
        <w:rPr>
          <w:rStyle w:val="StringTok"/>
        </w:rPr>
        <w:t xml:space="preserve">'net_imports'</w:t>
      </w:r>
      <w:r>
        <w:rPr>
          <w:rStyle w:val="NormalTok"/>
        </w:rPr>
        <w:t xml:space="preserve">],</w:t>
      </w:r>
      <w:r>
        <w:rPr>
          <w:rStyle w:val="DecValTok"/>
        </w:rPr>
        <w:t xml:space="preserve">0</w:t>
      </w:r>
      <w:r>
        <w:rPr>
          <w:rStyle w:val="NormalTok"/>
        </w:rPr>
        <w:t xml:space="preserve">)</w:t>
      </w:r>
      <w:r>
        <w:br/>
      </w:r>
      <w:r>
        <w:rPr>
          <w:rStyle w:val="NormalTok"/>
        </w:rPr>
        <w:t xml:space="preserve">    fixed</w:t>
      </w:r>
      <w:r>
        <w:rPr>
          <w:rStyle w:val="OperatorTok"/>
        </w:rPr>
        <w:t xml:space="preserve">=</w:t>
      </w:r>
      <w:r>
        <w:rPr>
          <w:rStyle w:val="BuiltInTok"/>
        </w:rPr>
        <w:t xml:space="preserve">sum</w:t>
      </w:r>
      <w:r>
        <w:rPr>
          <w:rStyle w:val="NormalTok"/>
        </w:rPr>
        <w:t xml:space="preserve">(d[k]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'industrie'</w:t>
      </w:r>
      <w:r>
        <w:rPr>
          <w:rStyle w:val="NormalTok"/>
        </w:rPr>
        <w:t xml:space="preserve">,</w:t>
      </w:r>
      <w:r>
        <w:rPr>
          <w:rStyle w:val="StringTok"/>
        </w:rPr>
        <w:t xml:space="preserve">'landwirtschaft'</w:t>
      </w:r>
      <w:r>
        <w:rPr>
          <w:rStyle w:val="NormalTok"/>
        </w:rPr>
        <w:t xml:space="preserve">,</w:t>
      </w:r>
      <w:r>
        <w:rPr>
          <w:rStyle w:val="StringTok"/>
        </w:rPr>
        <w:t xml:space="preserve">'verbrauch_sektor_energie'</w:t>
      </w:r>
      <w:r>
        <w:rPr>
          <w:rStyle w:val="NormalTok"/>
        </w:rPr>
        <w:t xml:space="preserve">,</w:t>
      </w:r>
      <w:r>
        <w:rPr>
          <w:rStyle w:val="StringTok"/>
        </w:rPr>
        <w:t xml:space="preserve">'umwandlungseinsatz'</w:t>
      </w:r>
      <w:r>
        <w:rPr>
          <w:rStyle w:val="NormalTok"/>
        </w:rPr>
        <w:t xml:space="preserve">,</w:t>
      </w:r>
      <w:r>
        <w:rPr>
          <w:rStyle w:val="StringTok"/>
        </w:rPr>
        <w:t xml:space="preserve">'transportverluste'</w:t>
      </w:r>
      <w:r>
        <w:rPr>
          <w:rStyle w:val="NormalTok"/>
        </w:rPr>
        <w:t xml:space="preserve">])</w:t>
      </w:r>
      <w:r>
        <w:rPr>
          <w:rStyle w:val="OperatorTok"/>
        </w:rPr>
        <w:t xml:space="preserve">+</w:t>
      </w:r>
      <w:r>
        <w:rPr>
          <w:rStyle w:val="NormalTok"/>
        </w:rPr>
        <w:t xml:space="preserve">assumptions[</w:t>
      </w:r>
      <w:r>
        <w:rPr>
          <w:rStyle w:val="StringTok"/>
        </w:rPr>
        <w:t xml:space="preserve">'model_net_exports_pj'</w:t>
      </w:r>
      <w:r>
        <w:rPr>
          <w:rStyle w:val="NormalTok"/>
        </w:rPr>
        <w:t xml:space="preserve">]</w:t>
      </w:r>
      <w:r>
        <w:br/>
      </w:r>
      <w:r>
        <w:rPr>
          <w:rStyle w:val="NormalTok"/>
        </w:rPr>
        <w:t xml:space="preserve">    miv</w:t>
      </w:r>
      <w:r>
        <w:rPr>
          <w:rStyle w:val="OperatorTok"/>
        </w:rPr>
        <w:t xml:space="preserve">=</w:t>
      </w:r>
      <w:r>
        <w:rPr>
          <w:rStyle w:val="NormalTok"/>
        </w:rPr>
        <w:t xml:space="preserve">d[</w:t>
      </w:r>
      <w:r>
        <w:rPr>
          <w:rStyle w:val="StringTok"/>
        </w:rPr>
        <w:t xml:space="preserve">'verkehr'</w:t>
      </w:r>
      <w:r>
        <w:rPr>
          <w:rStyle w:val="NormalTok"/>
        </w:rPr>
        <w:t xml:space="preserve">]</w:t>
      </w:r>
      <w:r>
        <w:rPr>
          <w:rStyle w:val="OperatorTok"/>
        </w:rPr>
        <w:t xml:space="preserve">*</w:t>
      </w:r>
      <w:r>
        <w:rPr>
          <w:rStyle w:val="NormalTok"/>
        </w:rPr>
        <w:t xml:space="preserve">p[</w:t>
      </w:r>
      <w:r>
        <w:rPr>
          <w:rStyle w:val="StringTok"/>
        </w:rPr>
        <w:t xml:space="preserve">'miv_share'</w:t>
      </w:r>
      <w:r>
        <w:rPr>
          <w:rStyle w:val="NormalTok"/>
        </w:rPr>
        <w:t xml:space="preserve">]</w:t>
      </w:r>
      <w:r>
        <w:rPr>
          <w:rStyle w:val="OperatorTok"/>
        </w:rPr>
        <w:t xml:space="preserve">;</w:t>
      </w:r>
      <w:r>
        <w:rPr>
          <w:rStyle w:val="NormalTok"/>
        </w:rPr>
        <w:t xml:space="preserve"> public</w:t>
      </w:r>
      <w:r>
        <w:rPr>
          <w:rStyle w:val="OperatorTok"/>
        </w:rPr>
        <w:t xml:space="preserve">=</w:t>
      </w:r>
      <w:r>
        <w:rPr>
          <w:rStyle w:val="NormalTok"/>
        </w:rPr>
        <w:t xml:space="preserve">d[</w:t>
      </w:r>
      <w:r>
        <w:rPr>
          <w:rStyle w:val="StringTok"/>
        </w:rPr>
        <w:t xml:space="preserve">'verkehr'</w:t>
      </w:r>
      <w:r>
        <w:rPr>
          <w:rStyle w:val="NormalTok"/>
        </w:rPr>
        <w:t xml:space="preserve">]</w:t>
      </w:r>
      <w:r>
        <w:rPr>
          <w:rStyle w:val="OperatorTok"/>
        </w:rPr>
        <w:t xml:space="preserve">*</w:t>
      </w:r>
      <w:r>
        <w:rPr>
          <w:rStyle w:val="NormalTok"/>
        </w:rPr>
        <w:t xml:space="preserve">p[</w:t>
      </w:r>
      <w:r>
        <w:rPr>
          <w:rStyle w:val="StringTok"/>
        </w:rPr>
        <w:t xml:space="preserve">'public_transport_share'</w:t>
      </w:r>
      <w:r>
        <w:rPr>
          <w:rStyle w:val="NormalTok"/>
        </w:rPr>
        <w:t xml:space="preserve">]</w:t>
      </w:r>
      <w:r>
        <w:rPr>
          <w:rStyle w:val="OperatorTok"/>
        </w:rPr>
        <w:t xml:space="preserve">;</w:t>
      </w:r>
      <w:r>
        <w:rPr>
          <w:rStyle w:val="NormalTok"/>
        </w:rPr>
        <w:t xml:space="preserve"> other</w:t>
      </w:r>
      <w:r>
        <w:rPr>
          <w:rStyle w:val="OperatorTok"/>
        </w:rPr>
        <w:t xml:space="preserve">=</w:t>
      </w:r>
      <w:r>
        <w:rPr>
          <w:rStyle w:val="NormalTok"/>
        </w:rPr>
        <w:t xml:space="preserve">d[</w:t>
      </w:r>
      <w:r>
        <w:rPr>
          <w:rStyle w:val="StringTok"/>
        </w:rPr>
        <w:t xml:space="preserve">'verkehr'</w:t>
      </w:r>
      <w:r>
        <w:rPr>
          <w:rStyle w:val="NormalTok"/>
        </w:rPr>
        <w:t xml:space="preserve">]</w:t>
      </w:r>
      <w:r>
        <w:rPr>
          <w:rStyle w:val="OperatorTok"/>
        </w:rPr>
        <w:t xml:space="preserve">*</w:t>
      </w:r>
      <w:r>
        <w:rPr>
          <w:rStyle w:val="NormalTok"/>
        </w:rPr>
        <w:t xml:space="preserve">p[</w:t>
      </w:r>
      <w:r>
        <w:rPr>
          <w:rStyle w:val="StringTok"/>
        </w:rPr>
        <w:t xml:space="preserve">'other_transport_share'</w:t>
      </w:r>
      <w:r>
        <w:rPr>
          <w:rStyle w:val="NormalTok"/>
        </w:rPr>
        <w:t xml:space="preserve">]</w:t>
      </w:r>
      <w:r>
        <w:br/>
      </w:r>
      <w:r>
        <w:rPr>
          <w:rStyle w:val="NormalTok"/>
        </w:rPr>
        <w:t xml:space="preserve">    credit</w:t>
      </w:r>
      <w:r>
        <w:rPr>
          <w:rStyle w:val="OperatorTok"/>
        </w:rPr>
        <w:t xml:space="preserve">=</w:t>
      </w:r>
      <w:r>
        <w:rPr>
          <w:rStyle w:val="NormalTok"/>
        </w:rPr>
        <w:t xml:space="preserve">central</w:t>
      </w:r>
      <w:r>
        <w:rPr>
          <w:rStyle w:val="OperatorTok"/>
        </w:rPr>
        <w:t xml:space="preserve">-</w:t>
      </w:r>
      <w:r>
        <w:rPr>
          <w:rStyle w:val="NormalTok"/>
        </w:rPr>
        <w:t xml:space="preserve">fixed</w:t>
      </w:r>
      <w:r>
        <w:rPr>
          <w:rStyle w:val="OperatorTok"/>
        </w:rPr>
        <w:t xml:space="preserve">-</w:t>
      </w:r>
      <w:r>
        <w:rPr>
          <w:rStyle w:val="NormalTok"/>
        </w:rPr>
        <w:t xml:space="preserve">public</w:t>
      </w:r>
      <w:r>
        <w:rPr>
          <w:rStyle w:val="OperatorTok"/>
        </w:rPr>
        <w:t xml:space="preserve">-</w:t>
      </w:r>
      <w:r>
        <w:rPr>
          <w:rStyle w:val="NormalTok"/>
        </w:rPr>
        <w:t xml:space="preserve">other</w:t>
      </w:r>
      <w:r>
        <w:br/>
      </w:r>
      <w:r>
        <w:rPr>
          <w:rStyle w:val="NormalTok"/>
        </w:rPr>
        <w:t xml:space="preserve">    operation</w:t>
      </w:r>
      <w:r>
        <w:rPr>
          <w:rStyle w:val="OperatorTok"/>
        </w:rPr>
        <w:t xml:space="preserve">=</w:t>
      </w:r>
      <w:r>
        <w:rPr>
          <w:rStyle w:val="NormalTok"/>
        </w:rPr>
        <w:t xml:space="preserve">pv_building</w:t>
      </w:r>
      <w:r>
        <w:rPr>
          <w:rStyle w:val="OperatorTok"/>
        </w:rPr>
        <w:t xml:space="preserve">-</w:t>
      </w:r>
      <w:r>
        <w:rPr>
          <w:rStyle w:val="NormalTok"/>
        </w:rPr>
        <w:t xml:space="preserve">d[</w:t>
      </w:r>
      <w:r>
        <w:rPr>
          <w:rStyle w:val="StringTok"/>
        </w:rPr>
        <w:t xml:space="preserve">'gebaeude'</w:t>
      </w:r>
      <w:r>
        <w:rPr>
          <w:rStyle w:val="NormalTok"/>
        </w:rPr>
        <w:t xml:space="preserve">]</w:t>
      </w:r>
      <w:r>
        <w:rPr>
          <w:rStyle w:val="OperatorTok"/>
        </w:rPr>
        <w:t xml:space="preserve">;</w:t>
      </w:r>
      <w:r>
        <w:rPr>
          <w:rStyle w:val="NormalTok"/>
        </w:rPr>
        <w:t xml:space="preserve"> balance</w:t>
      </w:r>
      <w:r>
        <w:rPr>
          <w:rStyle w:val="OperatorTok"/>
        </w:rPr>
        <w:t xml:space="preserve">=</w:t>
      </w:r>
      <w:r>
        <w:rPr>
          <w:rStyle w:val="NormalTok"/>
        </w:rPr>
        <w:t xml:space="preserve">operation</w:t>
      </w:r>
      <w:r>
        <w:rPr>
          <w:rStyle w:val="OperatorTok"/>
        </w:rPr>
        <w:t xml:space="preserve">+</w:t>
      </w:r>
      <w:r>
        <w:rPr>
          <w:rStyle w:val="NormalTok"/>
        </w:rPr>
        <w:t xml:space="preserve">credit</w:t>
      </w:r>
      <w:r>
        <w:rPr>
          <w:rStyle w:val="OperatorTok"/>
        </w:rPr>
        <w:t xml:space="preserve">-</w:t>
      </w:r>
      <w:r>
        <w:rPr>
          <w:rStyle w:val="NormalTok"/>
        </w:rPr>
        <w:t xml:space="preserve">miv</w:t>
      </w:r>
      <w:r>
        <w:br/>
      </w:r>
      <w:r>
        <w:rPr>
          <w:rStyle w:val="NormalTok"/>
        </w:rPr>
        <w:t xml:space="preserve">    </w:t>
      </w:r>
      <w:r>
        <w:rPr>
          <w:rStyle w:val="ControlFlowTok"/>
        </w:rPr>
        <w:t xml:space="preserve">assert</w:t>
      </w:r>
      <w:r>
        <w:rPr>
          <w:rStyle w:val="NormalTok"/>
        </w:rPr>
        <w:t xml:space="preserve"> np.isclose(balance,model_residual), </w:t>
      </w:r>
      <w:r>
        <w:rPr>
          <w:rStyle w:val="StringTok"/>
        </w:rPr>
        <w:t xml:space="preserve">'Zuordnungsbilanz verletzt'</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(central_pj</w:t>
      </w:r>
      <w:r>
        <w:rPr>
          <w:rStyle w:val="OperatorTok"/>
        </w:rPr>
        <w:t xml:space="preserve">=</w:t>
      </w:r>
      <w:r>
        <w:rPr>
          <w:rStyle w:val="NormalTok"/>
        </w:rPr>
        <w:t xml:space="preserve">central,fixed_priority_pj</w:t>
      </w:r>
      <w:r>
        <w:rPr>
          <w:rStyle w:val="OperatorTok"/>
        </w:rPr>
        <w:t xml:space="preserve">=</w:t>
      </w:r>
      <w:r>
        <w:rPr>
          <w:rStyle w:val="NormalTok"/>
        </w:rPr>
        <w:t xml:space="preserve">fixed,public_transport_pj</w:t>
      </w:r>
      <w:r>
        <w:rPr>
          <w:rStyle w:val="OperatorTok"/>
        </w:rPr>
        <w:t xml:space="preserve">=</w:t>
      </w:r>
      <w:r>
        <w:rPr>
          <w:rStyle w:val="NormalTok"/>
        </w:rPr>
        <w:t xml:space="preserve">public,other_transport_pj</w:t>
      </w:r>
      <w:r>
        <w:rPr>
          <w:rStyle w:val="OperatorTok"/>
        </w:rPr>
        <w:t xml:space="preserve">=</w:t>
      </w:r>
      <w:r>
        <w:rPr>
          <w:rStyle w:val="NormalTok"/>
        </w:rPr>
        <w:t xml:space="preserve">other,</w:t>
      </w:r>
      <w:r>
        <w:br/>
      </w:r>
      <w:r>
        <w:rPr>
          <w:rStyle w:val="NormalTok"/>
        </w:rPr>
        <w:t xml:space="preserve">        miv_demand_pj</w:t>
      </w:r>
      <w:r>
        <w:rPr>
          <w:rStyle w:val="OperatorTok"/>
        </w:rPr>
        <w:t xml:space="preserve">=</w:t>
      </w:r>
      <w:r>
        <w:rPr>
          <w:rStyle w:val="NormalTok"/>
        </w:rPr>
        <w:t xml:space="preserve">miv,central_credit_pj</w:t>
      </w:r>
      <w:r>
        <w:rPr>
          <w:rStyle w:val="OperatorTok"/>
        </w:rPr>
        <w:t xml:space="preserve">=</w:t>
      </w:r>
      <w:r>
        <w:rPr>
          <w:rStyle w:val="NormalTok"/>
        </w:rPr>
        <w:t xml:space="preserve">credit,available_credit_pj</w:t>
      </w:r>
      <w:r>
        <w:rPr>
          <w:rStyle w:val="OperatorTok"/>
        </w:rPr>
        <w:t xml:space="preserve">=</w:t>
      </w:r>
      <w:r>
        <w:rPr>
          <w:rStyle w:val="BuiltInTok"/>
        </w:rPr>
        <w:t xml:space="preserve">max</w:t>
      </w:r>
      <w:r>
        <w:rPr>
          <w:rStyle w:val="NormalTok"/>
        </w:rPr>
        <w:t xml:space="preserve">(credit,</w:t>
      </w:r>
      <w:r>
        <w:rPr>
          <w:rStyle w:val="DecValTok"/>
        </w:rPr>
        <w:t xml:space="preserve">0</w:t>
      </w:r>
      <w:r>
        <w:rPr>
          <w:rStyle w:val="NormalTok"/>
        </w:rPr>
        <w:t xml:space="preserve">),central_shortfall_pj</w:t>
      </w:r>
      <w:r>
        <w:rPr>
          <w:rStyle w:val="OperatorTok"/>
        </w:rPr>
        <w:t xml:space="preserve">=</w:t>
      </w:r>
      <w:r>
        <w:rPr>
          <w:rStyle w:val="BuiltInTok"/>
        </w:rPr>
        <w:t xml:space="preserve">max</w:t>
      </w:r>
      <w:r>
        <w:rPr>
          <w:rStyle w:val="NormalTok"/>
        </w:rPr>
        <w:t xml:space="preserve">(</w:t>
      </w:r>
      <w:r>
        <w:rPr>
          <w:rStyle w:val="OperatorTok"/>
        </w:rPr>
        <w:t xml:space="preserve">-</w:t>
      </w:r>
      <w:r>
        <w:rPr>
          <w:rStyle w:val="NormalTok"/>
        </w:rPr>
        <w:t xml:space="preserve">credit,</w:t>
      </w:r>
      <w:r>
        <w:rPr>
          <w:rStyle w:val="DecValTok"/>
        </w:rPr>
        <w:t xml:space="preserve">0</w:t>
      </w:r>
      <w:r>
        <w:rPr>
          <w:rStyle w:val="NormalTok"/>
        </w:rPr>
        <w:t xml:space="preserve">),</w:t>
      </w:r>
      <w:r>
        <w:br/>
      </w:r>
      <w:r>
        <w:rPr>
          <w:rStyle w:val="NormalTok"/>
        </w:rPr>
        <w:t xml:space="preserve">        building_pv_pj</w:t>
      </w:r>
      <w:r>
        <w:rPr>
          <w:rStyle w:val="OperatorTok"/>
        </w:rPr>
        <w:t xml:space="preserve">=</w:t>
      </w:r>
      <w:r>
        <w:rPr>
          <w:rStyle w:val="NormalTok"/>
        </w:rPr>
        <w:t xml:space="preserve">pv_building,other_pv_pj</w:t>
      </w:r>
      <w:r>
        <w:rPr>
          <w:rStyle w:val="OperatorTok"/>
        </w:rPr>
        <w:t xml:space="preserve">=</w:t>
      </w:r>
      <w:r>
        <w:rPr>
          <w:rStyle w:val="NormalTok"/>
        </w:rPr>
        <w:t xml:space="preserve">pv_other,building_operation_pj</w:t>
      </w:r>
      <w:r>
        <w:rPr>
          <w:rStyle w:val="OperatorTok"/>
        </w:rPr>
        <w:t xml:space="preserve">=</w:t>
      </w:r>
      <w:r>
        <w:rPr>
          <w:rStyle w:val="NormalTok"/>
        </w:rPr>
        <w:t xml:space="preserve">operation,</w:t>
      </w:r>
      <w:r>
        <w:br/>
      </w:r>
      <w:r>
        <w:rPr>
          <w:rStyle w:val="NormalTok"/>
        </w:rPr>
        <w:t xml:space="preserve">        building_target_pj</w:t>
      </w:r>
      <w:r>
        <w:rPr>
          <w:rStyle w:val="OperatorTok"/>
        </w:rPr>
        <w:t xml:space="preserve">=</w:t>
      </w:r>
      <w:r>
        <w:rPr>
          <w:rStyle w:val="NormalTok"/>
        </w:rPr>
        <w:t xml:space="preserve">balance,source_residual_pj</w:t>
      </w:r>
      <w:r>
        <w:rPr>
          <w:rStyle w:val="OperatorTok"/>
        </w:rPr>
        <w:t xml:space="preserve">=</w:t>
      </w:r>
      <w:r>
        <w:rPr>
          <w:rStyle w:val="NormalTok"/>
        </w:rPr>
        <w:t xml:space="preserve">source_residual,model_residual_pj</w:t>
      </w:r>
      <w:r>
        <w:rPr>
          <w:rStyle w:val="OperatorTok"/>
        </w:rPr>
        <w:t xml:space="preserve">=</w:t>
      </w:r>
      <w:r>
        <w:rPr>
          <w:rStyle w:val="NormalTok"/>
        </w:rPr>
        <w:t xml:space="preserve">model_residual,</w:t>
      </w:r>
      <w:r>
        <w:br/>
      </w:r>
      <w:r>
        <w:rPr>
          <w:rStyle w:val="NormalTok"/>
        </w:rPr>
        <w:t xml:space="preserve">        allocation_residual_pj</w:t>
      </w:r>
      <w:r>
        <w:rPr>
          <w:rStyle w:val="OperatorTok"/>
        </w:rPr>
        <w:t xml:space="preserve">=</w:t>
      </w:r>
      <w:r>
        <w:rPr>
          <w:rStyle w:val="NormalTok"/>
        </w:rPr>
        <w:t xml:space="preserve">balance)</w:t>
      </w:r>
      <w:r>
        <w:br/>
      </w:r>
      <w:r>
        <w:rPr>
          <w:rStyle w:val="NormalTok"/>
        </w:rPr>
        <w:t xml:space="preserve">result</w:t>
      </w:r>
      <w:r>
        <w:rPr>
          <w:rStyle w:val="OperatorTok"/>
        </w:rPr>
        <w:t xml:space="preserve">=</w:t>
      </w:r>
      <w:r>
        <w:rPr>
          <w:rStyle w:val="NormalTok"/>
        </w:rPr>
        <w:t xml:space="preserve">allocate(parameters)</w:t>
      </w:r>
      <w:r>
        <w:br/>
      </w:r>
      <w:r>
        <w:rPr>
          <w:rStyle w:val="NormalTok"/>
        </w:rPr>
        <w:t xml:space="preserve">result_table</w:t>
      </w:r>
      <w:r>
        <w:rPr>
          <w:rStyle w:val="OperatorTok"/>
        </w:rPr>
        <w:t xml:space="preserve">=</w:t>
      </w:r>
      <w:r>
        <w:rPr>
          <w:rStyle w:val="NormalTok"/>
        </w:rPr>
        <w:t xml:space="preserve">pd.DataFrame([{</w:t>
      </w:r>
      <w:r>
        <w:rPr>
          <w:rStyle w:val="StringTok"/>
        </w:rPr>
        <w:t xml:space="preserve">'Position'</w:t>
      </w:r>
      <w:r>
        <w:rPr>
          <w:rStyle w:val="NormalTok"/>
        </w:rPr>
        <w:t xml:space="preserve">:k,</w:t>
      </w:r>
      <w:r>
        <w:rPr>
          <w:rStyle w:val="StringTok"/>
        </w:rPr>
        <w:t xml:space="preserve">'PJ_el/a'</w:t>
      </w:r>
      <w:r>
        <w:rPr>
          <w:rStyle w:val="NormalTok"/>
        </w:rPr>
        <w:t xml:space="preserve">:v,</w:t>
      </w:r>
      <w:r>
        <w:rPr>
          <w:rStyle w:val="StringTok"/>
        </w:rPr>
        <w:t xml:space="preserve">'TWh_el/a'</w:t>
      </w:r>
      <w:r>
        <w:rPr>
          <w:rStyle w:val="NormalTok"/>
        </w:rPr>
        <w:t xml:space="preserve">:v</w:t>
      </w:r>
      <w:r>
        <w:rPr>
          <w:rStyle w:val="OperatorTok"/>
        </w:rPr>
        <w:t xml:space="preserve">/</w:t>
      </w:r>
      <w:r>
        <w:rPr>
          <w:rStyle w:val="FloatTok"/>
        </w:rPr>
        <w:t xml:space="preserve">3.6</w:t>
      </w:r>
      <w:r>
        <w:rPr>
          <w:rStyle w:val="NormalTok"/>
        </w:rPr>
        <w:t xml:space="preserve">} </w:t>
      </w:r>
      <w:r>
        <w:rPr>
          <w:rStyle w:val="ControlFlowTok"/>
        </w:rPr>
        <w:t xml:space="preserve">for</w:t>
      </w:r>
      <w:r>
        <w:rPr>
          <w:rStyle w:val="NormalTok"/>
        </w:rPr>
        <w:t xml:space="preserve"> k,v </w:t>
      </w:r>
      <w:r>
        <w:rPr>
          <w:rStyle w:val="KeywordTok"/>
        </w:rPr>
        <w:t xml:space="preserve">in</w:t>
      </w:r>
      <w:r>
        <w:rPr>
          <w:rStyle w:val="NormalTok"/>
        </w:rPr>
        <w:t xml:space="preserve"> result.items()])</w:t>
      </w:r>
      <w:r>
        <w:br/>
      </w:r>
      <w:r>
        <w:rPr>
          <w:rStyle w:val="NormalTok"/>
        </w:rPr>
        <w:t xml:space="preserve">display(result_table.</w:t>
      </w:r>
      <w:r>
        <w:rPr>
          <w:rStyle w:val="BuiltInTok"/>
        </w:rPr>
        <w:t xml:space="preserve">round</w:t>
      </w:r>
      <w:r>
        <w:rPr>
          <w:rStyle w:val="NormalTok"/>
        </w:rPr>
        <w:t xml:space="preserve">(</w:t>
      </w:r>
      <w:r>
        <w:rPr>
          <w:rStyle w:val="DecValTok"/>
        </w:rPr>
        <w:t xml:space="preserve">4</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Position</w:t>
            </w:r>
          </w:p>
        </w:tc>
        <w:tc>
          <w:tcPr/>
          <w:p>
            <w:pPr>
              <w:pStyle w:val="Compact"/>
            </w:pPr>
            <w:r>
              <w:t xml:space="preserve">PJ_el/a</w:t>
            </w:r>
          </w:p>
        </w:tc>
        <w:tc>
          <w:tcPr/>
          <w:p>
            <w:pPr>
              <w:pStyle w:val="Compact"/>
            </w:pPr>
            <w:r>
              <w:t xml:space="preserve">TWh_el/a</w:t>
            </w:r>
          </w:p>
        </w:tc>
      </w:tr>
      <w:tr>
        <w:tc>
          <w:tcPr/>
          <w:p>
            <w:pPr>
              <w:pStyle w:val="Compact"/>
            </w:pPr>
            <w:r>
              <w:t xml:space="preserve">0</w:t>
            </w:r>
          </w:p>
        </w:tc>
        <w:tc>
          <w:tcPr/>
          <w:p>
            <w:pPr>
              <w:pStyle w:val="Compact"/>
            </w:pPr>
            <w:r>
              <w:t xml:space="preserve">central_pj</w:t>
            </w:r>
          </w:p>
        </w:tc>
        <w:tc>
          <w:tcPr/>
          <w:p>
            <w:pPr>
              <w:pStyle w:val="Compact"/>
            </w:pPr>
            <w:r>
              <w:t xml:space="preserve">308.0</w:t>
            </w:r>
          </w:p>
        </w:tc>
        <w:tc>
          <w:tcPr/>
          <w:p>
            <w:pPr>
              <w:pStyle w:val="Compact"/>
            </w:pPr>
            <w:r>
              <w:t xml:space="preserve">85.5556</w:t>
            </w:r>
          </w:p>
        </w:tc>
      </w:tr>
      <w:tr>
        <w:tc>
          <w:tcPr/>
          <w:p>
            <w:pPr>
              <w:pStyle w:val="Compact"/>
            </w:pPr>
            <w:r>
              <w:t xml:space="preserve">1</w:t>
            </w:r>
          </w:p>
        </w:tc>
        <w:tc>
          <w:tcPr/>
          <w:p>
            <w:pPr>
              <w:pStyle w:val="Compact"/>
            </w:pPr>
            <w:r>
              <w:t xml:space="preserve">fixed_priority_pj</w:t>
            </w:r>
          </w:p>
        </w:tc>
        <w:tc>
          <w:tcPr/>
          <w:p>
            <w:pPr>
              <w:pStyle w:val="Compact"/>
            </w:pPr>
            <w:r>
              <w:t xml:space="preserve">259.0</w:t>
            </w:r>
          </w:p>
        </w:tc>
        <w:tc>
          <w:tcPr/>
          <w:p>
            <w:pPr>
              <w:pStyle w:val="Compact"/>
            </w:pPr>
            <w:r>
              <w:t xml:space="preserve">71.9444</w:t>
            </w:r>
          </w:p>
        </w:tc>
      </w:tr>
      <w:tr>
        <w:tc>
          <w:tcPr/>
          <w:p>
            <w:pPr>
              <w:pStyle w:val="Compact"/>
            </w:pPr>
            <w:r>
              <w:t xml:space="preserve">2</w:t>
            </w:r>
          </w:p>
        </w:tc>
        <w:tc>
          <w:tcPr/>
          <w:p>
            <w:pPr>
              <w:pStyle w:val="Compact"/>
            </w:pPr>
            <w:r>
              <w:t xml:space="preserve">public_transport_pj</w:t>
            </w:r>
          </w:p>
        </w:tc>
        <w:tc>
          <w:tcPr/>
          <w:p>
            <w:pPr>
              <w:pStyle w:val="Compact"/>
            </w:pPr>
            <w:r>
              <w:t xml:space="preserve">18.0</w:t>
            </w:r>
          </w:p>
        </w:tc>
        <w:tc>
          <w:tcPr/>
          <w:p>
            <w:pPr>
              <w:pStyle w:val="Compact"/>
            </w:pPr>
            <w:r>
              <w:t xml:space="preserve">5.0000</w:t>
            </w:r>
          </w:p>
        </w:tc>
      </w:tr>
      <w:tr>
        <w:tc>
          <w:tcPr/>
          <w:p>
            <w:pPr>
              <w:pStyle w:val="Compact"/>
            </w:pPr>
            <w:r>
              <w:t xml:space="preserve">3</w:t>
            </w:r>
          </w:p>
        </w:tc>
        <w:tc>
          <w:tcPr/>
          <w:p>
            <w:pPr>
              <w:pStyle w:val="Compact"/>
            </w:pPr>
            <w:r>
              <w:t xml:space="preserve">other_transport_pj</w:t>
            </w:r>
          </w:p>
        </w:tc>
        <w:tc>
          <w:tcPr/>
          <w:p>
            <w:pPr>
              <w:pStyle w:val="Compact"/>
            </w:pPr>
            <w:r>
              <w:t xml:space="preserve">0.0</w:t>
            </w:r>
          </w:p>
        </w:tc>
        <w:tc>
          <w:tcPr/>
          <w:p>
            <w:pPr>
              <w:pStyle w:val="Compact"/>
            </w:pPr>
            <w:r>
              <w:t xml:space="preserve">0.0000</w:t>
            </w:r>
          </w:p>
        </w:tc>
      </w:tr>
      <w:tr>
        <w:tc>
          <w:tcPr/>
          <w:p>
            <w:pPr>
              <w:pStyle w:val="Compact"/>
            </w:pPr>
            <w:r>
              <w:t xml:space="preserve">4</w:t>
            </w:r>
          </w:p>
        </w:tc>
        <w:tc>
          <w:tcPr/>
          <w:p>
            <w:pPr>
              <w:pStyle w:val="Compact"/>
            </w:pPr>
            <w:r>
              <w:t xml:space="preserve">miv_demand_pj</w:t>
            </w:r>
          </w:p>
        </w:tc>
        <w:tc>
          <w:tcPr/>
          <w:p>
            <w:pPr>
              <w:pStyle w:val="Compact"/>
            </w:pPr>
            <w:r>
              <w:t xml:space="preserve">72.0</w:t>
            </w:r>
          </w:p>
        </w:tc>
        <w:tc>
          <w:tcPr/>
          <w:p>
            <w:pPr>
              <w:pStyle w:val="Compact"/>
            </w:pPr>
            <w:r>
              <w:t xml:space="preserve">20.0000</w:t>
            </w:r>
          </w:p>
        </w:tc>
      </w:tr>
      <w:tr>
        <w:tc>
          <w:tcPr/>
          <w:p>
            <w:pPr>
              <w:pStyle w:val="Compact"/>
            </w:pPr>
            <w:r>
              <w:t xml:space="preserve">5</w:t>
            </w:r>
          </w:p>
        </w:tc>
        <w:tc>
          <w:tcPr/>
          <w:p>
            <w:pPr>
              <w:pStyle w:val="Compact"/>
            </w:pPr>
            <w:r>
              <w:t xml:space="preserve">central_credit_pj</w:t>
            </w:r>
          </w:p>
        </w:tc>
        <w:tc>
          <w:tcPr/>
          <w:p>
            <w:pPr>
              <w:pStyle w:val="Compact"/>
            </w:pPr>
            <w:r>
              <w:t xml:space="preserve">31.0</w:t>
            </w:r>
          </w:p>
        </w:tc>
        <w:tc>
          <w:tcPr/>
          <w:p>
            <w:pPr>
              <w:pStyle w:val="Compact"/>
            </w:pPr>
            <w:r>
              <w:t xml:space="preserve">8.6111</w:t>
            </w:r>
          </w:p>
        </w:tc>
      </w:tr>
      <w:tr>
        <w:tc>
          <w:tcPr/>
          <w:p>
            <w:pPr>
              <w:pStyle w:val="Compact"/>
            </w:pPr>
            <w:r>
              <w:t xml:space="preserve">6</w:t>
            </w:r>
          </w:p>
        </w:tc>
        <w:tc>
          <w:tcPr/>
          <w:p>
            <w:pPr>
              <w:pStyle w:val="Compact"/>
            </w:pPr>
            <w:r>
              <w:t xml:space="preserve">available_credit_pj</w:t>
            </w:r>
          </w:p>
        </w:tc>
        <w:tc>
          <w:tcPr/>
          <w:p>
            <w:pPr>
              <w:pStyle w:val="Compact"/>
            </w:pPr>
            <w:r>
              <w:t xml:space="preserve">31.0</w:t>
            </w:r>
          </w:p>
        </w:tc>
        <w:tc>
          <w:tcPr/>
          <w:p>
            <w:pPr>
              <w:pStyle w:val="Compact"/>
            </w:pPr>
            <w:r>
              <w:t xml:space="preserve">8.6111</w:t>
            </w:r>
          </w:p>
        </w:tc>
      </w:tr>
      <w:tr>
        <w:tc>
          <w:tcPr/>
          <w:p>
            <w:pPr>
              <w:pStyle w:val="Compact"/>
            </w:pPr>
            <w:r>
              <w:t xml:space="preserve">7</w:t>
            </w:r>
          </w:p>
        </w:tc>
        <w:tc>
          <w:tcPr/>
          <w:p>
            <w:pPr>
              <w:pStyle w:val="Compact"/>
            </w:pPr>
            <w:r>
              <w:t xml:space="preserve">central_shortfall_pj</w:t>
            </w:r>
          </w:p>
        </w:tc>
        <w:tc>
          <w:tcPr/>
          <w:p>
            <w:pPr>
              <w:pStyle w:val="Compact"/>
            </w:pPr>
            <w:r>
              <w:t xml:space="preserve">0.0</w:t>
            </w:r>
          </w:p>
        </w:tc>
        <w:tc>
          <w:tcPr/>
          <w:p>
            <w:pPr>
              <w:pStyle w:val="Compact"/>
            </w:pPr>
            <w:r>
              <w:t xml:space="preserve">0.0000</w:t>
            </w:r>
          </w:p>
        </w:tc>
      </w:tr>
      <w:tr>
        <w:tc>
          <w:tcPr/>
          <w:p>
            <w:pPr>
              <w:pStyle w:val="Compact"/>
            </w:pPr>
            <w:r>
              <w:t xml:space="preserve">8</w:t>
            </w:r>
          </w:p>
        </w:tc>
        <w:tc>
          <w:tcPr/>
          <w:p>
            <w:pPr>
              <w:pStyle w:val="Compact"/>
            </w:pPr>
            <w:r>
              <w:t xml:space="preserve">building_pv_pj</w:t>
            </w:r>
          </w:p>
        </w:tc>
        <w:tc>
          <w:tcPr/>
          <w:p>
            <w:pPr>
              <w:pStyle w:val="Compact"/>
            </w:pPr>
            <w:r>
              <w:t xml:space="preserve">149.0</w:t>
            </w:r>
          </w:p>
        </w:tc>
        <w:tc>
          <w:tcPr/>
          <w:p>
            <w:pPr>
              <w:pStyle w:val="Compact"/>
            </w:pPr>
            <w:r>
              <w:t xml:space="preserve">41.3889</w:t>
            </w:r>
          </w:p>
        </w:tc>
      </w:tr>
      <w:tr>
        <w:tc>
          <w:tcPr/>
          <w:p>
            <w:pPr>
              <w:pStyle w:val="Compact"/>
            </w:pPr>
            <w:r>
              <w:t xml:space="preserve">9</w:t>
            </w:r>
          </w:p>
        </w:tc>
        <w:tc>
          <w:tcPr/>
          <w:p>
            <w:pPr>
              <w:pStyle w:val="Compact"/>
            </w:pPr>
            <w:r>
              <w:t xml:space="preserve">other_pv_pj</w:t>
            </w:r>
          </w:p>
        </w:tc>
        <w:tc>
          <w:tcPr/>
          <w:p>
            <w:pPr>
              <w:pStyle w:val="Compact"/>
            </w:pPr>
            <w:r>
              <w:t xml:space="preserve">0.0</w:t>
            </w:r>
          </w:p>
        </w:tc>
        <w:tc>
          <w:tcPr/>
          <w:p>
            <w:pPr>
              <w:pStyle w:val="Compact"/>
            </w:pPr>
            <w:r>
              <w:t xml:space="preserve">0.0000</w:t>
            </w:r>
          </w:p>
        </w:tc>
      </w:tr>
      <w:tr>
        <w:tc>
          <w:tcPr/>
          <w:p>
            <w:pPr>
              <w:pStyle w:val="Compact"/>
            </w:pPr>
            <w:r>
              <w:t xml:space="preserve">10</w:t>
            </w:r>
          </w:p>
        </w:tc>
        <w:tc>
          <w:tcPr/>
          <w:p>
            <w:pPr>
              <w:pStyle w:val="Compact"/>
            </w:pPr>
            <w:r>
              <w:t xml:space="preserve">building_operation_pj</w:t>
            </w:r>
          </w:p>
        </w:tc>
        <w:tc>
          <w:tcPr/>
          <w:p>
            <w:pPr>
              <w:pStyle w:val="Compact"/>
            </w:pPr>
            <w:r>
              <w:t xml:space="preserve">41.0</w:t>
            </w:r>
          </w:p>
        </w:tc>
        <w:tc>
          <w:tcPr/>
          <w:p>
            <w:pPr>
              <w:pStyle w:val="Compact"/>
            </w:pPr>
            <w:r>
              <w:t xml:space="preserve">11.3889</w:t>
            </w:r>
          </w:p>
        </w:tc>
      </w:tr>
      <w:tr>
        <w:tc>
          <w:tcPr/>
          <w:p>
            <w:pPr>
              <w:pStyle w:val="Compact"/>
            </w:pPr>
            <w:r>
              <w:t xml:space="preserve">11</w:t>
            </w:r>
          </w:p>
        </w:tc>
        <w:tc>
          <w:tcPr/>
          <w:p>
            <w:pPr>
              <w:pStyle w:val="Compact"/>
            </w:pPr>
            <w:r>
              <w:t xml:space="preserve">building_target_pj</w:t>
            </w:r>
          </w:p>
        </w:tc>
        <w:tc>
          <w:tcPr/>
          <w:p>
            <w:pPr>
              <w:pStyle w:val="Compact"/>
            </w:pPr>
            <w:r>
              <w:t xml:space="preserve">0.0</w:t>
            </w:r>
          </w:p>
        </w:tc>
        <w:tc>
          <w:tcPr/>
          <w:p>
            <w:pPr>
              <w:pStyle w:val="Compact"/>
            </w:pPr>
            <w:r>
              <w:t xml:space="preserve">0.0000</w:t>
            </w:r>
          </w:p>
        </w:tc>
      </w:tr>
      <w:tr>
        <w:tc>
          <w:tcPr/>
          <w:p>
            <w:pPr>
              <w:pStyle w:val="Compact"/>
            </w:pPr>
            <w:r>
              <w:t xml:space="preserve">12</w:t>
            </w:r>
          </w:p>
        </w:tc>
        <w:tc>
          <w:tcPr/>
          <w:p>
            <w:pPr>
              <w:pStyle w:val="Compact"/>
            </w:pPr>
            <w:r>
              <w:t xml:space="preserve">source_residual_pj</w:t>
            </w:r>
          </w:p>
        </w:tc>
        <w:tc>
          <w:tcPr/>
          <w:p>
            <w:pPr>
              <w:pStyle w:val="Compact"/>
            </w:pPr>
            <w:r>
              <w:t xml:space="preserve">-2.0</w:t>
            </w:r>
          </w:p>
        </w:tc>
        <w:tc>
          <w:tcPr/>
          <w:p>
            <w:pPr>
              <w:pStyle w:val="Compact"/>
            </w:pPr>
            <w:r>
              <w:t xml:space="preserve">-0.5556</w:t>
            </w:r>
          </w:p>
        </w:tc>
      </w:tr>
      <w:tr>
        <w:tc>
          <w:tcPr/>
          <w:p>
            <w:pPr>
              <w:pStyle w:val="Compact"/>
            </w:pPr>
            <w:r>
              <w:t xml:space="preserve">13</w:t>
            </w:r>
          </w:p>
        </w:tc>
        <w:tc>
          <w:tcPr/>
          <w:p>
            <w:pPr>
              <w:pStyle w:val="Compact"/>
            </w:pPr>
            <w:r>
              <w:t xml:space="preserve">model_residual_pj</w:t>
            </w:r>
          </w:p>
        </w:tc>
        <w:tc>
          <w:tcPr/>
          <w:p>
            <w:pPr>
              <w:pStyle w:val="Compact"/>
            </w:pPr>
            <w:r>
              <w:t xml:space="preserve">0.0</w:t>
            </w:r>
          </w:p>
        </w:tc>
        <w:tc>
          <w:tcPr/>
          <w:p>
            <w:pPr>
              <w:pStyle w:val="Compact"/>
            </w:pPr>
            <w:r>
              <w:t xml:space="preserve">0.0000</w:t>
            </w:r>
          </w:p>
        </w:tc>
      </w:tr>
      <w:tr>
        <w:tc>
          <w:tcPr/>
          <w:p>
            <w:pPr>
              <w:pStyle w:val="Compact"/>
            </w:pPr>
            <w:r>
              <w:t xml:space="preserve">14</w:t>
            </w:r>
          </w:p>
        </w:tc>
        <w:tc>
          <w:tcPr/>
          <w:p>
            <w:pPr>
              <w:pStyle w:val="Compact"/>
            </w:pPr>
            <w:r>
              <w:t xml:space="preserve">allocation_residual_pj</w:t>
            </w:r>
          </w:p>
        </w:tc>
        <w:tc>
          <w:tcPr/>
          <w:p>
            <w:pPr>
              <w:pStyle w:val="Compact"/>
            </w:pPr>
            <w:r>
              <w:t xml:space="preserve">0.0</w:t>
            </w:r>
          </w:p>
        </w:tc>
        <w:tc>
          <w:tcPr/>
          <w:p>
            <w:pPr>
              <w:pStyle w:val="Compact"/>
            </w:pPr>
            <w:r>
              <w:t xml:space="preserve">0.0000</w:t>
            </w:r>
          </w:p>
        </w:tc>
      </w:tr>
    </w:tbl>
    <w:bookmarkEnd w:id="505"/>
    <w:bookmarkStart w:id="506" w:name="varianten"/>
    <w:p>
      <w:pPr>
        <w:pStyle w:val="Heading2"/>
      </w:pPr>
      <w:r>
        <w:t xml:space="preserve">D.6 6. Varianten</w:t>
      </w:r>
    </w:p>
    <w:p>
      <w:pPr>
        <w:pStyle w:val="FirstParagraph"/>
      </w:pPr>
      <w:r>
        <w:t xml:space="preserve">PV gesamt = Gebäude-PV + Freiflächen-PV; Verkehr gesamt = MIV + ÖPNV + übriger Verkehr. Freiflächen-PV verschiebt Deckung zwischen Gebäuden und zentralen Großkraftwerken. Der gemeinsame Top-Down-Saldo bleibt null. Negative zentrale Reste sind ein Rückgriff auf den Gebäude-PV-Überschuss.</w:t>
      </w:r>
    </w:p>
    <w:p>
      <w:pPr>
        <w:pStyle w:val="SourceCode"/>
      </w:pPr>
      <w:r>
        <w:rPr>
          <w:rStyle w:val="ImportTok"/>
        </w:rPr>
        <w:t xml:space="preserve">import</w:t>
      </w:r>
      <w:r>
        <w:rPr>
          <w:rStyle w:val="NormalTok"/>
        </w:rPr>
        <w:t xml:space="preserve"> copy, sys</w:t>
      </w:r>
      <w:r>
        <w:br/>
      </w:r>
      <w:r>
        <w:rPr>
          <w:rStyle w:val="NormalTok"/>
        </w:rPr>
        <w:t xml:space="preserve">sys.path.insert(</w:t>
      </w:r>
      <w:r>
        <w:rPr>
          <w:rStyle w:val="DecValTok"/>
        </w:rPr>
        <w:t xml:space="preserve">0</w:t>
      </w:r>
      <w:r>
        <w:rPr>
          <w:rStyle w:val="NormalTok"/>
        </w:rPr>
        <w:t xml:space="preserve">,</w:t>
      </w:r>
      <w:r>
        <w:rPr>
          <w:rStyle w:val="BuiltInTok"/>
        </w:rPr>
        <w:t xml:space="preserve">str</w:t>
      </w:r>
      <w:r>
        <w:rPr>
          <w:rStyle w:val="NormalTok"/>
        </w:rPr>
        <w:t xml:space="preserve">(ROOT))</w:t>
      </w:r>
      <w:r>
        <w:br/>
      </w:r>
      <w:r>
        <w:rPr>
          <w:rStyle w:val="ImportTok"/>
        </w:rPr>
        <w:t xml:space="preserve">from</w:t>
      </w:r>
      <w:r>
        <w:rPr>
          <w:rStyle w:val="NormalTok"/>
        </w:rPr>
        <w:t xml:space="preserve"> Berechnungen.methodik_plots </w:t>
      </w:r>
      <w:r>
        <w:rPr>
          <w:rStyle w:val="ImportTok"/>
        </w:rPr>
        <w:t xml:space="preserve">import</w:t>
      </w:r>
      <w:r>
        <w:rPr>
          <w:rStyle w:val="NormalTok"/>
        </w:rPr>
        <w:t xml:space="preserve"> allocation_figures</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rPr>
          <w:rStyle w:val="NormalTok"/>
        </w:rPr>
        <w:t xml:space="preserve">variants</w:t>
      </w:r>
      <w:r>
        <w:rPr>
          <w:rStyle w:val="OperatorTok"/>
        </w:rPr>
        <w:t xml:space="preserve">=</w:t>
      </w:r>
      <w:r>
        <w:rPr>
          <w:rStyle w:val="NormalTok"/>
        </w:rPr>
        <w:t xml:space="preserve">[]</w:t>
      </w:r>
      <w:r>
        <w:br/>
      </w:r>
      <w:r>
        <w:rPr>
          <w:rStyle w:val="ControlFlowTok"/>
        </w:rPr>
        <w:t xml:space="preserve">for</w:t>
      </w:r>
      <w:r>
        <w:rPr>
          <w:rStyle w:val="NormalTok"/>
        </w:rPr>
        <w:t xml:space="preserve"> label,f,m </w:t>
      </w:r>
      <w:r>
        <w:rPr>
          <w:rStyle w:val="KeywordTok"/>
        </w:rPr>
        <w:t xml:space="preserve">in</w:t>
      </w:r>
      <w:r>
        <w:rPr>
          <w:rStyle w:val="NormalTok"/>
        </w:rPr>
        <w:t xml:space="preserve"> [(</w:t>
      </w:r>
      <w:r>
        <w:rPr>
          <w:rStyle w:val="StringTok"/>
        </w:rPr>
        <w:t xml:space="preserve">'Referenz'</w:t>
      </w:r>
      <w:r>
        <w:rPr>
          <w:rStyle w:val="NormalTok"/>
        </w:rPr>
        <w:t xml:space="preserve">,</w:t>
      </w:r>
      <w:r>
        <w:rPr>
          <w:rStyle w:val="DecValTok"/>
        </w:rPr>
        <w:t xml:space="preserve">0</w:t>
      </w:r>
      <w:r>
        <w:rPr>
          <w:rStyle w:val="NormalTok"/>
        </w:rPr>
        <w:t xml:space="preserve">,</w:t>
      </w:r>
      <w:r>
        <w:rPr>
          <w:rStyle w:val="FloatTok"/>
        </w:rPr>
        <w:t xml:space="preserve">.8</w:t>
      </w:r>
      <w:r>
        <w:rPr>
          <w:rStyle w:val="NormalTok"/>
        </w:rPr>
        <w:t xml:space="preserve">),(</w:t>
      </w:r>
      <w:r>
        <w:rPr>
          <w:rStyle w:val="StringTok"/>
        </w:rPr>
        <w:t xml:space="preserve">'20 </w:t>
      </w:r>
      <w:r>
        <w:rPr>
          <w:rStyle w:val="SpecialCharTok"/>
        </w:rPr>
        <w:t xml:space="preserve">% F</w:t>
      </w:r>
      <w:r>
        <w:rPr>
          <w:rStyle w:val="StringTok"/>
        </w:rPr>
        <w:t xml:space="preserve">reiflächen-PV'</w:t>
      </w:r>
      <w:r>
        <w:rPr>
          <w:rStyle w:val="NormalTok"/>
        </w:rPr>
        <w:t xml:space="preserve">,</w:t>
      </w:r>
      <w:r>
        <w:rPr>
          <w:rStyle w:val="FloatTok"/>
        </w:rPr>
        <w:t xml:space="preserve">.2</w:t>
      </w:r>
      <w:r>
        <w:rPr>
          <w:rStyle w:val="NormalTok"/>
        </w:rPr>
        <w:t xml:space="preserve">,</w:t>
      </w:r>
      <w:r>
        <w:rPr>
          <w:rStyle w:val="FloatTok"/>
        </w:rPr>
        <w:t xml:space="preserve">.8</w:t>
      </w:r>
      <w:r>
        <w:rPr>
          <w:rStyle w:val="NormalTok"/>
        </w:rPr>
        <w:t xml:space="preserve">),(</w:t>
      </w:r>
      <w:r>
        <w:rPr>
          <w:rStyle w:val="StringTok"/>
        </w:rPr>
        <w:t xml:space="preserve">'60 % MIV'</w:t>
      </w:r>
      <w:r>
        <w:rPr>
          <w:rStyle w:val="NormalTok"/>
        </w:rPr>
        <w:t xml:space="preserve">,</w:t>
      </w:r>
      <w:r>
        <w:rPr>
          <w:rStyle w:val="DecValTok"/>
        </w:rPr>
        <w:t xml:space="preserve">0</w:t>
      </w:r>
      <w:r>
        <w:rPr>
          <w:rStyle w:val="NormalTok"/>
        </w:rPr>
        <w:t xml:space="preserve">,</w:t>
      </w:r>
      <w:r>
        <w:rPr>
          <w:rStyle w:val="FloatTok"/>
        </w:rPr>
        <w:t xml:space="preserve">.6</w:t>
      </w:r>
      <w:r>
        <w:rPr>
          <w:rStyle w:val="NormalTok"/>
        </w:rPr>
        <w:t xml:space="preserve">),(</w:t>
      </w:r>
      <w:r>
        <w:rPr>
          <w:rStyle w:val="StringTok"/>
        </w:rPr>
        <w:t xml:space="preserve">'40 % MIV'</w:t>
      </w:r>
      <w:r>
        <w:rPr>
          <w:rStyle w:val="NormalTok"/>
        </w:rPr>
        <w:t xml:space="preserve">,</w:t>
      </w:r>
      <w:r>
        <w:rPr>
          <w:rStyle w:val="DecValTok"/>
        </w:rPr>
        <w:t xml:space="preserve">0</w:t>
      </w:r>
      <w:r>
        <w:rPr>
          <w:rStyle w:val="NormalTok"/>
        </w:rPr>
        <w:t xml:space="preserve">,</w:t>
      </w:r>
      <w:r>
        <w:rPr>
          <w:rStyle w:val="FloatTok"/>
        </w:rPr>
        <w:t xml:space="preserve">.4</w:t>
      </w:r>
      <w:r>
        <w:rPr>
          <w:rStyle w:val="NormalTok"/>
        </w:rPr>
        <w:t xml:space="preserve">),(</w:t>
      </w:r>
      <w:r>
        <w:rPr>
          <w:rStyle w:val="StringTok"/>
        </w:rPr>
        <w:t xml:space="preserve">'100 </w:t>
      </w:r>
      <w:r>
        <w:rPr>
          <w:rStyle w:val="SpecialCharTok"/>
        </w:rPr>
        <w:t xml:space="preserve">% F</w:t>
      </w:r>
      <w:r>
        <w:rPr>
          <w:rStyle w:val="StringTok"/>
        </w:rPr>
        <w:t xml:space="preserve">reiflächen-PV'</w:t>
      </w:r>
      <w:r>
        <w:rPr>
          <w:rStyle w:val="NormalTok"/>
        </w:rPr>
        <w:t xml:space="preserve">,</w:t>
      </w:r>
      <w:r>
        <w:rPr>
          <w:rStyle w:val="DecValTok"/>
        </w:rPr>
        <w:t xml:space="preserve">1</w:t>
      </w:r>
      <w:r>
        <w:rPr>
          <w:rStyle w:val="NormalTok"/>
        </w:rPr>
        <w:t xml:space="preserve">,</w:t>
      </w:r>
      <w:r>
        <w:rPr>
          <w:rStyle w:val="FloatTok"/>
        </w:rPr>
        <w:t xml:space="preserve">.8</w:t>
      </w:r>
      <w:r>
        <w:rPr>
          <w:rStyle w:val="NormalTok"/>
        </w:rPr>
        <w:t xml:space="preserve">)]:</w:t>
      </w:r>
      <w:r>
        <w:br/>
      </w:r>
      <w:r>
        <w:rPr>
          <w:rStyle w:val="NormalTok"/>
        </w:rPr>
        <w:t xml:space="preserve">    p</w:t>
      </w:r>
      <w:r>
        <w:rPr>
          <w:rStyle w:val="OperatorTok"/>
        </w:rPr>
        <w:t xml:space="preserve">=</w:t>
      </w:r>
      <w:r>
        <w:rPr>
          <w:rStyle w:val="BuiltInTok"/>
        </w:rPr>
        <w:t xml:space="preserve">dict</w:t>
      </w:r>
      <w:r>
        <w:rPr>
          <w:rStyle w:val="NormalTok"/>
        </w:rPr>
        <w:t xml:space="preserve">(parameters,other_pv_share</w:t>
      </w:r>
      <w:r>
        <w:rPr>
          <w:rStyle w:val="OperatorTok"/>
        </w:rPr>
        <w:t xml:space="preserve">=</w:t>
      </w:r>
      <w:r>
        <w:rPr>
          <w:rStyle w:val="NormalTok"/>
        </w:rPr>
        <w:t xml:space="preserve">f,miv_share</w:t>
      </w:r>
      <w:r>
        <w:rPr>
          <w:rStyle w:val="OperatorTok"/>
        </w:rPr>
        <w:t xml:space="preserve">=</w:t>
      </w:r>
      <w:r>
        <w:rPr>
          <w:rStyle w:val="NormalTok"/>
        </w:rPr>
        <w:t xml:space="preserve">m,public_transport_share</w:t>
      </w:r>
      <w:r>
        <w:rPr>
          <w:rStyle w:val="OperatorTok"/>
        </w:rPr>
        <w:t xml:space="preserve">=</w:t>
      </w:r>
      <w:r>
        <w:rPr>
          <w:rStyle w:val="DecValTok"/>
        </w:rPr>
        <w:t xml:space="preserve">1</w:t>
      </w:r>
      <w:r>
        <w:rPr>
          <w:rStyle w:val="OperatorTok"/>
        </w:rPr>
        <w:t xml:space="preserve">-</w:t>
      </w:r>
      <w:r>
        <w:rPr>
          <w:rStyle w:val="NormalTok"/>
        </w:rPr>
        <w:t xml:space="preserve">m,other_transport_share</w:t>
      </w:r>
      <w:r>
        <w:rPr>
          <w:rStyle w:val="OperatorTok"/>
        </w:rPr>
        <w:t xml:space="preserve">=</w:t>
      </w:r>
      <w:r>
        <w:rPr>
          <w:rStyle w:val="DecValTok"/>
        </w:rPr>
        <w:t xml:space="preserve">0</w:t>
      </w:r>
      <w:r>
        <w:rPr>
          <w:rStyle w:val="NormalTok"/>
        </w:rPr>
        <w:t xml:space="preserve">)</w:t>
      </w:r>
      <w:r>
        <w:br/>
      </w:r>
      <w:r>
        <w:rPr>
          <w:rStyle w:val="NormalTok"/>
        </w:rPr>
        <w:t xml:space="preserve">    r</w:t>
      </w:r>
      <w:r>
        <w:rPr>
          <w:rStyle w:val="OperatorTok"/>
        </w:rPr>
        <w:t xml:space="preserve">=</w:t>
      </w:r>
      <w:r>
        <w:rPr>
          <w:rStyle w:val="NormalTok"/>
        </w:rPr>
        <w:t xml:space="preserve">allocate(p)</w:t>
      </w:r>
      <w:r>
        <w:br/>
      </w:r>
      <w:r>
        <w:rPr>
          <w:rStyle w:val="NormalTok"/>
        </w:rPr>
        <w:t xml:space="preserve">    variants.append({</w:t>
      </w:r>
      <w:r>
        <w:rPr>
          <w:rStyle w:val="StringTok"/>
        </w:rPr>
        <w:t xml:space="preserve">'Variante'</w:t>
      </w:r>
      <w:r>
        <w:rPr>
          <w:rStyle w:val="NormalTok"/>
        </w:rPr>
        <w:t xml:space="preserve">:label,</w:t>
      </w:r>
      <w:r>
        <w:rPr>
          <w:rStyle w:val="StringTok"/>
        </w:rPr>
        <w:t xml:space="preserve">'PV gesamt'</w:t>
      </w:r>
      <w:r>
        <w:rPr>
          <w:rStyle w:val="NormalTok"/>
        </w:rPr>
        <w:t xml:space="preserve">:g[</w:t>
      </w:r>
      <w:r>
        <w:rPr>
          <w:rStyle w:val="StringTok"/>
        </w:rPr>
        <w:t xml:space="preserve">'pv'</w:t>
      </w:r>
      <w:r>
        <w:rPr>
          <w:rStyle w:val="NormalTok"/>
        </w:rPr>
        <w:t xml:space="preserve">],</w:t>
      </w:r>
      <w:r>
        <w:rPr>
          <w:rStyle w:val="StringTok"/>
        </w:rPr>
        <w:t xml:space="preserve">'PV Gebäude'</w:t>
      </w:r>
      <w:r>
        <w:rPr>
          <w:rStyle w:val="NormalTok"/>
        </w:rPr>
        <w:t xml:space="preserve">:r[</w:t>
      </w:r>
      <w:r>
        <w:rPr>
          <w:rStyle w:val="StringTok"/>
        </w:rPr>
        <w:t xml:space="preserve">'building_pv_pj'</w:t>
      </w:r>
      <w:r>
        <w:rPr>
          <w:rStyle w:val="NormalTok"/>
        </w:rPr>
        <w:t xml:space="preserve">],</w:t>
      </w:r>
      <w:r>
        <w:rPr>
          <w:rStyle w:val="StringTok"/>
        </w:rPr>
        <w:t xml:space="preserve">'PV Freifläche'</w:t>
      </w:r>
      <w:r>
        <w:rPr>
          <w:rStyle w:val="NormalTok"/>
        </w:rPr>
        <w:t xml:space="preserve">:r[</w:t>
      </w:r>
      <w:r>
        <w:rPr>
          <w:rStyle w:val="StringTok"/>
        </w:rPr>
        <w:t xml:space="preserve">'other_pv_pj'</w:t>
      </w:r>
      <w:r>
        <w:rPr>
          <w:rStyle w:val="NormalTok"/>
        </w:rPr>
        <w:t xml:space="preserve">],</w:t>
      </w:r>
      <w:r>
        <w:br/>
      </w:r>
      <w:r>
        <w:rPr>
          <w:rStyle w:val="NormalTok"/>
        </w:rPr>
        <w:t xml:space="preserve">        </w:t>
      </w:r>
      <w:r>
        <w:rPr>
          <w:rStyle w:val="StringTok"/>
        </w:rPr>
        <w:t xml:space="preserve">'Verkehr gesamt'</w:t>
      </w:r>
      <w:r>
        <w:rPr>
          <w:rStyle w:val="NormalTok"/>
        </w:rPr>
        <w:t xml:space="preserve">:d[</w:t>
      </w:r>
      <w:r>
        <w:rPr>
          <w:rStyle w:val="StringTok"/>
        </w:rPr>
        <w:t xml:space="preserve">'verkehr'</w:t>
      </w:r>
      <w:r>
        <w:rPr>
          <w:rStyle w:val="NormalTok"/>
        </w:rPr>
        <w:t xml:space="preserve">],</w:t>
      </w:r>
      <w:r>
        <w:rPr>
          <w:rStyle w:val="StringTok"/>
        </w:rPr>
        <w:t xml:space="preserve">'ÖPNV'</w:t>
      </w:r>
      <w:r>
        <w:rPr>
          <w:rStyle w:val="NormalTok"/>
        </w:rPr>
        <w:t xml:space="preserve">:r[</w:t>
      </w:r>
      <w:r>
        <w:rPr>
          <w:rStyle w:val="StringTok"/>
        </w:rPr>
        <w:t xml:space="preserve">'public_transport_pj'</w:t>
      </w:r>
      <w:r>
        <w:rPr>
          <w:rStyle w:val="NormalTok"/>
        </w:rPr>
        <w:t xml:space="preserve">],</w:t>
      </w:r>
      <w:r>
        <w:rPr>
          <w:rStyle w:val="StringTok"/>
        </w:rPr>
        <w:t xml:space="preserve">'MIV'</w:t>
      </w:r>
      <w:r>
        <w:rPr>
          <w:rStyle w:val="NormalTok"/>
        </w:rPr>
        <w:t xml:space="preserve">:r[</w:t>
      </w:r>
      <w:r>
        <w:rPr>
          <w:rStyle w:val="StringTok"/>
        </w:rPr>
        <w:t xml:space="preserve">'miv_demand_pj'</w:t>
      </w:r>
      <w:r>
        <w:rPr>
          <w:rStyle w:val="NormalTok"/>
        </w:rPr>
        <w:t xml:space="preserve">],</w:t>
      </w:r>
      <w:r>
        <w:br/>
      </w:r>
      <w:r>
        <w:rPr>
          <w:rStyle w:val="NormalTok"/>
        </w:rPr>
        <w:t xml:space="preserve">        </w:t>
      </w:r>
      <w:r>
        <w:rPr>
          <w:rStyle w:val="StringTok"/>
        </w:rPr>
        <w:t xml:space="preserve">'Übriger Verkehr'</w:t>
      </w:r>
      <w:r>
        <w:rPr>
          <w:rStyle w:val="NormalTok"/>
        </w:rPr>
        <w:t xml:space="preserve">:r[</w:t>
      </w:r>
      <w:r>
        <w:rPr>
          <w:rStyle w:val="StringTok"/>
        </w:rPr>
        <w:t xml:space="preserve">'other_transport_pj'</w:t>
      </w:r>
      <w:r>
        <w:rPr>
          <w:rStyle w:val="NormalTok"/>
        </w:rPr>
        <w:t xml:space="preserve">],</w:t>
      </w:r>
      <w:r>
        <w:rPr>
          <w:rStyle w:val="StringTok"/>
        </w:rPr>
        <w:t xml:space="preserve">'MIV-Anteil [%]'</w:t>
      </w:r>
      <w:r>
        <w:rPr>
          <w:rStyle w:val="NormalTok"/>
        </w:rPr>
        <w:t xml:space="preserve">:</w:t>
      </w:r>
      <w:r>
        <w:rPr>
          <w:rStyle w:val="DecValTok"/>
        </w:rPr>
        <w:t xml:space="preserve">100</w:t>
      </w:r>
      <w:r>
        <w:rPr>
          <w:rStyle w:val="OperatorTok"/>
        </w:rPr>
        <w:t xml:space="preserve">*</w:t>
      </w:r>
      <w:r>
        <w:rPr>
          <w:rStyle w:val="NormalTok"/>
        </w:rPr>
        <w:t xml:space="preserve">m,</w:t>
      </w:r>
      <w:r>
        <w:rPr>
          <w:rStyle w:val="StringTok"/>
        </w:rPr>
        <w:t xml:space="preserve">'Freiflächen-Anteil [%]'</w:t>
      </w:r>
      <w:r>
        <w:rPr>
          <w:rStyle w:val="NormalTok"/>
        </w:rPr>
        <w:t xml:space="preserve">:</w:t>
      </w:r>
      <w:r>
        <w:rPr>
          <w:rStyle w:val="DecValTok"/>
        </w:rPr>
        <w:t xml:space="preserve">100</w:t>
      </w:r>
      <w:r>
        <w:rPr>
          <w:rStyle w:val="OperatorTok"/>
        </w:rPr>
        <w:t xml:space="preserve">*</w:t>
      </w:r>
      <w:r>
        <w:rPr>
          <w:rStyle w:val="NormalTok"/>
        </w:rPr>
        <w:t xml:space="preserve">f,</w:t>
      </w:r>
      <w:r>
        <w:br/>
      </w:r>
      <w:r>
        <w:rPr>
          <w:rStyle w:val="NormalTok"/>
        </w:rPr>
        <w:t xml:space="preserve">        </w:t>
      </w:r>
      <w:r>
        <w:rPr>
          <w:rStyle w:val="StringTok"/>
        </w:rPr>
        <w:t xml:space="preserve">'Gebäude'</w:t>
      </w:r>
      <w:r>
        <w:rPr>
          <w:rStyle w:val="NormalTok"/>
        </w:rPr>
        <w:t xml:space="preserve">:d[</w:t>
      </w:r>
      <w:r>
        <w:rPr>
          <w:rStyle w:val="StringTok"/>
        </w:rPr>
        <w:t xml:space="preserve">'gebaeude'</w:t>
      </w:r>
      <w:r>
        <w:rPr>
          <w:rStyle w:val="NormalTok"/>
        </w:rPr>
        <w:t xml:space="preserve">],</w:t>
      </w:r>
      <w:r>
        <w:rPr>
          <w:rStyle w:val="StringTok"/>
        </w:rPr>
        <w:t xml:space="preserve">'Restdeckung'</w:t>
      </w:r>
      <w:r>
        <w:rPr>
          <w:rStyle w:val="NormalTok"/>
        </w:rPr>
        <w:t xml:space="preserve">:r[</w:t>
      </w:r>
      <w:r>
        <w:rPr>
          <w:rStyle w:val="StringTok"/>
        </w:rPr>
        <w:t xml:space="preserve">'central_credit_pj'</w:t>
      </w:r>
      <w:r>
        <w:rPr>
          <w:rStyle w:val="NormalTok"/>
        </w:rPr>
        <w:t xml:space="preserve">],</w:t>
      </w:r>
      <w:r>
        <w:rPr>
          <w:rStyle w:val="StringTok"/>
        </w:rPr>
        <w:t xml:space="preserve">'Verfügbare Restdeckung'</w:t>
      </w:r>
      <w:r>
        <w:rPr>
          <w:rStyle w:val="NormalTok"/>
        </w:rPr>
        <w:t xml:space="preserve">:r[</w:t>
      </w:r>
      <w:r>
        <w:rPr>
          <w:rStyle w:val="StringTok"/>
        </w:rPr>
        <w:t xml:space="preserve">'available_credit_pj'</w:t>
      </w:r>
      <w:r>
        <w:rPr>
          <w:rStyle w:val="NormalTok"/>
        </w:rPr>
        <w:t xml:space="preserve">],</w:t>
      </w:r>
      <w:r>
        <w:br/>
      </w:r>
      <w:r>
        <w:rPr>
          <w:rStyle w:val="NormalTok"/>
        </w:rPr>
        <w:t xml:space="preserve">        </w:t>
      </w:r>
      <w:r>
        <w:rPr>
          <w:rStyle w:val="StringTok"/>
        </w:rPr>
        <w:t xml:space="preserve">'Saldo'</w:t>
      </w:r>
      <w:r>
        <w:rPr>
          <w:rStyle w:val="NormalTok"/>
        </w:rPr>
        <w:t xml:space="preserve">:r[</w:t>
      </w:r>
      <w:r>
        <w:rPr>
          <w:rStyle w:val="StringTok"/>
        </w:rPr>
        <w:t xml:space="preserve">'building_target_pj'</w:t>
      </w:r>
      <w:r>
        <w:rPr>
          <w:rStyle w:val="NormalTok"/>
        </w:rPr>
        <w:t xml:space="preserve">],</w:t>
      </w:r>
      <w:r>
        <w:rPr>
          <w:rStyle w:val="StringTok"/>
        </w:rPr>
        <w:t xml:space="preserve">'Zentraler Fehlbetrag'</w:t>
      </w:r>
      <w:r>
        <w:rPr>
          <w:rStyle w:val="NormalTok"/>
        </w:rPr>
        <w:t xml:space="preserve">:r[</w:t>
      </w:r>
      <w:r>
        <w:rPr>
          <w:rStyle w:val="StringTok"/>
        </w:rPr>
        <w:t xml:space="preserve">'central_shortfall_pj'</w:t>
      </w:r>
      <w:r>
        <w:rPr>
          <w:rStyle w:val="NormalTok"/>
        </w:rPr>
        <w:t xml:space="preserve">]})</w:t>
      </w:r>
      <w:r>
        <w:br/>
      </w:r>
      <w:r>
        <w:rPr>
          <w:rStyle w:val="NormalTok"/>
        </w:rPr>
        <w:t xml:space="preserve">comparison</w:t>
      </w:r>
      <w:r>
        <w:rPr>
          <w:rStyle w:val="OperatorTok"/>
        </w:rPr>
        <w:t xml:space="preserve">=</w:t>
      </w:r>
      <w:r>
        <w:rPr>
          <w:rStyle w:val="NormalTok"/>
        </w:rPr>
        <w:t xml:space="preserve">pd.DataFrame(variants)</w:t>
      </w:r>
      <w:r>
        <w:br/>
      </w:r>
      <w:r>
        <w:rPr>
          <w:rStyle w:val="NormalTok"/>
        </w:rPr>
        <w:t xml:space="preserve">pv_columns</w:t>
      </w:r>
      <w:r>
        <w:rPr>
          <w:rStyle w:val="OperatorTok"/>
        </w:rPr>
        <w:t xml:space="preserve">=</w:t>
      </w:r>
      <w:r>
        <w:rPr>
          <w:rStyle w:val="NormalTok"/>
        </w:rPr>
        <w:t xml:space="preserve">[</w:t>
      </w:r>
      <w:r>
        <w:rPr>
          <w:rStyle w:val="StringTok"/>
        </w:rPr>
        <w:t xml:space="preserve">'Variante'</w:t>
      </w:r>
      <w:r>
        <w:rPr>
          <w:rStyle w:val="NormalTok"/>
        </w:rPr>
        <w:t xml:space="preserve">,</w:t>
      </w:r>
      <w:r>
        <w:rPr>
          <w:rStyle w:val="StringTok"/>
        </w:rPr>
        <w:t xml:space="preserve">'PV gesamt'</w:t>
      </w:r>
      <w:r>
        <w:rPr>
          <w:rStyle w:val="NormalTok"/>
        </w:rPr>
        <w:t xml:space="preserve">,</w:t>
      </w:r>
      <w:r>
        <w:rPr>
          <w:rStyle w:val="StringTok"/>
        </w:rPr>
        <w:t xml:space="preserve">'PV Gebäude'</w:t>
      </w:r>
      <w:r>
        <w:rPr>
          <w:rStyle w:val="NormalTok"/>
        </w:rPr>
        <w:t xml:space="preserve">,</w:t>
      </w:r>
      <w:r>
        <w:rPr>
          <w:rStyle w:val="StringTok"/>
        </w:rPr>
        <w:t xml:space="preserve">'PV Freifläche'</w:t>
      </w:r>
      <w:r>
        <w:rPr>
          <w:rStyle w:val="NormalTok"/>
        </w:rPr>
        <w:t xml:space="preserve">,</w:t>
      </w:r>
      <w:r>
        <w:rPr>
          <w:rStyle w:val="StringTok"/>
        </w:rPr>
        <w:t xml:space="preserve">'Freiflächen-Anteil [%]'</w:t>
      </w:r>
      <w:r>
        <w:rPr>
          <w:rStyle w:val="NormalTok"/>
        </w:rPr>
        <w:t xml:space="preserve">]</w:t>
      </w:r>
      <w:r>
        <w:br/>
      </w:r>
      <w:r>
        <w:rPr>
          <w:rStyle w:val="NormalTok"/>
        </w:rPr>
        <w:t xml:space="preserve">traffic_columns</w:t>
      </w:r>
      <w:r>
        <w:rPr>
          <w:rStyle w:val="OperatorTok"/>
        </w:rPr>
        <w:t xml:space="preserve">=</w:t>
      </w:r>
      <w:r>
        <w:rPr>
          <w:rStyle w:val="NormalTok"/>
        </w:rPr>
        <w:t xml:space="preserve">[</w:t>
      </w:r>
      <w:r>
        <w:rPr>
          <w:rStyle w:val="StringTok"/>
        </w:rPr>
        <w:t xml:space="preserve">'Variante'</w:t>
      </w:r>
      <w:r>
        <w:rPr>
          <w:rStyle w:val="NormalTok"/>
        </w:rPr>
        <w:t xml:space="preserve">,</w:t>
      </w:r>
      <w:r>
        <w:rPr>
          <w:rStyle w:val="StringTok"/>
        </w:rPr>
        <w:t xml:space="preserve">'Verkehr gesamt'</w:t>
      </w:r>
      <w:r>
        <w:rPr>
          <w:rStyle w:val="NormalTok"/>
        </w:rPr>
        <w:t xml:space="preserve">,</w:t>
      </w:r>
      <w:r>
        <w:rPr>
          <w:rStyle w:val="StringTok"/>
        </w:rPr>
        <w:t xml:space="preserve">'ÖPNV'</w:t>
      </w:r>
      <w:r>
        <w:rPr>
          <w:rStyle w:val="NormalTok"/>
        </w:rPr>
        <w:t xml:space="preserve">,</w:t>
      </w:r>
      <w:r>
        <w:rPr>
          <w:rStyle w:val="StringTok"/>
        </w:rPr>
        <w:t xml:space="preserve">'MIV'</w:t>
      </w:r>
      <w:r>
        <w:rPr>
          <w:rStyle w:val="NormalTok"/>
        </w:rPr>
        <w:t xml:space="preserve">,</w:t>
      </w:r>
      <w:r>
        <w:rPr>
          <w:rStyle w:val="StringTok"/>
        </w:rPr>
        <w:t xml:space="preserve">'Übriger Verkehr'</w:t>
      </w:r>
      <w:r>
        <w:rPr>
          <w:rStyle w:val="NormalTok"/>
        </w:rPr>
        <w:t xml:space="preserve">,</w:t>
      </w:r>
      <w:r>
        <w:rPr>
          <w:rStyle w:val="StringTok"/>
        </w:rPr>
        <w:t xml:space="preserve">'MIV-Anteil [%]'</w:t>
      </w:r>
      <w:r>
        <w:rPr>
          <w:rStyle w:val="NormalTok"/>
        </w:rPr>
        <w:t xml:space="preserve">]</w:t>
      </w:r>
      <w:r>
        <w:br/>
      </w:r>
      <w:r>
        <w:rPr>
          <w:rStyle w:val="NormalTok"/>
        </w:rPr>
        <w:t xml:space="preserve">result_columns</w:t>
      </w:r>
      <w:r>
        <w:rPr>
          <w:rStyle w:val="OperatorTok"/>
        </w:rPr>
        <w:t xml:space="preserve">=</w:t>
      </w:r>
      <w:r>
        <w:rPr>
          <w:rStyle w:val="NormalTok"/>
        </w:rPr>
        <w:t xml:space="preserve">[</w:t>
      </w:r>
      <w:r>
        <w:rPr>
          <w:rStyle w:val="StringTok"/>
        </w:rPr>
        <w:t xml:space="preserve">'Variante'</w:t>
      </w:r>
      <w:r>
        <w:rPr>
          <w:rStyle w:val="NormalTok"/>
        </w:rPr>
        <w:t xml:space="preserve">,</w:t>
      </w:r>
      <w:r>
        <w:rPr>
          <w:rStyle w:val="StringTok"/>
        </w:rPr>
        <w:t xml:space="preserve">'Restdeckung'</w:t>
      </w:r>
      <w:r>
        <w:rPr>
          <w:rStyle w:val="NormalTok"/>
        </w:rPr>
        <w:t xml:space="preserve">,</w:t>
      </w:r>
      <w:r>
        <w:rPr>
          <w:rStyle w:val="StringTok"/>
        </w:rPr>
        <w:t xml:space="preserve">'Saldo'</w:t>
      </w:r>
      <w:r>
        <w:rPr>
          <w:rStyle w:val="NormalTok"/>
        </w:rPr>
        <w:t xml:space="preserve">,</w:t>
      </w:r>
      <w:r>
        <w:rPr>
          <w:rStyle w:val="StringTok"/>
        </w:rPr>
        <w:t xml:space="preserve">'Zentraler Fehlbetrag'</w:t>
      </w:r>
      <w:r>
        <w:rPr>
          <w:rStyle w:val="NormalTok"/>
        </w:rPr>
        <w:t xml:space="preserve">]</w:t>
      </w:r>
      <w:r>
        <w:br/>
      </w:r>
      <w:r>
        <w:rPr>
          <w:rStyle w:val="ControlFlowTok"/>
        </w:rPr>
        <w:t xml:space="preserve">for</w:t>
      </w:r>
      <w:r>
        <w:rPr>
          <w:rStyle w:val="NormalTok"/>
        </w:rPr>
        <w:t xml:space="preserve"> cols </w:t>
      </w:r>
      <w:r>
        <w:rPr>
          <w:rStyle w:val="KeywordTok"/>
        </w:rPr>
        <w:t xml:space="preserve">in</w:t>
      </w:r>
      <w:r>
        <w:rPr>
          <w:rStyle w:val="NormalTok"/>
        </w:rPr>
        <w:t xml:space="preserve"> [pv_columns,traffic_columns,result_columns]: display(comparison[cols].</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steps</w:t>
      </w:r>
      <w:r>
        <w:rPr>
          <w:rStyle w:val="OperatorTok"/>
        </w:rPr>
        <w:t xml:space="preserve">=</w:t>
      </w:r>
      <w:r>
        <w:rPr>
          <w:rStyle w:val="NormalTok"/>
        </w:rPr>
        <w:t xml:space="preserve">{</w:t>
      </w:r>
      <w:r>
        <w:rPr>
          <w:rStyle w:val="StringTok"/>
        </w:rPr>
        <w:t xml:space="preserve">'Zentrale Großkraftwerke'</w:t>
      </w:r>
      <w:r>
        <w:rPr>
          <w:rStyle w:val="NormalTok"/>
        </w:rPr>
        <w:t xml:space="preserve">:result[</w:t>
      </w:r>
      <w:r>
        <w:rPr>
          <w:rStyle w:val="StringTok"/>
        </w:rPr>
        <w:t xml:space="preserve">'central_pj'</w:t>
      </w:r>
      <w:r>
        <w:rPr>
          <w:rStyle w:val="NormalTok"/>
        </w:rPr>
        <w:t xml:space="preserve">],</w:t>
      </w:r>
      <w:r>
        <w:rPr>
          <w:rStyle w:val="StringTok"/>
        </w:rPr>
        <w:t xml:space="preserve">'Industrie'</w:t>
      </w:r>
      <w:r>
        <w:rPr>
          <w:rStyle w:val="NormalTok"/>
        </w:rPr>
        <w:t xml:space="preserve">:</w:t>
      </w:r>
      <w:r>
        <w:rPr>
          <w:rStyle w:val="OperatorTok"/>
        </w:rPr>
        <w:t xml:space="preserve">-</w:t>
      </w:r>
      <w:r>
        <w:rPr>
          <w:rStyle w:val="NormalTok"/>
        </w:rPr>
        <w:t xml:space="preserve">d[</w:t>
      </w:r>
      <w:r>
        <w:rPr>
          <w:rStyle w:val="StringTok"/>
        </w:rPr>
        <w:t xml:space="preserve">'industrie'</w:t>
      </w:r>
      <w:r>
        <w:rPr>
          <w:rStyle w:val="NormalTok"/>
        </w:rPr>
        <w:t xml:space="preserve">],</w:t>
      </w:r>
      <w:r>
        <w:br/>
      </w:r>
      <w:r>
        <w:rPr>
          <w:rStyle w:val="NormalTok"/>
        </w:rPr>
        <w:t xml:space="preserve">    </w:t>
      </w:r>
      <w:r>
        <w:rPr>
          <w:rStyle w:val="StringTok"/>
        </w:rPr>
        <w:t xml:space="preserve">'Landwirtschaft'</w:t>
      </w:r>
      <w:r>
        <w:rPr>
          <w:rStyle w:val="NormalTok"/>
        </w:rPr>
        <w:t xml:space="preserve">:</w:t>
      </w:r>
      <w:r>
        <w:rPr>
          <w:rStyle w:val="OperatorTok"/>
        </w:rPr>
        <w:t xml:space="preserve">-</w:t>
      </w:r>
      <w:r>
        <w:rPr>
          <w:rStyle w:val="NormalTok"/>
        </w:rPr>
        <w:t xml:space="preserve">d[</w:t>
      </w:r>
      <w:r>
        <w:rPr>
          <w:rStyle w:val="StringTok"/>
        </w:rPr>
        <w:t xml:space="preserve">'landwirtschaft'</w:t>
      </w:r>
      <w:r>
        <w:rPr>
          <w:rStyle w:val="NormalTok"/>
        </w:rPr>
        <w:t xml:space="preserve">],</w:t>
      </w:r>
      <w:r>
        <w:rPr>
          <w:rStyle w:val="StringTok"/>
        </w:rPr>
        <w:t xml:space="preserve">'Energiebranche'</w:t>
      </w:r>
      <w:r>
        <w:rPr>
          <w:rStyle w:val="NormalTok"/>
        </w:rPr>
        <w:t xml:space="preserve">:</w:t>
      </w:r>
      <w:r>
        <w:rPr>
          <w:rStyle w:val="OperatorTok"/>
        </w:rPr>
        <w:t xml:space="preserve">-</w:t>
      </w:r>
      <w:r>
        <w:rPr>
          <w:rStyle w:val="NormalTok"/>
        </w:rPr>
        <w:t xml:space="preserve">d[</w:t>
      </w:r>
      <w:r>
        <w:rPr>
          <w:rStyle w:val="StringTok"/>
        </w:rPr>
        <w:t xml:space="preserve">'verbrauch_sektor_energie'</w:t>
      </w:r>
      <w:r>
        <w:rPr>
          <w:rStyle w:val="NormalTok"/>
        </w:rPr>
        <w:t xml:space="preserve">],</w:t>
      </w:r>
      <w:r>
        <w:br/>
      </w:r>
      <w:r>
        <w:rPr>
          <w:rStyle w:val="NormalTok"/>
        </w:rPr>
        <w:t xml:space="preserve">    </w:t>
      </w:r>
      <w:r>
        <w:rPr>
          <w:rStyle w:val="StringTok"/>
        </w:rPr>
        <w:t xml:space="preserve">'Umwandlung'</w:t>
      </w:r>
      <w:r>
        <w:rPr>
          <w:rStyle w:val="NormalTok"/>
        </w:rPr>
        <w:t xml:space="preserve">:</w:t>
      </w:r>
      <w:r>
        <w:rPr>
          <w:rStyle w:val="OperatorTok"/>
        </w:rPr>
        <w:t xml:space="preserve">-</w:t>
      </w:r>
      <w:r>
        <w:rPr>
          <w:rStyle w:val="NormalTok"/>
        </w:rPr>
        <w:t xml:space="preserve">d[</w:t>
      </w:r>
      <w:r>
        <w:rPr>
          <w:rStyle w:val="StringTok"/>
        </w:rPr>
        <w:t xml:space="preserve">'umwandlungseinsatz'</w:t>
      </w:r>
      <w:r>
        <w:rPr>
          <w:rStyle w:val="NormalTok"/>
        </w:rPr>
        <w:t xml:space="preserve">],</w:t>
      </w:r>
      <w:r>
        <w:rPr>
          <w:rStyle w:val="StringTok"/>
        </w:rPr>
        <w:t xml:space="preserve">'Verluste'</w:t>
      </w:r>
      <w:r>
        <w:rPr>
          <w:rStyle w:val="NormalTok"/>
        </w:rPr>
        <w:t xml:space="preserve">:</w:t>
      </w:r>
      <w:r>
        <w:rPr>
          <w:rStyle w:val="OperatorTok"/>
        </w:rPr>
        <w:t xml:space="preserve">-</w:t>
      </w:r>
      <w:r>
        <w:rPr>
          <w:rStyle w:val="NormalTok"/>
        </w:rPr>
        <w:t xml:space="preserve">d[</w:t>
      </w:r>
      <w:r>
        <w:rPr>
          <w:rStyle w:val="StringTok"/>
        </w:rPr>
        <w:t xml:space="preserve">'transportverluste'</w:t>
      </w:r>
      <w:r>
        <w:rPr>
          <w:rStyle w:val="NormalTok"/>
        </w:rPr>
        <w:t xml:space="preserve">],</w:t>
      </w:r>
      <w:r>
        <w:br/>
      </w:r>
      <w:r>
        <w:rPr>
          <w:rStyle w:val="NormalTok"/>
        </w:rPr>
        <w:t xml:space="preserve">    </w:t>
      </w:r>
      <w:r>
        <w:rPr>
          <w:rStyle w:val="StringTok"/>
        </w:rPr>
        <w:t xml:space="preserve">'Nettoexport (Modell)'</w:t>
      </w:r>
      <w:r>
        <w:rPr>
          <w:rStyle w:val="NormalTok"/>
        </w:rPr>
        <w:t xml:space="preserve">:</w:t>
      </w:r>
      <w:r>
        <w:rPr>
          <w:rStyle w:val="OperatorTok"/>
        </w:rPr>
        <w:t xml:space="preserve">-</w:t>
      </w:r>
      <w:r>
        <w:rPr>
          <w:rStyle w:val="NormalTok"/>
        </w:rPr>
        <w:t xml:space="preserve">assumptions[</w:t>
      </w:r>
      <w:r>
        <w:rPr>
          <w:rStyle w:val="StringTok"/>
        </w:rPr>
        <w:t xml:space="preserve">'model_net_exports_pj'</w:t>
      </w:r>
      <w:r>
        <w:rPr>
          <w:rStyle w:val="NormalTok"/>
        </w:rPr>
        <w:t xml:space="preserve">],</w:t>
      </w:r>
      <w:r>
        <w:rPr>
          <w:rStyle w:val="StringTok"/>
        </w:rPr>
        <w:t xml:space="preserve">'ÖPNV'</w:t>
      </w:r>
      <w:r>
        <w:rPr>
          <w:rStyle w:val="NormalTok"/>
        </w:rPr>
        <w:t xml:space="preserve">:</w:t>
      </w:r>
      <w:r>
        <w:rPr>
          <w:rStyle w:val="OperatorTok"/>
        </w:rPr>
        <w:t xml:space="preserve">-</w:t>
      </w:r>
      <w:r>
        <w:rPr>
          <w:rStyle w:val="NormalTok"/>
        </w:rPr>
        <w:t xml:space="preserve">result[</w:t>
      </w:r>
      <w:r>
        <w:rPr>
          <w:rStyle w:val="StringTok"/>
        </w:rPr>
        <w:t xml:space="preserve">'public_transport_pj'</w:t>
      </w:r>
      <w:r>
        <w:rPr>
          <w:rStyle w:val="NormalTok"/>
        </w:rPr>
        <w:t xml:space="preserve">],</w:t>
      </w:r>
      <w:r>
        <w:br/>
      </w:r>
      <w:r>
        <w:rPr>
          <w:rStyle w:val="NormalTok"/>
        </w:rPr>
        <w:t xml:space="preserve">    </w:t>
      </w:r>
      <w:r>
        <w:rPr>
          <w:rStyle w:val="StringTok"/>
        </w:rPr>
        <w:t xml:space="preserve">'Übriger Verkehr'</w:t>
      </w:r>
      <w:r>
        <w:rPr>
          <w:rStyle w:val="NormalTok"/>
        </w:rPr>
        <w:t xml:space="preserve">:</w:t>
      </w:r>
      <w:r>
        <w:rPr>
          <w:rStyle w:val="OperatorTok"/>
        </w:rPr>
        <w:t xml:space="preserve">-</w:t>
      </w:r>
      <w:r>
        <w:rPr>
          <w:rStyle w:val="NormalTok"/>
        </w:rPr>
        <w:t xml:space="preserve">result[</w:t>
      </w:r>
      <w:r>
        <w:rPr>
          <w:rStyle w:val="StringTok"/>
        </w:rPr>
        <w:t xml:space="preserve">'other_transport_pj'</w:t>
      </w:r>
      <w:r>
        <w:rPr>
          <w:rStyle w:val="NormalTok"/>
        </w:rPr>
        <w:t xml:space="preserve">],</w:t>
      </w:r>
      <w:r>
        <w:rPr>
          <w:rStyle w:val="StringTok"/>
        </w:rPr>
        <w:t xml:space="preserve">'Restdeckung'</w:t>
      </w:r>
      <w:r>
        <w:rPr>
          <w:rStyle w:val="NormalTok"/>
        </w:rPr>
        <w:t xml:space="preserve">:result[</w:t>
      </w:r>
      <w:r>
        <w:rPr>
          <w:rStyle w:val="StringTok"/>
        </w:rPr>
        <w:t xml:space="preserve">'central_credit_pj'</w:t>
      </w:r>
      <w:r>
        <w:rPr>
          <w:rStyle w:val="NormalTok"/>
        </w:rPr>
        <w:t xml:space="preserve">]}</w:t>
      </w:r>
      <w:r>
        <w:br/>
      </w:r>
      <w:r>
        <w:rPr>
          <w:rStyle w:val="NormalTok"/>
        </w:rPr>
        <w:t xml:space="preserve">allocation_figures(variants,steps)</w:t>
      </w:r>
      <w:r>
        <w:br/>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'zentraler_pool'</w:t>
      </w:r>
      <w:r>
        <w:rPr>
          <w:rStyle w:val="NormalTok"/>
        </w:rPr>
        <w:t xml:space="preserve">,</w:t>
      </w:r>
      <w:r>
        <w:rPr>
          <w:rStyle w:val="StringTok"/>
        </w:rPr>
        <w:t xml:space="preserve">'allokation_deckung'</w:t>
      </w:r>
      <w:r>
        <w:rPr>
          <w:rStyle w:val="NormalTok"/>
        </w:rPr>
        <w:t xml:space="preserve">,</w:t>
      </w:r>
      <w:r>
        <w:rPr>
          <w:rStyle w:val="StringTok"/>
        </w:rPr>
        <w:t xml:space="preserve">'allokation_saldo'</w:t>
      </w:r>
      <w:r>
        <w:rPr>
          <w:rStyle w:val="NormalTok"/>
        </w:rPr>
        <w:t xml:space="preserve">]:</w:t>
      </w:r>
      <w:r>
        <w:br/>
      </w:r>
      <w:r>
        <w:rPr>
          <w:rStyle w:val="NormalTok"/>
        </w:rPr>
        <w:t xml:space="preserve">    display(HTML(</w:t>
      </w:r>
      <w:r>
        <w:rPr>
          <w:rStyle w:val="SpecialStringTok"/>
        </w:rPr>
        <w:t xml:space="preserve">f'&lt;iframe title="</w:t>
      </w:r>
      <w:r>
        <w:rPr>
          <w:rStyle w:val="SpecialCharTok"/>
        </w:rPr>
        <w:t xml:space="preserve">{</w:t>
      </w:r>
      <w:r>
        <w:rPr>
          <w:rStyle w:val="NormalTok"/>
        </w:rPr>
        <w:t xml:space="preserve">name</w:t>
      </w:r>
      <w:r>
        <w:rPr>
          <w:rStyle w:val="SpecialCharTok"/>
        </w:rPr>
        <w:t xml:space="preserve">}</w:t>
      </w:r>
      <w:r>
        <w:rPr>
          <w:rStyle w:val="SpecialStringTok"/>
        </w:rPr>
        <w:t xml:space="preserve">" src="../../Abbildungen/methodik/</w:t>
      </w:r>
      <w:r>
        <w:rPr>
          <w:rStyle w:val="SpecialCharTok"/>
        </w:rPr>
        <w:t xml:space="preserve">{</w:t>
      </w:r>
      <w:r>
        <w:rPr>
          <w:rStyle w:val="NormalTok"/>
        </w:rPr>
        <w:t xml:space="preserve">name</w:t>
      </w:r>
      <w:r>
        <w:rPr>
          <w:rStyle w:val="SpecialCharTok"/>
        </w:rPr>
        <w:t xml:space="preserve">}</w:t>
      </w:r>
      <w:r>
        <w:rPr>
          <w:rStyle w:val="SpecialStringTok"/>
        </w:rPr>
        <w:t xml:space="preserve">.html" style="width:100%;height:700px;border:0"&gt;&lt;/iframe&gt;'</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Variante</w:t>
            </w:r>
          </w:p>
        </w:tc>
        <w:tc>
          <w:tcPr/>
          <w:p>
            <w:pPr>
              <w:pStyle w:val="Compact"/>
            </w:pPr>
            <w:r>
              <w:t xml:space="preserve">PV gesamt</w:t>
            </w:r>
          </w:p>
        </w:tc>
        <w:tc>
          <w:tcPr/>
          <w:p>
            <w:pPr>
              <w:pStyle w:val="Compact"/>
            </w:pPr>
            <w:r>
              <w:t xml:space="preserve">PV Gebäude</w:t>
            </w:r>
          </w:p>
        </w:tc>
        <w:tc>
          <w:tcPr/>
          <w:p>
            <w:pPr>
              <w:pStyle w:val="Compact"/>
            </w:pPr>
            <w:r>
              <w:t xml:space="preserve">PV Freifläche</w:t>
            </w:r>
          </w:p>
        </w:tc>
        <w:tc>
          <w:tcPr/>
          <w:p>
            <w:pPr>
              <w:pStyle w:val="Compact"/>
            </w:pPr>
            <w:r>
              <w:t xml:space="preserve">Freiflächen-Anteil [%]</w:t>
            </w:r>
          </w:p>
        </w:tc>
      </w:tr>
      <w:tr>
        <w:tc>
          <w:tcPr/>
          <w:p>
            <w:pPr>
              <w:pStyle w:val="Compact"/>
            </w:pPr>
            <w:r>
              <w:t xml:space="preserve">0</w:t>
            </w:r>
          </w:p>
        </w:tc>
        <w:tc>
          <w:tcPr/>
          <w:p>
            <w:pPr>
              <w:pStyle w:val="Compact"/>
            </w:pPr>
            <w:r>
              <w:t xml:space="preserve">Referenz</w:t>
            </w:r>
          </w:p>
        </w:tc>
        <w:tc>
          <w:tcPr/>
          <w:p>
            <w:pPr>
              <w:pStyle w:val="Compact"/>
            </w:pPr>
            <w:r>
              <w:t xml:space="preserve">149</w:t>
            </w:r>
          </w:p>
        </w:tc>
        <w:tc>
          <w:tcPr/>
          <w:p>
            <w:pPr>
              <w:pStyle w:val="Compact"/>
            </w:pPr>
            <w:r>
              <w:t xml:space="preserve">149.0</w:t>
            </w:r>
          </w:p>
        </w:tc>
        <w:tc>
          <w:tcPr/>
          <w:p>
            <w:pPr>
              <w:pStyle w:val="Compact"/>
            </w:pPr>
            <w:r>
              <w:t xml:space="preserve">0.0</w:t>
            </w:r>
          </w:p>
        </w:tc>
        <w:tc>
          <w:tcPr/>
          <w:p>
            <w:pPr>
              <w:pStyle w:val="Compact"/>
            </w:pPr>
            <w:r>
              <w:t xml:space="preserve">0.0</w:t>
            </w:r>
          </w:p>
        </w:tc>
      </w:tr>
      <w:tr>
        <w:tc>
          <w:tcPr/>
          <w:p>
            <w:pPr>
              <w:pStyle w:val="Compact"/>
            </w:pPr>
            <w:r>
              <w:t xml:space="preserve">1</w:t>
            </w:r>
          </w:p>
        </w:tc>
        <w:tc>
          <w:tcPr/>
          <w:p>
            <w:pPr>
              <w:pStyle w:val="Compact"/>
            </w:pPr>
            <w:r>
              <w:t xml:space="preserve">20 % Freiflächen-PV</w:t>
            </w:r>
          </w:p>
        </w:tc>
        <w:tc>
          <w:tcPr/>
          <w:p>
            <w:pPr>
              <w:pStyle w:val="Compact"/>
            </w:pPr>
            <w:r>
              <w:t xml:space="preserve">149</w:t>
            </w:r>
          </w:p>
        </w:tc>
        <w:tc>
          <w:tcPr/>
          <w:p>
            <w:pPr>
              <w:pStyle w:val="Compact"/>
            </w:pPr>
            <w:r>
              <w:t xml:space="preserve">119.2</w:t>
            </w:r>
          </w:p>
        </w:tc>
        <w:tc>
          <w:tcPr/>
          <w:p>
            <w:pPr>
              <w:pStyle w:val="Compact"/>
            </w:pPr>
            <w:r>
              <w:t xml:space="preserve">29.8</w:t>
            </w:r>
          </w:p>
        </w:tc>
        <w:tc>
          <w:tcPr/>
          <w:p>
            <w:pPr>
              <w:pStyle w:val="Compact"/>
            </w:pPr>
            <w:r>
              <w:t xml:space="preserve">20.0</w:t>
            </w:r>
          </w:p>
        </w:tc>
      </w:tr>
      <w:tr>
        <w:tc>
          <w:tcPr/>
          <w:p>
            <w:pPr>
              <w:pStyle w:val="Compact"/>
            </w:pPr>
            <w:r>
              <w:t xml:space="preserve">2</w:t>
            </w:r>
          </w:p>
        </w:tc>
        <w:tc>
          <w:tcPr/>
          <w:p>
            <w:pPr>
              <w:pStyle w:val="Compact"/>
            </w:pPr>
            <w:r>
              <w:t xml:space="preserve">60 % MIV</w:t>
            </w:r>
          </w:p>
        </w:tc>
        <w:tc>
          <w:tcPr/>
          <w:p>
            <w:pPr>
              <w:pStyle w:val="Compact"/>
            </w:pPr>
            <w:r>
              <w:t xml:space="preserve">149</w:t>
            </w:r>
          </w:p>
        </w:tc>
        <w:tc>
          <w:tcPr/>
          <w:p>
            <w:pPr>
              <w:pStyle w:val="Compact"/>
            </w:pPr>
            <w:r>
              <w:t xml:space="preserve">149.0</w:t>
            </w:r>
          </w:p>
        </w:tc>
        <w:tc>
          <w:tcPr/>
          <w:p>
            <w:pPr>
              <w:pStyle w:val="Compact"/>
            </w:pPr>
            <w:r>
              <w:t xml:space="preserve">0.0</w:t>
            </w:r>
          </w:p>
        </w:tc>
        <w:tc>
          <w:tcPr/>
          <w:p>
            <w:pPr>
              <w:pStyle w:val="Compact"/>
            </w:pPr>
            <w:r>
              <w:t xml:space="preserve">0.0</w:t>
            </w:r>
          </w:p>
        </w:tc>
      </w:tr>
      <w:tr>
        <w:tc>
          <w:tcPr/>
          <w:p>
            <w:pPr>
              <w:pStyle w:val="Compact"/>
            </w:pPr>
            <w:r>
              <w:t xml:space="preserve">3</w:t>
            </w:r>
          </w:p>
        </w:tc>
        <w:tc>
          <w:tcPr/>
          <w:p>
            <w:pPr>
              <w:pStyle w:val="Compact"/>
            </w:pPr>
            <w:r>
              <w:t xml:space="preserve">40 % MIV</w:t>
            </w:r>
          </w:p>
        </w:tc>
        <w:tc>
          <w:tcPr/>
          <w:p>
            <w:pPr>
              <w:pStyle w:val="Compact"/>
            </w:pPr>
            <w:r>
              <w:t xml:space="preserve">149</w:t>
            </w:r>
          </w:p>
        </w:tc>
        <w:tc>
          <w:tcPr/>
          <w:p>
            <w:pPr>
              <w:pStyle w:val="Compact"/>
            </w:pPr>
            <w:r>
              <w:t xml:space="preserve">149.0</w:t>
            </w:r>
          </w:p>
        </w:tc>
        <w:tc>
          <w:tcPr/>
          <w:p>
            <w:pPr>
              <w:pStyle w:val="Compact"/>
            </w:pPr>
            <w:r>
              <w:t xml:space="preserve">0.0</w:t>
            </w:r>
          </w:p>
        </w:tc>
        <w:tc>
          <w:tcPr/>
          <w:p>
            <w:pPr>
              <w:pStyle w:val="Compact"/>
            </w:pPr>
            <w:r>
              <w:t xml:space="preserve">0.0</w:t>
            </w:r>
          </w:p>
        </w:tc>
      </w:tr>
      <w:tr>
        <w:tc>
          <w:tcPr/>
          <w:p>
            <w:pPr>
              <w:pStyle w:val="Compact"/>
            </w:pPr>
            <w:r>
              <w:t xml:space="preserve">4</w:t>
            </w:r>
          </w:p>
        </w:tc>
        <w:tc>
          <w:tcPr/>
          <w:p>
            <w:pPr>
              <w:pStyle w:val="Compact"/>
            </w:pPr>
            <w:r>
              <w:t xml:space="preserve">100 % Freiflächen-PV</w:t>
            </w:r>
          </w:p>
        </w:tc>
        <w:tc>
          <w:tcPr/>
          <w:p>
            <w:pPr>
              <w:pStyle w:val="Compact"/>
            </w:pPr>
            <w:r>
              <w:t xml:space="preserve">149</w:t>
            </w:r>
          </w:p>
        </w:tc>
        <w:tc>
          <w:tcPr/>
          <w:p>
            <w:pPr>
              <w:pStyle w:val="Compact"/>
            </w:pPr>
            <w:r>
              <w:t xml:space="preserve">0.0</w:t>
            </w:r>
          </w:p>
        </w:tc>
        <w:tc>
          <w:tcPr/>
          <w:p>
            <w:pPr>
              <w:pStyle w:val="Compact"/>
            </w:pPr>
            <w:r>
              <w:t xml:space="preserve">149.0</w:t>
            </w:r>
          </w:p>
        </w:tc>
        <w:tc>
          <w:tcPr/>
          <w:p>
            <w:pPr>
              <w:pStyle w:val="Compact"/>
            </w:pPr>
            <w:r>
              <w:t xml:space="preserve">100.0</w:t>
            </w:r>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Variante</w:t>
            </w:r>
          </w:p>
        </w:tc>
        <w:tc>
          <w:tcPr/>
          <w:p>
            <w:pPr>
              <w:pStyle w:val="Compact"/>
            </w:pPr>
            <w:r>
              <w:t xml:space="preserve">Verkehr gesamt</w:t>
            </w:r>
          </w:p>
        </w:tc>
        <w:tc>
          <w:tcPr/>
          <w:p>
            <w:pPr>
              <w:pStyle w:val="Compact"/>
            </w:pPr>
            <w:r>
              <w:t xml:space="preserve">ÖPNV</w:t>
            </w:r>
          </w:p>
        </w:tc>
        <w:tc>
          <w:tcPr/>
          <w:p>
            <w:pPr>
              <w:pStyle w:val="Compact"/>
            </w:pPr>
            <w:r>
              <w:t xml:space="preserve">MIV</w:t>
            </w:r>
          </w:p>
        </w:tc>
        <w:tc>
          <w:tcPr/>
          <w:p>
            <w:pPr>
              <w:pStyle w:val="Compact"/>
            </w:pPr>
            <w:r>
              <w:t xml:space="preserve">Übriger Verkehr</w:t>
            </w:r>
          </w:p>
        </w:tc>
        <w:tc>
          <w:tcPr/>
          <w:p>
            <w:pPr>
              <w:pStyle w:val="Compact"/>
            </w:pPr>
            <w:r>
              <w:t xml:space="preserve">MIV-Anteil [%]</w:t>
            </w:r>
          </w:p>
        </w:tc>
      </w:tr>
      <w:tr>
        <w:tc>
          <w:tcPr/>
          <w:p>
            <w:pPr>
              <w:pStyle w:val="Compact"/>
            </w:pPr>
            <w:r>
              <w:t xml:space="preserve">0</w:t>
            </w:r>
          </w:p>
        </w:tc>
        <w:tc>
          <w:tcPr/>
          <w:p>
            <w:pPr>
              <w:pStyle w:val="Compact"/>
            </w:pPr>
            <w:r>
              <w:t xml:space="preserve">Referenz</w:t>
            </w:r>
          </w:p>
        </w:tc>
        <w:tc>
          <w:tcPr/>
          <w:p>
            <w:pPr>
              <w:pStyle w:val="Compact"/>
            </w:pPr>
            <w:r>
              <w:t xml:space="preserve">90</w:t>
            </w:r>
          </w:p>
        </w:tc>
        <w:tc>
          <w:tcPr/>
          <w:p>
            <w:pPr>
              <w:pStyle w:val="Compact"/>
            </w:pPr>
            <w:r>
              <w:t xml:space="preserve">18.0</w:t>
            </w:r>
          </w:p>
        </w:tc>
        <w:tc>
          <w:tcPr/>
          <w:p>
            <w:pPr>
              <w:pStyle w:val="Compact"/>
            </w:pPr>
            <w:r>
              <w:t xml:space="preserve">72.0</w:t>
            </w:r>
          </w:p>
        </w:tc>
        <w:tc>
          <w:tcPr/>
          <w:p>
            <w:pPr>
              <w:pStyle w:val="Compact"/>
            </w:pPr>
            <w:r>
              <w:t xml:space="preserve">0</w:t>
            </w:r>
          </w:p>
        </w:tc>
        <w:tc>
          <w:tcPr/>
          <w:p>
            <w:pPr>
              <w:pStyle w:val="Compact"/>
            </w:pPr>
            <w:r>
              <w:t xml:space="preserve">80.0</w:t>
            </w:r>
          </w:p>
        </w:tc>
      </w:tr>
      <w:tr>
        <w:tc>
          <w:tcPr/>
          <w:p>
            <w:pPr>
              <w:pStyle w:val="Compact"/>
            </w:pPr>
            <w:r>
              <w:t xml:space="preserve">1</w:t>
            </w:r>
          </w:p>
        </w:tc>
        <w:tc>
          <w:tcPr/>
          <w:p>
            <w:pPr>
              <w:pStyle w:val="Compact"/>
            </w:pPr>
            <w:r>
              <w:t xml:space="preserve">20 % Freiflächen-PV</w:t>
            </w:r>
          </w:p>
        </w:tc>
        <w:tc>
          <w:tcPr/>
          <w:p>
            <w:pPr>
              <w:pStyle w:val="Compact"/>
            </w:pPr>
            <w:r>
              <w:t xml:space="preserve">90</w:t>
            </w:r>
          </w:p>
        </w:tc>
        <w:tc>
          <w:tcPr/>
          <w:p>
            <w:pPr>
              <w:pStyle w:val="Compact"/>
            </w:pPr>
            <w:r>
              <w:t xml:space="preserve">18.0</w:t>
            </w:r>
          </w:p>
        </w:tc>
        <w:tc>
          <w:tcPr/>
          <w:p>
            <w:pPr>
              <w:pStyle w:val="Compact"/>
            </w:pPr>
            <w:r>
              <w:t xml:space="preserve">72.0</w:t>
            </w:r>
          </w:p>
        </w:tc>
        <w:tc>
          <w:tcPr/>
          <w:p>
            <w:pPr>
              <w:pStyle w:val="Compact"/>
            </w:pPr>
            <w:r>
              <w:t xml:space="preserve">0</w:t>
            </w:r>
          </w:p>
        </w:tc>
        <w:tc>
          <w:tcPr/>
          <w:p>
            <w:pPr>
              <w:pStyle w:val="Compact"/>
            </w:pPr>
            <w:r>
              <w:t xml:space="preserve">80.0</w:t>
            </w:r>
          </w:p>
        </w:tc>
      </w:tr>
      <w:tr>
        <w:tc>
          <w:tcPr/>
          <w:p>
            <w:pPr>
              <w:pStyle w:val="Compact"/>
            </w:pPr>
            <w:r>
              <w:t xml:space="preserve">2</w:t>
            </w:r>
          </w:p>
        </w:tc>
        <w:tc>
          <w:tcPr/>
          <w:p>
            <w:pPr>
              <w:pStyle w:val="Compact"/>
            </w:pPr>
            <w:r>
              <w:t xml:space="preserve">60 % MIV</w:t>
            </w:r>
          </w:p>
        </w:tc>
        <w:tc>
          <w:tcPr/>
          <w:p>
            <w:pPr>
              <w:pStyle w:val="Compact"/>
            </w:pPr>
            <w:r>
              <w:t xml:space="preserve">90</w:t>
            </w:r>
          </w:p>
        </w:tc>
        <w:tc>
          <w:tcPr/>
          <w:p>
            <w:pPr>
              <w:pStyle w:val="Compact"/>
            </w:pPr>
            <w:r>
              <w:t xml:space="preserve">36.0</w:t>
            </w:r>
          </w:p>
        </w:tc>
        <w:tc>
          <w:tcPr/>
          <w:p>
            <w:pPr>
              <w:pStyle w:val="Compact"/>
            </w:pPr>
            <w:r>
              <w:t xml:space="preserve">54.0</w:t>
            </w:r>
          </w:p>
        </w:tc>
        <w:tc>
          <w:tcPr/>
          <w:p>
            <w:pPr>
              <w:pStyle w:val="Compact"/>
            </w:pPr>
            <w:r>
              <w:t xml:space="preserve">0</w:t>
            </w:r>
          </w:p>
        </w:tc>
        <w:tc>
          <w:tcPr/>
          <w:p>
            <w:pPr>
              <w:pStyle w:val="Compact"/>
            </w:pPr>
            <w:r>
              <w:t xml:space="preserve">60.0</w:t>
            </w:r>
          </w:p>
        </w:tc>
      </w:tr>
      <w:tr>
        <w:tc>
          <w:tcPr/>
          <w:p>
            <w:pPr>
              <w:pStyle w:val="Compact"/>
            </w:pPr>
            <w:r>
              <w:t xml:space="preserve">3</w:t>
            </w:r>
          </w:p>
        </w:tc>
        <w:tc>
          <w:tcPr/>
          <w:p>
            <w:pPr>
              <w:pStyle w:val="Compact"/>
            </w:pPr>
            <w:r>
              <w:t xml:space="preserve">40 % MIV</w:t>
            </w:r>
          </w:p>
        </w:tc>
        <w:tc>
          <w:tcPr/>
          <w:p>
            <w:pPr>
              <w:pStyle w:val="Compact"/>
            </w:pPr>
            <w:r>
              <w:t xml:space="preserve">90</w:t>
            </w:r>
          </w:p>
        </w:tc>
        <w:tc>
          <w:tcPr/>
          <w:p>
            <w:pPr>
              <w:pStyle w:val="Compact"/>
            </w:pPr>
            <w:r>
              <w:t xml:space="preserve">54.0</w:t>
            </w:r>
          </w:p>
        </w:tc>
        <w:tc>
          <w:tcPr/>
          <w:p>
            <w:pPr>
              <w:pStyle w:val="Compact"/>
            </w:pPr>
            <w:r>
              <w:t xml:space="preserve">36.0</w:t>
            </w:r>
          </w:p>
        </w:tc>
        <w:tc>
          <w:tcPr/>
          <w:p>
            <w:pPr>
              <w:pStyle w:val="Compact"/>
            </w:pPr>
            <w:r>
              <w:t xml:space="preserve">0</w:t>
            </w:r>
          </w:p>
        </w:tc>
        <w:tc>
          <w:tcPr/>
          <w:p>
            <w:pPr>
              <w:pStyle w:val="Compact"/>
            </w:pPr>
            <w:r>
              <w:t xml:space="preserve">40.0</w:t>
            </w:r>
          </w:p>
        </w:tc>
      </w:tr>
      <w:tr>
        <w:tc>
          <w:tcPr/>
          <w:p>
            <w:pPr>
              <w:pStyle w:val="Compact"/>
            </w:pPr>
            <w:r>
              <w:t xml:space="preserve">4</w:t>
            </w:r>
          </w:p>
        </w:tc>
        <w:tc>
          <w:tcPr/>
          <w:p>
            <w:pPr>
              <w:pStyle w:val="Compact"/>
            </w:pPr>
            <w:r>
              <w:t xml:space="preserve">100 % Freiflächen-PV</w:t>
            </w:r>
          </w:p>
        </w:tc>
        <w:tc>
          <w:tcPr/>
          <w:p>
            <w:pPr>
              <w:pStyle w:val="Compact"/>
            </w:pPr>
            <w:r>
              <w:t xml:space="preserve">90</w:t>
            </w:r>
          </w:p>
        </w:tc>
        <w:tc>
          <w:tcPr/>
          <w:p>
            <w:pPr>
              <w:pStyle w:val="Compact"/>
            </w:pPr>
            <w:r>
              <w:t xml:space="preserve">18.0</w:t>
            </w:r>
          </w:p>
        </w:tc>
        <w:tc>
          <w:tcPr/>
          <w:p>
            <w:pPr>
              <w:pStyle w:val="Compact"/>
            </w:pPr>
            <w:r>
              <w:t xml:space="preserve">72.0</w:t>
            </w:r>
          </w:p>
        </w:tc>
        <w:tc>
          <w:tcPr/>
          <w:p>
            <w:pPr>
              <w:pStyle w:val="Compact"/>
            </w:pPr>
            <w:r>
              <w:t xml:space="preserve">0</w:t>
            </w:r>
          </w:p>
        </w:tc>
        <w:tc>
          <w:tcPr/>
          <w:p>
            <w:pPr>
              <w:pStyle w:val="Compact"/>
            </w:pPr>
            <w:r>
              <w:t xml:space="preserve">80.0</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Variante</w:t>
            </w:r>
          </w:p>
        </w:tc>
        <w:tc>
          <w:tcPr/>
          <w:p>
            <w:pPr>
              <w:pStyle w:val="Compact"/>
            </w:pPr>
            <w:r>
              <w:t xml:space="preserve">Restdeckung</w:t>
            </w:r>
          </w:p>
        </w:tc>
        <w:tc>
          <w:tcPr/>
          <w:p>
            <w:pPr>
              <w:pStyle w:val="Compact"/>
            </w:pPr>
            <w:r>
              <w:t xml:space="preserve">Saldo</w:t>
            </w:r>
          </w:p>
        </w:tc>
        <w:tc>
          <w:tcPr/>
          <w:p>
            <w:pPr>
              <w:pStyle w:val="Compact"/>
            </w:pPr>
            <w:r>
              <w:t xml:space="preserve">Zentraler Fehlbetrag</w:t>
            </w:r>
          </w:p>
        </w:tc>
      </w:tr>
      <w:tr>
        <w:tc>
          <w:tcPr/>
          <w:p>
            <w:pPr>
              <w:pStyle w:val="Compact"/>
            </w:pPr>
            <w:r>
              <w:t xml:space="preserve">0</w:t>
            </w:r>
          </w:p>
        </w:tc>
        <w:tc>
          <w:tcPr/>
          <w:p>
            <w:pPr>
              <w:pStyle w:val="Compact"/>
            </w:pPr>
            <w:r>
              <w:t xml:space="preserve">Referenz</w:t>
            </w:r>
          </w:p>
        </w:tc>
        <w:tc>
          <w:tcPr/>
          <w:p>
            <w:pPr>
              <w:pStyle w:val="Compact"/>
            </w:pPr>
            <w:r>
              <w:t xml:space="preserve">31.0</w:t>
            </w:r>
          </w:p>
        </w:tc>
        <w:tc>
          <w:tcPr/>
          <w:p>
            <w:pPr>
              <w:pStyle w:val="Compact"/>
            </w:pPr>
            <w:r>
              <w:t xml:space="preserve">0.0</w:t>
            </w:r>
          </w:p>
        </w:tc>
        <w:tc>
          <w:tcPr/>
          <w:p>
            <w:pPr>
              <w:pStyle w:val="Compact"/>
            </w:pPr>
            <w:r>
              <w:t xml:space="preserve">0.0</w:t>
            </w:r>
          </w:p>
        </w:tc>
      </w:tr>
      <w:tr>
        <w:tc>
          <w:tcPr/>
          <w:p>
            <w:pPr>
              <w:pStyle w:val="Compact"/>
            </w:pPr>
            <w:r>
              <w:t xml:space="preserve">1</w:t>
            </w:r>
          </w:p>
        </w:tc>
        <w:tc>
          <w:tcPr/>
          <w:p>
            <w:pPr>
              <w:pStyle w:val="Compact"/>
            </w:pPr>
            <w:r>
              <w:t xml:space="preserve">20 % Freiflächen-PV</w:t>
            </w:r>
          </w:p>
        </w:tc>
        <w:tc>
          <w:tcPr/>
          <w:p>
            <w:pPr>
              <w:pStyle w:val="Compact"/>
            </w:pPr>
            <w:r>
              <w:t xml:space="preserve">60.8</w:t>
            </w:r>
          </w:p>
        </w:tc>
        <w:tc>
          <w:tcPr/>
          <w:p>
            <w:pPr>
              <w:pStyle w:val="Compact"/>
            </w:pPr>
            <w:r>
              <w:t xml:space="preserve">0.0</w:t>
            </w:r>
          </w:p>
        </w:tc>
        <w:tc>
          <w:tcPr/>
          <w:p>
            <w:pPr>
              <w:pStyle w:val="Compact"/>
            </w:pPr>
            <w:r>
              <w:t xml:space="preserve">0.0</w:t>
            </w:r>
          </w:p>
        </w:tc>
      </w:tr>
      <w:tr>
        <w:tc>
          <w:tcPr/>
          <w:p>
            <w:pPr>
              <w:pStyle w:val="Compact"/>
            </w:pPr>
            <w:r>
              <w:t xml:space="preserve">2</w:t>
            </w:r>
          </w:p>
        </w:tc>
        <w:tc>
          <w:tcPr/>
          <w:p>
            <w:pPr>
              <w:pStyle w:val="Compact"/>
            </w:pPr>
            <w:r>
              <w:t xml:space="preserve">60 % MIV</w:t>
            </w:r>
          </w:p>
        </w:tc>
        <w:tc>
          <w:tcPr/>
          <w:p>
            <w:pPr>
              <w:pStyle w:val="Compact"/>
            </w:pPr>
            <w:r>
              <w:t xml:space="preserve">13.0</w:t>
            </w:r>
          </w:p>
        </w:tc>
        <w:tc>
          <w:tcPr/>
          <w:p>
            <w:pPr>
              <w:pStyle w:val="Compact"/>
            </w:pPr>
            <w:r>
              <w:t xml:space="preserve">0.0</w:t>
            </w:r>
          </w:p>
        </w:tc>
        <w:tc>
          <w:tcPr/>
          <w:p>
            <w:pPr>
              <w:pStyle w:val="Compact"/>
            </w:pPr>
            <w:r>
              <w:t xml:space="preserve">0.0</w:t>
            </w:r>
          </w:p>
        </w:tc>
      </w:tr>
      <w:tr>
        <w:tc>
          <w:tcPr/>
          <w:p>
            <w:pPr>
              <w:pStyle w:val="Compact"/>
            </w:pPr>
            <w:r>
              <w:t xml:space="preserve">3</w:t>
            </w:r>
          </w:p>
        </w:tc>
        <w:tc>
          <w:tcPr/>
          <w:p>
            <w:pPr>
              <w:pStyle w:val="Compact"/>
            </w:pPr>
            <w:r>
              <w:t xml:space="preserve">40 % MIV</w:t>
            </w:r>
          </w:p>
        </w:tc>
        <w:tc>
          <w:tcPr/>
          <w:p>
            <w:pPr>
              <w:pStyle w:val="Compact"/>
            </w:pPr>
            <w:r>
              <w:t xml:space="preserve">-5.0</w:t>
            </w:r>
          </w:p>
        </w:tc>
        <w:tc>
          <w:tcPr/>
          <w:p>
            <w:pPr>
              <w:pStyle w:val="Compact"/>
            </w:pPr>
            <w:r>
              <w:t xml:space="preserve">0.0</w:t>
            </w:r>
          </w:p>
        </w:tc>
        <w:tc>
          <w:tcPr/>
          <w:p>
            <w:pPr>
              <w:pStyle w:val="Compact"/>
            </w:pPr>
            <w:r>
              <w:t xml:space="preserve">5.0</w:t>
            </w:r>
          </w:p>
        </w:tc>
      </w:tr>
      <w:tr>
        <w:tc>
          <w:tcPr/>
          <w:p>
            <w:pPr>
              <w:pStyle w:val="Compact"/>
            </w:pPr>
            <w:r>
              <w:t xml:space="preserve">4</w:t>
            </w:r>
          </w:p>
        </w:tc>
        <w:tc>
          <w:tcPr/>
          <w:p>
            <w:pPr>
              <w:pStyle w:val="Compact"/>
            </w:pPr>
            <w:r>
              <w:t xml:space="preserve">100 % Freiflächen-PV</w:t>
            </w:r>
          </w:p>
        </w:tc>
        <w:tc>
          <w:tcPr/>
          <w:p>
            <w:pPr>
              <w:pStyle w:val="Compact"/>
            </w:pPr>
            <w:r>
              <w:t xml:space="preserve">180.0</w:t>
            </w:r>
          </w:p>
        </w:tc>
        <w:tc>
          <w:tcPr/>
          <w:p>
            <w:pPr>
              <w:pStyle w:val="Compact"/>
            </w:pPr>
            <w:r>
              <w:t xml:space="preserve">0.0</w:t>
            </w:r>
          </w:p>
        </w:tc>
        <w:tc>
          <w:tcPr/>
          <w:p>
            <w:pPr>
              <w:pStyle w:val="Compact"/>
            </w:pPr>
            <w:r>
              <w:t xml:space="preserve">0.0</w:t>
            </w:r>
          </w:p>
        </w:tc>
      </w:tr>
    </w:tbl>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bookmarkEnd w:id="506"/>
    <w:bookmarkStart w:id="507" w:name="X129ee56df754f4f74d7ce05fc1c83ef7892541d"/>
    <w:p>
      <w:pPr>
        <w:pStyle w:val="Heading2"/>
      </w:pPr>
      <w:r>
        <w:t xml:space="preserve">D.7 7. Primärenergie und nutzungsbezogene Gutschrift</w:t>
      </w:r>
    </w:p>
    <w:p>
      <w:pPr>
        <w:pStyle w:val="FirstParagraph"/>
      </w:pPr>
      <w:r>
        <w:t xml:space="preserve">Die sektorale Zuordnung bleibt in elektrischer Endenergie 2040. Für die spätere Bewertung mit heutigen Konversionsfaktoren gilt</w:t>
      </w:r>
      <w:r>
        <w:t xml:space="preserve"> </w:t>
      </w:r>
      <m:oMath>
        <m:sSub>
          <m:e>
            <m:r>
              <m:t>E</m:t>
            </m:r>
          </m:e>
          <m:sub>
            <m:r>
              <m:t>P</m:t>
            </m:r>
            <m:r>
              <m:t>E</m:t>
            </m:r>
            <m:r>
              <m:rPr>
                <m:sty m:val="p"/>
              </m:rPr>
              <m:t>,</m:t>
            </m:r>
            <m:r>
              <m:t>M</m:t>
            </m:r>
            <m:r>
              <m:t>I</m:t>
            </m:r>
            <m:r>
              <m:t>V</m:t>
            </m:r>
          </m:sub>
        </m:sSub>
        <m:r>
          <m:rPr>
            <m:sty m:val="p"/>
          </m:rPr>
          <m:t>=</m:t>
        </m:r>
        <m:r>
          <m:t>R</m:t>
        </m:r>
        <m:r>
          <m:t> </m:t>
        </m:r>
        <m:sSub>
          <m:e>
            <m:r>
              <m:t>f</m:t>
            </m:r>
          </m:e>
          <m:sub>
            <m:r>
              <m:t>P</m:t>
            </m:r>
            <m:r>
              <m:t>E</m:t>
            </m:r>
            <m:r>
              <m:rPr>
                <m:sty m:val="p"/>
              </m:rPr>
              <m:t>,</m:t>
            </m:r>
            <m:r>
              <m:t>S</m:t>
            </m:r>
            <m:r>
              <m:t>t</m:t>
            </m:r>
            <m:r>
              <m:t>r</m:t>
            </m:r>
            <m:r>
              <m:t>o</m:t>
            </m:r>
            <m:r>
              <m:t>m</m:t>
            </m:r>
          </m:sub>
        </m:sSub>
      </m:oMath>
      <w:r>
        <w:t xml:space="preserve">. Das ist die Bewertung des zugeordneten Strombudgets, keine Prognose des PE-Faktors 2040. Eine vollständige physische PE-Quartiersbilanz benötigt zusätzlich die übrigen Energieträger und die zeitlichen Faktoren. Ein jährlicher Ersatzfaktor ist nur bei dokumentierter Kompatibilität mit dem Bewertungsverfahren zulässig; monatliche Gewichtungen können einen einzelnen Jahresfaktor unzureichend machen.</w:t>
      </w:r>
    </w:p>
    <w:p>
      <w:pPr>
        <w:pStyle w:val="BodyText"/>
      </w:pPr>
      <w:r>
        <w:t xml:space="preserve">Hier liegt kein freigegebener heutiger Faktorensatz vor. PE-Budget und spezifische Gutschrift bleiben deshalb</w:t>
      </w:r>
      <w:r>
        <w:t xml:space="preserve"> </w:t>
      </w:r>
      <w:r>
        <w:rPr>
          <w:b/>
          <w:bCs/>
        </w:rPr>
        <w:t xml:space="preserve">offen</w:t>
      </w:r>
      <w:r>
        <w:t xml:space="preserve">, nicht null. Auch Nutzungsanteile und Ziel-NGF sind nicht neu gesetzt. Die historische Gutschrift 2023 wird durch das elektrische Rechenbeispiel nicht ersetzt.</w:t>
      </w:r>
    </w:p>
    <w:p>
      <w:pPr>
        <w:pStyle w:val="SourceCode"/>
      </w:pPr>
      <w:r>
        <w:rPr>
          <w:rStyle w:val="NormalTok"/>
        </w:rPr>
        <w:t xml:space="preserve">factor</w:t>
      </w:r>
      <w:r>
        <w:rPr>
          <w:rStyle w:val="OperatorTok"/>
        </w:rPr>
        <w:t xml:space="preserve">=</w:t>
      </w:r>
      <w:r>
        <w:rPr>
          <w:rStyle w:val="NormalTok"/>
        </w:rPr>
        <w:t xml:space="preserve">parameters[</w:t>
      </w:r>
      <w:r>
        <w:rPr>
          <w:rStyle w:val="StringTok"/>
        </w:rPr>
        <w:t xml:space="preserve">'pe_factor_electricity'</w:t>
      </w:r>
      <w:r>
        <w:rPr>
          <w:rStyle w:val="NormalTok"/>
        </w:rPr>
        <w:t xml:space="preserve">]</w:t>
      </w:r>
      <w:r>
        <w:br/>
      </w:r>
      <w:r>
        <w:rPr>
          <w:rStyle w:val="ControlFlowTok"/>
        </w:rPr>
        <w:t xml:space="preserve">if</w:t>
      </w:r>
      <w:r>
        <w:rPr>
          <w:rStyle w:val="NormalTok"/>
        </w:rPr>
        <w:t xml:space="preserve"> factor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primary_energy_budget</w:t>
      </w:r>
      <w:r>
        <w:rPr>
          <w:rStyle w:val="OperatorTok"/>
        </w:rPr>
        <w:t xml:space="preserve">=</w:t>
      </w:r>
      <w:r>
        <w:rPr>
          <w:rStyle w:val="VariableTok"/>
        </w:rPr>
        <w:t xml:space="preserve">None</w:t>
      </w:r>
      <w:r>
        <w:br/>
      </w:r>
      <w:r>
        <w:rPr>
          <w:rStyle w:val="ControlFlowTok"/>
        </w:rPr>
        <w:t xml:space="preserve">else</w:t>
      </w:r>
      <w:r>
        <w:rPr>
          <w:rStyle w:val="NormalTok"/>
        </w:rPr>
        <w:t xml:space="preserve">:</w:t>
      </w:r>
      <w:r>
        <w:br/>
      </w:r>
      <w:r>
        <w:rPr>
          <w:rStyle w:val="NormalTok"/>
        </w:rPr>
        <w:t xml:space="preserve">    </w:t>
      </w:r>
      <w:r>
        <w:rPr>
          <w:rStyle w:val="ControlFlowTok"/>
        </w:rPr>
        <w:t xml:space="preserve">assert</w:t>
      </w:r>
      <w:r>
        <w:rPr>
          <w:rStyle w:val="NormalTok"/>
        </w:rPr>
        <w:t xml:space="preserve"> np.isfinite(factor) </w:t>
      </w:r>
      <w:r>
        <w:rPr>
          <w:rStyle w:val="KeywordTok"/>
        </w:rPr>
        <w:t xml:space="preserve">and</w:t>
      </w:r>
      <w:r>
        <w:rPr>
          <w:rStyle w:val="NormalTok"/>
        </w:rPr>
        <w:t xml:space="preserve"> factor</w:t>
      </w:r>
      <w:r>
        <w:rPr>
          <w:rStyle w:val="OperatorTok"/>
        </w:rPr>
        <w:t xml:space="preserve">&gt;=</w:t>
      </w:r>
      <w:r>
        <w:rPr>
          <w:rStyle w:val="DecValTok"/>
        </w:rPr>
        <w:t xml:space="preserve">0</w:t>
      </w:r>
      <w:r>
        <w:br/>
      </w:r>
      <w:r>
        <w:rPr>
          <w:rStyle w:val="NormalTok"/>
        </w:rPr>
        <w:t xml:space="preserve">    </w:t>
      </w:r>
      <w:r>
        <w:rPr>
          <w:rStyle w:val="ControlFlowTok"/>
        </w:rPr>
        <w:t xml:space="preserve">assert</w:t>
      </w:r>
      <w:r>
        <w:rPr>
          <w:rStyle w:val="NormalTok"/>
        </w:rPr>
        <w:t xml:space="preserve"> parameters[</w:t>
      </w:r>
      <w:r>
        <w:rPr>
          <w:rStyle w:val="StringTok"/>
        </w:rPr>
        <w:t xml:space="preserve">'pe_factor_year'</w:t>
      </w:r>
      <w:r>
        <w:rPr>
          <w:rStyle w:val="NormalTok"/>
        </w:rPr>
        <w:t xml:space="preserve">] </w:t>
      </w:r>
      <w:r>
        <w:rPr>
          <w:rStyle w:val="KeywordTok"/>
        </w:rPr>
        <w:t xml:space="preserve">and</w:t>
      </w:r>
      <w:r>
        <w:rPr>
          <w:rStyle w:val="NormalTok"/>
        </w:rPr>
        <w:t xml:space="preserve"> parameters[</w:t>
      </w:r>
      <w:r>
        <w:rPr>
          <w:rStyle w:val="StringTok"/>
        </w:rPr>
        <w:t xml:space="preserve">'pe_factor_source'</w:t>
      </w:r>
      <w:r>
        <w:rPr>
          <w:rStyle w:val="NormalTok"/>
        </w:rPr>
        <w:t xml:space="preserve">]</w:t>
      </w:r>
      <w:r>
        <w:br/>
      </w:r>
      <w:r>
        <w:rPr>
          <w:rStyle w:val="NormalTok"/>
        </w:rPr>
        <w:t xml:space="preserve">    primary_energy_budget</w:t>
      </w:r>
      <w:r>
        <w:rPr>
          <w:rStyle w:val="OperatorTok"/>
        </w:rPr>
        <w:t xml:space="preserve">=</w:t>
      </w:r>
      <w:r>
        <w:rPr>
          <w:rStyle w:val="NormalTok"/>
        </w:rPr>
        <w:t xml:space="preserve">result[</w:t>
      </w:r>
      <w:r>
        <w:rPr>
          <w:rStyle w:val="StringTok"/>
        </w:rPr>
        <w:t xml:space="preserve">'central_credit_pj'</w:t>
      </w:r>
      <w:r>
        <w:rPr>
          <w:rStyle w:val="NormalTok"/>
        </w:rPr>
        <w:t xml:space="preserve">]</w:t>
      </w:r>
      <w:r>
        <w:rPr>
          <w:rStyle w:val="OperatorTok"/>
        </w:rPr>
        <w:t xml:space="preserve">*</w:t>
      </w:r>
      <w:r>
        <w:rPr>
          <w:rStyle w:val="NormalTok"/>
        </w:rPr>
        <w:t xml:space="preserve">factor</w:t>
      </w:r>
      <w:r>
        <w:br/>
      </w:r>
      <w:r>
        <w:rPr>
          <w:rStyle w:val="NormalTok"/>
        </w:rPr>
        <w:t xml:space="preserve">display(pd.DataFrame([{</w:t>
      </w:r>
      <w:r>
        <w:rPr>
          <w:rStyle w:val="StringTok"/>
        </w:rPr>
        <w:t xml:space="preserve">'Zentrale Restdeckung [PJ/a]'</w:t>
      </w:r>
      <w:r>
        <w:rPr>
          <w:rStyle w:val="NormalTok"/>
        </w:rPr>
        <w:t xml:space="preserve">:result[</w:t>
      </w:r>
      <w:r>
        <w:rPr>
          <w:rStyle w:val="StringTok"/>
        </w:rPr>
        <w:t xml:space="preserve">'central_credit_pj'</w:t>
      </w:r>
      <w:r>
        <w:rPr>
          <w:rStyle w:val="NormalTok"/>
        </w:rPr>
        <w:t xml:space="preserve">],</w:t>
      </w:r>
      <w:r>
        <w:br/>
      </w:r>
      <w:r>
        <w:rPr>
          <w:rStyle w:val="NormalTok"/>
        </w:rPr>
        <w:t xml:space="preserve">                      </w:t>
      </w:r>
      <w:r>
        <w:rPr>
          <w:rStyle w:val="StringTok"/>
        </w:rPr>
        <w:t xml:space="preserve">'PE-Budget [PJ_PE/a]'</w:t>
      </w:r>
      <w:r>
        <w:rPr>
          <w:rStyle w:val="NormalTok"/>
        </w:rPr>
        <w:t xml:space="preserve">:primary_energy_budget,</w:t>
      </w:r>
      <w:r>
        <w:br/>
      </w:r>
      <w:r>
        <w:rPr>
          <w:rStyle w:val="NormalTok"/>
        </w:rPr>
        <w:t xml:space="preserve">                      </w:t>
      </w:r>
      <w:r>
        <w:rPr>
          <w:rStyle w:val="StringTok"/>
        </w:rPr>
        <w:t xml:space="preserve">'Status'</w:t>
      </w:r>
      <w:r>
        <w:rPr>
          <w:rStyle w:val="NormalTok"/>
        </w:rPr>
        <w:t xml:space="preserve">:</w:t>
      </w:r>
      <w:r>
        <w:rPr>
          <w:rStyle w:val="StringTok"/>
        </w:rPr>
        <w:t xml:space="preserve">'Offen: belegter Faktorensatz und nutzungsbezogene Verteilung fehlen'</w:t>
      </w:r>
      <w:r>
        <w:rPr>
          <w:rStyle w:val="NormalTok"/>
        </w:rPr>
        <w:t xml:space="preserve"> </w:t>
      </w:r>
      <w:r>
        <w:rPr>
          <w:rStyle w:val="ControlFlowTok"/>
        </w:rPr>
        <w:t xml:space="preserve">if</w:t>
      </w:r>
      <w:r>
        <w:rPr>
          <w:rStyle w:val="NormalTok"/>
        </w:rPr>
        <w:t xml:space="preserve"> factor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'Parametrierte Umrechnung'</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Zentrale Restdeckung [PJ/a]</w:t>
            </w:r>
          </w:p>
        </w:tc>
        <w:tc>
          <w:tcPr/>
          <w:p>
            <w:pPr>
              <w:pStyle w:val="Compact"/>
            </w:pPr>
            <w:r>
              <w:t xml:space="preserve">PE-Budget [PJ_PE/a]</w:t>
            </w:r>
          </w:p>
        </w:tc>
        <w:tc>
          <w:tcPr/>
          <w:p>
            <w:pPr>
              <w:pStyle w:val="Compact"/>
            </w:pPr>
            <w:r>
              <w:t xml:space="preserve">Status</w:t>
            </w:r>
          </w:p>
        </w:tc>
      </w:tr>
      <w:tr>
        <w:tc>
          <w:tcPr/>
          <w:p>
            <w:pPr>
              <w:pStyle w:val="Compact"/>
            </w:pPr>
            <w:r>
              <w:t xml:space="preserve">0</w:t>
            </w:r>
          </w:p>
        </w:tc>
        <w:tc>
          <w:tcPr/>
          <w:p>
            <w:pPr>
              <w:pStyle w:val="Compact"/>
            </w:pPr>
            <w:r>
              <w:t xml:space="preserve">31.0</w:t>
            </w:r>
          </w:p>
        </w:tc>
        <w:tc>
          <w:tcPr/>
          <w:p>
            <w:pPr>
              <w:pStyle w:val="Compact"/>
            </w:pPr>
            <w:r>
              <w:t xml:space="preserve">None</w:t>
            </w:r>
          </w:p>
        </w:tc>
        <w:tc>
          <w:tcPr/>
          <w:p>
            <w:pPr>
              <w:pStyle w:val="Compact"/>
            </w:pPr>
            <w:r>
              <w:t xml:space="preserve">Offen: belegter Faktorensatz und nutzungsbezog...</w:t>
            </w:r>
          </w:p>
        </w:tc>
      </w:tr>
    </w:tbl>
    <w:bookmarkEnd w:id="507"/>
    <w:bookmarkStart w:id="508" w:name="kontrollen-und-ausgaben"/>
    <w:p>
      <w:pPr>
        <w:pStyle w:val="Heading2"/>
      </w:pPr>
      <w:r>
        <w:t xml:space="preserve">D.8 8. Kontrollen und Ausgaben</w:t>
      </w:r>
    </w:p>
    <w:p>
      <w:pPr>
        <w:pStyle w:val="FirstParagraph"/>
      </w:pPr>
      <w:r>
        <w:t xml:space="preserve">Die Kontrollen prüfen PV-Erhaltung, Verkehrsanteile, vollständige Zuordnung und den Modell-Bilanzschluss einschließlich negativer zentraler Reste. JSON-Schema 2 ersetzt das gekappte</w:t>
      </w:r>
      <w:r>
        <w:t xml:space="preserve"> </w:t>
      </w:r>
      <w:r>
        <w:rPr>
          <w:rStyle w:val="VerbatimChar"/>
        </w:rPr>
        <w:t xml:space="preserve">miv_budget_pj</w:t>
      </w:r>
      <w:r>
        <w:t xml:space="preserve"> </w:t>
      </w:r>
      <w:r>
        <w:t xml:space="preserve">durch</w:t>
      </w:r>
      <w:r>
        <w:t xml:space="preserve"> </w:t>
      </w:r>
      <w:r>
        <w:rPr>
          <w:rStyle w:val="VerbatimChar"/>
        </w:rPr>
        <w:t xml:space="preserve">central_credit_pj</w:t>
      </w:r>
      <w:r>
        <w:t xml:space="preserve">; alle abhängigen Rechnungen verwenden die neue Größe. Quellen-Hashes, Quellrest und Exportannahme bleiben nachvollziehbar. PE-Faktorensatz und nutzungsbezogene Verteilung sind weiterhin offen.</w:t>
      </w:r>
    </w:p>
    <w:p>
      <w:pPr>
        <w:pStyle w:val="SourceCode"/>
      </w:pPr>
      <w:r>
        <w:rPr>
          <w:rStyle w:val="ControlFlowTok"/>
        </w:rPr>
        <w:t xml:space="preserve">for</w:t>
      </w:r>
      <w:r>
        <w:rPr>
          <w:rStyle w:val="NormalTok"/>
        </w:rPr>
        <w:t xml:space="preserve"> f </w:t>
      </w:r>
      <w:r>
        <w:rPr>
          <w:rStyle w:val="KeywordTok"/>
        </w:rPr>
        <w:t xml:space="preserve">in</w:t>
      </w:r>
      <w:r>
        <w:rPr>
          <w:rStyle w:val="NormalTok"/>
        </w:rPr>
        <w:t xml:space="preserve"> [</w:t>
      </w:r>
      <w:r>
        <w:rPr>
          <w:rStyle w:val="DecValTok"/>
        </w:rPr>
        <w:t xml:space="preserve">0</w:t>
      </w:r>
      <w:r>
        <w:rPr>
          <w:rStyle w:val="NormalTok"/>
        </w:rPr>
        <w:t xml:space="preserve">,</w:t>
      </w:r>
      <w:r>
        <w:rPr>
          <w:rStyle w:val="Float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DecValTok"/>
        </w:rPr>
        <w:t xml:space="preserve">0</w:t>
      </w:r>
      <w:r>
        <w:rPr>
          <w:rStyle w:val="NormalTok"/>
        </w:rPr>
        <w:t xml:space="preserve">,</w:t>
      </w:r>
      <w:r>
        <w:rPr>
          <w:rStyle w:val="FloatTok"/>
        </w:rPr>
        <w:t xml:space="preserve">.4</w:t>
      </w:r>
      <w:r>
        <w:rPr>
          <w:rStyle w:val="NormalTok"/>
        </w:rPr>
        <w:t xml:space="preserve">,</w:t>
      </w:r>
      <w:r>
        <w:rPr>
          <w:rStyle w:val="FloatTok"/>
        </w:rPr>
        <w:t xml:space="preserve">.6</w:t>
      </w:r>
      <w:r>
        <w:rPr>
          <w:rStyle w:val="NormalTok"/>
        </w:rPr>
        <w:t xml:space="preserve">,</w:t>
      </w:r>
      <w:r>
        <w:rPr>
          <w:rStyle w:val="FloatTok"/>
        </w:rPr>
        <w:t xml:space="preserve">.8</w:t>
      </w:r>
      <w:r>
        <w:rPr>
          <w:rStyle w:val="NormalTok"/>
        </w:rPr>
        <w:t xml:space="preserve">,</w:t>
      </w:r>
      <w:r>
        <w:rPr>
          <w:rStyle w:val="DecValTok"/>
        </w:rPr>
        <w:t xml:space="preserve">1</w:t>
      </w:r>
      <w:r>
        <w:rPr>
          <w:rStyle w:val="NormalTok"/>
        </w:rPr>
        <w:t xml:space="preserve">]:</w:t>
      </w:r>
      <w:r>
        <w:br/>
      </w:r>
      <w:r>
        <w:rPr>
          <w:rStyle w:val="NormalTok"/>
        </w:rPr>
        <w:t xml:space="preserve">        r</w:t>
      </w:r>
      <w:r>
        <w:rPr>
          <w:rStyle w:val="OperatorTok"/>
        </w:rPr>
        <w:t xml:space="preserve">=</w:t>
      </w:r>
      <w:r>
        <w:rPr>
          <w:rStyle w:val="NormalTok"/>
        </w:rPr>
        <w:t xml:space="preserve">allocate(</w:t>
      </w:r>
      <w:r>
        <w:rPr>
          <w:rStyle w:val="BuiltInTok"/>
        </w:rPr>
        <w:t xml:space="preserve">dict</w:t>
      </w:r>
      <w:r>
        <w:rPr>
          <w:rStyle w:val="NormalTok"/>
        </w:rPr>
        <w:t xml:space="preserve">(parameters,other_pv_share</w:t>
      </w:r>
      <w:r>
        <w:rPr>
          <w:rStyle w:val="OperatorTok"/>
        </w:rPr>
        <w:t xml:space="preserve">=</w:t>
      </w:r>
      <w:r>
        <w:rPr>
          <w:rStyle w:val="NormalTok"/>
        </w:rPr>
        <w:t xml:space="preserve">f,miv_share</w:t>
      </w:r>
      <w:r>
        <w:rPr>
          <w:rStyle w:val="OperatorTok"/>
        </w:rPr>
        <w:t xml:space="preserve">=</w:t>
      </w:r>
      <w:r>
        <w:rPr>
          <w:rStyle w:val="NormalTok"/>
        </w:rPr>
        <w:t xml:space="preserve">m,public_transport_share</w:t>
      </w:r>
      <w:r>
        <w:rPr>
          <w:rStyle w:val="OperatorTok"/>
        </w:rPr>
        <w:t xml:space="preserve">=</w:t>
      </w:r>
      <w:r>
        <w:rPr>
          <w:rStyle w:val="DecValTok"/>
        </w:rPr>
        <w:t xml:space="preserve">1</w:t>
      </w:r>
      <w:r>
        <w:rPr>
          <w:rStyle w:val="OperatorTok"/>
        </w:rPr>
        <w:t xml:space="preserve">-</w:t>
      </w:r>
      <w:r>
        <w:rPr>
          <w:rStyle w:val="NormalTok"/>
        </w:rPr>
        <w:t xml:space="preserve">m))</w:t>
      </w:r>
      <w:r>
        <w:br/>
      </w:r>
      <w:r>
        <w:rPr>
          <w:rStyle w:val="NormalTok"/>
        </w:rPr>
        <w:t xml:space="preserve">        </w:t>
      </w:r>
      <w:r>
        <w:rPr>
          <w:rStyle w:val="ControlFlowTok"/>
        </w:rPr>
        <w:t xml:space="preserve">assert</w:t>
      </w:r>
      <w:r>
        <w:rPr>
          <w:rStyle w:val="NormalTok"/>
        </w:rPr>
        <w:t xml:space="preserve"> np.isclose(r[</w:t>
      </w:r>
      <w:r>
        <w:rPr>
          <w:rStyle w:val="StringTok"/>
        </w:rPr>
        <w:t xml:space="preserve">'building_pv_pj'</w:t>
      </w:r>
      <w:r>
        <w:rPr>
          <w:rStyle w:val="NormalTok"/>
        </w:rPr>
        <w:t xml:space="preserve">]</w:t>
      </w:r>
      <w:r>
        <w:rPr>
          <w:rStyle w:val="OperatorTok"/>
        </w:rPr>
        <w:t xml:space="preserve">+</w:t>
      </w:r>
      <w:r>
        <w:rPr>
          <w:rStyle w:val="NormalTok"/>
        </w:rPr>
        <w:t xml:space="preserve">r[</w:t>
      </w:r>
      <w:r>
        <w:rPr>
          <w:rStyle w:val="StringTok"/>
        </w:rPr>
        <w:t xml:space="preserve">'other_pv_pj'</w:t>
      </w:r>
      <w:r>
        <w:rPr>
          <w:rStyle w:val="NormalTok"/>
        </w:rPr>
        <w:t xml:space="preserve">],g[</w:t>
      </w:r>
      <w:r>
        <w:rPr>
          <w:rStyle w:val="StringTok"/>
        </w:rPr>
        <w:t xml:space="preserve">'pv'</w:t>
      </w:r>
      <w:r>
        <w:rPr>
          <w:rStyle w:val="NormalTok"/>
        </w:rPr>
        <w:t xml:space="preserve">])</w:t>
      </w:r>
      <w:r>
        <w:br/>
      </w:r>
      <w:r>
        <w:rPr>
          <w:rStyle w:val="NormalTok"/>
        </w:rPr>
        <w:t xml:space="preserve">        </w:t>
      </w:r>
      <w:r>
        <w:rPr>
          <w:rStyle w:val="ControlFlowTok"/>
        </w:rPr>
        <w:t xml:space="preserve">assert</w:t>
      </w:r>
      <w:r>
        <w:rPr>
          <w:rStyle w:val="NormalTok"/>
        </w:rPr>
        <w:t xml:space="preserve"> np.isclose(r[</w:t>
      </w:r>
      <w:r>
        <w:rPr>
          <w:rStyle w:val="StringTok"/>
        </w:rPr>
        <w:t xml:space="preserve">'allocation_residual_pj'</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np.isclose(r[</w:t>
      </w:r>
      <w:r>
        <w:rPr>
          <w:rStyle w:val="StringTok"/>
        </w:rPr>
        <w:t xml:space="preserve">'central_credit_pj'</w:t>
      </w:r>
      <w:r>
        <w:rPr>
          <w:rStyle w:val="NormalTok"/>
        </w:rPr>
        <w:t xml:space="preserve">],</w:t>
      </w:r>
      <w:r>
        <w:rPr>
          <w:rStyle w:val="DecValTok"/>
        </w:rPr>
        <w:t xml:space="preserve">90</w:t>
      </w:r>
      <w:r>
        <w:rPr>
          <w:rStyle w:val="OperatorTok"/>
        </w:rPr>
        <w:t xml:space="preserve">*</w:t>
      </w:r>
      <w:r>
        <w:rPr>
          <w:rStyle w:val="NormalTok"/>
        </w:rPr>
        <w:t xml:space="preserve">m</w:t>
      </w:r>
      <w:r>
        <w:rPr>
          <w:rStyle w:val="OperatorTok"/>
        </w:rPr>
        <w:t xml:space="preserve">-</w:t>
      </w:r>
      <w:r>
        <w:rPr>
          <w:rStyle w:val="DecValTok"/>
        </w:rPr>
        <w:t xml:space="preserve">41</w:t>
      </w:r>
      <w:r>
        <w:rPr>
          <w:rStyle w:val="OperatorTok"/>
        </w:rPr>
        <w:t xml:space="preserve">+</w:t>
      </w:r>
      <w:r>
        <w:rPr>
          <w:rStyle w:val="DecValTok"/>
        </w:rPr>
        <w:t xml:space="preserve">149</w:t>
      </w:r>
      <w:r>
        <w:rPr>
          <w:rStyle w:val="OperatorTok"/>
        </w:rPr>
        <w:t xml:space="preserve">*</w:t>
      </w:r>
      <w:r>
        <w:rPr>
          <w:rStyle w:val="NormalTok"/>
        </w:rPr>
        <w:t xml:space="preserve">f)</w:t>
      </w:r>
      <w:r>
        <w:br/>
      </w:r>
      <w:r>
        <w:rPr>
          <w:rStyle w:val="ControlFlowTok"/>
        </w:rPr>
        <w:t xml:space="preserve">assert</w:t>
      </w:r>
      <w:r>
        <w:rPr>
          <w:rStyle w:val="NormalTok"/>
        </w:rPr>
        <w:t xml:space="preserve"> np.isclose(result[</w:t>
      </w:r>
      <w:r>
        <w:rPr>
          <w:rStyle w:val="StringTok"/>
        </w:rPr>
        <w:t xml:space="preserve">'central_credit_pj'</w:t>
      </w:r>
      <w:r>
        <w:rPr>
          <w:rStyle w:val="NormalTok"/>
        </w:rPr>
        <w:t xml:space="preserve">],</w:t>
      </w:r>
      <w:r>
        <w:rPr>
          <w:rStyle w:val="DecValTok"/>
        </w:rPr>
        <w:t xml:space="preserve">31</w:t>
      </w:r>
      <w:r>
        <w:rPr>
          <w:rStyle w:val="NormalTok"/>
        </w:rPr>
        <w:t xml:space="preserve">)</w:t>
      </w:r>
      <w:r>
        <w:br/>
      </w:r>
      <w:r>
        <w:rPr>
          <w:rStyle w:val="ControlFlowTok"/>
        </w:rPr>
        <w:t xml:space="preserve">for</w:t>
      </w:r>
      <w:r>
        <w:rPr>
          <w:rStyle w:val="NormalTok"/>
        </w:rPr>
        <w:t xml:space="preserve"> bad </w:t>
      </w:r>
      <w:r>
        <w:rPr>
          <w:rStyle w:val="KeywordTok"/>
        </w:rPr>
        <w:t xml:space="preserve">in</w:t>
      </w:r>
      <w:r>
        <w:rPr>
          <w:rStyle w:val="NormalTok"/>
        </w:rPr>
        <w:t xml:space="preserve"> [</w:t>
      </w:r>
      <w:r>
        <w:rPr>
          <w:rStyle w:val="OperatorTok"/>
        </w:rPr>
        <w:t xml:space="preserve">-</w:t>
      </w:r>
      <w:r>
        <w:rPr>
          <w:rStyle w:val="FloatTok"/>
        </w:rPr>
        <w:t xml:space="preserve">.01</w:t>
      </w:r>
      <w:r>
        <w:rPr>
          <w:rStyle w:val="NormalTok"/>
        </w:rPr>
        <w:t xml:space="preserve">,</w:t>
      </w:r>
      <w:r>
        <w:rPr>
          <w:rStyle w:val="FloatTok"/>
        </w:rPr>
        <w:t xml:space="preserve">1.01</w:t>
      </w:r>
      <w:r>
        <w:rPr>
          <w:rStyle w:val="NormalTok"/>
        </w:rPr>
        <w:t xml:space="preserve">]:</w:t>
      </w:r>
      <w:r>
        <w:br/>
      </w:r>
      <w:r>
        <w:rPr>
          <w:rStyle w:val="NormalTok"/>
        </w:rPr>
        <w:t xml:space="preserve">    p</w:t>
      </w:r>
      <w:r>
        <w:rPr>
          <w:rStyle w:val="OperatorTok"/>
        </w:rPr>
        <w:t xml:space="preserve">=</w:t>
      </w:r>
      <w:r>
        <w:rPr>
          <w:rStyle w:val="NormalTok"/>
        </w:rPr>
        <w:t xml:space="preserve">copy.deepcopy(parameters)</w:t>
      </w:r>
      <w:r>
        <w:rPr>
          <w:rStyle w:val="OperatorTok"/>
        </w:rPr>
        <w:t xml:space="preserve">;</w:t>
      </w:r>
      <w:r>
        <w:rPr>
          <w:rStyle w:val="NormalTok"/>
        </w:rPr>
        <w:t xml:space="preserve">p[</w:t>
      </w:r>
      <w:r>
        <w:rPr>
          <w:rStyle w:val="StringTok"/>
        </w:rPr>
        <w:t xml:space="preserve">'other_pv_share'</w:t>
      </w:r>
      <w:r>
        <w:rPr>
          <w:rStyle w:val="NormalTok"/>
        </w:rPr>
        <w:t xml:space="preserve">]</w:t>
      </w:r>
      <w:r>
        <w:rPr>
          <w:rStyle w:val="OperatorTok"/>
        </w:rPr>
        <w:t xml:space="preserve">=</w:t>
      </w:r>
      <w:r>
        <w:rPr>
          <w:rStyle w:val="NormalTok"/>
        </w:rPr>
        <w:t xml:space="preserve">bad</w:t>
      </w:r>
      <w:r>
        <w:br/>
      </w:r>
      <w:r>
        <w:rPr>
          <w:rStyle w:val="NormalTok"/>
        </w:rPr>
        <w:t xml:space="preserve">    </w:t>
      </w:r>
      <w:r>
        <w:rPr>
          <w:rStyle w:val="ControlFlowTok"/>
        </w:rPr>
        <w:t xml:space="preserve">try</w:t>
      </w:r>
      <w:r>
        <w:rPr>
          <w:rStyle w:val="NormalTok"/>
        </w:rPr>
        <w:t xml:space="preserve">: allocate(p)</w:t>
      </w:r>
      <w:r>
        <w:br/>
      </w:r>
      <w:r>
        <w:rPr>
          <w:rStyle w:val="NormalTok"/>
        </w:rPr>
        <w:t xml:space="preserve">    </w:t>
      </w:r>
      <w:r>
        <w:rPr>
          <w:rStyle w:val="ControlFlowTok"/>
        </w:rPr>
        <w:t xml:space="preserve">except</w:t>
      </w:r>
      <w:r>
        <w:rPr>
          <w:rStyle w:val="NormalTok"/>
        </w:rPr>
        <w:t xml:space="preserve"> </w:t>
      </w:r>
      <w:r>
        <w:rPr>
          <w:rStyle w:val="PreprocessorTok"/>
        </w:rPr>
        <w:t xml:space="preserve">AssertionError</w:t>
      </w:r>
      <w:r>
        <w:rPr>
          <w:rStyle w:val="NormalTok"/>
        </w:rPr>
        <w:t xml:space="preserve">: </w:t>
      </w:r>
      <w:r>
        <w:rPr>
          <w:rStyle w:val="ControlFlowTok"/>
        </w:rPr>
        <w:t xml:space="preserve">pass</w:t>
      </w:r>
      <w:r>
        <w:br/>
      </w:r>
      <w:r>
        <w:rPr>
          <w:rStyle w:val="NormalTok"/>
        </w:rPr>
        <w:t xml:space="preserve">    </w:t>
      </w:r>
      <w:r>
        <w:rPr>
          <w:rStyle w:val="ControlFlowTok"/>
        </w:rPr>
        <w:t xml:space="preserve">else</w:t>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'Ungültiger PV-Anteil akzeptiert'</w:t>
      </w:r>
      <w:r>
        <w:rPr>
          <w:rStyle w:val="NormalTok"/>
        </w:rPr>
        <w:t xml:space="preserve">)</w:t>
      </w:r>
      <w:r>
        <w:br/>
      </w:r>
      <w:r>
        <w:rPr>
          <w:rStyle w:val="NormalTok"/>
        </w:rPr>
        <w:t xml:space="preserve">payload</w:t>
      </w:r>
      <w:r>
        <w:rPr>
          <w:rStyle w:val="OperatorTok"/>
        </w:rPr>
        <w:t xml:space="preserve">=</w:t>
      </w:r>
      <w:r>
        <w:rPr>
          <w:rStyle w:val="NormalTok"/>
        </w:rPr>
        <w:t xml:space="preserve">{</w:t>
      </w:r>
      <w:r>
        <w:rPr>
          <w:rStyle w:val="StringTok"/>
        </w:rPr>
        <w:t xml:space="preserve">'schema_version'</w:t>
      </w:r>
      <w:r>
        <w:rPr>
          <w:rStyle w:val="NormalTok"/>
        </w:rPr>
        <w:t xml:space="preserve">:</w:t>
      </w:r>
      <w:r>
        <w:rPr>
          <w:rStyle w:val="DecValTok"/>
        </w:rPr>
        <w:t xml:space="preserve">2</w:t>
      </w:r>
      <w:r>
        <w:rPr>
          <w:rStyle w:val="NormalTok"/>
        </w:rPr>
        <w:t xml:space="preserve">,</w:t>
      </w:r>
      <w:r>
        <w:rPr>
          <w:rStyle w:val="StringTok"/>
        </w:rPr>
        <w:t xml:space="preserve">'assumptions'</w:t>
      </w:r>
      <w:r>
        <w:rPr>
          <w:rStyle w:val="NormalTok"/>
        </w:rPr>
        <w:t xml:space="preserve">:assumptions,</w:t>
      </w:r>
      <w:r>
        <w:rPr>
          <w:rStyle w:val="StringTok"/>
        </w:rPr>
        <w:t xml:space="preserve">'parameters'</w:t>
      </w:r>
      <w:r>
        <w:rPr>
          <w:rStyle w:val="NormalTok"/>
        </w:rPr>
        <w:t xml:space="preserve">:parameters,</w:t>
      </w:r>
      <w:r>
        <w:rPr>
          <w:rStyle w:val="StringTok"/>
        </w:rPr>
        <w:t xml:space="preserve">'result'</w:t>
      </w:r>
      <w:r>
        <w:rPr>
          <w:rStyle w:val="NormalTok"/>
        </w:rPr>
        <w:t xml:space="preserve">:result,</w:t>
      </w:r>
      <w:r>
        <w:rPr>
          <w:rStyle w:val="StringTok"/>
        </w:rPr>
        <w:t xml:space="preserve">'pe_budget_pj'</w:t>
      </w:r>
      <w:r>
        <w:rPr>
          <w:rStyle w:val="NormalTok"/>
        </w:rPr>
        <w:t xml:space="preserve">:primary_energy_budget,</w:t>
      </w:r>
      <w:r>
        <w:rPr>
          <w:rStyle w:val="StringTok"/>
        </w:rPr>
        <w:t xml:space="preserve">'source_sha256'</w:t>
      </w:r>
      <w:r>
        <w:rPr>
          <w:rStyle w:val="NormalTok"/>
        </w:rPr>
        <w:t xml:space="preserve">:provenance}</w:t>
      </w:r>
      <w:r>
        <w:br/>
      </w:r>
      <w:r>
        <w:rPr>
          <w:rStyle w:val="NormalTok"/>
        </w:rPr>
        <w:t xml:space="preserve">(OUT</w:t>
      </w:r>
      <w:r>
        <w:rPr>
          <w:rStyle w:val="OperatorTok"/>
        </w:rPr>
        <w:t xml:space="preserve">/</w:t>
      </w:r>
      <w:r>
        <w:rPr>
          <w:rStyle w:val="StringTok"/>
        </w:rPr>
        <w:t xml:space="preserve">'allokation.json'</w:t>
      </w:r>
      <w:r>
        <w:rPr>
          <w:rStyle w:val="NormalTok"/>
        </w:rPr>
        <w:t xml:space="preserve">).write_text(json.dumps(payload,ensure_ascii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result_table.to_csv(OUT</w:t>
      </w:r>
      <w:r>
        <w:rPr>
          <w:rStyle w:val="OperatorTok"/>
        </w:rPr>
        <w:t xml:space="preserve">/</w:t>
      </w:r>
      <w:r>
        <w:rPr>
          <w:rStyle w:val="StringTok"/>
        </w:rPr>
        <w:t xml:space="preserve">'referenzfall.csv'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comparison.to_csv(OUT</w:t>
      </w:r>
      <w:r>
        <w:rPr>
          <w:rStyle w:val="OperatorTok"/>
        </w:rPr>
        <w:t xml:space="preserve">/</w:t>
      </w:r>
      <w:r>
        <w:rPr>
          <w:rStyle w:val="StringTok"/>
        </w:rPr>
        <w:t xml:space="preserve">'varianten.csv'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KeywordTok"/>
        </w:rPr>
        <w:t xml:space="preserve">def</w:t>
      </w:r>
      <w:r>
        <w:rPr>
          <w:rStyle w:val="NormalTok"/>
        </w:rPr>
        <w:t xml:space="preserve"> table(frame):</w:t>
      </w:r>
      <w:r>
        <w:br/>
      </w:r>
      <w:r>
        <w:rPr>
          <w:rStyle w:val="NormalTok"/>
        </w:rPr>
        <w:t xml:space="preserve">    frame</w:t>
      </w:r>
      <w:r>
        <w:rPr>
          <w:rStyle w:val="OperatorTok"/>
        </w:rPr>
        <w:t xml:space="preserve">=</w:t>
      </w:r>
      <w:r>
        <w:rPr>
          <w:rStyle w:val="NormalTok"/>
        </w:rPr>
        <w:t xml:space="preserve">frame.</w:t>
      </w:r>
      <w:r>
        <w:rPr>
          <w:rStyle w:val="BuiltInTok"/>
        </w:rPr>
        <w:t xml:space="preserve">round</w:t>
      </w:r>
      <w:r>
        <w:rPr>
          <w:rStyle w:val="NormalTok"/>
        </w:rPr>
        <w:t xml:space="preserve">(</w:t>
      </w:r>
      <w:r>
        <w:rPr>
          <w:rStyle w:val="DecValTok"/>
        </w:rPr>
        <w:t xml:space="preserve">3</w:t>
      </w:r>
      <w:r>
        <w:rPr>
          <w:rStyle w:val="NormalTok"/>
        </w:rPr>
        <w:t xml:space="preserve">).copy()</w:t>
      </w:r>
      <w:r>
        <w:br/>
      </w:r>
      <w:r>
        <w:rPr>
          <w:rStyle w:val="NormalTok"/>
        </w:rPr>
        <w:t xml:space="preserve">    </w:t>
      </w:r>
      <w:r>
        <w:rPr>
          <w:rStyle w:val="ControlFlowTok"/>
        </w:rPr>
        <w:t xml:space="preserve">if</w:t>
      </w:r>
      <w:r>
        <w:rPr>
          <w:rStyle w:val="NormalTok"/>
        </w:rPr>
        <w:t xml:space="preserve"> </w:t>
      </w:r>
      <w:r>
        <w:rPr>
          <w:rStyle w:val="StringTok"/>
        </w:rPr>
        <w:t xml:space="preserve">'Vorrang gedeckt'</w:t>
      </w:r>
      <w:r>
        <w:rPr>
          <w:rStyle w:val="NormalTok"/>
        </w:rPr>
        <w:t xml:space="preserve"> </w:t>
      </w:r>
      <w:r>
        <w:rPr>
          <w:rStyle w:val="KeywordTok"/>
        </w:rPr>
        <w:t xml:space="preserve">in</w:t>
      </w:r>
      <w:r>
        <w:rPr>
          <w:rStyle w:val="NormalTok"/>
        </w:rPr>
        <w:t xml:space="preserve"> frame: frame[</w:t>
      </w:r>
      <w:r>
        <w:rPr>
          <w:rStyle w:val="StringTok"/>
        </w:rPr>
        <w:t xml:space="preserve">'Vorrang gedeckt'</w:t>
      </w:r>
      <w:r>
        <w:rPr>
          <w:rStyle w:val="NormalTok"/>
        </w:rPr>
        <w:t xml:space="preserve">]</w:t>
      </w:r>
      <w:r>
        <w:rPr>
          <w:rStyle w:val="OperatorTok"/>
        </w:rPr>
        <w:t xml:space="preserve">=</w:t>
      </w:r>
      <w:r>
        <w:rPr>
          <w:rStyle w:val="NormalTok"/>
        </w:rPr>
        <w:t xml:space="preserve">frame[</w:t>
      </w:r>
      <w:r>
        <w:rPr>
          <w:rStyle w:val="StringTok"/>
        </w:rPr>
        <w:t xml:space="preserve">'Vorrang gedeckt'</w:t>
      </w:r>
      <w:r>
        <w:rPr>
          <w:rStyle w:val="NormalTok"/>
        </w:rPr>
        <w:t xml:space="preserve">].</w:t>
      </w:r>
      <w:r>
        <w:rPr>
          <w:rStyle w:val="BuiltInTok"/>
        </w:rPr>
        <w:t xml:space="preserve">map</w:t>
      </w:r>
      <w:r>
        <w:rPr>
          <w:rStyle w:val="NormalTok"/>
        </w:rPr>
        <w:t xml:space="preserve">({</w:t>
      </w:r>
      <w:r>
        <w:rPr>
          <w:rStyle w:val="VariableTok"/>
        </w:rPr>
        <w:t xml:space="preserve">True</w:t>
      </w:r>
      <w:r>
        <w:rPr>
          <w:rStyle w:val="NormalTok"/>
        </w:rPr>
        <w:t xml:space="preserve">:</w:t>
      </w:r>
      <w:r>
        <w:rPr>
          <w:rStyle w:val="StringTok"/>
        </w:rPr>
        <w:t xml:space="preserve">'ja'</w:t>
      </w:r>
      <w:r>
        <w:rPr>
          <w:rStyle w:val="NormalTok"/>
        </w:rPr>
        <w:t xml:space="preserve">,</w:t>
      </w:r>
      <w:r>
        <w:rPr>
          <w:rStyle w:val="VariableTok"/>
        </w:rPr>
        <w:t xml:space="preserve">False</w:t>
      </w:r>
      <w:r>
        <w:rPr>
          <w:rStyle w:val="NormalTok"/>
        </w:rPr>
        <w:t xml:space="preserve">:</w:t>
      </w:r>
      <w:r>
        <w:rPr>
          <w:rStyle w:val="StringTok"/>
        </w:rPr>
        <w:t xml:space="preserve">'nein'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OperatorTok"/>
        </w:rPr>
        <w:t xml:space="preserve">+</w:t>
      </w:r>
      <w:r>
        <w:rPr>
          <w:rStyle w:val="StringTok"/>
        </w:rPr>
        <w:t xml:space="preserve">' | '</w:t>
      </w:r>
      <w:r>
        <w:rPr>
          <w:rStyle w:val="NormalTok"/>
        </w:rPr>
        <w:t xml:space="preserve">.join(frame.columns)</w:t>
      </w:r>
      <w:r>
        <w:rPr>
          <w:rStyle w:val="OperatorTok"/>
        </w:rPr>
        <w:t xml:space="preserve">+</w:t>
      </w:r>
      <w:r>
        <w:rPr>
          <w:rStyle w:val="StringTok"/>
        </w:rPr>
        <w:t xml:space="preserve">' |</w:t>
      </w:r>
      <w:r>
        <w:rPr>
          <w:rStyle w:val="CharTok"/>
        </w:rPr>
        <w:t xml:space="preserve">\n</w:t>
      </w:r>
      <w:r>
        <w:rPr>
          <w:rStyle w:val="StringTok"/>
        </w:rPr>
        <w:t xml:space="preserve">| '</w:t>
      </w:r>
      <w:r>
        <w:rPr>
          <w:rStyle w:val="OperatorTok"/>
        </w:rPr>
        <w:t xml:space="preserve">+</w:t>
      </w:r>
      <w:r>
        <w:rPr>
          <w:rStyle w:val="StringTok"/>
        </w:rPr>
        <w:t xml:space="preserve">' | '</w:t>
      </w:r>
      <w:r>
        <w:rPr>
          <w:rStyle w:val="NormalTok"/>
        </w:rPr>
        <w:t xml:space="preserve">.join([</w:t>
      </w:r>
      <w:r>
        <w:rPr>
          <w:rStyle w:val="StringTok"/>
        </w:rPr>
        <w:t xml:space="preserve">'---'</w:t>
      </w:r>
      <w:r>
        <w:rPr>
          <w:rStyle w:val="NormalTok"/>
        </w:rPr>
        <w:t xml:space="preserve">]</w:t>
      </w:r>
      <w:r>
        <w:rPr>
          <w:rStyle w:val="OperatorTok"/>
        </w:rPr>
        <w:t xml:space="preserve">*</w:t>
      </w:r>
      <w:r>
        <w:rPr>
          <w:rStyle w:val="BuiltInTok"/>
        </w:rPr>
        <w:t xml:space="preserve">len</w:t>
      </w:r>
      <w:r>
        <w:rPr>
          <w:rStyle w:val="NormalTok"/>
        </w:rPr>
        <w:t xml:space="preserve">(frame.columns))</w:t>
      </w:r>
      <w:r>
        <w:rPr>
          <w:rStyle w:val="OperatorTok"/>
        </w:rPr>
        <w:t xml:space="preserve">+</w:t>
      </w:r>
      <w:r>
        <w:rPr>
          <w:rStyle w:val="StringTok"/>
        </w:rPr>
        <w:t xml:space="preserve">' |</w:t>
      </w:r>
      <w:r>
        <w:rPr>
          <w:rStyle w:val="CharTok"/>
        </w:rPr>
        <w:t xml:space="preserve">\n</w:t>
      </w:r>
      <w:r>
        <w:rPr>
          <w:rStyle w:val="StringTok"/>
        </w:rPr>
        <w:t xml:space="preserve">'</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.join(</w:t>
      </w:r>
      <w:r>
        <w:rPr>
          <w:rStyle w:val="StringTok"/>
        </w:rPr>
        <w:t xml:space="preserve">'| '</w:t>
      </w:r>
      <w:r>
        <w:rPr>
          <w:rStyle w:val="OperatorTok"/>
        </w:rPr>
        <w:t xml:space="preserve">+</w:t>
      </w:r>
      <w:r>
        <w:rPr>
          <w:rStyle w:val="StringTok"/>
        </w:rPr>
        <w:t xml:space="preserve">' | '</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,row))</w:t>
      </w:r>
      <w:r>
        <w:rPr>
          <w:rStyle w:val="OperatorTok"/>
        </w:rPr>
        <w:t xml:space="preserve">+</w:t>
      </w:r>
      <w:r>
        <w:rPr>
          <w:rStyle w:val="StringTok"/>
        </w:rPr>
        <w:t xml:space="preserve">' |'</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frame.itertuples(index</w:t>
      </w:r>
      <w:r>
        <w:rPr>
          <w:rStyle w:val="OperatorTok"/>
        </w:rPr>
        <w:t xml:space="preserve">=</w:t>
      </w:r>
      <w:r>
        <w:rPr>
          <w:rStyle w:val="VariableTok"/>
        </w:rPr>
        <w:t xml:space="preserve">False</w:t>
      </w:r>
      <w:r>
        <w:rPr>
          <w:rStyle w:val="NormalTok"/>
        </w:rPr>
        <w:t xml:space="preserve">,name</w:t>
      </w:r>
      <w:r>
        <w:rPr>
          <w:rStyle w:val="OperatorTok"/>
        </w:rPr>
        <w:t xml:space="preserve">=</w:t>
      </w:r>
      <w:r>
        <w:rPr>
          <w:rStyle w:val="VariableTok"/>
        </w:rPr>
        <w:t xml:space="preserve">None</w:t>
      </w:r>
      <w:r>
        <w:rPr>
          <w:rStyle w:val="NormalTok"/>
        </w:rPr>
        <w:t xml:space="preserve">))</w:t>
      </w:r>
      <w:r>
        <w:br/>
      </w:r>
      <w:r>
        <w:rPr>
          <w:rStyle w:val="NormalTok"/>
        </w:rPr>
        <w:t xml:space="preserve">text</w:t>
      </w:r>
      <w:r>
        <w:rPr>
          <w:rStyle w:val="OperatorTok"/>
        </w:rPr>
        <w:t xml:space="preserve">=</w:t>
      </w:r>
      <w:r>
        <w:rPr>
          <w:rStyle w:val="NormalTok"/>
        </w:rPr>
        <w:t xml:space="preserve">table(comparison[pv_columns])</w:t>
      </w:r>
      <w:r>
        <w:rPr>
          <w:rStyle w:val="OperatorTok"/>
        </w:rPr>
        <w:t xml:space="preserve">+</w:t>
      </w:r>
      <w:r>
        <w:rPr>
          <w:rStyle w:val="StringTok"/>
        </w:rPr>
        <w:t xml:space="preserve">'</w:t>
      </w:r>
      <w:r>
        <w:rPr>
          <w:rStyle w:val="CharTok"/>
        </w:rPr>
        <w:t xml:space="preserve">\n\n</w:t>
      </w:r>
      <w:r>
        <w:rPr>
          <w:rStyle w:val="StringTok"/>
        </w:rPr>
        <w:t xml:space="preserve">: PV-Aufteilung in PJ Strom/a; Freiflächenanteil bezogen auf die gesamte PV-Erzeugung. {#tbl-allokation-pv}</w:t>
      </w:r>
      <w:r>
        <w:rPr>
          <w:rStyle w:val="CharTok"/>
        </w:rPr>
        <w:t xml:space="preserve">\n\n</w:t>
      </w:r>
      <w:r>
        <w:rPr>
          <w:rStyle w:val="StringTok"/>
        </w:rPr>
        <w:t xml:space="preserve">'</w:t>
      </w:r>
      <w:r>
        <w:br/>
      </w:r>
      <w:r>
        <w:rPr>
          <w:rStyle w:val="NormalTok"/>
        </w:rPr>
        <w:t xml:space="preserve">text</w:t>
      </w:r>
      <w:r>
        <w:rPr>
          <w:rStyle w:val="OperatorTok"/>
        </w:rPr>
        <w:t xml:space="preserve">+=</w:t>
      </w:r>
      <w:r>
        <w:rPr>
          <w:rStyle w:val="NormalTok"/>
        </w:rPr>
        <w:t xml:space="preserve">table(comparison[traffic_columns])</w:t>
      </w:r>
      <w:r>
        <w:rPr>
          <w:rStyle w:val="OperatorTok"/>
        </w:rPr>
        <w:t xml:space="preserve">+</w:t>
      </w:r>
      <w:r>
        <w:rPr>
          <w:rStyle w:val="StringTok"/>
        </w:rPr>
        <w:t xml:space="preserve">'</w:t>
      </w:r>
      <w:r>
        <w:rPr>
          <w:rStyle w:val="CharTok"/>
        </w:rPr>
        <w:t xml:space="preserve">\n\n</w:t>
      </w:r>
      <w:r>
        <w:rPr>
          <w:rStyle w:val="StringTok"/>
        </w:rPr>
        <w:t xml:space="preserve">: Verkehrsaufteilung in PJ Strom/a; MIV-Anteil bezogen auf den elektrischen Verkehrsbedarf. {#tbl-allokation-verkehr}</w:t>
      </w:r>
      <w:r>
        <w:rPr>
          <w:rStyle w:val="CharTok"/>
        </w:rPr>
        <w:t xml:space="preserve">\n\n</w:t>
      </w:r>
      <w:r>
        <w:rPr>
          <w:rStyle w:val="StringTok"/>
        </w:rPr>
        <w:t xml:space="preserve">'</w:t>
      </w:r>
      <w:r>
        <w:br/>
      </w:r>
      <w:r>
        <w:rPr>
          <w:rStyle w:val="NormalTok"/>
        </w:rPr>
        <w:t xml:space="preserve">text</w:t>
      </w:r>
      <w:r>
        <w:rPr>
          <w:rStyle w:val="OperatorTok"/>
        </w:rPr>
        <w:t xml:space="preserve">+=</w:t>
      </w:r>
      <w:r>
        <w:rPr>
          <w:rStyle w:val="NormalTok"/>
        </w:rPr>
        <w:t xml:space="preserve">table(comparison[result_columns])</w:t>
      </w:r>
      <w:r>
        <w:rPr>
          <w:rStyle w:val="OperatorTok"/>
        </w:rPr>
        <w:t xml:space="preserve">+</w:t>
      </w:r>
      <w:r>
        <w:rPr>
          <w:rStyle w:val="StringTok"/>
        </w:rPr>
        <w:t xml:space="preserve">'</w:t>
      </w:r>
      <w:r>
        <w:rPr>
          <w:rStyle w:val="CharTok"/>
        </w:rPr>
        <w:t xml:space="preserve">\n\n</w:t>
      </w:r>
      <w:r>
        <w:rPr>
          <w:rStyle w:val="StringTok"/>
        </w:rPr>
        <w:t xml:space="preserve">: Allokationsergebnisse in PJ Strom/a. Restdeckung ist vorzeichenbehaftet; ein zentraler Fehlbetrag wird durch Gebäude-PV ausgeglichen. {#tbl-allokation-vorlaeufig}</w:t>
      </w:r>
      <w:r>
        <w:rPr>
          <w:rStyle w:val="CharTok"/>
        </w:rPr>
        <w:t xml:space="preserve">\n</w:t>
      </w:r>
      <w:r>
        <w:rPr>
          <w:rStyle w:val="StringTok"/>
        </w:rPr>
        <w:t xml:space="preserve">'</w:t>
      </w:r>
      <w:r>
        <w:br/>
      </w:r>
      <w:r>
        <w:rPr>
          <w:rStyle w:val="NormalTok"/>
        </w:rPr>
        <w:t xml:space="preserve">(ROOT</w:t>
      </w:r>
      <w:r>
        <w:rPr>
          <w:rStyle w:val="OperatorTok"/>
        </w:rPr>
        <w:t xml:space="preserve">/</w:t>
      </w:r>
      <w:r>
        <w:rPr>
          <w:rStyle w:val="StringTok"/>
        </w:rPr>
        <w:t xml:space="preserve">'Kapitel/_generated/allokation-ergebnisse.qmd'</w:t>
      </w:r>
      <w:r>
        <w:rPr>
          <w:rStyle w:val="NormalTok"/>
        </w:rPr>
        <w:t xml:space="preserve">).write_text(text,encoding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tringTok"/>
        </w:rPr>
        <w:t xml:space="preserve">'Bilanz- und Grenzfallkontrollen bestanden.'</w:t>
      </w:r>
      <w:r>
        <w:rPr>
          <w:rStyle w:val="NormalTok"/>
        </w:rPr>
        <w:t xml:space="preserve">)</w:t>
      </w:r>
    </w:p>
    <w:p>
      <w:pPr>
        <w:pStyle w:val="SourceCode"/>
      </w:pPr>
      <w:r>
        <w:rPr>
          <w:rStyle w:val="VerbatimChar"/>
        </w:rPr>
        <w:t xml:space="preserve">Bilanz- und Grenzfallkontrollen bestanden.</w:t>
      </w:r>
    </w:p>
    <w:bookmarkEnd w:id="508"/>
    <w:bookmarkEnd w:id="509"/>
    <w:bookmarkStart w:id="510" w:name="gebäudesektormodell-österreich-2040"/>
    <w:p>
      <w:pPr>
        <w:pStyle w:val="Heading1"/>
      </w:pPr>
      <w:r>
        <w:t xml:space="preserve">Appendix E — Gebäudesektormodell Österreich 2040</w:t>
      </w:r>
    </w:p>
    <w:bookmarkEnd w:id="510"/>
    <w:bookmarkStart w:id="535" w:name="sec-gebaeudesektormodell"/>
    <w:p>
      <w:pPr>
        <w:pStyle w:val="Heading1"/>
      </w:pPr>
      <w:r>
        <w:t xml:space="preserve">Appendix E — Gebäudesektormodell: Daten, Rechnung und Grenzen</w:t>
      </w:r>
    </w:p>
    <w:bookmarkStart w:id="511" w:name="modellrolle-und-bilanzgrenzen"/>
    <w:p>
      <w:pPr>
        <w:pStyle w:val="Heading2"/>
      </w:pPr>
      <w:r>
        <w:t xml:space="preserve">E.1 1. Modellrolle und Bilanzgrenzen</w:t>
      </w:r>
    </w:p>
    <w:p>
      <w:pPr>
        <w:pStyle w:val="FirstParagraph"/>
      </w:pPr>
      <w:r>
        <w:t xml:space="preserve">Das Notebook ist die ausführbare Bottom-up-Seite der PEQ-Zielwertkalibrierung. Es verbindet die</w:t>
      </w:r>
      <w:r>
        <w:t xml:space="preserve"> </w:t>
      </w:r>
      <w:r>
        <w:rPr>
          <w:b/>
          <w:bCs/>
        </w:rPr>
        <w:t xml:space="preserve">gelieferte Flächenstruktur 2040</w:t>
      </w:r>
      <w:r>
        <w:t xml:space="preserve"> </w:t>
      </w:r>
      <w:r>
        <w:t xml:space="preserve">mit den energetischen Kennwerten der Archetypen und den österreichischen GFZ-Verteilungen. Die Top-down-Allokation steht in</w:t>
      </w:r>
      <w:r>
        <w:t xml:space="preserve"> </w:t>
      </w:r>
      <w:hyperlink w:anchor="sec-allokation-notebook">
        <w:r>
          <w:rPr>
            <w:rStyle w:val="Hyperlink"/>
          </w:rPr>
          <w:t xml:space="preserve">Anhang F</w:t>
        </w:r>
      </w:hyperlink>
      <w:r>
        <w:t xml:space="preserve">. Ein Abgleich wird ausgewiesen, eine automatische Neukalibrierung findet nicht statt.</w:t>
      </w:r>
    </w:p>
    <w:p>
      <w:pPr>
        <w:pStyle w:val="BodyText"/>
      </w:pPr>
      <w:r>
        <w:rPr>
          <w:b/>
          <w:bCs/>
        </w:rPr>
        <w:t xml:space="preserve">Quelle:</w:t>
      </w:r>
      <w:r>
        <w:t xml:space="preserve"> </w:t>
      </w:r>
      <w:r>
        <w:rPr>
          <w:rStyle w:val="VerbatimChar"/>
        </w:rPr>
        <w:t xml:space="preserve">Building-Sector_Pool 1.xlsx</w:t>
      </w:r>
      <w:r>
        <w:t xml:space="preserve">, Lieferung 23.10.2026.</w:t>
      </w:r>
      <w:r>
        <w:t xml:space="preserve"> </w:t>
      </w:r>
      <w:r>
        <w:rPr>
          <w:rStyle w:val="VerbatimChar"/>
        </w:rPr>
        <w:t xml:space="preserve">Strombed_estim</w:t>
      </w:r>
      <w:r>
        <w:t xml:space="preserve"> </w:t>
      </w:r>
      <w:r>
        <w:t xml:space="preserve">ist maßgeblich für die 900 Typen und ihre Flächen;</w:t>
      </w:r>
      <w:r>
        <w:t xml:space="preserve"> </w:t>
      </w:r>
      <w:r>
        <w:rPr>
          <w:rStyle w:val="VerbatimChar"/>
        </w:rPr>
        <w:t xml:space="preserve">zuordnung_gfz!A:F</w:t>
      </w:r>
      <w:r>
        <w:t xml:space="preserve"> </w:t>
      </w:r>
      <w:r>
        <w:t xml:space="preserve">für die Dichtezuordnung.</w:t>
      </w:r>
      <w:r>
        <w:t xml:space="preserve"> </w:t>
      </w:r>
      <w:r>
        <w:rPr>
          <w:rStyle w:val="VerbatimChar"/>
        </w:rPr>
        <w:t xml:space="preserve">Tabelle2</w:t>
      </w:r>
      <w:r>
        <w:t xml:space="preserve"> </w:t>
      </w:r>
      <w:r>
        <w:t xml:space="preserve">liefert ergänzende Anwendungen und die Einheiten. Die unveränderte Quelldatei ist unter</w:t>
      </w:r>
      <w:r>
        <w:t xml:space="preserve"> </w:t>
      </w:r>
      <w:r>
        <w:rPr>
          <w:rStyle w:val="VerbatimChar"/>
        </w:rPr>
        <w:t xml:space="preserve">data/</w:t>
      </w:r>
      <w:r>
        <w:t xml:space="preserve"> </w:t>
      </w:r>
      <w:r>
        <w:t xml:space="preserve">versioniert.</w:t>
      </w:r>
      <w:r>
        <w:t xml:space="preserve"> </w:t>
      </w:r>
      <w:r>
        <w:rPr>
          <w:rStyle w:val="VerbatimChar"/>
        </w:rPr>
        <w:t xml:space="preserve">daten_gebauedesektor.xlsx</w:t>
      </w:r>
      <w:r>
        <w:t xml:space="preserve"> </w:t>
      </w:r>
      <w:r>
        <w:t xml:space="preserve">ist eine editierbare Reinschrift ihrer gespeicherten Werte. Die gespeicherten PEExcel-Ergebnisse werden geprüft, aber nicht neu simuliert.</w:t>
      </w:r>
    </w:p>
    <w:p>
      <w:pPr>
        <w:pStyle w:val="BodyText"/>
      </w:pPr>
      <w:r>
        <w:t xml:space="preserve">Bezugsjahr ist</w:t>
      </w:r>
      <w:r>
        <w:t xml:space="preserve"> </w:t>
      </w:r>
      <w:r>
        <w:rPr>
          <w:b/>
          <w:bCs/>
        </w:rPr>
        <w:t xml:space="preserve">2040</w:t>
      </w:r>
      <w:r>
        <w:t xml:space="preserve">. „Heute“ bleibt eine getrennte Quellspalte mit noch unbestätigtem Bezugsjahr. Sie ist</w:t>
      </w:r>
      <w:r>
        <w:t xml:space="preserve"> </w:t>
      </w:r>
      <w:r>
        <w:rPr>
          <w:b/>
          <w:bCs/>
        </w:rPr>
        <w:t xml:space="preserve">nicht automatisch 2020</w:t>
      </w:r>
      <w:r>
        <w:t xml:space="preserve">. Für 2020 gibt es ein leeres ergänzbares Flächenfeld. Auch die heutige Spalte wird mit denselben gelieferten Typenkennwerten ausgewertet und ist daher keine unabhängig validierte historische Energiebilanz.</w:t>
      </w:r>
    </w:p>
    <w:p>
      <w:pPr>
        <w:pStyle w:val="BodyText"/>
      </w:pPr>
      <w:r>
        <w:t xml:space="preserve">Flächen: BGF in m², spezifische Energien laut</w:t>
      </w:r>
      <w:r>
        <w:t xml:space="preserve"> </w:t>
      </w:r>
      <w:r>
        <w:rPr>
          <w:rStyle w:val="VerbatimChar"/>
        </w:rPr>
        <w:t xml:space="preserve">Tabelle2</w:t>
      </w:r>
      <w:r>
        <w:t xml:space="preserve"> </w:t>
      </w:r>
      <w:r>
        <w:t xml:space="preserve">in kWh/(m² NGF·a). Der aus der vorhandenen GFZ-Analyse übernommene Faktor</w:t>
      </w:r>
      <w:r>
        <w:t xml:space="preserve"> </w:t>
      </w:r>
      <m:oMath>
        <m:r>
          <m:t>r</m:t>
        </m:r>
        <m:r>
          <m:rPr>
            <m:sty m:val="p"/>
          </m:rPr>
          <m:t>=</m:t>
        </m:r>
        <m:sSub>
          <m:e>
            <m:r>
              <m:t>A</m:t>
            </m:r>
          </m:e>
          <m:sub>
            <m:r>
              <m:t>N</m:t>
            </m:r>
            <m:r>
              <m:t>G</m:t>
            </m:r>
            <m:r>
              <m:t>F</m:t>
            </m:r>
          </m:sub>
        </m:sSub>
        <m:r>
          <m:rPr>
            <m:sty m:val="p"/>
          </m:rPr>
          <m:t>/</m:t>
        </m:r>
        <m:sSub>
          <m:e>
            <m:r>
              <m:t>A</m:t>
            </m:r>
          </m:e>
          <m:sub>
            <m:r>
              <m:t>B</m:t>
            </m:r>
            <m:r>
              <m:t>G</m:t>
            </m:r>
            <m:r>
              <m:t>F</m:t>
            </m:r>
          </m:sub>
        </m:sSub>
        <m:r>
          <m:rPr>
            <m:sty m:val="p"/>
          </m:rPr>
          <m:t>=</m:t>
        </m:r>
        <m:r>
          <m:t>0</m:t>
        </m:r>
        <m:r>
          <m:rPr>
            <m:sty m:val="p"/>
          </m:rPr>
          <m:t>,</m:t>
        </m:r>
        <m:r>
          <m:t>8</m:t>
        </m:r>
      </m:oMath>
      <w:r>
        <w:t xml:space="preserve"> </w:t>
      </w:r>
      <w:r>
        <w:t xml:space="preserve">ist eine einheitliche Modellannahme, keine typologiespezifische Messung.</w:t>
      </w:r>
      <w:r>
        <w:t xml:space="preserve"> </w:t>
      </w:r>
      <m:oMath>
        <m:r>
          <m:t>1</m:t>
        </m:r>
        <m:r>
          <m:t> </m:t>
        </m:r>
        <m:r>
          <m:t>G</m:t>
        </m:r>
        <m:r>
          <m:t>W</m:t>
        </m:r>
        <m:r>
          <m:t>h</m:t>
        </m:r>
        <m:r>
          <m:rPr>
            <m:sty m:val="p"/>
          </m:rPr>
          <m:t>=</m:t>
        </m:r>
        <m:sSup>
          <m:e>
            <m:r>
              <m:t>10</m:t>
            </m:r>
          </m:e>
          <m:sup>
            <m:r>
              <m:t>6</m:t>
            </m:r>
          </m:sup>
        </m:sSup>
        <m:r>
          <m:t> </m:t>
        </m:r>
        <m:r>
          <m:t>k</m:t>
        </m:r>
        <m:r>
          <m:t>W</m:t>
        </m:r>
        <m:r>
          <m:t>h</m:t>
        </m:r>
      </m:oMath>
      <w:r>
        <w:t xml:space="preserve">,</w:t>
      </w:r>
      <w:r>
        <w:t xml:space="preserve"> </w:t>
      </w:r>
      <m:oMath>
        <m:r>
          <m:t>1</m:t>
        </m:r>
        <m:r>
          <m:t> </m:t>
        </m:r>
        <m:r>
          <m:t>P</m:t>
        </m:r>
        <m:r>
          <m:t>J</m:t>
        </m:r>
        <m:r>
          <m:rPr>
            <m:sty m:val="p"/>
          </m:rPr>
          <m:t>=</m:t>
        </m:r>
        <m:sSup>
          <m:e>
            <m:r>
              <m:t>10</m:t>
            </m:r>
          </m:e>
          <m:sup>
            <m:r>
              <m:t>9</m:t>
            </m:r>
          </m:sup>
        </m:sSup>
        <m:r>
          <m:rPr>
            <m:sty m:val="p"/>
          </m:rPr>
          <m:t>/</m:t>
        </m:r>
        <m:r>
          <m:t>3</m:t>
        </m:r>
        <m:r>
          <m:rPr>
            <m:sty m:val="p"/>
          </m:rPr>
          <m:t>,</m:t>
        </m:r>
        <m:r>
          <m:t>6</m:t>
        </m:r>
        <m:r>
          <m:t> </m:t>
        </m:r>
        <m:r>
          <m:t>k</m:t>
        </m:r>
        <m:r>
          <m:t>W</m:t>
        </m:r>
        <m:r>
          <m:t>h</m:t>
        </m:r>
      </m:oMath>
      <w:r>
        <w:t xml:space="preserve">. Salden sind</w:t>
      </w:r>
      <w:r>
        <w:t xml:space="preserve"> </w:t>
      </w:r>
      <w:r>
        <w:rPr>
          <w:b/>
          <w:bCs/>
        </w:rPr>
        <w:t xml:space="preserve">Erzeugung bzw. Export minus Bedarf bzw. Import</w:t>
      </w:r>
      <w:r>
        <w:t xml:space="preserve">. Mobilität ist in den gelieferten Simulationskennwerten null und wird erst beim Top-down-Vergleich separat angesetzt. Virtuelle Dichtewerte bleiben von physischen Energieflüssen getrennt.</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sys, json, copy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rPr>
          <w:rStyle w:val="NormalTok"/>
        </w:rPr>
        <w:t xml:space="preserve">ROOT</w:t>
      </w:r>
      <w:r>
        <w:rPr>
          <w:rStyle w:val="OperatorTok"/>
        </w:rPr>
        <w:t xml:space="preserve">=</w:t>
      </w:r>
      <w:r>
        <w:rPr>
          <w:rStyle w:val="BuiltInTok"/>
        </w:rPr>
        <w:t xml:space="preserve">next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[Path.cwd(),</w:t>
      </w:r>
      <w:r>
        <w:rPr>
          <w:rStyle w:val="OperatorTok"/>
        </w:rPr>
        <w:t xml:space="preserve">*</w:t>
      </w:r>
      <w:r>
        <w:rPr>
          <w:rStyle w:val="NormalTok"/>
        </w:rPr>
        <w:t xml:space="preserve">Path.cwd().parents] </w:t>
      </w:r>
      <w:r>
        <w:rPr>
          <w:rStyle w:val="ControlFlowTok"/>
        </w:rPr>
        <w:t xml:space="preserve">if</w:t>
      </w:r>
      <w:r>
        <w:rPr>
          <w:rStyle w:val="NormalTok"/>
        </w:rPr>
        <w:t xml:space="preserve"> (p</w:t>
      </w:r>
      <w:r>
        <w:rPr>
          <w:rStyle w:val="OperatorTok"/>
        </w:rPr>
        <w:t xml:space="preserve">/</w:t>
      </w:r>
      <w:r>
        <w:rPr>
          <w:rStyle w:val="StringTok"/>
        </w:rPr>
        <w:t xml:space="preserve">'_quarto.yml'</w:t>
      </w:r>
      <w:r>
        <w:rPr>
          <w:rStyle w:val="NormalTok"/>
        </w:rPr>
        <w:t xml:space="preserve">).exists())</w:t>
      </w:r>
      <w:r>
        <w:br/>
      </w:r>
      <w:r>
        <w:rPr>
          <w:rStyle w:val="NormalTok"/>
        </w:rPr>
        <w:t xml:space="preserve">BASE</w:t>
      </w:r>
      <w:r>
        <w:rPr>
          <w:rStyle w:val="OperatorTok"/>
        </w:rPr>
        <w:t xml:space="preserve">=</w:t>
      </w:r>
      <w:r>
        <w:rPr>
          <w:rStyle w:val="NormalTok"/>
        </w:rPr>
        <w:t xml:space="preserve">ROOT</w:t>
      </w:r>
      <w:r>
        <w:rPr>
          <w:rStyle w:val="OperatorTok"/>
        </w:rPr>
        <w:t xml:space="preserve">/</w:t>
      </w:r>
      <w:r>
        <w:rPr>
          <w:rStyle w:val="StringTok"/>
        </w:rPr>
        <w:t xml:space="preserve">'Berechnungen/gebaeudesektormodell'</w:t>
      </w:r>
      <w:r>
        <w:br/>
      </w:r>
      <w:r>
        <w:rPr>
          <w:rStyle w:val="NormalTok"/>
        </w:rPr>
        <w:t xml:space="preserve">sys.path.insert(</w:t>
      </w:r>
      <w:r>
        <w:rPr>
          <w:rStyle w:val="DecValTok"/>
        </w:rPr>
        <w:t xml:space="preserve">0</w:t>
      </w:r>
      <w:r>
        <w:rPr>
          <w:rStyle w:val="NormalTok"/>
        </w:rPr>
        <w:t xml:space="preserve">,</w:t>
      </w:r>
      <w:r>
        <w:rPr>
          <w:rStyle w:val="BuiltInTok"/>
        </w:rPr>
        <w:t xml:space="preserve">str</w:t>
      </w:r>
      <w:r>
        <w:rPr>
          <w:rStyle w:val="NormalTok"/>
        </w:rPr>
        <w:t xml:space="preserve">(BASE))</w:t>
      </w:r>
      <w:r>
        <w:br/>
      </w:r>
      <w:r>
        <w:rPr>
          <w:rStyle w:val="ImportTok"/>
        </w:rPr>
        <w:t xml:space="preserve">from</w:t>
      </w:r>
      <w:r>
        <w:rPr>
          <w:rStyle w:val="NormalTok"/>
        </w:rPr>
        <w:t xml:space="preserve"> utils </w:t>
      </w:r>
      <w:r>
        <w:rPr>
          <w:rStyle w:val="ImportTok"/>
        </w:rPr>
        <w:t xml:space="preserve">import</w:t>
      </w:r>
      <w:r>
        <w:rPr>
          <w:rStyle w:val="NormalTok"/>
        </w:rPr>
        <w:t xml:space="preserve"> read_source, sha256, markdown_table</w:t>
      </w:r>
      <w:r>
        <w:br/>
      </w:r>
      <w:r>
        <w:rPr>
          <w:rStyle w:val="NormalTok"/>
        </w:rPr>
        <w:t xml:space="preserve">OUT</w:t>
      </w:r>
      <w:r>
        <w:rPr>
          <w:rStyle w:val="OperatorTok"/>
        </w:rPr>
        <w:t xml:space="preserve">=</w:t>
      </w:r>
      <w:r>
        <w:rPr>
          <w:rStyle w:val="NormalTok"/>
        </w:rPr>
        <w:t xml:space="preserve">BASE</w:t>
      </w:r>
      <w:r>
        <w:rPr>
          <w:rStyle w:val="OperatorTok"/>
        </w:rPr>
        <w:t xml:space="preserve">/</w:t>
      </w:r>
      <w:r>
        <w:rPr>
          <w:rStyle w:val="StringTok"/>
        </w:rPr>
        <w:t xml:space="preserve">'outputs'</w:t>
      </w:r>
      <w:r>
        <w:rPr>
          <w:rStyle w:val="OperatorTok"/>
        </w:rPr>
        <w:t xml:space="preserve">;</w:t>
      </w:r>
      <w:r>
        <w:rPr>
          <w:rStyle w:val="NormalTok"/>
        </w:rPr>
        <w:t xml:space="preserve"> OUT.mkdir(exist_ok</w:t>
      </w:r>
      <w:r>
        <w:rPr>
          <w:rStyle w:val="OperatorTok"/>
        </w:rPr>
        <w:t xml:space="preserve">=</w:t>
      </w:r>
      <w:r>
        <w:rPr>
          <w:rStyle w:val="VariableTok"/>
        </w:rPr>
        <w:t xml:space="preserve">True</w:t>
      </w:r>
      <w:r>
        <w:rPr>
          <w:rStyle w:val="NormalTok"/>
        </w:rPr>
        <w:t xml:space="preserve">)</w:t>
      </w:r>
      <w:r>
        <w:br/>
      </w:r>
      <w:r>
        <w:rPr>
          <w:rStyle w:val="NormalTok"/>
        </w:rPr>
        <w:t xml:space="preserve">GEN</w:t>
      </w:r>
      <w:r>
        <w:rPr>
          <w:rStyle w:val="OperatorTok"/>
        </w:rPr>
        <w:t xml:space="preserve">=</w:t>
      </w:r>
      <w:r>
        <w:rPr>
          <w:rStyle w:val="NormalTok"/>
        </w:rPr>
        <w:t xml:space="preserve">ROOT</w:t>
      </w:r>
      <w:r>
        <w:rPr>
          <w:rStyle w:val="OperatorTok"/>
        </w:rPr>
        <w:t xml:space="preserve">/</w:t>
      </w:r>
      <w:r>
        <w:rPr>
          <w:rStyle w:val="StringTok"/>
        </w:rPr>
        <w:t xml:space="preserve">'Kapitel/_generated'</w:t>
      </w:r>
      <w:r>
        <w:rPr>
          <w:rStyle w:val="OperatorTok"/>
        </w:rPr>
        <w:t xml:space="preserve">;</w:t>
      </w:r>
      <w:r>
        <w:rPr>
          <w:rStyle w:val="NormalTok"/>
        </w:rPr>
        <w:t xml:space="preserve"> GEN.mkdir(exist_ok</w:t>
      </w:r>
      <w:r>
        <w:rPr>
          <w:rStyle w:val="OperatorTok"/>
        </w:rPr>
        <w:t xml:space="preserve">=</w:t>
      </w:r>
      <w:r>
        <w:rPr>
          <w:rStyle w:val="VariableTok"/>
        </w:rPr>
        <w:t xml:space="preserve">True</w:t>
      </w:r>
      <w:r>
        <w:rPr>
          <w:rStyle w:val="NormalTok"/>
        </w:rPr>
        <w:t xml:space="preserve">)</w:t>
      </w:r>
      <w:r>
        <w:br/>
      </w:r>
      <w:r>
        <w:rPr>
          <w:rStyle w:val="NormalTok"/>
        </w:rPr>
        <w:t xml:space="preserve">SOURCE</w:t>
      </w:r>
      <w:r>
        <w:rPr>
          <w:rStyle w:val="OperatorTok"/>
        </w:rPr>
        <w:t xml:space="preserve">=</w:t>
      </w:r>
      <w:r>
        <w:rPr>
          <w:rStyle w:val="NormalTok"/>
        </w:rPr>
        <w:t xml:space="preserve">BASE</w:t>
      </w:r>
      <w:r>
        <w:rPr>
          <w:rStyle w:val="OperatorTok"/>
        </w:rPr>
        <w:t xml:space="preserve">/</w:t>
      </w:r>
      <w:r>
        <w:rPr>
          <w:rStyle w:val="StringTok"/>
        </w:rPr>
        <w:t xml:space="preserve">'data/Building-Sector_Pool_1.xlsx'</w:t>
      </w:r>
      <w:r>
        <w:br/>
      </w:r>
      <w:r>
        <w:rPr>
          <w:rStyle w:val="NormalTok"/>
        </w:rPr>
        <w:t xml:space="preserve">INPUT</w:t>
      </w:r>
      <w:r>
        <w:rPr>
          <w:rStyle w:val="OperatorTok"/>
        </w:rPr>
        <w:t xml:space="preserve">=</w:t>
      </w:r>
      <w:r>
        <w:rPr>
          <w:rStyle w:val="NormalTok"/>
        </w:rPr>
        <w:t xml:space="preserve">BASE</w:t>
      </w:r>
      <w:r>
        <w:rPr>
          <w:rStyle w:val="OperatorTok"/>
        </w:rPr>
        <w:t xml:space="preserve">/</w:t>
      </w:r>
      <w:r>
        <w:rPr>
          <w:rStyle w:val="StringTok"/>
        </w:rPr>
        <w:t xml:space="preserve">'daten_gebauedesektor.xlsx'</w:t>
      </w:r>
      <w:r>
        <w:br/>
      </w:r>
      <w:r>
        <w:rPr>
          <w:rStyle w:val="NormalTok"/>
        </w:rPr>
        <w:t xml:space="preserve">source</w:t>
      </w:r>
      <w:r>
        <w:rPr>
          <w:rStyle w:val="OperatorTok"/>
        </w:rPr>
        <w:t xml:space="preserve">=</w:t>
      </w:r>
      <w:r>
        <w:rPr>
          <w:rStyle w:val="NormalTok"/>
        </w:rPr>
        <w:t xml:space="preserve">read_source(SOURCE)</w:t>
      </w:r>
      <w:r>
        <w:br/>
      </w:r>
      <w:r>
        <w:rPr>
          <w:rStyle w:val="NormalTok"/>
        </w:rPr>
        <w:t xml:space="preserve">inputs</w:t>
      </w:r>
      <w:r>
        <w:rPr>
          <w:rStyle w:val="OperatorTok"/>
        </w:rPr>
        <w:t xml:space="preserve">=</w:t>
      </w:r>
      <w:r>
        <w:rPr>
          <w:rStyle w:val="NormalTok"/>
        </w:rPr>
        <w:t xml:space="preserve">pd.read_excel(INPUT,sheet_name</w:t>
      </w:r>
      <w:r>
        <w:rPr>
          <w:rStyle w:val="OperatorTok"/>
        </w:rPr>
        <w:t xml:space="preserve">=</w:t>
      </w:r>
      <w:r>
        <w:rPr>
          <w:rStyle w:val="VariableTok"/>
        </w:rPr>
        <w:t xml:space="preserve">None</w:t>
      </w:r>
      <w:r>
        <w:rPr>
          <w:rStyle w:val="NormalTok"/>
        </w:rPr>
        <w:t xml:space="preserve">)</w:t>
      </w:r>
      <w:r>
        <w:br/>
      </w:r>
      <w:r>
        <w:rPr>
          <w:rStyle w:val="NormalTok"/>
        </w:rPr>
        <w:t xml:space="preserve">types</w:t>
      </w:r>
      <w:r>
        <w:rPr>
          <w:rStyle w:val="OperatorTok"/>
        </w:rPr>
        <w:t xml:space="preserve">=</w:t>
      </w:r>
      <w:r>
        <w:rPr>
          <w:rStyle w:val="NormalTok"/>
        </w:rPr>
        <w:t xml:space="preserve">inputs[</w:t>
      </w:r>
      <w:r>
        <w:rPr>
          <w:rStyle w:val="StringTok"/>
        </w:rPr>
        <w:t xml:space="preserve">'Typen'</w:t>
      </w:r>
      <w:r>
        <w:rPr>
          <w:rStyle w:val="NormalTok"/>
        </w:rPr>
        <w:t xml:space="preserve">].copy()</w:t>
      </w:r>
      <w:r>
        <w:br/>
      </w:r>
      <w:r>
        <w:rPr>
          <w:rStyle w:val="NormalTok"/>
        </w:rPr>
        <w:t xml:space="preserve">applications</w:t>
      </w:r>
      <w:r>
        <w:rPr>
          <w:rStyle w:val="OperatorTok"/>
        </w:rPr>
        <w:t xml:space="preserve">=</w:t>
      </w:r>
      <w:r>
        <w:rPr>
          <w:rStyle w:val="NormalTok"/>
        </w:rPr>
        <w:t xml:space="preserve">inputs[</w:t>
      </w:r>
      <w:r>
        <w:rPr>
          <w:rStyle w:val="StringTok"/>
        </w:rPr>
        <w:t xml:space="preserve">'Anwendungen'</w:t>
      </w:r>
      <w:r>
        <w:rPr>
          <w:rStyle w:val="NormalTok"/>
        </w:rPr>
        <w:t xml:space="preserve">].copy()</w:t>
      </w:r>
      <w:r>
        <w:br/>
      </w:r>
      <w:r>
        <w:rPr>
          <w:rStyle w:val="NormalTok"/>
        </w:rPr>
        <w:t xml:space="preserve">params</w:t>
      </w:r>
      <w:r>
        <w:rPr>
          <w:rStyle w:val="OperatorTok"/>
        </w:rPr>
        <w:t xml:space="preserve">=</w:t>
      </w:r>
      <w:r>
        <w:rPr>
          <w:rStyle w:val="NormalTok"/>
        </w:rPr>
        <w:t xml:space="preserve">inputs[</w:t>
      </w:r>
      <w:r>
        <w:rPr>
          <w:rStyle w:val="StringTok"/>
        </w:rPr>
        <w:t xml:space="preserve">'Parameter'</w:t>
      </w:r>
      <w:r>
        <w:rPr>
          <w:rStyle w:val="NormalTok"/>
        </w:rPr>
        <w:t xml:space="preserve">].set_index(</w:t>
      </w:r>
      <w:r>
        <w:rPr>
          <w:rStyle w:val="StringTok"/>
        </w:rPr>
        <w:t xml:space="preserve">'Parameter'</w:t>
      </w:r>
      <w:r>
        <w:rPr>
          <w:rStyle w:val="NormalTok"/>
        </w:rPr>
        <w:t xml:space="preserve">)[</w:t>
      </w:r>
      <w:r>
        <w:rPr>
          <w:rStyle w:val="StringTok"/>
        </w:rPr>
        <w:t xml:space="preserve">'Wert'</w:t>
      </w:r>
      <w:r>
        <w:rPr>
          <w:rStyle w:val="NormalTok"/>
        </w:rPr>
        <w:t xml:space="preserve">].to_dict()</w:t>
      </w:r>
      <w:r>
        <w:br/>
      </w:r>
      <w:r>
        <w:rPr>
          <w:rStyle w:val="NormalTok"/>
        </w:rPr>
        <w:t xml:space="preserve">r</w:t>
      </w:r>
      <w:r>
        <w:rPr>
          <w:rStyle w:val="OperatorTok"/>
        </w:rPr>
        <w:t xml:space="preserve">=</w:t>
      </w:r>
      <w:r>
        <w:rPr>
          <w:rStyle w:val="BuiltInTok"/>
        </w:rPr>
        <w:t xml:space="preserve">float</w:t>
      </w:r>
      <w:r>
        <w:rPr>
          <w:rStyle w:val="NormalTok"/>
        </w:rPr>
        <w:t xml:space="preserve">(params[</w:t>
      </w:r>
      <w:r>
        <w:rPr>
          <w:rStyle w:val="StringTok"/>
        </w:rPr>
        <w:t xml:space="preserve">'ngf_bgf'</w:t>
      </w:r>
      <w:r>
        <w:rPr>
          <w:rStyle w:val="NormalTok"/>
        </w:rPr>
        <w:t xml:space="preserve">])</w:t>
      </w:r>
      <w:r>
        <w:rPr>
          <w:rStyle w:val="OperatorTok"/>
        </w:rPr>
        <w:t xml:space="preserve">;</w:t>
      </w:r>
      <w:r>
        <w:rPr>
          <w:rStyle w:val="NormalTok"/>
        </w:rPr>
        <w:t xml:space="preserve"> </w:t>
      </w:r>
      <w:r>
        <w:rPr>
          <w:rStyle w:val="ControlFlowTok"/>
        </w:rPr>
        <w:t xml:space="preserve">assert</w:t>
      </w:r>
      <w:r>
        <w:rPr>
          <w:rStyle w:val="NormalTok"/>
        </w:rPr>
        <w:t xml:space="preserve"> </w:t>
      </w:r>
      <w:r>
        <w:rPr>
          <w:rStyle w:val="DecValTok"/>
        </w:rPr>
        <w:t xml:space="preserve">0</w:t>
      </w:r>
      <w:r>
        <w:rPr>
          <w:rStyle w:val="OperatorTok"/>
        </w:rPr>
        <w:t xml:space="preserve">&lt;</w:t>
      </w:r>
      <w:r>
        <w:rPr>
          <w:rStyle w:val="NormalTok"/>
        </w:rPr>
        <w:t xml:space="preserve">r</w:t>
      </w:r>
      <w:r>
        <w:rPr>
          <w:rStyle w:val="OperatorTok"/>
        </w:rPr>
        <w:t xml:space="preserve">&lt;=</w:t>
      </w:r>
      <w:r>
        <w:rPr>
          <w:rStyle w:val="DecValTok"/>
        </w:rPr>
        <w:t xml:space="preserve">1</w:t>
      </w:r>
      <w:r>
        <w:br/>
      </w:r>
      <w:r>
        <w:rPr>
          <w:rStyle w:val="NormalTok"/>
        </w:rPr>
        <w:t xml:space="preserve">plt.rcParams.update({</w:t>
      </w:r>
      <w:r>
        <w:rPr>
          <w:rStyle w:val="StringTok"/>
        </w:rPr>
        <w:t xml:space="preserve">'figure.dpi'</w:t>
      </w:r>
      <w:r>
        <w:rPr>
          <w:rStyle w:val="NormalTok"/>
        </w:rPr>
        <w:t xml:space="preserve">:</w:t>
      </w:r>
      <w:r>
        <w:rPr>
          <w:rStyle w:val="DecValTok"/>
        </w:rPr>
        <w:t xml:space="preserve">120</w:t>
      </w:r>
      <w:r>
        <w:rPr>
          <w:rStyle w:val="NormalTok"/>
        </w:rPr>
        <w:t xml:space="preserve">,</w:t>
      </w:r>
      <w:r>
        <w:rPr>
          <w:rStyle w:val="StringTok"/>
        </w:rPr>
        <w:t xml:space="preserve">'font.size'</w:t>
      </w:r>
      <w:r>
        <w:rPr>
          <w:rStyle w:val="NormalTok"/>
        </w:rPr>
        <w:t xml:space="preserve">:</w:t>
      </w:r>
      <w:r>
        <w:rPr>
          <w:rStyle w:val="DecValTok"/>
        </w:rPr>
        <w:t xml:space="preserve">10</w:t>
      </w:r>
      <w:r>
        <w:rPr>
          <w:rStyle w:val="NormalTok"/>
        </w:rPr>
        <w:t xml:space="preserve">,</w:t>
      </w:r>
      <w:r>
        <w:rPr>
          <w:rStyle w:val="StringTok"/>
        </w:rPr>
        <w:t xml:space="preserve">'axes.spines.top'</w:t>
      </w:r>
      <w:r>
        <w:rPr>
          <w:rStyle w:val="NormalTok"/>
        </w:rPr>
        <w:t xml:space="preserve">:</w:t>
      </w:r>
      <w:r>
        <w:rPr>
          <w:rStyle w:val="VariableTok"/>
        </w:rPr>
        <w:t xml:space="preserve">False</w:t>
      </w:r>
      <w:r>
        <w:rPr>
          <w:rStyle w:val="NormalTok"/>
        </w:rPr>
        <w:t xml:space="preserve">,</w:t>
      </w:r>
      <w:r>
        <w:rPr>
          <w:rStyle w:val="StringTok"/>
        </w:rPr>
        <w:t xml:space="preserve">'axes.spines.right'</w:t>
      </w:r>
      <w:r>
        <w:rPr>
          <w:rStyle w:val="NormalTok"/>
        </w:rPr>
        <w:t xml:space="preserve">:</w:t>
      </w:r>
      <w:r>
        <w:rPr>
          <w:rStyle w:val="VariableTok"/>
        </w:rPr>
        <w:t xml:space="preserve">False</w:t>
      </w:r>
      <w:r>
        <w:rPr>
          <w:rStyle w:val="NormalTok"/>
        </w:rPr>
        <w:t xml:space="preserve">})</w:t>
      </w:r>
      <w:r>
        <w:br/>
      </w:r>
      <w:r>
        <w:rPr>
          <w:rStyle w:val="NormalTok"/>
        </w:rPr>
        <w:t xml:space="preserve">pd.set_option(</w:t>
      </w:r>
      <w:r>
        <w:rPr>
          <w:rStyle w:val="StringTok"/>
        </w:rPr>
        <w:t xml:space="preserve">'display.max_columns'</w:t>
      </w:r>
      <w:r>
        <w:rPr>
          <w:rStyle w:val="NormalTok"/>
        </w:rPr>
        <w:t xml:space="preserve">,</w:t>
      </w:r>
      <w:r>
        <w:rPr>
          <w:rStyle w:val="DecValTok"/>
        </w:rPr>
        <w:t xml:space="preserve">12</w:t>
      </w:r>
      <w:r>
        <w:rPr>
          <w:rStyle w:val="NormalTok"/>
        </w:rPr>
        <w:t xml:space="preserve">)</w:t>
      </w:r>
      <w:r>
        <w:br/>
      </w:r>
      <w:r>
        <w:rPr>
          <w:rStyle w:val="NormalTok"/>
        </w:rPr>
        <w:t xml:space="preserve">provenance</w:t>
      </w:r>
      <w:r>
        <w:rPr>
          <w:rStyle w:val="OperatorTok"/>
        </w:rPr>
        <w:t xml:space="preserve">=</w:t>
      </w:r>
      <w:r>
        <w:rPr>
          <w:rStyle w:val="NormalTok"/>
        </w:rPr>
        <w:t xml:space="preserve">{</w:t>
      </w:r>
      <w:r>
        <w:rPr>
          <w:rStyle w:val="StringTok"/>
        </w:rPr>
        <w:t xml:space="preserve">'source_sha256'</w:t>
      </w:r>
      <w:r>
        <w:rPr>
          <w:rStyle w:val="NormalTok"/>
        </w:rPr>
        <w:t xml:space="preserve">:sha256(SOURCE),</w:t>
      </w:r>
      <w:r>
        <w:rPr>
          <w:rStyle w:val="StringTok"/>
        </w:rPr>
        <w:t xml:space="preserve">'input_sha256'</w:t>
      </w:r>
      <w:r>
        <w:rPr>
          <w:rStyle w:val="NormalTok"/>
        </w:rPr>
        <w:t xml:space="preserve">:sha256(INPUT),</w:t>
      </w:r>
      <w:r>
        <w:br/>
      </w:r>
      <w:r>
        <w:rPr>
          <w:rStyle w:val="NormalTok"/>
        </w:rPr>
        <w:t xml:space="preserve"> </w:t>
      </w:r>
      <w:r>
        <w:rPr>
          <w:rStyle w:val="StringTok"/>
        </w:rPr>
        <w:t xml:space="preserve">'gfz_sha256'</w:t>
      </w:r>
      <w:r>
        <w:rPr>
          <w:rStyle w:val="NormalTok"/>
        </w:rPr>
        <w:t xml:space="preserve">:sha256(ROOT</w:t>
      </w:r>
      <w:r>
        <w:rPr>
          <w:rStyle w:val="OperatorTok"/>
        </w:rPr>
        <w:t xml:space="preserve">/</w:t>
      </w:r>
      <w:r>
        <w:rPr>
          <w:rStyle w:val="StringTok"/>
        </w:rPr>
        <w:t xml:space="preserve">'Berechnungen/gfz_at/outputs/recalculated/gfz_distribution_by_province_use_storeys.csv'</w:t>
      </w:r>
      <w:r>
        <w:rPr>
          <w:rStyle w:val="NormalTok"/>
        </w:rPr>
        <w:t xml:space="preserve">)}</w:t>
      </w:r>
      <w:r>
        <w:br/>
      </w:r>
      <w:r>
        <w:rPr>
          <w:rStyle w:val="NormalTok"/>
        </w:rPr>
        <w:t xml:space="preserve">display(pd.DataFrame(</w:t>
      </w:r>
      <w:r>
        <w:rPr>
          <w:rStyle w:val="BuiltInTok"/>
        </w:rPr>
        <w:t xml:space="preserve">list</w:t>
      </w:r>
      <w:r>
        <w:rPr>
          <w:rStyle w:val="NormalTok"/>
        </w:rPr>
        <w:t xml:space="preserve">(provenance.items()),columns</w:t>
      </w:r>
      <w:r>
        <w:rPr>
          <w:rStyle w:val="OperatorTok"/>
        </w:rPr>
        <w:t xml:space="preserve">=</w:t>
      </w:r>
      <w:r>
        <w:rPr>
          <w:rStyle w:val="NormalTok"/>
        </w:rPr>
        <w:t xml:space="preserve">[</w:t>
      </w:r>
      <w:r>
        <w:rPr>
          <w:rStyle w:val="StringTok"/>
        </w:rPr>
        <w:t xml:space="preserve">'Datei'</w:t>
      </w:r>
      <w:r>
        <w:rPr>
          <w:rStyle w:val="NormalTok"/>
        </w:rPr>
        <w:t xml:space="preserve">,</w:t>
      </w:r>
      <w:r>
        <w:rPr>
          <w:rStyle w:val="StringTok"/>
        </w:rPr>
        <w:t xml:space="preserve">'SHA256'</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Datei</w:t>
            </w:r>
          </w:p>
        </w:tc>
        <w:tc>
          <w:tcPr/>
          <w:p>
            <w:pPr>
              <w:pStyle w:val="Compact"/>
            </w:pPr>
            <w:r>
              <w:t xml:space="preserve">SHA256</w:t>
            </w:r>
          </w:p>
        </w:tc>
      </w:tr>
      <w:tr>
        <w:tc>
          <w:tcPr/>
          <w:p>
            <w:pPr>
              <w:pStyle w:val="Compact"/>
            </w:pPr>
            <w:r>
              <w:t xml:space="preserve">0</w:t>
            </w:r>
          </w:p>
        </w:tc>
        <w:tc>
          <w:tcPr/>
          <w:p>
            <w:pPr>
              <w:pStyle w:val="Compact"/>
            </w:pPr>
            <w:r>
              <w:t xml:space="preserve">source_sha256</w:t>
            </w:r>
          </w:p>
        </w:tc>
        <w:tc>
          <w:tcPr/>
          <w:p>
            <w:pPr>
              <w:pStyle w:val="Compact"/>
            </w:pPr>
            <w:r>
              <w:t xml:space="preserve">b032c1bd7148b0bdac8541196a1eaa7fc58f538f87912e...</w:t>
            </w:r>
          </w:p>
        </w:tc>
      </w:tr>
      <w:tr>
        <w:tc>
          <w:tcPr/>
          <w:p>
            <w:pPr>
              <w:pStyle w:val="Compact"/>
            </w:pPr>
            <w:r>
              <w:t xml:space="preserve">1</w:t>
            </w:r>
          </w:p>
        </w:tc>
        <w:tc>
          <w:tcPr/>
          <w:p>
            <w:pPr>
              <w:pStyle w:val="Compact"/>
            </w:pPr>
            <w:r>
              <w:t xml:space="preserve">input_sha256</w:t>
            </w:r>
          </w:p>
        </w:tc>
        <w:tc>
          <w:tcPr/>
          <w:p>
            <w:pPr>
              <w:pStyle w:val="Compact"/>
            </w:pPr>
            <w:r>
              <w:t xml:space="preserve">cd09efbfbea7bc7e8cfd82b07146f72c6f3712d3a38162...</w:t>
            </w:r>
          </w:p>
        </w:tc>
      </w:tr>
      <w:tr>
        <w:tc>
          <w:tcPr/>
          <w:p>
            <w:pPr>
              <w:pStyle w:val="Compact"/>
            </w:pPr>
            <w:r>
              <w:t xml:space="preserve">2</w:t>
            </w:r>
          </w:p>
        </w:tc>
        <w:tc>
          <w:tcPr/>
          <w:p>
            <w:pPr>
              <w:pStyle w:val="Compact"/>
            </w:pPr>
            <w:r>
              <w:t xml:space="preserve">gfz_sha256</w:t>
            </w:r>
          </w:p>
        </w:tc>
        <w:tc>
          <w:tcPr/>
          <w:p>
            <w:pPr>
              <w:pStyle w:val="Compact"/>
            </w:pPr>
            <w:r>
              <w:t xml:space="preserve">b17c1f98b6104a5b8ed6da4fe436ebff14d2f7708cc204...</w:t>
            </w:r>
          </w:p>
        </w:tc>
      </w:tr>
    </w:tbl>
    <w:bookmarkEnd w:id="511"/>
    <w:bookmarkStart w:id="512" w:name="sec-gebaeude-datenpruefung"/>
    <w:p>
      <w:pPr>
        <w:pStyle w:val="Heading2"/>
      </w:pPr>
      <w:r>
        <w:t xml:space="preserve">E.2 2. Datenprüfung, Schlüssel und Typologisierung</w:t>
      </w:r>
    </w:p>
    <w:p>
      <w:pPr>
        <w:pStyle w:val="FirstParagraph"/>
      </w:pPr>
      <w:r>
        <w:t xml:space="preserve">Der Schlüssel zerfällt in</w:t>
      </w:r>
      <w:r>
        <w:t xml:space="preserve"> </w:t>
      </w:r>
      <w:r>
        <w:rPr>
          <w:b/>
          <w:bCs/>
        </w:rPr>
        <w:t xml:space="preserve">Geometrie | Baualter/Hüllstandard | Wärmeversorgung | PV | Flexibilität</w:t>
      </w:r>
      <w:r>
        <w:t xml:space="preserve">. Zehn geometrische Klassen sind nicht zehn energetische Klassen.</w:t>
      </w:r>
      <w:r>
        <w:t xml:space="preserve"> </w:t>
      </w:r>
      <w:r>
        <w:rPr>
          <w:rStyle w:val="VerbatimChar"/>
        </w:rPr>
        <w:t xml:space="preserve">Neu_10cm/20cm/30cm</w:t>
      </w:r>
      <w:r>
        <w:t xml:space="preserve"> </w:t>
      </w:r>
      <w:r>
        <w:t xml:space="preserve">ist ein Quellcode für den Hüllstandard, kein alleiniger Beleg für Neubau: die separaten Bestand-/Neubau-/Sanierungsanteile sind zu verwenden.</w:t>
      </w:r>
      <w:r>
        <w:t xml:space="preserve"> </w:t>
      </w:r>
      <w:r>
        <w:rPr>
          <w:rStyle w:val="VerbatimChar"/>
        </w:rPr>
        <w:t xml:space="preserve">Energetischer Standard</w:t>
      </w:r>
      <w:r>
        <w:t xml:space="preserve"> </w:t>
      </w:r>
      <w:r>
        <w:t xml:space="preserve">ist noch leer. Auch die Preset-Bezeichnung „Plus-Energie-Quartier“ ist keine geprüfte PEQ-Einstufung.</w:t>
      </w:r>
    </w:p>
    <w:p>
      <w:pPr>
        <w:pStyle w:val="BodyText"/>
      </w:pPr>
      <w:r>
        <w:t xml:space="preserve">Die gelieferte Auswertung enthält nur</w:t>
      </w:r>
      <w:r>
        <w:t xml:space="preserve"> </w:t>
      </w:r>
      <w:r>
        <w:rPr>
          <w:rStyle w:val="VerbatimChar"/>
        </w:rPr>
        <w:t xml:space="preserve">PV30</w:t>
      </w:r>
      <w:r>
        <w:t xml:space="preserve"> </w:t>
      </w:r>
      <w:r>
        <w:t xml:space="preserve">und</w:t>
      </w:r>
      <w:r>
        <w:t xml:space="preserve"> </w:t>
      </w:r>
      <w:r>
        <w:rPr>
          <w:rStyle w:val="VerbatimChar"/>
        </w:rPr>
        <w:t xml:space="preserve">noFlex</w:t>
      </w:r>
      <w:r>
        <w:t xml:space="preserve">. Weitere Varianten im 7.200-Zeilen-Pool erhalten nicht durch einen unscharfen Join dieselben Kennwerte. Es gilt ein</w:t>
      </w:r>
      <w:r>
        <w:t xml:space="preserve"> </w:t>
      </w:r>
      <w:r>
        <w:rPr>
          <w:b/>
          <w:bCs/>
        </w:rPr>
        <w:t xml:space="preserve">1:1-Join über den vollständigen Schlüssel</w:t>
      </w:r>
      <w:r>
        <w:t xml:space="preserve">.</w:t>
      </w:r>
      <w:r>
        <w:t xml:space="preserve"> </w:t>
      </w:r>
      <w:r>
        <w:rPr>
          <w:rStyle w:val="VerbatimChar"/>
        </w:rPr>
        <w:t xml:space="preserve">save</w:t>
      </w:r>
      <w:r>
        <w:t xml:space="preserve"> </w:t>
      </w:r>
      <w:r>
        <w:t xml:space="preserve">enthält zusätzliche Projekt-/Exportstände und ist keine zweite nationale Flächenquelle.</w:t>
      </w:r>
    </w:p>
    <w:p>
      <w:pPr>
        <w:pStyle w:val="SourceCode"/>
      </w:pPr>
      <w:r>
        <w:rPr>
          <w:rStyle w:val="ControlFlowTok"/>
        </w:rPr>
        <w:t xml:space="preserve">assert</w:t>
      </w:r>
      <w:r>
        <w:rPr>
          <w:rStyle w:val="NormalTok"/>
        </w:rPr>
        <w:t xml:space="preserve"> types.Archetype.notna().</w:t>
      </w:r>
      <w:r>
        <w:rPr>
          <w:rStyle w:val="BuiltInTok"/>
        </w:rPr>
        <w:t xml:space="preserve">all</w:t>
      </w:r>
      <w:r>
        <w:rPr>
          <w:rStyle w:val="NormalTok"/>
        </w:rPr>
        <w:t xml:space="preserve">() </w:t>
      </w:r>
      <w:r>
        <w:rPr>
          <w:rStyle w:val="KeywordTok"/>
        </w:rPr>
        <w:t xml:space="preserve">and</w:t>
      </w:r>
      <w:r>
        <w:rPr>
          <w:rStyle w:val="NormalTok"/>
        </w:rPr>
        <w:t xml:space="preserve"> types.Archetype.is_unique</w:t>
      </w:r>
      <w:r>
        <w:br/>
      </w:r>
      <w:r>
        <w:rPr>
          <w:rStyle w:val="ControlFlowTok"/>
        </w:rPr>
        <w:t xml:space="preserve">assert</w:t>
      </w:r>
      <w:r>
        <w:rPr>
          <w:rStyle w:val="NormalTok"/>
        </w:rPr>
        <w:t xml:space="preserve"> applications.Archetype.is_unique</w:t>
      </w:r>
      <w:r>
        <w:br/>
      </w:r>
      <w:r>
        <w:rPr>
          <w:rStyle w:val="NormalTok"/>
        </w:rPr>
        <w:t xml:space="preserve">parts</w:t>
      </w:r>
      <w:r>
        <w:rPr>
          <w:rStyle w:val="OperatorTok"/>
        </w:rPr>
        <w:t xml:space="preserve">=</w:t>
      </w:r>
      <w:r>
        <w:rPr>
          <w:rStyle w:val="NormalTok"/>
        </w:rPr>
        <w:t xml:space="preserve">types.Archetype.</w:t>
      </w:r>
      <w:r>
        <w:rPr>
          <w:rStyle w:val="BuiltInTok"/>
        </w:rPr>
        <w:t xml:space="preserve">str</w:t>
      </w:r>
      <w:r>
        <w:rPr>
          <w:rStyle w:val="NormalTok"/>
        </w:rPr>
        <w:t xml:space="preserve">.split(</w:t>
      </w:r>
      <w:r>
        <w:rPr>
          <w:rStyle w:val="StringTok"/>
        </w:rPr>
        <w:t xml:space="preserve">'|'</w:t>
      </w:r>
      <w:r>
        <w:rPr>
          <w:rStyle w:val="NormalTok"/>
        </w:rPr>
        <w:t xml:space="preserve">,expand</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parts.shape[</w:t>
      </w:r>
      <w:r>
        <w:rPr>
          <w:rStyle w:val="DecValTok"/>
        </w:rPr>
        <w:t xml:space="preserve">1</w:t>
      </w:r>
      <w:r>
        <w:rPr>
          <w:rStyle w:val="NormalTok"/>
        </w:rPr>
        <w:t xml:space="preserve">]</w:t>
      </w:r>
      <w:r>
        <w:rPr>
          <w:rStyle w:val="OperatorTok"/>
        </w:rPr>
        <w:t xml:space="preserve">==</w:t>
      </w:r>
      <w:r>
        <w:rPr>
          <w:rStyle w:val="DecValTok"/>
        </w:rPr>
        <w:t xml:space="preserve">5</w:t>
      </w:r>
      <w:r>
        <w:br/>
      </w:r>
      <w:r>
        <w:rPr>
          <w:rStyle w:val="NormalTok"/>
        </w:rPr>
        <w:t xml:space="preserve">parts.columns</w:t>
      </w:r>
      <w:r>
        <w:rPr>
          <w:rStyle w:val="OperatorTok"/>
        </w:rPr>
        <w:t xml:space="preserve">=</w:t>
      </w:r>
      <w:r>
        <w:rPr>
          <w:rStyle w:val="NormalTok"/>
        </w:rPr>
        <w:t xml:space="preserve">[</w:t>
      </w:r>
      <w:r>
        <w:rPr>
          <w:rStyle w:val="StringTok"/>
        </w:rPr>
        <w:t xml:space="preserve">'Geometrie'</w:t>
      </w:r>
      <w:r>
        <w:rPr>
          <w:rStyle w:val="NormalTok"/>
        </w:rPr>
        <w:t xml:space="preserve">,</w:t>
      </w:r>
      <w:r>
        <w:rPr>
          <w:rStyle w:val="StringTok"/>
        </w:rPr>
        <w:t xml:space="preserve">'Huelle'</w:t>
      </w:r>
      <w:r>
        <w:rPr>
          <w:rStyle w:val="NormalTok"/>
        </w:rPr>
        <w:t xml:space="preserve">,</w:t>
      </w:r>
      <w:r>
        <w:rPr>
          <w:rStyle w:val="StringTok"/>
        </w:rPr>
        <w:t xml:space="preserve">'Heizung'</w:t>
      </w:r>
      <w:r>
        <w:rPr>
          <w:rStyle w:val="NormalTok"/>
        </w:rPr>
        <w:t xml:space="preserve">,</w:t>
      </w:r>
      <w:r>
        <w:rPr>
          <w:rStyle w:val="StringTok"/>
        </w:rPr>
        <w:t xml:space="preserve">'PV_Klasse'</w:t>
      </w:r>
      <w:r>
        <w:rPr>
          <w:rStyle w:val="NormalTok"/>
        </w:rPr>
        <w:t xml:space="preserve">,</w:t>
      </w:r>
      <w:r>
        <w:rPr>
          <w:rStyle w:val="StringTok"/>
        </w:rPr>
        <w:t xml:space="preserve">'Flexibilitaet'</w:t>
      </w:r>
      <w:r>
        <w:rPr>
          <w:rStyle w:val="NormalTok"/>
        </w:rPr>
        <w:t xml:space="preserve">]</w:t>
      </w:r>
      <w:r>
        <w:br/>
      </w:r>
      <w:r>
        <w:rPr>
          <w:rStyle w:val="NormalTok"/>
        </w:rPr>
        <w:t xml:space="preserve">types</w:t>
      </w:r>
      <w:r>
        <w:rPr>
          <w:rStyle w:val="OperatorTok"/>
        </w:rPr>
        <w:t xml:space="preserve">=</w:t>
      </w:r>
      <w:r>
        <w:rPr>
          <w:rStyle w:val="NormalTok"/>
        </w:rPr>
        <w:t xml:space="preserve">pd.concat([types,parts],axis</w:t>
      </w:r>
      <w:r>
        <w:rPr>
          <w:rStyle w:val="OperatorTok"/>
        </w:rPr>
        <w:t xml:space="preserve">=</w:t>
      </w:r>
      <w:r>
        <w:rPr>
          <w:rStyle w:val="DecValTok"/>
        </w:rPr>
        <w:t xml:space="preserve">1</w:t>
      </w:r>
      <w:r>
        <w:rPr>
          <w:rStyle w:val="NormalTok"/>
        </w:rPr>
        <w:t xml:space="preserve">)</w:t>
      </w:r>
      <w:r>
        <w:br/>
      </w:r>
      <w:r>
        <w:rPr>
          <w:rStyle w:val="ControlFlowTok"/>
        </w:rPr>
        <w:t xml:space="preserve">assert</w:t>
      </w:r>
      <w:r>
        <w:rPr>
          <w:rStyle w:val="NormalTok"/>
        </w:rPr>
        <w:t xml:space="preserve"> </w:t>
      </w:r>
      <w:r>
        <w:rPr>
          <w:rStyle w:val="BuiltInTok"/>
        </w:rPr>
        <w:t xml:space="preserve">set</w:t>
      </w:r>
      <w:r>
        <w:rPr>
          <w:rStyle w:val="NormalTok"/>
        </w:rPr>
        <w:t xml:space="preserve">(types.Archetype)</w:t>
      </w:r>
      <w:r>
        <w:rPr>
          <w:rStyle w:val="OperatorTok"/>
        </w:rPr>
        <w:t xml:space="preserve">==</w:t>
      </w:r>
      <w:r>
        <w:rPr>
          <w:rStyle w:val="BuiltInTok"/>
        </w:rPr>
        <w:t xml:space="preserve">set</w:t>
      </w:r>
      <w:r>
        <w:rPr>
          <w:rStyle w:val="NormalTok"/>
        </w:rPr>
        <w:t xml:space="preserve">(source[</w:t>
      </w:r>
      <w:r>
        <w:rPr>
          <w:rStyle w:val="StringTok"/>
        </w:rPr>
        <w:t xml:space="preserve">'simulation'</w:t>
      </w:r>
      <w:r>
        <w:rPr>
          <w:rStyle w:val="NormalTok"/>
        </w:rPr>
        <w:t xml:space="preserve">].var_name)</w:t>
      </w:r>
      <w:r>
        <w:br/>
      </w:r>
      <w:r>
        <w:rPr>
          <w:rStyle w:val="ControlFlowTok"/>
        </w:rPr>
        <w:t xml:space="preserve">assert</w:t>
      </w:r>
      <w:r>
        <w:rPr>
          <w:rStyle w:val="NormalTok"/>
        </w:rPr>
        <w:t xml:space="preserve"> </w:t>
      </w:r>
      <w:r>
        <w:rPr>
          <w:rStyle w:val="BuiltInTok"/>
        </w:rPr>
        <w:t xml:space="preserve">set</w:t>
      </w:r>
      <w:r>
        <w:rPr>
          <w:rStyle w:val="NormalTok"/>
        </w:rPr>
        <w:t xml:space="preserve">(types.Archetype)</w:t>
      </w:r>
      <w:r>
        <w:rPr>
          <w:rStyle w:val="OperatorTok"/>
        </w:rPr>
        <w:t xml:space="preserve">&lt;=</w:t>
      </w:r>
      <w:r>
        <w:rPr>
          <w:rStyle w:val="BuiltInTok"/>
        </w:rPr>
        <w:t xml:space="preserve">set</w:t>
      </w:r>
      <w:r>
        <w:rPr>
          <w:rStyle w:val="NormalTok"/>
        </w:rPr>
        <w:t xml:space="preserve">(source[</w:t>
      </w:r>
      <w:r>
        <w:rPr>
          <w:rStyle w:val="StringTok"/>
        </w:rPr>
        <w:t xml:space="preserve">'reduced'</w:t>
      </w:r>
      <w:r>
        <w:rPr>
          <w:rStyle w:val="NormalTok"/>
        </w:rPr>
        <w:t xml:space="preserve">][</w:t>
      </w:r>
      <w:r>
        <w:rPr>
          <w:rStyle w:val="StringTok"/>
        </w:rPr>
        <w:t xml:space="preserve">'Scenario Name'</w:t>
      </w:r>
      <w:r>
        <w:rPr>
          <w:rStyle w:val="NormalTok"/>
        </w:rPr>
        <w:t xml:space="preserve">])</w:t>
      </w:r>
      <w:r>
        <w:br/>
      </w:r>
      <w:r>
        <w:rPr>
          <w:rStyle w:val="NormalTok"/>
        </w:rPr>
        <w:t xml:space="preserve">data</w:t>
      </w:r>
      <w:r>
        <w:rPr>
          <w:rStyle w:val="OperatorTok"/>
        </w:rPr>
        <w:t xml:space="preserve">=</w:t>
      </w:r>
      <w:r>
        <w:rPr>
          <w:rStyle w:val="NormalTok"/>
        </w:rPr>
        <w:t xml:space="preserve">types.merge(applications,on</w:t>
      </w:r>
      <w:r>
        <w:rPr>
          <w:rStyle w:val="OperatorTok"/>
        </w:rPr>
        <w:t xml:space="preserve">=</w:t>
      </w:r>
      <w:r>
        <w:rPr>
          <w:rStyle w:val="StringTok"/>
        </w:rPr>
        <w:t xml:space="preserve">'Archetype'</w:t>
      </w:r>
      <w:r>
        <w:rPr>
          <w:rStyle w:val="NormalTok"/>
        </w:rPr>
        <w:t xml:space="preserve">,validate</w:t>
      </w:r>
      <w:r>
        <w:rPr>
          <w:rStyle w:val="OperatorTok"/>
        </w:rPr>
        <w:t xml:space="preserve">=</w:t>
      </w:r>
      <w:r>
        <w:rPr>
          <w:rStyle w:val="StringTok"/>
        </w:rPr>
        <w:t xml:space="preserve">'one_to_one'</w:t>
      </w:r>
      <w:r>
        <w:rPr>
          <w:rStyle w:val="NormalTok"/>
        </w:rPr>
        <w:t xml:space="preserve">,indicator</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data[</w:t>
      </w:r>
      <w:r>
        <w:rPr>
          <w:rStyle w:val="StringTok"/>
        </w:rPr>
        <w:t xml:space="preserve">'_merge'</w:t>
      </w:r>
      <w:r>
        <w:rPr>
          <w:rStyle w:val="NormalTok"/>
        </w:rPr>
        <w:t xml:space="preserve">].eq(</w:t>
      </w:r>
      <w:r>
        <w:rPr>
          <w:rStyle w:val="StringTok"/>
        </w:rPr>
        <w:t xml:space="preserve">'both'</w:t>
      </w:r>
      <w:r>
        <w:rPr>
          <w:rStyle w:val="NormalTok"/>
        </w:rPr>
        <w:t xml:space="preserve">).</w:t>
      </w:r>
      <w:r>
        <w:rPr>
          <w:rStyle w:val="BuiltInTok"/>
        </w:rPr>
        <w:t xml:space="preserve">all</w:t>
      </w:r>
      <w:r>
        <w:rPr>
          <w:rStyle w:val="NormalTok"/>
        </w:rPr>
        <w:t xml:space="preserve">()</w:t>
      </w:r>
      <w:r>
        <w:rPr>
          <w:rStyle w:val="OperatorTok"/>
        </w:rPr>
        <w:t xml:space="preserve">;</w:t>
      </w:r>
      <w:r>
        <w:rPr>
          <w:rStyle w:val="NormalTok"/>
        </w:rPr>
        <w:t xml:space="preserve"> data</w:t>
      </w:r>
      <w:r>
        <w:rPr>
          <w:rStyle w:val="OperatorTok"/>
        </w:rPr>
        <w:t xml:space="preserve">=</w:t>
      </w:r>
      <w:r>
        <w:rPr>
          <w:rStyle w:val="NormalTok"/>
        </w:rPr>
        <w:t xml:space="preserve">data.drop(columns</w:t>
      </w:r>
      <w:r>
        <w:rPr>
          <w:rStyle w:val="OperatorTok"/>
        </w:rPr>
        <w:t xml:space="preserve">=</w:t>
      </w:r>
      <w:r>
        <w:rPr>
          <w:rStyle w:val="StringTok"/>
        </w:rPr>
        <w:t xml:space="preserve">'_merge'</w:t>
      </w:r>
      <w:r>
        <w:rPr>
          <w:rStyle w:val="NormalTok"/>
        </w:rPr>
        <w:t xml:space="preserve">)</w:t>
      </w:r>
      <w:r>
        <w:br/>
      </w:r>
      <w:r>
        <w:rPr>
          <w:rStyle w:val="NormalTok"/>
        </w:rPr>
        <w:t xml:space="preserve">numeric</w:t>
      </w:r>
      <w:r>
        <w:rPr>
          <w:rStyle w:val="OperatorTok"/>
        </w:rPr>
        <w:t xml:space="preserve">=</w:t>
      </w:r>
      <w:r>
        <w:rPr>
          <w:rStyle w:val="BuiltInTok"/>
        </w:rPr>
        <w:t xml:space="preserve">list</w:t>
      </w:r>
      <w:r>
        <w:rPr>
          <w:rStyle w:val="NormalTok"/>
        </w:rPr>
        <w:t xml:space="preserve">(source[</w:t>
      </w:r>
      <w:r>
        <w:rPr>
          <w:rStyle w:val="StringTok"/>
        </w:rPr>
        <w:t xml:space="preserve">'Strombed_estim'</w:t>
      </w:r>
      <w:r>
        <w:rPr>
          <w:rStyle w:val="NormalTok"/>
        </w:rPr>
        <w:t xml:space="preserve">].columns[</w:t>
      </w:r>
      <w:r>
        <w:rPr>
          <w:rStyle w:val="DecValTok"/>
        </w:rPr>
        <w:t xml:space="preserve">1</w:t>
      </w:r>
      <w:r>
        <w:rPr>
          <w:rStyle w:val="NormalTok"/>
        </w:rPr>
        <w:t xml:space="preserve">:</w:t>
      </w:r>
      <w:r>
        <w:rPr>
          <w:rStyle w:val="DecValTok"/>
        </w:rPr>
        <w:t xml:space="preserve">9</w:t>
      </w:r>
      <w:r>
        <w:rPr>
          <w:rStyle w:val="NormalTok"/>
        </w:rPr>
        <w:t xml:space="preserve">])</w:t>
      </w:r>
      <w:r>
        <w:rPr>
          <w:rStyle w:val="OperatorTok"/>
        </w:rPr>
        <w:t xml:space="preserve">+</w:t>
      </w:r>
      <w:r>
        <w:rPr>
          <w:rStyle w:val="BuiltInTok"/>
        </w:rPr>
        <w:t xml:space="preserve">list</w:t>
      </w:r>
      <w:r>
        <w:rPr>
          <w:rStyle w:val="NormalTok"/>
        </w:rPr>
        <w:t xml:space="preserve">(source[</w:t>
      </w:r>
      <w:r>
        <w:rPr>
          <w:rStyle w:val="StringTok"/>
        </w:rPr>
        <w:t xml:space="preserve">'Strombed_estim'</w:t>
      </w:r>
      <w:r>
        <w:rPr>
          <w:rStyle w:val="NormalTok"/>
        </w:rPr>
        <w:t xml:space="preserve">].columns[</w:t>
      </w:r>
      <w:r>
        <w:rPr>
          <w:rStyle w:val="DecValTok"/>
        </w:rPr>
        <w:t xml:space="preserve">9</w:t>
      </w:r>
      <w:r>
        <w:rPr>
          <w:rStyle w:val="NormalTok"/>
        </w:rPr>
        <w:t xml:space="preserve">:])</w:t>
      </w:r>
      <w:r>
        <w:rPr>
          <w:rStyle w:val="OperatorTok"/>
        </w:rPr>
        <w:t xml:space="preserve">+</w:t>
      </w:r>
      <w:r>
        <w:rPr>
          <w:rStyle w:val="BuiltInTok"/>
        </w:rPr>
        <w:t xml:space="preserve">list</w:t>
      </w:r>
      <w:r>
        <w:rPr>
          <w:rStyle w:val="NormalTok"/>
        </w:rPr>
        <w:t xml:space="preserve">(applications.columns[</w:t>
      </w:r>
      <w:r>
        <w:rPr>
          <w:rStyle w:val="DecValTok"/>
        </w:rPr>
        <w:t xml:space="preserve">1</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numeric:</w:t>
      </w:r>
      <w:r>
        <w:br/>
      </w:r>
      <w:r>
        <w:rPr>
          <w:rStyle w:val="NormalTok"/>
        </w:rPr>
        <w:t xml:space="preserve">    original</w:t>
      </w:r>
      <w:r>
        <w:rPr>
          <w:rStyle w:val="OperatorTok"/>
        </w:rPr>
        <w:t xml:space="preserve">=</w:t>
      </w:r>
      <w:r>
        <w:rPr>
          <w:rStyle w:val="NormalTok"/>
        </w:rPr>
        <w:t xml:space="preserve">data[c]</w:t>
      </w:r>
      <w:r>
        <w:rPr>
          <w:rStyle w:val="OperatorTok"/>
        </w:rPr>
        <w:t xml:space="preserve">;</w:t>
      </w:r>
      <w:r>
        <w:rPr>
          <w:rStyle w:val="NormalTok"/>
        </w:rPr>
        <w:t xml:space="preserve"> data[c]</w:t>
      </w:r>
      <w:r>
        <w:rPr>
          <w:rStyle w:val="OperatorTok"/>
        </w:rPr>
        <w:t xml:space="preserve">=</w:t>
      </w:r>
      <w:r>
        <w:rPr>
          <w:rStyle w:val="NormalTok"/>
        </w:rPr>
        <w:t xml:space="preserve">pd.to_numeric(original,errors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assert</w:t>
      </w:r>
      <w:r>
        <w:rPr>
          <w:rStyle w:val="NormalTok"/>
        </w:rPr>
        <w:t xml:space="preserve"> (original.isna() </w:t>
      </w:r>
      <w:r>
        <w:rPr>
          <w:rStyle w:val="OperatorTok"/>
        </w:rPr>
        <w:t xml:space="preserve">|</w:t>
      </w:r>
      <w:r>
        <w:rPr>
          <w:rStyle w:val="NormalTok"/>
        </w:rPr>
        <w:t xml:space="preserve"> data[c].notna()).</w:t>
      </w:r>
      <w:r>
        <w:rPr>
          <w:rStyle w:val="BuiltInTok"/>
        </w:rPr>
        <w:t xml:space="preserve">all</w:t>
      </w:r>
      <w:r>
        <w:rPr>
          <w:rStyle w:val="NormalTok"/>
        </w:rPr>
        <w:t xml:space="preserve">(), </w:t>
      </w:r>
      <w:r>
        <w:rPr>
          <w:rStyle w:val="SpecialStringTok"/>
        </w:rPr>
        <w:t xml:space="preserve">f'Nichtnumerischer Wert: </w:t>
      </w:r>
      <w:r>
        <w:rPr>
          <w:rStyle w:val="SpecialCharTok"/>
        </w:rPr>
        <w:t xml:space="preserve">{</w:t>
      </w:r>
      <w:r>
        <w:rPr>
          <w:rStyle w:val="NormalTok"/>
        </w:rPr>
        <w:t xml:space="preserve">c</w:t>
      </w:r>
      <w:r>
        <w:rPr>
          <w:rStyle w:val="SpecialCharTok"/>
        </w:rPr>
        <w:t xml:space="preserve">}</w:t>
      </w:r>
      <w:r>
        <w:rPr>
          <w:rStyle w:val="SpecialStringTok"/>
        </w:rPr>
        <w:t xml:space="preserve">'</w:t>
      </w:r>
      <w:r>
        <w:br/>
      </w:r>
      <w:r>
        <w:rPr>
          <w:rStyle w:val="NormalTok"/>
        </w:rPr>
        <w:t xml:space="preserve">baseline</w:t>
      </w:r>
      <w:r>
        <w:rPr>
          <w:rStyle w:val="OperatorTok"/>
        </w:rPr>
        <w:t xml:space="preserve">=</w:t>
      </w:r>
      <w:r>
        <w:rPr>
          <w:rStyle w:val="NormalTok"/>
        </w:rPr>
        <w:t xml:space="preserve">source[</w:t>
      </w:r>
      <w:r>
        <w:rPr>
          <w:rStyle w:val="StringTok"/>
        </w:rPr>
        <w:t xml:space="preserve">'Strombed_estim'</w:t>
      </w:r>
      <w:r>
        <w:rPr>
          <w:rStyle w:val="NormalTok"/>
        </w:rPr>
        <w:t xml:space="preserve">].set_index(</w:t>
      </w:r>
      <w:r>
        <w:rPr>
          <w:rStyle w:val="StringTok"/>
        </w:rPr>
        <w:t xml:space="preserve">'Archetype'</w:t>
      </w:r>
      <w:r>
        <w:rPr>
          <w:rStyle w:val="NormalTok"/>
        </w:rPr>
        <w:t xml:space="preserve">)</w:t>
      </w:r>
      <w:r>
        <w:br/>
      </w:r>
      <w:r>
        <w:rPr>
          <w:rStyle w:val="NormalTok"/>
        </w:rPr>
        <w:t xml:space="preserve">cache</w:t>
      </w:r>
      <w:r>
        <w:rPr>
          <w:rStyle w:val="OperatorTok"/>
        </w:rPr>
        <w:t xml:space="preserve">=</w:t>
      </w:r>
      <w:r>
        <w:rPr>
          <w:rStyle w:val="NormalTok"/>
        </w:rPr>
        <w:t xml:space="preserve">source[</w:t>
      </w:r>
      <w:r>
        <w:rPr>
          <w:rStyle w:val="StringTok"/>
        </w:rPr>
        <w:t xml:space="preserve">'simulation'</w:t>
      </w:r>
      <w:r>
        <w:rPr>
          <w:rStyle w:val="NormalTok"/>
        </w:rPr>
        <w:t xml:space="preserve">].set_index(</w:t>
      </w:r>
      <w:r>
        <w:rPr>
          <w:rStyle w:val="StringTok"/>
        </w:rPr>
        <w:t xml:space="preserve">'var_name'</w:t>
      </w:r>
      <w:r>
        <w:rPr>
          <w:rStyle w:val="NormalTok"/>
        </w:rPr>
        <w:t xml:space="preserve">)</w:t>
      </w:r>
      <w:r>
        <w:br/>
      </w:r>
      <w:r>
        <w:rPr>
          <w:rStyle w:val="NormalTok"/>
        </w:rPr>
        <w:t xml:space="preserve">cache_checks</w:t>
      </w:r>
      <w:r>
        <w:rPr>
          <w:rStyle w:val="OperatorTok"/>
        </w:rPr>
        <w:t xml:space="preserve">=</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baseline.columns[</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StringTok"/>
        </w:rPr>
        <w:t xml:space="preserve">'Energetischer Standard'</w:t>
      </w:r>
      <w:r>
        <w:rPr>
          <w:rStyle w:val="NormalTok"/>
        </w:rPr>
        <w:t xml:space="preserve">: </w:t>
      </w:r>
      <w:r>
        <w:rPr>
          <w:rStyle w:val="ControlFlowTok"/>
        </w:rPr>
        <w:t xml:space="preserve">continue</w:t>
      </w:r>
      <w:r>
        <w:br/>
      </w:r>
      <w:r>
        <w:rPr>
          <w:rStyle w:val="NormalTok"/>
        </w:rPr>
        <w:t xml:space="preserve">    diff</w:t>
      </w:r>
      <w:r>
        <w:rPr>
          <w:rStyle w:val="OperatorTok"/>
        </w:rPr>
        <w:t xml:space="preserve">=</w:t>
      </w:r>
      <w:r>
        <w:rPr>
          <w:rStyle w:val="NormalTok"/>
        </w:rPr>
        <w:t xml:space="preserve">(baseline[c]</w:t>
      </w:r>
      <w:r>
        <w:rPr>
          <w:rStyle w:val="OperatorTok"/>
        </w:rPr>
        <w:t xml:space="preserve">-</w:t>
      </w:r>
      <w:r>
        <w:rPr>
          <w:rStyle w:val="NormalTok"/>
        </w:rPr>
        <w:t xml:space="preserve">cache.loc[baseline.index,c]).</w:t>
      </w:r>
      <w:r>
        <w:rPr>
          <w:rStyle w:val="BuiltInTok"/>
        </w:rPr>
        <w:t xml:space="preserve">abs</w:t>
      </w:r>
      <w:r>
        <w:rPr>
          <w:rStyle w:val="NormalTok"/>
        </w:rPr>
        <w:t xml:space="preserve">().</w:t>
      </w:r>
      <w:r>
        <w:rPr>
          <w:rStyle w:val="BuiltInTok"/>
        </w:rPr>
        <w:t xml:space="preserve">max</w:t>
      </w:r>
      <w:r>
        <w:rPr>
          <w:rStyle w:val="NormalTok"/>
        </w:rPr>
        <w:t xml:space="preserve">()</w:t>
      </w:r>
      <w:r>
        <w:br/>
      </w:r>
      <w:r>
        <w:rPr>
          <w:rStyle w:val="NormalTok"/>
        </w:rPr>
        <w:t xml:space="preserve">    cache_checks.append({</w:t>
      </w:r>
      <w:r>
        <w:rPr>
          <w:rStyle w:val="StringTok"/>
        </w:rPr>
        <w:t xml:space="preserve">'Kennwert'</w:t>
      </w:r>
      <w:r>
        <w:rPr>
          <w:rStyle w:val="NormalTok"/>
        </w:rPr>
        <w:t xml:space="preserve">:c,</w:t>
      </w:r>
      <w:r>
        <w:rPr>
          <w:rStyle w:val="StringTok"/>
        </w:rPr>
        <w:t xml:space="preserve">'Max. Cache-Abweichung'</w:t>
      </w:r>
      <w:r>
        <w:rPr>
          <w:rStyle w:val="NormalTok"/>
        </w:rPr>
        <w:t xml:space="preserve">:diff})</w:t>
      </w:r>
      <w:r>
        <w:br/>
      </w:r>
      <w:r>
        <w:rPr>
          <w:rStyle w:val="NormalTok"/>
        </w:rPr>
        <w:t xml:space="preserve">    </w:t>
      </w:r>
      <w:r>
        <w:rPr>
          <w:rStyle w:val="ControlFlowTok"/>
        </w:rPr>
        <w:t xml:space="preserve">assert</w:t>
      </w:r>
      <w:r>
        <w:rPr>
          <w:rStyle w:val="NormalTok"/>
        </w:rPr>
        <w:t xml:space="preserve"> diff</w:t>
      </w:r>
      <w:r>
        <w:rPr>
          <w:rStyle w:val="OperatorTok"/>
        </w:rPr>
        <w:t xml:space="preserve">&lt;</w:t>
      </w:r>
      <w:r>
        <w:rPr>
          <w:rStyle w:val="FloatTok"/>
        </w:rPr>
        <w:t xml:space="preserve">1e-8</w:t>
      </w:r>
      <w:r>
        <w:br/>
      </w:r>
      <w:r>
        <w:rPr>
          <w:rStyle w:val="NormalTok"/>
        </w:rPr>
        <w:t xml:space="preserve">display(pd.DataFrame(cache_checks))</w:t>
      </w:r>
      <w:r>
        <w:br/>
      </w:r>
      <w:r>
        <w:rPr>
          <w:rStyle w:val="NormalTok"/>
        </w:rPr>
        <w:t xml:space="preserve">coverage</w:t>
      </w:r>
      <w:r>
        <w:rPr>
          <w:rStyle w:val="OperatorTok"/>
        </w:rPr>
        <w:t xml:space="preserve">=</w:t>
      </w:r>
      <w:r>
        <w:rPr>
          <w:rStyle w:val="NormalTok"/>
        </w:rPr>
        <w:t xml:space="preserve">pd.DataFrame([{</w:t>
      </w:r>
      <w:r>
        <w:rPr>
          <w:rStyle w:val="StringTok"/>
        </w:rPr>
        <w:t xml:space="preserve">'Blatt'</w:t>
      </w:r>
      <w:r>
        <w:rPr>
          <w:rStyle w:val="NormalTok"/>
        </w:rPr>
        <w:t xml:space="preserve">:k,</w:t>
      </w:r>
      <w:r>
        <w:rPr>
          <w:rStyle w:val="StringTok"/>
        </w:rPr>
        <w:t xml:space="preserve">'Zeilen'</w:t>
      </w:r>
      <w:r>
        <w:rPr>
          <w:rStyle w:val="NormalTok"/>
        </w:rPr>
        <w:t xml:space="preserve">:</w:t>
      </w:r>
      <w:r>
        <w:rPr>
          <w:rStyle w:val="BuiltInTok"/>
        </w:rPr>
        <w:t xml:space="preserve">len</w:t>
      </w:r>
      <w:r>
        <w:rPr>
          <w:rStyle w:val="NormalTok"/>
        </w:rPr>
        <w:t xml:space="preserve">(v),</w:t>
      </w:r>
      <w:r>
        <w:rPr>
          <w:rStyle w:val="StringTok"/>
        </w:rPr>
        <w:t xml:space="preserve">'Eindeutige Schlüssel'</w:t>
      </w:r>
      <w:r>
        <w:rPr>
          <w:rStyle w:val="NormalTok"/>
        </w:rPr>
        <w:t xml:space="preserve">:v.iloc[:,</w:t>
      </w:r>
      <w:r>
        <w:rPr>
          <w:rStyle w:val="DecValTok"/>
        </w:rPr>
        <w:t xml:space="preserve">0</w:t>
      </w:r>
      <w:r>
        <w:rPr>
          <w:rStyle w:val="NormalTok"/>
        </w:rPr>
        <w:t xml:space="preserve">].nunique()} </w:t>
      </w:r>
      <w:r>
        <w:rPr>
          <w:rStyle w:val="ControlFlowTok"/>
        </w:rPr>
        <w:t xml:space="preserve">for</w:t>
      </w:r>
      <w:r>
        <w:rPr>
          <w:rStyle w:val="NormalTok"/>
        </w:rPr>
        <w:t xml:space="preserve"> k,v </w:t>
      </w:r>
      <w:r>
        <w:rPr>
          <w:rStyle w:val="KeywordTok"/>
        </w:rPr>
        <w:t xml:space="preserve">in</w:t>
      </w:r>
      <w:r>
        <w:rPr>
          <w:rStyle w:val="NormalTok"/>
        </w:rPr>
        <w:t xml:space="preserve"> source.items()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'dictionary'</w:t>
      </w:r>
      <w:r>
        <w:rPr>
          <w:rStyle w:val="NormalTok"/>
        </w:rPr>
        <w:t xml:space="preserve">,</w:t>
      </w:r>
      <w:r>
        <w:rPr>
          <w:rStyle w:val="StringTok"/>
        </w:rPr>
        <w:t xml:space="preserve">'zuordnung_gfz'</w:t>
      </w:r>
      <w:r>
        <w:rPr>
          <w:rStyle w:val="NormalTok"/>
        </w:rPr>
        <w:t xml:space="preserve">]])</w:t>
      </w:r>
      <w:r>
        <w:br/>
      </w:r>
      <w:r>
        <w:rPr>
          <w:rStyle w:val="NormalTok"/>
        </w:rPr>
        <w:t xml:space="preserve">display(coverage)</w:t>
      </w:r>
      <w:r>
        <w:br/>
      </w:r>
      <w:r>
        <w:rPr>
          <w:rStyle w:val="NormalTok"/>
        </w:rPr>
        <w:t xml:space="preserve">dimensions</w:t>
      </w:r>
      <w:r>
        <w:rPr>
          <w:rStyle w:val="OperatorTok"/>
        </w:rPr>
        <w:t xml:space="preserve">=</w:t>
      </w:r>
      <w:r>
        <w:rPr>
          <w:rStyle w:val="NormalTok"/>
        </w:rPr>
        <w:t xml:space="preserve">pd.DataFrame([{</w:t>
      </w:r>
      <w:r>
        <w:rPr>
          <w:rStyle w:val="StringTok"/>
        </w:rPr>
        <w:t xml:space="preserve">'Dimension'</w:t>
      </w:r>
      <w:r>
        <w:rPr>
          <w:rStyle w:val="NormalTok"/>
        </w:rPr>
        <w:t xml:space="preserve">:c,</w:t>
      </w:r>
      <w:r>
        <w:rPr>
          <w:rStyle w:val="StringTok"/>
        </w:rPr>
        <w:t xml:space="preserve">'Klassen'</w:t>
      </w:r>
      <w:r>
        <w:rPr>
          <w:rStyle w:val="NormalTok"/>
        </w:rPr>
        <w:t xml:space="preserve">:data[c].nunique(),</w:t>
      </w:r>
      <w:r>
        <w:rPr>
          <w:rStyle w:val="StringTok"/>
        </w:rPr>
        <w:t xml:space="preserve">'Werte'</w:t>
      </w:r>
      <w:r>
        <w:rPr>
          <w:rStyle w:val="NormalTok"/>
        </w:rPr>
        <w:t xml:space="preserve">:</w:t>
      </w:r>
      <w:r>
        <w:rPr>
          <w:rStyle w:val="StringTok"/>
        </w:rPr>
        <w:t xml:space="preserve">', '</w:t>
      </w:r>
      <w:r>
        <w:rPr>
          <w:rStyle w:val="NormalTok"/>
        </w:rPr>
        <w:t xml:space="preserve">.join(</w:t>
      </w:r>
      <w:r>
        <w:rPr>
          <w:rStyle w:val="BuiltInTok"/>
        </w:rPr>
        <w:t xml:space="preserve">sorted</w:t>
      </w:r>
      <w:r>
        <w:rPr>
          <w:rStyle w:val="NormalTok"/>
        </w:rPr>
        <w:t xml:space="preserve">(data[c].unique()))} </w:t>
      </w:r>
      <w:r>
        <w:rPr>
          <w:rStyle w:val="ControlFlowTok"/>
        </w:rPr>
        <w:t xml:space="preserve">for</w:t>
      </w:r>
      <w:r>
        <w:rPr>
          <w:rStyle w:val="NormalTok"/>
        </w:rPr>
        <w:t xml:space="preserve"> c </w:t>
      </w:r>
      <w:r>
        <w:rPr>
          <w:rStyle w:val="KeywordTok"/>
        </w:rPr>
        <w:t xml:space="preserve">in</w:t>
      </w:r>
      <w:r>
        <w:rPr>
          <w:rStyle w:val="NormalTok"/>
        </w:rPr>
        <w:t xml:space="preserve"> parts.columns])</w:t>
      </w:r>
      <w:r>
        <w:br/>
      </w:r>
      <w:r>
        <w:rPr>
          <w:rStyle w:val="NormalTok"/>
        </w:rPr>
        <w:t xml:space="preserve">display(dimensions)</w:t>
      </w:r>
      <w:r>
        <w:br/>
      </w:r>
      <w:r>
        <w:rPr>
          <w:rStyle w:val="NormalTok"/>
        </w:rPr>
        <w:t xml:space="preserve">geometries</w:t>
      </w:r>
      <w:r>
        <w:rPr>
          <w:rStyle w:val="OperatorTok"/>
        </w:rPr>
        <w:t xml:space="preserve">=</w:t>
      </w:r>
      <w:r>
        <w:rPr>
          <w:rStyle w:val="NormalTok"/>
        </w:rPr>
        <w:t xml:space="preserve">data.groupby(</w:t>
      </w:r>
      <w:r>
        <w:rPr>
          <w:rStyle w:val="StringTok"/>
        </w:rPr>
        <w:t xml:space="preserve">'Geometrie'</w:t>
      </w:r>
      <w:r>
        <w:rPr>
          <w:rStyle w:val="NormalTok"/>
        </w:rPr>
        <w:t xml:space="preserve">).agg(Typen</w:t>
      </w:r>
      <w:r>
        <w:rPr>
          <w:rStyle w:val="OperatorTok"/>
        </w:rPr>
        <w:t xml:space="preserve">=</w:t>
      </w:r>
      <w:r>
        <w:rPr>
          <w:rStyle w:val="NormalTok"/>
        </w:rPr>
        <w:t xml:space="preserve">(</w:t>
      </w:r>
      <w:r>
        <w:rPr>
          <w:rStyle w:val="StringTok"/>
        </w:rPr>
        <w:t xml:space="preserve">'Archetype'</w:t>
      </w:r>
      <w:r>
        <w:rPr>
          <w:rStyle w:val="NormalTok"/>
        </w:rPr>
        <w:t xml:space="preserve">,</w:t>
      </w:r>
      <w:r>
        <w:rPr>
          <w:rStyle w:val="StringTok"/>
        </w:rPr>
        <w:t xml:space="preserve">'size'</w:t>
      </w:r>
      <w:r>
        <w:rPr>
          <w:rStyle w:val="NormalTok"/>
        </w:rPr>
        <w:t xml:space="preserve">),Positiv_2040</w:t>
      </w:r>
      <w:r>
        <w:rPr>
          <w:rStyle w:val="OperatorTok"/>
        </w:rPr>
        <w:t xml:space="preserve">=</w:t>
      </w:r>
      <w:r>
        <w:rPr>
          <w:rStyle w:val="NormalTok"/>
        </w:rPr>
        <w:t xml:space="preserve">(</w:t>
      </w:r>
      <w:r>
        <w:rPr>
          <w:rStyle w:val="StringTok"/>
        </w:rPr>
        <w:t xml:space="preserve">'Nationale BGF 2040'</w:t>
      </w:r>
      <w:r>
        <w:rPr>
          <w:rStyle w:val="NormalTok"/>
        </w:rPr>
        <w:t xml:space="preserve">,</w:t>
      </w:r>
      <w:r>
        <w:rPr>
          <w:rStyle w:val="KeywordTok"/>
        </w:rPr>
        <w:t xml:space="preserve">lambda</w:t>
      </w:r>
      <w:r>
        <w:rPr>
          <w:rStyle w:val="NormalTok"/>
        </w:rPr>
        <w:t xml:space="preserve"> s:s.gt(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display(geometries)</w:t>
      </w:r>
      <w:r>
        <w:br/>
      </w:r>
      <w:r>
        <w:rPr>
          <w:rStyle w:val="NormalTok"/>
        </w:rPr>
        <w:t xml:space="preserve">data[[</w:t>
      </w:r>
      <w:r>
        <w:rPr>
          <w:rStyle w:val="StringTok"/>
        </w:rPr>
        <w:t xml:space="preserve">'Archetype'</w:t>
      </w:r>
      <w:r>
        <w:rPr>
          <w:rStyle w:val="NormalTok"/>
        </w:rPr>
        <w:t xml:space="preserve">,</w:t>
      </w:r>
      <w:r>
        <w:rPr>
          <w:rStyle w:val="OperatorTok"/>
        </w:rPr>
        <w:t xml:space="preserve">*</w:t>
      </w:r>
      <w:r>
        <w:rPr>
          <w:rStyle w:val="NormalTok"/>
        </w:rPr>
        <w:t xml:space="preserve">parts.columns,</w:t>
      </w:r>
      <w:r>
        <w:rPr>
          <w:rStyle w:val="StringTok"/>
        </w:rPr>
        <w:t xml:space="preserve">'Energetischer Standard'</w:t>
      </w:r>
      <w:r>
        <w:rPr>
          <w:rStyle w:val="NormalTok"/>
        </w:rPr>
        <w:t xml:space="preserve">,</w:t>
      </w:r>
      <w:r>
        <w:rPr>
          <w:rStyle w:val="StringTok"/>
        </w:rPr>
        <w:t xml:space="preserve">'Bestand'</w:t>
      </w:r>
      <w:r>
        <w:rPr>
          <w:rStyle w:val="NormalTok"/>
        </w:rPr>
        <w:t xml:space="preserve">,</w:t>
      </w:r>
      <w:r>
        <w:rPr>
          <w:rStyle w:val="StringTok"/>
        </w:rPr>
        <w:t xml:space="preserve">'Neubau'</w:t>
      </w:r>
      <w:r>
        <w:rPr>
          <w:rStyle w:val="NormalTok"/>
        </w:rPr>
        <w:t xml:space="preserve">,</w:t>
      </w:r>
      <w:r>
        <w:rPr>
          <w:rStyle w:val="StringTok"/>
        </w:rPr>
        <w:t xml:space="preserve">'Sanierung'</w:t>
      </w:r>
      <w:r>
        <w:rPr>
          <w:rStyle w:val="NormalTok"/>
        </w:rPr>
        <w:t xml:space="preserve">,</w:t>
      </w:r>
      <w:r>
        <w:rPr>
          <w:rStyle w:val="StringTok"/>
        </w:rPr>
        <w:t xml:space="preserve">'Nationale BGF heute'</w:t>
      </w:r>
      <w:r>
        <w:rPr>
          <w:rStyle w:val="NormalTok"/>
        </w:rPr>
        <w:t xml:space="preserve">,</w:t>
      </w:r>
      <w:r>
        <w:rPr>
          <w:rStyle w:val="StringTok"/>
        </w:rPr>
        <w:t xml:space="preserve">'Nationale BGF 2040'</w:t>
      </w:r>
      <w:r>
        <w:rPr>
          <w:rStyle w:val="NormalTok"/>
        </w:rPr>
        <w:t xml:space="preserve">]].to_csv(OUT</w:t>
      </w:r>
      <w:r>
        <w:rPr>
          <w:rStyle w:val="OperatorTok"/>
        </w:rPr>
        <w:t xml:space="preserve">/</w:t>
      </w:r>
      <w:r>
        <w:rPr>
          <w:rStyle w:val="StringTok"/>
        </w:rPr>
        <w:t xml:space="preserve">'typologien.csv'</w:t>
      </w:r>
      <w:r>
        <w:rPr>
          <w:rStyle w:val="NormalTok"/>
        </w:rPr>
        <w:t xml:space="preserve">,index</w:t>
      </w:r>
      <w:r>
        <w:rPr>
          <w:rStyle w:val="OperatorTok"/>
        </w:rPr>
        <w:t xml:space="preserve">=</w:t>
      </w:r>
      <w:r>
        <w:rPr>
          <w:rStyle w:val="VariableTok"/>
        </w:rPr>
        <w:t xml:space="preserve">False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Kennwert</w:t>
            </w:r>
          </w:p>
        </w:tc>
        <w:tc>
          <w:tcPr/>
          <w:p>
            <w:pPr>
              <w:pStyle w:val="Compact"/>
            </w:pPr>
            <w:r>
              <w:t xml:space="preserve">Max. Cache-Abweichung</w:t>
            </w:r>
          </w:p>
        </w:tc>
      </w:tr>
      <w:tr>
        <w:tc>
          <w:tcPr/>
          <w:p>
            <w:pPr>
              <w:pStyle w:val="Compact"/>
            </w:pPr>
            <w:r>
              <w:t xml:space="preserve">0</w:t>
            </w:r>
          </w:p>
        </w:tc>
        <w:tc>
          <w:tcPr/>
          <w:p>
            <w:pPr>
              <w:pStyle w:val="Compact"/>
            </w:pPr>
            <w:r>
              <w:t xml:space="preserve">Grid_to_building_min</w:t>
            </w:r>
          </w:p>
        </w:tc>
        <w:tc>
          <w:tcPr/>
          <w:p>
            <w:pPr>
              <w:pStyle w:val="Compact"/>
            </w:pPr>
            <w:r>
              <w:t xml:space="preserve">0.0</w:t>
            </w:r>
          </w:p>
        </w:tc>
      </w:tr>
      <w:tr>
        <w:tc>
          <w:tcPr/>
          <w:p>
            <w:pPr>
              <w:pStyle w:val="Compact"/>
            </w:pPr>
            <w:r>
              <w:t xml:space="preserve">1</w:t>
            </w:r>
          </w:p>
        </w:tc>
        <w:tc>
          <w:tcPr/>
          <w:p>
            <w:pPr>
              <w:pStyle w:val="Compact"/>
            </w:pPr>
            <w:r>
              <w:t xml:space="preserve">PV_total_direct</w:t>
            </w:r>
          </w:p>
        </w:tc>
        <w:tc>
          <w:tcPr/>
          <w:p>
            <w:pPr>
              <w:pStyle w:val="Compact"/>
            </w:pPr>
            <w:r>
              <w:t xml:space="preserve">0.0</w:t>
            </w:r>
          </w:p>
        </w:tc>
      </w:tr>
      <w:tr>
        <w:tc>
          <w:tcPr/>
          <w:p>
            <w:pPr>
              <w:pStyle w:val="Compact"/>
            </w:pPr>
            <w:r>
              <w:t xml:space="preserve">2</w:t>
            </w:r>
          </w:p>
        </w:tc>
        <w:tc>
          <w:tcPr/>
          <w:p>
            <w:pPr>
              <w:pStyle w:val="Compact"/>
            </w:pPr>
            <w:r>
              <w:t xml:space="preserve">PV_to_Egrid</w:t>
            </w:r>
          </w:p>
        </w:tc>
        <w:tc>
          <w:tcPr/>
          <w:p>
            <w:pPr>
              <w:pStyle w:val="Compact"/>
            </w:pPr>
            <w:r>
              <w:t xml:space="preserve">0.0</w:t>
            </w:r>
          </w:p>
        </w:tc>
      </w:tr>
      <w:tr>
        <w:tc>
          <w:tcPr/>
          <w:p>
            <w:pPr>
              <w:pStyle w:val="Compact"/>
            </w:pPr>
            <w:r>
              <w:t xml:space="preserve">3</w:t>
            </w:r>
          </w:p>
        </w:tc>
        <w:tc>
          <w:tcPr/>
          <w:p>
            <w:pPr>
              <w:pStyle w:val="Compact"/>
            </w:pPr>
            <w:r>
              <w:t xml:space="preserve">EUI_district_heating</w:t>
            </w:r>
          </w:p>
        </w:tc>
        <w:tc>
          <w:tcPr/>
          <w:p>
            <w:pPr>
              <w:pStyle w:val="Compact"/>
            </w:pPr>
            <w:r>
              <w:t xml:space="preserve">0.0</w:t>
            </w:r>
          </w:p>
        </w:tc>
      </w:tr>
      <w:tr>
        <w:tc>
          <w:tcPr/>
          <w:p>
            <w:pPr>
              <w:pStyle w:val="Compact"/>
            </w:pPr>
            <w:r>
              <w:t xml:space="preserve">4</w:t>
            </w:r>
          </w:p>
        </w:tc>
        <w:tc>
          <w:tcPr/>
          <w:p>
            <w:pPr>
              <w:pStyle w:val="Compact"/>
            </w:pPr>
            <w:r>
              <w:t xml:space="preserve">EUI_natural_gas</w:t>
            </w:r>
          </w:p>
        </w:tc>
        <w:tc>
          <w:tcPr/>
          <w:p>
            <w:pPr>
              <w:pStyle w:val="Compact"/>
            </w:pPr>
            <w:r>
              <w:t xml:space="preserve">0.0</w:t>
            </w:r>
          </w:p>
        </w:tc>
      </w:tr>
      <w:tr>
        <w:tc>
          <w:tcPr/>
          <w:p>
            <w:pPr>
              <w:pStyle w:val="Compact"/>
            </w:pPr>
            <w:r>
              <w:t xml:space="preserve">5</w:t>
            </w:r>
          </w:p>
        </w:tc>
        <w:tc>
          <w:tcPr/>
          <w:p>
            <w:pPr>
              <w:pStyle w:val="Compact"/>
            </w:pPr>
            <w:r>
              <w:t xml:space="preserve">EUI_biomass</w:t>
            </w:r>
          </w:p>
        </w:tc>
        <w:tc>
          <w:tcPr/>
          <w:p>
            <w:pPr>
              <w:pStyle w:val="Compact"/>
            </w:pPr>
            <w:r>
              <w:t xml:space="preserve">0.0</w:t>
            </w:r>
          </w:p>
        </w:tc>
      </w:tr>
      <w:tr>
        <w:tc>
          <w:tcPr/>
          <w:p>
            <w:pPr>
              <w:pStyle w:val="Compact"/>
            </w:pPr>
            <w:r>
              <w:t xml:space="preserve">6</w:t>
            </w:r>
          </w:p>
        </w:tc>
        <w:tc>
          <w:tcPr/>
          <w:p>
            <w:pPr>
              <w:pStyle w:val="Compact"/>
            </w:pPr>
            <w:r>
              <w:t xml:space="preserve">EUI_other</w:t>
            </w:r>
          </w:p>
        </w:tc>
        <w:tc>
          <w:tcPr/>
          <w:p>
            <w:pPr>
              <w:pStyle w:val="Compact"/>
            </w:pPr>
            <w:r>
              <w:t xml:space="preserve">0.0</w:t>
            </w:r>
          </w:p>
        </w:tc>
      </w:tr>
      <w:tr>
        <w:tc>
          <w:tcPr/>
          <w:p>
            <w:pPr>
              <w:pStyle w:val="Compact"/>
            </w:pPr>
            <w:r>
              <w:t xml:space="preserve">7</w:t>
            </w:r>
          </w:p>
        </w:tc>
        <w:tc>
          <w:tcPr/>
          <w:p>
            <w:pPr>
              <w:pStyle w:val="Compact"/>
            </w:pPr>
            <w:r>
              <w:t xml:space="preserve">PEI_grid_import</w:t>
            </w:r>
          </w:p>
        </w:tc>
        <w:tc>
          <w:tcPr/>
          <w:p>
            <w:pPr>
              <w:pStyle w:val="Compact"/>
            </w:pPr>
            <w:r>
              <w:t xml:space="preserve">0.0</w:t>
            </w:r>
          </w:p>
        </w:tc>
      </w:tr>
      <w:tr>
        <w:tc>
          <w:tcPr/>
          <w:p>
            <w:pPr>
              <w:pStyle w:val="Compact"/>
            </w:pPr>
            <w:r>
              <w:t xml:space="preserve">8</w:t>
            </w:r>
          </w:p>
        </w:tc>
        <w:tc>
          <w:tcPr/>
          <w:p>
            <w:pPr>
              <w:pStyle w:val="Compact"/>
            </w:pPr>
            <w:r>
              <w:t xml:space="preserve">PEI_import</w:t>
            </w:r>
          </w:p>
        </w:tc>
        <w:tc>
          <w:tcPr/>
          <w:p>
            <w:pPr>
              <w:pStyle w:val="Compact"/>
            </w:pPr>
            <w:r>
              <w:t xml:space="preserve">0.0</w:t>
            </w:r>
          </w:p>
        </w:tc>
      </w:tr>
      <w:tr>
        <w:tc>
          <w:tcPr/>
          <w:p>
            <w:pPr>
              <w:pStyle w:val="Compact"/>
            </w:pPr>
            <w:r>
              <w:t xml:space="preserve">9</w:t>
            </w:r>
          </w:p>
        </w:tc>
        <w:tc>
          <w:tcPr/>
          <w:p>
            <w:pPr>
              <w:pStyle w:val="Compact"/>
            </w:pPr>
            <w:r>
              <w:t xml:space="preserve">PEI_export</w:t>
            </w:r>
          </w:p>
        </w:tc>
        <w:tc>
          <w:tcPr/>
          <w:p>
            <w:pPr>
              <w:pStyle w:val="Compact"/>
            </w:pPr>
            <w:r>
              <w:t xml:space="preserve">0.0</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Blatt</w:t>
            </w:r>
          </w:p>
        </w:tc>
        <w:tc>
          <w:tcPr/>
          <w:p>
            <w:pPr>
              <w:pStyle w:val="Compact"/>
            </w:pPr>
            <w:r>
              <w:t xml:space="preserve">Zeilen</w:t>
            </w:r>
          </w:p>
        </w:tc>
        <w:tc>
          <w:tcPr/>
          <w:p>
            <w:pPr>
              <w:pStyle w:val="Compact"/>
            </w:pPr>
            <w:r>
              <w:t xml:space="preserve">Eindeutige Schlüssel</w:t>
            </w:r>
          </w:p>
        </w:tc>
      </w:tr>
      <w:tr>
        <w:tc>
          <w:tcPr/>
          <w:p>
            <w:pPr>
              <w:pStyle w:val="Compact"/>
            </w:pPr>
            <w:r>
              <w:t xml:space="preserve">0</w:t>
            </w:r>
          </w:p>
        </w:tc>
        <w:tc>
          <w:tcPr/>
          <w:p>
            <w:pPr>
              <w:pStyle w:val="Compact"/>
            </w:pPr>
            <w:r>
              <w:t xml:space="preserve">Strombed_estim</w:t>
            </w:r>
          </w:p>
        </w:tc>
        <w:tc>
          <w:tcPr/>
          <w:p>
            <w:pPr>
              <w:pStyle w:val="Compact"/>
            </w:pPr>
            <w:r>
              <w:t xml:space="preserve">900</w:t>
            </w:r>
          </w:p>
        </w:tc>
        <w:tc>
          <w:tcPr/>
          <w:p>
            <w:pPr>
              <w:pStyle w:val="Compact"/>
            </w:pPr>
            <w:r>
              <w:t xml:space="preserve">900</w:t>
            </w:r>
          </w:p>
        </w:tc>
      </w:tr>
      <w:tr>
        <w:tc>
          <w:tcPr/>
          <w:p>
            <w:pPr>
              <w:pStyle w:val="Compact"/>
            </w:pPr>
            <w:r>
              <w:t xml:space="preserve">1</w:t>
            </w:r>
          </w:p>
        </w:tc>
        <w:tc>
          <w:tcPr/>
          <w:p>
            <w:pPr>
              <w:pStyle w:val="Compact"/>
            </w:pPr>
            <w:r>
              <w:t xml:space="preserve">reduced</w:t>
            </w:r>
          </w:p>
        </w:tc>
        <w:tc>
          <w:tcPr/>
          <w:p>
            <w:pPr>
              <w:pStyle w:val="Compact"/>
            </w:pPr>
            <w:r>
              <w:t xml:space="preserve">7200</w:t>
            </w:r>
          </w:p>
        </w:tc>
        <w:tc>
          <w:tcPr/>
          <w:p>
            <w:pPr>
              <w:pStyle w:val="Compact"/>
            </w:pPr>
            <w:r>
              <w:t xml:space="preserve">7200</w:t>
            </w:r>
          </w:p>
        </w:tc>
      </w:tr>
      <w:tr>
        <w:tc>
          <w:tcPr/>
          <w:p>
            <w:pPr>
              <w:pStyle w:val="Compact"/>
            </w:pPr>
            <w:r>
              <w:t xml:space="preserve">2</w:t>
            </w:r>
          </w:p>
        </w:tc>
        <w:tc>
          <w:tcPr/>
          <w:p>
            <w:pPr>
              <w:pStyle w:val="Compact"/>
            </w:pPr>
            <w:r>
              <w:t xml:space="preserve">Building-Sector_Pool_total</w:t>
            </w:r>
          </w:p>
        </w:tc>
        <w:tc>
          <w:tcPr/>
          <w:p>
            <w:pPr>
              <w:pStyle w:val="Compact"/>
            </w:pPr>
            <w:r>
              <w:t xml:space="preserve">7200</w:t>
            </w:r>
          </w:p>
        </w:tc>
        <w:tc>
          <w:tcPr/>
          <w:p>
            <w:pPr>
              <w:pStyle w:val="Compact"/>
            </w:pPr>
            <w:r>
              <w:t xml:space="preserve">7200</w:t>
            </w:r>
          </w:p>
        </w:tc>
      </w:tr>
      <w:tr>
        <w:tc>
          <w:tcPr/>
          <w:p>
            <w:pPr>
              <w:pStyle w:val="Compact"/>
            </w:pPr>
            <w:r>
              <w:t xml:space="preserve">3</w:t>
            </w:r>
          </w:p>
        </w:tc>
        <w:tc>
          <w:tcPr/>
          <w:p>
            <w:pPr>
              <w:pStyle w:val="Compact"/>
            </w:pPr>
            <w:r>
              <w:t xml:space="preserve">save</w:t>
            </w:r>
          </w:p>
        </w:tc>
        <w:tc>
          <w:tcPr/>
          <w:p>
            <w:pPr>
              <w:pStyle w:val="Compact"/>
            </w:pPr>
            <w:r>
              <w:t xml:space="preserve">7239</w:t>
            </w:r>
          </w:p>
        </w:tc>
        <w:tc>
          <w:tcPr/>
          <w:p>
            <w:pPr>
              <w:pStyle w:val="Compact"/>
            </w:pPr>
            <w:r>
              <w:t xml:space="preserve">7239</w:t>
            </w:r>
          </w:p>
        </w:tc>
      </w:tr>
      <w:tr>
        <w:tc>
          <w:tcPr/>
          <w:p>
            <w:pPr>
              <w:pStyle w:val="Compact"/>
            </w:pPr>
            <w:r>
              <w:t xml:space="preserve">4</w:t>
            </w:r>
          </w:p>
        </w:tc>
        <w:tc>
          <w:tcPr/>
          <w:p>
            <w:pPr>
              <w:pStyle w:val="Compact"/>
            </w:pPr>
            <w:r>
              <w:t xml:space="preserve">simulation</w:t>
            </w:r>
          </w:p>
        </w:tc>
        <w:tc>
          <w:tcPr/>
          <w:p>
            <w:pPr>
              <w:pStyle w:val="Compact"/>
            </w:pPr>
            <w:r>
              <w:t xml:space="preserve">900</w:t>
            </w:r>
          </w:p>
        </w:tc>
        <w:tc>
          <w:tcPr/>
          <w:p>
            <w:pPr>
              <w:pStyle w:val="Compact"/>
            </w:pPr>
            <w:r>
              <w:t xml:space="preserve">900</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Dimension</w:t>
            </w:r>
          </w:p>
        </w:tc>
        <w:tc>
          <w:tcPr/>
          <w:p>
            <w:pPr>
              <w:pStyle w:val="Compact"/>
            </w:pPr>
            <w:r>
              <w:t xml:space="preserve">Klassen</w:t>
            </w:r>
          </w:p>
        </w:tc>
        <w:tc>
          <w:tcPr/>
          <w:p>
            <w:pPr>
              <w:pStyle w:val="Compact"/>
            </w:pPr>
            <w:r>
              <w:t xml:space="preserve">Werte</w:t>
            </w:r>
          </w:p>
        </w:tc>
      </w:tr>
      <w:tr>
        <w:tc>
          <w:tcPr/>
          <w:p>
            <w:pPr>
              <w:pStyle w:val="Compact"/>
            </w:pPr>
            <w:r>
              <w:t xml:space="preserve">0</w:t>
            </w:r>
          </w:p>
        </w:tc>
        <w:tc>
          <w:tcPr/>
          <w:p>
            <w:pPr>
              <w:pStyle w:val="Compact"/>
            </w:pPr>
            <w:r>
              <w:t xml:space="preserve">Geometrie</w:t>
            </w:r>
          </w:p>
        </w:tc>
        <w:tc>
          <w:tcPr/>
          <w:p>
            <w:pPr>
              <w:pStyle w:val="Compact"/>
            </w:pPr>
            <w:r>
              <w:t xml:space="preserve">10</w:t>
            </w:r>
          </w:p>
        </w:tc>
        <w:tc>
          <w:tcPr/>
          <w:p>
            <w:pPr>
              <w:pStyle w:val="Compact"/>
            </w:pPr>
            <w:r>
              <w:t xml:space="preserve">EFH_1G, EFH_2G, GWB_5G, GWB_7G, MFH_2G, MFH_4G...</w:t>
            </w:r>
          </w:p>
        </w:tc>
      </w:tr>
      <w:tr>
        <w:tc>
          <w:tcPr/>
          <w:p>
            <w:pPr>
              <w:pStyle w:val="Compact"/>
            </w:pPr>
            <w:r>
              <w:t xml:space="preserve">1</w:t>
            </w:r>
          </w:p>
        </w:tc>
        <w:tc>
          <w:tcPr/>
          <w:p>
            <w:pPr>
              <w:pStyle w:val="Compact"/>
            </w:pPr>
            <w:r>
              <w:t xml:space="preserve">Huelle</w:t>
            </w:r>
          </w:p>
        </w:tc>
        <w:tc>
          <w:tcPr/>
          <w:p>
            <w:pPr>
              <w:pStyle w:val="Compact"/>
            </w:pPr>
            <w:r>
              <w:t xml:space="preserve">9</w:t>
            </w:r>
          </w:p>
        </w:tc>
        <w:tc>
          <w:tcPr/>
          <w:p>
            <w:pPr>
              <w:pStyle w:val="Compact"/>
            </w:pPr>
            <w:r>
              <w:t xml:space="preserve">1919-44, 1945-59, 1960-79, 1980-89, 1990-99, N...</w:t>
            </w:r>
          </w:p>
        </w:tc>
      </w:tr>
      <w:tr>
        <w:tc>
          <w:tcPr/>
          <w:p>
            <w:pPr>
              <w:pStyle w:val="Compact"/>
            </w:pPr>
            <w:r>
              <w:t xml:space="preserve">2</w:t>
            </w:r>
          </w:p>
        </w:tc>
        <w:tc>
          <w:tcPr/>
          <w:p>
            <w:pPr>
              <w:pStyle w:val="Compact"/>
            </w:pPr>
            <w:r>
              <w:t xml:space="preserve">Heizung</w:t>
            </w:r>
          </w:p>
        </w:tc>
        <w:tc>
          <w:tcPr/>
          <w:p>
            <w:pPr>
              <w:pStyle w:val="Compact"/>
            </w:pPr>
            <w:r>
              <w:t xml:space="preserve">10</w:t>
            </w:r>
          </w:p>
        </w:tc>
        <w:tc>
          <w:tcPr/>
          <w:p>
            <w:pPr>
              <w:pStyle w:val="Compact"/>
            </w:pPr>
            <w:r>
              <w:t xml:space="preserve">Bio, Elektro, Erdgas, FW_Wien, FW_erneu, Oel, ...</w:t>
            </w:r>
          </w:p>
        </w:tc>
      </w:tr>
      <w:tr>
        <w:tc>
          <w:tcPr/>
          <w:p>
            <w:pPr>
              <w:pStyle w:val="Compact"/>
            </w:pPr>
            <w:r>
              <w:t xml:space="preserve">3</w:t>
            </w:r>
          </w:p>
        </w:tc>
        <w:tc>
          <w:tcPr/>
          <w:p>
            <w:pPr>
              <w:pStyle w:val="Compact"/>
            </w:pPr>
            <w:r>
              <w:t xml:space="preserve">PV_Klasse</w:t>
            </w:r>
          </w:p>
        </w:tc>
        <w:tc>
          <w:tcPr/>
          <w:p>
            <w:pPr>
              <w:pStyle w:val="Compact"/>
            </w:pPr>
            <w:r>
              <w:t xml:space="preserve">1</w:t>
            </w:r>
          </w:p>
        </w:tc>
        <w:tc>
          <w:tcPr/>
          <w:p>
            <w:pPr>
              <w:pStyle w:val="Compact"/>
            </w:pPr>
            <w:r>
              <w:t xml:space="preserve">PV30</w:t>
            </w:r>
          </w:p>
        </w:tc>
      </w:tr>
      <w:tr>
        <w:tc>
          <w:tcPr/>
          <w:p>
            <w:pPr>
              <w:pStyle w:val="Compact"/>
            </w:pPr>
            <w:r>
              <w:t xml:space="preserve">4</w:t>
            </w:r>
          </w:p>
        </w:tc>
        <w:tc>
          <w:tcPr/>
          <w:p>
            <w:pPr>
              <w:pStyle w:val="Compact"/>
            </w:pPr>
            <w:r>
              <w:t xml:space="preserve">Flexibilitaet</w:t>
            </w:r>
          </w:p>
        </w:tc>
        <w:tc>
          <w:tcPr/>
          <w:p>
            <w:pPr>
              <w:pStyle w:val="Compact"/>
            </w:pPr>
            <w:r>
              <w:t xml:space="preserve">1</w:t>
            </w:r>
          </w:p>
        </w:tc>
        <w:tc>
          <w:tcPr/>
          <w:p>
            <w:pPr>
              <w:pStyle w:val="Compact"/>
            </w:pPr>
            <w:r>
              <w:t xml:space="preserve">noFlex</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Typen</w:t>
            </w:r>
          </w:p>
        </w:tc>
        <w:tc>
          <w:tcPr/>
          <w:p>
            <w:pPr>
              <w:pStyle w:val="Compact"/>
            </w:pPr>
            <w:r>
              <w:t xml:space="preserve">Positiv_2040</w:t>
            </w:r>
          </w:p>
        </w:tc>
      </w:tr>
      <w:tr>
        <w:trPr>
          <w:tblHeader w:val="on"/>
        </w:trPr>
        <w:tc>
          <w:tcPr/>
          <w:p>
            <w:pPr>
              <w:pStyle w:val="Compact"/>
            </w:pPr>
            <w:r>
              <w:t xml:space="preserve">Geometrie</w:t>
            </w:r>
          </w:p>
        </w:tc>
        <w:tc>
          <w:tcPr/>
          <w:p>
            <w:pPr>
              <w:pStyle w:val="Compact"/>
            </w:pPr>
          </w:p>
        </w:tc>
        <w:tc>
          <w:tcPr/>
          <w:p>
            <w:pPr>
              <w:pStyle w:val="Compact"/>
            </w:pPr>
          </w:p>
        </w:tc>
      </w:tr>
      <w:tr>
        <w:tc>
          <w:tcPr/>
          <w:p>
            <w:pPr>
              <w:pStyle w:val="Compact"/>
            </w:pPr>
            <w:r>
              <w:t xml:space="preserve">EFH_1G</w:t>
            </w:r>
          </w:p>
        </w:tc>
        <w:tc>
          <w:tcPr/>
          <w:p>
            <w:pPr>
              <w:pStyle w:val="Compact"/>
            </w:pPr>
            <w:r>
              <w:t xml:space="preserve">90</w:t>
            </w:r>
          </w:p>
        </w:tc>
        <w:tc>
          <w:tcPr/>
          <w:p>
            <w:pPr>
              <w:pStyle w:val="Compact"/>
            </w:pPr>
            <w:r>
              <w:t xml:space="preserve">67</w:t>
            </w:r>
          </w:p>
        </w:tc>
      </w:tr>
      <w:tr>
        <w:tc>
          <w:tcPr/>
          <w:p>
            <w:pPr>
              <w:pStyle w:val="Compact"/>
            </w:pPr>
            <w:r>
              <w:t xml:space="preserve">EFH_2G</w:t>
            </w:r>
          </w:p>
        </w:tc>
        <w:tc>
          <w:tcPr/>
          <w:p>
            <w:pPr>
              <w:pStyle w:val="Compact"/>
            </w:pPr>
            <w:r>
              <w:t xml:space="preserve">90</w:t>
            </w:r>
          </w:p>
        </w:tc>
        <w:tc>
          <w:tcPr/>
          <w:p>
            <w:pPr>
              <w:pStyle w:val="Compact"/>
            </w:pPr>
            <w:r>
              <w:t xml:space="preserve">67</w:t>
            </w:r>
          </w:p>
        </w:tc>
      </w:tr>
      <w:tr>
        <w:tc>
          <w:tcPr/>
          <w:p>
            <w:pPr>
              <w:pStyle w:val="Compact"/>
            </w:pPr>
            <w:r>
              <w:t xml:space="preserve">GWB_5G</w:t>
            </w:r>
          </w:p>
        </w:tc>
        <w:tc>
          <w:tcPr/>
          <w:p>
            <w:pPr>
              <w:pStyle w:val="Compact"/>
            </w:pPr>
            <w:r>
              <w:t xml:space="preserve">90</w:t>
            </w:r>
          </w:p>
        </w:tc>
        <w:tc>
          <w:tcPr/>
          <w:p>
            <w:pPr>
              <w:pStyle w:val="Compact"/>
            </w:pPr>
            <w:r>
              <w:t xml:space="preserve">67</w:t>
            </w:r>
          </w:p>
        </w:tc>
      </w:tr>
      <w:tr>
        <w:tc>
          <w:tcPr/>
          <w:p>
            <w:pPr>
              <w:pStyle w:val="Compact"/>
            </w:pPr>
            <w:r>
              <w:t xml:space="preserve">GWB_7G</w:t>
            </w:r>
          </w:p>
        </w:tc>
        <w:tc>
          <w:tcPr/>
          <w:p>
            <w:pPr>
              <w:pStyle w:val="Compact"/>
            </w:pPr>
            <w:r>
              <w:t xml:space="preserve">90</w:t>
            </w:r>
          </w:p>
        </w:tc>
        <w:tc>
          <w:tcPr/>
          <w:p>
            <w:pPr>
              <w:pStyle w:val="Compact"/>
            </w:pPr>
            <w:r>
              <w:t xml:space="preserve">67</w:t>
            </w:r>
          </w:p>
        </w:tc>
      </w:tr>
      <w:tr>
        <w:tc>
          <w:tcPr/>
          <w:p>
            <w:pPr>
              <w:pStyle w:val="Compact"/>
            </w:pPr>
            <w:r>
              <w:t xml:space="preserve">MFH_2G</w:t>
            </w:r>
          </w:p>
        </w:tc>
        <w:tc>
          <w:tcPr/>
          <w:p>
            <w:pPr>
              <w:pStyle w:val="Compact"/>
            </w:pPr>
            <w:r>
              <w:t xml:space="preserve">90</w:t>
            </w:r>
          </w:p>
        </w:tc>
        <w:tc>
          <w:tcPr/>
          <w:p>
            <w:pPr>
              <w:pStyle w:val="Compact"/>
            </w:pPr>
            <w:r>
              <w:t xml:space="preserve">0</w:t>
            </w:r>
          </w:p>
        </w:tc>
      </w:tr>
      <w:tr>
        <w:tc>
          <w:tcPr/>
          <w:p>
            <w:pPr>
              <w:pStyle w:val="Compact"/>
            </w:pPr>
            <w:r>
              <w:t xml:space="preserve">MFH_4G</w:t>
            </w:r>
          </w:p>
        </w:tc>
        <w:tc>
          <w:tcPr/>
          <w:p>
            <w:pPr>
              <w:pStyle w:val="Compact"/>
            </w:pPr>
            <w:r>
              <w:t xml:space="preserve">90</w:t>
            </w:r>
          </w:p>
        </w:tc>
        <w:tc>
          <w:tcPr/>
          <w:p>
            <w:pPr>
              <w:pStyle w:val="Compact"/>
            </w:pPr>
            <w:r>
              <w:t xml:space="preserve">67</w:t>
            </w:r>
          </w:p>
        </w:tc>
      </w:tr>
      <w:tr>
        <w:tc>
          <w:tcPr/>
          <w:p>
            <w:pPr>
              <w:pStyle w:val="Compact"/>
            </w:pPr>
            <w:r>
              <w:t xml:space="preserve">NiWo_1G</w:t>
            </w:r>
          </w:p>
        </w:tc>
        <w:tc>
          <w:tcPr/>
          <w:p>
            <w:pPr>
              <w:pStyle w:val="Compact"/>
            </w:pPr>
            <w:r>
              <w:t xml:space="preserve">90</w:t>
            </w:r>
          </w:p>
        </w:tc>
        <w:tc>
          <w:tcPr/>
          <w:p>
            <w:pPr>
              <w:pStyle w:val="Compact"/>
            </w:pPr>
            <w:r>
              <w:t xml:space="preserve">67</w:t>
            </w:r>
          </w:p>
        </w:tc>
      </w:tr>
      <w:tr>
        <w:tc>
          <w:tcPr/>
          <w:p>
            <w:pPr>
              <w:pStyle w:val="Compact"/>
            </w:pPr>
            <w:r>
              <w:t xml:space="preserve">NiWo_2G</w:t>
            </w:r>
          </w:p>
        </w:tc>
        <w:tc>
          <w:tcPr/>
          <w:p>
            <w:pPr>
              <w:pStyle w:val="Compact"/>
            </w:pPr>
            <w:r>
              <w:t xml:space="preserve">90</w:t>
            </w:r>
          </w:p>
        </w:tc>
        <w:tc>
          <w:tcPr/>
          <w:p>
            <w:pPr>
              <w:pStyle w:val="Compact"/>
            </w:pPr>
            <w:r>
              <w:t xml:space="preserve">67</w:t>
            </w:r>
          </w:p>
        </w:tc>
      </w:tr>
      <w:tr>
        <w:tc>
          <w:tcPr/>
          <w:p>
            <w:pPr>
              <w:pStyle w:val="Compact"/>
            </w:pPr>
            <w:r>
              <w:t xml:space="preserve">NiWo_3G</w:t>
            </w:r>
          </w:p>
        </w:tc>
        <w:tc>
          <w:tcPr/>
          <w:p>
            <w:pPr>
              <w:pStyle w:val="Compact"/>
            </w:pPr>
            <w:r>
              <w:t xml:space="preserve">90</w:t>
            </w:r>
          </w:p>
        </w:tc>
        <w:tc>
          <w:tcPr/>
          <w:p>
            <w:pPr>
              <w:pStyle w:val="Compact"/>
            </w:pPr>
            <w:r>
              <w:t xml:space="preserve">67</w:t>
            </w:r>
          </w:p>
        </w:tc>
      </w:tr>
      <w:tr>
        <w:tc>
          <w:tcPr/>
          <w:p>
            <w:pPr>
              <w:pStyle w:val="Compact"/>
            </w:pPr>
            <w:r>
              <w:t xml:space="preserve">RH_2G</w:t>
            </w:r>
          </w:p>
        </w:tc>
        <w:tc>
          <w:tcPr/>
          <w:p>
            <w:pPr>
              <w:pStyle w:val="Compact"/>
            </w:pPr>
            <w:r>
              <w:t xml:space="preserve">90</w:t>
            </w:r>
          </w:p>
        </w:tc>
        <w:tc>
          <w:tcPr/>
          <w:p>
            <w:pPr>
              <w:pStyle w:val="Compact"/>
            </w:pPr>
            <w:r>
              <w:t xml:space="preserve">67</w:t>
            </w:r>
          </w:p>
        </w:tc>
      </w:tr>
    </w:tbl>
    <w:bookmarkEnd w:id="512"/>
    <w:bookmarkStart w:id="516" w:name="sec-gebaeude-flaechen"/>
    <w:p>
      <w:pPr>
        <w:pStyle w:val="Heading2"/>
      </w:pPr>
      <w:r>
        <w:t xml:space="preserve">E.3 3. Flächenbilanz und Fortschreibung</w:t>
      </w:r>
    </w:p>
    <w:p>
      <w:pPr>
        <w:pStyle w:val="FirstParagraph"/>
      </w:pPr>
      <w:r>
        <w:t xml:space="preserve">Für Typ</w:t>
      </w:r>
      <w:r>
        <w:t xml:space="preserve"> </w:t>
      </w:r>
      <m:oMath>
        <m:r>
          <m:t>k</m:t>
        </m:r>
      </m:oMath>
      <w:r>
        <w:t xml:space="preserve"> </w:t>
      </w:r>
      <w:r>
        <w:t xml:space="preserve">und Zeitpunkt</w:t>
      </w:r>
      <w:r>
        <w:t xml:space="preserve"> </w:t>
      </w:r>
      <m:oMath>
        <m:r>
          <m:t>y</m:t>
        </m:r>
      </m:oMath>
      <w:r>
        <w:t xml:space="preserve"> </w:t>
      </w:r>
      <w:r>
        <w:t xml:space="preserve">gilt</w:t>
      </w:r>
      <w:r>
        <w:t xml:space="preserve"> </w:t>
      </w:r>
      <m:oMath>
        <m:sSub>
          <m:e>
            <m:r>
              <m:t>A</m:t>
            </m:r>
          </m:e>
          <m:sub>
            <m:r>
              <m:t>N</m:t>
            </m:r>
            <m:r>
              <m:t>G</m:t>
            </m:r>
            <m:r>
              <m:t>F</m:t>
            </m:r>
            <m:r>
              <m:rPr>
                <m:sty m:val="p"/>
              </m:rPr>
              <m:t>,</m:t>
            </m:r>
            <m:r>
              <m:t>k</m:t>
            </m:r>
            <m:r>
              <m:rPr>
                <m:sty m:val="p"/>
              </m:rPr>
              <m:t>,</m:t>
            </m:r>
            <m:r>
              <m:t>y</m:t>
            </m:r>
          </m:sub>
        </m:sSub>
        <m:r>
          <m:rPr>
            <m:sty m:val="p"/>
          </m:rPr>
          <m:t>=</m:t>
        </m:r>
        <m:r>
          <m:t>r</m:t>
        </m:r>
        <m:sSub>
          <m:e>
            <m:r>
              <m:t>A</m:t>
            </m:r>
          </m:e>
          <m:sub>
            <m:r>
              <m:t>B</m:t>
            </m:r>
            <m:r>
              <m:t>G</m:t>
            </m:r>
            <m:r>
              <m:t>F</m:t>
            </m:r>
            <m:r>
              <m:rPr>
                <m:sty m:val="p"/>
              </m:rPr>
              <m:t>,</m:t>
            </m:r>
            <m:r>
              <m:t>k</m:t>
            </m:r>
            <m:r>
              <m:rPr>
                <m:sty m:val="p"/>
              </m:rPr>
              <m:t>,</m:t>
            </m:r>
            <m:r>
              <m:t>y</m:t>
            </m:r>
          </m:sub>
        </m:sSub>
      </m:oMath>
      <w:r>
        <w:t xml:space="preserve"> </w:t>
      </w:r>
      <w:r>
        <w:t xml:space="preserve">und</w:t>
      </w:r>
      <w:r>
        <w:t xml:space="preserve"> </w:t>
      </w:r>
      <m:oMath>
        <m:sSub>
          <m:e>
            <m:r>
              <m:t>w</m:t>
            </m:r>
          </m:e>
          <m:sub>
            <m:r>
              <m:t>k</m:t>
            </m:r>
            <m:r>
              <m:rPr>
                <m:sty m:val="p"/>
              </m:rPr>
              <m:t>,</m:t>
            </m:r>
            <m:r>
              <m:t>y</m:t>
            </m:r>
          </m:sub>
        </m:sSub>
        <m:r>
          <m:rPr>
            <m:sty m:val="p"/>
          </m:rPr>
          <m:t>=</m:t>
        </m:r>
        <m:sSub>
          <m:e>
            <m:r>
              <m:t>A</m:t>
            </m:r>
          </m:e>
          <m:sub>
            <m:r>
              <m:t>B</m:t>
            </m:r>
            <m:r>
              <m:t>G</m:t>
            </m:r>
            <m:r>
              <m:t>F</m:t>
            </m:r>
            <m:r>
              <m:rPr>
                <m:sty m:val="p"/>
              </m:rPr>
              <m:t>,</m:t>
            </m:r>
            <m:r>
              <m:t>k</m:t>
            </m:r>
            <m:r>
              <m:rPr>
                <m:sty m:val="p"/>
              </m:rPr>
              <m:t>,</m:t>
            </m:r>
            <m:r>
              <m:t>y</m:t>
            </m:r>
          </m:sub>
        </m:sSub>
        <m:r>
          <m:rPr>
            <m:sty m:val="p"/>
          </m:rPr>
          <m:t>/</m:t>
        </m:r>
        <m:nary>
          <m:naryPr>
            <m:chr m:val="∑"/>
            <m:limLoc m:val="undOvr"/>
            <m:subHide m:val="off"/>
            <m:supHide m:val="on"/>
          </m:naryPr>
          <m:sub>
            <m:r>
              <m:t>k</m:t>
            </m:r>
          </m:sub>
          <m:sup>
            <m:r>
              <m:t>​</m:t>
            </m:r>
          </m:sup>
          <m:e>
            <m:sSub>
              <m:e>
                <m:r>
                  <m:t>A</m:t>
                </m:r>
              </m:e>
              <m:sub>
                <m:r>
                  <m:t>B</m:t>
                </m:r>
                <m:r>
                  <m:t>G</m:t>
                </m:r>
                <m:r>
                  <m:t>F</m:t>
                </m:r>
                <m:r>
                  <m:rPr>
                    <m:sty m:val="p"/>
                  </m:rPr>
                  <m:t>,</m:t>
                </m:r>
                <m:r>
                  <m:t>k</m:t>
                </m:r>
                <m:r>
                  <m:rPr>
                    <m:sty m:val="p"/>
                  </m:rPr>
                  <m:t>,</m:t>
                </m:r>
                <m:r>
                  <m:t>y</m:t>
                </m:r>
              </m:sub>
            </m:sSub>
          </m:e>
        </m:nary>
      </m:oMath>
      <w:r>
        <w:t xml:space="preserve">. Gewichte dienen der Beschreibung</w:t>
      </w:r>
      <w:r>
        <w:t xml:space="preserve"> </w:t>
      </w:r>
      <w:r>
        <w:rPr>
          <w:b/>
          <w:bCs/>
        </w:rPr>
        <w:t xml:space="preserve">der gelieferten Summe</w:t>
      </w:r>
      <w:r>
        <w:t xml:space="preserve">. Es wird keine fremde nationale Gesamtsumme aufgezwungen.</w:t>
      </w:r>
    </w:p>
    <w:p>
      <w:pPr>
        <w:pStyle w:val="BodyText"/>
      </w:pPr>
      <w:r>
        <w:rPr>
          <w:rStyle w:val="VerbatimChar"/>
        </w:rPr>
        <w:t xml:space="preserve">reduced.NGF_m2</w:t>
      </w:r>
      <w:r>
        <w:t xml:space="preserve"> </w:t>
      </w:r>
      <w:r>
        <w:t xml:space="preserve">und</w:t>
      </w:r>
      <w:r>
        <w:t xml:space="preserve"> </w:t>
      </w:r>
      <w:r>
        <w:rPr>
          <w:rStyle w:val="VerbatimChar"/>
        </w:rPr>
        <w:t xml:space="preserve">Strombed_estim.Nationale BGF …</w:t>
      </w:r>
      <w:r>
        <w:t xml:space="preserve"> </w:t>
      </w:r>
      <w:r>
        <w:t xml:space="preserve">haben unterschiedliche Flächenbezüge und Variantenabdeckungen. Die alte Summe ist daher kein Ersatz für die neuen Flächen. Leere Werte, echte Nullen und nicht ausgeführte Varianten werden gezählt. Eine zusätzliche Kontrollaggregation über Geometrie/Hülle/Heizung zeigt den Unterschied auch bei Zusammenfassung von PV-/Flexibilitätsvarianten.</w:t>
      </w:r>
    </w:p>
    <w:p>
      <w:pPr>
        <w:pStyle w:val="BodyText"/>
      </w:pPr>
      <w:r>
        <w:t xml:space="preserve">Bestand, Neubau und Sanierung sind</w:t>
      </w:r>
      <w:r>
        <w:t xml:space="preserve"> </w:t>
      </w:r>
      <w:r>
        <w:rPr>
          <w:b/>
          <w:bCs/>
        </w:rPr>
        <w:t xml:space="preserve">Anteile innerhalb eines Archetyps</w:t>
      </w:r>
      <w:r>
        <w:t xml:space="preserve">, keine booleschen Kennzeichen. Die gewichteten Flächen lauten</w:t>
      </w:r>
      <w:r>
        <w:t xml:space="preserve"> </w:t>
      </w:r>
      <m:oMath>
        <m:sSub>
          <m:e>
            <m:r>
              <m:t>A</m:t>
            </m:r>
          </m:e>
          <m:sub>
            <m:r>
              <m:t>z</m:t>
            </m:r>
            <m:r>
              <m:rPr>
                <m:sty m:val="p"/>
              </m:rPr>
              <m:t>,</m:t>
            </m:r>
            <m:r>
              <m:t>y</m:t>
            </m:r>
          </m:sub>
        </m:sSub>
        <m:r>
          <m:rPr>
            <m:sty m:val="p"/>
          </m:rPr>
          <m:t>=</m:t>
        </m:r>
        <m:nary>
          <m:naryPr>
            <m:chr m:val="∑"/>
            <m:limLoc m:val="undOvr"/>
            <m:subHide m:val="off"/>
            <m:supHide m:val="on"/>
          </m:naryPr>
          <m:sub>
            <m:r>
              <m:t>k</m:t>
            </m:r>
          </m:sub>
          <m:sup>
            <m:r>
              <m:t>​</m:t>
            </m:r>
          </m:sup>
          <m:e>
            <m:sSub>
              <m:e>
                <m:r>
                  <m:t>A</m:t>
                </m:r>
              </m:e>
              <m:sub>
                <m:r>
                  <m:t>B</m:t>
                </m:r>
                <m:r>
                  <m:t>G</m:t>
                </m:r>
                <m:r>
                  <m:t>F</m:t>
                </m:r>
                <m:r>
                  <m:rPr>
                    <m:sty m:val="p"/>
                  </m:rPr>
                  <m:t>,</m:t>
                </m:r>
                <m:r>
                  <m:t>k</m:t>
                </m:r>
                <m:r>
                  <m:rPr>
                    <m:sty m:val="p"/>
                  </m:rPr>
                  <m:t>,</m:t>
                </m:r>
                <m:r>
                  <m:t>y</m:t>
                </m:r>
              </m:sub>
            </m:sSub>
          </m:e>
        </m:nary>
        <m:sSub>
          <m:e>
            <m:r>
              <m:t>s</m:t>
            </m:r>
          </m:e>
          <m:sub>
            <m:r>
              <m:t>z</m:t>
            </m:r>
            <m:r>
              <m:rPr>
                <m:sty m:val="p"/>
              </m:rPr>
              <m:t>,</m:t>
            </m:r>
            <m:r>
              <m:t>k</m:t>
            </m:r>
          </m:sub>
        </m:sSub>
      </m:oMath>
      <w:r>
        <w:t xml:space="preserve">. Ihre Bedeutung wird für 2040 verwendet; ein Anteil allein erklärt noch nicht die Übergänge, Abbrüche oder Sanierungsraten zwischen den Jahren.</w:t>
      </w:r>
    </w:p>
    <w:p>
      <w:pPr>
        <w:pStyle w:val="SourceCode"/>
      </w:pPr>
      <w:r>
        <w:rPr>
          <w:rStyle w:val="NormalTok"/>
        </w:rPr>
        <w:t xml:space="preserve">area_cols</w:t>
      </w:r>
      <w:r>
        <w:rPr>
          <w:rStyle w:val="OperatorTok"/>
        </w:rPr>
        <w:t xml:space="preserve">=</w:t>
      </w:r>
      <w:r>
        <w:rPr>
          <w:rStyle w:val="NormalTok"/>
        </w:rPr>
        <w:t xml:space="preserve">{</w:t>
      </w:r>
      <w:r>
        <w:rPr>
          <w:rStyle w:val="StringTok"/>
        </w:rPr>
        <w:t xml:space="preserve">'heute'</w:t>
      </w:r>
      <w:r>
        <w:rPr>
          <w:rStyle w:val="NormalTok"/>
        </w:rPr>
        <w:t xml:space="preserve">:</w:t>
      </w:r>
      <w:r>
        <w:rPr>
          <w:rStyle w:val="StringTok"/>
        </w:rPr>
        <w:t xml:space="preserve">'Nationale BGF heute'</w:t>
      </w:r>
      <w:r>
        <w:rPr>
          <w:rStyle w:val="NormalTok"/>
        </w:rPr>
        <w:t xml:space="preserve">,</w:t>
      </w:r>
      <w:r>
        <w:rPr>
          <w:rStyle w:val="StringTok"/>
        </w:rPr>
        <w:t xml:space="preserve">'2040'</w:t>
      </w:r>
      <w:r>
        <w:rPr>
          <w:rStyle w:val="NormalTok"/>
        </w:rPr>
        <w:t xml:space="preserve">:</w:t>
      </w:r>
      <w:r>
        <w:rPr>
          <w:rStyle w:val="StringTok"/>
        </w:rPr>
        <w:t xml:space="preserve">'Nationale BGF 2040'</w:t>
      </w:r>
      <w:r>
        <w:rPr>
          <w:rStyle w:val="NormalTok"/>
        </w:rPr>
        <w:t xml:space="preserve">,</w:t>
      </w:r>
      <w:r>
        <w:rPr>
          <w:rStyle w:val="StringTok"/>
        </w:rPr>
        <w:t xml:space="preserve">'2020'</w:t>
      </w:r>
      <w:r>
        <w:rPr>
          <w:rStyle w:val="NormalTok"/>
        </w:rPr>
        <w:t xml:space="preserve">:</w:t>
      </w:r>
      <w:r>
        <w:rPr>
          <w:rStyle w:val="StringTok"/>
        </w:rPr>
        <w:t xml:space="preserve">'BGF_2020_m2'</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area_cols.values():</w:t>
      </w:r>
      <w:r>
        <w:br/>
      </w:r>
      <w:r>
        <w:rPr>
          <w:rStyle w:val="NormalTok"/>
        </w:rPr>
        <w:t xml:space="preserve">    </w:t>
      </w:r>
      <w:r>
        <w:rPr>
          <w:rStyle w:val="ControlFlowTok"/>
        </w:rPr>
        <w:t xml:space="preserve">assert</w:t>
      </w:r>
      <w:r>
        <w:rPr>
          <w:rStyle w:val="NormalTok"/>
        </w:rPr>
        <w:t xml:space="preserve"> data[c].dropna().ge(</w:t>
      </w:r>
      <w:r>
        <w:rPr>
          <w:rStyle w:val="DecValTok"/>
        </w:rPr>
        <w:t xml:space="preserve">0</w:t>
      </w:r>
      <w:r>
        <w:rPr>
          <w:rStyle w:val="NormalTok"/>
        </w:rPr>
        <w:t xml:space="preserve">).</w:t>
      </w:r>
      <w:r>
        <w:rPr>
          <w:rStyle w:val="BuiltInTok"/>
        </w:rPr>
        <w:t xml:space="preserve">all</w:t>
      </w:r>
      <w:r>
        <w:rPr>
          <w:rStyle w:val="NormalTok"/>
        </w:rPr>
        <w:t xml:space="preserve">()</w:t>
      </w:r>
      <w:r>
        <w:br/>
      </w:r>
      <w:r>
        <w:rPr>
          <w:rStyle w:val="NormalTok"/>
        </w:rPr>
        <w:t xml:space="preserve">areas</w:t>
      </w:r>
      <w:r>
        <w:rPr>
          <w:rStyle w:val="OperatorTok"/>
        </w:rPr>
        <w:t xml:space="preserve">=</w:t>
      </w:r>
      <w:r>
        <w:rPr>
          <w:rStyle w:val="NormalTok"/>
        </w:rPr>
        <w:t xml:space="preserve">[]</w:t>
      </w:r>
      <w:r>
        <w:br/>
      </w:r>
      <w:r>
        <w:rPr>
          <w:rStyle w:val="ControlFlowTok"/>
        </w:rPr>
        <w:t xml:space="preserve">for</w:t>
      </w:r>
      <w:r>
        <w:rPr>
          <w:rStyle w:val="NormalTok"/>
        </w:rPr>
        <w:t xml:space="preserve"> year,c </w:t>
      </w:r>
      <w:r>
        <w:rPr>
          <w:rStyle w:val="KeywordTok"/>
        </w:rPr>
        <w:t xml:space="preserve">in</w:t>
      </w:r>
      <w:r>
        <w:rPr>
          <w:rStyle w:val="NormalTok"/>
        </w:rPr>
        <w:t xml:space="preserve"> area_cols.items():</w:t>
      </w:r>
      <w:r>
        <w:br/>
      </w:r>
      <w:r>
        <w:rPr>
          <w:rStyle w:val="NormalTok"/>
        </w:rPr>
        <w:t xml:space="preserve">    areas.append({</w:t>
      </w:r>
      <w:r>
        <w:rPr>
          <w:rStyle w:val="StringTok"/>
        </w:rPr>
        <w:t xml:space="preserve">'Stand'</w:t>
      </w:r>
      <w:r>
        <w:rPr>
          <w:rStyle w:val="NormalTok"/>
        </w:rPr>
        <w:t xml:space="preserve">:year,</w:t>
      </w:r>
      <w:r>
        <w:rPr>
          <w:rStyle w:val="StringTok"/>
        </w:rPr>
        <w:t xml:space="preserve">'BGF [Mio. m²]'</w:t>
      </w:r>
      <w:r>
        <w:rPr>
          <w:rStyle w:val="NormalTok"/>
        </w:rPr>
        <w:t xml:space="preserve">:data[c].</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StringTok"/>
        </w:rPr>
        <w:t xml:space="preserve">'NGF [Mio. m²]'</w:t>
      </w:r>
      <w:r>
        <w:rPr>
          <w:rStyle w:val="NormalTok"/>
        </w:rPr>
        <w:t xml:space="preserve">:r</w:t>
      </w:r>
      <w:r>
        <w:rPr>
          <w:rStyle w:val="OperatorTok"/>
        </w:rPr>
        <w:t xml:space="preserve">*</w:t>
      </w:r>
      <w:r>
        <w:rPr>
          <w:rStyle w:val="NormalTok"/>
        </w:rPr>
        <w:t xml:space="preserve">data[c].</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StringTok"/>
        </w:rPr>
        <w:t xml:space="preserve">'positiv'</w:t>
      </w:r>
      <w:r>
        <w:rPr>
          <w:rStyle w:val="NormalTok"/>
        </w:rPr>
        <w:t xml:space="preserve">:</w:t>
      </w:r>
      <w:r>
        <w:rPr>
          <w:rStyle w:val="BuiltInTok"/>
        </w:rPr>
        <w:t xml:space="preserve">int</w:t>
      </w:r>
      <w:r>
        <w:rPr>
          <w:rStyle w:val="NormalTok"/>
        </w:rPr>
        <w:t xml:space="preserve">(data[c].gt(</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'Null'</w:t>
      </w:r>
      <w:r>
        <w:rPr>
          <w:rStyle w:val="NormalTok"/>
        </w:rPr>
        <w:t xml:space="preserve">:</w:t>
      </w:r>
      <w:r>
        <w:rPr>
          <w:rStyle w:val="BuiltInTok"/>
        </w:rPr>
        <w:t xml:space="preserve">int</w:t>
      </w:r>
      <w:r>
        <w:rPr>
          <w:rStyle w:val="NormalTok"/>
        </w:rPr>
        <w:t xml:space="preserve">(data[c].eq(</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'fehlend'</w:t>
      </w:r>
      <w:r>
        <w:rPr>
          <w:rStyle w:val="NormalTok"/>
        </w:rPr>
        <w:t xml:space="preserve">:</w:t>
      </w:r>
      <w:r>
        <w:rPr>
          <w:rStyle w:val="BuiltInTok"/>
        </w:rPr>
        <w:t xml:space="preserve">int</w:t>
      </w:r>
      <w:r>
        <w:rPr>
          <w:rStyle w:val="NormalTok"/>
        </w:rPr>
        <w:t xml:space="preserve">(data[c].isna().</w:t>
      </w:r>
      <w:r>
        <w:rPr>
          <w:rStyle w:val="BuiltInTok"/>
        </w:rPr>
        <w:t xml:space="preserve">sum</w:t>
      </w:r>
      <w:r>
        <w:rPr>
          <w:rStyle w:val="NormalTok"/>
        </w:rPr>
        <w:t xml:space="preserve">())})</w:t>
      </w:r>
      <w:r>
        <w:br/>
      </w:r>
      <w:r>
        <w:rPr>
          <w:rStyle w:val="NormalTok"/>
        </w:rPr>
        <w:t xml:space="preserve">area_summary</w:t>
      </w:r>
      <w:r>
        <w:rPr>
          <w:rStyle w:val="OperatorTok"/>
        </w:rPr>
        <w:t xml:space="preserve">=</w:t>
      </w:r>
      <w:r>
        <w:rPr>
          <w:rStyle w:val="NormalTok"/>
        </w:rPr>
        <w:t xml:space="preserve">pd.DataFrame(areas)</w:t>
      </w:r>
      <w:r>
        <w:rPr>
          <w:rStyle w:val="OperatorTok"/>
        </w:rPr>
        <w:t xml:space="preserve">;</w:t>
      </w:r>
      <w:r>
        <w:rPr>
          <w:rStyle w:val="NormalTok"/>
        </w:rPr>
        <w:t xml:space="preserve">display(area_summary)</w:t>
      </w:r>
      <w:r>
        <w:br/>
      </w:r>
      <w:r>
        <w:rPr>
          <w:rStyle w:val="ControlFlowTok"/>
        </w:rPr>
        <w:t xml:space="preserve">for</w:t>
      </w:r>
      <w:r>
        <w:rPr>
          <w:rStyle w:val="NormalTok"/>
        </w:rPr>
        <w:t xml:space="preserve"> year,share </w:t>
      </w:r>
      <w:r>
        <w:rPr>
          <w:rStyle w:val="KeywordTok"/>
        </w:rPr>
        <w:t xml:space="preserve">in</w:t>
      </w:r>
      <w:r>
        <w:rPr>
          <w:rStyle w:val="NormalTok"/>
        </w:rPr>
        <w:t xml:space="preserve"> [(</w:t>
      </w:r>
      <w:r>
        <w:rPr>
          <w:rStyle w:val="StringTok"/>
        </w:rPr>
        <w:t xml:space="preserve">'heute'</w:t>
      </w:r>
      <w:r>
        <w:rPr>
          <w:rStyle w:val="NormalTok"/>
        </w:rPr>
        <w:t xml:space="preserve">,</w:t>
      </w:r>
      <w:r>
        <w:rPr>
          <w:rStyle w:val="StringTok"/>
        </w:rPr>
        <w:t xml:space="preserve">'Flächenanteil heute'</w:t>
      </w:r>
      <w:r>
        <w:rPr>
          <w:rStyle w:val="NormalTok"/>
        </w:rPr>
        <w:t xml:space="preserve">),(</w:t>
      </w:r>
      <w:r>
        <w:rPr>
          <w:rStyle w:val="StringTok"/>
        </w:rPr>
        <w:t xml:space="preserve">'2040'</w:t>
      </w:r>
      <w:r>
        <w:rPr>
          <w:rStyle w:val="NormalTok"/>
        </w:rPr>
        <w:t xml:space="preserve">,</w:t>
      </w:r>
      <w:r>
        <w:rPr>
          <w:rStyle w:val="StringTok"/>
        </w:rPr>
        <w:t xml:space="preserve">'Flächenanteil 2040'</w:t>
      </w:r>
      <w:r>
        <w:rPr>
          <w:rStyle w:val="NormalTok"/>
        </w:rPr>
        <w:t xml:space="preserve">)]:</w:t>
      </w:r>
      <w:r>
        <w:br/>
      </w:r>
      <w:r>
        <w:rPr>
          <w:rStyle w:val="NormalTok"/>
        </w:rPr>
        <w:t xml:space="preserve">    </w:t>
      </w:r>
      <w:r>
        <w:rPr>
          <w:rStyle w:val="CommentTok"/>
        </w:rPr>
        <w:t xml:space="preserve"># Quellanteile prüfen; nach redaktioneller Änderung absolute Flächen maßgeblich halten.</w:t>
      </w:r>
      <w:r>
        <w:br/>
      </w:r>
      <w:r>
        <w:rPr>
          <w:rStyle w:val="NormalTok"/>
        </w:rPr>
        <w:t xml:space="preserve">    expected</w:t>
      </w:r>
      <w:r>
        <w:rPr>
          <w:rStyle w:val="OperatorTok"/>
        </w:rPr>
        <w:t xml:space="preserve">=</w:t>
      </w:r>
      <w:r>
        <w:rPr>
          <w:rStyle w:val="NormalTok"/>
        </w:rPr>
        <w:t xml:space="preserve">data[area_cols[year]]</w:t>
      </w:r>
      <w:r>
        <w:rPr>
          <w:rStyle w:val="OperatorTok"/>
        </w:rPr>
        <w:t xml:space="preserve">/</w:t>
      </w:r>
      <w:r>
        <w:rPr>
          <w:rStyle w:val="NormalTok"/>
        </w:rPr>
        <w:t xml:space="preserve">data[area_cols[year]].</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(year,</w:t>
      </w:r>
      <w:r>
        <w:rPr>
          <w:rStyle w:val="StringTok"/>
        </w:rPr>
        <w:t xml:space="preserve">'max. Abweichung der gelieferten Anteilsfelder:'</w:t>
      </w:r>
      <w:r>
        <w:rPr>
          <w:rStyle w:val="NormalTok"/>
        </w:rPr>
        <w:t xml:space="preserve">,</w:t>
      </w:r>
      <w:r>
        <w:rPr>
          <w:rStyle w:val="BuiltInTok"/>
        </w:rPr>
        <w:t xml:space="preserve">abs</w:t>
      </w:r>
      <w:r>
        <w:rPr>
          <w:rStyle w:val="NormalTok"/>
        </w:rPr>
        <w:t xml:space="preserve">(data[share]</w:t>
      </w:r>
      <w:r>
        <w:rPr>
          <w:rStyle w:val="OperatorTok"/>
        </w:rPr>
        <w:t xml:space="preserve">-</w:t>
      </w:r>
      <w:r>
        <w:rPr>
          <w:rStyle w:val="NormalTok"/>
        </w:rPr>
        <w:t xml:space="preserve">expected).</w:t>
      </w:r>
      <w:r>
        <w:rPr>
          <w:rStyle w:val="BuiltInTok"/>
        </w:rPr>
        <w:t xml:space="preserve">max</w:t>
      </w:r>
      <w:r>
        <w:rPr>
          <w:rStyle w:val="NormalTok"/>
        </w:rPr>
        <w:t xml:space="preserve">())</w:t>
      </w:r>
      <w:r>
        <w:br/>
      </w:r>
      <w:r>
        <w:rPr>
          <w:rStyle w:val="NormalTok"/>
        </w:rPr>
        <w:t xml:space="preserve">old</w:t>
      </w:r>
      <w:r>
        <w:rPr>
          <w:rStyle w:val="OperatorTok"/>
        </w:rPr>
        <w:t xml:space="preserve">=</w:t>
      </w:r>
      <w:r>
        <w:rPr>
          <w:rStyle w:val="NormalTok"/>
        </w:rPr>
        <w:t xml:space="preserve">source[</w:t>
      </w:r>
      <w:r>
        <w:rPr>
          <w:rStyle w:val="StringTok"/>
        </w:rPr>
        <w:t xml:space="preserve">'reduced'</w:t>
      </w:r>
      <w:r>
        <w:rPr>
          <w:rStyle w:val="NormalTok"/>
        </w:rPr>
        <w:t xml:space="preserve">]</w:t>
      </w:r>
      <w:r>
        <w:rPr>
          <w:rStyle w:val="OperatorTok"/>
        </w:rPr>
        <w:t xml:space="preserve">;</w:t>
      </w:r>
      <w:r>
        <w:rPr>
          <w:rStyle w:val="NormalTok"/>
        </w:rPr>
        <w:t xml:space="preserve"> old_area</w:t>
      </w:r>
      <w:r>
        <w:rPr>
          <w:rStyle w:val="OperatorTok"/>
        </w:rPr>
        <w:t xml:space="preserve">=</w:t>
      </w:r>
      <w:r>
        <w:rPr>
          <w:rStyle w:val="NormalTok"/>
        </w:rPr>
        <w:t xml:space="preserve">pd.to_numeric(old.NGF_m2,errors</w:t>
      </w:r>
      <w:r>
        <w:rPr>
          <w:rStyle w:val="OperatorTok"/>
        </w:rPr>
        <w:t xml:space="preserve">=</w:t>
      </w:r>
      <w:r>
        <w:rPr>
          <w:rStyle w:val="StringTok"/>
        </w:rPr>
        <w:t xml:space="preserve">'coerce'</w:t>
      </w:r>
      <w:r>
        <w:rPr>
          <w:rStyle w:val="NormalTok"/>
        </w:rPr>
        <w:t xml:space="preserve">)</w:t>
      </w:r>
      <w:r>
        <w:br/>
      </w:r>
      <w:r>
        <w:rPr>
          <w:rStyle w:val="NormalTok"/>
        </w:rPr>
        <w:t xml:space="preserve">area_audit</w:t>
      </w:r>
      <w:r>
        <w:rPr>
          <w:rStyle w:val="OperatorTok"/>
        </w:rPr>
        <w:t xml:space="preserve">=</w:t>
      </w:r>
      <w:r>
        <w:rPr>
          <w:rStyle w:val="NormalTok"/>
        </w:rPr>
        <w:t xml:space="preserve">pd.DataFrame([</w:t>
      </w:r>
      <w:r>
        <w:br/>
      </w:r>
      <w:r>
        <w:rPr>
          <w:rStyle w:val="NormalTok"/>
        </w:rPr>
        <w:t xml:space="preserve"> {</w:t>
      </w:r>
      <w:r>
        <w:rPr>
          <w:rStyle w:val="StringTok"/>
        </w:rPr>
        <w:t xml:space="preserve">'Datensatz'</w:t>
      </w:r>
      <w:r>
        <w:rPr>
          <w:rStyle w:val="NormalTok"/>
        </w:rPr>
        <w:t xml:space="preserve">:</w:t>
      </w:r>
      <w:r>
        <w:rPr>
          <w:rStyle w:val="StringTok"/>
        </w:rPr>
        <w:t xml:space="preserve">'reduced (NGF, alter Stand)'</w:t>
      </w:r>
      <w:r>
        <w:rPr>
          <w:rStyle w:val="NormalTok"/>
        </w:rPr>
        <w:t xml:space="preserve">,</w:t>
      </w:r>
      <w:r>
        <w:rPr>
          <w:rStyle w:val="StringTok"/>
        </w:rPr>
        <w:t xml:space="preserve">'NGF [Mio. m²]'</w:t>
      </w:r>
      <w:r>
        <w:rPr>
          <w:rStyle w:val="NormalTok"/>
        </w:rPr>
        <w:t xml:space="preserve">:old_area.</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'positiv'</w:t>
      </w:r>
      <w:r>
        <w:rPr>
          <w:rStyle w:val="NormalTok"/>
        </w:rPr>
        <w:t xml:space="preserve">:old_area.gt(</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'Null'</w:t>
      </w:r>
      <w:r>
        <w:rPr>
          <w:rStyle w:val="NormalTok"/>
        </w:rPr>
        <w:t xml:space="preserve">:old_area.eq(</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'fehlend'</w:t>
      </w:r>
      <w:r>
        <w:rPr>
          <w:rStyle w:val="NormalTok"/>
        </w:rPr>
        <w:t xml:space="preserve">:old_area.isna().</w:t>
      </w:r>
      <w:r>
        <w:rPr>
          <w:rStyle w:val="BuiltInTok"/>
        </w:rPr>
        <w:t xml:space="preserve">sum</w:t>
      </w:r>
      <w:r>
        <w:rPr>
          <w:rStyle w:val="NormalTok"/>
        </w:rPr>
        <w:t xml:space="preserve">()},</w:t>
      </w:r>
      <w:r>
        <w:br/>
      </w:r>
      <w:r>
        <w:rPr>
          <w:rStyle w:val="NormalTok"/>
        </w:rPr>
        <w:t xml:space="preserve"> {</w:t>
      </w:r>
      <w:r>
        <w:rPr>
          <w:rStyle w:val="StringTok"/>
        </w:rPr>
        <w:t xml:space="preserve">'Datensatz'</w:t>
      </w:r>
      <w:r>
        <w:rPr>
          <w:rStyle w:val="NormalTok"/>
        </w:rPr>
        <w:t xml:space="preserve">:</w:t>
      </w:r>
      <w:r>
        <w:rPr>
          <w:rStyle w:val="StringTok"/>
        </w:rPr>
        <w:t xml:space="preserve">'Strombed_estim heute (BGF × r)'</w:t>
      </w:r>
      <w:r>
        <w:rPr>
          <w:rStyle w:val="NormalTok"/>
        </w:rPr>
        <w:t xml:space="preserve">,</w:t>
      </w:r>
      <w:r>
        <w:rPr>
          <w:rStyle w:val="StringTok"/>
        </w:rPr>
        <w:t xml:space="preserve">'NGF [Mio. m²]'</w:t>
      </w:r>
      <w:r>
        <w:rPr>
          <w:rStyle w:val="NormalTok"/>
        </w:rPr>
        <w:t xml:space="preserve">:r</w:t>
      </w:r>
      <w:r>
        <w:rPr>
          <w:rStyle w:val="OperatorTok"/>
        </w:rPr>
        <w:t xml:space="preserve">*</w:t>
      </w:r>
      <w:r>
        <w:rPr>
          <w:rStyle w:val="NormalTok"/>
        </w:rPr>
        <w:t xml:space="preserve">data[</w:t>
      </w:r>
      <w:r>
        <w:rPr>
          <w:rStyle w:val="StringTok"/>
        </w:rPr>
        <w:t xml:space="preserve">'Nationale BGF heute'</w:t>
      </w:r>
      <w:r>
        <w:rPr>
          <w:rStyle w:val="Normal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'positiv'</w:t>
      </w:r>
      <w:r>
        <w:rPr>
          <w:rStyle w:val="NormalTok"/>
        </w:rPr>
        <w:t xml:space="preserve">:data[</w:t>
      </w:r>
      <w:r>
        <w:rPr>
          <w:rStyle w:val="StringTok"/>
        </w:rPr>
        <w:t xml:space="preserve">'Nationale BGF heute'</w:t>
      </w:r>
      <w:r>
        <w:rPr>
          <w:rStyle w:val="Normal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'Null'</w:t>
      </w:r>
      <w:r>
        <w:rPr>
          <w:rStyle w:val="NormalTok"/>
        </w:rPr>
        <w:t xml:space="preserve">:data[</w:t>
      </w:r>
      <w:r>
        <w:rPr>
          <w:rStyle w:val="StringTok"/>
        </w:rPr>
        <w:t xml:space="preserve">'Nationale BGF heute'</w:t>
      </w:r>
      <w:r>
        <w:rPr>
          <w:rStyle w:val="NormalTok"/>
        </w:rPr>
        <w:t xml:space="preserve">].eq(</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'fehlend'</w:t>
      </w:r>
      <w:r>
        <w:rPr>
          <w:rStyle w:val="NormalTok"/>
        </w:rPr>
        <w:t xml:space="preserve">:data[</w:t>
      </w:r>
      <w:r>
        <w:rPr>
          <w:rStyle w:val="StringTok"/>
        </w:rPr>
        <w:t xml:space="preserve">'Nationale BGF heute'</w:t>
      </w:r>
      <w:r>
        <w:rPr>
          <w:rStyle w:val="NormalTok"/>
        </w:rPr>
        <w:t xml:space="preserve">].isna().</w:t>
      </w:r>
      <w:r>
        <w:rPr>
          <w:rStyle w:val="BuiltInTok"/>
        </w:rPr>
        <w:t xml:space="preserve">sum</w:t>
      </w:r>
      <w:r>
        <w:rPr>
          <w:rStyle w:val="NormalTok"/>
        </w:rPr>
        <w:t xml:space="preserve">()},</w:t>
      </w:r>
      <w:r>
        <w:br/>
      </w:r>
      <w:r>
        <w:rPr>
          <w:rStyle w:val="NormalTok"/>
        </w:rPr>
        <w:t xml:space="preserve"> {</w:t>
      </w:r>
      <w:r>
        <w:rPr>
          <w:rStyle w:val="StringTok"/>
        </w:rPr>
        <w:t xml:space="preserve">'Datensatz'</w:t>
      </w:r>
      <w:r>
        <w:rPr>
          <w:rStyle w:val="NormalTok"/>
        </w:rPr>
        <w:t xml:space="preserve">:</w:t>
      </w:r>
      <w:r>
        <w:rPr>
          <w:rStyle w:val="StringTok"/>
        </w:rPr>
        <w:t xml:space="preserve">'Strombed_estim 2040 (BGF × r)'</w:t>
      </w:r>
      <w:r>
        <w:rPr>
          <w:rStyle w:val="NormalTok"/>
        </w:rPr>
        <w:t xml:space="preserve">,</w:t>
      </w:r>
      <w:r>
        <w:rPr>
          <w:rStyle w:val="StringTok"/>
        </w:rPr>
        <w:t xml:space="preserve">'NGF [Mio. m²]'</w:t>
      </w:r>
      <w:r>
        <w:rPr>
          <w:rStyle w:val="NormalTok"/>
        </w:rPr>
        <w:t xml:space="preserve">:r</w:t>
      </w:r>
      <w:r>
        <w:rPr>
          <w:rStyle w:val="OperatorTok"/>
        </w:rPr>
        <w:t xml:space="preserve">*</w:t>
      </w:r>
      <w:r>
        <w:rPr>
          <w:rStyle w:val="NormalTok"/>
        </w:rPr>
        <w:t xml:space="preserve">data[</w:t>
      </w:r>
      <w:r>
        <w:rPr>
          <w:rStyle w:val="StringTok"/>
        </w:rPr>
        <w:t xml:space="preserve">'Nationale BGF 2040'</w:t>
      </w:r>
      <w:r>
        <w:rPr>
          <w:rStyle w:val="NormalTok"/>
        </w:rPr>
        <w:t xml:space="preserve">].</w:t>
      </w:r>
      <w:r>
        <w:rPr>
          <w:rStyle w:val="BuiltInTok"/>
        </w:rPr>
        <w:t xml:space="preserve">sum</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'positiv'</w:t>
      </w:r>
      <w:r>
        <w:rPr>
          <w:rStyle w:val="NormalTok"/>
        </w:rPr>
        <w:t xml:space="preserve">:data[</w:t>
      </w:r>
      <w:r>
        <w:rPr>
          <w:rStyle w:val="StringTok"/>
        </w:rPr>
        <w:t xml:space="preserve">'Nationale BGF 2040'</w:t>
      </w:r>
      <w:r>
        <w:rPr>
          <w:rStyle w:val="Normal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'Null'</w:t>
      </w:r>
      <w:r>
        <w:rPr>
          <w:rStyle w:val="NormalTok"/>
        </w:rPr>
        <w:t xml:space="preserve">:data[</w:t>
      </w:r>
      <w:r>
        <w:rPr>
          <w:rStyle w:val="StringTok"/>
        </w:rPr>
        <w:t xml:space="preserve">'Nationale BGF 2040'</w:t>
      </w:r>
      <w:r>
        <w:rPr>
          <w:rStyle w:val="NormalTok"/>
        </w:rPr>
        <w:t xml:space="preserve">].eq(</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'fehlend'</w:t>
      </w:r>
      <w:r>
        <w:rPr>
          <w:rStyle w:val="NormalTok"/>
        </w:rPr>
        <w:t xml:space="preserve">:data[</w:t>
      </w:r>
      <w:r>
        <w:rPr>
          <w:rStyle w:val="StringTok"/>
        </w:rPr>
        <w:t xml:space="preserve">'Nationale BGF 2040'</w:t>
      </w:r>
      <w:r>
        <w:rPr>
          <w:rStyle w:val="NormalTok"/>
        </w:rPr>
        <w:t xml:space="preserve">].isna().</w:t>
      </w:r>
      <w:r>
        <w:rPr>
          <w:rStyle w:val="BuiltInTok"/>
        </w:rPr>
        <w:t xml:space="preserve">sum</w:t>
      </w:r>
      <w:r>
        <w:rPr>
          <w:rStyle w:val="NormalTok"/>
        </w:rPr>
        <w:t xml:space="preserve">()}])</w:t>
      </w:r>
      <w:r>
        <w:br/>
      </w:r>
      <w:r>
        <w:rPr>
          <w:rStyle w:val="NormalTok"/>
        </w:rPr>
        <w:t xml:space="preserve">display(area_audit)</w:t>
      </w:r>
      <w:r>
        <w:br/>
      </w:r>
      <w:r>
        <w:rPr>
          <w:rStyle w:val="NormalTok"/>
        </w:rPr>
        <w:t xml:space="preserve">old[</w:t>
      </w:r>
      <w:r>
        <w:rPr>
          <w:rStyle w:val="StringTok"/>
        </w:rPr>
        <w:t xml:space="preserve">'Kern'</w:t>
      </w:r>
      <w:r>
        <w:rPr>
          <w:rStyle w:val="NormalTok"/>
        </w:rPr>
        <w:t xml:space="preserve">]</w:t>
      </w:r>
      <w:r>
        <w:rPr>
          <w:rStyle w:val="OperatorTok"/>
        </w:rPr>
        <w:t xml:space="preserve">=</w:t>
      </w:r>
      <w:r>
        <w:rPr>
          <w:rStyle w:val="NormalTok"/>
        </w:rPr>
        <w:t xml:space="preserve">old[</w:t>
      </w:r>
      <w:r>
        <w:rPr>
          <w:rStyle w:val="StringTok"/>
        </w:rPr>
        <w:t xml:space="preserve">'Scenario Name'</w:t>
      </w:r>
      <w:r>
        <w:rPr>
          <w:rStyle w:val="NormalTok"/>
        </w:rPr>
        <w:t xml:space="preserve">].</w:t>
      </w:r>
      <w:r>
        <w:rPr>
          <w:rStyle w:val="BuiltInTok"/>
        </w:rPr>
        <w:t xml:space="preserve">str</w:t>
      </w:r>
      <w:r>
        <w:rPr>
          <w:rStyle w:val="NormalTok"/>
        </w:rPr>
        <w:t xml:space="preserve">.split(</w:t>
      </w:r>
      <w:r>
        <w:rPr>
          <w:rStyle w:val="StringTok"/>
        </w:rPr>
        <w:t xml:space="preserve">'|'</w:t>
      </w:r>
      <w:r>
        <w:rPr>
          <w:rStyle w:val="NormalTok"/>
        </w:rPr>
        <w:t xml:space="preserve">).</w:t>
      </w:r>
      <w:r>
        <w:rPr>
          <w:rStyle w:val="BuiltInTok"/>
        </w:rPr>
        <w:t xml:space="preserve">str</w:t>
      </w:r>
      <w:r>
        <w:rPr>
          <w:rStyle w:val="NormalTok"/>
        </w:rPr>
        <w:t xml:space="preserve">[:</w:t>
      </w:r>
      <w:r>
        <w:rPr>
          <w:rStyle w:val="DecValTok"/>
        </w:rPr>
        <w:t xml:space="preserve">3</w:t>
      </w:r>
      <w:r>
        <w:rPr>
          <w:rStyle w:val="NormalTok"/>
        </w:rPr>
        <w:t xml:space="preserve">].</w:t>
      </w:r>
      <w:r>
        <w:rPr>
          <w:rStyle w:val="BuiltInTok"/>
        </w:rPr>
        <w:t xml:space="preserve">str</w:t>
      </w:r>
      <w:r>
        <w:rPr>
          <w:rStyle w:val="NormalTok"/>
        </w:rPr>
        <w:t xml:space="preserve">.join(</w:t>
      </w:r>
      <w:r>
        <w:rPr>
          <w:rStyle w:val="StringTok"/>
        </w:rPr>
        <w:t xml:space="preserve">'|'</w:t>
      </w:r>
      <w:r>
        <w:rPr>
          <w:rStyle w:val="NormalTok"/>
        </w:rPr>
        <w:t xml:space="preserve">)</w:t>
      </w:r>
      <w:r>
        <w:br/>
      </w:r>
      <w:r>
        <w:rPr>
          <w:rStyle w:val="NormalTok"/>
        </w:rPr>
        <w:t xml:space="preserve">data[</w:t>
      </w:r>
      <w:r>
        <w:rPr>
          <w:rStyle w:val="StringTok"/>
        </w:rPr>
        <w:t xml:space="preserve">'Kern'</w:t>
      </w:r>
      <w:r>
        <w:rPr>
          <w:rStyle w:val="NormalTok"/>
        </w:rPr>
        <w:t xml:space="preserve">]</w:t>
      </w:r>
      <w:r>
        <w:rPr>
          <w:rStyle w:val="OperatorTok"/>
        </w:rPr>
        <w:t xml:space="preserve">=</w:t>
      </w:r>
      <w:r>
        <w:rPr>
          <w:rStyle w:val="NormalTok"/>
        </w:rPr>
        <w:t xml:space="preserve">data.Archetype.</w:t>
      </w:r>
      <w:r>
        <w:rPr>
          <w:rStyle w:val="BuiltInTok"/>
        </w:rPr>
        <w:t xml:space="preserve">str</w:t>
      </w:r>
      <w:r>
        <w:rPr>
          <w:rStyle w:val="NormalTok"/>
        </w:rPr>
        <w:t xml:space="preserve">.split(</w:t>
      </w:r>
      <w:r>
        <w:rPr>
          <w:rStyle w:val="StringTok"/>
        </w:rPr>
        <w:t xml:space="preserve">'|'</w:t>
      </w:r>
      <w:r>
        <w:rPr>
          <w:rStyle w:val="NormalTok"/>
        </w:rPr>
        <w:t xml:space="preserve">).</w:t>
      </w:r>
      <w:r>
        <w:rPr>
          <w:rStyle w:val="BuiltInTok"/>
        </w:rPr>
        <w:t xml:space="preserve">str</w:t>
      </w:r>
      <w:r>
        <w:rPr>
          <w:rStyle w:val="NormalTok"/>
        </w:rPr>
        <w:t xml:space="preserve">[:</w:t>
      </w:r>
      <w:r>
        <w:rPr>
          <w:rStyle w:val="DecValTok"/>
        </w:rPr>
        <w:t xml:space="preserve">3</w:t>
      </w:r>
      <w:r>
        <w:rPr>
          <w:rStyle w:val="NormalTok"/>
        </w:rPr>
        <w:t xml:space="preserve">].</w:t>
      </w:r>
      <w:r>
        <w:rPr>
          <w:rStyle w:val="BuiltInTok"/>
        </w:rPr>
        <w:t xml:space="preserve">str</w:t>
      </w:r>
      <w:r>
        <w:rPr>
          <w:rStyle w:val="NormalTok"/>
        </w:rPr>
        <w:t xml:space="preserve">.join(</w:t>
      </w:r>
      <w:r>
        <w:rPr>
          <w:rStyle w:val="StringTok"/>
        </w:rPr>
        <w:t xml:space="preserve">'|'</w:t>
      </w:r>
      <w:r>
        <w:rPr>
          <w:rStyle w:val="NormalTok"/>
        </w:rPr>
        <w:t xml:space="preserve">)</w:t>
      </w:r>
      <w:r>
        <w:br/>
      </w:r>
      <w:r>
        <w:rPr>
          <w:rStyle w:val="NormalTok"/>
        </w:rPr>
        <w:t xml:space="preserve">core</w:t>
      </w:r>
      <w:r>
        <w:rPr>
          <w:rStyle w:val="OperatorTok"/>
        </w:rPr>
        <w:t xml:space="preserve">=</w:t>
      </w:r>
      <w:r>
        <w:rPr>
          <w:rStyle w:val="NormalTok"/>
        </w:rPr>
        <w:t xml:space="preserve">old.groupby(</w:t>
      </w:r>
      <w:r>
        <w:rPr>
          <w:rStyle w:val="StringTok"/>
        </w:rPr>
        <w:t xml:space="preserve">'Kern'</w:t>
      </w:r>
      <w:r>
        <w:rPr>
          <w:rStyle w:val="NormalTok"/>
        </w:rPr>
        <w:t xml:space="preserve">).NGF_m2.</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).rename(</w:t>
      </w:r>
      <w:r>
        <w:rPr>
          <w:rStyle w:val="StringTok"/>
        </w:rPr>
        <w:t xml:space="preserve">'reduced_NGF'</w:t>
      </w:r>
      <w:r>
        <w:rPr>
          <w:rStyle w:val="NormalTok"/>
        </w:rPr>
        <w:t xml:space="preserve">).to_frame().join(</w:t>
      </w:r>
      <w:r>
        <w:br/>
      </w:r>
      <w:r>
        <w:rPr>
          <w:rStyle w:val="NormalTok"/>
        </w:rPr>
        <w:t xml:space="preserve">    data.groupby(</w:t>
      </w:r>
      <w:r>
        <w:rPr>
          <w:rStyle w:val="StringTok"/>
        </w:rPr>
        <w:t xml:space="preserve">'Kern'</w:t>
      </w:r>
      <w:r>
        <w:rPr>
          <w:rStyle w:val="NormalTok"/>
        </w:rPr>
        <w:t xml:space="preserve">)[</w:t>
      </w:r>
      <w:r>
        <w:rPr>
          <w:rStyle w:val="StringTok"/>
        </w:rPr>
        <w:t xml:space="preserve">'Nationale BGF heute'</w:t>
      </w:r>
      <w:r>
        <w:rPr>
          <w:rStyle w:val="NormalTok"/>
        </w:rPr>
        <w:t xml:space="preserve">].</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).mul(r).rename(</w:t>
      </w:r>
      <w:r>
        <w:rPr>
          <w:rStyle w:val="StringTok"/>
        </w:rPr>
        <w:t xml:space="preserve">'neu_NGF_heute'</w:t>
      </w:r>
      <w:r>
        <w:rPr>
          <w:rStyle w:val="NormalTok"/>
        </w:rPr>
        <w:t xml:space="preserve">))</w:t>
      </w:r>
      <w:r>
        <w:br/>
      </w:r>
      <w:r>
        <w:rPr>
          <w:rStyle w:val="NormalTok"/>
        </w:rPr>
        <w:t xml:space="preserve">core[</w:t>
      </w:r>
      <w:r>
        <w:rPr>
          <w:rStyle w:val="StringTok"/>
        </w:rPr>
        <w:t xml:space="preserve">'Differenz_NGF'</w:t>
      </w:r>
      <w:r>
        <w:rPr>
          <w:rStyle w:val="NormalTok"/>
        </w:rPr>
        <w:t xml:space="preserve">]</w:t>
      </w:r>
      <w:r>
        <w:rPr>
          <w:rStyle w:val="OperatorTok"/>
        </w:rPr>
        <w:t xml:space="preserve">=</w:t>
      </w:r>
      <w:r>
        <w:rPr>
          <w:rStyle w:val="NormalTok"/>
        </w:rPr>
        <w:t xml:space="preserve">core.neu_NGF_heute</w:t>
      </w:r>
      <w:r>
        <w:rPr>
          <w:rStyle w:val="OperatorTok"/>
        </w:rPr>
        <w:t xml:space="preserve">-</w:t>
      </w:r>
      <w:r>
        <w:rPr>
          <w:rStyle w:val="NormalTok"/>
        </w:rPr>
        <w:t xml:space="preserve">core.reduced_NGF</w:t>
      </w:r>
      <w:r>
        <w:br/>
      </w:r>
      <w:r>
        <w:rPr>
          <w:rStyle w:val="NormalTok"/>
        </w:rPr>
        <w:t xml:space="preserve">core.to_csv(OUT</w:t>
      </w:r>
      <w:r>
        <w:rPr>
          <w:rStyle w:val="OperatorTok"/>
        </w:rPr>
        <w:t xml:space="preserve">/</w:t>
      </w:r>
      <w:r>
        <w:rPr>
          <w:rStyle w:val="StringTok"/>
        </w:rPr>
        <w:t xml:space="preserve">'flaechenvergleich_kern.csv'</w:t>
      </w:r>
      <w:r>
        <w:rPr>
          <w:rStyle w:val="NormalTok"/>
        </w:rPr>
        <w:t xml:space="preserve">)</w:t>
      </w:r>
      <w:r>
        <w:br/>
      </w:r>
      <w:r>
        <w:rPr>
          <w:rStyle w:val="NormalTok"/>
        </w:rPr>
        <w:t xml:space="preserve">statussum</w:t>
      </w:r>
      <w:r>
        <w:rPr>
          <w:rStyle w:val="OperatorTok"/>
        </w:rPr>
        <w:t xml:space="preserve">=</w:t>
      </w:r>
      <w:r>
        <w:rPr>
          <w:rStyle w:val="NormalTok"/>
        </w:rPr>
        <w:t xml:space="preserve">data[[</w:t>
      </w:r>
      <w:r>
        <w:rPr>
          <w:rStyle w:val="StringTok"/>
        </w:rPr>
        <w:t xml:space="preserve">'Bestand'</w:t>
      </w:r>
      <w:r>
        <w:rPr>
          <w:rStyle w:val="NormalTok"/>
        </w:rPr>
        <w:t xml:space="preserve">,</w:t>
      </w:r>
      <w:r>
        <w:rPr>
          <w:rStyle w:val="StringTok"/>
        </w:rPr>
        <w:t xml:space="preserve">'Neubau'</w:t>
      </w:r>
      <w:r>
        <w:rPr>
          <w:rStyle w:val="NormalTok"/>
        </w:rPr>
        <w:t xml:space="preserve">,</w:t>
      </w:r>
      <w:r>
        <w:rPr>
          <w:rStyle w:val="StringTok"/>
        </w:rPr>
        <w:t xml:space="preserve">'Sanierung'</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,min_count</w:t>
      </w:r>
      <w:r>
        <w:rPr>
          <w:rStyle w:val="OperatorTok"/>
        </w:rPr>
        <w:t xml:space="preserve">=</w:t>
      </w:r>
      <w:r>
        <w:rPr>
          <w:rStyle w:val="DecValTok"/>
        </w:rPr>
        <w:t xml:space="preserve">3</w:t>
      </w:r>
      <w:r>
        <w:rPr>
          <w:rStyle w:val="NormalTok"/>
        </w:rPr>
        <w:t xml:space="preserve">)</w:t>
      </w:r>
      <w:r>
        <w:br/>
      </w:r>
      <w:r>
        <w:rPr>
          <w:rStyle w:val="ControlFlowTok"/>
        </w:rPr>
        <w:t xml:space="preserve">assert</w:t>
      </w:r>
      <w:r>
        <w:rPr>
          <w:rStyle w:val="NormalTok"/>
        </w:rPr>
        <w:t xml:space="preserve"> np.allclose(statussum[data[</w:t>
      </w:r>
      <w:r>
        <w:rPr>
          <w:rStyle w:val="StringTok"/>
        </w:rPr>
        <w:t xml:space="preserve">'Nationale BGF 2040'</w:t>
      </w:r>
      <w:r>
        <w:rPr>
          <w:rStyle w:val="NormalTok"/>
        </w:rPr>
        <w:t xml:space="preserve">].gt(</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status</w:t>
      </w:r>
      <w:r>
        <w:rPr>
          <w:rStyle w:val="OperatorTok"/>
        </w:rPr>
        <w:t xml:space="preserve">=</w:t>
      </w:r>
      <w:r>
        <w:rPr>
          <w:rStyle w:val="NormalTok"/>
        </w:rPr>
        <w:t xml:space="preserve">pd.DataFrame([{</w:t>
      </w:r>
      <w:r>
        <w:rPr>
          <w:rStyle w:val="StringTok"/>
        </w:rPr>
        <w:t xml:space="preserve">'Zustand'</w:t>
      </w:r>
      <w:r>
        <w:rPr>
          <w:rStyle w:val="NormalTok"/>
        </w:rPr>
        <w:t xml:space="preserve">:c,</w:t>
      </w:r>
      <w:r>
        <w:rPr>
          <w:rStyle w:val="StringTok"/>
        </w:rPr>
        <w:t xml:space="preserve">'BGF 2040 [Mio. m²]'</w:t>
      </w:r>
      <w:r>
        <w:rPr>
          <w:rStyle w:val="NormalTok"/>
        </w:rPr>
        <w:t xml:space="preserve">:(data[c]</w:t>
      </w:r>
      <w:r>
        <w:rPr>
          <w:rStyle w:val="OperatorTok"/>
        </w:rPr>
        <w:t xml:space="preserve">*</w:t>
      </w:r>
      <w:r>
        <w:rPr>
          <w:rStyle w:val="NormalTok"/>
        </w:rPr>
        <w:t xml:space="preserve">data[</w:t>
      </w:r>
      <w:r>
        <w:rPr>
          <w:rStyle w:val="StringTok"/>
        </w:rPr>
        <w:t xml:space="preserve">'Nationale BGF 2040'</w:t>
      </w:r>
      <w:r>
        <w:rPr>
          <w:rStyle w:val="NormalTok"/>
        </w:rPr>
        <w:t xml:space="preserve">]).</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'Bestand'</w:t>
      </w:r>
      <w:r>
        <w:rPr>
          <w:rStyle w:val="NormalTok"/>
        </w:rPr>
        <w:t xml:space="preserve">,</w:t>
      </w:r>
      <w:r>
        <w:rPr>
          <w:rStyle w:val="StringTok"/>
        </w:rPr>
        <w:t xml:space="preserve">'Neubau'</w:t>
      </w:r>
      <w:r>
        <w:rPr>
          <w:rStyle w:val="NormalTok"/>
        </w:rPr>
        <w:t xml:space="preserve">,</w:t>
      </w:r>
      <w:r>
        <w:rPr>
          <w:rStyle w:val="StringTok"/>
        </w:rPr>
        <w:t xml:space="preserve">'Sanierung'</w:t>
      </w:r>
      <w:r>
        <w:rPr>
          <w:rStyle w:val="NormalTok"/>
        </w:rPr>
        <w:t xml:space="preserve">]])</w:t>
      </w:r>
      <w:r>
        <w:br/>
      </w:r>
      <w:r>
        <w:rPr>
          <w:rStyle w:val="NormalTok"/>
        </w:rPr>
        <w:t xml:space="preserve">display(status)</w:t>
      </w:r>
      <w:r>
        <w:br/>
      </w:r>
      <w:r>
        <w:rPr>
          <w:rStyle w:val="NormalTok"/>
        </w:rPr>
        <w:t xml:space="preserve">geometry_area</w:t>
      </w:r>
      <w:r>
        <w:rPr>
          <w:rStyle w:val="OperatorTok"/>
        </w:rPr>
        <w:t xml:space="preserve">=</w:t>
      </w:r>
      <w:r>
        <w:rPr>
          <w:rStyle w:val="NormalTok"/>
        </w:rPr>
        <w:t xml:space="preserve">data.groupby(</w:t>
      </w:r>
      <w:r>
        <w:rPr>
          <w:rStyle w:val="StringTok"/>
        </w:rPr>
        <w:t xml:space="preserve">'Geometrie'</w:t>
      </w:r>
      <w:r>
        <w:rPr>
          <w:rStyle w:val="NormalTok"/>
        </w:rPr>
        <w:t xml:space="preserve">)[[</w:t>
      </w:r>
      <w:r>
        <w:rPr>
          <w:rStyle w:val="StringTok"/>
        </w:rPr>
        <w:t xml:space="preserve">'Nationale BGF heute'</w:t>
      </w:r>
      <w:r>
        <w:rPr>
          <w:rStyle w:val="NormalTok"/>
        </w:rPr>
        <w:t xml:space="preserve">,</w:t>
      </w:r>
      <w:r>
        <w:rPr>
          <w:rStyle w:val="StringTok"/>
        </w:rPr>
        <w:t xml:space="preserve">'Nationale BGF 2040'</w:t>
      </w:r>
      <w:r>
        <w:rPr>
          <w:rStyle w:val="NormalTok"/>
        </w:rPr>
        <w:t xml:space="preserve">]].</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br/>
      </w:r>
      <w:r>
        <w:rPr>
          <w:rStyle w:val="NormalTok"/>
        </w:rPr>
        <w:t xml:space="preserve">display(geometry_area)</w:t>
      </w:r>
      <w:r>
        <w:br/>
      </w:r>
      <w:r>
        <w:rPr>
          <w:rStyle w:val="NormalTok"/>
        </w:rPr>
        <w:t xml:space="preserve">fig,ax</w:t>
      </w:r>
      <w:r>
        <w:rPr>
          <w:rStyle w:val="OperatorTok"/>
        </w:rPr>
        <w:t xml:space="preserve">=</w:t>
      </w:r>
      <w:r>
        <w:rPr>
          <w:rStyle w:val="NormalTok"/>
        </w:rPr>
        <w:t xml:space="preserve">plt.subplots(figsize</w:t>
      </w:r>
      <w:r>
        <w:rPr>
          <w:rStyle w:val="OperatorTok"/>
        </w:rPr>
        <w:t xml:space="preserve">=</w:t>
      </w:r>
      <w:r>
        <w:rPr>
          <w:rStyle w:val="NormalTok"/>
        </w:rPr>
        <w:t xml:space="preserve">(</w:t>
      </w:r>
      <w:r>
        <w:rPr>
          <w:rStyle w:val="DecValTok"/>
        </w:rPr>
        <w:t xml:space="preserve">9</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geometry_area.plot.bar(ax</w:t>
      </w:r>
      <w:r>
        <w:rPr>
          <w:rStyle w:val="OperatorTok"/>
        </w:rPr>
        <w:t xml:space="preserve">=</w:t>
      </w:r>
      <w:r>
        <w:rPr>
          <w:rStyle w:val="NormalTok"/>
        </w:rPr>
        <w:t xml:space="preserve">ax,color</w:t>
      </w:r>
      <w:r>
        <w:rPr>
          <w:rStyle w:val="OperatorTok"/>
        </w:rPr>
        <w:t xml:space="preserve">=</w:t>
      </w:r>
      <w:r>
        <w:rPr>
          <w:rStyle w:val="NormalTok"/>
        </w:rPr>
        <w:t xml:space="preserve">[</w:t>
      </w:r>
      <w:r>
        <w:rPr>
          <w:rStyle w:val="StringTok"/>
        </w:rPr>
        <w:t xml:space="preserve">'#9aaebc'</w:t>
      </w:r>
      <w:r>
        <w:rPr>
          <w:rStyle w:val="NormalTok"/>
        </w:rPr>
        <w:t xml:space="preserve">,</w:t>
      </w:r>
      <w:r>
        <w:rPr>
          <w:rStyle w:val="StringTok"/>
        </w:rPr>
        <w:t xml:space="preserve">'#285c83'</w:t>
      </w:r>
      <w:r>
        <w:rPr>
          <w:rStyle w:val="NormalTok"/>
        </w:rPr>
        <w:t xml:space="preserve">])</w:t>
      </w:r>
      <w:r>
        <w:br/>
      </w:r>
      <w:r>
        <w:rPr>
          <w:rStyle w:val="NormalTok"/>
        </w:rPr>
        <w:t xml:space="preserve">ax.</w:t>
      </w:r>
      <w:r>
        <w:rPr>
          <w:rStyle w:val="BuiltInTok"/>
        </w:rPr>
        <w:t xml:space="preserve">set</w:t>
      </w:r>
      <w:r>
        <w:rPr>
          <w:rStyle w:val="NormalTok"/>
        </w:rPr>
        <w:t xml:space="preserve">(ylabel</w:t>
      </w:r>
      <w:r>
        <w:rPr>
          <w:rStyle w:val="OperatorTok"/>
        </w:rPr>
        <w:t xml:space="preserve">=</w:t>
      </w:r>
      <w:r>
        <w:rPr>
          <w:rStyle w:val="StringTok"/>
        </w:rPr>
        <w:t xml:space="preserve">'BGF [Mio. m²]'</w:t>
      </w:r>
      <w:r>
        <w:rPr>
          <w:rStyle w:val="NormalTok"/>
        </w:rPr>
        <w:t xml:space="preserve">,xlabel</w:t>
      </w:r>
      <w:r>
        <w:rPr>
          <w:rStyle w:val="OperatorTok"/>
        </w:rPr>
        <w:t xml:space="preserve">=</w:t>
      </w:r>
      <w:r>
        <w:rPr>
          <w:rStyle w:val="StringTok"/>
        </w:rPr>
        <w:t xml:space="preserve">'Geometrische Klasse'</w:t>
      </w:r>
      <w:r>
        <w:rPr>
          <w:rStyle w:val="NormalTok"/>
        </w:rPr>
        <w:t xml:space="preserve">)</w:t>
      </w:r>
      <w:r>
        <w:rPr>
          <w:rStyle w:val="OperatorTok"/>
        </w:rPr>
        <w:t xml:space="preserve">;</w:t>
      </w:r>
      <w:r>
        <w:rPr>
          <w:rStyle w:val="NormalTok"/>
        </w:rPr>
        <w:t xml:space="preserve">ax.tick_params(axis</w:t>
      </w:r>
      <w:r>
        <w:rPr>
          <w:rStyle w:val="OperatorTok"/>
        </w:rPr>
        <w:t xml:space="preserve">=</w:t>
      </w:r>
      <w:r>
        <w:rPr>
          <w:rStyle w:val="StringTok"/>
        </w:rPr>
        <w:t xml:space="preserve">'x'</w:t>
      </w:r>
      <w:r>
        <w:rPr>
          <w:rStyle w:val="NormalTok"/>
        </w:rPr>
        <w:t xml:space="preserve">,rotation</w:t>
      </w:r>
      <w:r>
        <w:rPr>
          <w:rStyle w:val="OperatorTok"/>
        </w:rPr>
        <w:t xml:space="preserve">=</w:t>
      </w:r>
      <w:r>
        <w:rPr>
          <w:rStyle w:val="DecValTok"/>
        </w:rPr>
        <w:t xml:space="preserve">40</w:t>
      </w:r>
      <w:r>
        <w:rPr>
          <w:rStyle w:val="NormalTok"/>
        </w:rPr>
        <w:t xml:space="preserve">)</w:t>
      </w:r>
      <w:r>
        <w:br/>
      </w:r>
      <w:r>
        <w:rPr>
          <w:rStyle w:val="NormalTok"/>
        </w:rPr>
        <w:t xml:space="preserve">ax.legend([</w:t>
      </w:r>
      <w:r>
        <w:rPr>
          <w:rStyle w:val="StringTok"/>
        </w:rPr>
        <w:t xml:space="preserve">'Heute: Jahr offen'</w:t>
      </w:r>
      <w:r>
        <w:rPr>
          <w:rStyle w:val="NormalTok"/>
        </w:rPr>
        <w:t xml:space="preserve">,</w:t>
      </w:r>
      <w:r>
        <w:rPr>
          <w:rStyle w:val="StringTok"/>
        </w:rPr>
        <w:t xml:space="preserve">'2040'</w:t>
      </w:r>
      <w:r>
        <w:rPr>
          <w:rStyle w:val="NormalTok"/>
        </w:rPr>
        <w:t xml:space="preserve">])</w:t>
      </w:r>
      <w:r>
        <w:rPr>
          <w:rStyle w:val="OperatorTok"/>
        </w:rPr>
        <w:t xml:space="preserve">;</w:t>
      </w:r>
      <w:r>
        <w:rPr>
          <w:rStyle w:val="NormalTok"/>
        </w:rPr>
        <w:t xml:space="preserve">fig.tight_layout()</w:t>
      </w:r>
      <w:r>
        <w:rPr>
          <w:rStyle w:val="OperatorTok"/>
        </w:rPr>
        <w:t xml:space="preserve">;</w:t>
      </w:r>
      <w:r>
        <w:rPr>
          <w:rStyle w:val="NormalTok"/>
        </w:rPr>
        <w:t xml:space="preserve">fig.savefig(OUT</w:t>
      </w:r>
      <w:r>
        <w:rPr>
          <w:rStyle w:val="OperatorTok"/>
        </w:rPr>
        <w:t xml:space="preserve">/</w:t>
      </w:r>
      <w:r>
        <w:rPr>
          <w:rStyle w:val="StringTok"/>
        </w:rPr>
        <w:t xml:space="preserve">'flaechen.png'</w:t>
      </w:r>
      <w:r>
        <w:rPr>
          <w:rStyle w:val="NormalTok"/>
        </w:rPr>
        <w:t xml:space="preserve">,dpi</w:t>
      </w:r>
      <w:r>
        <w:rPr>
          <w:rStyle w:val="OperatorTok"/>
        </w:rPr>
        <w:t xml:space="preserve">=</w:t>
      </w:r>
      <w:r>
        <w:rPr>
          <w:rStyle w:val="DecValTok"/>
        </w:rPr>
        <w:t xml:space="preserve">180</w:t>
      </w:r>
      <w:r>
        <w:rPr>
          <w:rStyle w:val="NormalTok"/>
        </w:rPr>
        <w:t xml:space="preserve">)</w:t>
      </w:r>
      <w:r>
        <w:rPr>
          <w:rStyle w:val="OperatorTok"/>
        </w:rPr>
        <w:t xml:space="preserve">;</w:t>
      </w:r>
      <w:r>
        <w:rPr>
          <w:rStyle w:val="NormalTok"/>
        </w:rPr>
        <w:t xml:space="preserve">plt.show()</w:t>
      </w:r>
      <w:r>
        <w:br/>
      </w:r>
      <w:r>
        <w:rPr>
          <w:rStyle w:val="NormalTok"/>
        </w:rPr>
        <w:t xml:space="preserve">area_audit.to_csv(OUT</w:t>
      </w:r>
      <w:r>
        <w:rPr>
          <w:rStyle w:val="OperatorTok"/>
        </w:rPr>
        <w:t xml:space="preserve">/</w:t>
      </w:r>
      <w:r>
        <w:rPr>
          <w:rStyle w:val="StringTok"/>
        </w:rPr>
        <w:t xml:space="preserve">'flaechenaudit.csv'</w:t>
      </w:r>
      <w:r>
        <w:rPr>
          <w:rStyle w:val="NormalTok"/>
        </w:rPr>
        <w:t xml:space="preserve">,index</w:t>
      </w:r>
      <w:r>
        <w:rPr>
          <w:rStyle w:val="OperatorTok"/>
        </w:rPr>
        <w:t xml:space="preserve">=</w:t>
      </w:r>
      <w:r>
        <w:rPr>
          <w:rStyle w:val="VariableTok"/>
        </w:rPr>
        <w:t xml:space="preserve">False</w:t>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Stand</w:t>
            </w:r>
          </w:p>
        </w:tc>
        <w:tc>
          <w:tcPr/>
          <w:p>
            <w:pPr>
              <w:pStyle w:val="Compact"/>
            </w:pPr>
            <w:r>
              <w:t xml:space="preserve">BGF [Mio. m²]</w:t>
            </w:r>
          </w:p>
        </w:tc>
        <w:tc>
          <w:tcPr/>
          <w:p>
            <w:pPr>
              <w:pStyle w:val="Compact"/>
            </w:pPr>
            <w:r>
              <w:t xml:space="preserve">NGF [Mio. m²]</w:t>
            </w:r>
          </w:p>
        </w:tc>
        <w:tc>
          <w:tcPr/>
          <w:p>
            <w:pPr>
              <w:pStyle w:val="Compact"/>
            </w:pPr>
            <w:r>
              <w:t xml:space="preserve">positiv</w:t>
            </w:r>
          </w:p>
        </w:tc>
        <w:tc>
          <w:tcPr/>
          <w:p>
            <w:pPr>
              <w:pStyle w:val="Compact"/>
            </w:pPr>
            <w:r>
              <w:t xml:space="preserve">Null</w:t>
            </w:r>
          </w:p>
        </w:tc>
        <w:tc>
          <w:tcPr/>
          <w:p>
            <w:pPr>
              <w:pStyle w:val="Compact"/>
            </w:pPr>
            <w:r>
              <w:t xml:space="preserve">fehlend</w:t>
            </w:r>
          </w:p>
        </w:tc>
      </w:tr>
      <w:tr>
        <w:tc>
          <w:tcPr/>
          <w:p>
            <w:pPr>
              <w:pStyle w:val="Compact"/>
            </w:pPr>
            <w:r>
              <w:t xml:space="preserve">0</w:t>
            </w:r>
          </w:p>
        </w:tc>
        <w:tc>
          <w:tcPr/>
          <w:p>
            <w:pPr>
              <w:pStyle w:val="Compact"/>
            </w:pPr>
            <w:r>
              <w:t xml:space="preserve">heute</w:t>
            </w:r>
          </w:p>
        </w:tc>
        <w:tc>
          <w:tcPr/>
          <w:p>
            <w:pPr>
              <w:pStyle w:val="Compact"/>
            </w:pPr>
            <w:r>
              <w:t xml:space="preserve">1112.340698</w:t>
            </w:r>
          </w:p>
        </w:tc>
        <w:tc>
          <w:tcPr/>
          <w:p>
            <w:pPr>
              <w:pStyle w:val="Compact"/>
            </w:pPr>
            <w:r>
              <w:t xml:space="preserve">889.872558</w:t>
            </w:r>
          </w:p>
        </w:tc>
        <w:tc>
          <w:tcPr/>
          <w:p>
            <w:pPr>
              <w:pStyle w:val="Compact"/>
            </w:pPr>
            <w:r>
              <w:t xml:space="preserve">585</w:t>
            </w:r>
          </w:p>
        </w:tc>
        <w:tc>
          <w:tcPr/>
          <w:p>
            <w:pPr>
              <w:pStyle w:val="Compact"/>
            </w:pPr>
            <w:r>
              <w:t xml:space="preserve">315</w:t>
            </w:r>
          </w:p>
        </w:tc>
        <w:tc>
          <w:tcPr/>
          <w:p>
            <w:pPr>
              <w:pStyle w:val="Compact"/>
            </w:pPr>
            <w:r>
              <w:t xml:space="preserve">0</w:t>
            </w:r>
          </w:p>
        </w:tc>
      </w:tr>
      <w:tr>
        <w:tc>
          <w:tcPr/>
          <w:p>
            <w:pPr>
              <w:pStyle w:val="Compact"/>
            </w:pPr>
            <w:r>
              <w:t xml:space="preserve">1</w:t>
            </w:r>
          </w:p>
        </w:tc>
        <w:tc>
          <w:tcPr/>
          <w:p>
            <w:pPr>
              <w:pStyle w:val="Compact"/>
            </w:pPr>
            <w:r>
              <w:t xml:space="preserve">2040</w:t>
            </w:r>
          </w:p>
        </w:tc>
        <w:tc>
          <w:tcPr/>
          <w:p>
            <w:pPr>
              <w:pStyle w:val="Compact"/>
            </w:pPr>
            <w:r>
              <w:t xml:space="preserve">1126.578658</w:t>
            </w:r>
          </w:p>
        </w:tc>
        <w:tc>
          <w:tcPr/>
          <w:p>
            <w:pPr>
              <w:pStyle w:val="Compact"/>
            </w:pPr>
            <w:r>
              <w:t xml:space="preserve">901.262927</w:t>
            </w:r>
          </w:p>
        </w:tc>
        <w:tc>
          <w:tcPr/>
          <w:p>
            <w:pPr>
              <w:pStyle w:val="Compact"/>
            </w:pPr>
            <w:r>
              <w:t xml:space="preserve">603</w:t>
            </w:r>
          </w:p>
        </w:tc>
        <w:tc>
          <w:tcPr/>
          <w:p>
            <w:pPr>
              <w:pStyle w:val="Compact"/>
            </w:pPr>
            <w:r>
              <w:t xml:space="preserve">297</w:t>
            </w:r>
          </w:p>
        </w:tc>
        <w:tc>
          <w:tcPr/>
          <w:p>
            <w:pPr>
              <w:pStyle w:val="Compact"/>
            </w:pPr>
            <w:r>
              <w:t xml:space="preserve">0</w:t>
            </w:r>
          </w:p>
        </w:tc>
      </w:tr>
      <w:tr>
        <w:tc>
          <w:tcPr/>
          <w:p>
            <w:pPr>
              <w:pStyle w:val="Compact"/>
            </w:pPr>
            <w:r>
              <w:t xml:space="preserve">2</w:t>
            </w:r>
          </w:p>
        </w:tc>
        <w:tc>
          <w:tcPr/>
          <w:p>
            <w:pPr>
              <w:pStyle w:val="Compact"/>
            </w:pPr>
            <w:r>
              <w:t xml:space="preserve">2020</w:t>
            </w:r>
          </w:p>
        </w:tc>
        <w:tc>
          <w:tcPr/>
          <w:p>
            <w:pPr>
              <w:pStyle w:val="Compact"/>
            </w:pPr>
            <w:r>
              <w:t xml:space="preserve">NaN</w:t>
            </w:r>
          </w:p>
        </w:tc>
        <w:tc>
          <w:tcPr/>
          <w:p>
            <w:pPr>
              <w:pStyle w:val="Compact"/>
            </w:pPr>
            <w:r>
              <w:t xml:space="preserve">NaN</w:t>
            </w:r>
          </w:p>
        </w:tc>
        <w:tc>
          <w:tcPr/>
          <w:p>
            <w:pPr>
              <w:pStyle w:val="Compact"/>
            </w:pPr>
            <w:r>
              <w:t xml:space="preserve">0</w:t>
            </w:r>
          </w:p>
        </w:tc>
        <w:tc>
          <w:tcPr/>
          <w:p>
            <w:pPr>
              <w:pStyle w:val="Compact"/>
            </w:pPr>
            <w:r>
              <w:t xml:space="preserve">0</w:t>
            </w:r>
          </w:p>
        </w:tc>
        <w:tc>
          <w:tcPr/>
          <w:p>
            <w:pPr>
              <w:pStyle w:val="Compact"/>
            </w:pPr>
            <w:r>
              <w:t xml:space="preserve">900</w:t>
            </w:r>
          </w:p>
        </w:tc>
      </w:tr>
    </w:tbl>
    <w:p>
      <w:pPr>
        <w:pStyle w:val="SourceCode"/>
      </w:pPr>
      <w:r>
        <w:rPr>
          <w:rStyle w:val="VerbatimChar"/>
        </w:rPr>
        <w:t xml:space="preserve">heute max. Abweichung der gelieferten Anteilsfelder: 4.995509659145442e-11</w:t>
      </w:r>
      <w:r>
        <w:br/>
      </w:r>
      <w:r>
        <w:rPr>
          <w:rStyle w:val="VerbatimChar"/>
        </w:rPr>
        <w:t xml:space="preserve">2040 max. Abweichung der gelieferten Anteilsfelder: 4.981260759776007e-11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Datensatz</w:t>
            </w:r>
          </w:p>
        </w:tc>
        <w:tc>
          <w:tcPr/>
          <w:p>
            <w:pPr>
              <w:pStyle w:val="Compact"/>
            </w:pPr>
            <w:r>
              <w:t xml:space="preserve">NGF [Mio. m²]</w:t>
            </w:r>
          </w:p>
        </w:tc>
        <w:tc>
          <w:tcPr/>
          <w:p>
            <w:pPr>
              <w:pStyle w:val="Compact"/>
            </w:pPr>
            <w:r>
              <w:t xml:space="preserve">positiv</w:t>
            </w:r>
          </w:p>
        </w:tc>
        <w:tc>
          <w:tcPr/>
          <w:p>
            <w:pPr>
              <w:pStyle w:val="Compact"/>
            </w:pPr>
            <w:r>
              <w:t xml:space="preserve">Null</w:t>
            </w:r>
          </w:p>
        </w:tc>
        <w:tc>
          <w:tcPr/>
          <w:p>
            <w:pPr>
              <w:pStyle w:val="Compact"/>
            </w:pPr>
            <w:r>
              <w:t xml:space="preserve">fehlend</w:t>
            </w:r>
          </w:p>
        </w:tc>
      </w:tr>
      <w:tr>
        <w:tc>
          <w:tcPr/>
          <w:p>
            <w:pPr>
              <w:pStyle w:val="Compact"/>
            </w:pPr>
            <w:r>
              <w:t xml:space="preserve">0</w:t>
            </w:r>
          </w:p>
        </w:tc>
        <w:tc>
          <w:tcPr/>
          <w:p>
            <w:pPr>
              <w:pStyle w:val="Compact"/>
            </w:pPr>
            <w:r>
              <w:t xml:space="preserve">reduced (NGF, alter Stand)</w:t>
            </w:r>
          </w:p>
        </w:tc>
        <w:tc>
          <w:tcPr/>
          <w:p>
            <w:pPr>
              <w:pStyle w:val="Compact"/>
            </w:pPr>
            <w:r>
              <w:t xml:space="preserve">696.615255</w:t>
            </w:r>
          </w:p>
        </w:tc>
        <w:tc>
          <w:tcPr/>
          <w:p>
            <w:pPr>
              <w:pStyle w:val="Compact"/>
            </w:pPr>
            <w:r>
              <w:t xml:space="preserve">486</w:t>
            </w:r>
          </w:p>
        </w:tc>
        <w:tc>
          <w:tcPr/>
          <w:p>
            <w:pPr>
              <w:pStyle w:val="Compact"/>
            </w:pPr>
            <w:r>
              <w:t xml:space="preserve">264</w:t>
            </w:r>
          </w:p>
        </w:tc>
        <w:tc>
          <w:tcPr/>
          <w:p>
            <w:pPr>
              <w:pStyle w:val="Compact"/>
            </w:pPr>
            <w:r>
              <w:t xml:space="preserve">6450</w:t>
            </w:r>
          </w:p>
        </w:tc>
      </w:tr>
      <w:tr>
        <w:tc>
          <w:tcPr/>
          <w:p>
            <w:pPr>
              <w:pStyle w:val="Compact"/>
            </w:pPr>
            <w:r>
              <w:t xml:space="preserve">1</w:t>
            </w:r>
          </w:p>
        </w:tc>
        <w:tc>
          <w:tcPr/>
          <w:p>
            <w:pPr>
              <w:pStyle w:val="Compact"/>
            </w:pPr>
            <w:r>
              <w:t xml:space="preserve">Strombed_estim heute (BGF × r)</w:t>
            </w:r>
          </w:p>
        </w:tc>
        <w:tc>
          <w:tcPr/>
          <w:p>
            <w:pPr>
              <w:pStyle w:val="Compact"/>
            </w:pPr>
            <w:r>
              <w:t xml:space="preserve">889.872558</w:t>
            </w:r>
          </w:p>
        </w:tc>
        <w:tc>
          <w:tcPr/>
          <w:p>
            <w:pPr>
              <w:pStyle w:val="Compact"/>
            </w:pPr>
            <w:r>
              <w:t xml:space="preserve">585</w:t>
            </w:r>
          </w:p>
        </w:tc>
        <w:tc>
          <w:tcPr/>
          <w:p>
            <w:pPr>
              <w:pStyle w:val="Compact"/>
            </w:pPr>
            <w:r>
              <w:t xml:space="preserve">315</w:t>
            </w:r>
          </w:p>
        </w:tc>
        <w:tc>
          <w:tcPr/>
          <w:p>
            <w:pPr>
              <w:pStyle w:val="Compact"/>
            </w:pPr>
            <w:r>
              <w:t xml:space="preserve">0</w:t>
            </w:r>
          </w:p>
        </w:tc>
      </w:tr>
      <w:tr>
        <w:tc>
          <w:tcPr/>
          <w:p>
            <w:pPr>
              <w:pStyle w:val="Compact"/>
            </w:pPr>
            <w:r>
              <w:t xml:space="preserve">2</w:t>
            </w:r>
          </w:p>
        </w:tc>
        <w:tc>
          <w:tcPr/>
          <w:p>
            <w:pPr>
              <w:pStyle w:val="Compact"/>
            </w:pPr>
            <w:r>
              <w:t xml:space="preserve">Strombed_estim 2040 (BGF × r)</w:t>
            </w:r>
          </w:p>
        </w:tc>
        <w:tc>
          <w:tcPr/>
          <w:p>
            <w:pPr>
              <w:pStyle w:val="Compact"/>
            </w:pPr>
            <w:r>
              <w:t xml:space="preserve">901.262927</w:t>
            </w:r>
          </w:p>
        </w:tc>
        <w:tc>
          <w:tcPr/>
          <w:p>
            <w:pPr>
              <w:pStyle w:val="Compact"/>
            </w:pPr>
            <w:r>
              <w:t xml:space="preserve">603</w:t>
            </w:r>
          </w:p>
        </w:tc>
        <w:tc>
          <w:tcPr/>
          <w:p>
            <w:pPr>
              <w:pStyle w:val="Compact"/>
            </w:pPr>
            <w:r>
              <w:t xml:space="preserve">297</w:t>
            </w:r>
          </w:p>
        </w:tc>
        <w:tc>
          <w:tcPr/>
          <w:p>
            <w:pPr>
              <w:pStyle w:val="Compact"/>
            </w:pPr>
            <w:r>
              <w:t xml:space="preserve">0</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Zustand</w:t>
            </w:r>
          </w:p>
        </w:tc>
        <w:tc>
          <w:tcPr/>
          <w:p>
            <w:pPr>
              <w:pStyle w:val="Compact"/>
            </w:pPr>
            <w:r>
              <w:t xml:space="preserve">BGF 2040 [Mio. m²]</w:t>
            </w:r>
          </w:p>
        </w:tc>
      </w:tr>
      <w:tr>
        <w:tc>
          <w:tcPr/>
          <w:p>
            <w:pPr>
              <w:pStyle w:val="Compact"/>
            </w:pPr>
            <w:r>
              <w:t xml:space="preserve">0</w:t>
            </w:r>
          </w:p>
        </w:tc>
        <w:tc>
          <w:tcPr/>
          <w:p>
            <w:pPr>
              <w:pStyle w:val="Compact"/>
            </w:pPr>
            <w:r>
              <w:t xml:space="preserve">Bestand</w:t>
            </w:r>
          </w:p>
        </w:tc>
        <w:tc>
          <w:tcPr/>
          <w:p>
            <w:pPr>
              <w:pStyle w:val="Compact"/>
            </w:pPr>
            <w:r>
              <w:t xml:space="preserve">779.528361</w:t>
            </w:r>
          </w:p>
        </w:tc>
      </w:tr>
      <w:tr>
        <w:tc>
          <w:tcPr/>
          <w:p>
            <w:pPr>
              <w:pStyle w:val="Compact"/>
            </w:pPr>
            <w:r>
              <w:t xml:space="preserve">1</w:t>
            </w:r>
          </w:p>
        </w:tc>
        <w:tc>
          <w:tcPr/>
          <w:p>
            <w:pPr>
              <w:pStyle w:val="Compact"/>
            </w:pPr>
            <w:r>
              <w:t xml:space="preserve">Neubau</w:t>
            </w:r>
          </w:p>
        </w:tc>
        <w:tc>
          <w:tcPr/>
          <w:p>
            <w:pPr>
              <w:pStyle w:val="Compact"/>
            </w:pPr>
            <w:r>
              <w:t xml:space="preserve">320.354121</w:t>
            </w:r>
          </w:p>
        </w:tc>
      </w:tr>
      <w:tr>
        <w:tc>
          <w:tcPr/>
          <w:p>
            <w:pPr>
              <w:pStyle w:val="Compact"/>
            </w:pPr>
            <w:r>
              <w:t xml:space="preserve">2</w:t>
            </w:r>
          </w:p>
        </w:tc>
        <w:tc>
          <w:tcPr/>
          <w:p>
            <w:pPr>
              <w:pStyle w:val="Compact"/>
            </w:pPr>
            <w:r>
              <w:t xml:space="preserve">Sanierung</w:t>
            </w:r>
          </w:p>
        </w:tc>
        <w:tc>
          <w:tcPr/>
          <w:p>
            <w:pPr>
              <w:pStyle w:val="Compact"/>
            </w:pPr>
            <w:r>
              <w:t xml:space="preserve">26.696177</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Nationale BGF heute</w:t>
            </w:r>
          </w:p>
        </w:tc>
        <w:tc>
          <w:tcPr/>
          <w:p>
            <w:pPr>
              <w:pStyle w:val="Compact"/>
            </w:pPr>
            <w:r>
              <w:t xml:space="preserve">Nationale BGF 2040</w:t>
            </w:r>
          </w:p>
        </w:tc>
      </w:tr>
      <w:tr>
        <w:trPr>
          <w:tblHeader w:val="on"/>
        </w:trPr>
        <w:tc>
          <w:tcPr/>
          <w:p>
            <w:pPr>
              <w:pStyle w:val="Compact"/>
            </w:pPr>
            <w:r>
              <w:t xml:space="preserve">Geometrie</w:t>
            </w:r>
          </w:p>
        </w:tc>
        <w:tc>
          <w:tcPr/>
          <w:p>
            <w:pPr>
              <w:pStyle w:val="Compact"/>
            </w:pPr>
          </w:p>
        </w:tc>
        <w:tc>
          <w:tcPr/>
          <w:p>
            <w:pPr>
              <w:pStyle w:val="Compact"/>
            </w:pPr>
          </w:p>
        </w:tc>
      </w:tr>
      <w:tr>
        <w:tc>
          <w:tcPr/>
          <w:p>
            <w:pPr>
              <w:pStyle w:val="Compact"/>
            </w:pPr>
            <w:r>
              <w:t xml:space="preserve">EFH_1G</w:t>
            </w:r>
          </w:p>
        </w:tc>
        <w:tc>
          <w:tcPr/>
          <w:p>
            <w:pPr>
              <w:pStyle w:val="Compact"/>
            </w:pPr>
            <w:r>
              <w:t xml:space="preserve">129.675450</w:t>
            </w:r>
          </w:p>
        </w:tc>
        <w:tc>
          <w:tcPr/>
          <w:p>
            <w:pPr>
              <w:pStyle w:val="Compact"/>
            </w:pPr>
            <w:r>
              <w:t xml:space="preserve">131.046774</w:t>
            </w:r>
          </w:p>
        </w:tc>
      </w:tr>
      <w:tr>
        <w:tc>
          <w:tcPr/>
          <w:p>
            <w:pPr>
              <w:pStyle w:val="Compact"/>
            </w:pPr>
            <w:r>
              <w:t xml:space="preserve">EFH_2G</w:t>
            </w:r>
          </w:p>
        </w:tc>
        <w:tc>
          <w:tcPr/>
          <w:p>
            <w:pPr>
              <w:pStyle w:val="Compact"/>
            </w:pPr>
            <w:r>
              <w:t xml:space="preserve">186.891308</w:t>
            </w:r>
          </w:p>
        </w:tc>
        <w:tc>
          <w:tcPr/>
          <w:p>
            <w:pPr>
              <w:pStyle w:val="Compact"/>
            </w:pPr>
            <w:r>
              <w:t xml:space="preserve">189.492325</w:t>
            </w:r>
          </w:p>
        </w:tc>
      </w:tr>
      <w:tr>
        <w:tc>
          <w:tcPr/>
          <w:p>
            <w:pPr>
              <w:pStyle w:val="Compact"/>
            </w:pPr>
            <w:r>
              <w:t xml:space="preserve">GWB_5G</w:t>
            </w:r>
          </w:p>
        </w:tc>
        <w:tc>
          <w:tcPr/>
          <w:p>
            <w:pPr>
              <w:pStyle w:val="Compact"/>
            </w:pPr>
            <w:r>
              <w:t xml:space="preserve">39.451509</w:t>
            </w:r>
          </w:p>
        </w:tc>
        <w:tc>
          <w:tcPr/>
          <w:p>
            <w:pPr>
              <w:pStyle w:val="Compact"/>
            </w:pPr>
            <w:r>
              <w:t xml:space="preserve">39.940921</w:t>
            </w:r>
          </w:p>
        </w:tc>
      </w:tr>
      <w:tr>
        <w:tc>
          <w:tcPr/>
          <w:p>
            <w:pPr>
              <w:pStyle w:val="Compact"/>
            </w:pPr>
            <w:r>
              <w:t xml:space="preserve">GWB_7G</w:t>
            </w:r>
          </w:p>
        </w:tc>
        <w:tc>
          <w:tcPr/>
          <w:p>
            <w:pPr>
              <w:pStyle w:val="Compact"/>
            </w:pPr>
            <w:r>
              <w:t xml:space="preserve">81.032363</w:t>
            </w:r>
          </w:p>
        </w:tc>
        <w:tc>
          <w:tcPr/>
          <w:p>
            <w:pPr>
              <w:pStyle w:val="Compact"/>
            </w:pPr>
            <w:r>
              <w:t xml:space="preserve">82.107513</w:t>
            </w:r>
          </w:p>
        </w:tc>
      </w:tr>
      <w:tr>
        <w:tc>
          <w:tcPr/>
          <w:p>
            <w:pPr>
              <w:pStyle w:val="Compact"/>
            </w:pPr>
            <w:r>
              <w:t xml:space="preserve">MFH_2G</w:t>
            </w:r>
          </w:p>
        </w:tc>
        <w:tc>
          <w:tcPr/>
          <w:p>
            <w:pPr>
              <w:pStyle w:val="Compact"/>
            </w:pPr>
            <w:r>
              <w:t xml:space="preserve">0.000000</w:t>
            </w:r>
          </w:p>
        </w:tc>
        <w:tc>
          <w:tcPr/>
          <w:p>
            <w:pPr>
              <w:pStyle w:val="Compact"/>
            </w:pPr>
            <w:r>
              <w:t xml:space="preserve">0.000000</w:t>
            </w:r>
          </w:p>
        </w:tc>
      </w:tr>
      <w:tr>
        <w:tc>
          <w:tcPr/>
          <w:p>
            <w:pPr>
              <w:pStyle w:val="Compact"/>
            </w:pPr>
            <w:r>
              <w:t xml:space="preserve">MFH_4G</w:t>
            </w:r>
          </w:p>
        </w:tc>
        <w:tc>
          <w:tcPr/>
          <w:p>
            <w:pPr>
              <w:pStyle w:val="Compact"/>
            </w:pPr>
            <w:r>
              <w:t xml:space="preserve">65.007145</w:t>
            </w:r>
          </w:p>
        </w:tc>
        <w:tc>
          <w:tcPr/>
          <w:p>
            <w:pPr>
              <w:pStyle w:val="Compact"/>
            </w:pPr>
            <w:r>
              <w:t xml:space="preserve">65.864754</w:t>
            </w:r>
          </w:p>
        </w:tc>
      </w:tr>
      <w:tr>
        <w:tc>
          <w:tcPr/>
          <w:p>
            <w:pPr>
              <w:pStyle w:val="Compact"/>
            </w:pPr>
            <w:r>
              <w:t xml:space="preserve">NiWo_1G</w:t>
            </w:r>
          </w:p>
        </w:tc>
        <w:tc>
          <w:tcPr/>
          <w:p>
            <w:pPr>
              <w:pStyle w:val="Compact"/>
            </w:pPr>
            <w:r>
              <w:t xml:space="preserve">90.878367</w:t>
            </w:r>
          </w:p>
        </w:tc>
        <w:tc>
          <w:tcPr/>
          <w:p>
            <w:pPr>
              <w:pStyle w:val="Compact"/>
            </w:pPr>
            <w:r>
              <w:t xml:space="preserve">92.026259</w:t>
            </w:r>
          </w:p>
        </w:tc>
      </w:tr>
      <w:tr>
        <w:tc>
          <w:tcPr/>
          <w:p>
            <w:pPr>
              <w:pStyle w:val="Compact"/>
            </w:pPr>
            <w:r>
              <w:t xml:space="preserve">NiWo_2G</w:t>
            </w:r>
          </w:p>
        </w:tc>
        <w:tc>
          <w:tcPr/>
          <w:p>
            <w:pPr>
              <w:pStyle w:val="Compact"/>
            </w:pPr>
            <w:r>
              <w:t xml:space="preserve">138.179441</w:t>
            </w:r>
          </w:p>
        </w:tc>
        <w:tc>
          <w:tcPr/>
          <w:p>
            <w:pPr>
              <w:pStyle w:val="Compact"/>
            </w:pPr>
            <w:r>
              <w:t xml:space="preserve">139.840450</w:t>
            </w:r>
          </w:p>
        </w:tc>
      </w:tr>
      <w:tr>
        <w:tc>
          <w:tcPr/>
          <w:p>
            <w:pPr>
              <w:pStyle w:val="Compact"/>
            </w:pPr>
            <w:r>
              <w:t xml:space="preserve">NiWo_3G</w:t>
            </w:r>
          </w:p>
        </w:tc>
        <w:tc>
          <w:tcPr/>
          <w:p>
            <w:pPr>
              <w:pStyle w:val="Compact"/>
            </w:pPr>
            <w:r>
              <w:t xml:space="preserve">194.333808</w:t>
            </w:r>
          </w:p>
        </w:tc>
        <w:tc>
          <w:tcPr/>
          <w:p>
            <w:pPr>
              <w:pStyle w:val="Compact"/>
            </w:pPr>
            <w:r>
              <w:t xml:space="preserve">196.767338</w:t>
            </w:r>
          </w:p>
        </w:tc>
      </w:tr>
      <w:tr>
        <w:tc>
          <w:tcPr/>
          <w:p>
            <w:pPr>
              <w:pStyle w:val="Compact"/>
            </w:pPr>
            <w:r>
              <w:t xml:space="preserve">RH_2G</w:t>
            </w:r>
          </w:p>
        </w:tc>
        <w:tc>
          <w:tcPr/>
          <w:p>
            <w:pPr>
              <w:pStyle w:val="Compact"/>
            </w:pPr>
            <w:r>
              <w:t xml:space="preserve">186.891308</w:t>
            </w:r>
          </w:p>
        </w:tc>
        <w:tc>
          <w:tcPr/>
          <w:p>
            <w:pPr>
              <w:pStyle w:val="Compact"/>
            </w:pPr>
            <w:r>
              <w:t xml:space="preserve">189.492325</w:t>
            </w:r>
          </w:p>
        </w:tc>
      </w:tr>
    </w:tbl>
    <w:p>
      <w:pPr>
        <w:pStyle w:val="BodyText"/>
      </w:pPr>
      <w:r>
        <w:drawing>
          <wp:inline>
            <wp:extent cx="5334000" cy="2339561"/>
            <wp:effectExtent b="0" l="0" r="0" t="0"/>
            <wp:docPr descr="" title="" id="514" name="Picture"/>
            <a:graphic>
              <a:graphicData uri="http://schemas.openxmlformats.org/drawingml/2006/picture">
                <pic:pic>
                  <pic:nvPicPr>
                    <pic:cNvPr descr="Berechnungen\gebaeudesektormodell/Gebaeudesektormodell_files/figure-docx/cell-4-output-6.png" id="515" name="Picture"/>
                    <pic:cNvPicPr>
                      <a:picLocks noChangeArrowheads="1" noChangeAspect="1"/>
                    </pic:cNvPicPr>
                  </pic:nvPicPr>
                  <pic:blipFill>
                    <a:blip r:embed="rId513"/>
                    <a:stretch>
                      <a:fillRect/>
                    </a:stretch>
                  </pic:blipFill>
                  <pic:spPr bwMode="auto">
                    <a:xfrm>
                      <a:off x="0" y="0"/>
                      <a:ext cx="5334000" cy="2339561"/>
                    </a:xfrm>
                    <a:prstGeom prst="rect">
                      <a:avLst/>
                    </a:prstGeom>
                    <a:noFill/>
                    <a:ln w="9525">
                      <a:noFill/>
                      <a:headEnd/>
                      <a:tailEnd/>
                    </a:ln>
                  </pic:spPr>
                </pic:pic>
              </a:graphicData>
            </a:graphic>
          </wp:inline>
        </w:drawing>
      </w:r>
    </w:p>
    <w:bookmarkEnd w:id="516"/>
    <w:bookmarkStart w:id="521" w:name="sec-gebaeude-strom"/>
    <w:p>
      <w:pPr>
        <w:pStyle w:val="Heading2"/>
      </w:pPr>
      <w:r>
        <w:t xml:space="preserve">E.4 4. Strombedarf, Erzeugung und Stromsaldo</w:t>
      </w:r>
    </w:p>
    <w:p>
      <w:pPr>
        <w:pStyle w:val="FirstParagraph"/>
      </w:pPr>
      <w:r>
        <w:rPr>
          <w:rStyle w:val="VerbatimChar"/>
        </w:rPr>
        <w:t xml:space="preserve">Grid_to_building_min</w:t>
      </w:r>
      <w:r>
        <w:t xml:space="preserve"> </w:t>
      </w:r>
      <w:r>
        <w:t xml:space="preserve">ist</w:t>
      </w:r>
      <w:r>
        <w:t xml:space="preserve"> </w:t>
      </w:r>
      <w:r>
        <w:rPr>
          <w:b/>
          <w:bCs/>
        </w:rPr>
        <w:t xml:space="preserve">Netzbezug</w:t>
      </w:r>
      <w:r>
        <w:t xml:space="preserve">, nicht der gesamte Strombedarf. Für die vorliegenden Varianten ohne Speicher/Flexibilität/MIV gilt:</w:t>
      </w:r>
    </w:p>
    <w:p>
      <w:pPr>
        <w:pStyle w:val="BodyText"/>
      </w:pPr>
      <m:oMathPara>
        <m:oMathParaPr>
          <m:jc m:val="center"/>
        </m:oMathParaPr>
        <m:oMath>
          <m:sSub>
            <m:e>
              <m:r>
                <m:t>e</m:t>
              </m:r>
            </m:e>
            <m:sub>
              <m:r>
                <m:t>e</m:t>
              </m:r>
              <m:r>
                <m:t>l</m:t>
              </m:r>
              <m:r>
                <m:rPr>
                  <m:sty m:val="p"/>
                </m:rPr>
                <m:t>,</m:t>
              </m:r>
              <m:r>
                <m:t>k</m:t>
              </m:r>
            </m:sub>
          </m:sSub>
          <m:r>
            <m:rPr>
              <m:sty m:val="p"/>
            </m:rPr>
            <m:t>=</m:t>
          </m:r>
          <m:sSub>
            <m:e>
              <m:r>
                <m:t>e</m:t>
              </m:r>
            </m:e>
            <m:sub>
              <m:r>
                <m:t>N</m:t>
              </m:r>
              <m:r>
                <m:t>e</m:t>
              </m:r>
              <m:r>
                <m:t>t</m:t>
              </m:r>
              <m:r>
                <m:t>z</m:t>
              </m:r>
              <m:r>
                <m:rPr>
                  <m:sty m:val="p"/>
                </m:rPr>
                <m:t>,</m:t>
              </m:r>
              <m:r>
                <m:t>k</m:t>
              </m:r>
            </m:sub>
          </m:sSub>
          <m:r>
            <m:rPr>
              <m:sty m:val="p"/>
            </m:rPr>
            <m:t>+</m:t>
          </m:r>
          <m:sSub>
            <m:e>
              <m:r>
                <m:t>e</m:t>
              </m:r>
            </m:e>
            <m:sub>
              <m:r>
                <m:t>P</m:t>
              </m:r>
              <m:r>
                <m:t>V</m:t>
              </m:r>
              <m:r>
                <m:rPr>
                  <m:sty m:val="p"/>
                </m:rPr>
                <m:t>,</m:t>
              </m:r>
              <m:r>
                <m:t>d</m:t>
              </m:r>
              <m:r>
                <m:t>i</m:t>
              </m:r>
              <m:r>
                <m:t>r</m:t>
              </m:r>
              <m:r>
                <m:t>e</m:t>
              </m:r>
              <m:r>
                <m:t>k</m:t>
              </m:r>
              <m:r>
                <m:t>t</m:t>
              </m:r>
              <m:r>
                <m:rPr>
                  <m:sty m:val="p"/>
                </m:rPr>
                <m:t>,</m:t>
              </m:r>
              <m:r>
                <m:t>k</m:t>
              </m:r>
            </m:sub>
          </m:sSub>
          <m:r>
            <m:rPr>
              <m:sty m:val="p"/>
            </m:rPr>
            <m:t>,</m:t>
          </m:r>
          <m:r>
            <m:t> </m:t>
          </m:r>
          <m:sSub>
            <m:e>
              <m:r>
                <m:t>p</m:t>
              </m:r>
            </m:e>
            <m:sub>
              <m:r>
                <m:t>P</m:t>
              </m:r>
              <m:r>
                <m:t>V</m:t>
              </m:r>
              <m:r>
                <m:rPr>
                  <m:sty m:val="p"/>
                </m:rPr>
                <m:t>,</m:t>
              </m:r>
              <m:r>
                <m:t>k</m:t>
              </m:r>
            </m:sub>
          </m:sSub>
          <m:r>
            <m:rPr>
              <m:sty m:val="p"/>
            </m:rPr>
            <m:t>=</m:t>
          </m:r>
          <m:sSub>
            <m:e>
              <m:r>
                <m:t>e</m:t>
              </m:r>
            </m:e>
            <m:sub>
              <m:r>
                <m:t>P</m:t>
              </m:r>
              <m:r>
                <m:t>V</m:t>
              </m:r>
              <m:r>
                <m:rPr>
                  <m:sty m:val="p"/>
                </m:rPr>
                <m:t>,</m:t>
              </m:r>
              <m:r>
                <m:t>d</m:t>
              </m:r>
              <m:r>
                <m:t>i</m:t>
              </m:r>
              <m:r>
                <m:t>r</m:t>
              </m:r>
              <m:r>
                <m:t>e</m:t>
              </m:r>
              <m:r>
                <m:t>k</m:t>
              </m:r>
              <m:r>
                <m:t>t</m:t>
              </m:r>
              <m:r>
                <m:rPr>
                  <m:sty m:val="p"/>
                </m:rPr>
                <m:t>,</m:t>
              </m:r>
              <m:r>
                <m:t>k</m:t>
              </m:r>
            </m:sub>
          </m:sSub>
          <m:r>
            <m:rPr>
              <m:sty m:val="p"/>
            </m:rPr>
            <m:t>+</m:t>
          </m:r>
          <m:sSub>
            <m:e>
              <m:r>
                <m:t>e</m:t>
              </m:r>
            </m:e>
            <m:sub>
              <m:r>
                <m:t>P</m:t>
              </m:r>
              <m:r>
                <m:t>V</m:t>
              </m:r>
              <m:r>
                <m:rPr>
                  <m:sty m:val="p"/>
                </m:rPr>
                <m:t>,</m:t>
              </m:r>
              <m:r>
                <m:t>E</m:t>
              </m:r>
              <m:r>
                <m:t>x</m:t>
              </m:r>
              <m:r>
                <m:t>p</m:t>
              </m:r>
              <m:r>
                <m:t>o</m:t>
              </m:r>
              <m:r>
                <m:t>r</m:t>
              </m:r>
              <m:r>
                <m:t>t</m:t>
              </m:r>
              <m:r>
                <m:rPr>
                  <m:sty m:val="p"/>
                </m:rPr>
                <m:t>,</m:t>
              </m:r>
              <m:r>
                <m:t>k</m:t>
              </m:r>
            </m:sub>
          </m:sSub>
          <m:r>
            <m:rPr>
              <m:sty m:val="p"/>
            </m:rPr>
            <m:t>,</m:t>
          </m:r>
        </m:oMath>
      </m:oMathPara>
    </w:p>
    <w:p>
      <w:pPr>
        <w:pStyle w:val="FirstParagraph"/>
      </w:pPr>
      <m:oMathPara>
        <m:oMathParaPr>
          <m:jc m:val="center"/>
        </m:oMathParaPr>
        <m:oMath>
          <m:sSub>
            <m:e>
              <m:r>
                <m:t>B</m:t>
              </m:r>
            </m:e>
            <m:sub>
              <m:r>
                <m:t>e</m:t>
              </m:r>
              <m:r>
                <m:t>l</m:t>
              </m:r>
              <m:r>
                <m:rPr>
                  <m:sty m:val="p"/>
                </m:rPr>
                <m:t>,</m:t>
              </m:r>
              <m:r>
                <m:t>y</m:t>
              </m:r>
            </m:sub>
          </m:sSub>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r>
            <m:rPr>
              <m:sty m:val="p"/>
            </m:rPr>
            <m:t>(</m:t>
          </m:r>
          <m:sSub>
            <m:e>
              <m:r>
                <m:t>p</m:t>
              </m:r>
            </m:e>
            <m:sub>
              <m:r>
                <m:t>P</m:t>
              </m:r>
              <m:r>
                <m:t>V</m:t>
              </m:r>
              <m:r>
                <m:rPr>
                  <m:sty m:val="p"/>
                </m:rPr>
                <m:t>,</m:t>
              </m:r>
              <m:r>
                <m:t>k</m:t>
              </m:r>
            </m:sub>
          </m:sSub>
          <m:r>
            <m:rPr>
              <m:sty m:val="p"/>
            </m:rPr>
            <m:t>−</m:t>
          </m:r>
          <m:sSub>
            <m:e>
              <m:r>
                <m:t>e</m:t>
              </m:r>
            </m:e>
            <m:sub>
              <m:r>
                <m:t>e</m:t>
              </m:r>
              <m:r>
                <m:t>l</m:t>
              </m:r>
              <m:r>
                <m:rPr>
                  <m:sty m:val="p"/>
                </m:rPr>
                <m:t>,</m:t>
              </m:r>
              <m:r>
                <m:t>k</m:t>
              </m:r>
            </m:sub>
          </m:sSub>
          <m:r>
            <m:rPr>
              <m:sty m:val="p"/>
            </m:rPr>
            <m:t>)</m:t>
          </m:r>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r>
            <m:rPr>
              <m:sty m:val="p"/>
            </m:rPr>
            <m:t>(</m:t>
          </m:r>
          <m:sSub>
            <m:e>
              <m:r>
                <m:t>e</m:t>
              </m:r>
            </m:e>
            <m:sub>
              <m:r>
                <m:t>P</m:t>
              </m:r>
              <m:r>
                <m:t>V</m:t>
              </m:r>
              <m:r>
                <m:rPr>
                  <m:sty m:val="p"/>
                </m:rPr>
                <m:t>,</m:t>
              </m:r>
              <m:r>
                <m:t>E</m:t>
              </m:r>
              <m:r>
                <m:t>x</m:t>
              </m:r>
              <m:r>
                <m:t>p</m:t>
              </m:r>
              <m:r>
                <m:t>o</m:t>
              </m:r>
              <m:r>
                <m:t>r</m:t>
              </m:r>
              <m:r>
                <m:t>t</m:t>
              </m:r>
              <m:r>
                <m:rPr>
                  <m:sty m:val="p"/>
                </m:rPr>
                <m:t>,</m:t>
              </m:r>
              <m:r>
                <m:t>k</m:t>
              </m:r>
            </m:sub>
          </m:sSub>
          <m:r>
            <m:rPr>
              <m:sty m:val="p"/>
            </m:rPr>
            <m:t>−</m:t>
          </m:r>
          <m:sSub>
            <m:e>
              <m:r>
                <m:t>e</m:t>
              </m:r>
            </m:e>
            <m:sub>
              <m:r>
                <m:t>N</m:t>
              </m:r>
              <m:r>
                <m:t>e</m:t>
              </m:r>
              <m:r>
                <m:t>t</m:t>
              </m:r>
              <m:r>
                <m:t>z</m:t>
              </m:r>
              <m:r>
                <m:rPr>
                  <m:sty m:val="p"/>
                </m:rPr>
                <m:t>,</m:t>
              </m:r>
              <m:r>
                <m:t>k</m:t>
              </m:r>
            </m:sub>
          </m:sSub>
          <m:r>
            <m:rPr>
              <m:sty m:val="p"/>
            </m:rPr>
            <m:t>)</m:t>
          </m:r>
          <m:r>
            <m:rPr>
              <m:sty m:val="p"/>
            </m:rPr>
            <m:t>.</m:t>
          </m:r>
        </m:oMath>
      </m:oMathPara>
    </w:p>
    <w:p>
      <w:pPr>
        <w:pStyle w:val="FirstParagraph"/>
      </w:pPr>
      <w:r>
        <w:t xml:space="preserve">Beide Bilanzwege werden unabhängig verglichen. Der Direktverbrauch wird nicht zweimal als Deckung angerechnet. Heizung und Warmwasser enthalten bereits Hilfsstrom; für die Anwendungsgrafik wird dieser aus den jeweiligen Summen herausgelöst und zusammen mit Allgemeinstrom separat gezeigt. Beleuchtung und Nutzerstrom bleiben getrennt. Die Klimatisierungsnullen sind gelieferte Simulationswerte, keine nationale Annahme ohne Kühlbedarf.</w:t>
      </w:r>
    </w:p>
    <w:p>
      <w:pPr>
        <w:pStyle w:val="BodyText"/>
      </w:pPr>
      <w:r>
        <w:t xml:space="preserve">Für einen spezifischen Kennwert</w:t>
      </w:r>
      <w:r>
        <w:t xml:space="preserve"> </w:t>
      </w:r>
      <m:oMath>
        <m:sSub>
          <m:e>
            <m:r>
              <m:t>e</m:t>
            </m:r>
          </m:e>
          <m:sub>
            <m:r>
              <m:t>k</m:t>
            </m:r>
          </m:sub>
        </m:sSub>
      </m:oMath>
      <w:r>
        <w:t xml:space="preserve"> </w:t>
      </w:r>
      <w:r>
        <w:t xml:space="preserve">gilt</w:t>
      </w:r>
      <w:r>
        <w:t xml:space="preserve"> </w:t>
      </w:r>
      <m:oMath>
        <m:sSub>
          <m:e>
            <m:r>
              <m:t>E</m:t>
            </m:r>
          </m:e>
          <m:sub>
            <m:r>
              <m:t>y</m:t>
            </m:r>
          </m:sub>
        </m:sSub>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sSub>
          <m:e>
            <m:r>
              <m:t>e</m:t>
            </m:r>
          </m:e>
          <m:sub>
            <m:r>
              <m:t>k</m:t>
            </m:r>
          </m:sub>
        </m:sSub>
      </m:oMath>
      <w:r>
        <w:t xml:space="preserve"> </w:t>
      </w:r>
      <w:r>
        <w:t xml:space="preserve">und</w:t>
      </w:r>
      <w:r>
        <w:t xml:space="preserve"> </w:t>
      </w:r>
      <m:oMath>
        <m:sSub>
          <m:e>
            <m:acc>
              <m:accPr>
                <m:chr m:val="‾"/>
              </m:accPr>
              <m:e>
                <m:r>
                  <m:t>e</m:t>
                </m:r>
              </m:e>
            </m:acc>
          </m:e>
          <m:sub>
            <m:r>
              <m:t>y</m:t>
            </m:r>
          </m:sub>
        </m:sSub>
        <m:r>
          <m:rPr>
            <m:sty m:val="p"/>
          </m:rPr>
          <m:t>=</m:t>
        </m:r>
        <m:sSub>
          <m:e>
            <m:r>
              <m:t>E</m:t>
            </m:r>
          </m:e>
          <m:sub>
            <m:r>
              <m:t>y</m:t>
            </m:r>
          </m:sub>
        </m:sSub>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oMath>
      <w:r>
        <w:t xml:space="preserve">. Fehlende Kennwerte auf positiver Fläche lassen eine Vollbilanz offen; bekannte Teilmengen werden eigens ausgewiesen.</w:t>
      </w:r>
    </w:p>
    <w:bookmarkStart w:id="520" w:name="herkunft-der-pv-erzeugung"/>
    <w:p>
      <w:pPr>
        <w:pStyle w:val="Heading3"/>
      </w:pPr>
      <w:r>
        <w:t xml:space="preserve">E.4.1 Herkunft der PV-Erzeugung</w:t>
      </w:r>
    </w:p>
    <w:p>
      <w:pPr>
        <w:pStyle w:val="FirstParagraph"/>
      </w:pPr>
      <w:r>
        <w:t xml:space="preserve">Die Erzeugung wird</w:t>
      </w:r>
      <w:r>
        <w:t xml:space="preserve"> </w:t>
      </w:r>
      <w:r>
        <w:rPr>
          <w:b/>
          <w:bCs/>
        </w:rPr>
        <w:t xml:space="preserve">direkt aus den gespeicherten Simulationskennwerten der Excel</w:t>
      </w:r>
      <w:r>
        <w:t xml:space="preserve"> </w:t>
      </w:r>
      <w:r>
        <w:t xml:space="preserve">übernommen.</w:t>
      </w:r>
      <w:r>
        <w:t xml:space="preserve"> </w:t>
      </w:r>
      <w:r>
        <w:rPr>
          <w:rStyle w:val="VerbatimChar"/>
        </w:rPr>
        <w:t xml:space="preserve">Strombed_estim.PV_total_direct</w:t>
      </w:r>
      <w:r>
        <w:t xml:space="preserve"> </w:t>
      </w:r>
      <w:r>
        <w:t xml:space="preserve">bezeichnet direkt genutzten PV-Strom,</w:t>
      </w:r>
      <w:r>
        <w:t xml:space="preserve"> </w:t>
      </w:r>
      <w:r>
        <w:rPr>
          <w:rStyle w:val="VerbatimChar"/>
        </w:rPr>
        <w:t xml:space="preserve">PV_to_Egrid</w:t>
      </w:r>
      <w:r>
        <w:t xml:space="preserve"> </w:t>
      </w:r>
      <w:r>
        <w:t xml:space="preserve">die Einspeisung. Ihre Summe wird gegen</w:t>
      </w:r>
      <w:r>
        <w:t xml:space="preserve"> </w:t>
      </w:r>
      <w:r>
        <w:rPr>
          <w:rStyle w:val="VerbatimChar"/>
        </w:rPr>
        <w:t xml:space="preserve">Tabelle2.PV_total</w:t>
      </w:r>
      <w:r>
        <w:t xml:space="preserve"> </w:t>
      </w:r>
      <w:r>
        <w:t xml:space="preserve">geprüft.</w:t>
      </w:r>
      <w:r>
        <w:t xml:space="preserve"> </w:t>
      </w:r>
      <w:r>
        <w:t xml:space="preserve">Die Kennwerte gelten je m² NGF und Jahr. Im Sektormodell findet keine neue Ertrags-,</w:t>
      </w:r>
      <w:r>
        <w:t xml:space="preserve"> </w:t>
      </w:r>
      <w:r>
        <w:t xml:space="preserve">Orientierungs- oder Verschattungssimulation statt. Die Variante ist bei allen Typen</w:t>
      </w:r>
      <w:r>
        <w:t xml:space="preserve"> </w:t>
      </w:r>
      <w:r>
        <w:rPr>
          <w:rStyle w:val="VerbatimChar"/>
        </w:rPr>
        <w:t xml:space="preserve">PV30|noFlex</w:t>
      </w:r>
      <w:r>
        <w:t xml:space="preserve">; aus ihrem Namen wird kein zusätzlicher numerischer Ertragsfaktor abgeleitet.</w:t>
      </w:r>
      <w:r>
        <w:t xml:space="preserve"> </w:t>
      </w:r>
      <w:r>
        <w:t xml:space="preserve">Die GFZ-Zuordnung verändert die PV-Erzeugung</w:t>
      </w:r>
      <w:r>
        <w:t xml:space="preserve"> </w:t>
      </w:r>
      <w:r>
        <w:rPr>
          <w:b/>
          <w:bCs/>
        </w:rPr>
        <w:t xml:space="preserve">nicht</w:t>
      </w:r>
      <w:r>
        <w:t xml:space="preserve">.</w:t>
      </w:r>
    </w:p>
    <w:p>
      <w:pPr>
        <w:pStyle w:val="BodyText"/>
      </w:pPr>
      <w:r>
        <w:t xml:space="preserve">Für Typ</w:t>
      </w:r>
      <w:r>
        <w:t xml:space="preserve"> </w:t>
      </w:r>
      <m:oMath>
        <m:r>
          <m:t>k</m:t>
        </m:r>
      </m:oMath>
      <w:r>
        <w:t xml:space="preserve"> </w:t>
      </w:r>
      <w:r>
        <w:t xml:space="preserve">ergibt sich die nationale PV-Erzeugung aus</w:t>
      </w:r>
      <w:r>
        <w:t xml:space="preserve"> </w:t>
      </w:r>
      <m:oMath>
        <m:sSub>
          <m:e>
            <m:r>
              <m:t>P</m:t>
            </m:r>
          </m:e>
          <m:sub>
            <m:r>
              <m:t>k</m:t>
            </m:r>
          </m:sub>
        </m:sSub>
        <m:r>
          <m:rPr>
            <m:sty m:val="p"/>
          </m:rPr>
          <m:t>=</m:t>
        </m:r>
        <m:sSub>
          <m:e>
            <m:r>
              <m:t>A</m:t>
            </m:r>
          </m:e>
          <m:sub>
            <m:r>
              <m:t>B</m:t>
            </m:r>
            <m:r>
              <m:t>G</m:t>
            </m:r>
            <m:r>
              <m:t>F</m:t>
            </m:r>
            <m:r>
              <m:rPr>
                <m:sty m:val="p"/>
              </m:rPr>
              <m:t>,</m:t>
            </m:r>
            <m:r>
              <m:t>k</m:t>
            </m:r>
          </m:sub>
        </m:sSub>
        <m:r>
          <m:t> </m:t>
        </m:r>
        <m:r>
          <m:t>r</m:t>
        </m:r>
        <m:r>
          <m:t> </m:t>
        </m:r>
        <m:sSub>
          <m:e>
            <m:r>
              <m:t>e</m:t>
            </m:r>
          </m:e>
          <m:sub>
            <m:r>
              <m:t>P</m:t>
            </m:r>
            <m:r>
              <m:t>V</m:t>
            </m:r>
            <m:r>
              <m:rPr>
                <m:sty m:val="p"/>
              </m:rPr>
              <m:t>,</m:t>
            </m:r>
            <m:r>
              <m:t>k</m:t>
            </m:r>
          </m:sub>
        </m:sSub>
      </m:oMath>
      <w:r>
        <w:t xml:space="preserve">, mit</w:t>
      </w:r>
      <w:r>
        <w:t xml:space="preserve"> </w:t>
      </w:r>
      <m:oMath>
        <m:r>
          <m:t>r</m:t>
        </m:r>
        <m:r>
          <m:rPr>
            <m:sty m:val="p"/>
          </m:rPr>
          <m:t>=</m:t>
        </m:r>
        <m:sSub>
          <m:e>
            <m:r>
              <m:t>A</m:t>
            </m:r>
          </m:e>
          <m:sub>
            <m:r>
              <m:t>N</m:t>
            </m:r>
            <m:r>
              <m:t>G</m:t>
            </m:r>
            <m:r>
              <m:t>F</m:t>
            </m:r>
          </m:sub>
        </m:sSub>
        <m:r>
          <m:rPr>
            <m:sty m:val="p"/>
          </m:rPr>
          <m:t>/</m:t>
        </m:r>
        <m:sSub>
          <m:e>
            <m:r>
              <m:t>A</m:t>
            </m:r>
          </m:e>
          <m:sub>
            <m:r>
              <m:t>B</m:t>
            </m:r>
            <m:r>
              <m:t>G</m:t>
            </m:r>
            <m:r>
              <m:t>F</m:t>
            </m:r>
          </m:sub>
        </m:sSub>
        <m:r>
          <m:rPr>
            <m:sty m:val="p"/>
          </m:rPr>
          <m:t>=</m:t>
        </m:r>
        <m:r>
          <m:t>0</m:t>
        </m:r>
        <m:r>
          <m:rPr>
            <m:sty m:val="p"/>
          </m:rPr>
          <m:t>,</m:t>
        </m:r>
        <m:r>
          <m:t>8</m:t>
        </m:r>
      </m:oMath>
      <w:r>
        <w:t xml:space="preserve">.</w:t>
      </w:r>
      <w:r>
        <w:t xml:space="preserve"> </w:t>
      </w:r>
      <w:r>
        <w:t xml:space="preserve">Die Flächen kommen aus der Spalte</w:t>
      </w:r>
      <w:r>
        <w:t xml:space="preserve"> </w:t>
      </w:r>
      <w:r>
        <w:rPr>
          <w:rStyle w:val="VerbatimChar"/>
        </w:rPr>
        <w:t xml:space="preserve">Nationale BGF 2040</w:t>
      </w:r>
      <w:r>
        <w:t xml:space="preserve">.</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'Batt_total_charge_input'</w:t>
      </w:r>
      <w:r>
        <w:rPr>
          <w:rStyle w:val="NormalTok"/>
        </w:rPr>
        <w:t xml:space="preserve">,</w:t>
      </w:r>
      <w:r>
        <w:rPr>
          <w:rStyle w:val="StringTok"/>
        </w:rPr>
        <w:t xml:space="preserve">'EUIev_el'</w:t>
      </w:r>
      <w:r>
        <w:rPr>
          <w:rStyle w:val="NormalTok"/>
        </w:rPr>
        <w:t xml:space="preserve">,</w:t>
      </w:r>
      <w:r>
        <w:rPr>
          <w:rStyle w:val="StringTok"/>
        </w:rPr>
        <w:t xml:space="preserve">'PV_total_flex'</w:t>
      </w:r>
      <w:r>
        <w:rPr>
          <w:rStyle w:val="NormalTok"/>
        </w:rPr>
        <w:t xml:space="preserve">,</w:t>
      </w:r>
      <w:r>
        <w:rPr>
          <w:rStyle w:val="StringTok"/>
        </w:rPr>
        <w:t xml:space="preserve">'VRGrid_to_building'</w:t>
      </w:r>
      <w:r>
        <w:rPr>
          <w:rStyle w:val="NormalTok"/>
        </w:rPr>
        <w:t xml:space="preserve">,</w:t>
      </w:r>
      <w:r>
        <w:rPr>
          <w:rStyle w:val="StringTok"/>
        </w:rPr>
        <w:t xml:space="preserve">'EUIdhwdirect_el'</w:t>
      </w:r>
      <w:r>
        <w:rPr>
          <w:rStyle w:val="NormalTok"/>
        </w:rPr>
        <w:t xml:space="preserve">]:</w:t>
      </w:r>
      <w:r>
        <w:br/>
      </w:r>
      <w:r>
        <w:rPr>
          <w:rStyle w:val="NormalTok"/>
        </w:rPr>
        <w:t xml:space="preserve">    </w:t>
      </w:r>
      <w:r>
        <w:rPr>
          <w:rStyle w:val="ControlFlowTok"/>
        </w:rPr>
        <w:t xml:space="preserve">assert</w:t>
      </w:r>
      <w:r>
        <w:rPr>
          <w:rStyle w:val="NormalTok"/>
        </w:rPr>
        <w:t xml:space="preserve"> np.allclose(data[c],</w:t>
      </w:r>
      <w:r>
        <w:rPr>
          <w:rStyle w:val="DecValTok"/>
        </w:rPr>
        <w:t xml:space="preserve">0</w:t>
      </w:r>
      <w:r>
        <w:rPr>
          <w:rStyle w:val="NormalTok"/>
        </w:rPr>
        <w:t xml:space="preserve">), </w:t>
      </w:r>
      <w:r>
        <w:rPr>
          <w:rStyle w:val="SpecialStringTok"/>
        </w:rPr>
        <w:t xml:space="preserve">f'Erweiterte Flusslogik erforderlich: </w:t>
      </w:r>
      <w:r>
        <w:rPr>
          <w:rStyle w:val="SpecialCharTok"/>
        </w:rPr>
        <w:t xml:space="preserve">{</w:t>
      </w:r>
      <w:r>
        <w:rPr>
          <w:rStyle w:val="NormalTok"/>
        </w:rPr>
        <w:t xml:space="preserve">c</w:t>
      </w:r>
      <w:r>
        <w:rPr>
          <w:rStyle w:val="SpecialCharTok"/>
        </w:rPr>
        <w:t xml:space="preserve">}</w:t>
      </w:r>
      <w:r>
        <w:rPr>
          <w:rStyle w:val="SpecialStringTok"/>
        </w:rPr>
        <w:t xml:space="preserve">'</w:t>
      </w:r>
      <w:r>
        <w:br/>
      </w:r>
      <w:r>
        <w:rPr>
          <w:rStyle w:val="NormalTok"/>
        </w:rPr>
        <w:t xml:space="preserve">data[</w:t>
      </w:r>
      <w:r>
        <w:rPr>
          <w:rStyle w:val="StringTok"/>
        </w:rPr>
        <w:t xml:space="preserve">'Strombedarf'</w:t>
      </w:r>
      <w:r>
        <w:rPr>
          <w:rStyle w:val="NormalTok"/>
        </w:rPr>
        <w:t xml:space="preserve">]</w:t>
      </w:r>
      <w:r>
        <w:rPr>
          <w:rStyle w:val="OperatorTok"/>
        </w:rPr>
        <w:t xml:space="preserve">=</w:t>
      </w:r>
      <w:r>
        <w:rPr>
          <w:rStyle w:val="NormalTok"/>
        </w:rPr>
        <w:t xml:space="preserve">data.Grid_to_building_min</w:t>
      </w:r>
      <w:r>
        <w:rPr>
          <w:rStyle w:val="OperatorTok"/>
        </w:rPr>
        <w:t xml:space="preserve">+</w:t>
      </w:r>
      <w:r>
        <w:rPr>
          <w:rStyle w:val="NormalTok"/>
        </w:rPr>
        <w:t xml:space="preserve">data.PV_total_direct</w:t>
      </w:r>
      <w:r>
        <w:br/>
      </w:r>
      <w:r>
        <w:rPr>
          <w:rStyle w:val="NormalTok"/>
        </w:rPr>
        <w:t xml:space="preserve">data[</w:t>
      </w:r>
      <w:r>
        <w:rPr>
          <w:rStyle w:val="StringTok"/>
        </w:rPr>
        <w:t xml:space="preserve">'PV_Erzeugung'</w:t>
      </w:r>
      <w:r>
        <w:rPr>
          <w:rStyle w:val="NormalTok"/>
        </w:rPr>
        <w:t xml:space="preserve">]</w:t>
      </w:r>
      <w:r>
        <w:rPr>
          <w:rStyle w:val="OperatorTok"/>
        </w:rPr>
        <w:t xml:space="preserve">=</w:t>
      </w:r>
      <w:r>
        <w:rPr>
          <w:rStyle w:val="NormalTok"/>
        </w:rPr>
        <w:t xml:space="preserve">data.PV_total_direct</w:t>
      </w:r>
      <w:r>
        <w:rPr>
          <w:rStyle w:val="OperatorTok"/>
        </w:rPr>
        <w:t xml:space="preserve">+</w:t>
      </w:r>
      <w:r>
        <w:rPr>
          <w:rStyle w:val="NormalTok"/>
        </w:rPr>
        <w:t xml:space="preserve">data.PV_to_Egrid</w:t>
      </w:r>
      <w:r>
        <w:br/>
      </w:r>
      <w:r>
        <w:rPr>
          <w:rStyle w:val="NormalTok"/>
        </w:rPr>
        <w:t xml:space="preserve">data[</w:t>
      </w:r>
      <w:r>
        <w:rPr>
          <w:rStyle w:val="StringTok"/>
        </w:rPr>
        <w:t xml:space="preserve">'Stromsaldo'</w:t>
      </w:r>
      <w:r>
        <w:rPr>
          <w:rStyle w:val="NormalTok"/>
        </w:rPr>
        <w:t xml:space="preserve">]</w:t>
      </w:r>
      <w:r>
        <w:rPr>
          <w:rStyle w:val="OperatorTok"/>
        </w:rPr>
        <w:t xml:space="preserve">=</w:t>
      </w:r>
      <w:r>
        <w:rPr>
          <w:rStyle w:val="NormalTok"/>
        </w:rPr>
        <w:t xml:space="preserve">data.PV_Erzeugung</w:t>
      </w:r>
      <w:r>
        <w:rPr>
          <w:rStyle w:val="OperatorTok"/>
        </w:rPr>
        <w:t xml:space="preserve">-</w:t>
      </w:r>
      <w:r>
        <w:rPr>
          <w:rStyle w:val="NormalTok"/>
        </w:rPr>
        <w:t xml:space="preserve">data.Strombedarf</w:t>
      </w:r>
      <w:r>
        <w:br/>
      </w:r>
      <w:r>
        <w:rPr>
          <w:rStyle w:val="NormalTok"/>
        </w:rPr>
        <w:t xml:space="preserve">np.testing.assert_allclose(data.Strombedarf,data.EUI_el_total,atol</w:t>
      </w:r>
      <w:r>
        <w:rPr>
          <w:rStyle w:val="OperatorTok"/>
        </w:rPr>
        <w:t xml:space="preserve">=</w:t>
      </w:r>
      <w:r>
        <w:rPr>
          <w:rStyle w:val="FloatTok"/>
        </w:rPr>
        <w:t xml:space="preserve">1e-7</w:t>
      </w:r>
      <w:r>
        <w:rPr>
          <w:rStyle w:val="NormalTok"/>
        </w:rPr>
        <w:t xml:space="preserve">)</w:t>
      </w:r>
      <w:r>
        <w:br/>
      </w:r>
      <w:r>
        <w:rPr>
          <w:rStyle w:val="NormalTok"/>
        </w:rPr>
        <w:t xml:space="preserve">np.testing.assert_allclose(data.PV_Erzeugung,data.PV_total,atol</w:t>
      </w:r>
      <w:r>
        <w:rPr>
          <w:rStyle w:val="OperatorTok"/>
        </w:rPr>
        <w:t xml:space="preserve">=</w:t>
      </w:r>
      <w:r>
        <w:rPr>
          <w:rStyle w:val="FloatTok"/>
        </w:rPr>
        <w:t xml:space="preserve">1e-7</w:t>
      </w:r>
      <w:r>
        <w:rPr>
          <w:rStyle w:val="NormalTok"/>
        </w:rPr>
        <w:t xml:space="preserve">)</w:t>
      </w:r>
      <w:r>
        <w:br/>
      </w:r>
      <w:r>
        <w:rPr>
          <w:rStyle w:val="NormalTok"/>
        </w:rPr>
        <w:t xml:space="preserve">np.testing.assert_allclose(data.Stromsaldo,data.PV_to_Egrid</w:t>
      </w:r>
      <w:r>
        <w:rPr>
          <w:rStyle w:val="OperatorTok"/>
        </w:rPr>
        <w:t xml:space="preserve">-</w:t>
      </w:r>
      <w:r>
        <w:rPr>
          <w:rStyle w:val="NormalTok"/>
        </w:rPr>
        <w:t xml:space="preserve">data.Grid_to_building_min,atol</w:t>
      </w:r>
      <w:r>
        <w:rPr>
          <w:rStyle w:val="OperatorTok"/>
        </w:rPr>
        <w:t xml:space="preserve">=</w:t>
      </w:r>
      <w:r>
        <w:rPr>
          <w:rStyle w:val="FloatTok"/>
        </w:rPr>
        <w:t xml:space="preserve">1e-8</w:t>
      </w:r>
      <w:r>
        <w:rPr>
          <w:rStyle w:val="NormalTok"/>
        </w:rPr>
        <w:t xml:space="preserve">)</w:t>
      </w:r>
      <w:r>
        <w:br/>
      </w:r>
      <w:r>
        <w:rPr>
          <w:rStyle w:val="NormalTok"/>
        </w:rPr>
        <w:t xml:space="preserve">apps</w:t>
      </w:r>
      <w:r>
        <w:rPr>
          <w:rStyle w:val="OperatorTok"/>
        </w:rPr>
        <w:t xml:space="preserve">=</w:t>
      </w:r>
      <w:r>
        <w:rPr>
          <w:rStyle w:val="NormalTok"/>
        </w:rPr>
        <w:t xml:space="preserve">pd.DataFrame({</w:t>
      </w:r>
      <w:r>
        <w:rPr>
          <w:rStyle w:val="StringTok"/>
        </w:rPr>
        <w:t xml:space="preserve">'Heizung'</w:t>
      </w:r>
      <w:r>
        <w:rPr>
          <w:rStyle w:val="NormalTok"/>
        </w:rPr>
        <w:t xml:space="preserve">:data.EUIh_el</w:t>
      </w:r>
      <w:r>
        <w:rPr>
          <w:rStyle w:val="OperatorTok"/>
        </w:rPr>
        <w:t xml:space="preserve">-</w:t>
      </w:r>
      <w:r>
        <w:rPr>
          <w:rStyle w:val="NormalTok"/>
        </w:rPr>
        <w:t xml:space="preserve">data.EUIh_el_aux,</w:t>
      </w:r>
      <w:r>
        <w:br/>
      </w:r>
      <w:r>
        <w:rPr>
          <w:rStyle w:val="NormalTok"/>
        </w:rPr>
        <w:t xml:space="preserve"> </w:t>
      </w:r>
      <w:r>
        <w:rPr>
          <w:rStyle w:val="StringTok"/>
        </w:rPr>
        <w:t xml:space="preserve">'Warmwasser'</w:t>
      </w:r>
      <w:r>
        <w:rPr>
          <w:rStyle w:val="NormalTok"/>
        </w:rPr>
        <w:t xml:space="preserve">:data.EUIdhw_el</w:t>
      </w:r>
      <w:r>
        <w:rPr>
          <w:rStyle w:val="OperatorTok"/>
        </w:rPr>
        <w:t xml:space="preserve">-</w:t>
      </w:r>
      <w:r>
        <w:rPr>
          <w:rStyle w:val="NormalTok"/>
        </w:rPr>
        <w:t xml:space="preserve">data.Edhw_aux_el,</w:t>
      </w:r>
      <w:r>
        <w:rPr>
          <w:rStyle w:val="StringTok"/>
        </w:rPr>
        <w:t xml:space="preserve">'Kühlung'</w:t>
      </w:r>
      <w:r>
        <w:rPr>
          <w:rStyle w:val="NormalTok"/>
        </w:rPr>
        <w:t xml:space="preserve">:data.EUIc_el</w:t>
      </w:r>
      <w:r>
        <w:rPr>
          <w:rStyle w:val="OperatorTok"/>
        </w:rPr>
        <w:t xml:space="preserve">-</w:t>
      </w:r>
      <w:r>
        <w:rPr>
          <w:rStyle w:val="NormalTok"/>
        </w:rPr>
        <w:t xml:space="preserve">data.EUIc_el_aux,</w:t>
      </w:r>
      <w:r>
        <w:br/>
      </w:r>
      <w:r>
        <w:rPr>
          <w:rStyle w:val="NormalTok"/>
        </w:rPr>
        <w:t xml:space="preserve"> </w:t>
      </w:r>
      <w:r>
        <w:rPr>
          <w:rStyle w:val="StringTok"/>
        </w:rPr>
        <w:t xml:space="preserve">'Lüftung'</w:t>
      </w:r>
      <w:r>
        <w:rPr>
          <w:rStyle w:val="NormalTok"/>
        </w:rPr>
        <w:t xml:space="preserve">:data.EUIv_el,</w:t>
      </w:r>
      <w:r>
        <w:rPr>
          <w:rStyle w:val="StringTok"/>
        </w:rPr>
        <w:t xml:space="preserve">'Hilfs-/Allgemeinstrom'</w:t>
      </w:r>
      <w:r>
        <w:rPr>
          <w:rStyle w:val="NormalTok"/>
        </w:rPr>
        <w:t xml:space="preserve">:data.EUI_auxiliary</w:t>
      </w:r>
      <w:r>
        <w:rPr>
          <w:rStyle w:val="OperatorTok"/>
        </w:rPr>
        <w:t xml:space="preserve">+</w:t>
      </w:r>
      <w:r>
        <w:rPr>
          <w:rStyle w:val="NormalTok"/>
        </w:rPr>
        <w:t xml:space="preserve">data.EUIh_el_aux</w:t>
      </w:r>
      <w:r>
        <w:rPr>
          <w:rStyle w:val="OperatorTok"/>
        </w:rPr>
        <w:t xml:space="preserve">+</w:t>
      </w:r>
      <w:r>
        <w:rPr>
          <w:rStyle w:val="NormalTok"/>
        </w:rPr>
        <w:t xml:space="preserve">data.EUIc_el_aux</w:t>
      </w:r>
      <w:r>
        <w:rPr>
          <w:rStyle w:val="OperatorTok"/>
        </w:rPr>
        <w:t xml:space="preserve">+</w:t>
      </w:r>
      <w:r>
        <w:rPr>
          <w:rStyle w:val="NormalTok"/>
        </w:rPr>
        <w:t xml:space="preserve">data.Edhw_aux_el,</w:t>
      </w:r>
      <w:r>
        <w:br/>
      </w:r>
      <w:r>
        <w:rPr>
          <w:rStyle w:val="NormalTok"/>
        </w:rPr>
        <w:t xml:space="preserve"> </w:t>
      </w:r>
      <w:r>
        <w:rPr>
          <w:rStyle w:val="StringTok"/>
        </w:rPr>
        <w:t xml:space="preserve">'Beleuchtung'</w:t>
      </w:r>
      <w:r>
        <w:rPr>
          <w:rStyle w:val="NormalTok"/>
        </w:rPr>
        <w:t xml:space="preserve">:data.EUI_lighting,</w:t>
      </w:r>
      <w:r>
        <w:rPr>
          <w:rStyle w:val="StringTok"/>
        </w:rPr>
        <w:t xml:space="preserve">'Geräte/IT'</w:t>
      </w:r>
      <w:r>
        <w:rPr>
          <w:rStyle w:val="NormalTok"/>
        </w:rPr>
        <w:t xml:space="preserve">:data.EUI_plugloads})</w:t>
      </w:r>
      <w:r>
        <w:br/>
      </w:r>
      <w:r>
        <w:rPr>
          <w:rStyle w:val="ControlFlowTok"/>
        </w:rPr>
        <w:t xml:space="preserve">assert</w:t>
      </w:r>
      <w:r>
        <w:rPr>
          <w:rStyle w:val="NormalTok"/>
        </w:rPr>
        <w:t xml:space="preserve"> (apps.</w:t>
      </w:r>
      <w:r>
        <w:rPr>
          <w:rStyle w:val="BuiltInTok"/>
        </w:rPr>
        <w:t xml:space="preserve">min</w:t>
      </w:r>
      <w:r>
        <w:rPr>
          <w:rStyle w:val="NormalTok"/>
        </w:rPr>
        <w:t xml:space="preserve">()</w:t>
      </w:r>
      <w:r>
        <w:rPr>
          <w:rStyle w:val="OperatorTok"/>
        </w:rPr>
        <w:t xml:space="preserve">&gt;=-</w:t>
      </w:r>
      <w:r>
        <w:rPr>
          <w:rStyle w:val="FloatTok"/>
        </w:rPr>
        <w:t xml:space="preserve">1e-7</w:t>
      </w:r>
      <w:r>
        <w:rPr>
          <w:rStyle w:val="NormalTok"/>
        </w:rPr>
        <w:t xml:space="preserve">).</w:t>
      </w:r>
      <w:r>
        <w:rPr>
          <w:rStyle w:val="BuiltInTok"/>
        </w:rPr>
        <w:t xml:space="preserve">all</w:t>
      </w:r>
      <w:r>
        <w:rPr>
          <w:rStyle w:val="NormalTok"/>
        </w:rPr>
        <w:t xml:space="preserve">()</w:t>
      </w:r>
      <w:r>
        <w:br/>
      </w:r>
      <w:r>
        <w:rPr>
          <w:rStyle w:val="NormalTok"/>
        </w:rPr>
        <w:t xml:space="preserve">np.testing.assert_allclose(apps.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,min_count</w:t>
      </w:r>
      <w:r>
        <w:rPr>
          <w:rStyle w:val="OperatorTok"/>
        </w:rPr>
        <w:t xml:space="preserve">=</w:t>
      </w:r>
      <w:r>
        <w:rPr>
          <w:rStyle w:val="DecValTok"/>
        </w:rPr>
        <w:t xml:space="preserve">7</w:t>
      </w:r>
      <w:r>
        <w:rPr>
          <w:rStyle w:val="NormalTok"/>
        </w:rPr>
        <w:t xml:space="preserve">),data.Strombedarf,atol</w:t>
      </w:r>
      <w:r>
        <w:rPr>
          <w:rStyle w:val="OperatorTok"/>
        </w:rPr>
        <w:t xml:space="preserve">=</w:t>
      </w:r>
      <w:r>
        <w:rPr>
          <w:rStyle w:val="FloatTok"/>
        </w:rPr>
        <w:t xml:space="preserve">1e-7</w:t>
      </w:r>
      <w:r>
        <w:rPr>
          <w:rStyle w:val="NormalTok"/>
        </w:rPr>
        <w:t xml:space="preserve">)</w:t>
      </w:r>
      <w:r>
        <w:br/>
      </w:r>
      <w:r>
        <w:rPr>
          <w:rStyle w:val="CommentTok"/>
        </w:rPr>
        <w:t xml:space="preserve"># Vollsummen bleiben bei fehlender positiver Fläche/Kennwert offen.</w:t>
      </w:r>
      <w:r>
        <w:br/>
      </w:r>
      <w:r>
        <w:rPr>
          <w:rStyle w:val="KeywordTok"/>
        </w:rPr>
        <w:t xml:space="preserve">def</w:t>
      </w:r>
      <w:r>
        <w:rPr>
          <w:rStyle w:val="NormalTok"/>
        </w:rPr>
        <w:t xml:space="preserve"> aggregate(values, area):</w:t>
      </w:r>
      <w:r>
        <w:br/>
      </w:r>
      <w:r>
        <w:rPr>
          <w:rStyle w:val="NormalTok"/>
        </w:rPr>
        <w:t xml:space="preserve">    missing_area</w:t>
      </w:r>
      <w:r>
        <w:rPr>
          <w:rStyle w:val="OperatorTok"/>
        </w:rPr>
        <w:t xml:space="preserve">=</w:t>
      </w:r>
      <w:r>
        <w:rPr>
          <w:rStyle w:val="NormalTok"/>
        </w:rPr>
        <w:t xml:space="preserve">area.isna().</w:t>
      </w:r>
      <w:r>
        <w:rPr>
          <w:rStyle w:val="BuiltInTok"/>
        </w:rPr>
        <w:t xml:space="preserve">any</w:t>
      </w:r>
      <w:r>
        <w:rPr>
          <w:rStyle w:val="NormalTok"/>
        </w:rPr>
        <w:t xml:space="preserve">()</w:t>
      </w:r>
      <w:r>
        <w:br/>
      </w:r>
      <w:r>
        <w:rPr>
          <w:rStyle w:val="NormalTok"/>
        </w:rPr>
        <w:t xml:space="preserve">    active</w:t>
      </w:r>
      <w:r>
        <w:rPr>
          <w:rStyle w:val="OperatorTok"/>
        </w:rPr>
        <w:t xml:space="preserve">=</w:t>
      </w:r>
      <w:r>
        <w:rPr>
          <w:rStyle w:val="NormalTok"/>
        </w:rPr>
        <w:t xml:space="preserve">area.gt(</w:t>
      </w:r>
      <w:r>
        <w:rPr>
          <w:rStyle w:val="DecValTok"/>
        </w:rPr>
        <w:t xml:space="preserve">0</w:t>
      </w:r>
      <w:r>
        <w:rPr>
          <w:rStyle w:val="NormalTok"/>
        </w:rPr>
        <w:t xml:space="preserve">)</w:t>
      </w:r>
      <w:r>
        <w:br/>
      </w:r>
      <w:r>
        <w:rPr>
          <w:rStyle w:val="NormalTok"/>
        </w:rPr>
        <w:t xml:space="preserve">    covered</w:t>
      </w:r>
      <w:r>
        <w:rPr>
          <w:rStyle w:val="OperatorTok"/>
        </w:rPr>
        <w:t xml:space="preserve">=</w:t>
      </w:r>
      <w:r>
        <w:rPr>
          <w:rStyle w:val="NormalTok"/>
        </w:rPr>
        <w:t xml:space="preserve">active </w:t>
      </w:r>
      <w:r>
        <w:rPr>
          <w:rStyle w:val="OperatorTok"/>
        </w:rPr>
        <w:t xml:space="preserve">&amp;</w:t>
      </w:r>
      <w:r>
        <w:rPr>
          <w:rStyle w:val="NormalTok"/>
        </w:rPr>
        <w:t xml:space="preserve"> values.notna()</w:t>
      </w:r>
      <w:r>
        <w:br/>
      </w:r>
      <w:r>
        <w:rPr>
          <w:rStyle w:val="NormalTok"/>
        </w:rPr>
        <w:t xml:space="preserve">    known</w:t>
      </w:r>
      <w:r>
        <w:rPr>
          <w:rStyle w:val="OperatorTok"/>
        </w:rPr>
        <w:t xml:space="preserve">=</w:t>
      </w:r>
      <w:r>
        <w:rPr>
          <w:rStyle w:val="NormalTok"/>
        </w:rPr>
        <w:t xml:space="preserve">(values[covered]</w:t>
      </w:r>
      <w:r>
        <w:rPr>
          <w:rStyle w:val="OperatorTok"/>
        </w:rPr>
        <w:t xml:space="preserve">*</w:t>
      </w:r>
      <w:r>
        <w:rPr>
          <w:rStyle w:val="NormalTok"/>
        </w:rPr>
        <w:t xml:space="preserve">area[covered]</w:t>
      </w:r>
      <w:r>
        <w:rPr>
          <w:rStyle w:val="OperatorTok"/>
        </w:rPr>
        <w:t xml:space="preserve">*</w:t>
      </w:r>
      <w:r>
        <w:rPr>
          <w:rStyle w:val="NormalTok"/>
        </w:rPr>
        <w:t xml:space="preserve">r).</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br/>
      </w:r>
      <w:r>
        <w:rPr>
          <w:rStyle w:val="NormalTok"/>
        </w:rPr>
        <w:t xml:space="preserve">    missing</w:t>
      </w:r>
      <w:r>
        <w:rPr>
          <w:rStyle w:val="OperatorTok"/>
        </w:rPr>
        <w:t xml:space="preserve">=</w:t>
      </w:r>
      <w:r>
        <w:rPr>
          <w:rStyle w:val="NormalTok"/>
        </w:rPr>
        <w:t xml:space="preserve">area[active </w:t>
      </w:r>
      <w:r>
        <w:rPr>
          <w:rStyle w:val="OperatorTok"/>
        </w:rPr>
        <w:t xml:space="preserve">&amp;</w:t>
      </w:r>
      <w:r>
        <w:rPr>
          <w:rStyle w:val="NormalTok"/>
        </w:rPr>
        <w:t xml:space="preserve"> values.isna()].</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(kWh</w:t>
      </w:r>
      <w:r>
        <w:rPr>
          <w:rStyle w:val="OperatorTok"/>
        </w:rPr>
        <w:t xml:space="preserve">=</w:t>
      </w:r>
      <w:r>
        <w:rPr>
          <w:rStyle w:val="NormalTok"/>
        </w:rPr>
        <w:t xml:space="preserve">known </w:t>
      </w:r>
      <w:r>
        <w:rPr>
          <w:rStyle w:val="ControlFlowTok"/>
        </w:rPr>
        <w:t xml:space="preserve">if</w:t>
      </w:r>
      <w:r>
        <w:rPr>
          <w:rStyle w:val="NormalTok"/>
        </w:rPr>
        <w:t xml:space="preserve"> </w:t>
      </w:r>
      <w:r>
        <w:rPr>
          <w:rStyle w:val="KeywordTok"/>
        </w:rPr>
        <w:t xml:space="preserve">not</w:t>
      </w:r>
      <w:r>
        <w:rPr>
          <w:rStyle w:val="NormalTok"/>
        </w:rPr>
        <w:t xml:space="preserve"> missing_area </w:t>
      </w:r>
      <w:r>
        <w:rPr>
          <w:rStyle w:val="KeywordTok"/>
        </w:rPr>
        <w:t xml:space="preserve">and</w:t>
      </w:r>
      <w:r>
        <w:rPr>
          <w:rStyle w:val="NormalTok"/>
        </w:rPr>
        <w:t xml:space="preserve"> missing</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np.nan,</w:t>
      </w:r>
      <w:r>
        <w:br/>
      </w:r>
      <w:r>
        <w:rPr>
          <w:rStyle w:val="NormalTok"/>
        </w:rPr>
        <w:t xml:space="preserve">                bekannte_kWh</w:t>
      </w:r>
      <w:r>
        <w:rPr>
          <w:rStyle w:val="OperatorTok"/>
        </w:rPr>
        <w:t xml:space="preserve">=</w:t>
      </w:r>
      <w:r>
        <w:rPr>
          <w:rStyle w:val="NormalTok"/>
        </w:rPr>
        <w:t xml:space="preserve">known,fehlende_BGF_m2</w:t>
      </w:r>
      <w:r>
        <w:rPr>
          <w:rStyle w:val="OperatorTok"/>
        </w:rPr>
        <w:t xml:space="preserve">=</w:t>
      </w:r>
      <w:r>
        <w:rPr>
          <w:rStyle w:val="NormalTok"/>
        </w:rPr>
        <w:t xml:space="preserve">missing,Flächen_offen</w:t>
      </w:r>
      <w:r>
        <w:rPr>
          <w:rStyle w:val="OperatorTok"/>
        </w:rPr>
        <w:t xml:space="preserve">=</w:t>
      </w:r>
      <w:r>
        <w:rPr>
          <w:rStyle w:val="NormalTok"/>
        </w:rPr>
        <w:t xml:space="preserve">missing_area)</w:t>
      </w:r>
      <w:r>
        <w:br/>
      </w:r>
      <w:r>
        <w:rPr>
          <w:rStyle w:val="NormalTok"/>
        </w:rPr>
        <w:t xml:space="preserve">energy_records</w:t>
      </w:r>
      <w:r>
        <w:rPr>
          <w:rStyle w:val="OperatorTok"/>
        </w:rPr>
        <w:t xml:space="preserve">=</w:t>
      </w:r>
      <w:r>
        <w:rPr>
          <w:rStyle w:val="NormalTok"/>
        </w:rPr>
        <w:t xml:space="preserve">[]</w:t>
      </w:r>
      <w:r>
        <w:br/>
      </w:r>
      <w:r>
        <w:rPr>
          <w:rStyle w:val="ControlFlowTok"/>
        </w:rPr>
        <w:t xml:space="preserve">for</w:t>
      </w:r>
      <w:r>
        <w:rPr>
          <w:rStyle w:val="NormalTok"/>
        </w:rPr>
        <w:t xml:space="preserve"> year,c </w:t>
      </w:r>
      <w:r>
        <w:rPr>
          <w:rStyle w:val="KeywordTok"/>
        </w:rPr>
        <w:t xml:space="preserve">in</w:t>
      </w:r>
      <w:r>
        <w:rPr>
          <w:rStyle w:val="NormalTok"/>
        </w:rPr>
        <w:t xml:space="preserve"> area_cols.items():</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w:t>
      </w:r>
      <w:r>
        <w:rPr>
          <w:rStyle w:val="StringTok"/>
        </w:rPr>
        <w:t xml:space="preserve">'Strombedarf'</w:t>
      </w:r>
      <w:r>
        <w:rPr>
          <w:rStyle w:val="NormalTok"/>
        </w:rPr>
        <w:t xml:space="preserve">,</w:t>
      </w:r>
      <w:r>
        <w:rPr>
          <w:rStyle w:val="StringTok"/>
        </w:rPr>
        <w:t xml:space="preserve">'PV_Erzeugung'</w:t>
      </w:r>
      <w:r>
        <w:rPr>
          <w:rStyle w:val="NormalTok"/>
        </w:rPr>
        <w:t xml:space="preserve">,</w:t>
      </w:r>
      <w:r>
        <w:rPr>
          <w:rStyle w:val="StringTok"/>
        </w:rPr>
        <w:t xml:space="preserve">'Grid_to_building_min'</w:t>
      </w:r>
      <w:r>
        <w:rPr>
          <w:rStyle w:val="NormalTok"/>
        </w:rPr>
        <w:t xml:space="preserve">,</w:t>
      </w:r>
      <w:r>
        <w:rPr>
          <w:rStyle w:val="StringTok"/>
        </w:rPr>
        <w:t xml:space="preserve">'PV_total_direct'</w:t>
      </w:r>
      <w:r>
        <w:rPr>
          <w:rStyle w:val="NormalTok"/>
        </w:rPr>
        <w:t xml:space="preserve">,</w:t>
      </w:r>
      <w:r>
        <w:rPr>
          <w:rStyle w:val="StringTok"/>
        </w:rPr>
        <w:t xml:space="preserve">'PV_to_Egrid'</w:t>
      </w:r>
      <w:r>
        <w:rPr>
          <w:rStyle w:val="NormalTok"/>
        </w:rPr>
        <w:t xml:space="preserve">,</w:t>
      </w:r>
      <w:r>
        <w:rPr>
          <w:rStyle w:val="StringTok"/>
        </w:rPr>
        <w:t xml:space="preserve">'Stromsaldo'</w:t>
      </w:r>
      <w:r>
        <w:rPr>
          <w:rStyle w:val="NormalTok"/>
        </w:rPr>
        <w:t xml:space="preserve">]:</w:t>
      </w:r>
      <w:r>
        <w:br/>
      </w:r>
      <w:r>
        <w:rPr>
          <w:rStyle w:val="NormalTok"/>
        </w:rPr>
        <w:t xml:space="preserve">        a</w:t>
      </w:r>
      <w:r>
        <w:rPr>
          <w:rStyle w:val="OperatorTok"/>
        </w:rPr>
        <w:t xml:space="preserve">=</w:t>
      </w:r>
      <w:r>
        <w:rPr>
          <w:rStyle w:val="NormalTok"/>
        </w:rPr>
        <w:t xml:space="preserve">aggregate(data[metric],data[c])</w:t>
      </w:r>
      <w:r>
        <w:rPr>
          <w:rStyle w:val="OperatorTok"/>
        </w:rPr>
        <w:t xml:space="preserve">;</w:t>
      </w:r>
      <w:r>
        <w:rPr>
          <w:rStyle w:val="NormalTok"/>
        </w:rPr>
        <w:t xml:space="preserve">energy_records.append({</w:t>
      </w:r>
      <w:r>
        <w:rPr>
          <w:rStyle w:val="StringTok"/>
        </w:rPr>
        <w:t xml:space="preserve">'Stand'</w:t>
      </w:r>
      <w:r>
        <w:rPr>
          <w:rStyle w:val="NormalTok"/>
        </w:rPr>
        <w:t xml:space="preserve">:year,</w:t>
      </w:r>
      <w:r>
        <w:rPr>
          <w:rStyle w:val="StringTok"/>
        </w:rPr>
        <w:t xml:space="preserve">'Größe'</w:t>
      </w:r>
      <w:r>
        <w:rPr>
          <w:rStyle w:val="NormalTok"/>
        </w:rPr>
        <w:t xml:space="preserve">:metric,</w:t>
      </w:r>
      <w:r>
        <w:br/>
      </w:r>
      <w:r>
        <w:rPr>
          <w:rStyle w:val="NormalTok"/>
        </w:rPr>
        <w:t xml:space="preserve">            </w:t>
      </w:r>
      <w:r>
        <w:rPr>
          <w:rStyle w:val="StringTok"/>
        </w:rPr>
        <w:t xml:space="preserve">'kWh/(m² NGF a)'</w:t>
      </w:r>
      <w:r>
        <w:rPr>
          <w:rStyle w:val="NormalTok"/>
        </w:rPr>
        <w:t xml:space="preserve">:a[</w:t>
      </w:r>
      <w:r>
        <w:rPr>
          <w:rStyle w:val="StringTok"/>
        </w:rPr>
        <w:t xml:space="preserve">'kWh'</w:t>
      </w:r>
      <w:r>
        <w:rPr>
          <w:rStyle w:val="NormalTok"/>
        </w:rPr>
        <w:t xml:space="preserve">]</w:t>
      </w:r>
      <w:r>
        <w:rPr>
          <w:rStyle w:val="OperatorTok"/>
        </w:rPr>
        <w:t xml:space="preserve">/</w:t>
      </w:r>
      <w:r>
        <w:rPr>
          <w:rStyle w:val="NormalTok"/>
        </w:rPr>
        <w:t xml:space="preserve">(data[c].</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r),</w:t>
      </w:r>
      <w:r>
        <w:br/>
      </w:r>
      <w:r>
        <w:rPr>
          <w:rStyle w:val="NormalTok"/>
        </w:rPr>
        <w:t xml:space="preserve">            </w:t>
      </w:r>
      <w:r>
        <w:rPr>
          <w:rStyle w:val="StringTok"/>
        </w:rPr>
        <w:t xml:space="preserve">'GWh/a'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'PJ/a'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3.6e-9</w:t>
      </w:r>
      <w:r>
        <w:rPr>
          <w:rStyle w:val="NormalTok"/>
        </w:rPr>
        <w:t xml:space="preserve">,</w:t>
      </w:r>
      <w:r>
        <w:rPr>
          <w:rStyle w:val="StringTok"/>
        </w:rPr>
        <w:t xml:space="preserve">'fehlende BGF [m²]'</w:t>
      </w:r>
      <w:r>
        <w:rPr>
          <w:rStyle w:val="NormalTok"/>
        </w:rPr>
        <w:t xml:space="preserve">:a[</w:t>
      </w:r>
      <w:r>
        <w:rPr>
          <w:rStyle w:val="StringTok"/>
        </w:rPr>
        <w:t xml:space="preserve">'fehlende_BGF_m2'</w:t>
      </w:r>
      <w:r>
        <w:rPr>
          <w:rStyle w:val="NormalTok"/>
        </w:rPr>
        <w:t xml:space="preserve">],</w:t>
      </w:r>
      <w:r>
        <w:rPr>
          <w:rStyle w:val="StringTok"/>
        </w:rPr>
        <w:t xml:space="preserve">'Flächen offen'</w:t>
      </w:r>
      <w:r>
        <w:rPr>
          <w:rStyle w:val="NormalTok"/>
        </w:rPr>
        <w:t xml:space="preserve">:a[</w:t>
      </w:r>
      <w:r>
        <w:rPr>
          <w:rStyle w:val="StringTok"/>
        </w:rPr>
        <w:t xml:space="preserve">'Flächen_offen'</w:t>
      </w:r>
      <w:r>
        <w:rPr>
          <w:rStyle w:val="NormalTok"/>
        </w:rPr>
        <w:t xml:space="preserve">]})</w:t>
      </w:r>
      <w:r>
        <w:br/>
      </w:r>
      <w:r>
        <w:rPr>
          <w:rStyle w:val="NormalTok"/>
        </w:rPr>
        <w:t xml:space="preserve">energy</w:t>
      </w:r>
      <w:r>
        <w:rPr>
          <w:rStyle w:val="OperatorTok"/>
        </w:rPr>
        <w:t xml:space="preserve">=</w:t>
      </w:r>
      <w:r>
        <w:rPr>
          <w:rStyle w:val="NormalTok"/>
        </w:rPr>
        <w:t xml:space="preserve">pd.DataFrame(energy_records)</w:t>
      </w:r>
      <w:r>
        <w:rPr>
          <w:rStyle w:val="OperatorTok"/>
        </w:rPr>
        <w:t xml:space="preserve">;</w:t>
      </w:r>
      <w:r>
        <w:rPr>
          <w:rStyle w:val="NormalTok"/>
        </w:rPr>
        <w:t xml:space="preserve">display(energy[energy.Stand.eq(</w:t>
      </w:r>
      <w:r>
        <w:rPr>
          <w:rStyle w:val="StringTok"/>
        </w:rPr>
        <w:t xml:space="preserve">'2040'</w:t>
      </w:r>
      <w:r>
        <w:rPr>
          <w:rStyle w:val="NormalTok"/>
        </w:rPr>
        <w:t xml:space="preserve">)])</w:t>
      </w:r>
      <w:r>
        <w:br/>
      </w:r>
      <w:r>
        <w:rPr>
          <w:rStyle w:val="NormalTok"/>
        </w:rPr>
        <w:t xml:space="preserve">weighted_apps</w:t>
      </w:r>
      <w:r>
        <w:rPr>
          <w:rStyle w:val="OperatorTok"/>
        </w:rPr>
        <w:t xml:space="preserve">=</w:t>
      </w:r>
      <w:r>
        <w:rPr>
          <w:rStyle w:val="NormalTok"/>
        </w:rPr>
        <w:t xml:space="preserve">apps.mul(data[</w:t>
      </w:r>
      <w:r>
        <w:rPr>
          <w:rStyle w:val="StringTok"/>
        </w:rPr>
        <w:t xml:space="preserve">'Nationale BGF 2040'</w:t>
      </w:r>
      <w:r>
        <w:rPr>
          <w:rStyle w:val="NormalTok"/>
        </w:rPr>
        <w:t xml:space="preserve">]</w:t>
      </w:r>
      <w:r>
        <w:rPr>
          <w:rStyle w:val="OperatorTok"/>
        </w:rPr>
        <w:t xml:space="preserve">*</w:t>
      </w:r>
      <w:r>
        <w:rPr>
          <w:rStyle w:val="NormalTok"/>
        </w:rPr>
        <w:t xml:space="preserve">r,axis</w:t>
      </w:r>
      <w:r>
        <w:rPr>
          <w:rStyle w:val="OperatorTok"/>
        </w:rPr>
        <w:t xml:space="preserve">=</w:t>
      </w:r>
      <w:r>
        <w:rPr>
          <w:rStyle w:val="DecValTok"/>
        </w:rPr>
        <w:t xml:space="preserve">0</w:t>
      </w:r>
      <w:r>
        <w:rPr>
          <w:rStyle w:val="NormalTok"/>
        </w:rPr>
        <w:t xml:space="preserve">)</w:t>
      </w:r>
      <w:r>
        <w:br/>
      </w:r>
      <w:r>
        <w:rPr>
          <w:rStyle w:val="NormalTok"/>
        </w:rPr>
        <w:t xml:space="preserve">application_total</w:t>
      </w:r>
      <w:r>
        <w:rPr>
          <w:rStyle w:val="OperatorTok"/>
        </w:rPr>
        <w:t xml:space="preserve">=</w:t>
      </w:r>
      <w:r>
        <w:rPr>
          <w:rStyle w:val="NormalTok"/>
        </w:rPr>
        <w:t xml:space="preserve">weighted_apps.</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br/>
      </w:r>
      <w:r>
        <w:rPr>
          <w:rStyle w:val="NormalTok"/>
        </w:rPr>
        <w:t xml:space="preserve">display(application_total.rename(</w:t>
      </w:r>
      <w:r>
        <w:rPr>
          <w:rStyle w:val="StringTok"/>
        </w:rPr>
        <w:t xml:space="preserve">'GWh/a'</w:t>
      </w:r>
      <w:r>
        <w:rPr>
          <w:rStyle w:val="NormalTok"/>
        </w:rPr>
        <w:t xml:space="preserve">).to_frame())</w:t>
      </w:r>
      <w:r>
        <w:br/>
      </w:r>
      <w:r>
        <w:rPr>
          <w:rStyle w:val="NormalTok"/>
        </w:rPr>
        <w:t xml:space="preserve">by_geometry</w:t>
      </w:r>
      <w:r>
        <w:rPr>
          <w:rStyle w:val="OperatorTok"/>
        </w:rPr>
        <w:t xml:space="preserve">=</w:t>
      </w:r>
      <w:r>
        <w:rPr>
          <w:rStyle w:val="NormalTok"/>
        </w:rPr>
        <w:t xml:space="preserve">weighted_apps.groupby(data.Geometrie).</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).div((data[</w:t>
      </w:r>
      <w:r>
        <w:rPr>
          <w:rStyle w:val="StringTok"/>
        </w:rPr>
        <w:t xml:space="preserve">'Nationale BGF 2040'</w:t>
      </w:r>
      <w:r>
        <w:rPr>
          <w:rStyle w:val="NormalTok"/>
        </w:rPr>
        <w:t xml:space="preserve">]</w:t>
      </w:r>
      <w:r>
        <w:rPr>
          <w:rStyle w:val="OperatorTok"/>
        </w:rPr>
        <w:t xml:space="preserve">*</w:t>
      </w:r>
      <w:r>
        <w:rPr>
          <w:rStyle w:val="NormalTok"/>
        </w:rPr>
        <w:t xml:space="preserve">r).groupby(data.Geometrie).</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fig,ax</w:t>
      </w:r>
      <w:r>
        <w:rPr>
          <w:rStyle w:val="OperatorTok"/>
        </w:rPr>
        <w:t xml:space="preserve">=</w:t>
      </w:r>
      <w:r>
        <w:rPr>
          <w:rStyle w:val="NormalTok"/>
        </w:rPr>
        <w:t xml:space="preserve">plt.subplots(figsize</w:t>
      </w:r>
      <w:r>
        <w:rPr>
          <w:rStyle w:val="OperatorTok"/>
        </w:rPr>
        <w:t xml:space="preserve">=</w:t>
      </w:r>
      <w:r>
        <w:rPr>
          <w:rStyle w:val="NormalTok"/>
        </w:rPr>
        <w:t xml:space="preserve">(</w:t>
      </w:r>
      <w:r>
        <w:rPr>
          <w:rStyle w:val="DecValTok"/>
        </w:rPr>
        <w:t xml:space="preserve">10</w:t>
      </w:r>
      <w:r>
        <w:rPr>
          <w:rStyle w:val="NormalTok"/>
        </w:rPr>
        <w:t xml:space="preserve">,</w:t>
      </w:r>
      <w:r>
        <w:rPr>
          <w:rStyle w:val="FloatTok"/>
        </w:rPr>
        <w:t xml:space="preserve">4.5</w:t>
      </w:r>
      <w:r>
        <w:rPr>
          <w:rStyle w:val="NormalTok"/>
        </w:rPr>
        <w:t xml:space="preserve">))</w:t>
      </w:r>
      <w:r>
        <w:rPr>
          <w:rStyle w:val="OperatorTok"/>
        </w:rPr>
        <w:t xml:space="preserve">;</w:t>
      </w:r>
      <w:r>
        <w:rPr>
          <w:rStyle w:val="NormalTok"/>
        </w:rPr>
        <w:t xml:space="preserve">by_geometry.dropna(how</w:t>
      </w:r>
      <w:r>
        <w:rPr>
          <w:rStyle w:val="OperatorTok"/>
        </w:rPr>
        <w:t xml:space="preserve">=</w:t>
      </w:r>
      <w:r>
        <w:rPr>
          <w:rStyle w:val="StringTok"/>
        </w:rPr>
        <w:t xml:space="preserve">'all'</w:t>
      </w:r>
      <w:r>
        <w:rPr>
          <w:rStyle w:val="NormalTok"/>
        </w:rPr>
        <w:t xml:space="preserve">).plot.bar(stacked</w:t>
      </w:r>
      <w:r>
        <w:rPr>
          <w:rStyle w:val="OperatorTok"/>
        </w:rPr>
        <w:t xml:space="preserve">=</w:t>
      </w:r>
      <w:r>
        <w:rPr>
          <w:rStyle w:val="VariableTok"/>
        </w:rPr>
        <w:t xml:space="preserve">True</w:t>
      </w:r>
      <w:r>
        <w:rPr>
          <w:rStyle w:val="NormalTok"/>
        </w:rPr>
        <w:t xml:space="preserve">,ax</w:t>
      </w:r>
      <w:r>
        <w:rPr>
          <w:rStyle w:val="OperatorTok"/>
        </w:rPr>
        <w:t xml:space="preserve">=</w:t>
      </w:r>
      <w:r>
        <w:rPr>
          <w:rStyle w:val="NormalTok"/>
        </w:rPr>
        <w:t xml:space="preserve">ax,colormap</w:t>
      </w:r>
      <w:r>
        <w:rPr>
          <w:rStyle w:val="OperatorTok"/>
        </w:rPr>
        <w:t xml:space="preserve">=</w:t>
      </w:r>
      <w:r>
        <w:rPr>
          <w:rStyle w:val="StringTok"/>
        </w:rPr>
        <w:t xml:space="preserve">'tab20'</w:t>
      </w:r>
      <w:r>
        <w:rPr>
          <w:rStyle w:val="NormalTok"/>
        </w:rPr>
        <w:t xml:space="preserve">)</w:t>
      </w:r>
      <w:r>
        <w:br/>
      </w:r>
      <w:r>
        <w:rPr>
          <w:rStyle w:val="NormalTok"/>
        </w:rPr>
        <w:t xml:space="preserve">ax.</w:t>
      </w:r>
      <w:r>
        <w:rPr>
          <w:rStyle w:val="BuiltInTok"/>
        </w:rPr>
        <w:t xml:space="preserve">set</w:t>
      </w:r>
      <w:r>
        <w:rPr>
          <w:rStyle w:val="NormalTok"/>
        </w:rPr>
        <w:t xml:space="preserve">(ylabel</w:t>
      </w:r>
      <w:r>
        <w:rPr>
          <w:rStyle w:val="OperatorTok"/>
        </w:rPr>
        <w:t xml:space="preserve">=</w:t>
      </w:r>
      <w:r>
        <w:rPr>
          <w:rStyle w:val="StringTok"/>
        </w:rPr>
        <w:t xml:space="preserve">'Strombedarf [kWh/(m² NGF a)]'</w:t>
      </w:r>
      <w:r>
        <w:rPr>
          <w:rStyle w:val="NormalTok"/>
        </w:rPr>
        <w:t xml:space="preserve">,xlabel</w:t>
      </w:r>
      <w:r>
        <w:rPr>
          <w:rStyle w:val="OperatorTok"/>
        </w:rPr>
        <w:t xml:space="preserve">=</w:t>
      </w:r>
      <w:r>
        <w:rPr>
          <w:rStyle w:val="StringTok"/>
        </w:rPr>
        <w:t xml:space="preserve">'Geometrische Klasse'</w:t>
      </w:r>
      <w:r>
        <w:rPr>
          <w:rStyle w:val="NormalTok"/>
        </w:rPr>
        <w:t xml:space="preserve">)</w:t>
      </w:r>
      <w:r>
        <w:rPr>
          <w:rStyle w:val="OperatorTok"/>
        </w:rPr>
        <w:t xml:space="preserve">;</w:t>
      </w:r>
      <w:r>
        <w:rPr>
          <w:rStyle w:val="NormalTok"/>
        </w:rPr>
        <w:t xml:space="preserve">ax.tick_params(axis</w:t>
      </w:r>
      <w:r>
        <w:rPr>
          <w:rStyle w:val="OperatorTok"/>
        </w:rPr>
        <w:t xml:space="preserve">=</w:t>
      </w:r>
      <w:r>
        <w:rPr>
          <w:rStyle w:val="StringTok"/>
        </w:rPr>
        <w:t xml:space="preserve">'x'</w:t>
      </w:r>
      <w:r>
        <w:rPr>
          <w:rStyle w:val="NormalTok"/>
        </w:rPr>
        <w:t xml:space="preserve">,rotation</w:t>
      </w:r>
      <w:r>
        <w:rPr>
          <w:rStyle w:val="OperatorTok"/>
        </w:rPr>
        <w:t xml:space="preserve">=</w:t>
      </w:r>
      <w:r>
        <w:rPr>
          <w:rStyle w:val="DecValTok"/>
        </w:rPr>
        <w:t xml:space="preserve">40</w:t>
      </w:r>
      <w:r>
        <w:rPr>
          <w:rStyle w:val="NormalTok"/>
        </w:rPr>
        <w:t xml:space="preserve">)</w:t>
      </w:r>
      <w:r>
        <w:br/>
      </w:r>
      <w:r>
        <w:rPr>
          <w:rStyle w:val="NormalTok"/>
        </w:rPr>
        <w:t xml:space="preserve">ax.legend(loc</w:t>
      </w:r>
      <w:r>
        <w:rPr>
          <w:rStyle w:val="OperatorTok"/>
        </w:rPr>
        <w:t xml:space="preserve">=</w:t>
      </w:r>
      <w:r>
        <w:rPr>
          <w:rStyle w:val="StringTok"/>
        </w:rPr>
        <w:t xml:space="preserve">'upper center'</w:t>
      </w:r>
      <w:r>
        <w:rPr>
          <w:rStyle w:val="NormalTok"/>
        </w:rPr>
        <w:t xml:space="preserve">,bbox_to_anchor</w:t>
      </w:r>
      <w:r>
        <w:rPr>
          <w:rStyle w:val="OperatorTok"/>
        </w:rPr>
        <w:t xml:space="preserve">=</w:t>
      </w:r>
      <w:r>
        <w:rPr>
          <w:rStyle w:val="NormalTok"/>
        </w:rPr>
        <w:t xml:space="preserve">(</w:t>
      </w:r>
      <w:r>
        <w:rPr>
          <w:rStyle w:val="FloatTok"/>
        </w:rPr>
        <w:t xml:space="preserve">.5</w:t>
      </w:r>
      <w:r>
        <w:rPr>
          <w:rStyle w:val="NormalTok"/>
        </w:rPr>
        <w:t xml:space="preserve">,</w:t>
      </w:r>
      <w:r>
        <w:rPr>
          <w:rStyle w:val="FloatTok"/>
        </w:rPr>
        <w:t xml:space="preserve">1.22</w:t>
      </w:r>
      <w:r>
        <w:rPr>
          <w:rStyle w:val="NormalTok"/>
        </w:rPr>
        <w:t xml:space="preserve">),ncol</w:t>
      </w:r>
      <w:r>
        <w:rPr>
          <w:rStyle w:val="OperatorTok"/>
        </w:rPr>
        <w:t xml:space="preserve">=</w:t>
      </w:r>
      <w:r>
        <w:rPr>
          <w:rStyle w:val="DecValTok"/>
        </w:rPr>
        <w:t xml:space="preserve">4</w:t>
      </w:r>
      <w:r>
        <w:rPr>
          <w:rStyle w:val="NormalTok"/>
        </w:rPr>
        <w:t xml:space="preserve">,fontsize</w:t>
      </w:r>
      <w:r>
        <w:rPr>
          <w:rStyle w:val="OperatorTok"/>
        </w:rPr>
        <w:t xml:space="preserve">=</w:t>
      </w:r>
      <w:r>
        <w:rPr>
          <w:rStyle w:val="DecValTok"/>
        </w:rPr>
        <w:t xml:space="preserve">8</w:t>
      </w:r>
      <w:r>
        <w:rPr>
          <w:rStyle w:val="NormalTok"/>
        </w:rPr>
        <w:t xml:space="preserve">)</w:t>
      </w:r>
      <w:r>
        <w:rPr>
          <w:rStyle w:val="OperatorTok"/>
        </w:rPr>
        <w:t xml:space="preserve">;</w:t>
      </w:r>
      <w:r>
        <w:rPr>
          <w:rStyle w:val="NormalTok"/>
        </w:rPr>
        <w:t xml:space="preserve">fig.tight_layout()</w:t>
      </w:r>
      <w:r>
        <w:rPr>
          <w:rStyle w:val="OperatorTok"/>
        </w:rPr>
        <w:t xml:space="preserve">;</w:t>
      </w:r>
      <w:r>
        <w:rPr>
          <w:rStyle w:val="NormalTok"/>
        </w:rPr>
        <w:t xml:space="preserve">fig.savefig(OUT</w:t>
      </w:r>
      <w:r>
        <w:rPr>
          <w:rStyle w:val="OperatorTok"/>
        </w:rPr>
        <w:t xml:space="preserve">/</w:t>
      </w:r>
      <w:r>
        <w:rPr>
          <w:rStyle w:val="StringTok"/>
        </w:rPr>
        <w:t xml:space="preserve">'strom_anwendungen.png'</w:t>
      </w:r>
      <w:r>
        <w:rPr>
          <w:rStyle w:val="NormalTok"/>
        </w:rPr>
        <w:t xml:space="preserve">,dpi</w:t>
      </w:r>
      <w:r>
        <w:rPr>
          <w:rStyle w:val="OperatorTok"/>
        </w:rPr>
        <w:t xml:space="preserve">=</w:t>
      </w:r>
      <w:r>
        <w:rPr>
          <w:rStyle w:val="DecValTok"/>
        </w:rPr>
        <w:t xml:space="preserve">180</w:t>
      </w:r>
      <w:r>
        <w:rPr>
          <w:rStyle w:val="NormalTok"/>
        </w:rPr>
        <w:t xml:space="preserve">)</w:t>
      </w:r>
      <w:r>
        <w:rPr>
          <w:rStyle w:val="OperatorTok"/>
        </w:rPr>
        <w:t xml:space="preserve">;</w:t>
      </w:r>
      <w:r>
        <w:rPr>
          <w:rStyle w:val="NormalTok"/>
        </w:rPr>
        <w:t xml:space="preserve">plt.show()</w:t>
      </w:r>
      <w:r>
        <w:br/>
      </w:r>
      <w:r>
        <w:rPr>
          <w:rStyle w:val="NormalTok"/>
        </w:rPr>
        <w:t xml:space="preserve">geom_energy</w:t>
      </w:r>
      <w:r>
        <w:rPr>
          <w:rStyle w:val="OperatorTok"/>
        </w:rPr>
        <w:t xml:space="preserve">=</w:t>
      </w:r>
      <w:r>
        <w:rPr>
          <w:rStyle w:val="NormalTok"/>
        </w:rPr>
        <w:t xml:space="preserve">data[[</w:t>
      </w:r>
      <w:r>
        <w:rPr>
          <w:rStyle w:val="StringTok"/>
        </w:rPr>
        <w:t xml:space="preserve">'Strombedarf'</w:t>
      </w:r>
      <w:r>
        <w:rPr>
          <w:rStyle w:val="NormalTok"/>
        </w:rPr>
        <w:t xml:space="preserve">,</w:t>
      </w:r>
      <w:r>
        <w:rPr>
          <w:rStyle w:val="StringTok"/>
        </w:rPr>
        <w:t xml:space="preserve">'PV_Erzeugung'</w:t>
      </w:r>
      <w:r>
        <w:rPr>
          <w:rStyle w:val="NormalTok"/>
        </w:rPr>
        <w:t xml:space="preserve">,</w:t>
      </w:r>
      <w:r>
        <w:rPr>
          <w:rStyle w:val="StringTok"/>
        </w:rPr>
        <w:t xml:space="preserve">'Stromsaldo'</w:t>
      </w:r>
      <w:r>
        <w:rPr>
          <w:rStyle w:val="NormalTok"/>
        </w:rPr>
        <w:t xml:space="preserve">]].mul(data[</w:t>
      </w:r>
      <w:r>
        <w:rPr>
          <w:rStyle w:val="StringTok"/>
        </w:rPr>
        <w:t xml:space="preserve">'Nationale BGF 2040'</w:t>
      </w:r>
      <w:r>
        <w:rPr>
          <w:rStyle w:val="NormalTok"/>
        </w:rPr>
        <w:t xml:space="preserve">]</w:t>
      </w:r>
      <w:r>
        <w:rPr>
          <w:rStyle w:val="OperatorTok"/>
        </w:rPr>
        <w:t xml:space="preserve">*</w:t>
      </w:r>
      <w:r>
        <w:rPr>
          <w:rStyle w:val="NormalTok"/>
        </w:rPr>
        <w:t xml:space="preserve">r,axis</w:t>
      </w:r>
      <w:r>
        <w:rPr>
          <w:rStyle w:val="OperatorTok"/>
        </w:rPr>
        <w:t xml:space="preserve">=</w:t>
      </w:r>
      <w:r>
        <w:rPr>
          <w:rStyle w:val="DecValTok"/>
        </w:rPr>
        <w:t xml:space="preserve">0</w:t>
      </w:r>
      <w:r>
        <w:rPr>
          <w:rStyle w:val="NormalTok"/>
        </w:rPr>
        <w:t xml:space="preserve">).groupby(data.Geometrie).</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1e6</w:t>
      </w:r>
      <w:r>
        <w:br/>
      </w:r>
      <w:r>
        <w:rPr>
          <w:rStyle w:val="NormalTok"/>
        </w:rPr>
        <w:t xml:space="preserve">display(geom_energy)</w:t>
      </w:r>
      <w:r>
        <w:br/>
      </w:r>
      <w:r>
        <w:rPr>
          <w:rStyle w:val="NormalTok"/>
        </w:rPr>
        <w:t xml:space="preserve">energy.to_csv(OUT</w:t>
      </w:r>
      <w:r>
        <w:rPr>
          <w:rStyle w:val="OperatorTok"/>
        </w:rPr>
        <w:t xml:space="preserve">/</w:t>
      </w:r>
      <w:r>
        <w:rPr>
          <w:rStyle w:val="StringTok"/>
        </w:rPr>
        <w:t xml:space="preserve">'strombilanz.csv'</w:t>
      </w:r>
      <w:r>
        <w:rPr>
          <w:rStyle w:val="NormalTok"/>
        </w:rPr>
        <w:t xml:space="preserve">,index</w:t>
      </w:r>
      <w:r>
        <w:rPr>
          <w:rStyle w:val="OperatorTok"/>
        </w:rPr>
        <w:t xml:space="preserve">=</w:t>
      </w:r>
      <w:r>
        <w:rPr>
          <w:rStyle w:val="VariableTok"/>
        </w:rPr>
        <w:t xml:space="preserve">False</w:t>
      </w:r>
      <w:r>
        <w:rPr>
          <w:rStyle w:val="NormalTok"/>
        </w:rPr>
        <w:t xml:space="preserve">)</w:t>
      </w:r>
      <w:r>
        <w:rPr>
          <w:rStyle w:val="OperatorTok"/>
        </w:rPr>
        <w:t xml:space="preserve">;</w:t>
      </w:r>
      <w:r>
        <w:rPr>
          <w:rStyle w:val="NormalTok"/>
        </w:rPr>
        <w:t xml:space="preserve">by_geometry.to_csv(OUT</w:t>
      </w:r>
      <w:r>
        <w:rPr>
          <w:rStyle w:val="OperatorTok"/>
        </w:rPr>
        <w:t xml:space="preserve">/</w:t>
      </w:r>
      <w:r>
        <w:rPr>
          <w:rStyle w:val="StringTok"/>
        </w:rPr>
        <w:t xml:space="preserve">'strom_anwendungen_spezifisch.csv'</w:t>
      </w:r>
      <w:r>
        <w:rPr>
          <w:rStyle w:val="NormalTok"/>
        </w:rPr>
        <w:t xml:space="preserve">)</w:t>
      </w:r>
      <w:r>
        <w:rPr>
          <w:rStyle w:val="OperatorTok"/>
        </w:rPr>
        <w:t xml:space="preserve">;</w:t>
      </w:r>
      <w:r>
        <w:rPr>
          <w:rStyle w:val="NormalTok"/>
        </w:rPr>
        <w:t xml:space="preserve">geom_energy.to_csv(OUT</w:t>
      </w:r>
      <w:r>
        <w:rPr>
          <w:rStyle w:val="OperatorTok"/>
        </w:rPr>
        <w:t xml:space="preserve">/</w:t>
      </w:r>
      <w:r>
        <w:rPr>
          <w:rStyle w:val="StringTok"/>
        </w:rPr>
        <w:t xml:space="preserve">'strombilanz_geometrie.csv'</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Stand</w:t>
            </w:r>
          </w:p>
        </w:tc>
        <w:tc>
          <w:tcPr/>
          <w:p>
            <w:pPr>
              <w:pStyle w:val="Compact"/>
            </w:pPr>
            <w:r>
              <w:t xml:space="preserve">Größe</w:t>
            </w:r>
          </w:p>
        </w:tc>
        <w:tc>
          <w:tcPr/>
          <w:p>
            <w:pPr>
              <w:pStyle w:val="Compact"/>
            </w:pPr>
            <w:r>
              <w:t xml:space="preserve">kWh/(m² NGF a)</w:t>
            </w:r>
          </w:p>
        </w:tc>
        <w:tc>
          <w:tcPr/>
          <w:p>
            <w:pPr>
              <w:pStyle w:val="Compact"/>
            </w:pPr>
            <w:r>
              <w:t xml:space="preserve">GWh/a</w:t>
            </w:r>
          </w:p>
        </w:tc>
        <w:tc>
          <w:tcPr/>
          <w:p>
            <w:pPr>
              <w:pStyle w:val="Compact"/>
            </w:pPr>
            <w:r>
              <w:t xml:space="preserve">PJ/a</w:t>
            </w:r>
          </w:p>
        </w:tc>
        <w:tc>
          <w:tcPr/>
          <w:p>
            <w:pPr>
              <w:pStyle w:val="Compact"/>
            </w:pPr>
            <w:r>
              <w:t xml:space="preserve">fehlende BGF [m²]</w:t>
            </w:r>
          </w:p>
        </w:tc>
        <w:tc>
          <w:tcPr/>
          <w:p>
            <w:pPr>
              <w:pStyle w:val="Compact"/>
            </w:pPr>
            <w:r>
              <w:t xml:space="preserve">Flächen offen</w:t>
            </w:r>
          </w:p>
        </w:tc>
      </w:tr>
      <w:tr>
        <w:tc>
          <w:tcPr/>
          <w:p>
            <w:pPr>
              <w:pStyle w:val="Compact"/>
            </w:pPr>
            <w:r>
              <w:t xml:space="preserve">6</w:t>
            </w:r>
          </w:p>
        </w:tc>
        <w:tc>
          <w:tcPr/>
          <w:p>
            <w:pPr>
              <w:pStyle w:val="Compact"/>
            </w:pPr>
            <w:r>
              <w:t xml:space="preserve">2040</w:t>
            </w:r>
          </w:p>
        </w:tc>
        <w:tc>
          <w:tcPr/>
          <w:p>
            <w:pPr>
              <w:pStyle w:val="Compact"/>
            </w:pPr>
            <w:r>
              <w:t xml:space="preserve">Strombedarf</w:t>
            </w:r>
          </w:p>
        </w:tc>
        <w:tc>
          <w:tcPr/>
          <w:p>
            <w:pPr>
              <w:pStyle w:val="Compact"/>
            </w:pPr>
            <w:r>
              <w:t xml:space="preserve">42.376726</w:t>
            </w:r>
          </w:p>
        </w:tc>
        <w:tc>
          <w:tcPr/>
          <w:p>
            <w:pPr>
              <w:pStyle w:val="Compact"/>
            </w:pPr>
            <w:r>
              <w:t xml:space="preserve">38192.572254</w:t>
            </w:r>
          </w:p>
        </w:tc>
        <w:tc>
          <w:tcPr/>
          <w:p>
            <w:pPr>
              <w:pStyle w:val="Compact"/>
            </w:pPr>
            <w:r>
              <w:t xml:space="preserve">137.493260</w:t>
            </w:r>
          </w:p>
        </w:tc>
        <w:tc>
          <w:tcPr/>
          <w:p>
            <w:pPr>
              <w:pStyle w:val="Compact"/>
            </w:pPr>
            <w:r>
              <w:t xml:space="preserve">0.0</w:t>
            </w:r>
          </w:p>
        </w:tc>
        <w:tc>
          <w:tcPr/>
          <w:p>
            <w:pPr>
              <w:pStyle w:val="Compact"/>
            </w:pPr>
            <w:r>
              <w:t xml:space="preserve">False</w:t>
            </w:r>
          </w:p>
        </w:tc>
      </w:tr>
      <w:tr>
        <w:tc>
          <w:tcPr/>
          <w:p>
            <w:pPr>
              <w:pStyle w:val="Compact"/>
            </w:pPr>
            <w:r>
              <w:t xml:space="preserve">7</w:t>
            </w:r>
          </w:p>
        </w:tc>
        <w:tc>
          <w:tcPr/>
          <w:p>
            <w:pPr>
              <w:pStyle w:val="Compact"/>
            </w:pPr>
            <w:r>
              <w:t xml:space="preserve">2040</w:t>
            </w:r>
          </w:p>
        </w:tc>
        <w:tc>
          <w:tcPr/>
          <w:p>
            <w:pPr>
              <w:pStyle w:val="Compact"/>
            </w:pPr>
            <w:r>
              <w:t xml:space="preserve">PV_Erzeugung</w:t>
            </w:r>
          </w:p>
        </w:tc>
        <w:tc>
          <w:tcPr/>
          <w:p>
            <w:pPr>
              <w:pStyle w:val="Compact"/>
            </w:pPr>
            <w:r>
              <w:t xml:space="preserve">24.115993</w:t>
            </w:r>
          </w:p>
        </w:tc>
        <w:tc>
          <w:tcPr/>
          <w:p>
            <w:pPr>
              <w:pStyle w:val="Compact"/>
            </w:pPr>
            <w:r>
              <w:t xml:space="preserve">21734.850532</w:t>
            </w:r>
          </w:p>
        </w:tc>
        <w:tc>
          <w:tcPr/>
          <w:p>
            <w:pPr>
              <w:pStyle w:val="Compact"/>
            </w:pPr>
            <w:r>
              <w:t xml:space="preserve">78.245462</w:t>
            </w:r>
          </w:p>
        </w:tc>
        <w:tc>
          <w:tcPr/>
          <w:p>
            <w:pPr>
              <w:pStyle w:val="Compact"/>
            </w:pPr>
            <w:r>
              <w:t xml:space="preserve">0.0</w:t>
            </w:r>
          </w:p>
        </w:tc>
        <w:tc>
          <w:tcPr/>
          <w:p>
            <w:pPr>
              <w:pStyle w:val="Compact"/>
            </w:pPr>
            <w:r>
              <w:t xml:space="preserve">False</w:t>
            </w:r>
          </w:p>
        </w:tc>
      </w:tr>
      <w:tr>
        <w:tc>
          <w:tcPr/>
          <w:p>
            <w:pPr>
              <w:pStyle w:val="Compact"/>
            </w:pPr>
            <w:r>
              <w:t xml:space="preserve">8</w:t>
            </w:r>
          </w:p>
        </w:tc>
        <w:tc>
          <w:tcPr/>
          <w:p>
            <w:pPr>
              <w:pStyle w:val="Compact"/>
            </w:pPr>
            <w:r>
              <w:t xml:space="preserve">2040</w:t>
            </w:r>
          </w:p>
        </w:tc>
        <w:tc>
          <w:tcPr/>
          <w:p>
            <w:pPr>
              <w:pStyle w:val="Compact"/>
            </w:pPr>
            <w:r>
              <w:t xml:space="preserve">Grid_to_building_min</w:t>
            </w:r>
          </w:p>
        </w:tc>
        <w:tc>
          <w:tcPr/>
          <w:p>
            <w:pPr>
              <w:pStyle w:val="Compact"/>
            </w:pPr>
            <w:r>
              <w:t xml:space="preserve">34.898510</w:t>
            </w:r>
          </w:p>
        </w:tc>
        <w:tc>
          <w:tcPr/>
          <w:p>
            <w:pPr>
              <w:pStyle w:val="Compact"/>
            </w:pPr>
            <w:r>
              <w:t xml:space="preserve">31452.733686</w:t>
            </w:r>
          </w:p>
        </w:tc>
        <w:tc>
          <w:tcPr/>
          <w:p>
            <w:pPr>
              <w:pStyle w:val="Compact"/>
            </w:pPr>
            <w:r>
              <w:t xml:space="preserve">113.229841</w:t>
            </w:r>
          </w:p>
        </w:tc>
        <w:tc>
          <w:tcPr/>
          <w:p>
            <w:pPr>
              <w:pStyle w:val="Compact"/>
            </w:pPr>
            <w:r>
              <w:t xml:space="preserve">0.0</w:t>
            </w:r>
          </w:p>
        </w:tc>
        <w:tc>
          <w:tcPr/>
          <w:p>
            <w:pPr>
              <w:pStyle w:val="Compact"/>
            </w:pPr>
            <w:r>
              <w:t xml:space="preserve">False</w:t>
            </w:r>
          </w:p>
        </w:tc>
      </w:tr>
      <w:tr>
        <w:tc>
          <w:tcPr/>
          <w:p>
            <w:pPr>
              <w:pStyle w:val="Compact"/>
            </w:pPr>
            <w:r>
              <w:t xml:space="preserve">9</w:t>
            </w:r>
          </w:p>
        </w:tc>
        <w:tc>
          <w:tcPr/>
          <w:p>
            <w:pPr>
              <w:pStyle w:val="Compact"/>
            </w:pPr>
            <w:r>
              <w:t xml:space="preserve">2040</w:t>
            </w:r>
          </w:p>
        </w:tc>
        <w:tc>
          <w:tcPr/>
          <w:p>
            <w:pPr>
              <w:pStyle w:val="Compact"/>
            </w:pPr>
            <w:r>
              <w:t xml:space="preserve">PV_total_direct</w:t>
            </w:r>
          </w:p>
        </w:tc>
        <w:tc>
          <w:tcPr/>
          <w:p>
            <w:pPr>
              <w:pStyle w:val="Compact"/>
            </w:pPr>
            <w:r>
              <w:t xml:space="preserve">7.478216</w:t>
            </w:r>
          </w:p>
        </w:tc>
        <w:tc>
          <w:tcPr/>
          <w:p>
            <w:pPr>
              <w:pStyle w:val="Compact"/>
            </w:pPr>
            <w:r>
              <w:t xml:space="preserve">6739.838568</w:t>
            </w:r>
          </w:p>
        </w:tc>
        <w:tc>
          <w:tcPr/>
          <w:p>
            <w:pPr>
              <w:pStyle w:val="Compact"/>
            </w:pPr>
            <w:r>
              <w:t xml:space="preserve">24.263419</w:t>
            </w:r>
          </w:p>
        </w:tc>
        <w:tc>
          <w:tcPr/>
          <w:p>
            <w:pPr>
              <w:pStyle w:val="Compact"/>
            </w:pPr>
            <w:r>
              <w:t xml:space="preserve">0.0</w:t>
            </w:r>
          </w:p>
        </w:tc>
        <w:tc>
          <w:tcPr/>
          <w:p>
            <w:pPr>
              <w:pStyle w:val="Compact"/>
            </w:pPr>
            <w:r>
              <w:t xml:space="preserve">False</w:t>
            </w:r>
          </w:p>
        </w:tc>
      </w:tr>
      <w:tr>
        <w:tc>
          <w:tcPr/>
          <w:p>
            <w:pPr>
              <w:pStyle w:val="Compact"/>
            </w:pPr>
            <w:r>
              <w:t xml:space="preserve">10</w:t>
            </w:r>
          </w:p>
        </w:tc>
        <w:tc>
          <w:tcPr/>
          <w:p>
            <w:pPr>
              <w:pStyle w:val="Compact"/>
            </w:pPr>
            <w:r>
              <w:t xml:space="preserve">2040</w:t>
            </w:r>
          </w:p>
        </w:tc>
        <w:tc>
          <w:tcPr/>
          <w:p>
            <w:pPr>
              <w:pStyle w:val="Compact"/>
            </w:pPr>
            <w:r>
              <w:t xml:space="preserve">PV_to_Egrid</w:t>
            </w:r>
          </w:p>
        </w:tc>
        <w:tc>
          <w:tcPr/>
          <w:p>
            <w:pPr>
              <w:pStyle w:val="Compact"/>
            </w:pPr>
            <w:r>
              <w:t xml:space="preserve">16.637777</w:t>
            </w:r>
          </w:p>
        </w:tc>
        <w:tc>
          <w:tcPr/>
          <w:p>
            <w:pPr>
              <w:pStyle w:val="Compact"/>
            </w:pPr>
            <w:r>
              <w:t xml:space="preserve">14995.011964</w:t>
            </w:r>
          </w:p>
        </w:tc>
        <w:tc>
          <w:tcPr/>
          <w:p>
            <w:pPr>
              <w:pStyle w:val="Compact"/>
            </w:pPr>
            <w:r>
              <w:t xml:space="preserve">53.982043</w:t>
            </w:r>
          </w:p>
        </w:tc>
        <w:tc>
          <w:tcPr/>
          <w:p>
            <w:pPr>
              <w:pStyle w:val="Compact"/>
            </w:pPr>
            <w:r>
              <w:t xml:space="preserve">0.0</w:t>
            </w:r>
          </w:p>
        </w:tc>
        <w:tc>
          <w:tcPr/>
          <w:p>
            <w:pPr>
              <w:pStyle w:val="Compact"/>
            </w:pPr>
            <w:r>
              <w:t xml:space="preserve">False</w:t>
            </w:r>
          </w:p>
        </w:tc>
      </w:tr>
      <w:tr>
        <w:tc>
          <w:tcPr/>
          <w:p>
            <w:pPr>
              <w:pStyle w:val="Compact"/>
            </w:pPr>
            <w:r>
              <w:t xml:space="preserve">11</w:t>
            </w:r>
          </w:p>
        </w:tc>
        <w:tc>
          <w:tcPr/>
          <w:p>
            <w:pPr>
              <w:pStyle w:val="Compact"/>
            </w:pPr>
            <w:r>
              <w:t xml:space="preserve">2040</w:t>
            </w:r>
          </w:p>
        </w:tc>
        <w:tc>
          <w:tcPr/>
          <w:p>
            <w:pPr>
              <w:pStyle w:val="Compact"/>
            </w:pPr>
            <w:r>
              <w:t xml:space="preserve">Stromsaldo</w:t>
            </w:r>
          </w:p>
        </w:tc>
        <w:tc>
          <w:tcPr/>
          <w:p>
            <w:pPr>
              <w:pStyle w:val="Compact"/>
            </w:pPr>
            <w:r>
              <w:t xml:space="preserve">-18.260733</w:t>
            </w:r>
          </w:p>
        </w:tc>
        <w:tc>
          <w:tcPr/>
          <w:p>
            <w:pPr>
              <w:pStyle w:val="Compact"/>
            </w:pPr>
            <w:r>
              <w:t xml:space="preserve">-16457.721722</w:t>
            </w:r>
          </w:p>
        </w:tc>
        <w:tc>
          <w:tcPr/>
          <w:p>
            <w:pPr>
              <w:pStyle w:val="Compact"/>
            </w:pPr>
            <w:r>
              <w:t xml:space="preserve">-59.247798</w:t>
            </w:r>
          </w:p>
        </w:tc>
        <w:tc>
          <w:tcPr/>
          <w:p>
            <w:pPr>
              <w:pStyle w:val="Compact"/>
            </w:pPr>
            <w:r>
              <w:t xml:space="preserve">0.0</w:t>
            </w:r>
          </w:p>
        </w:tc>
        <w:tc>
          <w:tcPr/>
          <w:p>
            <w:pPr>
              <w:pStyle w:val="Compact"/>
            </w:pPr>
            <w:r>
              <w:t xml:space="preserve">False</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GWh/a</w:t>
            </w:r>
          </w:p>
        </w:tc>
      </w:tr>
      <w:tr>
        <w:tc>
          <w:tcPr/>
          <w:p>
            <w:pPr>
              <w:pStyle w:val="Compact"/>
            </w:pPr>
            <w:r>
              <w:t xml:space="preserve">Heizung</w:t>
            </w:r>
          </w:p>
        </w:tc>
        <w:tc>
          <w:tcPr/>
          <w:p>
            <w:pPr>
              <w:pStyle w:val="Compact"/>
            </w:pPr>
            <w:r>
              <w:t xml:space="preserve">7032.501102</w:t>
            </w:r>
          </w:p>
        </w:tc>
      </w:tr>
      <w:tr>
        <w:tc>
          <w:tcPr/>
          <w:p>
            <w:pPr>
              <w:pStyle w:val="Compact"/>
            </w:pPr>
            <w:r>
              <w:t xml:space="preserve">Warmwasser</w:t>
            </w:r>
          </w:p>
        </w:tc>
        <w:tc>
          <w:tcPr/>
          <w:p>
            <w:pPr>
              <w:pStyle w:val="Compact"/>
            </w:pPr>
            <w:r>
              <w:t xml:space="preserve">1351.416608</w:t>
            </w:r>
          </w:p>
        </w:tc>
      </w:tr>
      <w:tr>
        <w:tc>
          <w:tcPr/>
          <w:p>
            <w:pPr>
              <w:pStyle w:val="Compact"/>
            </w:pPr>
            <w:r>
              <w:t xml:space="preserve">Kühlung</w:t>
            </w:r>
          </w:p>
        </w:tc>
        <w:tc>
          <w:tcPr/>
          <w:p>
            <w:pPr>
              <w:pStyle w:val="Compact"/>
            </w:pPr>
            <w:r>
              <w:t xml:space="preserve">0.000000</w:t>
            </w:r>
          </w:p>
        </w:tc>
      </w:tr>
      <w:tr>
        <w:tc>
          <w:tcPr/>
          <w:p>
            <w:pPr>
              <w:pStyle w:val="Compact"/>
            </w:pPr>
            <w:r>
              <w:t xml:space="preserve">Lüftung</w:t>
            </w:r>
          </w:p>
        </w:tc>
        <w:tc>
          <w:tcPr/>
          <w:p>
            <w:pPr>
              <w:pStyle w:val="Compact"/>
            </w:pPr>
            <w:r>
              <w:t xml:space="preserve">1053.688634</w:t>
            </w:r>
          </w:p>
        </w:tc>
      </w:tr>
      <w:tr>
        <w:tc>
          <w:tcPr/>
          <w:p>
            <w:pPr>
              <w:pStyle w:val="Compact"/>
            </w:pPr>
            <w:r>
              <w:t xml:space="preserve">Hilfs-/Allgemeinstrom</w:t>
            </w:r>
          </w:p>
        </w:tc>
        <w:tc>
          <w:tcPr/>
          <w:p>
            <w:pPr>
              <w:pStyle w:val="Compact"/>
            </w:pPr>
            <w:r>
              <w:t xml:space="preserve">3179.587258</w:t>
            </w:r>
          </w:p>
        </w:tc>
      </w:tr>
      <w:tr>
        <w:tc>
          <w:tcPr/>
          <w:p>
            <w:pPr>
              <w:pStyle w:val="Compact"/>
            </w:pPr>
            <w:r>
              <w:t xml:space="preserve">Beleuchtung</w:t>
            </w:r>
          </w:p>
        </w:tc>
        <w:tc>
          <w:tcPr/>
          <w:p>
            <w:pPr>
              <w:pStyle w:val="Compact"/>
            </w:pPr>
            <w:r>
              <w:t xml:space="preserve">3986.780084</w:t>
            </w:r>
          </w:p>
        </w:tc>
      </w:tr>
      <w:tr>
        <w:tc>
          <w:tcPr/>
          <w:p>
            <w:pPr>
              <w:pStyle w:val="Compact"/>
            </w:pPr>
            <w:r>
              <w:t xml:space="preserve">Geräte/IT</w:t>
            </w:r>
          </w:p>
        </w:tc>
        <w:tc>
          <w:tcPr/>
          <w:p>
            <w:pPr>
              <w:pStyle w:val="Compact"/>
            </w:pPr>
            <w:r>
              <w:t xml:space="preserve">21588.598568</w:t>
            </w:r>
          </w:p>
        </w:tc>
      </w:tr>
    </w:tbl>
    <w:p>
      <w:pPr>
        <w:pStyle w:val="BodyText"/>
      </w:pPr>
      <w:r>
        <w:drawing>
          <wp:inline>
            <wp:extent cx="5334000" cy="2278296"/>
            <wp:effectExtent b="0" l="0" r="0" t="0"/>
            <wp:docPr descr="" title="" id="518" name="Picture"/>
            <a:graphic>
              <a:graphicData uri="http://schemas.openxmlformats.org/drawingml/2006/picture">
                <pic:pic>
                  <pic:nvPicPr>
                    <pic:cNvPr descr="Berechnungen\gebaeudesektormodell/Gebaeudesektormodell_files/figure-docx/cell-5-output-3.png" id="519" name="Picture"/>
                    <pic:cNvPicPr>
                      <a:picLocks noChangeArrowheads="1" noChangeAspect="1"/>
                    </pic:cNvPicPr>
                  </pic:nvPicPr>
                  <pic:blipFill>
                    <a:blip r:embed="rId517"/>
                    <a:stretch>
                      <a:fillRect/>
                    </a:stretch>
                  </pic:blipFill>
                  <pic:spPr bwMode="auto">
                    <a:xfrm>
                      <a:off x="0" y="0"/>
                      <a:ext cx="5334000" cy="227829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Strombedarf</w:t>
            </w:r>
          </w:p>
        </w:tc>
        <w:tc>
          <w:tcPr/>
          <w:p>
            <w:pPr>
              <w:pStyle w:val="Compact"/>
            </w:pPr>
            <w:r>
              <w:t xml:space="preserve">PV_Erzeugung</w:t>
            </w:r>
          </w:p>
        </w:tc>
        <w:tc>
          <w:tcPr/>
          <w:p>
            <w:pPr>
              <w:pStyle w:val="Compact"/>
            </w:pPr>
            <w:r>
              <w:t xml:space="preserve">Stromsaldo</w:t>
            </w:r>
          </w:p>
        </w:tc>
      </w:tr>
      <w:tr>
        <w:trPr>
          <w:tblHeader w:val="on"/>
        </w:trPr>
        <w:tc>
          <w:tcPr/>
          <w:p>
            <w:pPr>
              <w:pStyle w:val="Compact"/>
            </w:pPr>
            <w:r>
              <w:t xml:space="preserve">Geometrie</w:t>
            </w:r>
          </w:p>
        </w:tc>
        <w:tc>
          <w:tcPr/>
          <w:p>
            <w:pPr>
              <w:pStyle w:val="Compact"/>
            </w:pPr>
          </w:p>
        </w:tc>
        <w:tc>
          <w:tcPr/>
          <w:p>
            <w:pPr>
              <w:pStyle w:val="Compact"/>
            </w:pPr>
          </w:p>
        </w:tc>
        <w:tc>
          <w:tcPr/>
          <w:p>
            <w:pPr>
              <w:pStyle w:val="Compact"/>
            </w:pPr>
          </w:p>
        </w:tc>
      </w:tr>
      <w:tr>
        <w:tc>
          <w:tcPr/>
          <w:p>
            <w:pPr>
              <w:pStyle w:val="Compact"/>
            </w:pPr>
            <w:r>
              <w:t xml:space="preserve">EFH_1G</w:t>
            </w:r>
          </w:p>
        </w:tc>
        <w:tc>
          <w:tcPr/>
          <w:p>
            <w:pPr>
              <w:pStyle w:val="Compact"/>
            </w:pPr>
            <w:r>
              <w:t xml:space="preserve">4564.515885</w:t>
            </w:r>
          </w:p>
        </w:tc>
        <w:tc>
          <w:tcPr/>
          <w:p>
            <w:pPr>
              <w:pStyle w:val="Compact"/>
            </w:pPr>
            <w:r>
              <w:t xml:space="preserve">7984.573792</w:t>
            </w:r>
          </w:p>
        </w:tc>
        <w:tc>
          <w:tcPr/>
          <w:p>
            <w:pPr>
              <w:pStyle w:val="Compact"/>
            </w:pPr>
            <w:r>
              <w:t xml:space="preserve">3420.057907</w:t>
            </w:r>
          </w:p>
        </w:tc>
      </w:tr>
      <w:tr>
        <w:tc>
          <w:tcPr/>
          <w:p>
            <w:pPr>
              <w:pStyle w:val="Compact"/>
            </w:pPr>
            <w:r>
              <w:t xml:space="preserve">EFH_2G</w:t>
            </w:r>
          </w:p>
        </w:tc>
        <w:tc>
          <w:tcPr/>
          <w:p>
            <w:pPr>
              <w:pStyle w:val="Compact"/>
            </w:pPr>
            <w:r>
              <w:t xml:space="preserve">5952.983278</w:t>
            </w:r>
          </w:p>
        </w:tc>
        <w:tc>
          <w:tcPr/>
          <w:p>
            <w:pPr>
              <w:pStyle w:val="Compact"/>
            </w:pPr>
            <w:r>
              <w:t xml:space="preserve">5772.806937</w:t>
            </w:r>
          </w:p>
        </w:tc>
        <w:tc>
          <w:tcPr/>
          <w:p>
            <w:pPr>
              <w:pStyle w:val="Compact"/>
            </w:pPr>
            <w:r>
              <w:t xml:space="preserve">-180.176341</w:t>
            </w:r>
          </w:p>
        </w:tc>
      </w:tr>
      <w:tr>
        <w:tc>
          <w:tcPr/>
          <w:p>
            <w:pPr>
              <w:pStyle w:val="Compact"/>
            </w:pPr>
            <w:r>
              <w:t xml:space="preserve">GWB_5G</w:t>
            </w:r>
          </w:p>
        </w:tc>
        <w:tc>
          <w:tcPr/>
          <w:p>
            <w:pPr>
              <w:pStyle w:val="Compact"/>
            </w:pPr>
            <w:r>
              <w:t xml:space="preserve">1070.918526</w:t>
            </w:r>
          </w:p>
        </w:tc>
        <w:tc>
          <w:tcPr/>
          <w:p>
            <w:pPr>
              <w:pStyle w:val="Compact"/>
            </w:pPr>
            <w:r>
              <w:t xml:space="preserve">486.713588</w:t>
            </w:r>
          </w:p>
        </w:tc>
        <w:tc>
          <w:tcPr/>
          <w:p>
            <w:pPr>
              <w:pStyle w:val="Compact"/>
            </w:pPr>
            <w:r>
              <w:t xml:space="preserve">-584.204938</w:t>
            </w:r>
          </w:p>
        </w:tc>
      </w:tr>
      <w:tr>
        <w:tc>
          <w:tcPr/>
          <w:p>
            <w:pPr>
              <w:pStyle w:val="Compact"/>
            </w:pPr>
            <w:r>
              <w:t xml:space="preserve">GWB_7G</w:t>
            </w:r>
          </w:p>
        </w:tc>
        <w:tc>
          <w:tcPr/>
          <w:p>
            <w:pPr>
              <w:pStyle w:val="Compact"/>
            </w:pPr>
            <w:r>
              <w:t xml:space="preserve">2163.824067</w:t>
            </w:r>
          </w:p>
        </w:tc>
        <w:tc>
          <w:tcPr/>
          <w:p>
            <w:pPr>
              <w:pStyle w:val="Compact"/>
            </w:pPr>
            <w:r>
              <w:t xml:space="preserve">714.677751</w:t>
            </w:r>
          </w:p>
        </w:tc>
        <w:tc>
          <w:tcPr/>
          <w:p>
            <w:pPr>
              <w:pStyle w:val="Compact"/>
            </w:pPr>
            <w:r>
              <w:t xml:space="preserve">-1449.146316</w:t>
            </w:r>
          </w:p>
        </w:tc>
      </w:tr>
      <w:tr>
        <w:tc>
          <w:tcPr/>
          <w:p>
            <w:pPr>
              <w:pStyle w:val="Compact"/>
            </w:pPr>
            <w:r>
              <w:t xml:space="preserve">MFH_2G</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MFH_4G</w:t>
            </w:r>
          </w:p>
        </w:tc>
        <w:tc>
          <w:tcPr/>
          <w:p>
            <w:pPr>
              <w:pStyle w:val="Compact"/>
            </w:pPr>
            <w:r>
              <w:t xml:space="preserve">1739.211896</w:t>
            </w:r>
          </w:p>
        </w:tc>
        <w:tc>
          <w:tcPr/>
          <w:p>
            <w:pPr>
              <w:pStyle w:val="Compact"/>
            </w:pPr>
            <w:r>
              <w:t xml:space="preserve">1003.271527</w:t>
            </w:r>
          </w:p>
        </w:tc>
        <w:tc>
          <w:tcPr/>
          <w:p>
            <w:pPr>
              <w:pStyle w:val="Compact"/>
            </w:pPr>
            <w:r>
              <w:t xml:space="preserve">-735.940369</w:t>
            </w:r>
          </w:p>
        </w:tc>
      </w:tr>
      <w:tr>
        <w:tc>
          <w:tcPr/>
          <w:p>
            <w:pPr>
              <w:pStyle w:val="Compact"/>
            </w:pPr>
            <w:r>
              <w:t xml:space="preserve">NiWo_1G</w:t>
            </w:r>
          </w:p>
        </w:tc>
        <w:tc>
          <w:tcPr/>
          <w:p>
            <w:pPr>
              <w:pStyle w:val="Compact"/>
            </w:pPr>
            <w:r>
              <w:t xml:space="preserve">2188.125328</w:t>
            </w:r>
          </w:p>
        </w:tc>
        <w:tc>
          <w:tcPr/>
          <w:p>
            <w:pPr>
              <w:pStyle w:val="Compact"/>
            </w:pPr>
            <w:r>
              <w:t xml:space="preserve">0.000000</w:t>
            </w:r>
          </w:p>
        </w:tc>
        <w:tc>
          <w:tcPr/>
          <w:p>
            <w:pPr>
              <w:pStyle w:val="Compact"/>
            </w:pPr>
            <w:r>
              <w:t xml:space="preserve">-2188.125328</w:t>
            </w:r>
          </w:p>
        </w:tc>
      </w:tr>
      <w:tr>
        <w:tc>
          <w:tcPr/>
          <w:p>
            <w:pPr>
              <w:pStyle w:val="Compact"/>
            </w:pPr>
            <w:r>
              <w:t xml:space="preserve">NiWo_2G</w:t>
            </w:r>
          </w:p>
        </w:tc>
        <w:tc>
          <w:tcPr/>
          <w:p>
            <w:pPr>
              <w:pStyle w:val="Compact"/>
            </w:pPr>
            <w:r>
              <w:t xml:space="preserve">4909.958277</w:t>
            </w:r>
          </w:p>
        </w:tc>
        <w:tc>
          <w:tcPr/>
          <w:p>
            <w:pPr>
              <w:pStyle w:val="Compact"/>
            </w:pPr>
            <w:r>
              <w:t xml:space="preserve">0.000000</w:t>
            </w:r>
          </w:p>
        </w:tc>
        <w:tc>
          <w:tcPr/>
          <w:p>
            <w:pPr>
              <w:pStyle w:val="Compact"/>
            </w:pPr>
            <w:r>
              <w:t xml:space="preserve">-4909.958277</w:t>
            </w:r>
          </w:p>
        </w:tc>
      </w:tr>
      <w:tr>
        <w:tc>
          <w:tcPr/>
          <w:p>
            <w:pPr>
              <w:pStyle w:val="Compact"/>
            </w:pPr>
            <w:r>
              <w:t xml:space="preserve">NiWo_3G</w:t>
            </w:r>
          </w:p>
        </w:tc>
        <w:tc>
          <w:tcPr/>
          <w:p>
            <w:pPr>
              <w:pStyle w:val="Compact"/>
            </w:pPr>
            <w:r>
              <w:t xml:space="preserve">9906.846278</w:t>
            </w:r>
          </w:p>
        </w:tc>
        <w:tc>
          <w:tcPr/>
          <w:p>
            <w:pPr>
              <w:pStyle w:val="Compact"/>
            </w:pPr>
            <w:r>
              <w:t xml:space="preserve">0.000000</w:t>
            </w:r>
          </w:p>
        </w:tc>
        <w:tc>
          <w:tcPr/>
          <w:p>
            <w:pPr>
              <w:pStyle w:val="Compact"/>
            </w:pPr>
            <w:r>
              <w:t xml:space="preserve">-9906.846278</w:t>
            </w:r>
          </w:p>
        </w:tc>
      </w:tr>
      <w:tr>
        <w:tc>
          <w:tcPr/>
          <w:p>
            <w:pPr>
              <w:pStyle w:val="Compact"/>
            </w:pPr>
            <w:r>
              <w:t xml:space="preserve">RH_2G</w:t>
            </w:r>
          </w:p>
        </w:tc>
        <w:tc>
          <w:tcPr/>
          <w:p>
            <w:pPr>
              <w:pStyle w:val="Compact"/>
            </w:pPr>
            <w:r>
              <w:t xml:space="preserve">5696.188719</w:t>
            </w:r>
          </w:p>
        </w:tc>
        <w:tc>
          <w:tcPr/>
          <w:p>
            <w:pPr>
              <w:pStyle w:val="Compact"/>
            </w:pPr>
            <w:r>
              <w:t xml:space="preserve">5772.806937</w:t>
            </w:r>
          </w:p>
        </w:tc>
        <w:tc>
          <w:tcPr/>
          <w:p>
            <w:pPr>
              <w:pStyle w:val="Compact"/>
            </w:pPr>
            <w:r>
              <w:t xml:space="preserve">76.618218</w:t>
            </w:r>
          </w:p>
        </w:tc>
      </w:tr>
    </w:tbl>
    <w:bookmarkEnd w:id="520"/>
    <w:bookmarkEnd w:id="521"/>
    <w:bookmarkStart w:id="525" w:name="sec-gebaeude-endenergie"/>
    <w:p>
      <w:pPr>
        <w:pStyle w:val="Heading2"/>
      </w:pPr>
      <w:r>
        <w:t xml:space="preserve">E.5 5. Endenergiebilanz nach Energieträgern und Anwendungen</w:t>
      </w:r>
    </w:p>
    <w:p>
      <w:pPr>
        <w:pStyle w:val="FirstParagraph"/>
      </w:pPr>
      <w:r>
        <w:t xml:space="preserve">Die elektrische Heizung ist nicht die gesamte Wärmeversorgung. Die Quelle enthält Fernwärme, Erdgas, Biomasse und „other“.</w:t>
      </w:r>
      <w:r>
        <w:t xml:space="preserve"> </w:t>
      </w:r>
      <w:r>
        <w:rPr>
          <w:b/>
          <w:bCs/>
        </w:rPr>
        <w:t xml:space="preserve">Öl wird aus</w:t>
      </w:r>
      <w:r>
        <w:rPr>
          <w:b/>
          <w:bCs/>
        </w:rPr>
        <w:t xml:space="preserve"> </w:t>
      </w:r>
      <w:r>
        <w:rPr>
          <w:rStyle w:val="VerbatimChar"/>
          <w:b/>
          <w:bCs/>
        </w:rPr>
        <w:t xml:space="preserve">EUI_other</w:t>
      </w:r>
      <w:r>
        <w:rPr>
          <w:b/>
          <w:bCs/>
        </w:rPr>
        <w:t xml:space="preserve"> </w:t>
      </w:r>
      <w:r>
        <w:rPr>
          <w:b/>
          <w:bCs/>
        </w:rPr>
        <w:t xml:space="preserve">nur für Schlüssel mit Heizsystem</w:t>
      </w:r>
      <w:r>
        <w:rPr>
          <w:b/>
          <w:bCs/>
        </w:rPr>
        <w:t xml:space="preserve"> </w:t>
      </w:r>
      <w:r>
        <w:rPr>
          <w:rStyle w:val="VerbatimChar"/>
          <w:b/>
          <w:bCs/>
        </w:rPr>
        <w:t xml:space="preserve">Oel</w:t>
      </w:r>
      <w:r>
        <w:rPr>
          <w:b/>
          <w:bCs/>
        </w:rPr>
        <w:t xml:space="preserve"> </w:t>
      </w:r>
      <w:r>
        <w:rPr>
          <w:b/>
          <w:bCs/>
        </w:rPr>
        <w:t xml:space="preserve">herausgelöst</w:t>
      </w:r>
      <w:r>
        <w:t xml:space="preserve">. Ein anderer „other“-Betrag bleibt sonstige thermische Endenergie. Die Anwendungsaufteilung stammt aus den zugehörigen</w:t>
      </w:r>
      <w:r>
        <w:t xml:space="preserve"> </w:t>
      </w:r>
      <w:r>
        <w:rPr>
          <w:rStyle w:val="VerbatimChar"/>
        </w:rPr>
        <w:t xml:space="preserve">EUIh_*</w:t>
      </w:r>
      <w:r>
        <w:t xml:space="preserve">,</w:t>
      </w:r>
      <w:r>
        <w:t xml:space="preserve"> </w:t>
      </w:r>
      <w:r>
        <w:rPr>
          <w:rStyle w:val="VerbatimChar"/>
        </w:rPr>
        <w:t xml:space="preserve">EUIdhw_*</w:t>
      </w:r>
      <w:r>
        <w:t xml:space="preserve"> </w:t>
      </w:r>
      <w:r>
        <w:t xml:space="preserve">und</w:t>
      </w:r>
      <w:r>
        <w:t xml:space="preserve"> </w:t>
      </w:r>
      <w:r>
        <w:rPr>
          <w:rStyle w:val="VerbatimChar"/>
        </w:rPr>
        <w:t xml:space="preserve">EUIc_other</w:t>
      </w:r>
      <w:r>
        <w:t xml:space="preserve">-Spalten, nicht aus angenommenen Wirkungsgraden.</w:t>
      </w:r>
    </w:p>
    <w:p>
      <w:pPr>
        <w:pStyle w:val="BodyText"/>
      </w:pPr>
      <m:oMathPara>
        <m:oMathParaPr>
          <m:jc m:val="center"/>
        </m:oMathParaPr>
        <m:oMath>
          <m:sSub>
            <m:e>
              <m:r>
                <m:t>E</m:t>
              </m:r>
            </m:e>
            <m:sub>
              <m:r>
                <m:t>i</m:t>
              </m:r>
              <m:r>
                <m:rPr>
                  <m:sty m:val="p"/>
                </m:rPr>
                <m:t>,</m:t>
              </m:r>
              <m:r>
                <m:t>y</m:t>
              </m:r>
            </m:sub>
          </m:sSub>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r>
            <m:t> </m:t>
          </m:r>
          <m:sSub>
            <m:e>
              <m:r>
                <m:t>e</m:t>
              </m:r>
            </m:e>
            <m:sub>
              <m:r>
                <m:t>i</m:t>
              </m:r>
              <m:r>
                <m:rPr>
                  <m:sty m:val="p"/>
                </m:rPr>
                <m:t>,</m:t>
              </m:r>
              <m:r>
                <m:t>k</m:t>
              </m:r>
            </m:sub>
          </m:sSub>
          <m:r>
            <m:rPr>
              <m:sty m:val="p"/>
            </m:rPr>
            <m:t>,</m:t>
          </m:r>
          <m:r>
            <m:t>  </m:t>
          </m:r>
          <m:sSub>
            <m:e>
              <m:r>
                <m:t>E</m:t>
              </m:r>
            </m:e>
            <m:sub>
              <m:r>
                <m:t>E</m:t>
              </m:r>
              <m:r>
                <m:t>n</m:t>
              </m:r>
              <m:r>
                <m:t>d</m:t>
              </m:r>
              <m:r>
                <m:rPr>
                  <m:sty m:val="p"/>
                </m:rPr>
                <m:t>,</m:t>
              </m:r>
              <m:r>
                <m:t>y</m:t>
              </m:r>
            </m:sub>
          </m:sSub>
          <m:r>
            <m:rPr>
              <m:sty m:val="p"/>
            </m:rPr>
            <m:t>=</m:t>
          </m:r>
          <m:sSub>
            <m:e>
              <m:r>
                <m:t>E</m:t>
              </m:r>
            </m:e>
            <m:sub>
              <m:r>
                <m:t>e</m:t>
              </m:r>
              <m:r>
                <m:t>l</m:t>
              </m:r>
              <m:r>
                <m:rPr>
                  <m:sty m:val="p"/>
                </m:rPr>
                <m:t>,</m:t>
              </m:r>
              <m:r>
                <m:t>y</m:t>
              </m:r>
            </m:sub>
          </m:sSub>
          <m:r>
            <m:rPr>
              <m:sty m:val="p"/>
            </m:rPr>
            <m:t>+</m:t>
          </m:r>
          <m:nary>
            <m:naryPr>
              <m:chr m:val="∑"/>
              <m:limLoc m:val="undOvr"/>
              <m:subHide m:val="off"/>
              <m:supHide m:val="on"/>
            </m:naryPr>
            <m:sub>
              <m:r>
                <m:t>i</m:t>
              </m:r>
              <m:r>
                <m:rPr>
                  <m:sty m:val="p"/>
                </m:rPr>
                <m:t>≠</m:t>
              </m:r>
              <m:r>
                <m:t>e</m:t>
              </m:r>
              <m:r>
                <m:t>l</m:t>
              </m:r>
            </m:sub>
            <m:sup>
              <m:r>
                <m:t>​</m:t>
              </m:r>
            </m:sup>
            <m:e>
              <m:sSub>
                <m:e>
                  <m:r>
                    <m:t>E</m:t>
                  </m:r>
                </m:e>
                <m:sub>
                  <m:r>
                    <m:t>i</m:t>
                  </m:r>
                  <m:r>
                    <m:rPr>
                      <m:sty m:val="p"/>
                    </m:rPr>
                    <m:t>,</m:t>
                  </m:r>
                  <m:r>
                    <m:t>y</m:t>
                  </m:r>
                </m:sub>
              </m:sSub>
            </m:e>
          </m:nary>
          <m:r>
            <m:rPr>
              <m:sty m:val="p"/>
            </m:rPr>
            <m:t>.</m:t>
          </m:r>
        </m:oMath>
      </m:oMathPara>
    </w:p>
    <w:p>
      <w:pPr>
        <w:pStyle w:val="FirstParagraph"/>
      </w:pPr>
      <w:r>
        <w:t xml:space="preserve">Der Bruttostrombedarf enthält lokal genutzten PV-Strom. Die alternativ ausgewiesene externe Lieferung enthält nur Netzbezug plus thermische Energieträger. Umweltwärme ist in diesen gelieferten Trägerkennwerten nicht als zusätzliche Endenergielieferung enthalten; diese Abgrenzung ist beim Vergleich mit nationalen Statistiken zu beachten.</w:t>
      </w:r>
    </w:p>
    <w:p>
      <w:pPr>
        <w:pStyle w:val="SourceCode"/>
      </w:pPr>
      <w:r>
        <w:rPr>
          <w:rStyle w:val="NormalTok"/>
        </w:rPr>
        <w:t xml:space="preserve">carriers</w:t>
      </w:r>
      <w:r>
        <w:rPr>
          <w:rStyle w:val="OperatorTok"/>
        </w:rPr>
        <w:t xml:space="preserve">=</w:t>
      </w:r>
      <w:r>
        <w:rPr>
          <w:rStyle w:val="NormalTok"/>
        </w:rPr>
        <w:t xml:space="preserve">pd.DataFrame({</w:t>
      </w:r>
      <w:r>
        <w:rPr>
          <w:rStyle w:val="StringTok"/>
        </w:rPr>
        <w:t xml:space="preserve">'Strom (Bruttobedarf)'</w:t>
      </w:r>
      <w:r>
        <w:rPr>
          <w:rStyle w:val="NormalTok"/>
        </w:rPr>
        <w:t xml:space="preserve">:data.Strombedarf,</w:t>
      </w:r>
      <w:r>
        <w:rPr>
          <w:rStyle w:val="StringTok"/>
        </w:rPr>
        <w:t xml:space="preserve">'Fernwärme'</w:t>
      </w:r>
      <w:r>
        <w:rPr>
          <w:rStyle w:val="NormalTok"/>
        </w:rPr>
        <w:t xml:space="preserve">:data.EUI_district_heating,</w:t>
      </w:r>
      <w:r>
        <w:br/>
      </w:r>
      <w:r>
        <w:rPr>
          <w:rStyle w:val="NormalTok"/>
        </w:rPr>
        <w:t xml:space="preserve"> </w:t>
      </w:r>
      <w:r>
        <w:rPr>
          <w:rStyle w:val="StringTok"/>
        </w:rPr>
        <w:t xml:space="preserve">'Gas'</w:t>
      </w:r>
      <w:r>
        <w:rPr>
          <w:rStyle w:val="NormalTok"/>
        </w:rPr>
        <w:t xml:space="preserve">:data.EUI_natural_gas,</w:t>
      </w:r>
      <w:r>
        <w:rPr>
          <w:rStyle w:val="StringTok"/>
        </w:rPr>
        <w:t xml:space="preserve">'Biomasse'</w:t>
      </w:r>
      <w:r>
        <w:rPr>
          <w:rStyle w:val="NormalTok"/>
        </w:rPr>
        <w:t xml:space="preserve">:data.EUI_biomass,</w:t>
      </w:r>
      <w:r>
        <w:br/>
      </w:r>
      <w:r>
        <w:rPr>
          <w:rStyle w:val="NormalTok"/>
        </w:rPr>
        <w:t xml:space="preserve"> </w:t>
      </w:r>
      <w:r>
        <w:rPr>
          <w:rStyle w:val="StringTok"/>
        </w:rPr>
        <w:t xml:space="preserve">'Öl'</w:t>
      </w:r>
      <w:r>
        <w:rPr>
          <w:rStyle w:val="NormalTok"/>
        </w:rPr>
        <w:t xml:space="preserve">:data.EUI_other.where(data.Heizung.eq(</w:t>
      </w:r>
      <w:r>
        <w:rPr>
          <w:rStyle w:val="StringTok"/>
        </w:rPr>
        <w:t xml:space="preserve">'Oel'</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'Sonstige thermisch'</w:t>
      </w:r>
      <w:r>
        <w:rPr>
          <w:rStyle w:val="NormalTok"/>
        </w:rPr>
        <w:t xml:space="preserve">:data.EUI_other.where(</w:t>
      </w:r>
      <w:r>
        <w:rPr>
          <w:rStyle w:val="OperatorTok"/>
        </w:rPr>
        <w:t xml:space="preserve">~</w:t>
      </w:r>
      <w:r>
        <w:rPr>
          <w:rStyle w:val="NormalTok"/>
        </w:rPr>
        <w:t xml:space="preserve">data.Heizung.eq(</w:t>
      </w:r>
      <w:r>
        <w:rPr>
          <w:rStyle w:val="StringTok"/>
        </w:rPr>
        <w:t xml:space="preserve">'Oel'</w:t>
      </w:r>
      <w:r>
        <w:rPr>
          <w:rStyle w:val="NormalTok"/>
        </w:rPr>
        <w:t xml:space="preserve">),</w:t>
      </w:r>
      <w:r>
        <w:rPr>
          <w:rStyle w:val="DecValTok"/>
        </w:rPr>
        <w:t xml:space="preserve">0</w:t>
      </w:r>
      <w:r>
        <w:rPr>
          <w:rStyle w:val="NormalTok"/>
        </w:rPr>
        <w:t xml:space="preserve">)})</w:t>
      </w:r>
      <w:r>
        <w:br/>
      </w:r>
      <w:r>
        <w:rPr>
          <w:rStyle w:val="NormalTok"/>
        </w:rPr>
        <w:t xml:space="preserve">thermal_apps</w:t>
      </w:r>
      <w:r>
        <w:rPr>
          <w:rStyle w:val="OperatorTok"/>
        </w:rPr>
        <w:t xml:space="preserve">=</w:t>
      </w:r>
      <w:r>
        <w:rPr>
          <w:rStyle w:val="NormalTok"/>
        </w:rPr>
        <w:t xml:space="preserve">[]</w:t>
      </w:r>
      <w:r>
        <w:br/>
      </w:r>
      <w:r>
        <w:rPr>
          <w:rStyle w:val="ControlFlowTok"/>
        </w:rPr>
        <w:t xml:space="preserve">for</w:t>
      </w:r>
      <w:r>
        <w:rPr>
          <w:rStyle w:val="NormalTok"/>
        </w:rPr>
        <w:t xml:space="preserve"> carrier,suffix </w:t>
      </w:r>
      <w:r>
        <w:rPr>
          <w:rStyle w:val="KeywordTok"/>
        </w:rPr>
        <w:t xml:space="preserve">in</w:t>
      </w:r>
      <w:r>
        <w:rPr>
          <w:rStyle w:val="NormalTok"/>
        </w:rPr>
        <w:t xml:space="preserve"> [(</w:t>
      </w:r>
      <w:r>
        <w:rPr>
          <w:rStyle w:val="StringTok"/>
        </w:rPr>
        <w:t xml:space="preserve">'Fernwärme'</w:t>
      </w:r>
      <w:r>
        <w:rPr>
          <w:rStyle w:val="NormalTok"/>
        </w:rPr>
        <w:t xml:space="preserve">,</w:t>
      </w:r>
      <w:r>
        <w:rPr>
          <w:rStyle w:val="StringTok"/>
        </w:rPr>
        <w:t xml:space="preserve">'district_heating'</w:t>
      </w:r>
      <w:r>
        <w:rPr>
          <w:rStyle w:val="NormalTok"/>
        </w:rPr>
        <w:t xml:space="preserve">),(</w:t>
      </w:r>
      <w:r>
        <w:rPr>
          <w:rStyle w:val="StringTok"/>
        </w:rPr>
        <w:t xml:space="preserve">'Gas'</w:t>
      </w:r>
      <w:r>
        <w:rPr>
          <w:rStyle w:val="NormalTok"/>
        </w:rPr>
        <w:t xml:space="preserve">,</w:t>
      </w:r>
      <w:r>
        <w:rPr>
          <w:rStyle w:val="StringTok"/>
        </w:rPr>
        <w:t xml:space="preserve">'natural_gas'</w:t>
      </w:r>
      <w:r>
        <w:rPr>
          <w:rStyle w:val="NormalTok"/>
        </w:rPr>
        <w:t xml:space="preserve">),(</w:t>
      </w:r>
      <w:r>
        <w:rPr>
          <w:rStyle w:val="StringTok"/>
        </w:rPr>
        <w:t xml:space="preserve">'Biomasse'</w:t>
      </w:r>
      <w:r>
        <w:rPr>
          <w:rStyle w:val="NormalTok"/>
        </w:rPr>
        <w:t xml:space="preserve">,</w:t>
      </w:r>
      <w:r>
        <w:rPr>
          <w:rStyle w:val="StringTok"/>
        </w:rPr>
        <w:t xml:space="preserve">'biomass'</w:t>
      </w:r>
      <w:r>
        <w:rPr>
          <w:rStyle w:val="NormalTok"/>
        </w:rPr>
        <w:t xml:space="preserve">),(</w:t>
      </w:r>
      <w:r>
        <w:rPr>
          <w:rStyle w:val="StringTok"/>
        </w:rPr>
        <w:t xml:space="preserve">'Sonstige inkl. Öl'</w:t>
      </w:r>
      <w:r>
        <w:rPr>
          <w:rStyle w:val="NormalTok"/>
        </w:rPr>
        <w:t xml:space="preserve">,</w:t>
      </w:r>
      <w:r>
        <w:rPr>
          <w:rStyle w:val="StringTok"/>
        </w:rPr>
        <w:t xml:space="preserve">'other'</w:t>
      </w:r>
      <w:r>
        <w:rPr>
          <w:rStyle w:val="NormalTok"/>
        </w:rPr>
        <w:t xml:space="preserve">)]:</w:t>
      </w:r>
      <w:r>
        <w:br/>
      </w:r>
      <w:r>
        <w:rPr>
          <w:rStyle w:val="NormalTok"/>
        </w:rPr>
        <w:t xml:space="preserve">    comps</w:t>
      </w:r>
      <w:r>
        <w:rPr>
          <w:rStyle w:val="OperatorTok"/>
        </w:rPr>
        <w:t xml:space="preserve">=</w:t>
      </w:r>
      <w:r>
        <w:rPr>
          <w:rStyle w:val="NormalTok"/>
        </w:rPr>
        <w:t xml:space="preserve">{</w:t>
      </w:r>
      <w:r>
        <w:rPr>
          <w:rStyle w:val="StringTok"/>
        </w:rPr>
        <w:t xml:space="preserve">'Heizung'</w:t>
      </w:r>
      <w:r>
        <w:rPr>
          <w:rStyle w:val="NormalTok"/>
        </w:rPr>
        <w:t xml:space="preserve">:data[</w:t>
      </w:r>
      <w:r>
        <w:rPr>
          <w:rStyle w:val="StringTok"/>
        </w:rPr>
        <w:t xml:space="preserve">'EUIh_'</w:t>
      </w:r>
      <w:r>
        <w:rPr>
          <w:rStyle w:val="OperatorTok"/>
        </w:rPr>
        <w:t xml:space="preserve">+</w:t>
      </w:r>
      <w:r>
        <w:rPr>
          <w:rStyle w:val="NormalTok"/>
        </w:rPr>
        <w:t xml:space="preserve">suffix],</w:t>
      </w:r>
      <w:r>
        <w:rPr>
          <w:rStyle w:val="StringTok"/>
        </w:rPr>
        <w:t xml:space="preserve">'Warmwasser'</w:t>
      </w:r>
      <w:r>
        <w:rPr>
          <w:rStyle w:val="NormalTok"/>
        </w:rPr>
        <w:t xml:space="preserve">:data[</w:t>
      </w:r>
      <w:r>
        <w:rPr>
          <w:rStyle w:val="StringTok"/>
        </w:rPr>
        <w:t xml:space="preserve">'EUIdhw_'</w:t>
      </w:r>
      <w:r>
        <w:rPr>
          <w:rStyle w:val="OperatorTok"/>
        </w:rPr>
        <w:t xml:space="preserve">+</w:t>
      </w:r>
      <w:r>
        <w:rPr>
          <w:rStyle w:val="NormalTok"/>
        </w:rPr>
        <w:t xml:space="preserve">suffix]}</w:t>
      </w:r>
      <w:r>
        <w:br/>
      </w:r>
      <w:r>
        <w:rPr>
          <w:rStyle w:val="NormalTok"/>
        </w:rPr>
        <w:t xml:space="preserve">    </w:t>
      </w:r>
      <w:r>
        <w:rPr>
          <w:rStyle w:val="ControlFlowTok"/>
        </w:rPr>
        <w:t xml:space="preserve">if</w:t>
      </w:r>
      <w:r>
        <w:rPr>
          <w:rStyle w:val="NormalTok"/>
        </w:rPr>
        <w:t xml:space="preserve"> suffix</w:t>
      </w:r>
      <w:r>
        <w:rPr>
          <w:rStyle w:val="OperatorTok"/>
        </w:rPr>
        <w:t xml:space="preserve">==</w:t>
      </w:r>
      <w:r>
        <w:rPr>
          <w:rStyle w:val="StringTok"/>
        </w:rPr>
        <w:t xml:space="preserve">'other'</w:t>
      </w:r>
      <w:r>
        <w:rPr>
          <w:rStyle w:val="NormalTok"/>
        </w:rPr>
        <w:t xml:space="preserve">: comps[</w:t>
      </w:r>
      <w:r>
        <w:rPr>
          <w:rStyle w:val="StringTok"/>
        </w:rPr>
        <w:t xml:space="preserve">'Kühlung'</w:t>
      </w:r>
      <w:r>
        <w:rPr>
          <w:rStyle w:val="NormalTok"/>
        </w:rPr>
        <w:t xml:space="preserve">]</w:t>
      </w:r>
      <w:r>
        <w:rPr>
          <w:rStyle w:val="OperatorTok"/>
        </w:rPr>
        <w:t xml:space="preserve">=</w:t>
      </w:r>
      <w:r>
        <w:rPr>
          <w:rStyle w:val="NormalTok"/>
        </w:rPr>
        <w:t xml:space="preserve">data.EUIc_other</w:t>
      </w:r>
      <w:r>
        <w:br/>
      </w:r>
      <w:r>
        <w:rPr>
          <w:rStyle w:val="NormalTok"/>
        </w:rPr>
        <w:t xml:space="preserve">    np.testing.assert_allclose(</w:t>
      </w:r>
      <w:r>
        <w:rPr>
          <w:rStyle w:val="BuiltInTok"/>
        </w:rPr>
        <w:t xml:space="preserve">sum</w:t>
      </w:r>
      <w:r>
        <w:rPr>
          <w:rStyle w:val="NormalTok"/>
        </w:rPr>
        <w:t xml:space="preserve">(comps.values()),data[</w:t>
      </w:r>
      <w:r>
        <w:rPr>
          <w:rStyle w:val="StringTok"/>
        </w:rPr>
        <w:t xml:space="preserve">'EUI_'</w:t>
      </w:r>
      <w:r>
        <w:rPr>
          <w:rStyle w:val="OperatorTok"/>
        </w:rPr>
        <w:t xml:space="preserve">+</w:t>
      </w:r>
      <w:r>
        <w:rPr>
          <w:rStyle w:val="NormalTok"/>
        </w:rPr>
        <w:t xml:space="preserve">suffix],atol</w:t>
      </w:r>
      <w:r>
        <w:rPr>
          <w:rStyle w:val="OperatorTok"/>
        </w:rPr>
        <w:t xml:space="preserve">=</w:t>
      </w:r>
      <w:r>
        <w:rPr>
          <w:rStyle w:val="FloatTok"/>
        </w:rPr>
        <w:t xml:space="preserve">1e-7</w:t>
      </w:r>
      <w:r>
        <w:rPr>
          <w:rStyle w:val="NormalTok"/>
        </w:rPr>
        <w:t xml:space="preserve">)</w:t>
      </w:r>
      <w:r>
        <w:br/>
      </w:r>
      <w:r>
        <w:rPr>
          <w:rStyle w:val="NormalTok"/>
        </w:rPr>
        <w:t xml:space="preserve">    </w:t>
      </w:r>
      <w:r>
        <w:rPr>
          <w:rStyle w:val="ControlFlowTok"/>
        </w:rPr>
        <w:t xml:space="preserve">for</w:t>
      </w:r>
      <w:r>
        <w:rPr>
          <w:rStyle w:val="NormalTok"/>
        </w:rPr>
        <w:t xml:space="preserve"> app,series </w:t>
      </w:r>
      <w:r>
        <w:rPr>
          <w:rStyle w:val="KeywordTok"/>
        </w:rPr>
        <w:t xml:space="preserve">in</w:t>
      </w:r>
      <w:r>
        <w:rPr>
          <w:rStyle w:val="NormalTok"/>
        </w:rPr>
        <w:t xml:space="preserve"> comps.items():</w:t>
      </w:r>
      <w:r>
        <w:br/>
      </w:r>
      <w:r>
        <w:rPr>
          <w:rStyle w:val="NormalTok"/>
        </w:rPr>
        <w:t xml:space="preserve">        thermal_apps.append({</w:t>
      </w:r>
      <w:r>
        <w:rPr>
          <w:rStyle w:val="StringTok"/>
        </w:rPr>
        <w:t xml:space="preserve">'Träger'</w:t>
      </w:r>
      <w:r>
        <w:rPr>
          <w:rStyle w:val="NormalTok"/>
        </w:rPr>
        <w:t xml:space="preserve">:carrier,</w:t>
      </w:r>
      <w:r>
        <w:rPr>
          <w:rStyle w:val="StringTok"/>
        </w:rPr>
        <w:t xml:space="preserve">'Anwendung'</w:t>
      </w:r>
      <w:r>
        <w:rPr>
          <w:rStyle w:val="NormalTok"/>
        </w:rPr>
        <w:t xml:space="preserve">:app,</w:t>
      </w:r>
      <w:r>
        <w:rPr>
          <w:rStyle w:val="StringTok"/>
        </w:rPr>
        <w:t xml:space="preserve">'GWh/a'</w:t>
      </w:r>
      <w:r>
        <w:rPr>
          <w:rStyle w:val="NormalTok"/>
        </w:rPr>
        <w:t xml:space="preserve">:aggregate(series,data[</w:t>
      </w:r>
      <w:r>
        <w:rPr>
          <w:rStyle w:val="StringTok"/>
        </w:rPr>
        <w:t xml:space="preserve">'Nationale BGF 2040'</w:t>
      </w:r>
      <w:r>
        <w:rPr>
          <w:rStyle w:val="NormalTok"/>
        </w:rPr>
        <w:t xml:space="preserve">])[</w:t>
      </w:r>
      <w:r>
        <w:rPr>
          <w:rStyle w:val="StringTok"/>
        </w:rPr>
        <w:t xml:space="preserve">'kWh'</w:t>
      </w:r>
      <w:r>
        <w:rPr>
          <w:rStyle w:val="NormalTok"/>
        </w:rPr>
        <w:t xml:space="preserve">]</w:t>
      </w:r>
      <w:r>
        <w:rPr>
          <w:rStyle w:val="OperatorTok"/>
        </w:rPr>
        <w:t xml:space="preserve">/</w:t>
      </w:r>
      <w:r>
        <w:rPr>
          <w:rStyle w:val="FloatTok"/>
        </w:rPr>
        <w:t xml:space="preserve">1e6</w:t>
      </w:r>
      <w:r>
        <w:rPr>
          <w:rStyle w:val="NormalTok"/>
        </w:rPr>
        <w:t xml:space="preserve">})</w:t>
      </w:r>
      <w:r>
        <w:br/>
      </w:r>
      <w:r>
        <w:rPr>
          <w:rStyle w:val="NormalTok"/>
        </w:rPr>
        <w:t xml:space="preserve">display(pd.DataFrame(thermal_apps))</w:t>
      </w:r>
      <w:r>
        <w:br/>
      </w:r>
      <w:r>
        <w:rPr>
          <w:rStyle w:val="NormalTok"/>
        </w:rPr>
        <w:t xml:space="preserve">ee</w:t>
      </w:r>
      <w:r>
        <w:rPr>
          <w:rStyle w:val="OperatorTok"/>
        </w:rPr>
        <w:t xml:space="preserve">=</w:t>
      </w:r>
      <w:r>
        <w:rPr>
          <w:rStyle w:val="NormalTok"/>
        </w:rPr>
        <w:t xml:space="preserve">[]</w:t>
      </w:r>
      <w:r>
        <w:br/>
      </w:r>
      <w:r>
        <w:rPr>
          <w:rStyle w:val="ControlFlowTok"/>
        </w:rPr>
        <w:t xml:space="preserve">for</w:t>
      </w:r>
      <w:r>
        <w:rPr>
          <w:rStyle w:val="NormalTok"/>
        </w:rPr>
        <w:t xml:space="preserve"> year,c </w:t>
      </w:r>
      <w:r>
        <w:rPr>
          <w:rStyle w:val="KeywordTok"/>
        </w:rPr>
        <w:t xml:space="preserve">in</w:t>
      </w:r>
      <w:r>
        <w:rPr>
          <w:rStyle w:val="NormalTok"/>
        </w:rPr>
        <w:t xml:space="preserve"> area_cols.items():</w:t>
      </w:r>
      <w:r>
        <w:br/>
      </w:r>
      <w:r>
        <w:rPr>
          <w:rStyle w:val="NormalTok"/>
        </w:rPr>
        <w:t xml:space="preserve">    </w:t>
      </w:r>
      <w:r>
        <w:rPr>
          <w:rStyle w:val="ControlFlowTok"/>
        </w:rPr>
        <w:t xml:space="preserve">for</w:t>
      </w:r>
      <w:r>
        <w:rPr>
          <w:rStyle w:val="NormalTok"/>
        </w:rPr>
        <w:t xml:space="preserve"> carrier </w:t>
      </w:r>
      <w:r>
        <w:rPr>
          <w:rStyle w:val="KeywordTok"/>
        </w:rPr>
        <w:t xml:space="preserve">in</w:t>
      </w:r>
      <w:r>
        <w:rPr>
          <w:rStyle w:val="NormalTok"/>
        </w:rPr>
        <w:t xml:space="preserve"> carriers:</w:t>
      </w:r>
      <w:r>
        <w:br/>
      </w:r>
      <w:r>
        <w:rPr>
          <w:rStyle w:val="NormalTok"/>
        </w:rPr>
        <w:t xml:space="preserve">        a</w:t>
      </w:r>
      <w:r>
        <w:rPr>
          <w:rStyle w:val="OperatorTok"/>
        </w:rPr>
        <w:t xml:space="preserve">=</w:t>
      </w:r>
      <w:r>
        <w:rPr>
          <w:rStyle w:val="NormalTok"/>
        </w:rPr>
        <w:t xml:space="preserve">aggregate(carriers[carrier],data[c])</w:t>
      </w:r>
      <w:r>
        <w:rPr>
          <w:rStyle w:val="OperatorTok"/>
        </w:rPr>
        <w:t xml:space="preserve">;</w:t>
      </w:r>
      <w:r>
        <w:rPr>
          <w:rStyle w:val="NormalTok"/>
        </w:rPr>
        <w:t xml:space="preserve">ee.append({</w:t>
      </w:r>
      <w:r>
        <w:rPr>
          <w:rStyle w:val="StringTok"/>
        </w:rPr>
        <w:t xml:space="preserve">'Stand'</w:t>
      </w:r>
      <w:r>
        <w:rPr>
          <w:rStyle w:val="NormalTok"/>
        </w:rPr>
        <w:t xml:space="preserve">:year,</w:t>
      </w:r>
      <w:r>
        <w:rPr>
          <w:rStyle w:val="StringTok"/>
        </w:rPr>
        <w:t xml:space="preserve">'Träger'</w:t>
      </w:r>
      <w:r>
        <w:rPr>
          <w:rStyle w:val="NormalTok"/>
        </w:rPr>
        <w:t xml:space="preserve">:carrier,</w:t>
      </w:r>
      <w:r>
        <w:br/>
      </w:r>
      <w:r>
        <w:rPr>
          <w:rStyle w:val="NormalTok"/>
        </w:rPr>
        <w:t xml:space="preserve">            </w:t>
      </w:r>
      <w:r>
        <w:rPr>
          <w:rStyle w:val="StringTok"/>
        </w:rPr>
        <w:t xml:space="preserve">'kWh/(m² NGF a)'</w:t>
      </w:r>
      <w:r>
        <w:rPr>
          <w:rStyle w:val="NormalTok"/>
        </w:rPr>
        <w:t xml:space="preserve">:a[</w:t>
      </w:r>
      <w:r>
        <w:rPr>
          <w:rStyle w:val="StringTok"/>
        </w:rPr>
        <w:t xml:space="preserve">'kWh'</w:t>
      </w:r>
      <w:r>
        <w:rPr>
          <w:rStyle w:val="NormalTok"/>
        </w:rPr>
        <w:t xml:space="preserve">]</w:t>
      </w:r>
      <w:r>
        <w:rPr>
          <w:rStyle w:val="OperatorTok"/>
        </w:rPr>
        <w:t xml:space="preserve">/</w:t>
      </w:r>
      <w:r>
        <w:rPr>
          <w:rStyle w:val="NormalTok"/>
        </w:rPr>
        <w:t xml:space="preserve">(data[c].</w:t>
      </w:r>
      <w:r>
        <w:rPr>
          <w:rStyle w:val="BuiltInTok"/>
        </w:rPr>
        <w:t xml:space="preserve">sum</w:t>
      </w:r>
      <w:r>
        <w:rPr>
          <w:rStyle w:val="NormalTok"/>
        </w:rPr>
        <w:t xml:space="preserve">(min_count</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r),</w:t>
      </w:r>
      <w:r>
        <w:rPr>
          <w:rStyle w:val="StringTok"/>
        </w:rPr>
        <w:t xml:space="preserve">'GWh/a'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'PJ/a'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3.6e-9</w:t>
      </w:r>
      <w:r>
        <w:rPr>
          <w:rStyle w:val="NormalTok"/>
        </w:rPr>
        <w:t xml:space="preserve">})</w:t>
      </w:r>
      <w:r>
        <w:br/>
      </w:r>
      <w:r>
        <w:rPr>
          <w:rStyle w:val="NormalTok"/>
        </w:rPr>
        <w:t xml:space="preserve">endenergy</w:t>
      </w:r>
      <w:r>
        <w:rPr>
          <w:rStyle w:val="OperatorTok"/>
        </w:rPr>
        <w:t xml:space="preserve">=</w:t>
      </w:r>
      <w:r>
        <w:rPr>
          <w:rStyle w:val="NormalTok"/>
        </w:rPr>
        <w:t xml:space="preserve">pd.DataFrame(ee)</w:t>
      </w:r>
      <w:r>
        <w:rPr>
          <w:rStyle w:val="OperatorTok"/>
        </w:rPr>
        <w:t xml:space="preserve">;</w:t>
      </w:r>
      <w:r>
        <w:rPr>
          <w:rStyle w:val="NormalTok"/>
        </w:rPr>
        <w:t xml:space="preserve">display(endenergy[endenergy.Stand.eq(</w:t>
      </w:r>
      <w:r>
        <w:rPr>
          <w:rStyle w:val="StringTok"/>
        </w:rPr>
        <w:t xml:space="preserve">'2040'</w:t>
      </w:r>
      <w:r>
        <w:rPr>
          <w:rStyle w:val="NormalTok"/>
        </w:rPr>
        <w:t xml:space="preserve">)])</w:t>
      </w:r>
      <w:r>
        <w:br/>
      </w:r>
      <w:r>
        <w:rPr>
          <w:rStyle w:val="NormalTok"/>
        </w:rPr>
        <w:t xml:space="preserve">endenergy.to_csv(OUT</w:t>
      </w:r>
      <w:r>
        <w:rPr>
          <w:rStyle w:val="OperatorTok"/>
        </w:rPr>
        <w:t xml:space="preserve">/</w:t>
      </w:r>
      <w:r>
        <w:rPr>
          <w:rStyle w:val="StringTok"/>
        </w:rPr>
        <w:t xml:space="preserve">'endenergiebilanz.csv'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pd.DataFrame(thermal_apps).to_csv(OUT</w:t>
      </w:r>
      <w:r>
        <w:rPr>
          <w:rStyle w:val="OperatorTok"/>
        </w:rPr>
        <w:t xml:space="preserve">/</w:t>
      </w:r>
      <w:r>
        <w:rPr>
          <w:rStyle w:val="StringTok"/>
        </w:rPr>
        <w:t xml:space="preserve">'thermische_anwendungen_2040.csv'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fig,ax</w:t>
      </w:r>
      <w:r>
        <w:rPr>
          <w:rStyle w:val="OperatorTok"/>
        </w:rPr>
        <w:t xml:space="preserve">=</w:t>
      </w:r>
      <w:r>
        <w:rPr>
          <w:rStyle w:val="NormalTok"/>
        </w:rPr>
        <w:t xml:space="preserve">plt.subplots(figsize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endenergy[endenergy.Stand.eq(</w:t>
      </w:r>
      <w:r>
        <w:rPr>
          <w:rStyle w:val="StringTok"/>
        </w:rPr>
        <w:t xml:space="preserve">'2040'</w:t>
      </w:r>
      <w:r>
        <w:rPr>
          <w:rStyle w:val="NormalTok"/>
        </w:rPr>
        <w:t xml:space="preserve">)].set_index(</w:t>
      </w:r>
      <w:r>
        <w:rPr>
          <w:rStyle w:val="StringTok"/>
        </w:rPr>
        <w:t xml:space="preserve">'Träger'</w:t>
      </w:r>
      <w:r>
        <w:rPr>
          <w:rStyle w:val="NormalTok"/>
        </w:rPr>
        <w:t xml:space="preserve">)[</w:t>
      </w:r>
      <w:r>
        <w:rPr>
          <w:rStyle w:val="StringTok"/>
        </w:rPr>
        <w:t xml:space="preserve">'PJ/a'</w:t>
      </w:r>
      <w:r>
        <w:rPr>
          <w:rStyle w:val="NormalTok"/>
        </w:rPr>
        <w:t xml:space="preserve">].plot.barh(ax</w:t>
      </w:r>
      <w:r>
        <w:rPr>
          <w:rStyle w:val="OperatorTok"/>
        </w:rPr>
        <w:t xml:space="preserve">=</w:t>
      </w:r>
      <w:r>
        <w:rPr>
          <w:rStyle w:val="NormalTok"/>
        </w:rPr>
        <w:t xml:space="preserve">ax,color</w:t>
      </w:r>
      <w:r>
        <w:rPr>
          <w:rStyle w:val="OperatorTok"/>
        </w:rPr>
        <w:t xml:space="preserve">=</w:t>
      </w:r>
      <w:r>
        <w:rPr>
          <w:rStyle w:val="NormalTok"/>
        </w:rPr>
        <w:t xml:space="preserve">[</w:t>
      </w:r>
      <w:r>
        <w:rPr>
          <w:rStyle w:val="StringTok"/>
        </w:rPr>
        <w:t xml:space="preserve">'#dfb42c'</w:t>
      </w:r>
      <w:r>
        <w:rPr>
          <w:rStyle w:val="NormalTok"/>
        </w:rPr>
        <w:t xml:space="preserve">,</w:t>
      </w:r>
      <w:r>
        <w:rPr>
          <w:rStyle w:val="StringTok"/>
        </w:rPr>
        <w:t xml:space="preserve">'#b85654'</w:t>
      </w:r>
      <w:r>
        <w:rPr>
          <w:rStyle w:val="NormalTok"/>
        </w:rPr>
        <w:t xml:space="preserve">,</w:t>
      </w:r>
      <w:r>
        <w:rPr>
          <w:rStyle w:val="StringTok"/>
        </w:rPr>
        <w:t xml:space="preserve">'#847d7a'</w:t>
      </w:r>
      <w:r>
        <w:rPr>
          <w:rStyle w:val="NormalTok"/>
        </w:rPr>
        <w:t xml:space="preserve">,</w:t>
      </w:r>
      <w:r>
        <w:rPr>
          <w:rStyle w:val="StringTok"/>
        </w:rPr>
        <w:t xml:space="preserve">'#527f4d'</w:t>
      </w:r>
      <w:r>
        <w:rPr>
          <w:rStyle w:val="NormalTok"/>
        </w:rPr>
        <w:t xml:space="preserve">,</w:t>
      </w:r>
      <w:r>
        <w:rPr>
          <w:rStyle w:val="StringTok"/>
        </w:rPr>
        <w:t xml:space="preserve">'#53545b'</w:t>
      </w:r>
      <w:r>
        <w:rPr>
          <w:rStyle w:val="NormalTok"/>
        </w:rPr>
        <w:t xml:space="preserve">,</w:t>
      </w:r>
      <w:r>
        <w:rPr>
          <w:rStyle w:val="StringTok"/>
        </w:rPr>
        <w:t xml:space="preserve">'#9b8c70'</w:t>
      </w:r>
      <w:r>
        <w:rPr>
          <w:rStyle w:val="NormalTok"/>
        </w:rPr>
        <w:t xml:space="preserve">])</w:t>
      </w:r>
      <w:r>
        <w:br/>
      </w:r>
      <w:r>
        <w:rPr>
          <w:rStyle w:val="NormalTok"/>
        </w:rPr>
        <w:t xml:space="preserve">ax.</w:t>
      </w:r>
      <w:r>
        <w:rPr>
          <w:rStyle w:val="BuiltInTok"/>
        </w:rPr>
        <w:t xml:space="preserve">set</w:t>
      </w:r>
      <w:r>
        <w:rPr>
          <w:rStyle w:val="NormalTok"/>
        </w:rPr>
        <w:t xml:space="preserve">(xlabel</w:t>
      </w:r>
      <w:r>
        <w:rPr>
          <w:rStyle w:val="OperatorTok"/>
        </w:rPr>
        <w:t xml:space="preserve">=</w:t>
      </w:r>
      <w:r>
        <w:rPr>
          <w:rStyle w:val="StringTok"/>
        </w:rPr>
        <w:t xml:space="preserve">'Jährliche Endenergie [PJ/a]'</w:t>
      </w:r>
      <w:r>
        <w:rPr>
          <w:rStyle w:val="NormalTok"/>
        </w:rPr>
        <w:t xml:space="preserve">,ylabel</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fig.tight_layout()</w:t>
      </w:r>
      <w:r>
        <w:rPr>
          <w:rStyle w:val="OperatorTok"/>
        </w:rPr>
        <w:t xml:space="preserve">;</w:t>
      </w:r>
      <w:r>
        <w:rPr>
          <w:rStyle w:val="NormalTok"/>
        </w:rPr>
        <w:t xml:space="preserve">fig.savefig(OUT</w:t>
      </w:r>
      <w:r>
        <w:rPr>
          <w:rStyle w:val="OperatorTok"/>
        </w:rPr>
        <w:t xml:space="preserve">/</w:t>
      </w:r>
      <w:r>
        <w:rPr>
          <w:rStyle w:val="StringTok"/>
        </w:rPr>
        <w:t xml:space="preserve">'endenergie.png'</w:t>
      </w:r>
      <w:r>
        <w:rPr>
          <w:rStyle w:val="NormalTok"/>
        </w:rPr>
        <w:t xml:space="preserve">,dpi</w:t>
      </w:r>
      <w:r>
        <w:rPr>
          <w:rStyle w:val="OperatorTok"/>
        </w:rPr>
        <w:t xml:space="preserve">=</w:t>
      </w:r>
      <w:r>
        <w:rPr>
          <w:rStyle w:val="DecValTok"/>
        </w:rPr>
        <w:t xml:space="preserve">180</w:t>
      </w:r>
      <w:r>
        <w:rPr>
          <w:rStyle w:val="NormalTok"/>
        </w:rPr>
        <w:t xml:space="preserve">)</w:t>
      </w:r>
      <w:r>
        <w:rPr>
          <w:rStyle w:val="OperatorTok"/>
        </w:rPr>
        <w:t xml:space="preserve">;</w:t>
      </w:r>
      <w:r>
        <w:rPr>
          <w:rStyle w:val="NormalTok"/>
        </w:rPr>
        <w:t xml:space="preserve">plt.show()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Träger</w:t>
            </w:r>
          </w:p>
        </w:tc>
        <w:tc>
          <w:tcPr/>
          <w:p>
            <w:pPr>
              <w:pStyle w:val="Compact"/>
            </w:pPr>
            <w:r>
              <w:t xml:space="preserve">Anwendung</w:t>
            </w:r>
          </w:p>
        </w:tc>
        <w:tc>
          <w:tcPr/>
          <w:p>
            <w:pPr>
              <w:pStyle w:val="Compact"/>
            </w:pPr>
            <w:r>
              <w:t xml:space="preserve">GWh/a</w:t>
            </w:r>
          </w:p>
        </w:tc>
      </w:tr>
      <w:tr>
        <w:tc>
          <w:tcPr/>
          <w:p>
            <w:pPr>
              <w:pStyle w:val="Compact"/>
            </w:pPr>
            <w:r>
              <w:t xml:space="preserve">0</w:t>
            </w:r>
          </w:p>
        </w:tc>
        <w:tc>
          <w:tcPr/>
          <w:p>
            <w:pPr>
              <w:pStyle w:val="Compact"/>
            </w:pPr>
            <w:r>
              <w:t xml:space="preserve">Fernwärme</w:t>
            </w:r>
          </w:p>
        </w:tc>
        <w:tc>
          <w:tcPr/>
          <w:p>
            <w:pPr>
              <w:pStyle w:val="Compact"/>
            </w:pPr>
            <w:r>
              <w:t xml:space="preserve">Heizung</w:t>
            </w:r>
          </w:p>
        </w:tc>
        <w:tc>
          <w:tcPr/>
          <w:p>
            <w:pPr>
              <w:pStyle w:val="Compact"/>
            </w:pPr>
            <w:r>
              <w:t xml:space="preserve">25469.010583</w:t>
            </w:r>
          </w:p>
        </w:tc>
      </w:tr>
      <w:tr>
        <w:tc>
          <w:tcPr/>
          <w:p>
            <w:pPr>
              <w:pStyle w:val="Compact"/>
            </w:pPr>
            <w:r>
              <w:t xml:space="preserve">1</w:t>
            </w:r>
          </w:p>
        </w:tc>
        <w:tc>
          <w:tcPr/>
          <w:p>
            <w:pPr>
              <w:pStyle w:val="Compact"/>
            </w:pPr>
            <w:r>
              <w:t xml:space="preserve">Fernwärme</w:t>
            </w:r>
          </w:p>
        </w:tc>
        <w:tc>
          <w:tcPr/>
          <w:p>
            <w:pPr>
              <w:pStyle w:val="Compact"/>
            </w:pPr>
            <w:r>
              <w:t xml:space="preserve">Warmwasser</w:t>
            </w:r>
          </w:p>
        </w:tc>
        <w:tc>
          <w:tcPr/>
          <w:p>
            <w:pPr>
              <w:pStyle w:val="Compact"/>
            </w:pPr>
            <w:r>
              <w:t xml:space="preserve">2919.601453</w:t>
            </w:r>
          </w:p>
        </w:tc>
      </w:tr>
      <w:tr>
        <w:tc>
          <w:tcPr/>
          <w:p>
            <w:pPr>
              <w:pStyle w:val="Compact"/>
            </w:pPr>
            <w:r>
              <w:t xml:space="preserve">2</w:t>
            </w:r>
          </w:p>
        </w:tc>
        <w:tc>
          <w:tcPr/>
          <w:p>
            <w:pPr>
              <w:pStyle w:val="Compact"/>
            </w:pPr>
            <w:r>
              <w:t xml:space="preserve">Gas</w:t>
            </w:r>
          </w:p>
        </w:tc>
        <w:tc>
          <w:tcPr/>
          <w:p>
            <w:pPr>
              <w:pStyle w:val="Compact"/>
            </w:pPr>
            <w:r>
              <w:t xml:space="preserve">Heizung</w:t>
            </w:r>
          </w:p>
        </w:tc>
        <w:tc>
          <w:tcPr/>
          <w:p>
            <w:pPr>
              <w:pStyle w:val="Compact"/>
            </w:pPr>
            <w:r>
              <w:t xml:space="preserve">19758.732851</w:t>
            </w:r>
          </w:p>
        </w:tc>
      </w:tr>
      <w:tr>
        <w:tc>
          <w:tcPr/>
          <w:p>
            <w:pPr>
              <w:pStyle w:val="Compact"/>
            </w:pPr>
            <w:r>
              <w:t xml:space="preserve">3</w:t>
            </w:r>
          </w:p>
        </w:tc>
        <w:tc>
          <w:tcPr/>
          <w:p>
            <w:pPr>
              <w:pStyle w:val="Compact"/>
            </w:pPr>
            <w:r>
              <w:t xml:space="preserve">Gas</w:t>
            </w:r>
          </w:p>
        </w:tc>
        <w:tc>
          <w:tcPr/>
          <w:p>
            <w:pPr>
              <w:pStyle w:val="Compact"/>
            </w:pPr>
            <w:r>
              <w:t xml:space="preserve">Warmwasser</w:t>
            </w:r>
          </w:p>
        </w:tc>
        <w:tc>
          <w:tcPr/>
          <w:p>
            <w:pPr>
              <w:pStyle w:val="Compact"/>
            </w:pPr>
            <w:r>
              <w:t xml:space="preserve">1539.236595</w:t>
            </w:r>
          </w:p>
        </w:tc>
      </w:tr>
      <w:tr>
        <w:tc>
          <w:tcPr/>
          <w:p>
            <w:pPr>
              <w:pStyle w:val="Compact"/>
            </w:pPr>
            <w:r>
              <w:t xml:space="preserve">4</w:t>
            </w:r>
          </w:p>
        </w:tc>
        <w:tc>
          <w:tcPr/>
          <w:p>
            <w:pPr>
              <w:pStyle w:val="Compact"/>
            </w:pPr>
            <w:r>
              <w:t xml:space="preserve">Biomasse</w:t>
            </w:r>
          </w:p>
        </w:tc>
        <w:tc>
          <w:tcPr/>
          <w:p>
            <w:pPr>
              <w:pStyle w:val="Compact"/>
            </w:pPr>
            <w:r>
              <w:t xml:space="preserve">Heizung</w:t>
            </w:r>
          </w:p>
        </w:tc>
        <w:tc>
          <w:tcPr/>
          <w:p>
            <w:pPr>
              <w:pStyle w:val="Compact"/>
            </w:pPr>
            <w:r>
              <w:t xml:space="preserve">17839.911366</w:t>
            </w:r>
          </w:p>
        </w:tc>
      </w:tr>
      <w:tr>
        <w:tc>
          <w:tcPr/>
          <w:p>
            <w:pPr>
              <w:pStyle w:val="Compact"/>
            </w:pPr>
            <w:r>
              <w:t xml:space="preserve">5</w:t>
            </w:r>
          </w:p>
        </w:tc>
        <w:tc>
          <w:tcPr/>
          <w:p>
            <w:pPr>
              <w:pStyle w:val="Compact"/>
            </w:pPr>
            <w:r>
              <w:t xml:space="preserve">Biomasse</w:t>
            </w:r>
          </w:p>
        </w:tc>
        <w:tc>
          <w:tcPr/>
          <w:p>
            <w:pPr>
              <w:pStyle w:val="Compact"/>
            </w:pPr>
            <w:r>
              <w:t xml:space="preserve">Warmwasser</w:t>
            </w:r>
          </w:p>
        </w:tc>
        <w:tc>
          <w:tcPr/>
          <w:p>
            <w:pPr>
              <w:pStyle w:val="Compact"/>
            </w:pPr>
            <w:r>
              <w:t xml:space="preserve">1398.711472</w:t>
            </w:r>
          </w:p>
        </w:tc>
      </w:tr>
      <w:tr>
        <w:tc>
          <w:tcPr/>
          <w:p>
            <w:pPr>
              <w:pStyle w:val="Compact"/>
            </w:pPr>
            <w:r>
              <w:t xml:space="preserve">6</w:t>
            </w:r>
          </w:p>
        </w:tc>
        <w:tc>
          <w:tcPr/>
          <w:p>
            <w:pPr>
              <w:pStyle w:val="Compact"/>
            </w:pPr>
            <w:r>
              <w:t xml:space="preserve">Sonstige inkl. Öl</w:t>
            </w:r>
          </w:p>
        </w:tc>
        <w:tc>
          <w:tcPr/>
          <w:p>
            <w:pPr>
              <w:pStyle w:val="Compact"/>
            </w:pPr>
            <w:r>
              <w:t xml:space="preserve">Heizung</w:t>
            </w:r>
          </w:p>
        </w:tc>
        <w:tc>
          <w:tcPr/>
          <w:p>
            <w:pPr>
              <w:pStyle w:val="Compact"/>
            </w:pPr>
            <w:r>
              <w:t xml:space="preserve">15341.777127</w:t>
            </w:r>
          </w:p>
        </w:tc>
      </w:tr>
      <w:tr>
        <w:tc>
          <w:tcPr/>
          <w:p>
            <w:pPr>
              <w:pStyle w:val="Compact"/>
            </w:pPr>
            <w:r>
              <w:t xml:space="preserve">7</w:t>
            </w:r>
          </w:p>
        </w:tc>
        <w:tc>
          <w:tcPr/>
          <w:p>
            <w:pPr>
              <w:pStyle w:val="Compact"/>
            </w:pPr>
            <w:r>
              <w:t xml:space="preserve">Sonstige inkl. Öl</w:t>
            </w:r>
          </w:p>
        </w:tc>
        <w:tc>
          <w:tcPr/>
          <w:p>
            <w:pPr>
              <w:pStyle w:val="Compact"/>
            </w:pPr>
            <w:r>
              <w:t xml:space="preserve">Warmwasser</w:t>
            </w:r>
          </w:p>
        </w:tc>
        <w:tc>
          <w:tcPr/>
          <w:p>
            <w:pPr>
              <w:pStyle w:val="Compact"/>
            </w:pPr>
            <w:r>
              <w:t xml:space="preserve">911.609076</w:t>
            </w:r>
          </w:p>
        </w:tc>
      </w:tr>
      <w:tr>
        <w:tc>
          <w:tcPr/>
          <w:p>
            <w:pPr>
              <w:pStyle w:val="Compact"/>
            </w:pPr>
            <w:r>
              <w:t xml:space="preserve">8</w:t>
            </w:r>
          </w:p>
        </w:tc>
        <w:tc>
          <w:tcPr/>
          <w:p>
            <w:pPr>
              <w:pStyle w:val="Compact"/>
            </w:pPr>
            <w:r>
              <w:t xml:space="preserve">Sonstige inkl. Öl</w:t>
            </w:r>
          </w:p>
        </w:tc>
        <w:tc>
          <w:tcPr/>
          <w:p>
            <w:pPr>
              <w:pStyle w:val="Compact"/>
            </w:pPr>
            <w:r>
              <w:t xml:space="preserve">Kühlung</w:t>
            </w:r>
          </w:p>
        </w:tc>
        <w:tc>
          <w:tcPr/>
          <w:p>
            <w:pPr>
              <w:pStyle w:val="Compact"/>
            </w:pPr>
            <w:r>
              <w:t xml:space="preserve">0.000000</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Stand</w:t>
            </w:r>
          </w:p>
        </w:tc>
        <w:tc>
          <w:tcPr/>
          <w:p>
            <w:pPr>
              <w:pStyle w:val="Compact"/>
            </w:pPr>
            <w:r>
              <w:t xml:space="preserve">Träger</w:t>
            </w:r>
          </w:p>
        </w:tc>
        <w:tc>
          <w:tcPr/>
          <w:p>
            <w:pPr>
              <w:pStyle w:val="Compact"/>
            </w:pPr>
            <w:r>
              <w:t xml:space="preserve">kWh/(m² NGF a)</w:t>
            </w:r>
          </w:p>
        </w:tc>
        <w:tc>
          <w:tcPr/>
          <w:p>
            <w:pPr>
              <w:pStyle w:val="Compact"/>
            </w:pPr>
            <w:r>
              <w:t xml:space="preserve">GWh/a</w:t>
            </w:r>
          </w:p>
        </w:tc>
        <w:tc>
          <w:tcPr/>
          <w:p>
            <w:pPr>
              <w:pStyle w:val="Compact"/>
            </w:pPr>
            <w:r>
              <w:t xml:space="preserve">PJ/a</w:t>
            </w:r>
          </w:p>
        </w:tc>
      </w:tr>
      <w:tr>
        <w:tc>
          <w:tcPr/>
          <w:p>
            <w:pPr>
              <w:pStyle w:val="Compact"/>
            </w:pPr>
            <w:r>
              <w:t xml:space="preserve">6</w:t>
            </w:r>
          </w:p>
        </w:tc>
        <w:tc>
          <w:tcPr/>
          <w:p>
            <w:pPr>
              <w:pStyle w:val="Compact"/>
            </w:pPr>
            <w:r>
              <w:t xml:space="preserve">2040</w:t>
            </w:r>
          </w:p>
        </w:tc>
        <w:tc>
          <w:tcPr/>
          <w:p>
            <w:pPr>
              <w:pStyle w:val="Compact"/>
            </w:pPr>
            <w:r>
              <w:t xml:space="preserve">Strom (Bruttobedarf)</w:t>
            </w:r>
          </w:p>
        </w:tc>
        <w:tc>
          <w:tcPr/>
          <w:p>
            <w:pPr>
              <w:pStyle w:val="Compact"/>
            </w:pPr>
            <w:r>
              <w:t xml:space="preserve">42.376726</w:t>
            </w:r>
          </w:p>
        </w:tc>
        <w:tc>
          <w:tcPr/>
          <w:p>
            <w:pPr>
              <w:pStyle w:val="Compact"/>
            </w:pPr>
            <w:r>
              <w:t xml:space="preserve">38192.572254</w:t>
            </w:r>
          </w:p>
        </w:tc>
        <w:tc>
          <w:tcPr/>
          <w:p>
            <w:pPr>
              <w:pStyle w:val="Compact"/>
            </w:pPr>
            <w:r>
              <w:t xml:space="preserve">137.493260</w:t>
            </w:r>
          </w:p>
        </w:tc>
      </w:tr>
      <w:tr>
        <w:tc>
          <w:tcPr/>
          <w:p>
            <w:pPr>
              <w:pStyle w:val="Compact"/>
            </w:pPr>
            <w:r>
              <w:t xml:space="preserve">7</w:t>
            </w:r>
          </w:p>
        </w:tc>
        <w:tc>
          <w:tcPr/>
          <w:p>
            <w:pPr>
              <w:pStyle w:val="Compact"/>
            </w:pPr>
            <w:r>
              <w:t xml:space="preserve">2040</w:t>
            </w:r>
          </w:p>
        </w:tc>
        <w:tc>
          <w:tcPr/>
          <w:p>
            <w:pPr>
              <w:pStyle w:val="Compact"/>
            </w:pPr>
            <w:r>
              <w:t xml:space="preserve">Fernwärme</w:t>
            </w:r>
          </w:p>
        </w:tc>
        <w:tc>
          <w:tcPr/>
          <w:p>
            <w:pPr>
              <w:pStyle w:val="Compact"/>
            </w:pPr>
            <w:r>
              <w:t xml:space="preserve">31.498702</w:t>
            </w:r>
          </w:p>
        </w:tc>
        <w:tc>
          <w:tcPr/>
          <w:p>
            <w:pPr>
              <w:pStyle w:val="Compact"/>
            </w:pPr>
            <w:r>
              <w:t xml:space="preserve">28388.612036</w:t>
            </w:r>
          </w:p>
        </w:tc>
        <w:tc>
          <w:tcPr/>
          <w:p>
            <w:pPr>
              <w:pStyle w:val="Compact"/>
            </w:pPr>
            <w:r>
              <w:t xml:space="preserve">102.199003</w:t>
            </w:r>
          </w:p>
        </w:tc>
      </w:tr>
      <w:tr>
        <w:tc>
          <w:tcPr/>
          <w:p>
            <w:pPr>
              <w:pStyle w:val="Compact"/>
            </w:pPr>
            <w:r>
              <w:t xml:space="preserve">8</w:t>
            </w:r>
          </w:p>
        </w:tc>
        <w:tc>
          <w:tcPr/>
          <w:p>
            <w:pPr>
              <w:pStyle w:val="Compact"/>
            </w:pPr>
            <w:r>
              <w:t xml:space="preserve">2040</w:t>
            </w:r>
          </w:p>
        </w:tc>
        <w:tc>
          <w:tcPr/>
          <w:p>
            <w:pPr>
              <w:pStyle w:val="Compact"/>
            </w:pPr>
            <w:r>
              <w:t xml:space="preserve">Gas</w:t>
            </w:r>
          </w:p>
        </w:tc>
        <w:tc>
          <w:tcPr/>
          <w:p>
            <w:pPr>
              <w:pStyle w:val="Compact"/>
            </w:pPr>
            <w:r>
              <w:t xml:space="preserve">23.631250</w:t>
            </w:r>
          </w:p>
        </w:tc>
        <w:tc>
          <w:tcPr/>
          <w:p>
            <w:pPr>
              <w:pStyle w:val="Compact"/>
            </w:pPr>
            <w:r>
              <w:t xml:space="preserve">21297.969446</w:t>
            </w:r>
          </w:p>
        </w:tc>
        <w:tc>
          <w:tcPr/>
          <w:p>
            <w:pPr>
              <w:pStyle w:val="Compact"/>
            </w:pPr>
            <w:r>
              <w:t xml:space="preserve">76.672690</w:t>
            </w:r>
          </w:p>
        </w:tc>
      </w:tr>
      <w:tr>
        <w:tc>
          <w:tcPr/>
          <w:p>
            <w:pPr>
              <w:pStyle w:val="Compact"/>
            </w:pPr>
            <w:r>
              <w:t xml:space="preserve">9</w:t>
            </w:r>
          </w:p>
        </w:tc>
        <w:tc>
          <w:tcPr/>
          <w:p>
            <w:pPr>
              <w:pStyle w:val="Compact"/>
            </w:pPr>
            <w:r>
              <w:t xml:space="preserve">2040</w:t>
            </w:r>
          </w:p>
        </w:tc>
        <w:tc>
          <w:tcPr/>
          <w:p>
            <w:pPr>
              <w:pStyle w:val="Compact"/>
            </w:pPr>
            <w:r>
              <w:t xml:space="preserve">Biomasse</w:t>
            </w:r>
          </w:p>
        </w:tc>
        <w:tc>
          <w:tcPr/>
          <w:p>
            <w:pPr>
              <w:pStyle w:val="Compact"/>
            </w:pPr>
            <w:r>
              <w:t xml:space="preserve">21.346293</w:t>
            </w:r>
          </w:p>
        </w:tc>
        <w:tc>
          <w:tcPr/>
          <w:p>
            <w:pPr>
              <w:pStyle w:val="Compact"/>
            </w:pPr>
            <w:r>
              <w:t xml:space="preserve">19238.622838</w:t>
            </w:r>
          </w:p>
        </w:tc>
        <w:tc>
          <w:tcPr/>
          <w:p>
            <w:pPr>
              <w:pStyle w:val="Compact"/>
            </w:pPr>
            <w:r>
              <w:t xml:space="preserve">69.259042</w:t>
            </w:r>
          </w:p>
        </w:tc>
      </w:tr>
      <w:tr>
        <w:tc>
          <w:tcPr/>
          <w:p>
            <w:pPr>
              <w:pStyle w:val="Compact"/>
            </w:pPr>
            <w:r>
              <w:t xml:space="preserve">10</w:t>
            </w:r>
          </w:p>
        </w:tc>
        <w:tc>
          <w:tcPr/>
          <w:p>
            <w:pPr>
              <w:pStyle w:val="Compact"/>
            </w:pPr>
            <w:r>
              <w:t xml:space="preserve">2040</w:t>
            </w:r>
          </w:p>
        </w:tc>
        <w:tc>
          <w:tcPr/>
          <w:p>
            <w:pPr>
              <w:pStyle w:val="Compact"/>
            </w:pPr>
            <w:r>
              <w:t xml:space="preserve">Öl</w:t>
            </w:r>
          </w:p>
        </w:tc>
        <w:tc>
          <w:tcPr/>
          <w:p>
            <w:pPr>
              <w:pStyle w:val="Compact"/>
            </w:pPr>
            <w:r>
              <w:t xml:space="preserve">18.034012</w:t>
            </w:r>
          </w:p>
        </w:tc>
        <w:tc>
          <w:tcPr/>
          <w:p>
            <w:pPr>
              <w:pStyle w:val="Compact"/>
            </w:pPr>
            <w:r>
              <w:t xml:space="preserve">16253.386204</w:t>
            </w:r>
          </w:p>
        </w:tc>
        <w:tc>
          <w:tcPr/>
          <w:p>
            <w:pPr>
              <w:pStyle w:val="Compact"/>
            </w:pPr>
            <w:r>
              <w:t xml:space="preserve">58.512190</w:t>
            </w:r>
          </w:p>
        </w:tc>
      </w:tr>
      <w:tr>
        <w:tc>
          <w:tcPr/>
          <w:p>
            <w:pPr>
              <w:pStyle w:val="Compact"/>
            </w:pPr>
            <w:r>
              <w:t xml:space="preserve">11</w:t>
            </w:r>
          </w:p>
        </w:tc>
        <w:tc>
          <w:tcPr/>
          <w:p>
            <w:pPr>
              <w:pStyle w:val="Compact"/>
            </w:pPr>
            <w:r>
              <w:t xml:space="preserve">2040</w:t>
            </w:r>
          </w:p>
        </w:tc>
        <w:tc>
          <w:tcPr/>
          <w:p>
            <w:pPr>
              <w:pStyle w:val="Compact"/>
            </w:pPr>
            <w:r>
              <w:t xml:space="preserve">Sonstige thermisch</w:t>
            </w:r>
          </w:p>
        </w:tc>
        <w:tc>
          <w:tcPr/>
          <w:p>
            <w:pPr>
              <w:pStyle w:val="Compact"/>
            </w:pPr>
            <w:r>
              <w:t xml:space="preserve">0.000000</w:t>
            </w:r>
          </w:p>
        </w:tc>
        <w:tc>
          <w:tcPr/>
          <w:p>
            <w:pPr>
              <w:pStyle w:val="Compact"/>
            </w:pPr>
            <w:r>
              <w:t xml:space="preserve">0.000000</w:t>
            </w:r>
          </w:p>
        </w:tc>
        <w:tc>
          <w:tcPr/>
          <w:p>
            <w:pPr>
              <w:pStyle w:val="Compact"/>
            </w:pPr>
            <w:r>
              <w:t xml:space="preserve">0.000000</w:t>
            </w:r>
          </w:p>
        </w:tc>
      </w:tr>
    </w:tbl>
    <w:p>
      <w:pPr>
        <w:pStyle w:val="BodyText"/>
      </w:pPr>
      <w:r>
        <w:drawing>
          <wp:inline>
            <wp:extent cx="5334000" cy="2636021"/>
            <wp:effectExtent b="0" l="0" r="0" t="0"/>
            <wp:docPr descr="" title="" id="523" name="Picture"/>
            <a:graphic>
              <a:graphicData uri="http://schemas.openxmlformats.org/drawingml/2006/picture">
                <pic:pic>
                  <pic:nvPicPr>
                    <pic:cNvPr descr="Berechnungen\gebaeudesektormodell/Gebaeudesektormodell_files/figure-docx/cell-6-output-3.png" id="524" name="Picture"/>
                    <pic:cNvPicPr>
                      <a:picLocks noChangeArrowheads="1" noChangeAspect="1"/>
                    </pic:cNvPicPr>
                  </pic:nvPicPr>
                  <pic:blipFill>
                    <a:blip r:embed="rId522"/>
                    <a:stretch>
                      <a:fillRect/>
                    </a:stretch>
                  </pic:blipFill>
                  <pic:spPr bwMode="auto">
                    <a:xfrm>
                      <a:off x="0" y="0"/>
                      <a:ext cx="5334000" cy="2636021"/>
                    </a:xfrm>
                    <a:prstGeom prst="rect">
                      <a:avLst/>
                    </a:prstGeom>
                    <a:noFill/>
                    <a:ln w="9525">
                      <a:noFill/>
                      <a:headEnd/>
                      <a:tailEnd/>
                    </a:ln>
                  </pic:spPr>
                </pic:pic>
              </a:graphicData>
            </a:graphic>
          </wp:inline>
        </w:drawing>
      </w:r>
    </w:p>
    <w:bookmarkEnd w:id="525"/>
    <w:bookmarkStart w:id="526" w:name="sec-gebaeude-pe"/>
    <w:p>
      <w:pPr>
        <w:pStyle w:val="Heading2"/>
      </w:pPr>
      <w:r>
        <w:t xml:space="preserve">E.6 6. Primärenergie: gelieferter Bewertungsstand</w:t>
      </w:r>
    </w:p>
    <w:p>
      <w:pPr>
        <w:pStyle w:val="FirstParagraph"/>
      </w:pPr>
      <w:r>
        <w:t xml:space="preserve">Die physische Import-/Exportbilanz lautet</w:t>
      </w:r>
      <w:r>
        <w:t xml:space="preserve"> </w:t>
      </w:r>
      <m:oMath>
        <m:sSub>
          <m:e>
            <m:r>
              <m:t>B</m:t>
            </m:r>
          </m:e>
          <m:sub>
            <m:r>
              <m:t>P</m:t>
            </m:r>
            <m:r>
              <m:t>E</m:t>
            </m:r>
            <m:r>
              <m:rPr>
                <m:sty m:val="p"/>
              </m:rPr>
              <m:t>,</m:t>
            </m:r>
            <m:r>
              <m:t>y</m:t>
            </m:r>
          </m:sub>
        </m:sSub>
        <m:r>
          <m:rPr>
            <m:sty m:val="p"/>
          </m:rPr>
          <m:t>=</m:t>
        </m:r>
        <m:nary>
          <m:naryPr>
            <m:chr m:val="∑"/>
            <m:limLoc m:val="undOvr"/>
            <m:subHide m:val="off"/>
            <m:supHide m:val="on"/>
          </m:naryPr>
          <m:sub>
            <m:r>
              <m:t>k</m:t>
            </m:r>
          </m:sub>
          <m:sup>
            <m:r>
              <m:t>​</m:t>
            </m:r>
          </m:sup>
          <m:e>
            <m:sSub>
              <m:e>
                <m:r>
                  <m:t>A</m:t>
                </m:r>
              </m:e>
              <m:sub>
                <m:r>
                  <m:t>N</m:t>
                </m:r>
                <m:r>
                  <m:t>G</m:t>
                </m:r>
                <m:r>
                  <m:t>F</m:t>
                </m:r>
                <m:r>
                  <m:rPr>
                    <m:sty m:val="p"/>
                  </m:rPr>
                  <m:t>,</m:t>
                </m:r>
                <m:r>
                  <m:t>k</m:t>
                </m:r>
                <m:r>
                  <m:rPr>
                    <m:sty m:val="p"/>
                  </m:rPr>
                  <m:t>,</m:t>
                </m:r>
                <m:r>
                  <m:t>y</m:t>
                </m:r>
              </m:sub>
            </m:sSub>
          </m:e>
        </m:nary>
        <m:r>
          <m:rPr>
            <m:sty m:val="p"/>
          </m:rPr>
          <m:t>(</m:t>
        </m:r>
        <m:r>
          <m:t>P</m:t>
        </m:r>
        <m:r>
          <m:t>E</m:t>
        </m:r>
        <m:sSub>
          <m:e>
            <m:r>
              <m:t>I</m:t>
            </m:r>
          </m:e>
          <m:sub>
            <m:r>
              <m:t>e</m:t>
            </m:r>
            <m:r>
              <m:t>x</m:t>
            </m:r>
            <m:r>
              <m:t>p</m:t>
            </m:r>
            <m:r>
              <m:t>o</m:t>
            </m:r>
            <m:r>
              <m:t>r</m:t>
            </m:r>
            <m:r>
              <m:t>t</m:t>
            </m:r>
            <m:r>
              <m:rPr>
                <m:sty m:val="p"/>
              </m:rPr>
              <m:t>,</m:t>
            </m:r>
            <m:r>
              <m:t>k</m:t>
            </m:r>
          </m:sub>
        </m:sSub>
        <m:r>
          <m:rPr>
            <m:sty m:val="p"/>
          </m:rPr>
          <m:t>−</m:t>
        </m:r>
        <m:r>
          <m:t>P</m:t>
        </m:r>
        <m:r>
          <m:t>E</m:t>
        </m:r>
        <m:sSub>
          <m:e>
            <m:r>
              <m:t>I</m:t>
            </m:r>
          </m:e>
          <m:sub>
            <m:r>
              <m:t>i</m:t>
            </m:r>
            <m:r>
              <m:t>m</m:t>
            </m:r>
            <m:r>
              <m:t>p</m:t>
            </m:r>
            <m:r>
              <m:t>o</m:t>
            </m:r>
            <m:r>
              <m:t>r</m:t>
            </m:r>
            <m:r>
              <m:t>t</m:t>
            </m:r>
            <m:r>
              <m:rPr>
                <m:sty m:val="p"/>
              </m:rPr>
              <m:t>,</m:t>
            </m:r>
            <m:r>
              <m:t>k</m:t>
            </m:r>
          </m:sub>
        </m:sSub>
        <m:r>
          <m:rPr>
            <m:sty m:val="p"/>
          </m:rPr>
          <m:t>)</m:t>
        </m:r>
      </m:oMath>
      <w:r>
        <w:t xml:space="preserve">. Die gelieferten</w:t>
      </w:r>
      <w:r>
        <w:t xml:space="preserve"> </w:t>
      </w:r>
      <w:r>
        <w:rPr>
          <w:rStyle w:val="VerbatimChar"/>
        </w:rPr>
        <w:t xml:space="preserve">PEI</w:t>
      </w:r>
      <w:r>
        <w:t xml:space="preserve">-Werte werden aggregiert,</w:t>
      </w:r>
      <w:r>
        <w:t xml:space="preserve"> </w:t>
      </w:r>
      <w:r>
        <w:rPr>
          <w:b/>
          <w:bCs/>
        </w:rPr>
        <w:t xml:space="preserve">ohne</w:t>
      </w:r>
      <w:r>
        <w:t xml:space="preserve"> </w:t>
      </w:r>
      <w:r>
        <w:t xml:space="preserve">virtuelle Kontextwerte einzurechnen. Ihre Konsistenz wird gegen Netzstrom-PE plus die vier thermischen PE-Komponenten geprüft.</w:t>
      </w:r>
    </w:p>
    <w:p>
      <w:pPr>
        <w:pStyle w:val="BodyText"/>
      </w:pPr>
      <w:r>
        <w:t xml:space="preserve">Die sektorale Zuordnung 2040 bleibt eine Endenergieaufgabe. Die nachgelagerte PE-Bewertung soll die Kompatibilität mit heutigen Bewertungsverfahren herstellen, nicht die PE-Intensität des Energiesystems 2040 prognostizieren. Die Datei liefert bereits zeit-/typabhängig gewichtete PEI; ihr genauer Faktorensatz und dessen Bezugsjahr sind noch zu bestätigen. Ein pauschaler Jahresfaktor würde diese Ergebnisse nicht reproduzieren. Deshalb werden</w:t>
      </w:r>
      <w:r>
        <w:t xml:space="preserve"> </w:t>
      </w:r>
      <w:r>
        <w:rPr>
          <w:b/>
          <w:bCs/>
        </w:rPr>
        <w:t xml:space="preserve">implizite effektive Faktoren</w:t>
      </w:r>
      <w:r>
        <w:t xml:space="preserve"> </w:t>
      </w:r>
      <m:oMath>
        <m:sSub>
          <m:e>
            <m:r>
              <m:t>f</m:t>
            </m:r>
          </m:e>
          <m:sub>
            <m:r>
              <m:t>i</m:t>
            </m:r>
            <m:r>
              <m:rPr>
                <m:sty m:val="p"/>
              </m:rPr>
              <m:t>,</m:t>
            </m:r>
            <m:r>
              <m:t>k</m:t>
            </m:r>
          </m:sub>
        </m:sSub>
        <m:r>
          <m:rPr>
            <m:sty m:val="p"/>
          </m:rPr>
          <m:t>=</m:t>
        </m:r>
        <m:r>
          <m:t>P</m:t>
        </m:r>
        <m:r>
          <m:t>E</m:t>
        </m:r>
        <m:sSub>
          <m:e>
            <m:r>
              <m:t>I</m:t>
            </m:r>
          </m:e>
          <m:sub>
            <m:r>
              <m:t>i</m:t>
            </m:r>
            <m:r>
              <m:rPr>
                <m:sty m:val="p"/>
              </m:rPr>
              <m:t>,</m:t>
            </m:r>
            <m:r>
              <m:t>k</m:t>
            </m:r>
          </m:sub>
        </m:sSub>
        <m:r>
          <m:rPr>
            <m:sty m:val="p"/>
          </m:rPr>
          <m:t>/</m:t>
        </m:r>
        <m:sSub>
          <m:e>
            <m:r>
              <m:t>e</m:t>
            </m:r>
          </m:e>
          <m:sub>
            <m:r>
              <m:t>i</m:t>
            </m:r>
            <m:r>
              <m:rPr>
                <m:sty m:val="p"/>
              </m:rPr>
              <m:t>,</m:t>
            </m:r>
            <m:r>
              <m:t>k</m:t>
            </m:r>
          </m:sub>
        </m:sSub>
      </m:oMath>
      <w:r>
        <w:t xml:space="preserve"> </w:t>
      </w:r>
      <w:r>
        <w:t xml:space="preserve">nur diagnostisch ausgewiesen. Bei Nenner null bleibt der Quotient leer. Die Tabelle</w:t>
      </w:r>
      <w:r>
        <w:t xml:space="preserve"> </w:t>
      </w:r>
      <w:r>
        <w:rPr>
          <w:rStyle w:val="VerbatimChar"/>
        </w:rPr>
        <w:t xml:space="preserve">PE_Faktoren</w:t>
      </w:r>
      <w:r>
        <w:t xml:space="preserve"> </w:t>
      </w:r>
      <w:r>
        <w:t xml:space="preserve">bereitet explizite, quellenbelegte Jahresfaktoren/Absenkpfade vor und bleibt zunächst leer.</w:t>
      </w:r>
    </w:p>
    <w:p>
      <w:pPr>
        <w:pStyle w:val="SourceCode"/>
      </w:pPr>
      <w:r>
        <w:rPr>
          <w:rStyle w:val="NormalTok"/>
        </w:rPr>
        <w:t xml:space="preserve">thermal_pe</w:t>
      </w:r>
      <w:r>
        <w:rPr>
          <w:rStyle w:val="OperatorTok"/>
        </w:rPr>
        <w:t xml:space="preserve">=</w:t>
      </w:r>
      <w:r>
        <w:rPr>
          <w:rStyle w:val="NormalTok"/>
        </w:rPr>
        <w:t xml:space="preserve">data[[</w:t>
      </w:r>
      <w:r>
        <w:rPr>
          <w:rStyle w:val="StringTok"/>
        </w:rPr>
        <w:t xml:space="preserve">'PEI_district_heating'</w:t>
      </w:r>
      <w:r>
        <w:rPr>
          <w:rStyle w:val="NormalTok"/>
        </w:rPr>
        <w:t xml:space="preserve">,</w:t>
      </w:r>
      <w:r>
        <w:rPr>
          <w:rStyle w:val="StringTok"/>
        </w:rPr>
        <w:t xml:space="preserve">'PEI_natural_gas'</w:t>
      </w:r>
      <w:r>
        <w:rPr>
          <w:rStyle w:val="NormalTok"/>
        </w:rPr>
        <w:t xml:space="preserve">,</w:t>
      </w:r>
      <w:r>
        <w:rPr>
          <w:rStyle w:val="StringTok"/>
        </w:rPr>
        <w:t xml:space="preserve">'PEI_biomass'</w:t>
      </w:r>
      <w:r>
        <w:rPr>
          <w:rStyle w:val="NormalTok"/>
        </w:rPr>
        <w:t xml:space="preserve">,</w:t>
      </w:r>
      <w:r>
        <w:rPr>
          <w:rStyle w:val="StringTok"/>
        </w:rPr>
        <w:t xml:space="preserve">'PEI_other'</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,min_count</w:t>
      </w:r>
      <w:r>
        <w:rPr>
          <w:rStyle w:val="OperatorTok"/>
        </w:rPr>
        <w:t xml:space="preserve">=</w:t>
      </w:r>
      <w:r>
        <w:rPr>
          <w:rStyle w:val="DecValTok"/>
        </w:rPr>
        <w:t xml:space="preserve">4</w:t>
      </w:r>
      <w:r>
        <w:rPr>
          <w:rStyle w:val="NormalTok"/>
        </w:rPr>
        <w:t xml:space="preserve">)</w:t>
      </w:r>
      <w:r>
        <w:br/>
      </w:r>
      <w:r>
        <w:rPr>
          <w:rStyle w:val="NormalTok"/>
        </w:rPr>
        <w:t xml:space="preserve">np.testing.assert_allclose(data.PEI_import,data.PEI_grid_import</w:t>
      </w:r>
      <w:r>
        <w:rPr>
          <w:rStyle w:val="OperatorTok"/>
        </w:rPr>
        <w:t xml:space="preserve">+</w:t>
      </w:r>
      <w:r>
        <w:rPr>
          <w:rStyle w:val="NormalTok"/>
        </w:rPr>
        <w:t xml:space="preserve">thermal_pe,atol</w:t>
      </w:r>
      <w:r>
        <w:rPr>
          <w:rStyle w:val="OperatorTok"/>
        </w:rPr>
        <w:t xml:space="preserve">=</w:t>
      </w:r>
      <w:r>
        <w:rPr>
          <w:rStyle w:val="FloatTok"/>
        </w:rPr>
        <w:t xml:space="preserve">1e-7</w:t>
      </w:r>
      <w:r>
        <w:rPr>
          <w:rStyle w:val="NormalTok"/>
        </w:rPr>
        <w:t xml:space="preserve">)</w:t>
      </w:r>
      <w:r>
        <w:br/>
      </w:r>
      <w:r>
        <w:rPr>
          <w:rStyle w:val="NormalTok"/>
        </w:rPr>
        <w:t xml:space="preserve">data[</w:t>
      </w:r>
      <w:r>
        <w:rPr>
          <w:rStyle w:val="StringTok"/>
        </w:rPr>
        <w:t xml:space="preserve">'PE_Saldo'</w:t>
      </w:r>
      <w:r>
        <w:rPr>
          <w:rStyle w:val="NormalTok"/>
        </w:rPr>
        <w:t xml:space="preserve">]</w:t>
      </w:r>
      <w:r>
        <w:rPr>
          <w:rStyle w:val="OperatorTok"/>
        </w:rPr>
        <w:t xml:space="preserve">=</w:t>
      </w:r>
      <w:r>
        <w:rPr>
          <w:rStyle w:val="NormalTok"/>
        </w:rPr>
        <w:t xml:space="preserve">data.PEI_export</w:t>
      </w:r>
      <w:r>
        <w:rPr>
          <w:rStyle w:val="OperatorTok"/>
        </w:rPr>
        <w:t xml:space="preserve">-</w:t>
      </w:r>
      <w:r>
        <w:rPr>
          <w:rStyle w:val="NormalTok"/>
        </w:rPr>
        <w:t xml:space="preserve">data.PEI_import</w:t>
      </w:r>
      <w:r>
        <w:br/>
      </w:r>
      <w:r>
        <w:rPr>
          <w:rStyle w:val="NormalTok"/>
        </w:rPr>
        <w:t xml:space="preserve">pe_records</w:t>
      </w:r>
      <w:r>
        <w:rPr>
          <w:rStyle w:val="OperatorTok"/>
        </w:rPr>
        <w:t xml:space="preserve">=</w:t>
      </w:r>
      <w:r>
        <w:rPr>
          <w:rStyle w:val="NormalTok"/>
        </w:rPr>
        <w:t xml:space="preserve">[]</w:t>
      </w:r>
      <w:r>
        <w:br/>
      </w:r>
      <w:r>
        <w:rPr>
          <w:rStyle w:val="ControlFlowTok"/>
        </w:rPr>
        <w:t xml:space="preserve">for</w:t>
      </w:r>
      <w:r>
        <w:rPr>
          <w:rStyle w:val="NormalTok"/>
        </w:rPr>
        <w:t xml:space="preserve"> year,c </w:t>
      </w:r>
      <w:r>
        <w:rPr>
          <w:rStyle w:val="KeywordTok"/>
        </w:rPr>
        <w:t xml:space="preserve">in</w:t>
      </w:r>
      <w:r>
        <w:rPr>
          <w:rStyle w:val="NormalTok"/>
        </w:rPr>
        <w:t xml:space="preserve"> area_cols.items():</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w:t>
      </w:r>
      <w:r>
        <w:rPr>
          <w:rStyle w:val="StringTok"/>
        </w:rPr>
        <w:t xml:space="preserve">'PEI_grid_import'</w:t>
      </w:r>
      <w:r>
        <w:rPr>
          <w:rStyle w:val="NormalTok"/>
        </w:rPr>
        <w:t xml:space="preserve">,</w:t>
      </w:r>
      <w:r>
        <w:rPr>
          <w:rStyle w:val="StringTok"/>
        </w:rPr>
        <w:t xml:space="preserve">'PEI_import'</w:t>
      </w:r>
      <w:r>
        <w:rPr>
          <w:rStyle w:val="NormalTok"/>
        </w:rPr>
        <w:t xml:space="preserve">,</w:t>
      </w:r>
      <w:r>
        <w:rPr>
          <w:rStyle w:val="StringTok"/>
        </w:rPr>
        <w:t xml:space="preserve">'PEI_export'</w:t>
      </w:r>
      <w:r>
        <w:rPr>
          <w:rStyle w:val="NormalTok"/>
        </w:rPr>
        <w:t xml:space="preserve">,</w:t>
      </w:r>
      <w:r>
        <w:rPr>
          <w:rStyle w:val="StringTok"/>
        </w:rPr>
        <w:t xml:space="preserve">'PE_Saldo'</w:t>
      </w:r>
      <w:r>
        <w:rPr>
          <w:rStyle w:val="NormalTok"/>
        </w:rPr>
        <w:t xml:space="preserve">]:</w:t>
      </w:r>
      <w:r>
        <w:br/>
      </w:r>
      <w:r>
        <w:rPr>
          <w:rStyle w:val="NormalTok"/>
        </w:rPr>
        <w:t xml:space="preserve">        a</w:t>
      </w:r>
      <w:r>
        <w:rPr>
          <w:rStyle w:val="OperatorTok"/>
        </w:rPr>
        <w:t xml:space="preserve">=</w:t>
      </w:r>
      <w:r>
        <w:rPr>
          <w:rStyle w:val="NormalTok"/>
        </w:rPr>
        <w:t xml:space="preserve">aggregate(data[metric],data[c])</w:t>
      </w:r>
      <w:r>
        <w:rPr>
          <w:rStyle w:val="OperatorTok"/>
        </w:rPr>
        <w:t xml:space="preserve">;</w:t>
      </w:r>
      <w:r>
        <w:rPr>
          <w:rStyle w:val="NormalTok"/>
        </w:rPr>
        <w:t xml:space="preserve">pe_records.append({</w:t>
      </w:r>
      <w:r>
        <w:rPr>
          <w:rStyle w:val="StringTok"/>
        </w:rPr>
        <w:t xml:space="preserve">'Stand'</w:t>
      </w:r>
      <w:r>
        <w:rPr>
          <w:rStyle w:val="NormalTok"/>
        </w:rPr>
        <w:t xml:space="preserve">:year,</w:t>
      </w:r>
      <w:r>
        <w:rPr>
          <w:rStyle w:val="StringTok"/>
        </w:rPr>
        <w:t xml:space="preserve">'Größe'</w:t>
      </w:r>
      <w:r>
        <w:rPr>
          <w:rStyle w:val="NormalTok"/>
        </w:rPr>
        <w:t xml:space="preserve">:metric,</w:t>
      </w:r>
      <w:r>
        <w:rPr>
          <w:rStyle w:val="StringTok"/>
        </w:rPr>
        <w:t xml:space="preserve">'GWh_PE/a'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'PJ_PE/a'</w:t>
      </w:r>
      <w:r>
        <w:rPr>
          <w:rStyle w:val="NormalTok"/>
        </w:rPr>
        <w:t xml:space="preserve">:a[</w:t>
      </w:r>
      <w:r>
        <w:rPr>
          <w:rStyle w:val="StringTok"/>
        </w:rPr>
        <w:t xml:space="preserve">'kWh'</w:t>
      </w:r>
      <w:r>
        <w:rPr>
          <w:rStyle w:val="NormalTok"/>
        </w:rPr>
        <w:t xml:space="preserve">]</w:t>
      </w:r>
      <w:r>
        <w:rPr>
          <w:rStyle w:val="OperatorTok"/>
        </w:rPr>
        <w:t xml:space="preserve">*</w:t>
      </w:r>
      <w:r>
        <w:rPr>
          <w:rStyle w:val="FloatTok"/>
        </w:rPr>
        <w:t xml:space="preserve">3.6e-9</w:t>
      </w:r>
      <w:r>
        <w:rPr>
          <w:rStyle w:val="NormalTok"/>
        </w:rPr>
        <w:t xml:space="preserve">})</w:t>
      </w:r>
      <w:r>
        <w:br/>
      </w:r>
      <w:r>
        <w:rPr>
          <w:rStyle w:val="NormalTok"/>
        </w:rPr>
        <w:t xml:space="preserve">primary</w:t>
      </w:r>
      <w:r>
        <w:rPr>
          <w:rStyle w:val="OperatorTok"/>
        </w:rPr>
        <w:t xml:space="preserve">=</w:t>
      </w:r>
      <w:r>
        <w:rPr>
          <w:rStyle w:val="NormalTok"/>
        </w:rPr>
        <w:t xml:space="preserve">pd.DataFrame(pe_records)</w:t>
      </w:r>
      <w:r>
        <w:rPr>
          <w:rStyle w:val="OperatorTok"/>
        </w:rPr>
        <w:t xml:space="preserve">;</w:t>
      </w:r>
      <w:r>
        <w:rPr>
          <w:rStyle w:val="NormalTok"/>
        </w:rPr>
        <w:t xml:space="preserve">display(primary[primary.Stand.eq(</w:t>
      </w:r>
      <w:r>
        <w:rPr>
          <w:rStyle w:val="StringTok"/>
        </w:rPr>
        <w:t xml:space="preserve">'2040'</w:t>
      </w:r>
      <w:r>
        <w:rPr>
          <w:rStyle w:val="NormalTok"/>
        </w:rPr>
        <w:t xml:space="preserve">)])</w:t>
      </w:r>
      <w:r>
        <w:br/>
      </w:r>
      <w:r>
        <w:rPr>
          <w:rStyle w:val="NormalTok"/>
        </w:rPr>
        <w:t xml:space="preserve">implicit</w:t>
      </w:r>
      <w:r>
        <w:rPr>
          <w:rStyle w:val="OperatorTok"/>
        </w:rPr>
        <w:t xml:space="preserve">=</w:t>
      </w:r>
      <w:r>
        <w:rPr>
          <w:rStyle w:val="NormalTok"/>
        </w:rPr>
        <w:t xml:space="preserve">[]</w:t>
      </w:r>
      <w:r>
        <w:br/>
      </w:r>
      <w:r>
        <w:rPr>
          <w:rStyle w:val="ControlFlowTok"/>
        </w:rPr>
        <w:t xml:space="preserve">for</w:t>
      </w:r>
      <w:r>
        <w:rPr>
          <w:rStyle w:val="NormalTok"/>
        </w:rPr>
        <w:t xml:space="preserve"> carrier,ee_col,pe_col </w:t>
      </w:r>
      <w:r>
        <w:rPr>
          <w:rStyle w:val="KeywordTok"/>
        </w:rPr>
        <w:t xml:space="preserve">in</w:t>
      </w:r>
      <w:r>
        <w:rPr>
          <w:rStyle w:val="NormalTok"/>
        </w:rPr>
        <w:t xml:space="preserve"> [(</w:t>
      </w:r>
      <w:r>
        <w:rPr>
          <w:rStyle w:val="StringTok"/>
        </w:rPr>
        <w:t xml:space="preserve">'Netzstrom'</w:t>
      </w:r>
      <w:r>
        <w:rPr>
          <w:rStyle w:val="NormalTok"/>
        </w:rPr>
        <w:t xml:space="preserve">,</w:t>
      </w:r>
      <w:r>
        <w:rPr>
          <w:rStyle w:val="StringTok"/>
        </w:rPr>
        <w:t xml:space="preserve">'Grid_to_building_min'</w:t>
      </w:r>
      <w:r>
        <w:rPr>
          <w:rStyle w:val="NormalTok"/>
        </w:rPr>
        <w:t xml:space="preserve">,</w:t>
      </w:r>
      <w:r>
        <w:rPr>
          <w:rStyle w:val="StringTok"/>
        </w:rPr>
        <w:t xml:space="preserve">'PEI_grid_import'</w:t>
      </w:r>
      <w:r>
        <w:rPr>
          <w:rStyle w:val="NormalTok"/>
        </w:rPr>
        <w:t xml:space="preserve">),(</w:t>
      </w:r>
      <w:r>
        <w:rPr>
          <w:rStyle w:val="StringTok"/>
        </w:rPr>
        <w:t xml:space="preserve">'PV-Export'</w:t>
      </w:r>
      <w:r>
        <w:rPr>
          <w:rStyle w:val="NormalTok"/>
        </w:rPr>
        <w:t xml:space="preserve">,</w:t>
      </w:r>
      <w:r>
        <w:rPr>
          <w:rStyle w:val="StringTok"/>
        </w:rPr>
        <w:t xml:space="preserve">'PV_to_Egrid'</w:t>
      </w:r>
      <w:r>
        <w:rPr>
          <w:rStyle w:val="NormalTok"/>
        </w:rPr>
        <w:t xml:space="preserve">,</w:t>
      </w:r>
      <w:r>
        <w:rPr>
          <w:rStyle w:val="StringTok"/>
        </w:rPr>
        <w:t xml:space="preserve">'PEI_export'</w:t>
      </w:r>
      <w:r>
        <w:rPr>
          <w:rStyle w:val="NormalTok"/>
        </w:rPr>
        <w:t xml:space="preserve">),</w:t>
      </w:r>
      <w:r>
        <w:br/>
      </w:r>
      <w:r>
        <w:rPr>
          <w:rStyle w:val="NormalTok"/>
        </w:rPr>
        <w:t xml:space="preserve"> (</w:t>
      </w:r>
      <w:r>
        <w:rPr>
          <w:rStyle w:val="StringTok"/>
        </w:rPr>
        <w:t xml:space="preserve">'Fernwärme'</w:t>
      </w:r>
      <w:r>
        <w:rPr>
          <w:rStyle w:val="NormalTok"/>
        </w:rPr>
        <w:t xml:space="preserve">,</w:t>
      </w:r>
      <w:r>
        <w:rPr>
          <w:rStyle w:val="StringTok"/>
        </w:rPr>
        <w:t xml:space="preserve">'EUI_district_heating'</w:t>
      </w:r>
      <w:r>
        <w:rPr>
          <w:rStyle w:val="NormalTok"/>
        </w:rPr>
        <w:t xml:space="preserve">,</w:t>
      </w:r>
      <w:r>
        <w:rPr>
          <w:rStyle w:val="StringTok"/>
        </w:rPr>
        <w:t xml:space="preserve">'PEI_district_heating'</w:t>
      </w:r>
      <w:r>
        <w:rPr>
          <w:rStyle w:val="NormalTok"/>
        </w:rPr>
        <w:t xml:space="preserve">),(</w:t>
      </w:r>
      <w:r>
        <w:rPr>
          <w:rStyle w:val="StringTok"/>
        </w:rPr>
        <w:t xml:space="preserve">'Gas'</w:t>
      </w:r>
      <w:r>
        <w:rPr>
          <w:rStyle w:val="NormalTok"/>
        </w:rPr>
        <w:t xml:space="preserve">,</w:t>
      </w:r>
      <w:r>
        <w:rPr>
          <w:rStyle w:val="StringTok"/>
        </w:rPr>
        <w:t xml:space="preserve">'EUI_natural_gas'</w:t>
      </w:r>
      <w:r>
        <w:rPr>
          <w:rStyle w:val="NormalTok"/>
        </w:rPr>
        <w:t xml:space="preserve">,</w:t>
      </w:r>
      <w:r>
        <w:rPr>
          <w:rStyle w:val="StringTok"/>
        </w:rPr>
        <w:t xml:space="preserve">'PEI_natural_gas'</w:t>
      </w:r>
      <w:r>
        <w:rPr>
          <w:rStyle w:val="NormalTok"/>
        </w:rPr>
        <w:t xml:space="preserve">),</w:t>
      </w:r>
      <w:r>
        <w:br/>
      </w:r>
      <w:r>
        <w:rPr>
          <w:rStyle w:val="NormalTok"/>
        </w:rPr>
        <w:t xml:space="preserve"> (</w:t>
      </w:r>
      <w:r>
        <w:rPr>
          <w:rStyle w:val="StringTok"/>
        </w:rPr>
        <w:t xml:space="preserve">'Biomasse'</w:t>
      </w:r>
      <w:r>
        <w:rPr>
          <w:rStyle w:val="NormalTok"/>
        </w:rPr>
        <w:t xml:space="preserve">,</w:t>
      </w:r>
      <w:r>
        <w:rPr>
          <w:rStyle w:val="StringTok"/>
        </w:rPr>
        <w:t xml:space="preserve">'EUI_biomass'</w:t>
      </w:r>
      <w:r>
        <w:rPr>
          <w:rStyle w:val="NormalTok"/>
        </w:rPr>
        <w:t xml:space="preserve">,</w:t>
      </w:r>
      <w:r>
        <w:rPr>
          <w:rStyle w:val="StringTok"/>
        </w:rPr>
        <w:t xml:space="preserve">'PEI_biomass'</w:t>
      </w:r>
      <w:r>
        <w:rPr>
          <w:rStyle w:val="NormalTok"/>
        </w:rPr>
        <w:t xml:space="preserve">),(</w:t>
      </w:r>
      <w:r>
        <w:rPr>
          <w:rStyle w:val="StringTok"/>
        </w:rPr>
        <w:t xml:space="preserve">'Sonstige inkl. Öl'</w:t>
      </w:r>
      <w:r>
        <w:rPr>
          <w:rStyle w:val="NormalTok"/>
        </w:rPr>
        <w:t xml:space="preserve">,</w:t>
      </w:r>
      <w:r>
        <w:rPr>
          <w:rStyle w:val="StringTok"/>
        </w:rPr>
        <w:t xml:space="preserve">'EUI_other'</w:t>
      </w:r>
      <w:r>
        <w:rPr>
          <w:rStyle w:val="NormalTok"/>
        </w:rPr>
        <w:t xml:space="preserve">,</w:t>
      </w:r>
      <w:r>
        <w:rPr>
          <w:rStyle w:val="StringTok"/>
        </w:rPr>
        <w:t xml:space="preserve">'PEI_other'</w:t>
      </w:r>
      <w:r>
        <w:rPr>
          <w:rStyle w:val="NormalTok"/>
        </w:rPr>
        <w:t xml:space="preserve">)]:</w:t>
      </w:r>
      <w:r>
        <w:br/>
      </w:r>
      <w:r>
        <w:rPr>
          <w:rStyle w:val="NormalTok"/>
        </w:rPr>
        <w:t xml:space="preserve">    f</w:t>
      </w:r>
      <w:r>
        <w:rPr>
          <w:rStyle w:val="OperatorTok"/>
        </w:rPr>
        <w:t xml:space="preserve">=</w:t>
      </w:r>
      <w:r>
        <w:rPr>
          <w:rStyle w:val="NormalTok"/>
        </w:rPr>
        <w:t xml:space="preserve">data[pe_col].div(data[ee_col].where(data[ee_col].ne(</w:t>
      </w:r>
      <w:r>
        <w:rPr>
          <w:rStyle w:val="DecValTok"/>
        </w:rPr>
        <w:t xml:space="preserve">0</w:t>
      </w:r>
      <w:r>
        <w:rPr>
          <w:rStyle w:val="NormalTok"/>
        </w:rPr>
        <w:t xml:space="preserve">)))</w:t>
      </w:r>
      <w:r>
        <w:br/>
      </w:r>
      <w:r>
        <w:rPr>
          <w:rStyle w:val="NormalTok"/>
        </w:rPr>
        <w:t xml:space="preserve">    implicit.append(pd.DataFrame({</w:t>
      </w:r>
      <w:r>
        <w:rPr>
          <w:rStyle w:val="StringTok"/>
        </w:rPr>
        <w:t xml:space="preserve">'Archetype'</w:t>
      </w:r>
      <w:r>
        <w:rPr>
          <w:rStyle w:val="NormalTok"/>
        </w:rPr>
        <w:t xml:space="preserve">:data.Archetype,</w:t>
      </w:r>
      <w:r>
        <w:rPr>
          <w:rStyle w:val="StringTok"/>
        </w:rPr>
        <w:t xml:space="preserve">'Träger'</w:t>
      </w:r>
      <w:r>
        <w:rPr>
          <w:rStyle w:val="NormalTok"/>
        </w:rPr>
        <w:t xml:space="preserve">:carrier,</w:t>
      </w:r>
      <w:r>
        <w:rPr>
          <w:rStyle w:val="StringTok"/>
        </w:rPr>
        <w:t xml:space="preserve">'f_PE_effektiv'</w:t>
      </w:r>
      <w:r>
        <w:rPr>
          <w:rStyle w:val="NormalTok"/>
        </w:rPr>
        <w:t xml:space="preserve">:f,</w:t>
      </w:r>
      <w:r>
        <w:rPr>
          <w:rStyle w:val="StringTok"/>
        </w:rPr>
        <w:t xml:space="preserve">'Bezugsjahr'</w:t>
      </w:r>
      <w:r>
        <w:rPr>
          <w:rStyle w:val="NormalTok"/>
        </w:rPr>
        <w:t xml:space="preserve">:params[</w:t>
      </w:r>
      <w:r>
        <w:rPr>
          <w:rStyle w:val="StringTok"/>
        </w:rPr>
        <w:t xml:space="preserve">'jahr_pe_bewertung'</w:t>
      </w:r>
      <w:r>
        <w:rPr>
          <w:rStyle w:val="NormalTok"/>
        </w:rPr>
        <w:t xml:space="preserve">]}))</w:t>
      </w:r>
      <w:r>
        <w:br/>
      </w:r>
      <w:r>
        <w:rPr>
          <w:rStyle w:val="NormalTok"/>
        </w:rPr>
        <w:t xml:space="preserve">implicit</w:t>
      </w:r>
      <w:r>
        <w:rPr>
          <w:rStyle w:val="OperatorTok"/>
        </w:rPr>
        <w:t xml:space="preserve">=</w:t>
      </w:r>
      <w:r>
        <w:rPr>
          <w:rStyle w:val="NormalTok"/>
        </w:rPr>
        <w:t xml:space="preserve">pd.concat(implicit,ignore_index</w:t>
      </w:r>
      <w:r>
        <w:rPr>
          <w:rStyle w:val="OperatorTok"/>
        </w:rPr>
        <w:t xml:space="preserve">=</w:t>
      </w:r>
      <w:r>
        <w:rPr>
          <w:rStyle w:val="VariableTok"/>
        </w:rPr>
        <w:t xml:space="preserve">True</w:t>
      </w:r>
      <w:r>
        <w:rPr>
          <w:rStyle w:val="NormalTok"/>
        </w:rPr>
        <w:t xml:space="preserve">)</w:t>
      </w:r>
      <w:r>
        <w:rPr>
          <w:rStyle w:val="OperatorTok"/>
        </w:rPr>
        <w:t xml:space="preserve">;</w:t>
      </w:r>
      <w:r>
        <w:rPr>
          <w:rStyle w:val="NormalTok"/>
        </w:rPr>
        <w:t xml:space="preserve">display(implicit.groupby(</w:t>
      </w:r>
      <w:r>
        <w:rPr>
          <w:rStyle w:val="StringTok"/>
        </w:rPr>
        <w:t xml:space="preserve">'Träger'</w:t>
      </w:r>
      <w:r>
        <w:rPr>
          <w:rStyle w:val="NormalTok"/>
        </w:rPr>
        <w:t xml:space="preserve">).f_PE_effektiv.agg([</w:t>
      </w:r>
      <w:r>
        <w:rPr>
          <w:rStyle w:val="StringTok"/>
        </w:rPr>
        <w:t xml:space="preserve">'min'</w:t>
      </w:r>
      <w:r>
        <w:rPr>
          <w:rStyle w:val="NormalTok"/>
        </w:rPr>
        <w:t xml:space="preserve">,</w:t>
      </w:r>
      <w:r>
        <w:rPr>
          <w:rStyle w:val="StringTok"/>
        </w:rPr>
        <w:t xml:space="preserve">'max'</w:t>
      </w:r>
      <w:r>
        <w:rPr>
          <w:rStyle w:val="NormalTok"/>
        </w:rPr>
        <w:t xml:space="preserve">]))</w:t>
      </w:r>
      <w:r>
        <w:br/>
      </w:r>
      <w:r>
        <w:rPr>
          <w:rStyle w:val="NormalTok"/>
        </w:rPr>
        <w:t xml:space="preserve">primary.to_csv(OUT</w:t>
      </w:r>
      <w:r>
        <w:rPr>
          <w:rStyle w:val="OperatorTok"/>
        </w:rPr>
        <w:t xml:space="preserve">/</w:t>
      </w:r>
      <w:r>
        <w:rPr>
          <w:rStyle w:val="StringTok"/>
        </w:rPr>
        <w:t xml:space="preserve">'primaerenergiebilanz.csv'</w:t>
      </w:r>
      <w:r>
        <w:rPr>
          <w:rStyle w:val="NormalTok"/>
        </w:rPr>
        <w:t xml:space="preserve">,index</w:t>
      </w:r>
      <w:r>
        <w:rPr>
          <w:rStyle w:val="OperatorTok"/>
        </w:rPr>
        <w:t xml:space="preserve">=</w:t>
      </w:r>
      <w:r>
        <w:rPr>
          <w:rStyle w:val="VariableTok"/>
        </w:rPr>
        <w:t xml:space="preserve">False</w:t>
      </w:r>
      <w:r>
        <w:rPr>
          <w:rStyle w:val="NormalTok"/>
        </w:rPr>
        <w:t xml:space="preserve">)</w:t>
      </w:r>
      <w:r>
        <w:rPr>
          <w:rStyle w:val="OperatorTok"/>
        </w:rPr>
        <w:t xml:space="preserve">;</w:t>
      </w:r>
      <w:r>
        <w:rPr>
          <w:rStyle w:val="NormalTok"/>
        </w:rPr>
        <w:t xml:space="preserve">implicit.to_csv(OUT</w:t>
      </w:r>
      <w:r>
        <w:rPr>
          <w:rStyle w:val="OperatorTok"/>
        </w:rPr>
        <w:t xml:space="preserve">/</w:t>
      </w:r>
      <w:r>
        <w:rPr>
          <w:rStyle w:val="StringTok"/>
        </w:rPr>
        <w:t xml:space="preserve">'pe_faktoren_effektiv.csv'</w:t>
      </w:r>
      <w:r>
        <w:rPr>
          <w:rStyle w:val="NormalTok"/>
        </w:rPr>
        <w:t xml:space="preserve">,index</w:t>
      </w:r>
      <w:r>
        <w:rPr>
          <w:rStyle w:val="OperatorTok"/>
        </w:rPr>
        <w:t xml:space="preserve">=</w:t>
      </w:r>
      <w:r>
        <w:rPr>
          <w:rStyle w:val="VariableTok"/>
        </w:rPr>
        <w:t xml:space="preserve">False</w:t>
      </w:r>
      <w:r>
        <w:rPr>
          <w:rStyle w:val="NormalTok"/>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Stand</w:t>
            </w:r>
          </w:p>
        </w:tc>
        <w:tc>
          <w:tcPr/>
          <w:p>
            <w:pPr>
              <w:pStyle w:val="Compact"/>
            </w:pPr>
            <w:r>
              <w:t xml:space="preserve">Größe</w:t>
            </w:r>
          </w:p>
        </w:tc>
        <w:tc>
          <w:tcPr/>
          <w:p>
            <w:pPr>
              <w:pStyle w:val="Compact"/>
            </w:pPr>
            <w:r>
              <w:t xml:space="preserve">GWh_PE/a</w:t>
            </w:r>
          </w:p>
        </w:tc>
        <w:tc>
          <w:tcPr/>
          <w:p>
            <w:pPr>
              <w:pStyle w:val="Compact"/>
            </w:pPr>
            <w:r>
              <w:t xml:space="preserve">PJ_PE/a</w:t>
            </w:r>
          </w:p>
        </w:tc>
      </w:tr>
      <w:tr>
        <w:tc>
          <w:tcPr/>
          <w:p>
            <w:pPr>
              <w:pStyle w:val="Compact"/>
            </w:pPr>
            <w:r>
              <w:t xml:space="preserve">4</w:t>
            </w:r>
          </w:p>
        </w:tc>
        <w:tc>
          <w:tcPr/>
          <w:p>
            <w:pPr>
              <w:pStyle w:val="Compact"/>
            </w:pPr>
            <w:r>
              <w:t xml:space="preserve">2040</w:t>
            </w:r>
          </w:p>
        </w:tc>
        <w:tc>
          <w:tcPr/>
          <w:p>
            <w:pPr>
              <w:pStyle w:val="Compact"/>
            </w:pPr>
            <w:r>
              <w:t xml:space="preserve">PEI_grid_import</w:t>
            </w:r>
          </w:p>
        </w:tc>
        <w:tc>
          <w:tcPr/>
          <w:p>
            <w:pPr>
              <w:pStyle w:val="Compact"/>
            </w:pPr>
            <w:r>
              <w:t xml:space="preserve">59495.871149</w:t>
            </w:r>
          </w:p>
        </w:tc>
        <w:tc>
          <w:tcPr/>
          <w:p>
            <w:pPr>
              <w:pStyle w:val="Compact"/>
            </w:pPr>
            <w:r>
              <w:t xml:space="preserve">214.185136</w:t>
            </w:r>
          </w:p>
        </w:tc>
      </w:tr>
      <w:tr>
        <w:tc>
          <w:tcPr/>
          <w:p>
            <w:pPr>
              <w:pStyle w:val="Compact"/>
            </w:pPr>
            <w:r>
              <w:t xml:space="preserve">5</w:t>
            </w:r>
          </w:p>
        </w:tc>
        <w:tc>
          <w:tcPr/>
          <w:p>
            <w:pPr>
              <w:pStyle w:val="Compact"/>
            </w:pPr>
            <w:r>
              <w:t xml:space="preserve">2040</w:t>
            </w:r>
          </w:p>
        </w:tc>
        <w:tc>
          <w:tcPr/>
          <w:p>
            <w:pPr>
              <w:pStyle w:val="Compact"/>
            </w:pPr>
            <w:r>
              <w:t xml:space="preserve">PEI_import</w:t>
            </w:r>
          </w:p>
        </w:tc>
        <w:tc>
          <w:tcPr/>
          <w:p>
            <w:pPr>
              <w:pStyle w:val="Compact"/>
            </w:pPr>
            <w:r>
              <w:t xml:space="preserve">137528.611871</w:t>
            </w:r>
          </w:p>
        </w:tc>
        <w:tc>
          <w:tcPr/>
          <w:p>
            <w:pPr>
              <w:pStyle w:val="Compact"/>
            </w:pPr>
            <w:r>
              <w:t xml:space="preserve">495.103003</w:t>
            </w:r>
          </w:p>
        </w:tc>
      </w:tr>
      <w:tr>
        <w:tc>
          <w:tcPr/>
          <w:p>
            <w:pPr>
              <w:pStyle w:val="Compact"/>
            </w:pPr>
            <w:r>
              <w:t xml:space="preserve">6</w:t>
            </w:r>
          </w:p>
        </w:tc>
        <w:tc>
          <w:tcPr/>
          <w:p>
            <w:pPr>
              <w:pStyle w:val="Compact"/>
            </w:pPr>
            <w:r>
              <w:t xml:space="preserve">2040</w:t>
            </w:r>
          </w:p>
        </w:tc>
        <w:tc>
          <w:tcPr/>
          <w:p>
            <w:pPr>
              <w:pStyle w:val="Compact"/>
            </w:pPr>
            <w:r>
              <w:t xml:space="preserve">PEI_export</w:t>
            </w:r>
          </w:p>
        </w:tc>
        <w:tc>
          <w:tcPr/>
          <w:p>
            <w:pPr>
              <w:pStyle w:val="Compact"/>
            </w:pPr>
            <w:r>
              <w:t xml:space="preserve">23816.432121</w:t>
            </w:r>
          </w:p>
        </w:tc>
        <w:tc>
          <w:tcPr/>
          <w:p>
            <w:pPr>
              <w:pStyle w:val="Compact"/>
            </w:pPr>
            <w:r>
              <w:t xml:space="preserve">85.739156</w:t>
            </w:r>
          </w:p>
        </w:tc>
      </w:tr>
      <w:tr>
        <w:tc>
          <w:tcPr/>
          <w:p>
            <w:pPr>
              <w:pStyle w:val="Compact"/>
            </w:pPr>
            <w:r>
              <w:t xml:space="preserve">7</w:t>
            </w:r>
          </w:p>
        </w:tc>
        <w:tc>
          <w:tcPr/>
          <w:p>
            <w:pPr>
              <w:pStyle w:val="Compact"/>
            </w:pPr>
            <w:r>
              <w:t xml:space="preserve">2040</w:t>
            </w:r>
          </w:p>
        </w:tc>
        <w:tc>
          <w:tcPr/>
          <w:p>
            <w:pPr>
              <w:pStyle w:val="Compact"/>
            </w:pPr>
            <w:r>
              <w:t xml:space="preserve">PE_Saldo</w:t>
            </w:r>
          </w:p>
        </w:tc>
        <w:tc>
          <w:tcPr/>
          <w:p>
            <w:pPr>
              <w:pStyle w:val="Compact"/>
            </w:pPr>
            <w:r>
              <w:t xml:space="preserve">-113712.179750</w:t>
            </w:r>
          </w:p>
        </w:tc>
        <w:tc>
          <w:tcPr/>
          <w:p>
            <w:pPr>
              <w:pStyle w:val="Compact"/>
            </w:pPr>
            <w:r>
              <w:t xml:space="preserve">-409.363847</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min</w:t>
            </w:r>
          </w:p>
        </w:tc>
        <w:tc>
          <w:tcPr/>
          <w:p>
            <w:pPr>
              <w:pStyle w:val="Compact"/>
            </w:pPr>
            <w:r>
              <w:t xml:space="preserve">max</w:t>
            </w:r>
          </w:p>
        </w:tc>
      </w:tr>
      <w:tr>
        <w:trPr>
          <w:tblHeader w:val="on"/>
        </w:trPr>
        <w:tc>
          <w:tcPr/>
          <w:p>
            <w:pPr>
              <w:pStyle w:val="Compact"/>
            </w:pPr>
            <w:r>
              <w:t xml:space="preserve">Träger</w:t>
            </w:r>
          </w:p>
        </w:tc>
        <w:tc>
          <w:tcPr/>
          <w:p>
            <w:pPr>
              <w:pStyle w:val="Compact"/>
            </w:pPr>
          </w:p>
        </w:tc>
        <w:tc>
          <w:tcPr/>
          <w:p>
            <w:pPr>
              <w:pStyle w:val="Compact"/>
            </w:pPr>
          </w:p>
        </w:tc>
      </w:tr>
      <w:tr>
        <w:tc>
          <w:tcPr/>
          <w:p>
            <w:pPr>
              <w:pStyle w:val="Compact"/>
            </w:pPr>
            <w:r>
              <w:t xml:space="preserve">Biomasse</w:t>
            </w:r>
          </w:p>
        </w:tc>
        <w:tc>
          <w:tcPr/>
          <w:p>
            <w:pPr>
              <w:pStyle w:val="Compact"/>
            </w:pPr>
            <w:r>
              <w:t xml:space="preserve">1.130000</w:t>
            </w:r>
          </w:p>
        </w:tc>
        <w:tc>
          <w:tcPr/>
          <w:p>
            <w:pPr>
              <w:pStyle w:val="Compact"/>
            </w:pPr>
            <w:r>
              <w:t xml:space="preserve">1.130000</w:t>
            </w:r>
          </w:p>
        </w:tc>
      </w:tr>
      <w:tr>
        <w:tc>
          <w:tcPr/>
          <w:p>
            <w:pPr>
              <w:pStyle w:val="Compact"/>
            </w:pPr>
            <w:r>
              <w:t xml:space="preserve">Fernwärme</w:t>
            </w:r>
          </w:p>
        </w:tc>
        <w:tc>
          <w:tcPr/>
          <w:p>
            <w:pPr>
              <w:pStyle w:val="Compact"/>
            </w:pPr>
            <w:r>
              <w:t xml:space="preserve">0.330000</w:t>
            </w:r>
          </w:p>
        </w:tc>
        <w:tc>
          <w:tcPr/>
          <w:p>
            <w:pPr>
              <w:pStyle w:val="Compact"/>
            </w:pPr>
            <w:r>
              <w:t xml:space="preserve">1.681410</w:t>
            </w:r>
          </w:p>
        </w:tc>
      </w:tr>
      <w:tr>
        <w:tc>
          <w:tcPr/>
          <w:p>
            <w:pPr>
              <w:pStyle w:val="Compact"/>
            </w:pPr>
            <w:r>
              <w:t xml:space="preserve">Gas</w:t>
            </w:r>
          </w:p>
        </w:tc>
        <w:tc>
          <w:tcPr/>
          <w:p>
            <w:pPr>
              <w:pStyle w:val="Compact"/>
            </w:pPr>
            <w:r>
              <w:t xml:space="preserve">1.100000</w:t>
            </w:r>
          </w:p>
        </w:tc>
        <w:tc>
          <w:tcPr/>
          <w:p>
            <w:pPr>
              <w:pStyle w:val="Compact"/>
            </w:pPr>
            <w:r>
              <w:t xml:space="preserve">1.100000</w:t>
            </w:r>
          </w:p>
        </w:tc>
      </w:tr>
      <w:tr>
        <w:tc>
          <w:tcPr/>
          <w:p>
            <w:pPr>
              <w:pStyle w:val="Compact"/>
            </w:pPr>
            <w:r>
              <w:t xml:space="preserve">Netzstrom</w:t>
            </w:r>
          </w:p>
        </w:tc>
        <w:tc>
          <w:tcPr/>
          <w:p>
            <w:pPr>
              <w:pStyle w:val="Compact"/>
            </w:pPr>
            <w:r>
              <w:t xml:space="preserve">1.815914</w:t>
            </w:r>
          </w:p>
        </w:tc>
        <w:tc>
          <w:tcPr/>
          <w:p>
            <w:pPr>
              <w:pStyle w:val="Compact"/>
            </w:pPr>
            <w:r>
              <w:t xml:space="preserve">2.027190</w:t>
            </w:r>
          </w:p>
        </w:tc>
      </w:tr>
      <w:tr>
        <w:tc>
          <w:tcPr/>
          <w:p>
            <w:pPr>
              <w:pStyle w:val="Compact"/>
            </w:pPr>
            <w:r>
              <w:t xml:space="preserve">PV-Export</w:t>
            </w:r>
          </w:p>
        </w:tc>
        <w:tc>
          <w:tcPr/>
          <w:p>
            <w:pPr>
              <w:pStyle w:val="Compact"/>
            </w:pPr>
            <w:r>
              <w:t xml:space="preserve">1.437099</w:t>
            </w:r>
          </w:p>
        </w:tc>
        <w:tc>
          <w:tcPr/>
          <w:p>
            <w:pPr>
              <w:pStyle w:val="Compact"/>
            </w:pPr>
            <w:r>
              <w:t xml:space="preserve">1.610513</w:t>
            </w:r>
          </w:p>
        </w:tc>
      </w:tr>
      <w:tr>
        <w:tc>
          <w:tcPr/>
          <w:p>
            <w:pPr>
              <w:pStyle w:val="Compact"/>
            </w:pPr>
            <w:r>
              <w:t xml:space="preserve">Sonstige inkl. Öl</w:t>
            </w:r>
          </w:p>
        </w:tc>
        <w:tc>
          <w:tcPr/>
          <w:p>
            <w:pPr>
              <w:pStyle w:val="Compact"/>
            </w:pPr>
            <w:r>
              <w:t xml:space="preserve">1.200000</w:t>
            </w:r>
          </w:p>
        </w:tc>
        <w:tc>
          <w:tcPr/>
          <w:p>
            <w:pPr>
              <w:pStyle w:val="Compact"/>
            </w:pPr>
            <w:r>
              <w:t xml:space="preserve">1.200000</w:t>
            </w:r>
          </w:p>
        </w:tc>
      </w:tr>
    </w:tbl>
    <w:bookmarkEnd w:id="526"/>
    <w:bookmarkStart w:id="532" w:name="sec-gebaeude-gfz"/>
    <w:p>
      <w:pPr>
        <w:pStyle w:val="Heading2"/>
      </w:pPr>
      <w:r>
        <w:t xml:space="preserve">E.7 7. GFZ-Zuordnung, Flächengewichtung und Dichte-Erwartungswert</w:t>
      </w:r>
    </w:p>
    <w:p>
      <w:pPr>
        <w:pStyle w:val="FirstParagraph"/>
      </w:pPr>
      <w:r>
        <w:t xml:space="preserve">Die Zuordnung aus</w:t>
      </w:r>
      <w:r>
        <w:t xml:space="preserve"> </w:t>
      </w:r>
      <w:r>
        <w:rPr>
          <w:rStyle w:val="VerbatimChar"/>
        </w:rPr>
        <w:t xml:space="preserve">zuordnung_gfz</w:t>
      </w:r>
      <w:r>
        <w:t xml:space="preserve"> </w:t>
      </w:r>
      <w:r>
        <w:t xml:space="preserve">wird auf die Kategorien der vorhandenen GFZ-Hochrechnung 2021 übersetzt. Die Quellgruppen mit einer bzw. zwei Wohnungen haben identische Zuordnungen und werden</w:t>
      </w:r>
      <w:r>
        <w:t xml:space="preserve"> </w:t>
      </w:r>
      <w:r>
        <w:rPr>
          <w:b/>
          <w:bCs/>
        </w:rPr>
        <w:t xml:space="preserve">einmal</w:t>
      </w:r>
      <w:r>
        <w:t xml:space="preserve"> </w:t>
      </w:r>
      <w:r>
        <w:t xml:space="preserve">auf die zusammengefasste GFZ-Gruppe „Ein- und Zweifamilienhäuser“ angewendet. Die 50/50-Aufteilung zwischen EFH_2G und RH_2G wird übernommen. Die vom Auftraggeber am 23.10.2026 bestätigte Regel lautet:</w:t>
      </w:r>
      <w:r>
        <w:t xml:space="preserve"> </w:t>
      </w:r>
      <w:r>
        <w:rPr>
          <w:b/>
          <w:bCs/>
        </w:rPr>
        <w:t xml:space="preserve">Eine einzige Zielklasse erhält 100 %; die zweite Zielspalte dient nur einer Aufteilung.</w:t>
      </w:r>
      <w:r>
        <w:t xml:space="preserve"> </w:t>
      </w:r>
      <w:r>
        <w:t xml:space="preserve">Die aktualisierte Excel enthält diese 100-%-Werte nun explizit. Es sind keine fehlenden Quellanteile mehr zu ergänzen. Die Regel bleibt für weitere Einzelzuordnungen implementiert und wird im Audit protokolliert. MFH_2G hat keine Zuordnung und keine positive Fläche; sein Erwartungswert bleibt leer. Es wird kein Ersatz aus anderen Gebäudetypen erfunden.</w:t>
      </w:r>
    </w:p>
    <w:p>
      <w:pPr>
        <w:pStyle w:val="BodyText"/>
      </w:pPr>
      <w:r>
        <w:t xml:space="preserve">Aus GFZ-Referenzfläche</w:t>
      </w:r>
      <w:r>
        <w:t xml:space="preserve"> </w:t>
      </w:r>
      <m:oMath>
        <m:sSub>
          <m:e>
            <m:r>
              <m:t>R</m:t>
            </m:r>
          </m:e>
          <m:sub>
            <m:r>
              <m:t>u</m:t>
            </m:r>
            <m:r>
              <m:rPr>
                <m:sty m:val="p"/>
              </m:rPr>
              <m:t>,</m:t>
            </m:r>
            <m:r>
              <m:t>g</m:t>
            </m:r>
            <m:r>
              <m:rPr>
                <m:sty m:val="p"/>
              </m:rPr>
              <m:t>,</m:t>
            </m:r>
            <m:r>
              <m:t>j</m:t>
            </m:r>
          </m:sub>
        </m:sSub>
      </m:oMath>
      <w:r>
        <w:t xml:space="preserve"> </w:t>
      </w:r>
      <w:r>
        <w:t xml:space="preserve">und Zuordnungsanteil</w:t>
      </w:r>
      <w:r>
        <w:t xml:space="preserve"> </w:t>
      </w:r>
      <m:oMath>
        <m:sSub>
          <m:e>
            <m:r>
              <m:t>z</m:t>
            </m:r>
          </m:e>
          <m:sub>
            <m:r>
              <m:t>u</m:t>
            </m:r>
            <m:r>
              <m:rPr>
                <m:sty m:val="p"/>
              </m:rPr>
              <m:t>,</m:t>
            </m:r>
            <m:r>
              <m:t>g</m:t>
            </m:r>
            <m:r>
              <m:rPr>
                <m:sty m:val="p"/>
              </m:rPr>
              <m:t>,</m:t>
            </m:r>
            <m:r>
              <m:t>k</m:t>
            </m:r>
          </m:sub>
        </m:sSub>
      </m:oMath>
      <w:r>
        <w:t xml:space="preserve"> </w:t>
      </w:r>
      <w:r>
        <w:t xml:space="preserve">entsteht</w:t>
      </w:r>
    </w:p>
    <w:p>
      <w:pPr>
        <w:pStyle w:val="BodyText"/>
      </w:pPr>
      <m:oMathPara>
        <m:oMathParaPr>
          <m:jc m:val="center"/>
        </m:oMathParaPr>
        <m:oMath>
          <m:sSub>
            <m:e>
              <m:r>
                <m:t>R</m:t>
              </m:r>
            </m:e>
            <m:sub>
              <m:r>
                <m:t>k</m:t>
              </m:r>
              <m:r>
                <m:rPr>
                  <m:sty m:val="p"/>
                </m:rPr>
                <m:t>,</m:t>
              </m:r>
              <m:r>
                <m:t>j</m:t>
              </m:r>
            </m:sub>
          </m:sSub>
          <m:r>
            <m:rPr>
              <m:sty m:val="p"/>
            </m:rPr>
            <m:t>=</m:t>
          </m:r>
          <m:nary>
            <m:naryPr>
              <m:chr m:val="∑"/>
              <m:limLoc m:val="undOvr"/>
              <m:subHide m:val="off"/>
              <m:supHide m:val="on"/>
            </m:naryPr>
            <m:sub>
              <m:r>
                <m:t>u</m:t>
              </m:r>
              <m:r>
                <m:rPr>
                  <m:sty m:val="p"/>
                </m:rPr>
                <m:t>,</m:t>
              </m:r>
              <m:r>
                <m:t>g</m:t>
              </m:r>
            </m:sub>
            <m:sup>
              <m:r>
                <m:t>​</m:t>
              </m:r>
            </m:sup>
            <m:e>
              <m:sSub>
                <m:e>
                  <m:r>
                    <m:t>z</m:t>
                  </m:r>
                </m:e>
                <m:sub>
                  <m:r>
                    <m:t>u</m:t>
                  </m:r>
                  <m:r>
                    <m:rPr>
                      <m:sty m:val="p"/>
                    </m:rPr>
                    <m:t>,</m:t>
                  </m:r>
                  <m:r>
                    <m:t>g</m:t>
                  </m:r>
                  <m:r>
                    <m:rPr>
                      <m:sty m:val="p"/>
                    </m:rPr>
                    <m:t>,</m:t>
                  </m:r>
                  <m:r>
                    <m:t>k</m:t>
                  </m:r>
                </m:sub>
              </m:sSub>
            </m:e>
          </m:nary>
          <m:sSub>
            <m:e>
              <m:r>
                <m:t>R</m:t>
              </m:r>
            </m:e>
            <m:sub>
              <m:r>
                <m:t>u</m:t>
              </m:r>
              <m:r>
                <m:rPr>
                  <m:sty m:val="p"/>
                </m:rPr>
                <m:t>,</m:t>
              </m:r>
              <m:r>
                <m:t>g</m:t>
              </m:r>
              <m:r>
                <m:rPr>
                  <m:sty m:val="p"/>
                </m:rPr>
                <m:t>,</m:t>
              </m:r>
              <m:r>
                <m:t>j</m:t>
              </m:r>
            </m:sub>
          </m:sSub>
          <m:r>
            <m:rPr>
              <m:sty m:val="p"/>
            </m:rPr>
            <m:t>,</m:t>
          </m:r>
          <m:r>
            <m:t>  </m:t>
          </m:r>
          <m:sSub>
            <m:e>
              <m:r>
                <m:t>s</m:t>
              </m:r>
            </m:e>
            <m:sub>
              <m:r>
                <m:t>j</m:t>
              </m:r>
              <m:r>
                <m:rPr>
                  <m:sty m:val="p"/>
                </m:rPr>
                <m:t>|</m:t>
              </m:r>
              <m:r>
                <m:t>k</m:t>
              </m:r>
            </m:sub>
          </m:sSub>
          <m:r>
            <m:rPr>
              <m:sty m:val="p"/>
            </m:rPr>
            <m:t>=</m:t>
          </m:r>
          <m:sSub>
            <m:e>
              <m:r>
                <m:t>R</m:t>
              </m:r>
            </m:e>
            <m:sub>
              <m:r>
                <m:t>k</m:t>
              </m:r>
              <m:r>
                <m:rPr>
                  <m:sty m:val="p"/>
                </m:rPr>
                <m:t>,</m:t>
              </m:r>
              <m:r>
                <m:t>j</m:t>
              </m:r>
            </m:sub>
          </m:sSub>
          <m:r>
            <m:rPr>
              <m:sty m:val="p"/>
            </m:rPr>
            <m:t>/</m:t>
          </m:r>
          <m:nary>
            <m:naryPr>
              <m:chr m:val="∑"/>
              <m:limLoc m:val="undOvr"/>
              <m:subHide m:val="off"/>
              <m:supHide m:val="on"/>
            </m:naryPr>
            <m:sub>
              <m:r>
                <m:t>j</m:t>
              </m:r>
            </m:sub>
            <m:sup>
              <m:r>
                <m:t>​</m:t>
              </m:r>
            </m:sup>
            <m:e>
              <m:sSub>
                <m:e>
                  <m:r>
                    <m:t>R</m:t>
                  </m:r>
                </m:e>
                <m:sub>
                  <m:r>
                    <m:t>k</m:t>
                  </m:r>
                  <m:r>
                    <m:rPr>
                      <m:sty m:val="p"/>
                    </m:rPr>
                    <m:t>,</m:t>
                  </m:r>
                  <m:r>
                    <m:t>j</m:t>
                  </m:r>
                </m:sub>
              </m:sSub>
            </m:e>
          </m:nary>
          <m:r>
            <m:rPr>
              <m:sty m:val="p"/>
            </m:rPr>
            <m:t>.</m:t>
          </m:r>
        </m:oMath>
      </m:oMathPara>
    </w:p>
    <w:p>
      <w:pPr>
        <w:pStyle w:val="FirstParagraph"/>
      </w:pPr>
      <w:r>
        <w:t xml:space="preserve">Diese</w:t>
      </w:r>
      <w:r>
        <w:t xml:space="preserve"> </w:t>
      </w:r>
      <w:r>
        <w:rPr>
          <w:b/>
          <w:bCs/>
        </w:rPr>
        <w:t xml:space="preserve">bedingte Verteilung</w:t>
      </w:r>
      <w:r>
        <w:t xml:space="preserve"> </w:t>
      </w:r>
      <w:r>
        <w:t xml:space="preserve">wird auf die unabhängig gelieferte Typenfläche übertragen:</w:t>
      </w:r>
      <w:r>
        <w:t xml:space="preserve"> </w:t>
      </w:r>
      <m:oMath>
        <m:sSubSup>
          <m:e>
            <m:r>
              <m:t>A</m:t>
            </m:r>
          </m:e>
          <m:sub>
            <m:r>
              <m:t>k</m:t>
            </m:r>
            <m:r>
              <m:rPr>
                <m:sty m:val="p"/>
              </m:rPr>
              <m:t>,</m:t>
            </m:r>
            <m:r>
              <m:t>j</m:t>
            </m:r>
          </m:sub>
          <m:sup>
            <m:r>
              <m:t>2040</m:t>
            </m:r>
          </m:sup>
        </m:sSubSup>
        <m:r>
          <m:rPr>
            <m:sty m:val="p"/>
          </m:rPr>
          <m:t>=</m:t>
        </m:r>
        <m:sSubSup>
          <m:e>
            <m:r>
              <m:t>A</m:t>
            </m:r>
          </m:e>
          <m:sub>
            <m:r>
              <m:t>k</m:t>
            </m:r>
          </m:sub>
          <m:sup>
            <m:r>
              <m:t>2040</m:t>
            </m:r>
          </m:sup>
        </m:sSubSup>
        <m:sSub>
          <m:e>
            <m:r>
              <m:t>s</m:t>
            </m:r>
          </m:e>
          <m:sub>
            <m:r>
              <m:t>j</m:t>
            </m:r>
            <m:r>
              <m:rPr>
                <m:sty m:val="p"/>
              </m:rPr>
              <m:t>|</m:t>
            </m:r>
            <m:r>
              <m:t>k</m:t>
            </m:r>
          </m:sub>
        </m:sSub>
      </m:oMath>
      <w:r>
        <w:t xml:space="preserve">. Die Referenzfläche wird nicht als zusätzliche nationale Fläche addiert. Die Annahme ist, dass Hüll- und Technikvarianten derselben Geometrie die gleiche Dichteverteilung besitzen; eine räumliche Änderung bis 2040 ist damit noch nicht modelliert. Die vorhandene freigegebene GFZ-Ersatzregel (1,696 % Referenz-BGF) bleibt unverändert.</w:t>
      </w:r>
    </w:p>
    <w:p>
      <w:pPr>
        <w:pStyle w:val="BodyText"/>
      </w:pPr>
      <w:r>
        <w:t xml:space="preserve">Als historische</w:t>
      </w:r>
      <w:r>
        <w:t xml:space="preserve"> </w:t>
      </w:r>
      <w:r>
        <w:rPr>
          <w:b/>
          <w:bCs/>
        </w:rPr>
        <w:t xml:space="preserve">elektrische</w:t>
      </w:r>
      <w:r>
        <w:t xml:space="preserve"> </w:t>
      </w:r>
      <w:r>
        <w:t xml:space="preserve">Referenz wird die Tabellenparametrisierung der PED-Typen aus Schneider et al. (2023), Gl. 7/Tabelle 5, verwendet</w:t>
      </w:r>
      <w:r>
        <w:t xml:space="preserve"> </w:t>
      </w:r>
      <w:r>
        <w:t xml:space="preserve">(Schneider u. a. 2023)</w:t>
      </w:r>
      <w:r>
        <w:t xml:space="preserve">:</w:t>
      </w:r>
    </w:p>
    <w:p>
      <w:pPr>
        <w:pStyle w:val="BodyText"/>
      </w:pPr>
      <m:oMathPara>
        <m:oMathParaPr>
          <m:jc m:val="center"/>
        </m:oMathParaPr>
        <m:oMath>
          <m:sSubSup>
            <m:e>
              <m:r>
                <m:t>c</m:t>
              </m:r>
            </m:e>
            <m:sub>
              <m:r>
                <m:t>D</m:t>
              </m:r>
            </m:sub>
            <m:sup>
              <m:r>
                <m:t>e</m:t>
              </m:r>
              <m:r>
                <m:t>l</m:t>
              </m:r>
            </m:sup>
          </m:sSubSup>
          <m:r>
            <m:rPr>
              <m:sty m:val="p"/>
            </m:rPr>
            <m:t>(</m:t>
          </m:r>
          <m:r>
            <m:t>d</m:t>
          </m:r>
          <m:r>
            <m:rPr>
              <m:sty m:val="p"/>
            </m:rPr>
            <m:t>)</m:t>
          </m:r>
          <m:r>
            <m:rPr>
              <m:sty m:val="p"/>
            </m:rPr>
            <m:t>=</m:t>
          </m:r>
          <m:r>
            <m:rPr>
              <m:sty m:val="p"/>
            </m:rPr>
            <m:t>−</m:t>
          </m:r>
          <m:r>
            <m:rPr>
              <m:sty m:val="p"/>
            </m:rPr>
            <m:t>min</m:t>
          </m:r>
          <m:d>
            <m:dPr>
              <m:begChr m:val="("/>
              <m:sepChr m:val=""/>
              <m:endChr m:val=")"/>
              <m:grow/>
            </m:dPr>
            <m:e>
              <m:f>
                <m:fPr>
                  <m:type m:val="bar"/>
                </m:fPr>
                <m:num>
                  <m:r>
                    <m:t>30</m:t>
                  </m:r>
                  <m:r>
                    <m:rPr>
                      <m:sty m:val="p"/>
                    </m:rPr>
                    <m:t>,</m:t>
                  </m:r>
                  <m:r>
                    <m:t>4</m:t>
                  </m:r>
                </m:num>
                <m:den>
                  <m:r>
                    <m:t>d</m:t>
                  </m:r>
                  <m:r>
                    <m:rPr>
                      <m:sty m:val="p"/>
                    </m:rPr>
                    <m:t>+</m:t>
                  </m:r>
                  <m:r>
                    <m:t>0</m:t>
                  </m:r>
                  <m:r>
                    <m:rPr>
                      <m:sty m:val="p"/>
                    </m:rPr>
                    <m:t>,</m:t>
                  </m:r>
                  <m:r>
                    <m:t>15</m:t>
                  </m:r>
                </m:den>
              </m:f>
              <m:r>
                <m:rPr>
                  <m:sty m:val="p"/>
                </m:rPr>
                <m:t>−</m:t>
              </m:r>
              <m:r>
                <m:t>26</m:t>
              </m:r>
              <m:r>
                <m:rPr>
                  <m:sty m:val="p"/>
                </m:rPr>
                <m:t>,</m:t>
              </m:r>
              <m:r>
                <m:t>4</m:t>
              </m:r>
              <m:r>
                <m:rPr>
                  <m:sty m:val="p"/>
                </m:rPr>
                <m:t>;</m:t>
              </m:r>
              <m:r>
                <m:t>62</m:t>
              </m:r>
            </m:e>
          </m:d>
          <m:r>
            <m:t> </m:t>
          </m:r>
          <m:r>
            <m:rPr>
              <m:sty m:val="p"/>
            </m:rPr>
            <m:t>[</m:t>
          </m:r>
          <m:r>
            <m:t>k</m:t>
          </m:r>
          <m:r>
            <m:t>W</m:t>
          </m:r>
          <m:r>
            <m:t>h</m:t>
          </m:r>
          <m:r>
            <m:rPr>
              <m:sty m:val="p"/>
            </m:rPr>
            <m:t>/</m:t>
          </m:r>
          <m:r>
            <m:rPr>
              <m:sty m:val="p"/>
            </m:rPr>
            <m:t>(</m:t>
          </m:r>
          <m:sSup>
            <m:e>
              <m:r>
                <m:t>m</m:t>
              </m:r>
            </m:e>
            <m:sup>
              <m:r>
                <m:t>2</m:t>
              </m:r>
            </m:sup>
          </m:sSup>
          <m:r>
            <m:t> </m:t>
          </m:r>
          <m:r>
            <m:t>B</m:t>
          </m:r>
          <m:r>
            <m:t>G</m:t>
          </m:r>
          <m:r>
            <m:t>F</m:t>
          </m:r>
          <m:r>
            <m:t> </m:t>
          </m:r>
          <m:r>
            <m:t>a</m:t>
          </m:r>
          <m:r>
            <m:rPr>
              <m:sty m:val="p"/>
            </m:rPr>
            <m:t>)</m:t>
          </m:r>
          <m:r>
            <m:rPr>
              <m:sty m:val="p"/>
            </m:rPr>
            <m:t>]</m:t>
          </m:r>
          <m:r>
            <m:rPr>
              <m:sty m:val="p"/>
            </m:rPr>
            <m:t>.</m:t>
          </m:r>
        </m:oMath>
      </m:oMathPara>
    </w:p>
    <w:p>
      <w:pPr>
        <w:pStyle w:val="FirstParagraph"/>
      </w:pPr>
      <w:r>
        <w:t xml:space="preserve">Die Originaltabelle enthält widersprüchliche EE-/PE-Einheitenbeschriftungen (insbesondere bei der Begrenzung). Hier wird die elektrische Tabellenlesart als</w:t>
      </w:r>
      <w:r>
        <w:t xml:space="preserve"> </w:t>
      </w:r>
      <w:r>
        <w:rPr>
          <w:b/>
          <w:bCs/>
        </w:rPr>
        <w:t xml:space="preserve">Referenzansatz</w:t>
      </w:r>
      <w:r>
        <w:t xml:space="preserve"> </w:t>
      </w:r>
      <w:r>
        <w:t xml:space="preserve">dokumentiert; daraus entsteht keine neu freigegebene Anforderung. Die bereits PE-gewichteten Kontextwerte der Einzelsimulation werden nicht als EE ausgegeben und nicht zur GFZ-Hochrechnung benutzt. Positive</w:t>
      </w:r>
      <w:r>
        <w:t xml:space="preserve"> </w:t>
      </w:r>
      <m:oMath>
        <m:sSub>
          <m:e>
            <m:r>
              <m:t>c</m:t>
            </m:r>
          </m:e>
          <m:sub>
            <m:r>
              <m:t>D</m:t>
            </m:r>
          </m:sub>
        </m:sSub>
      </m:oMath>
      <w:r>
        <w:t xml:space="preserve"> </w:t>
      </w:r>
      <w:r>
        <w:t xml:space="preserve">sind virtuelle Gutschriften, negative zusätzliche Anforderungen.</w:t>
      </w:r>
    </w:p>
    <w:p>
      <w:pPr>
        <w:pStyle w:val="BodyText"/>
      </w:pPr>
      <m:oMathPara>
        <m:oMathParaPr>
          <m:jc m:val="center"/>
        </m:oMathParaPr>
        <m:oMath>
          <m:sSub>
            <m:e>
              <m:r>
                <m:rPr>
                  <m:scr m:val="double-struck"/>
                  <m:sty m:val="p"/>
                </m:rPr>
                <m:t>E</m:t>
              </m:r>
            </m:e>
            <m:sub>
              <m:r>
                <m:t>k</m:t>
              </m:r>
            </m:sub>
          </m:sSub>
          <m:r>
            <m:rPr>
              <m:sty m:val="p"/>
            </m:rPr>
            <m:t>[</m:t>
          </m:r>
          <m:r>
            <m:t>G</m:t>
          </m:r>
          <m:r>
            <m:t>F</m:t>
          </m:r>
          <m:r>
            <m:t>Z</m:t>
          </m:r>
          <m:r>
            <m:rPr>
              <m:sty m:val="p"/>
            </m:rPr>
            <m:t>]</m:t>
          </m:r>
          <m:r>
            <m:rPr>
              <m:sty m:val="p"/>
            </m:rPr>
            <m:t>=</m:t>
          </m:r>
          <m:nary>
            <m:naryPr>
              <m:chr m:val="∑"/>
              <m:limLoc m:val="undOvr"/>
              <m:subHide m:val="off"/>
              <m:supHide m:val="on"/>
            </m:naryPr>
            <m:sub>
              <m:r>
                <m:t>j</m:t>
              </m:r>
            </m:sub>
            <m:sup>
              <m:r>
                <m:t>​</m:t>
              </m:r>
            </m:sup>
            <m:e>
              <m:sSub>
                <m:e>
                  <m:r>
                    <m:t>s</m:t>
                  </m:r>
                </m:e>
                <m:sub>
                  <m:r>
                    <m:t>j</m:t>
                  </m:r>
                  <m:r>
                    <m:rPr>
                      <m:sty m:val="p"/>
                    </m:rPr>
                    <m:t>|</m:t>
                  </m:r>
                  <m:r>
                    <m:t>k</m:t>
                  </m:r>
                </m:sub>
              </m:sSub>
            </m:e>
          </m:nary>
          <m:sSub>
            <m:e>
              <m:r>
                <m:t>d</m:t>
              </m:r>
            </m:e>
            <m:sub>
              <m:r>
                <m:t>j</m:t>
              </m:r>
            </m:sub>
          </m:sSub>
          <m:r>
            <m:rPr>
              <m:sty m:val="p"/>
            </m:rPr>
            <m:t>,</m:t>
          </m:r>
          <m:r>
            <m:t>  </m:t>
          </m:r>
          <m:sSub>
            <m:e>
              <m:r>
                <m:rPr>
                  <m:scr m:val="double-struck"/>
                  <m:sty m:val="p"/>
                </m:rPr>
                <m:t>E</m:t>
              </m:r>
            </m:e>
            <m:sub>
              <m:r>
                <m:t>k</m:t>
              </m:r>
            </m:sub>
          </m:sSub>
          <m:r>
            <m:rPr>
              <m:sty m:val="p"/>
            </m:rPr>
            <m:t>[</m:t>
          </m:r>
          <m:sSub>
            <m:e>
              <m:r>
                <m:t>c</m:t>
              </m:r>
            </m:e>
            <m:sub>
              <m:r>
                <m:t>D</m:t>
              </m:r>
            </m:sub>
          </m:sSub>
          <m:r>
            <m:rPr>
              <m:sty m:val="p"/>
            </m:rPr>
            <m:t>]</m:t>
          </m:r>
          <m:r>
            <m:rPr>
              <m:sty m:val="p"/>
            </m:rPr>
            <m:t>=</m:t>
          </m:r>
          <m:nary>
            <m:naryPr>
              <m:chr m:val="∑"/>
              <m:limLoc m:val="undOvr"/>
              <m:subHide m:val="off"/>
              <m:supHide m:val="on"/>
            </m:naryPr>
            <m:sub>
              <m:r>
                <m:t>j</m:t>
              </m:r>
            </m:sub>
            <m:sup>
              <m:r>
                <m:t>​</m:t>
              </m:r>
            </m:sup>
            <m:e>
              <m:sSub>
                <m:e>
                  <m:r>
                    <m:t>s</m:t>
                  </m:r>
                </m:e>
                <m:sub>
                  <m:r>
                    <m:t>j</m:t>
                  </m:r>
                  <m:r>
                    <m:rPr>
                      <m:sty m:val="p"/>
                    </m:rPr>
                    <m:t>|</m:t>
                  </m:r>
                  <m:r>
                    <m:t>k</m:t>
                  </m:r>
                </m:sub>
              </m:sSub>
            </m:e>
          </m:nary>
          <m:sSub>
            <m:e>
              <m:r>
                <m:t>c</m:t>
              </m:r>
            </m:e>
            <m:sub>
              <m:r>
                <m:t>D</m:t>
              </m:r>
            </m:sub>
          </m:sSub>
          <m:r>
            <m:rPr>
              <m:sty m:val="p"/>
            </m:rPr>
            <m:t>(</m:t>
          </m:r>
          <m:sSub>
            <m:e>
              <m:r>
                <m:t>d</m:t>
              </m:r>
            </m:e>
            <m:sub>
              <m:r>
                <m:t>j</m:t>
              </m:r>
            </m:sub>
          </m:sSub>
          <m:r>
            <m:rPr>
              <m:sty m:val="p"/>
            </m:rPr>
            <m:t>)</m:t>
          </m:r>
          <m:r>
            <m:rPr>
              <m:sty m:val="p"/>
            </m:rPr>
            <m:t>.</m:t>
          </m:r>
        </m:oMath>
      </m:oMathPara>
    </w:p>
    <w:p>
      <w:pPr>
        <w:pStyle w:val="FirstParagraph"/>
      </w:pPr>
      <w:r>
        <w:t xml:space="preserve">Wegen der Nichtlinearität gilt im Allgemeinen</w:t>
      </w:r>
      <w:r>
        <w:t xml:space="preserve"> </w:t>
      </w:r>
      <m:oMath>
        <m:r>
          <m:rPr>
            <m:scr m:val="double-struck"/>
            <m:sty m:val="p"/>
          </m:rPr>
          <m:t>E</m:t>
        </m:r>
        <m:r>
          <m:rPr>
            <m:sty m:val="p"/>
          </m:rPr>
          <m:t>[</m:t>
        </m:r>
        <m:sSub>
          <m:e>
            <m:r>
              <m:t>c</m:t>
            </m:r>
          </m:e>
          <m:sub>
            <m:r>
              <m:t>D</m:t>
            </m:r>
          </m:sub>
        </m:sSub>
        <m:r>
          <m:rPr>
            <m:sty m:val="p"/>
          </m:rPr>
          <m:t>(</m:t>
        </m:r>
        <m:r>
          <m:t>d</m:t>
        </m:r>
        <m:r>
          <m:rPr>
            <m:sty m:val="p"/>
          </m:rPr>
          <m:t>)</m:t>
        </m:r>
        <m:r>
          <m:rPr>
            <m:sty m:val="p"/>
          </m:rPr>
          <m:t>]</m:t>
        </m:r>
        <m:r>
          <m:rPr>
            <m:sty m:val="p"/>
          </m:rPr>
          <m:t>≠</m:t>
        </m:r>
        <m:sSub>
          <m:e>
            <m:r>
              <m:t>c</m:t>
            </m:r>
          </m:e>
          <m:sub>
            <m:r>
              <m:t>D</m:t>
            </m:r>
          </m:sub>
        </m:sSub>
        <m:r>
          <m:rPr>
            <m:sty m:val="p"/>
          </m:rPr>
          <m:t>(</m:t>
        </m:r>
        <m:r>
          <m:rPr>
            <m:scr m:val="double-struck"/>
            <m:sty m:val="p"/>
          </m:rPr>
          <m:t>E</m:t>
        </m:r>
        <m:r>
          <m:rPr>
            <m:sty m:val="p"/>
          </m:rPr>
          <m:t>[</m:t>
        </m:r>
        <m:r>
          <m:t>d</m:t>
        </m:r>
        <m:r>
          <m:rPr>
            <m:sty m:val="p"/>
          </m:rPr>
          <m:t>]</m:t>
        </m:r>
        <m:r>
          <m:rPr>
            <m:sty m:val="p"/>
          </m:rPr>
          <m:t>)</m:t>
        </m:r>
      </m:oMath>
      <w:r>
        <w:t xml:space="preserve">. NGF-spezifische Kontextwerte ergeben sich durch Division durch</w:t>
      </w:r>
      <w:r>
        <w:t xml:space="preserve"> </w:t>
      </w:r>
      <m:oMath>
        <m:r>
          <m:t>r</m:t>
        </m:r>
      </m:oMath>
      <w:r>
        <w:t xml:space="preserve">, noch</w:t>
      </w:r>
      <w:r>
        <w:t xml:space="preserve"> </w:t>
      </w:r>
      <w:r>
        <w:rPr>
          <w:b/>
          <w:bCs/>
        </w:rPr>
        <w:t xml:space="preserve">ohne PE-Umrechnung</w:t>
      </w:r>
      <w:r>
        <w:t xml:space="preserve">. Die Verteilung des Kontextwerts wird für jeden GFZ-Bin exportiert; die Typenerwartung beschreibt den Kalibrierungsansatz, nicht einer automatischen Gutschrift für alle Typen.</w:t>
      </w:r>
    </w:p>
    <w:bookmarkStart w:id="527" w:name="was-bedeutet-der-erwartungswert"/>
    <w:p>
      <w:pPr>
        <w:pStyle w:val="Heading3"/>
      </w:pPr>
      <w:r>
        <w:t xml:space="preserve">E.7.1 Was bedeutet der Erwartungswert?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Bedeutung</w:t>
            </w:r>
          </w:p>
        </w:tc>
        <w:tc>
          <w:tcPr/>
          <w:p>
            <w:pPr>
              <w:pStyle w:val="Compact"/>
            </w:pPr>
            <w:r>
              <w:t xml:space="preserve">Einheit</w:t>
            </w:r>
          </w:p>
        </w:tc>
      </w:tr>
      <w:tr>
        <w:tc>
          <w:tcPr/>
          <w:p>
            <w:pPr>
              <w:pStyle w:val="Compact"/>
            </w:pPr>
            <m:oMath>
              <m:r>
                <m:t>k</m:t>
              </m:r>
            </m:oMath>
            <w:r>
              <w:t xml:space="preserve">​</w:t>
            </w:r>
          </w:p>
        </w:tc>
        <w:tc>
          <w:tcPr/>
          <w:p>
            <w:pPr>
              <w:pStyle w:val="Compact"/>
            </w:pPr>
            <w:r>
              <w:t xml:space="preserve">Energetischer Gebäudetyp; die GFZ-Verteilung folgt seiner Geometrie</w:t>
            </w:r>
          </w:p>
        </w:tc>
        <w:tc>
          <w:tcPr/>
          <w:p>
            <w:pPr>
              <w:pStyle w:val="Compact"/>
            </w:pPr>
            <w:r>
              <w:t xml:space="preserve">–</w:t>
            </w:r>
          </w:p>
        </w:tc>
      </w:tr>
      <w:tr>
        <w:tc>
          <w:tcPr/>
          <w:p>
            <w:pPr>
              <w:pStyle w:val="Compact"/>
            </w:pPr>
            <m:oMath>
              <m:r>
                <m:t>u</m:t>
              </m:r>
              <m:r>
                <m:rPr>
                  <m:sty m:val="p"/>
                </m:rPr>
                <m:t>,</m:t>
              </m:r>
              <m:r>
                <m:t>g</m:t>
              </m:r>
            </m:oMath>
            <w:r>
              <w:t xml:space="preserve">​</w:t>
            </w:r>
          </w:p>
        </w:tc>
        <w:tc>
          <w:tcPr/>
          <w:p>
            <w:pPr>
              <w:pStyle w:val="Compact"/>
            </w:pPr>
            <w:r>
              <w:t xml:space="preserve">Statistische Nutzung und Geschoßklasse</w:t>
            </w:r>
          </w:p>
        </w:tc>
        <w:tc>
          <w:tcPr/>
          <w:p>
            <w:pPr>
              <w:pStyle w:val="Compact"/>
            </w:pPr>
            <w:r>
              <w:t xml:space="preserve">–</w:t>
            </w:r>
          </w:p>
        </w:tc>
      </w:tr>
      <w:tr>
        <w:tc>
          <w:tcPr/>
          <w:p>
            <w:pPr>
              <w:pStyle w:val="Compact"/>
            </w:pPr>
            <m:oMath>
              <m:r>
                <m:t>j</m:t>
              </m:r>
            </m:oMath>
            <w:r>
              <w:t xml:space="preserve">​</w:t>
            </w:r>
          </w:p>
        </w:tc>
        <w:tc>
          <w:tcPr/>
          <w:p>
            <w:pPr>
              <w:pStyle w:val="Compact"/>
            </w:pPr>
            <w:r>
              <w:t xml:space="preserve">GFZ-Bin im Referenzraster</w:t>
            </w:r>
          </w:p>
        </w:tc>
        <w:tc>
          <w:tcPr/>
          <w:p>
            <w:pPr>
              <w:pStyle w:val="Compact"/>
            </w:pPr>
            <w:r>
              <w:t xml:space="preserve">–</w:t>
            </w:r>
          </w:p>
        </w:tc>
      </w:tr>
      <w:tr>
        <w:tc>
          <w:tcPr/>
          <w:p>
            <w:pPr>
              <w:pStyle w:val="Compact"/>
            </w:pPr>
            <m:oMath>
              <m:sSub>
                <m:e>
                  <m:r>
                    <m:t>d</m:t>
                  </m:r>
                </m:e>
                <m:sub>
                  <m:r>
                    <m:t>j</m:t>
                  </m:r>
                </m:sub>
              </m:sSub>
            </m:oMath>
            <w:r>
              <w:t xml:space="preserve">​</w:t>
            </w:r>
          </w:p>
        </w:tc>
        <w:tc>
          <w:tcPr/>
          <w:p>
            <w:pPr>
              <w:pStyle w:val="Compact"/>
            </w:pPr>
            <w:r>
              <w:t xml:space="preserve">GFZ des Bins</w:t>
            </w:r>
          </w:p>
        </w:tc>
        <w:tc>
          <w:tcPr/>
          <w:p>
            <w:pPr>
              <w:pStyle w:val="Compact"/>
            </w:pPr>
            <w:r>
              <w:t xml:space="preserve">m² BGF / m² Grundstück</w:t>
            </w:r>
          </w:p>
        </w:tc>
      </w:tr>
      <w:tr>
        <w:tc>
          <w:tcPr/>
          <w:p>
            <w:pPr>
              <w:pStyle w:val="Compact"/>
            </w:pPr>
            <m:oMath>
              <m:sSub>
                <m:e>
                  <m:r>
                    <m:t>R</m:t>
                  </m:r>
                </m:e>
                <m:sub>
                  <m:r>
                    <m:t>u</m:t>
                  </m:r>
                  <m:r>
                    <m:rPr>
                      <m:sty m:val="p"/>
                    </m:rPr>
                    <m:t>,</m:t>
                  </m:r>
                  <m:r>
                    <m:t>g</m:t>
                  </m:r>
                  <m:r>
                    <m:rPr>
                      <m:sty m:val="p"/>
                    </m:rPr>
                    <m:t>,</m:t>
                  </m:r>
                  <m:r>
                    <m:t>j</m:t>
                  </m:r>
                </m:sub>
              </m:sSub>
            </m:oMath>
            <w:r>
              <w:t xml:space="preserve">​</w:t>
            </w:r>
          </w:p>
        </w:tc>
        <w:tc>
          <w:tcPr/>
          <w:p>
            <w:pPr>
              <w:pStyle w:val="Compact"/>
            </w:pPr>
            <w:r>
              <w:t xml:space="preserve">Referenz-BGF der Nutzung/Geschoßklasse im Bin</w:t>
            </w:r>
          </w:p>
        </w:tc>
        <w:tc>
          <w:tcPr/>
          <w:p>
            <w:pPr>
              <w:pStyle w:val="Compact"/>
            </w:pPr>
            <w:r>
              <w:t xml:space="preserve">m² BGF</w:t>
            </w:r>
          </w:p>
        </w:tc>
      </w:tr>
      <w:tr>
        <w:tc>
          <w:tcPr/>
          <w:p>
            <w:pPr>
              <w:pStyle w:val="Compact"/>
            </w:pPr>
            <m:oMath>
              <m:sSub>
                <m:e>
                  <m:r>
                    <m:t>z</m:t>
                  </m:r>
                </m:e>
                <m:sub>
                  <m:r>
                    <m:t>u</m:t>
                  </m:r>
                  <m:r>
                    <m:rPr>
                      <m:sty m:val="p"/>
                    </m:rPr>
                    <m:t>,</m:t>
                  </m:r>
                  <m:r>
                    <m:t>g</m:t>
                  </m:r>
                  <m:r>
                    <m:rPr>
                      <m:sty m:val="p"/>
                    </m:rPr>
                    <m:t>,</m:t>
                  </m:r>
                  <m:r>
                    <m:t>k</m:t>
                  </m:r>
                </m:sub>
              </m:sSub>
            </m:oMath>
            <w:r>
              <w:t xml:space="preserve">​</w:t>
            </w:r>
          </w:p>
        </w:tc>
        <w:tc>
          <w:tcPr/>
          <w:p>
            <w:pPr>
              <w:pStyle w:val="Compact"/>
            </w:pPr>
            <w:r>
              <w:t xml:space="preserve">Zuordnungsanteil aus</w:t>
            </w:r>
            <w:r>
              <w:t xml:space="preserve"> </w:t>
            </w:r>
            <w:r>
              <w:rPr>
                <w:rStyle w:val="VerbatimChar"/>
              </w:rPr>
              <w:t xml:space="preserve">zuordnung_gfz</w:t>
            </w:r>
          </w:p>
        </w:tc>
        <w:tc>
          <w:tcPr/>
          <w:p>
            <w:pPr>
              <w:pStyle w:val="Compact"/>
            </w:pPr>
            <w:r>
              <w:t xml:space="preserve">0–1</w:t>
            </w:r>
          </w:p>
        </w:tc>
      </w:tr>
      <w:tr>
        <w:tc>
          <w:tcPr/>
          <w:p>
            <w:pPr>
              <w:pStyle w:val="Compact"/>
            </w:pPr>
            <m:oMath>
              <m:sSub>
                <m:e>
                  <m:r>
                    <m:t>s</m:t>
                  </m:r>
                </m:e>
                <m:sub>
                  <m:r>
                    <m:t>j</m:t>
                  </m:r>
                  <m:r>
                    <m:rPr>
                      <m:sty m:val="p"/>
                    </m:rPr>
                    <m:t>∣</m:t>
                  </m:r>
                  <m:r>
                    <m:t>k</m:t>
                  </m:r>
                </m:sub>
              </m:sSub>
            </m:oMath>
            <w:r>
              <w:t xml:space="preserve">​</w:t>
            </w:r>
          </w:p>
        </w:tc>
        <w:tc>
          <w:tcPr/>
          <w:p>
            <w:pPr>
              <w:pStyle w:val="Compact"/>
            </w:pPr>
            <w:r>
              <w:t xml:space="preserve">Anteil des Bins an der BGF von Typ</w:t>
            </w:r>
            <w:r>
              <w:t xml:space="preserve"> </w:t>
            </w:r>
            <m:oMath>
              <m:r>
                <m:t>k</m:t>
              </m:r>
            </m:oMath>
            <w:r>
              <w:t xml:space="preserve">; Summe über</w:t>
            </w:r>
            <w:r>
              <w:t xml:space="preserve"> </w:t>
            </w:r>
            <m:oMath>
              <m:r>
                <m:t>j</m:t>
              </m:r>
            </m:oMath>
            <w:r>
              <w:t xml:space="preserve"> </w:t>
            </w:r>
            <w:r>
              <w:t xml:space="preserve">= 1</w:t>
            </w:r>
          </w:p>
        </w:tc>
        <w:tc>
          <w:tcPr/>
          <w:p>
            <w:pPr>
              <w:pStyle w:val="Compact"/>
            </w:pPr>
            <w:r>
              <w:t xml:space="preserve">0–1</w:t>
            </w:r>
          </w:p>
        </w:tc>
      </w:tr>
      <w:tr>
        <w:tc>
          <w:tcPr/>
          <w:p>
            <w:pPr>
              <w:pStyle w:val="Compact"/>
            </w:pPr>
            <m:oMath>
              <m:sSub>
                <m:e>
                  <m:r>
                    <m:t>c</m:t>
                  </m:r>
                </m:e>
                <m:sub>
                  <m:r>
                    <m:t>D</m:t>
                  </m:r>
                </m:sub>
              </m:sSub>
              <m:r>
                <m:rPr>
                  <m:sty m:val="p"/>
                </m:rPr>
                <m:t>(</m:t>
              </m:r>
              <m:sSub>
                <m:e>
                  <m:r>
                    <m:t>d</m:t>
                  </m:r>
                </m:e>
                <m:sub>
                  <m:r>
                    <m:t>j</m:t>
                  </m:r>
                </m:sub>
              </m:sSub>
              <m:r>
                <m:rPr>
                  <m:sty m:val="p"/>
                </m:rPr>
                <m:t>)</m:t>
              </m:r>
            </m:oMath>
            <w:r>
              <w:t xml:space="preserve">​</w:t>
            </w:r>
          </w:p>
        </w:tc>
        <w:tc>
          <w:tcPr/>
          <w:p>
            <w:pPr>
              <w:pStyle w:val="Compact"/>
            </w:pPr>
            <w:r>
              <w:t xml:space="preserve">Dichtewert im Bin; positiv = Gutschrift, negativ = Zusatzanforderung</w:t>
            </w:r>
          </w:p>
        </w:tc>
        <w:tc>
          <w:tcPr/>
          <w:p>
            <w:pPr>
              <w:pStyle w:val="Compact"/>
            </w:pPr>
            <w:r>
              <w:t xml:space="preserve">kWh EE/(m² BGF·a)</w:t>
            </w:r>
          </w:p>
        </w:tc>
      </w:tr>
      <w:tr>
        <w:tc>
          <w:tcPr/>
          <w:p>
            <w:pPr>
              <w:pStyle w:val="Compact"/>
            </w:pPr>
            <m:oMath>
              <m:sSub>
                <m:e>
                  <m:r>
                    <m:rPr>
                      <m:scr m:val="double-struck"/>
                      <m:sty m:val="p"/>
                    </m:rPr>
                    <m:t>E</m:t>
                  </m:r>
                </m:e>
                <m:sub>
                  <m:r>
                    <m:t>k</m:t>
                  </m:r>
                </m:sub>
              </m:sSub>
              <m:r>
                <m:rPr>
                  <m:sty m:val="p"/>
                </m:rPr>
                <m:t>[</m:t>
              </m:r>
              <m:sSub>
                <m:e>
                  <m:r>
                    <m:t>c</m:t>
                  </m:r>
                </m:e>
                <m:sub>
                  <m:r>
                    <m:t>D</m:t>
                  </m:r>
                </m:sub>
              </m:sSub>
              <m:r>
                <m:rPr>
                  <m:sty m:val="p"/>
                </m:rPr>
                <m:t>]</m:t>
              </m:r>
            </m:oMath>
            <w:r>
              <w:t xml:space="preserve">​</w:t>
            </w:r>
          </w:p>
        </w:tc>
        <w:tc>
          <w:tcPr/>
          <w:p>
            <w:pPr>
              <w:pStyle w:val="Compact"/>
            </w:pPr>
            <w:r>
              <w:t xml:space="preserve">Mit</w:t>
            </w:r>
            <w:r>
              <w:t xml:space="preserve"> </w:t>
            </w:r>
            <m:oMath>
              <m:sSub>
                <m:e>
                  <m:r>
                    <m:t>s</m:t>
                  </m:r>
                </m:e>
                <m:sub>
                  <m:r>
                    <m:t>j</m:t>
                  </m:r>
                  <m:r>
                    <m:rPr>
                      <m:sty m:val="p"/>
                    </m:rPr>
                    <m:t>∣</m:t>
                  </m:r>
                  <m:r>
                    <m:t>k</m:t>
                  </m:r>
                </m:sub>
              </m:sSub>
            </m:oMath>
            <w:r>
              <w:t xml:space="preserve"> </w:t>
            </w:r>
            <w:r>
              <w:t xml:space="preserve">gewichteter mittlerer Dichtewert des Typs</w:t>
            </w:r>
          </w:p>
        </w:tc>
        <w:tc>
          <w:tcPr/>
          <w:p>
            <w:pPr>
              <w:pStyle w:val="Compact"/>
            </w:pPr>
            <w:r>
              <w:t xml:space="preserve">kWh EE/(m² BGF·a)</w:t>
            </w:r>
          </w:p>
        </w:tc>
      </w:tr>
      <w:tr>
        <w:tc>
          <w:tcPr/>
          <w:p>
            <w:pPr>
              <w:pStyle w:val="Compact"/>
            </w:pPr>
            <m:oMath>
              <m:sSub>
                <m:e>
                  <m:r>
                    <m:t>A</m:t>
                  </m:r>
                </m:e>
                <m:sub>
                  <m:r>
                    <m:t>B</m:t>
                  </m:r>
                  <m:r>
                    <m:t>G</m:t>
                  </m:r>
                  <m:r>
                    <m:t>F</m:t>
                  </m:r>
                  <m:r>
                    <m:rPr>
                      <m:sty m:val="p"/>
                    </m:rPr>
                    <m:t>,</m:t>
                  </m:r>
                  <m:r>
                    <m:t>k</m:t>
                  </m:r>
                </m:sub>
              </m:sSub>
            </m:oMath>
            <w:r>
              <w:t xml:space="preserve">​</w:t>
            </w:r>
          </w:p>
        </w:tc>
        <w:tc>
          <w:tcPr/>
          <w:p>
            <w:pPr>
              <w:pStyle w:val="Compact"/>
            </w:pPr>
            <w:r>
              <w:t xml:space="preserve">Nationale BGF des Typs 2040</w:t>
            </w:r>
          </w:p>
        </w:tc>
        <w:tc>
          <w:tcPr/>
          <w:p>
            <w:pPr>
              <w:pStyle w:val="Compact"/>
            </w:pPr>
            <w:r>
              <w:t xml:space="preserve">m² BGF</w:t>
            </w:r>
          </w:p>
        </w:tc>
      </w:tr>
      <w:tr>
        <w:tc>
          <w:tcPr/>
          <w:p>
            <w:pPr>
              <w:pStyle w:val="Compact"/>
            </w:pPr>
            <m:oMath>
              <m:sSub>
                <m:e>
                  <m:r>
                    <m:t>C</m:t>
                  </m:r>
                </m:e>
                <m:sub>
                  <m:r>
                    <m:t>D</m:t>
                  </m:r>
                  <m:r>
                    <m:rPr>
                      <m:sty m:val="p"/>
                    </m:rPr>
                    <m:t>,</m:t>
                  </m:r>
                  <m:r>
                    <m:t>k</m:t>
                  </m:r>
                </m:sub>
              </m:sSub>
            </m:oMath>
            <w:r>
              <w:t xml:space="preserve">​</w:t>
            </w:r>
          </w:p>
        </w:tc>
        <w:tc>
          <w:tcPr/>
          <w:p>
            <w:pPr>
              <w:pStyle w:val="Compact"/>
            </w:pPr>
            <w:r>
              <w:t xml:space="preserve">Virtueller jährlicher Beitrag des Typs:</w:t>
            </w:r>
            <w:r>
              <w:t xml:space="preserve"> </w:t>
            </w:r>
            <m:oMath>
              <m:sSub>
                <m:e>
                  <m:r>
                    <m:t>A</m:t>
                  </m:r>
                </m:e>
                <m:sub>
                  <m:r>
                    <m:t>B</m:t>
                  </m:r>
                  <m:r>
                    <m:t>G</m:t>
                  </m:r>
                  <m:r>
                    <m:t>F</m:t>
                  </m:r>
                  <m:r>
                    <m:rPr>
                      <m:sty m:val="p"/>
                    </m:rPr>
                    <m:t>,</m:t>
                  </m:r>
                  <m:r>
                    <m:t>k</m:t>
                  </m:r>
                </m:sub>
              </m:sSub>
              <m:sSub>
                <m:e>
                  <m:r>
                    <m:rPr>
                      <m:scr m:val="double-struck"/>
                      <m:sty m:val="p"/>
                    </m:rPr>
                    <m:t>E</m:t>
                  </m:r>
                </m:e>
                <m:sub>
                  <m:r>
                    <m:t>k</m:t>
                  </m:r>
                </m:sub>
              </m:sSub>
              <m:r>
                <m:rPr>
                  <m:sty m:val="p"/>
                </m:rPr>
                <m:t>[</m:t>
              </m:r>
              <m:sSub>
                <m:e>
                  <m:r>
                    <m:t>c</m:t>
                  </m:r>
                </m:e>
                <m:sub>
                  <m:r>
                    <m:t>D</m:t>
                  </m:r>
                </m:sub>
              </m:sSub>
              <m:r>
                <m:rPr>
                  <m:sty m:val="p"/>
                </m:rPr>
                <m:t>]</m:t>
              </m:r>
            </m:oMath>
          </w:p>
        </w:tc>
        <w:tc>
          <w:tcPr/>
          <w:p>
            <w:pPr>
              <w:pStyle w:val="Compact"/>
            </w:pPr>
            <w:r>
              <w:t xml:space="preserve">kWh EE-Äquivalent/a</w:t>
            </w:r>
          </w:p>
        </w:tc>
      </w:tr>
    </w:tbl>
    <w:p>
      <w:pPr>
        <w:pStyle w:val="BodyText"/>
      </w:pPr>
      <w:r>
        <w:rPr>
          <w:b/>
          <w:bCs/>
        </w:rPr>
        <w:t xml:space="preserve">Beispiel EFH_1G:</w:t>
      </w:r>
      <w:r>
        <w:t xml:space="preserve"> </w:t>
      </w:r>
      <w:r>
        <w:t xml:space="preserve">Der mittlere Kontextwert beträgt −41,63 kWh EE/(m² BGF·a).</w:t>
      </w:r>
      <w:r>
        <w:t xml:space="preserve"> </w:t>
      </w:r>
      <w:r>
        <w:t xml:space="preserve">Bei 1 Mio. m² BGF entspricht dies −0,150 PJ-Äquivalent/a. Das negative Vorzeichen</w:t>
      </w:r>
      <w:r>
        <w:t xml:space="preserve"> </w:t>
      </w:r>
      <w:r>
        <w:t xml:space="preserve">erhöht die Anforderung an diese Geometrie; es beschreibt keine zusätzliche Stromlast.</w:t>
      </w:r>
    </w:p>
    <w:bookmarkEnd w:id="527"/>
    <w:bookmarkStart w:id="531" w:name="anwendung-im-vergleichsfall"/>
    <w:p>
      <w:pPr>
        <w:pStyle w:val="Heading3"/>
      </w:pPr>
      <w:r>
        <w:t xml:space="preserve">E.7.2 Anwendung im Vergleichsfall</w:t>
      </w:r>
    </w:p>
    <w:p>
      <w:pPr>
        <w:pStyle w:val="FirstParagraph"/>
      </w:pPr>
      <w:r>
        <w:t xml:space="preserve">Die physische Typenbilanz lautet</w:t>
      </w:r>
      <w:r>
        <w:t xml:space="preserve"> </w:t>
      </w:r>
      <m:oMath>
        <m:sSub>
          <m:e>
            <m:r>
              <m:t>b</m:t>
            </m:r>
          </m:e>
          <m:sub>
            <m:r>
              <m:t>k</m:t>
            </m:r>
          </m:sub>
        </m:sSub>
        <m:r>
          <m:rPr>
            <m:sty m:val="p"/>
          </m:rPr>
          <m:t>=</m:t>
        </m:r>
        <m:r>
          <m:t>r</m:t>
        </m:r>
        <m:r>
          <m:rPr>
            <m:sty m:val="p"/>
          </m:rPr>
          <m:t>(</m:t>
        </m:r>
        <m:sSub>
          <m:e>
            <m:r>
              <m:t>e</m:t>
            </m:r>
          </m:e>
          <m:sub>
            <m:r>
              <m:t>P</m:t>
            </m:r>
            <m:r>
              <m:t>V</m:t>
            </m:r>
            <m:r>
              <m:rPr>
                <m:sty m:val="p"/>
              </m:rPr>
              <m:t>,</m:t>
            </m:r>
            <m:r>
              <m:t>k</m:t>
            </m:r>
          </m:sub>
        </m:sSub>
        <m:r>
          <m:rPr>
            <m:sty m:val="p"/>
          </m:rPr>
          <m:t>−</m:t>
        </m:r>
        <m:sSub>
          <m:e>
            <m:r>
              <m:t>e</m:t>
            </m:r>
          </m:e>
          <m:sub>
            <m:r>
              <m:t>e</m:t>
            </m:r>
            <m:r>
              <m:t>l</m:t>
            </m:r>
            <m:r>
              <m:rPr>
                <m:sty m:val="p"/>
              </m:rPr>
              <m:t>,</m:t>
            </m:r>
            <m:r>
              <m:t>k</m:t>
            </m:r>
          </m:sub>
        </m:sSub>
        <m:r>
          <m:rPr>
            <m:sty m:val="p"/>
          </m:rPr>
          <m:t>)</m:t>
        </m:r>
      </m:oMath>
      <w:r>
        <w:t xml:space="preserve"> </w:t>
      </w:r>
      <w:r>
        <w:t xml:space="preserve">je m² BGF.</w:t>
      </w:r>
      <w:r>
        <w:t xml:space="preserve"> </w:t>
      </w:r>
      <w:r>
        <w:t xml:space="preserve">Der Vergleichsfall ergänzt sie zu</w:t>
      </w:r>
      <w:r>
        <w:t xml:space="preserve"> </w:t>
      </w:r>
      <m:oMath>
        <m:sSub>
          <m:e>
            <m:r>
              <m:t>b</m:t>
            </m:r>
          </m:e>
          <m:sub>
            <m:r>
              <m:t>k</m:t>
            </m:r>
            <m:r>
              <m:rPr>
                <m:sty m:val="p"/>
              </m:rPr>
              <m:t>,</m:t>
            </m:r>
            <m:r>
              <m:t>D</m:t>
            </m:r>
          </m:sub>
        </m:sSub>
        <m:r>
          <m:rPr>
            <m:sty m:val="p"/>
          </m:rPr>
          <m:t>=</m:t>
        </m:r>
        <m:sSub>
          <m:e>
            <m:r>
              <m:t>b</m:t>
            </m:r>
          </m:e>
          <m:sub>
            <m:r>
              <m:t>k</m:t>
            </m:r>
          </m:sub>
        </m:sSub>
        <m:r>
          <m:rPr>
            <m:sty m:val="p"/>
          </m:rPr>
          <m:t>+</m:t>
        </m:r>
        <m:sSub>
          <m:e>
            <m:r>
              <m:rPr>
                <m:scr m:val="double-struck"/>
                <m:sty m:val="p"/>
              </m:rPr>
              <m:t>E</m:t>
            </m:r>
          </m:e>
          <m:sub>
            <m:r>
              <m:t>k</m:t>
            </m:r>
          </m:sub>
        </m:sSub>
        <m:r>
          <m:rPr>
            <m:sty m:val="p"/>
          </m:rPr>
          <m:t>[</m:t>
        </m:r>
        <m:sSub>
          <m:e>
            <m:r>
              <m:t>c</m:t>
            </m:r>
          </m:e>
          <m:sub>
            <m:r>
              <m:t>D</m:t>
            </m:r>
          </m:sub>
        </m:sSub>
        <m:r>
          <m:rPr>
            <m:sty m:val="p"/>
          </m:rPr>
          <m:t>]</m:t>
        </m:r>
      </m:oMath>
      <w:r>
        <w:t xml:space="preserve">.</w:t>
      </w:r>
      <w:r>
        <w:t xml:space="preserve"> </w:t>
      </w:r>
      <w:r>
        <w:t xml:space="preserve">Damit gilt national:</w:t>
      </w:r>
    </w:p>
    <w:p>
      <w:pPr>
        <w:pStyle w:val="BodyText"/>
      </w:pPr>
      <m:oMathPara>
        <m:oMathParaPr>
          <m:jc m:val="center"/>
        </m:oMathParaPr>
        <m:oMath>
          <m:sSub>
            <m:e>
              <m:r>
                <m:t>B</m:t>
              </m:r>
            </m:e>
            <m:sub>
              <m:r>
                <m:t>D</m:t>
              </m:r>
            </m:sub>
          </m:sSub>
          <m:r>
            <m:rPr>
              <m:sty m:val="p"/>
            </m:rPr>
            <m:t>=</m:t>
          </m:r>
          <m:sSub>
            <m:e>
              <m:r>
                <m:t>B</m:t>
              </m:r>
            </m:e>
            <m:sub>
              <m:r>
                <m:t>p</m:t>
              </m:r>
              <m:r>
                <m:t>h</m:t>
              </m:r>
              <m:r>
                <m:t>y</m:t>
              </m:r>
              <m:r>
                <m:t>s</m:t>
              </m:r>
            </m:sub>
          </m:sSub>
          <m:r>
            <m:rPr>
              <m:sty m:val="p"/>
            </m:rPr>
            <m:t>+</m:t>
          </m:r>
          <m:sSub>
            <m:e>
              <m:r>
                <m:t>C</m:t>
              </m:r>
            </m:e>
            <m:sub>
              <m:r>
                <m:t>D</m:t>
              </m:r>
            </m:sub>
          </m:sSub>
          <m:r>
            <m:rPr>
              <m:sty m:val="p"/>
            </m:rPr>
            <m:t>,</m:t>
          </m:r>
          <m:r>
            <m:t>  </m:t>
          </m:r>
          <m:sSub>
            <m:e>
              <m:r>
                <m:t>C</m:t>
              </m:r>
            </m:e>
            <m:sub>
              <m:r>
                <m:t>D</m:t>
              </m:r>
            </m:sub>
          </m:sSub>
          <m:r>
            <m:rPr>
              <m:sty m:val="p"/>
            </m:rPr>
            <m:t>=</m:t>
          </m:r>
          <m:nary>
            <m:naryPr>
              <m:chr m:val="∑"/>
              <m:limLoc m:val="undOvr"/>
              <m:subHide m:val="off"/>
              <m:supHide m:val="on"/>
            </m:naryPr>
            <m:sub>
              <m:r>
                <m:t>k</m:t>
              </m:r>
            </m:sub>
            <m:sup>
              <m:r>
                <m:t>​</m:t>
              </m:r>
            </m:sup>
            <m:e>
              <m:sSub>
                <m:e>
                  <m:r>
                    <m:t>A</m:t>
                  </m:r>
                </m:e>
                <m:sub>
                  <m:r>
                    <m:t>B</m:t>
                  </m:r>
                  <m:r>
                    <m:t>G</m:t>
                  </m:r>
                  <m:r>
                    <m:t>F</m:t>
                  </m:r>
                  <m:r>
                    <m:rPr>
                      <m:sty m:val="p"/>
                    </m:rPr>
                    <m:t>,</m:t>
                  </m:r>
                  <m:r>
                    <m:t>k</m:t>
                  </m:r>
                </m:sub>
              </m:sSub>
            </m:e>
          </m:nary>
          <m:sSub>
            <m:e>
              <m:r>
                <m:rPr>
                  <m:scr m:val="double-struck"/>
                  <m:sty m:val="p"/>
                </m:rPr>
                <m:t>E</m:t>
              </m:r>
            </m:e>
            <m:sub>
              <m:r>
                <m:t>k</m:t>
              </m:r>
            </m:sub>
          </m:sSub>
          <m:r>
            <m:rPr>
              <m:sty m:val="p"/>
            </m:rPr>
            <m:t>[</m:t>
          </m:r>
          <m:sSub>
            <m:e>
              <m:r>
                <m:t>c</m:t>
              </m:r>
            </m:e>
            <m:sub>
              <m:r>
                <m:t>D</m:t>
              </m:r>
            </m:sub>
          </m:sSub>
          <m:r>
            <m:rPr>
              <m:sty m:val="p"/>
            </m:rPr>
            <m:t>]</m:t>
          </m:r>
          <m:r>
            <m:rPr>
              <m:sty m:val="p"/>
            </m:rPr>
            <m:t>.</m:t>
          </m:r>
        </m:oMath>
      </m:oMathPara>
    </w:p>
    <w:p>
      <w:pPr>
        <w:pStyle w:val="FirstParagraph"/>
      </w:pPr>
      <w:r>
        <w:t xml:space="preserve">Die anschließende Grafik zeigt Bedarf, PV und Kontextwert getrennt für</w:t>
      </w:r>
      <w:r>
        <w:t xml:space="preserve"> </w:t>
      </w:r>
      <w:r>
        <w:rPr>
          <w:b/>
          <w:bCs/>
        </w:rPr>
        <w:t xml:space="preserve">alle 900 Typen</w:t>
      </w:r>
      <w:r>
        <w:t xml:space="preserve">.</w:t>
      </w:r>
      <w:r>
        <w:t xml:space="preserve"> </w:t>
      </w:r>
      <w:r>
        <w:t xml:space="preserve">Geometrieauswahl und Achsenregler halten die Darstellung lesbar. Der Tooltip nennt</w:t>
      </w:r>
      <w:r>
        <w:t xml:space="preserve"> </w:t>
      </w:r>
      <w:r>
        <w:t xml:space="preserve">die nationale BGF; Typen mit Nullfläche tragen national nichts bei. Für MFH_2G bleibt</w:t>
      </w:r>
      <w:r>
        <w:t xml:space="preserve"> </w:t>
      </w:r>
      <w:r>
        <w:t xml:space="preserve">der nicht zugeordnete Kontextwert leer.</w:t>
      </w:r>
    </w:p>
    <w:p>
      <w:pPr>
        <w:pStyle w:val="BodyText"/>
      </w:pPr>
      <w:r>
        <w:t xml:space="preserve">Für den nationalen Vergleich wird die historische Formel auf alle positiv gewichteten</w:t>
      </w:r>
      <w:r>
        <w:t xml:space="preserve"> </w:t>
      </w:r>
      <w:r>
        <w:t xml:space="preserve">Flächen angewandt. Das ist eine explizite Bewertungsvariante, keine Festlegung, dass</w:t>
      </w:r>
      <w:r>
        <w:t xml:space="preserve"> </w:t>
      </w:r>
      <w:r>
        <w:t xml:space="preserve">jede Fläche PEQ-berechtigt ist. Eine eingeschränkte Anwendung benötigt typenspezifische</w:t>
      </w:r>
      <w:r>
        <w:t xml:space="preserve"> </w:t>
      </w:r>
      <w:r>
        <w:t xml:space="preserve">PEQ-Anteile. Die physischen Kennwerte und die PE-Bilanz werden durch diese Variante</w:t>
      </w:r>
      <w:r>
        <w:t xml:space="preserve"> </w:t>
      </w:r>
      <w:r>
        <w:t xml:space="preserve">nicht verändert.</w:t>
      </w:r>
    </w:p>
    <w:p>
      <w:pPr>
        <w:pStyle w:val="SourceCode"/>
      </w:pPr>
      <w:r>
        <w:rPr>
          <w:rStyle w:val="NormalTok"/>
        </w:rPr>
        <w:t xml:space="preserve">mapping</w:t>
      </w:r>
      <w:r>
        <w:rPr>
          <w:rStyle w:val="OperatorTok"/>
        </w:rPr>
        <w:t xml:space="preserve">=</w:t>
      </w:r>
      <w:r>
        <w:rPr>
          <w:rStyle w:val="NormalTok"/>
        </w:rPr>
        <w:t xml:space="preserve">inputs[</w:t>
      </w:r>
      <w:r>
        <w:rPr>
          <w:rStyle w:val="StringTok"/>
        </w:rPr>
        <w:t xml:space="preserve">'GFZ_Zuordnung'</w:t>
      </w:r>
      <w:r>
        <w:rPr>
          <w:rStyle w:val="NormalTok"/>
        </w:rPr>
        <w:t xml:space="preserve">].copy()</w:t>
      </w:r>
      <w:r>
        <w:br/>
      </w:r>
      <w:r>
        <w:rPr>
          <w:rStyle w:val="NormalTok"/>
        </w:rPr>
        <w:t xml:space="preserve">use_map</w:t>
      </w:r>
      <w:r>
        <w:rPr>
          <w:rStyle w:val="OperatorTok"/>
        </w:rPr>
        <w:t xml:space="preserve">=</w:t>
      </w:r>
      <w:r>
        <w:rPr>
          <w:rStyle w:val="NormalTok"/>
        </w:rPr>
        <w:t xml:space="preserve">{</w:t>
      </w:r>
      <w:r>
        <w:rPr>
          <w:rStyle w:val="StringTok"/>
        </w:rPr>
        <w:t xml:space="preserve">'Gebäude für Gemeinschaften'</w:t>
      </w:r>
      <w:r>
        <w:rPr>
          <w:rStyle w:val="NormalTok"/>
        </w:rPr>
        <w:t xml:space="preserve">:</w:t>
      </w:r>
      <w:r>
        <w:rPr>
          <w:rStyle w:val="StringTok"/>
        </w:rPr>
        <w:t xml:space="preserve">'Gemeinschaftsgebäude'</w:t>
      </w:r>
      <w:r>
        <w:rPr>
          <w:rStyle w:val="NormalTok"/>
        </w:rPr>
        <w:t xml:space="preserve">,</w:t>
      </w:r>
      <w:r>
        <w:rPr>
          <w:rStyle w:val="StringTok"/>
        </w:rPr>
        <w:t xml:space="preserve">'Hotels und ähnliche Gebäude'</w:t>
      </w:r>
      <w:r>
        <w:rPr>
          <w:rStyle w:val="NormalTok"/>
        </w:rPr>
        <w:t xml:space="preserve">:</w:t>
      </w:r>
      <w:r>
        <w:rPr>
          <w:rStyle w:val="StringTok"/>
        </w:rPr>
        <w:t xml:space="preserve">'Hotels o.Ä.'</w:t>
      </w:r>
      <w:r>
        <w:rPr>
          <w:rStyle w:val="NormalTok"/>
        </w:rPr>
        <w:t xml:space="preserve">,</w:t>
      </w:r>
      <w:r>
        <w:br/>
      </w:r>
      <w:r>
        <w:rPr>
          <w:rStyle w:val="NormalTok"/>
        </w:rPr>
        <w:t xml:space="preserve"> </w:t>
      </w:r>
      <w:r>
        <w:rPr>
          <w:rStyle w:val="StringTok"/>
        </w:rPr>
        <w:t xml:space="preserve">'Bürogebäude'</w:t>
      </w:r>
      <w:r>
        <w:rPr>
          <w:rStyle w:val="NormalTok"/>
        </w:rPr>
        <w:t xml:space="preserve">:</w:t>
      </w:r>
      <w:r>
        <w:rPr>
          <w:rStyle w:val="StringTok"/>
        </w:rPr>
        <w:t xml:space="preserve">'Büronutzung'</w:t>
      </w:r>
      <w:r>
        <w:rPr>
          <w:rStyle w:val="NormalTok"/>
        </w:rPr>
        <w:t xml:space="preserve">,</w:t>
      </w:r>
      <w:r>
        <w:rPr>
          <w:rStyle w:val="StringTok"/>
        </w:rPr>
        <w:t xml:space="preserve">'Groß- und Einzelhandelsgebäude'</w:t>
      </w:r>
      <w:r>
        <w:rPr>
          <w:rStyle w:val="NormalTok"/>
        </w:rPr>
        <w:t xml:space="preserve">:</w:t>
      </w:r>
      <w:r>
        <w:rPr>
          <w:rStyle w:val="StringTok"/>
        </w:rPr>
        <w:t xml:space="preserve">'Groß- und Einzelhandelsgebäude'</w:t>
      </w:r>
      <w:r>
        <w:rPr>
          <w:rStyle w:val="NormalTok"/>
        </w:rPr>
        <w:t xml:space="preserve">,</w:t>
      </w:r>
      <w:r>
        <w:br/>
      </w:r>
      <w:r>
        <w:rPr>
          <w:rStyle w:val="NormalTok"/>
        </w:rPr>
        <w:t xml:space="preserve"> </w:t>
      </w:r>
      <w:r>
        <w:rPr>
          <w:rStyle w:val="StringTok"/>
        </w:rPr>
        <w:t xml:space="preserve">'Gebäude des Verkehrs- und Nachrichtenwesens'</w:t>
      </w:r>
      <w:r>
        <w:rPr>
          <w:rStyle w:val="NormalTok"/>
        </w:rPr>
        <w:t xml:space="preserve">:</w:t>
      </w:r>
      <w:r>
        <w:rPr>
          <w:rStyle w:val="StringTok"/>
        </w:rPr>
        <w:t xml:space="preserve">'Verkehrs- und Nachrichtenwesen'</w:t>
      </w:r>
      <w:r>
        <w:rPr>
          <w:rStyle w:val="NormalTok"/>
        </w:rPr>
        <w:t xml:space="preserve">,</w:t>
      </w:r>
      <w:r>
        <w:rPr>
          <w:rStyle w:val="StringTok"/>
        </w:rPr>
        <w:t xml:space="preserve">'Industrie- und Lagergebäude'</w:t>
      </w:r>
      <w:r>
        <w:rPr>
          <w:rStyle w:val="NormalTok"/>
        </w:rPr>
        <w:t xml:space="preserve">:</w:t>
      </w:r>
      <w:r>
        <w:rPr>
          <w:rStyle w:val="StringTok"/>
        </w:rPr>
        <w:t xml:space="preserve">'Industrie und Lagerung'</w:t>
      </w:r>
      <w:r>
        <w:rPr>
          <w:rStyle w:val="NormalTok"/>
        </w:rPr>
        <w:t xml:space="preserve">,</w:t>
      </w:r>
      <w:r>
        <w:br/>
      </w:r>
      <w:r>
        <w:rPr>
          <w:rStyle w:val="NormalTok"/>
        </w:rPr>
        <w:t xml:space="preserve"> </w:t>
      </w:r>
      <w:r>
        <w:rPr>
          <w:rStyle w:val="StringTok"/>
        </w:rPr>
        <w:t xml:space="preserve">'Gebäude für Kultur- und Freizeitzwecke sowie des Bildungs- und Gesundheitswesens'</w:t>
      </w:r>
      <w:r>
        <w:rPr>
          <w:rStyle w:val="NormalTok"/>
        </w:rPr>
        <w:t xml:space="preserve">:</w:t>
      </w:r>
      <w:r>
        <w:rPr>
          <w:rStyle w:val="StringTok"/>
        </w:rPr>
        <w:t xml:space="preserve">'Kultur, Freizeit, Bildung und Gesundheit'</w:t>
      </w:r>
      <w:r>
        <w:rPr>
          <w:rStyle w:val="NormalTok"/>
        </w:rPr>
        <w:t xml:space="preserve">,</w:t>
      </w:r>
      <w:r>
        <w:br/>
      </w:r>
      <w:r>
        <w:rPr>
          <w:rStyle w:val="NormalTok"/>
        </w:rPr>
        <w:t xml:space="preserve"> </w:t>
      </w:r>
      <w:r>
        <w:rPr>
          <w:rStyle w:val="StringTok"/>
        </w:rPr>
        <w:t xml:space="preserve">'Wohngebäude mit einer Wohnung'</w:t>
      </w:r>
      <w:r>
        <w:rPr>
          <w:rStyle w:val="NormalTok"/>
        </w:rPr>
        <w:t xml:space="preserve">:</w:t>
      </w:r>
      <w:r>
        <w:rPr>
          <w:rStyle w:val="StringTok"/>
        </w:rPr>
        <w:t xml:space="preserve">'Ein- und Zweifamilienhäuser'</w:t>
      </w:r>
      <w:r>
        <w:rPr>
          <w:rStyle w:val="NormalTok"/>
        </w:rPr>
        <w:t xml:space="preserve">,</w:t>
      </w:r>
      <w:r>
        <w:rPr>
          <w:rStyle w:val="StringTok"/>
        </w:rPr>
        <w:t xml:space="preserve">'Wohngebäude mit zwei Wohnungen'</w:t>
      </w:r>
      <w:r>
        <w:rPr>
          <w:rStyle w:val="NormalTok"/>
        </w:rPr>
        <w:t xml:space="preserve">:</w:t>
      </w:r>
      <w:r>
        <w:rPr>
          <w:rStyle w:val="StringTok"/>
        </w:rPr>
        <w:t xml:space="preserve">'Ein- und Zweifamilienhäuser'</w:t>
      </w:r>
      <w:r>
        <w:rPr>
          <w:rStyle w:val="NormalTok"/>
        </w:rPr>
        <w:t xml:space="preserve">,</w:t>
      </w:r>
      <w:r>
        <w:br/>
      </w:r>
      <w:r>
        <w:rPr>
          <w:rStyle w:val="NormalTok"/>
        </w:rPr>
        <w:t xml:space="preserve"> </w:t>
      </w:r>
      <w:r>
        <w:rPr>
          <w:rStyle w:val="StringTok"/>
        </w:rPr>
        <w:t xml:space="preserve">'Wohngebäude mit drei und mehr Wohnungen'</w:t>
      </w:r>
      <w:r>
        <w:rPr>
          <w:rStyle w:val="NormalTok"/>
        </w:rPr>
        <w:t xml:space="preserve">:</w:t>
      </w:r>
      <w:r>
        <w:rPr>
          <w:rStyle w:val="StringTok"/>
        </w:rPr>
        <w:t xml:space="preserve">'Mehrfamilienhaus'</w:t>
      </w:r>
      <w:r>
        <w:rPr>
          <w:rStyle w:val="NormalTok"/>
        </w:rPr>
        <w:t xml:space="preserve">}</w:t>
      </w:r>
      <w:r>
        <w:br/>
      </w:r>
      <w:r>
        <w:rPr>
          <w:rStyle w:val="NormalTok"/>
        </w:rPr>
        <w:t xml:space="preserve">mapping[</w:t>
      </w:r>
      <w:r>
        <w:rPr>
          <w:rStyle w:val="StringTok"/>
        </w:rPr>
        <w:t xml:space="preserve">'GWR_Nutzung'</w:t>
      </w:r>
      <w:r>
        <w:rPr>
          <w:rStyle w:val="NormalTok"/>
        </w:rPr>
        <w:t xml:space="preserve">]</w:t>
      </w:r>
      <w:r>
        <w:rPr>
          <w:rStyle w:val="OperatorTok"/>
        </w:rPr>
        <w:t xml:space="preserve">=</w:t>
      </w:r>
      <w:r>
        <w:rPr>
          <w:rStyle w:val="NormalTok"/>
        </w:rPr>
        <w:t xml:space="preserve">mapping.Nutzung.</w:t>
      </w:r>
      <w:r>
        <w:rPr>
          <w:rStyle w:val="BuiltInTok"/>
        </w:rPr>
        <w:t xml:space="preserve">map</w:t>
      </w:r>
      <w:r>
        <w:rPr>
          <w:rStyle w:val="NormalTok"/>
        </w:rPr>
        <w:t xml:space="preserve">(use_map)</w:t>
      </w:r>
      <w:r>
        <w:rPr>
          <w:rStyle w:val="OperatorTok"/>
        </w:rPr>
        <w:t xml:space="preserve">;</w:t>
      </w:r>
      <w:r>
        <w:rPr>
          <w:rStyle w:val="NormalTok"/>
        </w:rPr>
        <w:t xml:space="preserve"> </w:t>
      </w:r>
      <w:r>
        <w:rPr>
          <w:rStyle w:val="ControlFlowTok"/>
        </w:rPr>
        <w:t xml:space="preserve">assert</w:t>
      </w:r>
      <w:r>
        <w:rPr>
          <w:rStyle w:val="NormalTok"/>
        </w:rPr>
        <w:t xml:space="preserve"> mapping.GWR_Nutzung.notna().</w:t>
      </w:r>
      <w:r>
        <w:rPr>
          <w:rStyle w:val="BuiltInTok"/>
        </w:rPr>
        <w:t xml:space="preserve">all</w:t>
      </w:r>
      <w:r>
        <w:rPr>
          <w:rStyle w:val="NormalTok"/>
        </w:rPr>
        <w:t xml:space="preserve">()</w:t>
      </w:r>
      <w:r>
        <w:br/>
      </w:r>
      <w:r>
        <w:rPr>
          <w:rStyle w:val="NormalTok"/>
        </w:rPr>
        <w:t xml:space="preserve">mapping[</w:t>
      </w:r>
      <w:r>
        <w:rPr>
          <w:rStyle w:val="StringTok"/>
        </w:rPr>
        <w:t xml:space="preserve">'GK'</w:t>
      </w:r>
      <w:r>
        <w:rPr>
          <w:rStyle w:val="NormalTok"/>
        </w:rPr>
        <w:t xml:space="preserve">]</w:t>
      </w:r>
      <w:r>
        <w:rPr>
          <w:rStyle w:val="OperatorTok"/>
        </w:rPr>
        <w:t xml:space="preserve">=</w:t>
      </w:r>
      <w:r>
        <w:rPr>
          <w:rStyle w:val="NormalTok"/>
        </w:rPr>
        <w:t xml:space="preserve">mapping.Geschoss.</w:t>
      </w:r>
      <w:r>
        <w:rPr>
          <w:rStyle w:val="BuiltInTok"/>
        </w:rPr>
        <w:t xml:space="preserve">str</w:t>
      </w:r>
      <w:r>
        <w:rPr>
          <w:rStyle w:val="NormalTok"/>
        </w:rPr>
        <w:t xml:space="preserve">.replace(</w:t>
      </w:r>
      <w:r>
        <w:rPr>
          <w:rStyle w:val="StringTok"/>
        </w:rPr>
        <w:t xml:space="preserve">' Geschoße'</w:t>
      </w:r>
      <w:r>
        <w:rPr>
          <w:rStyle w:val="NormalTok"/>
        </w:rPr>
        <w:t xml:space="preserve">,</w:t>
      </w:r>
      <w:r>
        <w:rPr>
          <w:rStyle w:val="StringTok"/>
        </w:rPr>
        <w:t xml:space="preserve">''</w:t>
      </w:r>
      <w:r>
        <w:rPr>
          <w:rStyle w:val="NormalTok"/>
        </w:rPr>
        <w:t xml:space="preserve">,regex</w:t>
      </w:r>
      <w:r>
        <w:rPr>
          <w:rStyle w:val="OperatorTok"/>
        </w:rPr>
        <w:t xml:space="preserve">=</w:t>
      </w:r>
      <w:r>
        <w:rPr>
          <w:rStyle w:val="VariableTok"/>
        </w:rPr>
        <w:t xml:space="preserve">False</w:t>
      </w:r>
      <w:r>
        <w:rPr>
          <w:rStyle w:val="NormalTok"/>
        </w:rPr>
        <w:t xml:space="preserve">).</w:t>
      </w:r>
      <w:r>
        <w:rPr>
          <w:rStyle w:val="BuiltInTok"/>
        </w:rPr>
        <w:t xml:space="preserve">str</w:t>
      </w:r>
      <w:r>
        <w:rPr>
          <w:rStyle w:val="NormalTok"/>
        </w:rPr>
        <w:t xml:space="preserve">.replace(</w:t>
      </w:r>
      <w:r>
        <w:rPr>
          <w:rStyle w:val="StringTok"/>
        </w:rPr>
        <w:t xml:space="preserve">' Geschoß'</w:t>
      </w:r>
      <w:r>
        <w:rPr>
          <w:rStyle w:val="NormalTok"/>
        </w:rPr>
        <w:t xml:space="preserve">,</w:t>
      </w:r>
      <w:r>
        <w:rPr>
          <w:rStyle w:val="StringTok"/>
        </w:rPr>
        <w:t xml:space="preserve">''</w:t>
      </w:r>
      <w:r>
        <w:rPr>
          <w:rStyle w:val="NormalTok"/>
        </w:rPr>
        <w:t xml:space="preserve">,regex</w:t>
      </w:r>
      <w:r>
        <w:rPr>
          <w:rStyle w:val="OperatorTok"/>
        </w:rPr>
        <w:t xml:space="preserve">=</w:t>
      </w:r>
      <w:r>
        <w:rPr>
          <w:rStyle w:val="VariableTok"/>
        </w:rPr>
        <w:t xml:space="preserve">False</w:t>
      </w:r>
      <w:r>
        <w:rPr>
          <w:rStyle w:val="NormalTok"/>
        </w:rPr>
        <w:t xml:space="preserve">).replace({</w:t>
      </w:r>
      <w:r>
        <w:rPr>
          <w:rStyle w:val="StringTok"/>
        </w:rPr>
        <w:t xml:space="preserve">'6 bis 10'</w:t>
      </w:r>
      <w:r>
        <w:rPr>
          <w:rStyle w:val="NormalTok"/>
        </w:rPr>
        <w:t xml:space="preserve">:</w:t>
      </w:r>
      <w:r>
        <w:rPr>
          <w:rStyle w:val="StringTok"/>
        </w:rPr>
        <w:t xml:space="preserve">'6-10'</w:t>
      </w:r>
      <w:r>
        <w:rPr>
          <w:rStyle w:val="NormalTok"/>
        </w:rPr>
        <w:t xml:space="preserve">,</w:t>
      </w:r>
      <w:r>
        <w:rPr>
          <w:rStyle w:val="StringTok"/>
        </w:rPr>
        <w:t xml:space="preserve">'11 und mehr'</w:t>
      </w:r>
      <w:r>
        <w:rPr>
          <w:rStyle w:val="NormalTok"/>
        </w:rPr>
        <w:t xml:space="preserve">:</w:t>
      </w:r>
      <w:r>
        <w:rPr>
          <w:rStyle w:val="StringTok"/>
        </w:rPr>
        <w:t xml:space="preserve">'11+'</w:t>
      </w:r>
      <w:r>
        <w:rPr>
          <w:rStyle w:val="NormalTok"/>
        </w:rPr>
        <w:t xml:space="preserve">})</w:t>
      </w:r>
      <w:r>
        <w:br/>
      </w:r>
      <w:r>
        <w:rPr>
          <w:rStyle w:val="NormalTok"/>
        </w:rPr>
        <w:t xml:space="preserve">mapping[</w:t>
      </w:r>
      <w:r>
        <w:rPr>
          <w:rStyle w:val="StringTok"/>
        </w:rPr>
        <w:t xml:space="preserve">'Einzelziel_ergänzt'</w:t>
      </w:r>
      <w:r>
        <w:rPr>
          <w:rStyle w:val="NormalTok"/>
        </w:rPr>
        <w:t xml:space="preserve">]</w:t>
      </w:r>
      <w:r>
        <w:rPr>
          <w:rStyle w:val="OperatorTok"/>
        </w:rPr>
        <w:t xml:space="preserve">=</w:t>
      </w:r>
      <w:r>
        <w:rPr>
          <w:rStyle w:val="NormalTok"/>
        </w:rPr>
        <w:t xml:space="preserve">mapping.Anteil1.isna() </w:t>
      </w:r>
      <w:r>
        <w:rPr>
          <w:rStyle w:val="OperatorTok"/>
        </w:rPr>
        <w:t xml:space="preserve">&amp;</w:t>
      </w:r>
      <w:r>
        <w:rPr>
          <w:rStyle w:val="NormalTok"/>
        </w:rPr>
        <w:t xml:space="preserve"> mapping.Archetype1.notna() </w:t>
      </w:r>
      <w:r>
        <w:rPr>
          <w:rStyle w:val="OperatorTok"/>
        </w:rPr>
        <w:t xml:space="preserve">&amp;</w:t>
      </w:r>
      <w:r>
        <w:rPr>
          <w:rStyle w:val="NormalTok"/>
        </w:rPr>
        <w:t xml:space="preserve"> mapping.Archetype2.isna()</w:t>
      </w:r>
      <w:r>
        <w:br/>
      </w:r>
      <w:r>
        <w:rPr>
          <w:rStyle w:val="ControlFlowTok"/>
        </w:rPr>
        <w:t xml:space="preserve">if</w:t>
      </w:r>
      <w:r>
        <w:rPr>
          <w:rStyle w:val="NormalTok"/>
        </w:rPr>
        <w:t xml:space="preserve"> params[</w:t>
      </w:r>
      <w:r>
        <w:rPr>
          <w:rStyle w:val="StringTok"/>
        </w:rPr>
        <w:t xml:space="preserve">'single_target_missing_share'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mapping.loc[mapping[</w:t>
      </w:r>
      <w:r>
        <w:rPr>
          <w:rStyle w:val="StringTok"/>
        </w:rPr>
        <w:t xml:space="preserve">'Einzelziel_ergänzt'</w:t>
      </w:r>
      <w:r>
        <w:rPr>
          <w:rStyle w:val="NormalTok"/>
        </w:rPr>
        <w:t xml:space="preserve">],</w:t>
      </w:r>
      <w:r>
        <w:rPr>
          <w:rStyle w:val="StringTok"/>
        </w:rPr>
        <w:t xml:space="preserve">'Anteil1'</w:t>
      </w:r>
      <w:r>
        <w:rPr>
          <w:rStyle w:val="NormalTok"/>
        </w:rPr>
        <w:t xml:space="preserve">]</w:t>
      </w:r>
      <w:r>
        <w:rPr>
          <w:rStyle w:val="OperatorTok"/>
        </w:rPr>
        <w:t xml:space="preserve">=</w:t>
      </w:r>
      <w:r>
        <w:rPr>
          <w:rStyle w:val="FloatTok"/>
        </w:rPr>
        <w:t xml:space="preserve">1.0</w:t>
      </w:r>
      <w:r>
        <w:br/>
      </w:r>
      <w:r>
        <w:rPr>
          <w:rStyle w:val="NormalTok"/>
        </w:rPr>
        <w:t xml:space="preserve">mapping.to_csv(OUT</w:t>
      </w:r>
      <w:r>
        <w:rPr>
          <w:rStyle w:val="OperatorTok"/>
        </w:rPr>
        <w:t xml:space="preserve">/</w:t>
      </w:r>
      <w:r>
        <w:rPr>
          <w:rStyle w:val="StringTok"/>
        </w:rPr>
        <w:t xml:space="preserve">'gfz_zuordnung_audit.csv'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CommentTok"/>
        </w:rPr>
        <w:t xml:space="preserve"># Doppelte Statistiknutzungen nur zusammenführen, wenn ihre Regeln identisch sind.</w:t>
      </w:r>
      <w:r>
        <w:br/>
      </w:r>
      <w:r>
        <w:rPr>
          <w:rStyle w:val="ControlFlowTok"/>
        </w:rPr>
        <w:t xml:space="preserve">for</w:t>
      </w:r>
      <w:r>
        <w:rPr>
          <w:rStyle w:val="NormalTok"/>
        </w:rPr>
        <w:t xml:space="preserve"> key,group </w:t>
      </w:r>
      <w:r>
        <w:rPr>
          <w:rStyle w:val="KeywordTok"/>
        </w:rPr>
        <w:t xml:space="preserve">in</w:t>
      </w:r>
      <w:r>
        <w:rPr>
          <w:rStyle w:val="NormalTok"/>
        </w:rPr>
        <w:t xml:space="preserve"> mapping.groupby([</w:t>
      </w:r>
      <w:r>
        <w:rPr>
          <w:rStyle w:val="StringTok"/>
        </w:rPr>
        <w:t xml:space="preserve">'GWR_Nutzung'</w:t>
      </w:r>
      <w:r>
        <w:rPr>
          <w:rStyle w:val="NormalTok"/>
        </w:rPr>
        <w:t xml:space="preserve">,</w:t>
      </w:r>
      <w:r>
        <w:rPr>
          <w:rStyle w:val="StringTok"/>
        </w:rPr>
        <w:t xml:space="preserve">'GK'</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(group[[</w:t>
      </w:r>
      <w:r>
        <w:rPr>
          <w:rStyle w:val="StringTok"/>
        </w:rPr>
        <w:t xml:space="preserve">'Anteil1'</w:t>
      </w:r>
      <w:r>
        <w:rPr>
          <w:rStyle w:val="NormalTok"/>
        </w:rPr>
        <w:t xml:space="preserve">,</w:t>
      </w:r>
      <w:r>
        <w:rPr>
          <w:rStyle w:val="StringTok"/>
        </w:rPr>
        <w:t xml:space="preserve">'Archetype1'</w:t>
      </w:r>
      <w:r>
        <w:rPr>
          <w:rStyle w:val="NormalTok"/>
        </w:rPr>
        <w:t xml:space="preserve">,</w:t>
      </w:r>
      <w:r>
        <w:rPr>
          <w:rStyle w:val="StringTok"/>
        </w:rPr>
        <w:t xml:space="preserve">'Anteil2'</w:t>
      </w:r>
      <w:r>
        <w:rPr>
          <w:rStyle w:val="NormalTok"/>
        </w:rPr>
        <w:t xml:space="preserve">,</w:t>
      </w:r>
      <w:r>
        <w:rPr>
          <w:rStyle w:val="StringTok"/>
        </w:rPr>
        <w:t xml:space="preserve">'Archetype2'</w:t>
      </w:r>
      <w:r>
        <w:rPr>
          <w:rStyle w:val="NormalTok"/>
        </w:rPr>
        <w:t xml:space="preserve">]].drop_duplicates())</w:t>
      </w:r>
      <w:r>
        <w:rPr>
          <w:rStyle w:val="OperatorTok"/>
        </w:rPr>
        <w:t xml:space="preserve">==</w:t>
      </w:r>
      <w:r>
        <w:rPr>
          <w:rStyle w:val="DecValTok"/>
        </w:rPr>
        <w:t xml:space="preserve">1</w:t>
      </w:r>
      <w:r>
        <w:rPr>
          <w:rStyle w:val="NormalTok"/>
        </w:rPr>
        <w:t xml:space="preserve">,key</w:t>
      </w:r>
      <w:r>
        <w:br/>
      </w:r>
      <w:r>
        <w:rPr>
          <w:rStyle w:val="NormalTok"/>
        </w:rPr>
        <w:t xml:space="preserve">unique</w:t>
      </w:r>
      <w:r>
        <w:rPr>
          <w:rStyle w:val="OperatorTok"/>
        </w:rPr>
        <w:t xml:space="preserve">=</w:t>
      </w:r>
      <w:r>
        <w:rPr>
          <w:rStyle w:val="NormalTok"/>
        </w:rPr>
        <w:t xml:space="preserve">mapping.drop_duplicates([</w:t>
      </w:r>
      <w:r>
        <w:rPr>
          <w:rStyle w:val="StringTok"/>
        </w:rPr>
        <w:t xml:space="preserve">'GWR_Nutzung'</w:t>
      </w:r>
      <w:r>
        <w:rPr>
          <w:rStyle w:val="NormalTok"/>
        </w:rPr>
        <w:t xml:space="preserve">,</w:t>
      </w:r>
      <w:r>
        <w:rPr>
          <w:rStyle w:val="StringTok"/>
        </w:rPr>
        <w:t xml:space="preserve">'GK'</w:t>
      </w:r>
      <w:r>
        <w:rPr>
          <w:rStyle w:val="NormalTok"/>
        </w:rPr>
        <w:t xml:space="preserve">])</w:t>
      </w:r>
      <w:r>
        <w:br/>
      </w:r>
      <w:r>
        <w:rPr>
          <w:rStyle w:val="BuiltInTok"/>
        </w:rPr>
        <w:t xml:space="preserve">long</w:t>
      </w:r>
      <w:r>
        <w:rPr>
          <w:rStyle w:val="OperatorTok"/>
        </w:rPr>
        <w:t xml:space="preserve">=</w:t>
      </w:r>
      <w:r>
        <w:rPr>
          <w:rStyle w:val="NormalTok"/>
        </w:rPr>
        <w:t xml:space="preserve">[]</w:t>
      </w:r>
      <w:r>
        <w:br/>
      </w:r>
      <w:r>
        <w:rPr>
          <w:rStyle w:val="ControlFlowTok"/>
        </w:rPr>
        <w:t xml:space="preserve">for</w:t>
      </w:r>
      <w:r>
        <w:rPr>
          <w:rStyle w:val="NormalTok"/>
        </w:rPr>
        <w:t xml:space="preserve"> _,row </w:t>
      </w:r>
      <w:r>
        <w:rPr>
          <w:rStyle w:val="KeywordTok"/>
        </w:rPr>
        <w:t xml:space="preserve">in</w:t>
      </w:r>
      <w:r>
        <w:rPr>
          <w:rStyle w:val="NormalTok"/>
        </w:rPr>
        <w:t xml:space="preserve"> unique.iterrows():</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pd.notna(row[</w:t>
      </w:r>
      <w:r>
        <w:rPr>
          <w:rStyle w:val="SpecialStringTok"/>
        </w:rPr>
        <w:t xml:space="preserve">f'Archetype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long</w:t>
      </w:r>
      <w:r>
        <w:rPr>
          <w:rStyle w:val="NormalTok"/>
        </w:rPr>
        <w:t xml:space="preserve">.append({</w:t>
      </w:r>
      <w:r>
        <w:rPr>
          <w:rStyle w:val="StringTok"/>
        </w:rPr>
        <w:t xml:space="preserve">'GWR_Nutzung'</w:t>
      </w:r>
      <w:r>
        <w:rPr>
          <w:rStyle w:val="NormalTok"/>
        </w:rPr>
        <w:t xml:space="preserve">:row.GWR_Nutzung,</w:t>
      </w:r>
      <w:r>
        <w:rPr>
          <w:rStyle w:val="StringTok"/>
        </w:rPr>
        <w:t xml:space="preserve">'GK'</w:t>
      </w:r>
      <w:r>
        <w:rPr>
          <w:rStyle w:val="NormalTok"/>
        </w:rPr>
        <w:t xml:space="preserve">:row.GK,</w:t>
      </w:r>
      <w:r>
        <w:rPr>
          <w:rStyle w:val="StringTok"/>
        </w:rPr>
        <w:t xml:space="preserve">'Geometrie'</w:t>
      </w:r>
      <w:r>
        <w:rPr>
          <w:rStyle w:val="NormalTok"/>
        </w:rPr>
        <w:t xml:space="preserve">:row[</w:t>
      </w:r>
      <w:r>
        <w:rPr>
          <w:rStyle w:val="SpecialStringTok"/>
        </w:rPr>
        <w:t xml:space="preserve">f'Archetype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rPr>
          <w:rStyle w:val="StringTok"/>
        </w:rPr>
        <w:t xml:space="preserve">'Anteil'</w:t>
      </w:r>
      <w:r>
        <w:rPr>
          <w:rStyle w:val="NormalTok"/>
        </w:rPr>
        <w:t xml:space="preserve">:row[</w:t>
      </w:r>
      <w:r>
        <w:rPr>
          <w:rStyle w:val="SpecialStringTok"/>
        </w:rPr>
        <w:t xml:space="preserve">f'Anteil</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links</w:t>
      </w:r>
      <w:r>
        <w:rPr>
          <w:rStyle w:val="OperatorTok"/>
        </w:rPr>
        <w:t xml:space="preserve">=</w:t>
      </w:r>
      <w:r>
        <w:rPr>
          <w:rStyle w:val="NormalTok"/>
        </w:rPr>
        <w:t xml:space="preserve">pd.DataFrame(</w:t>
      </w:r>
      <w:r>
        <w:rPr>
          <w:rStyle w:val="BuiltInTok"/>
        </w:rPr>
        <w:t xml:space="preserve">long</w:t>
      </w:r>
      <w:r>
        <w:rPr>
          <w:rStyle w:val="NormalTok"/>
        </w:rPr>
        <w:t xml:space="preserve">)</w:t>
      </w:r>
      <w:r>
        <w:br/>
      </w:r>
      <w:r>
        <w:rPr>
          <w:rStyle w:val="ControlFlowTok"/>
        </w:rPr>
        <w:t xml:space="preserve">assert</w:t>
      </w:r>
      <w:r>
        <w:rPr>
          <w:rStyle w:val="NormalTok"/>
        </w:rPr>
        <w:t xml:space="preserve"> links.Anteil.notna().</w:t>
      </w:r>
      <w:r>
        <w:rPr>
          <w:rStyle w:val="BuiltInTok"/>
        </w:rPr>
        <w:t xml:space="preserve">all</w:t>
      </w:r>
      <w:r>
        <w:rPr>
          <w:rStyle w:val="NormalTok"/>
        </w:rPr>
        <w:t xml:space="preserve">(), </w:t>
      </w:r>
      <w:r>
        <w:rPr>
          <w:rStyle w:val="StringTok"/>
        </w:rPr>
        <w:t xml:space="preserve">'GFZ-Anteile offen; Einzelzielregel oder Eingaben prüfen'</w:t>
      </w:r>
      <w:r>
        <w:br/>
      </w:r>
      <w:r>
        <w:rPr>
          <w:rStyle w:val="ControlFlowTok"/>
        </w:rPr>
        <w:t xml:space="preserve">assert</w:t>
      </w:r>
      <w:r>
        <w:rPr>
          <w:rStyle w:val="NormalTok"/>
        </w:rPr>
        <w:t xml:space="preserve"> links.Anteil.between(</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all</w:t>
      </w:r>
      <w:r>
        <w:rPr>
          <w:rStyle w:val="NormalTok"/>
        </w:rPr>
        <w:t xml:space="preserve">()</w:t>
      </w:r>
      <w:r>
        <w:br/>
      </w:r>
      <w:r>
        <w:rPr>
          <w:rStyle w:val="NormalTok"/>
        </w:rPr>
        <w:t xml:space="preserve">np.testing.assert_allclose(links.groupby([</w:t>
      </w:r>
      <w:r>
        <w:rPr>
          <w:rStyle w:val="StringTok"/>
        </w:rPr>
        <w:t xml:space="preserve">'GWR_Nutzung'</w:t>
      </w:r>
      <w:r>
        <w:rPr>
          <w:rStyle w:val="NormalTok"/>
        </w:rPr>
        <w:t xml:space="preserve">,</w:t>
      </w:r>
      <w:r>
        <w:rPr>
          <w:rStyle w:val="StringTok"/>
        </w:rPr>
        <w:t xml:space="preserve">'GK'</w:t>
      </w:r>
      <w:r>
        <w:rPr>
          <w:rStyle w:val="NormalTok"/>
        </w:rPr>
        <w:t xml:space="preserve">]).Anteil.</w:t>
      </w:r>
      <w:r>
        <w:rPr>
          <w:rStyle w:val="BuiltInTok"/>
        </w:rPr>
        <w:t xml:space="preserve">sum</w:t>
      </w:r>
      <w:r>
        <w:rPr>
          <w:rStyle w:val="NormalTok"/>
        </w:rPr>
        <w:t xml:space="preserve">(),</w:t>
      </w:r>
      <w:r>
        <w:rPr>
          <w:rStyle w:val="DecValTok"/>
        </w:rPr>
        <w:t xml:space="preserve">1</w:t>
      </w:r>
      <w:r>
        <w:rPr>
          <w:rStyle w:val="NormalTok"/>
        </w:rPr>
        <w:t xml:space="preserve">)</w:t>
      </w:r>
      <w:r>
        <w:br/>
      </w:r>
      <w:r>
        <w:rPr>
          <w:rStyle w:val="NormalTok"/>
        </w:rPr>
        <w:t xml:space="preserve">gfz</w:t>
      </w:r>
      <w:r>
        <w:rPr>
          <w:rStyle w:val="OperatorTok"/>
        </w:rPr>
        <w:t xml:space="preserve">=</w:t>
      </w:r>
      <w:r>
        <w:rPr>
          <w:rStyle w:val="NormalTok"/>
        </w:rPr>
        <w:t xml:space="preserve">pd.read_csv(ROOT</w:t>
      </w:r>
      <w:r>
        <w:rPr>
          <w:rStyle w:val="OperatorTok"/>
        </w:rPr>
        <w:t xml:space="preserve">/</w:t>
      </w:r>
      <w:r>
        <w:rPr>
          <w:rStyle w:val="StringTok"/>
        </w:rPr>
        <w:t xml:space="preserve">'Berechnungen/gfz_at/outputs/recalculated/gfz_distribution_by_province_use_storeys.csv'</w:t>
      </w:r>
      <w:r>
        <w:rPr>
          <w:rStyle w:val="NormalTok"/>
        </w:rPr>
        <w:t xml:space="preserve">,dtype</w:t>
      </w:r>
      <w:r>
        <w:rPr>
          <w:rStyle w:val="OperatorTok"/>
        </w:rPr>
        <w:t xml:space="preserve">=</w:t>
      </w:r>
      <w:r>
        <w:rPr>
          <w:rStyle w:val="NormalTok"/>
        </w:rPr>
        <w:t xml:space="preserve">{</w:t>
      </w:r>
      <w:r>
        <w:rPr>
          <w:rStyle w:val="StringTok"/>
        </w:rPr>
        <w:t xml:space="preserve">'GK'</w:t>
      </w:r>
      <w:r>
        <w:rPr>
          <w:rStyle w:val="NormalTok"/>
        </w:rPr>
        <w:t xml:space="preserve">:</w:t>
      </w:r>
      <w:r>
        <w:rPr>
          <w:rStyle w:val="BuiltInTok"/>
        </w:rPr>
        <w:t xml:space="preserve">str</w:t>
      </w:r>
      <w:r>
        <w:rPr>
          <w:rStyle w:val="NormalTok"/>
        </w:rPr>
        <w:t xml:space="preserve">})</w:t>
      </w:r>
      <w:r>
        <w:br/>
      </w:r>
      <w:r>
        <w:rPr>
          <w:rStyle w:val="NormalTok"/>
        </w:rPr>
        <w:t xml:space="preserve">joined</w:t>
      </w:r>
      <w:r>
        <w:rPr>
          <w:rStyle w:val="OperatorTok"/>
        </w:rPr>
        <w:t xml:space="preserve">=</w:t>
      </w:r>
      <w:r>
        <w:rPr>
          <w:rStyle w:val="NormalTok"/>
        </w:rPr>
        <w:t xml:space="preserve">gfz.merge(links,on</w:t>
      </w:r>
      <w:r>
        <w:rPr>
          <w:rStyle w:val="OperatorTok"/>
        </w:rPr>
        <w:t xml:space="preserve">=</w:t>
      </w:r>
      <w:r>
        <w:rPr>
          <w:rStyle w:val="NormalTok"/>
        </w:rPr>
        <w:t xml:space="preserve">[</w:t>
      </w:r>
      <w:r>
        <w:rPr>
          <w:rStyle w:val="StringTok"/>
        </w:rPr>
        <w:t xml:space="preserve">'GWR_Nutzung'</w:t>
      </w:r>
      <w:r>
        <w:rPr>
          <w:rStyle w:val="NormalTok"/>
        </w:rPr>
        <w:t xml:space="preserve">,</w:t>
      </w:r>
      <w:r>
        <w:rPr>
          <w:rStyle w:val="StringTok"/>
        </w:rPr>
        <w:t xml:space="preserve">'GK'</w:t>
      </w:r>
      <w:r>
        <w:rPr>
          <w:rStyle w:val="NormalTok"/>
        </w:rPr>
        <w:t xml:space="preserve">],how</w:t>
      </w:r>
      <w:r>
        <w:rPr>
          <w:rStyle w:val="OperatorTok"/>
        </w:rPr>
        <w:t xml:space="preserve">=</w:t>
      </w:r>
      <w:r>
        <w:rPr>
          <w:rStyle w:val="StringTok"/>
        </w:rPr>
        <w:t xml:space="preserve">'left'</w:t>
      </w:r>
      <w:r>
        <w:rPr>
          <w:rStyle w:val="NormalTok"/>
        </w:rPr>
        <w:t xml:space="preserve">,indicator</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joined[</w:t>
      </w:r>
      <w:r>
        <w:rPr>
          <w:rStyle w:val="StringTok"/>
        </w:rPr>
        <w:t xml:space="preserve">'_merge'</w:t>
      </w:r>
      <w:r>
        <w:rPr>
          <w:rStyle w:val="NormalTok"/>
        </w:rPr>
        <w:t xml:space="preserve">].eq(</w:t>
      </w:r>
      <w:r>
        <w:rPr>
          <w:rStyle w:val="StringTok"/>
        </w:rPr>
        <w:t xml:space="preserve">'both'</w:t>
      </w:r>
      <w:r>
        <w:rPr>
          <w:rStyle w:val="NormalTok"/>
        </w:rPr>
        <w:t xml:space="preserve">).</w:t>
      </w:r>
      <w:r>
        <w:rPr>
          <w:rStyle w:val="BuiltInTok"/>
        </w:rPr>
        <w:t xml:space="preserve">all</w:t>
      </w:r>
      <w:r>
        <w:rPr>
          <w:rStyle w:val="NormalTok"/>
        </w:rPr>
        <w:t xml:space="preserve">()</w:t>
      </w:r>
      <w:r>
        <w:br/>
      </w:r>
      <w:r>
        <w:rPr>
          <w:rStyle w:val="NormalTok"/>
        </w:rPr>
        <w:t xml:space="preserve">joined[</w:t>
      </w:r>
      <w:r>
        <w:rPr>
          <w:rStyle w:val="StringTok"/>
        </w:rPr>
        <w:t xml:space="preserve">'zugeordnete_BGF'</w:t>
      </w:r>
      <w:r>
        <w:rPr>
          <w:rStyle w:val="NormalTok"/>
        </w:rPr>
        <w:t xml:space="preserve">]</w:t>
      </w:r>
      <w:r>
        <w:rPr>
          <w:rStyle w:val="OperatorTok"/>
        </w:rPr>
        <w:t xml:space="preserve">=</w:t>
      </w:r>
      <w:r>
        <w:rPr>
          <w:rStyle w:val="NormalTok"/>
        </w:rPr>
        <w:t xml:space="preserve">joined.BGF_m2</w:t>
      </w:r>
      <w:r>
        <w:rPr>
          <w:rStyle w:val="OperatorTok"/>
        </w:rPr>
        <w:t xml:space="preserve">*</w:t>
      </w:r>
      <w:r>
        <w:rPr>
          <w:rStyle w:val="NormalTok"/>
        </w:rPr>
        <w:t xml:space="preserve">joined.Anteil</w:t>
      </w:r>
      <w:r>
        <w:br/>
      </w:r>
      <w:r>
        <w:rPr>
          <w:rStyle w:val="NormalTok"/>
        </w:rPr>
        <w:t xml:space="preserve">np.testing.assert_allclose(joined.zugeordnete_BGF.</w:t>
      </w:r>
      <w:r>
        <w:rPr>
          <w:rStyle w:val="BuiltInTok"/>
        </w:rPr>
        <w:t xml:space="preserve">sum</w:t>
      </w:r>
      <w:r>
        <w:rPr>
          <w:rStyle w:val="NormalTok"/>
        </w:rPr>
        <w:t xml:space="preserve">(),gfz.BGF_m2.</w:t>
      </w:r>
      <w:r>
        <w:rPr>
          <w:rStyle w:val="BuiltInTok"/>
        </w:rPr>
        <w:t xml:space="preserve">sum</w:t>
      </w:r>
      <w:r>
        <w:rPr>
          <w:rStyle w:val="NormalTok"/>
        </w:rPr>
        <w:t xml:space="preserve">(),rtol</w:t>
      </w:r>
      <w:r>
        <w:rPr>
          <w:rStyle w:val="OperatorTok"/>
        </w:rPr>
        <w:t xml:space="preserve">=</w:t>
      </w:r>
      <w:r>
        <w:rPr>
          <w:rStyle w:val="FloatTok"/>
        </w:rPr>
        <w:t xml:space="preserve">1e-12</w:t>
      </w:r>
      <w:r>
        <w:rPr>
          <w:rStyle w:val="NormalTok"/>
        </w:rPr>
        <w:t xml:space="preserve">)</w:t>
      </w:r>
      <w:r>
        <w:br/>
      </w:r>
      <w:r>
        <w:rPr>
          <w:rStyle w:val="NormalTok"/>
        </w:rPr>
        <w:t xml:space="preserve">bins</w:t>
      </w:r>
      <w:r>
        <w:rPr>
          <w:rStyle w:val="OperatorTok"/>
        </w:rPr>
        <w:t xml:space="preserve">=</w:t>
      </w:r>
      <w:r>
        <w:rPr>
          <w:rStyle w:val="NormalTok"/>
        </w:rPr>
        <w:t xml:space="preserve">joined.groupby([</w:t>
      </w:r>
      <w:r>
        <w:rPr>
          <w:rStyle w:val="StringTok"/>
        </w:rPr>
        <w:t xml:space="preserve">'Geometrie'</w:t>
      </w:r>
      <w:r>
        <w:rPr>
          <w:rStyle w:val="NormalTok"/>
        </w:rPr>
        <w:t xml:space="preserve">,</w:t>
      </w:r>
      <w:r>
        <w:rPr>
          <w:rStyle w:val="StringTok"/>
        </w:rPr>
        <w:t xml:space="preserve">'GFZ'</w:t>
      </w:r>
      <w:r>
        <w:rPr>
          <w:rStyle w:val="NormalTok"/>
        </w:rPr>
        <w:t xml:space="preserve">],as_index</w:t>
      </w:r>
      <w:r>
        <w:rPr>
          <w:rStyle w:val="OperatorTok"/>
        </w:rPr>
        <w:t xml:space="preserve">=</w:t>
      </w:r>
      <w:r>
        <w:rPr>
          <w:rStyle w:val="VariableTok"/>
        </w:rPr>
        <w:t xml:space="preserve">False</w:t>
      </w:r>
      <w:r>
        <w:rPr>
          <w:rStyle w:val="NormalTok"/>
        </w:rPr>
        <w:t xml:space="preserve">).zugeordnete_BGF.</w:t>
      </w:r>
      <w:r>
        <w:rPr>
          <w:rStyle w:val="BuiltInTok"/>
        </w:rPr>
        <w:t xml:space="preserve">sum</w:t>
      </w:r>
      <w:r>
        <w:rPr>
          <w:rStyle w:val="NormalTok"/>
        </w:rPr>
        <w:t xml:space="preserve">()</w:t>
      </w:r>
      <w:r>
        <w:br/>
      </w:r>
      <w:r>
        <w:rPr>
          <w:rStyle w:val="NormalTok"/>
        </w:rPr>
        <w:t xml:space="preserve">bins[</w:t>
      </w:r>
      <w:r>
        <w:rPr>
          <w:rStyle w:val="StringTok"/>
        </w:rPr>
        <w:t xml:space="preserve">'s'</w:t>
      </w:r>
      <w:r>
        <w:rPr>
          <w:rStyle w:val="NormalTok"/>
        </w:rPr>
        <w:t xml:space="preserve">]</w:t>
      </w:r>
      <w:r>
        <w:rPr>
          <w:rStyle w:val="OperatorTok"/>
        </w:rPr>
        <w:t xml:space="preserve">=</w:t>
      </w:r>
      <w:r>
        <w:rPr>
          <w:rStyle w:val="NormalTok"/>
        </w:rPr>
        <w:t xml:space="preserve">bins.zugeordnete_BGF</w:t>
      </w:r>
      <w:r>
        <w:rPr>
          <w:rStyle w:val="OperatorTok"/>
        </w:rPr>
        <w:t xml:space="preserve">/</w:t>
      </w:r>
      <w:r>
        <w:rPr>
          <w:rStyle w:val="NormalTok"/>
        </w:rPr>
        <w:t xml:space="preserve">bins.groupby(</w:t>
      </w:r>
      <w:r>
        <w:rPr>
          <w:rStyle w:val="StringTok"/>
        </w:rPr>
        <w:t xml:space="preserve">'Geometrie'</w:t>
      </w:r>
      <w:r>
        <w:rPr>
          <w:rStyle w:val="NormalTok"/>
        </w:rPr>
        <w:t xml:space="preserve">).zugeordnete_BGF.transform(</w:t>
      </w:r>
      <w:r>
        <w:rPr>
          <w:rStyle w:val="StringTok"/>
        </w:rPr>
        <w:t xml:space="preserve">'sum'</w:t>
      </w:r>
      <w:r>
        <w:rPr>
          <w:rStyle w:val="NormalTok"/>
        </w:rPr>
        <w:t xml:space="preserve">)</w:t>
      </w:r>
      <w:r>
        <w:br/>
      </w:r>
      <w:r>
        <w:rPr>
          <w:rStyle w:val="NormalTok"/>
        </w:rPr>
        <w:t xml:space="preserve">bins[</w:t>
      </w:r>
      <w:r>
        <w:rPr>
          <w:rStyle w:val="StringTok"/>
        </w:rPr>
        <w:t xml:space="preserve">'c_D_EE_BGF'</w:t>
      </w:r>
      <w:r>
        <w:rPr>
          <w:rStyle w:val="NormalTok"/>
        </w:rPr>
        <w:t xml:space="preserve">]</w:t>
      </w:r>
      <w:r>
        <w:rPr>
          <w:rStyle w:val="OperatorTok"/>
        </w:rPr>
        <w:t xml:space="preserve">=-</w:t>
      </w:r>
      <w:r>
        <w:rPr>
          <w:rStyle w:val="NormalTok"/>
        </w:rPr>
        <w:t xml:space="preserve">np.minimum(</w:t>
      </w:r>
      <w:r>
        <w:rPr>
          <w:rStyle w:val="BuiltInTok"/>
        </w:rPr>
        <w:t xml:space="preserve">float</w:t>
      </w:r>
      <w:r>
        <w:rPr>
          <w:rStyle w:val="NormalTok"/>
        </w:rPr>
        <w:t xml:space="preserve">(params[</w:t>
      </w:r>
      <w:r>
        <w:rPr>
          <w:rStyle w:val="StringTok"/>
        </w:rPr>
        <w:t xml:space="preserve">'density_f_res'</w:t>
      </w:r>
      <w:r>
        <w:rPr>
          <w:rStyle w:val="NormalTok"/>
        </w:rPr>
        <w:t xml:space="preserve">])</w:t>
      </w:r>
      <w:r>
        <w:rPr>
          <w:rStyle w:val="OperatorTok"/>
        </w:rPr>
        <w:t xml:space="preserve">/</w:t>
      </w:r>
      <w:r>
        <w:rPr>
          <w:rStyle w:val="NormalTok"/>
        </w:rPr>
        <w:t xml:space="preserve">(bins.GFZ</w:t>
      </w:r>
      <w:r>
        <w:rPr>
          <w:rStyle w:val="OperatorTok"/>
        </w:rPr>
        <w:t xml:space="preserve">+</w:t>
      </w:r>
      <w:r>
        <w:rPr>
          <w:rStyle w:val="BuiltInTok"/>
        </w:rPr>
        <w:t xml:space="preserve">float</w:t>
      </w:r>
      <w:r>
        <w:rPr>
          <w:rStyle w:val="NormalTok"/>
        </w:rPr>
        <w:t xml:space="preserve">(params[</w:t>
      </w:r>
      <w:r>
        <w:rPr>
          <w:rStyle w:val="StringTok"/>
        </w:rPr>
        <w:t xml:space="preserve">'density_dx'</w:t>
      </w:r>
      <w:r>
        <w:rPr>
          <w:rStyle w:val="NormalTok"/>
        </w:rPr>
        <w:t xml:space="preserve">]))</w:t>
      </w:r>
      <w:r>
        <w:rPr>
          <w:rStyle w:val="OperatorTok"/>
        </w:rPr>
        <w:t xml:space="preserve">-</w:t>
      </w:r>
      <w:r>
        <w:rPr>
          <w:rStyle w:val="BuiltInTok"/>
        </w:rPr>
        <w:t xml:space="preserve">float</w:t>
      </w:r>
      <w:r>
        <w:rPr>
          <w:rStyle w:val="NormalTok"/>
        </w:rPr>
        <w:t xml:space="preserve">(params[</w:t>
      </w:r>
      <w:r>
        <w:rPr>
          <w:rStyle w:val="StringTok"/>
        </w:rPr>
        <w:t xml:space="preserve">'density_f_ed'</w:t>
      </w:r>
      <w:r>
        <w:rPr>
          <w:rStyle w:val="NormalTok"/>
        </w:rPr>
        <w:t xml:space="preserve">]),</w:t>
      </w:r>
      <w:r>
        <w:rPr>
          <w:rStyle w:val="BuiltInTok"/>
        </w:rPr>
        <w:t xml:space="preserve">float</w:t>
      </w:r>
      <w:r>
        <w:rPr>
          <w:rStyle w:val="NormalTok"/>
        </w:rPr>
        <w:t xml:space="preserve">(params[</w:t>
      </w:r>
      <w:r>
        <w:rPr>
          <w:rStyle w:val="StringTok"/>
        </w:rPr>
        <w:t xml:space="preserve">'density_cutoff'</w:t>
      </w:r>
      <w:r>
        <w:rPr>
          <w:rStyle w:val="NormalTok"/>
        </w:rPr>
        <w:t xml:space="preserve">]))</w:t>
      </w:r>
      <w:r>
        <w:br/>
      </w:r>
      <w:r>
        <w:rPr>
          <w:rStyle w:val="NormalTok"/>
        </w:rPr>
        <w:t xml:space="preserve">bins[</w:t>
      </w:r>
      <w:r>
        <w:rPr>
          <w:rStyle w:val="StringTok"/>
        </w:rPr>
        <w:t xml:space="preserve">'c_D_EE_NGF'</w:t>
      </w:r>
      <w:r>
        <w:rPr>
          <w:rStyle w:val="NormalTok"/>
        </w:rPr>
        <w:t xml:space="preserve">]</w:t>
      </w:r>
      <w:r>
        <w:rPr>
          <w:rStyle w:val="OperatorTok"/>
        </w:rPr>
        <w:t xml:space="preserve">=</w:t>
      </w:r>
      <w:r>
        <w:rPr>
          <w:rStyle w:val="NormalTok"/>
        </w:rPr>
        <w:t xml:space="preserve">bins.c_D_EE_BGF</w:t>
      </w:r>
      <w:r>
        <w:rPr>
          <w:rStyle w:val="OperatorTok"/>
        </w:rPr>
        <w:t xml:space="preserve">/</w:t>
      </w:r>
      <w:r>
        <w:rPr>
          <w:rStyle w:val="NormalTok"/>
        </w:rPr>
        <w:t xml:space="preserve">r</w:t>
      </w:r>
      <w:r>
        <w:br/>
      </w:r>
      <w:r>
        <w:rPr>
          <w:rStyle w:val="NormalTok"/>
        </w:rPr>
        <w:t xml:space="preserve">bins[</w:t>
      </w:r>
      <w:r>
        <w:rPr>
          <w:rStyle w:val="StringTok"/>
        </w:rPr>
        <w:t xml:space="preserve">'gew_GFZ'</w:t>
      </w:r>
      <w:r>
        <w:rPr>
          <w:rStyle w:val="NormalTok"/>
        </w:rPr>
        <w:t xml:space="preserve">]</w:t>
      </w:r>
      <w:r>
        <w:rPr>
          <w:rStyle w:val="OperatorTok"/>
        </w:rPr>
        <w:t xml:space="preserve">=</w:t>
      </w:r>
      <w:r>
        <w:rPr>
          <w:rStyle w:val="NormalTok"/>
        </w:rPr>
        <w:t xml:space="preserve">bins.GFZ</w:t>
      </w:r>
      <w:r>
        <w:rPr>
          <w:rStyle w:val="OperatorTok"/>
        </w:rPr>
        <w:t xml:space="preserve">*</w:t>
      </w:r>
      <w:r>
        <w:rPr>
          <w:rStyle w:val="NormalTok"/>
        </w:rPr>
        <w:t xml:space="preserve">bins.s</w:t>
      </w:r>
      <w:r>
        <w:rPr>
          <w:rStyle w:val="OperatorTok"/>
        </w:rPr>
        <w:t xml:space="preserve">;</w:t>
      </w:r>
      <w:r>
        <w:rPr>
          <w:rStyle w:val="NormalTok"/>
        </w:rPr>
        <w:t xml:space="preserve"> bins[</w:t>
      </w:r>
      <w:r>
        <w:rPr>
          <w:rStyle w:val="StringTok"/>
        </w:rPr>
        <w:t xml:space="preserve">'gew_c'</w:t>
      </w:r>
      <w:r>
        <w:rPr>
          <w:rStyle w:val="NormalTok"/>
        </w:rPr>
        <w:t xml:space="preserve">]</w:t>
      </w:r>
      <w:r>
        <w:rPr>
          <w:rStyle w:val="OperatorTok"/>
        </w:rPr>
        <w:t xml:space="preserve">=</w:t>
      </w:r>
      <w:r>
        <w:rPr>
          <w:rStyle w:val="NormalTok"/>
        </w:rPr>
        <w:t xml:space="preserve">bins.c_D_EE_BGF</w:t>
      </w:r>
      <w:r>
        <w:rPr>
          <w:rStyle w:val="OperatorTok"/>
        </w:rPr>
        <w:t xml:space="preserve">*</w:t>
      </w:r>
      <w:r>
        <w:rPr>
          <w:rStyle w:val="NormalTok"/>
        </w:rPr>
        <w:t xml:space="preserve">bins.s</w:t>
      </w:r>
      <w:r>
        <w:br/>
      </w:r>
      <w:r>
        <w:rPr>
          <w:rStyle w:val="NormalTok"/>
        </w:rPr>
        <w:t xml:space="preserve">density</w:t>
      </w:r>
      <w:r>
        <w:rPr>
          <w:rStyle w:val="OperatorTok"/>
        </w:rPr>
        <w:t xml:space="preserve">=</w:t>
      </w:r>
      <w:r>
        <w:rPr>
          <w:rStyle w:val="NormalTok"/>
        </w:rPr>
        <w:t xml:space="preserve">bins.groupby(</w:t>
      </w:r>
      <w:r>
        <w:rPr>
          <w:rStyle w:val="StringTok"/>
        </w:rPr>
        <w:t xml:space="preserve">'Geometrie'</w:t>
      </w:r>
      <w:r>
        <w:rPr>
          <w:rStyle w:val="NormalTok"/>
        </w:rPr>
        <w:t xml:space="preserve">).agg(GFZ_Mittel</w:t>
      </w:r>
      <w:r>
        <w:rPr>
          <w:rStyle w:val="OperatorTok"/>
        </w:rPr>
        <w:t xml:space="preserve">=</w:t>
      </w:r>
      <w:r>
        <w:rPr>
          <w:rStyle w:val="NormalTok"/>
        </w:rPr>
        <w:t xml:space="preserve">(</w:t>
      </w:r>
      <w:r>
        <w:rPr>
          <w:rStyle w:val="StringTok"/>
        </w:rPr>
        <w:t xml:space="preserve">'gew_GFZ'</w:t>
      </w:r>
      <w:r>
        <w:rPr>
          <w:rStyle w:val="NormalTok"/>
        </w:rPr>
        <w:t xml:space="preserve">,</w:t>
      </w:r>
      <w:r>
        <w:rPr>
          <w:rStyle w:val="StringTok"/>
        </w:rPr>
        <w:t xml:space="preserve">'sum'</w:t>
      </w:r>
      <w:r>
        <w:rPr>
          <w:rStyle w:val="NormalTok"/>
        </w:rPr>
        <w:t xml:space="preserve">),c_D_EE_BGF</w:t>
      </w:r>
      <w:r>
        <w:rPr>
          <w:rStyle w:val="OperatorTok"/>
        </w:rPr>
        <w:t xml:space="preserve">=</w:t>
      </w:r>
      <w:r>
        <w:rPr>
          <w:rStyle w:val="NormalTok"/>
        </w:rPr>
        <w:t xml:space="preserve">(</w:t>
      </w:r>
      <w:r>
        <w:rPr>
          <w:rStyle w:val="StringTok"/>
        </w:rPr>
        <w:t xml:space="preserve">'gew_c'</w:t>
      </w:r>
      <w:r>
        <w:rPr>
          <w:rStyle w:val="NormalTok"/>
        </w:rPr>
        <w:t xml:space="preserve">,</w:t>
      </w:r>
      <w:r>
        <w:rPr>
          <w:rStyle w:val="StringTok"/>
        </w:rPr>
        <w:t xml:space="preserve">'sum'</w:t>
      </w:r>
      <w:r>
        <w:rPr>
          <w:rStyle w:val="NormalTok"/>
        </w:rPr>
        <w:t xml:space="preserve">),Referenz_BGF</w:t>
      </w:r>
      <w:r>
        <w:rPr>
          <w:rStyle w:val="OperatorTok"/>
        </w:rPr>
        <w:t xml:space="preserve">=</w:t>
      </w:r>
      <w:r>
        <w:rPr>
          <w:rStyle w:val="NormalTok"/>
        </w:rPr>
        <w:t xml:space="preserve">(</w:t>
      </w:r>
      <w:r>
        <w:rPr>
          <w:rStyle w:val="StringTok"/>
        </w:rPr>
        <w:t xml:space="preserve">'zugeordnete_BGF'</w:t>
      </w:r>
      <w:r>
        <w:rPr>
          <w:rStyle w:val="NormalTok"/>
        </w:rPr>
        <w:t xml:space="preserve">,</w:t>
      </w:r>
      <w:r>
        <w:rPr>
          <w:rStyle w:val="StringTok"/>
        </w:rPr>
        <w:t xml:space="preserve">'sum'</w:t>
      </w:r>
      <w:r>
        <w:rPr>
          <w:rStyle w:val="NormalTok"/>
        </w:rPr>
        <w:t xml:space="preserve">))</w:t>
      </w:r>
      <w:r>
        <w:br/>
      </w:r>
      <w:r>
        <w:rPr>
          <w:rStyle w:val="NormalTok"/>
        </w:rPr>
        <w:t xml:space="preserve">density[</w:t>
      </w:r>
      <w:r>
        <w:rPr>
          <w:rStyle w:val="StringTok"/>
        </w:rPr>
        <w:t xml:space="preserve">'c_D_EE_NGF'</w:t>
      </w:r>
      <w:r>
        <w:rPr>
          <w:rStyle w:val="NormalTok"/>
        </w:rPr>
        <w:t xml:space="preserve">]</w:t>
      </w:r>
      <w:r>
        <w:rPr>
          <w:rStyle w:val="OperatorTok"/>
        </w:rPr>
        <w:t xml:space="preserve">=</w:t>
      </w:r>
      <w:r>
        <w:rPr>
          <w:rStyle w:val="NormalTok"/>
        </w:rPr>
        <w:t xml:space="preserve">density.c_D_EE_BGF</w:t>
      </w:r>
      <w:r>
        <w:rPr>
          <w:rStyle w:val="OperatorTok"/>
        </w:rPr>
        <w:t xml:space="preserve">/</w:t>
      </w:r>
      <w:r>
        <w:rPr>
          <w:rStyle w:val="NormalTok"/>
        </w:rPr>
        <w:t xml:space="preserve">r</w:t>
      </w:r>
      <w:r>
        <w:br/>
      </w:r>
      <w:r>
        <w:rPr>
          <w:rStyle w:val="NormalTok"/>
        </w:rPr>
        <w:t xml:space="preserve">density[</w:t>
      </w:r>
      <w:r>
        <w:rPr>
          <w:rStyle w:val="StringTok"/>
        </w:rPr>
        <w:t xml:space="preserve">'c_am_GFZ_Mittel'</w:t>
      </w:r>
      <w:r>
        <w:rPr>
          <w:rStyle w:val="NormalTok"/>
        </w:rPr>
        <w:t xml:space="preserve">]</w:t>
      </w:r>
      <w:r>
        <w:rPr>
          <w:rStyle w:val="OperatorTok"/>
        </w:rPr>
        <w:t xml:space="preserve">=-</w:t>
      </w:r>
      <w:r>
        <w:rPr>
          <w:rStyle w:val="NormalTok"/>
        </w:rPr>
        <w:t xml:space="preserve">np.minimum(</w:t>
      </w:r>
      <w:r>
        <w:rPr>
          <w:rStyle w:val="BuiltInTok"/>
        </w:rPr>
        <w:t xml:space="preserve">float</w:t>
      </w:r>
      <w:r>
        <w:rPr>
          <w:rStyle w:val="NormalTok"/>
        </w:rPr>
        <w:t xml:space="preserve">(params[</w:t>
      </w:r>
      <w:r>
        <w:rPr>
          <w:rStyle w:val="StringTok"/>
        </w:rPr>
        <w:t xml:space="preserve">'density_f_res'</w:t>
      </w:r>
      <w:r>
        <w:rPr>
          <w:rStyle w:val="NormalTok"/>
        </w:rPr>
        <w:t xml:space="preserve">])</w:t>
      </w:r>
      <w:r>
        <w:rPr>
          <w:rStyle w:val="OperatorTok"/>
        </w:rPr>
        <w:t xml:space="preserve">/</w:t>
      </w:r>
      <w:r>
        <w:rPr>
          <w:rStyle w:val="NormalTok"/>
        </w:rPr>
        <w:t xml:space="preserve">(density.GFZ_Mittel</w:t>
      </w:r>
      <w:r>
        <w:rPr>
          <w:rStyle w:val="OperatorTok"/>
        </w:rPr>
        <w:t xml:space="preserve">+</w:t>
      </w:r>
      <w:r>
        <w:rPr>
          <w:rStyle w:val="BuiltInTok"/>
        </w:rPr>
        <w:t xml:space="preserve">float</w:t>
      </w:r>
      <w:r>
        <w:rPr>
          <w:rStyle w:val="NormalTok"/>
        </w:rPr>
        <w:t xml:space="preserve">(params[</w:t>
      </w:r>
      <w:r>
        <w:rPr>
          <w:rStyle w:val="StringTok"/>
        </w:rPr>
        <w:t xml:space="preserve">'density_dx'</w:t>
      </w:r>
      <w:r>
        <w:rPr>
          <w:rStyle w:val="NormalTok"/>
        </w:rPr>
        <w:t xml:space="preserve">]))</w:t>
      </w:r>
      <w:r>
        <w:rPr>
          <w:rStyle w:val="OperatorTok"/>
        </w:rPr>
        <w:t xml:space="preserve">-</w:t>
      </w:r>
      <w:r>
        <w:rPr>
          <w:rStyle w:val="BuiltInTok"/>
        </w:rPr>
        <w:t xml:space="preserve">float</w:t>
      </w:r>
      <w:r>
        <w:rPr>
          <w:rStyle w:val="NormalTok"/>
        </w:rPr>
        <w:t xml:space="preserve">(params[</w:t>
      </w:r>
      <w:r>
        <w:rPr>
          <w:rStyle w:val="StringTok"/>
        </w:rPr>
        <w:t xml:space="preserve">'density_f_ed'</w:t>
      </w:r>
      <w:r>
        <w:rPr>
          <w:rStyle w:val="NormalTok"/>
        </w:rPr>
        <w:t xml:space="preserve">]),</w:t>
      </w:r>
      <w:r>
        <w:rPr>
          <w:rStyle w:val="BuiltInTok"/>
        </w:rPr>
        <w:t xml:space="preserve">float</w:t>
      </w:r>
      <w:r>
        <w:rPr>
          <w:rStyle w:val="NormalTok"/>
        </w:rPr>
        <w:t xml:space="preserve">(params[</w:t>
      </w:r>
      <w:r>
        <w:rPr>
          <w:rStyle w:val="StringTok"/>
        </w:rPr>
        <w:t xml:space="preserve">'density_cutoff'</w:t>
      </w:r>
      <w:r>
        <w:rPr>
          <w:rStyle w:val="NormalTok"/>
        </w:rPr>
        <w:t xml:space="preserve">]))</w:t>
      </w:r>
      <w:r>
        <w:br/>
      </w:r>
      <w:r>
        <w:rPr>
          <w:rStyle w:val="NormalTok"/>
        </w:rPr>
        <w:t xml:space="preserve">data</w:t>
      </w:r>
      <w:r>
        <w:rPr>
          <w:rStyle w:val="OperatorTok"/>
        </w:rPr>
        <w:t xml:space="preserve">=</w:t>
      </w:r>
      <w:r>
        <w:rPr>
          <w:rStyle w:val="NormalTok"/>
        </w:rPr>
        <w:t xml:space="preserve">data.merge(density[[</w:t>
      </w:r>
      <w:r>
        <w:rPr>
          <w:rStyle w:val="StringTok"/>
        </w:rPr>
        <w:t xml:space="preserve">'GFZ_Mittel'</w:t>
      </w:r>
      <w:r>
        <w:rPr>
          <w:rStyle w:val="NormalTok"/>
        </w:rPr>
        <w:t xml:space="preserve">,</w:t>
      </w:r>
      <w:r>
        <w:rPr>
          <w:rStyle w:val="StringTok"/>
        </w:rPr>
        <w:t xml:space="preserve">'c_D_EE_BGF'</w:t>
      </w:r>
      <w:r>
        <w:rPr>
          <w:rStyle w:val="NormalTok"/>
        </w:rPr>
        <w:t xml:space="preserve">,</w:t>
      </w:r>
      <w:r>
        <w:rPr>
          <w:rStyle w:val="StringTok"/>
        </w:rPr>
        <w:t xml:space="preserve">'c_D_EE_NGF'</w:t>
      </w:r>
      <w:r>
        <w:rPr>
          <w:rStyle w:val="NormalTok"/>
        </w:rPr>
        <w:t xml:space="preserve">]],left_on</w:t>
      </w:r>
      <w:r>
        <w:rPr>
          <w:rStyle w:val="OperatorTok"/>
        </w:rPr>
        <w:t xml:space="preserve">=</w:t>
      </w:r>
      <w:r>
        <w:rPr>
          <w:rStyle w:val="StringTok"/>
        </w:rPr>
        <w:t xml:space="preserve">'Geometrie'</w:t>
      </w:r>
      <w:r>
        <w:rPr>
          <w:rStyle w:val="NormalTok"/>
        </w:rPr>
        <w:t xml:space="preserve">,right_index</w:t>
      </w:r>
      <w:r>
        <w:rPr>
          <w:rStyle w:val="OperatorTok"/>
        </w:rPr>
        <w:t xml:space="preserve">=</w:t>
      </w:r>
      <w:r>
        <w:rPr>
          <w:rStyle w:val="VariableTok"/>
        </w:rPr>
        <w:t xml:space="preserve">True</w:t>
      </w:r>
      <w:r>
        <w:rPr>
          <w:rStyle w:val="NormalTok"/>
        </w:rPr>
        <w:t xml:space="preserve">,how</w:t>
      </w:r>
      <w:r>
        <w:rPr>
          <w:rStyle w:val="OperatorTok"/>
        </w:rPr>
        <w:t xml:space="preserve">=</w:t>
      </w:r>
      <w:r>
        <w:rPr>
          <w:rStyle w:val="StringTok"/>
        </w:rPr>
        <w:t xml:space="preserve">'left'</w:t>
      </w:r>
      <w:r>
        <w:rPr>
          <w:rStyle w:val="NormalTok"/>
        </w:rPr>
        <w:t xml:space="preserve">,validate</w:t>
      </w:r>
      <w:r>
        <w:rPr>
          <w:rStyle w:val="OperatorTok"/>
        </w:rPr>
        <w:t xml:space="preserve">=</w:t>
      </w:r>
      <w:r>
        <w:rPr>
          <w:rStyle w:val="StringTok"/>
        </w:rPr>
        <w:t xml:space="preserve">'many_to_one'</w:t>
      </w:r>
      <w:r>
        <w:rPr>
          <w:rStyle w:val="NormalTok"/>
        </w:rPr>
        <w:t xml:space="preserve">)</w:t>
      </w:r>
      <w:r>
        <w:br/>
      </w:r>
      <w:r>
        <w:rPr>
          <w:rStyle w:val="ControlFlowTok"/>
        </w:rPr>
        <w:t xml:space="preserve">assert</w:t>
      </w:r>
      <w:r>
        <w:rPr>
          <w:rStyle w:val="NormalTok"/>
        </w:rPr>
        <w:t xml:space="preserve"> data.loc[data[</w:t>
      </w:r>
      <w:r>
        <w:rPr>
          <w:rStyle w:val="StringTok"/>
        </w:rPr>
        <w:t xml:space="preserve">'Nationale BGF 2040'</w:t>
      </w:r>
      <w:r>
        <w:rPr>
          <w:rStyle w:val="NormalTok"/>
        </w:rPr>
        <w:t xml:space="preserve">].gt(</w:t>
      </w:r>
      <w:r>
        <w:rPr>
          <w:rStyle w:val="DecValTok"/>
        </w:rPr>
        <w:t xml:space="preserve">0</w:t>
      </w:r>
      <w:r>
        <w:rPr>
          <w:rStyle w:val="NormalTok"/>
        </w:rPr>
        <w:t xml:space="preserve">),</w:t>
      </w:r>
      <w:r>
        <w:rPr>
          <w:rStyle w:val="StringTok"/>
        </w:rPr>
        <w:t xml:space="preserve">'GFZ_Mittel'</w:t>
      </w:r>
      <w:r>
        <w:rPr>
          <w:rStyle w:val="NormalTok"/>
        </w:rPr>
        <w:t xml:space="preserve">].notna().</w:t>
      </w:r>
      <w:r>
        <w:rPr>
          <w:rStyle w:val="BuiltInTok"/>
        </w:rPr>
        <w:t xml:space="preserve">all</w:t>
      </w:r>
      <w:r>
        <w:rPr>
          <w:rStyle w:val="NormalTok"/>
        </w:rPr>
        <w:t xml:space="preserve">()</w:t>
      </w:r>
      <w:r>
        <w:br/>
      </w:r>
      <w:r>
        <w:rPr>
          <w:rStyle w:val="BuiltInTok"/>
        </w:rPr>
        <w:t xml:space="preserve">print</w:t>
      </w:r>
      <w:r>
        <w:rPr>
          <w:rStyle w:val="NormalTok"/>
        </w:rPr>
        <w:t xml:space="preserve">(</w:t>
      </w:r>
      <w:r>
        <w:rPr>
          <w:rStyle w:val="StringTok"/>
        </w:rPr>
        <w:t xml:space="preserve">'Nach bestätigter Einzelzielregel ergänzte leere Anteile:'</w:t>
      </w:r>
      <w:r>
        <w:rPr>
          <w:rStyle w:val="NormalTok"/>
        </w:rPr>
        <w:t xml:space="preserve">,</w:t>
      </w:r>
      <w:r>
        <w:rPr>
          <w:rStyle w:val="BuiltInTok"/>
        </w:rPr>
        <w:t xml:space="preserve">int</w:t>
      </w:r>
      <w:r>
        <w:rPr>
          <w:rStyle w:val="NormalTok"/>
        </w:rPr>
        <w:t xml:space="preserve">(mapping[</w:t>
      </w:r>
      <w:r>
        <w:rPr>
          <w:rStyle w:val="StringTok"/>
        </w:rPr>
        <w:t xml:space="preserve">'Einzelziel_ergänzt'</w:t>
      </w:r>
      <w:r>
        <w:rPr>
          <w:rStyle w:val="NormalTok"/>
        </w:rPr>
        <w:t xml:space="preserve">].</w:t>
      </w:r>
      <w:r>
        <w:rPr>
          <w:rStyle w:val="BuiltInTok"/>
        </w:rPr>
        <w:t xml:space="preserve">sum</w:t>
      </w:r>
      <w:r>
        <w:rPr>
          <w:rStyle w:val="NormalTok"/>
        </w:rPr>
        <w:t xml:space="preserve">()),</w:t>
      </w:r>
      <w:r>
        <w:rPr>
          <w:rStyle w:val="StringTok"/>
        </w:rPr>
        <w:t xml:space="preserve">'Quellzeilen'</w:t>
      </w:r>
      <w:r>
        <w:rPr>
          <w:rStyle w:val="NormalTok"/>
        </w:rPr>
        <w:t xml:space="preserve">)</w:t>
      </w:r>
      <w:r>
        <w:br/>
      </w:r>
      <w:r>
        <w:rPr>
          <w:rStyle w:val="NormalTok"/>
        </w:rPr>
        <w:t xml:space="preserve">affected</w:t>
      </w:r>
      <w:r>
        <w:rPr>
          <w:rStyle w:val="OperatorTok"/>
        </w:rPr>
        <w:t xml:space="preserve">=</w:t>
      </w:r>
      <w:r>
        <w:rPr>
          <w:rStyle w:val="NormalTok"/>
        </w:rPr>
        <w:t xml:space="preserve">unique.loc[unique[</w:t>
      </w:r>
      <w:r>
        <w:rPr>
          <w:rStyle w:val="StringTok"/>
        </w:rPr>
        <w:t xml:space="preserve">'Einzelziel_ergänzt'</w:t>
      </w:r>
      <w:r>
        <w:rPr>
          <w:rStyle w:val="NormalTok"/>
        </w:rPr>
        <w:t xml:space="preserve">],[</w:t>
      </w:r>
      <w:r>
        <w:rPr>
          <w:rStyle w:val="StringTok"/>
        </w:rPr>
        <w:t xml:space="preserve">'GWR_Nutzung'</w:t>
      </w:r>
      <w:r>
        <w:rPr>
          <w:rStyle w:val="NormalTok"/>
        </w:rPr>
        <w:t xml:space="preserve">,</w:t>
      </w:r>
      <w:r>
        <w:rPr>
          <w:rStyle w:val="StringTok"/>
        </w:rPr>
        <w:t xml:space="preserve">'GK'</w:t>
      </w:r>
      <w:r>
        <w:rPr>
          <w:rStyle w:val="NormalTok"/>
        </w:rPr>
        <w:t xml:space="preserve">]]</w:t>
      </w:r>
      <w:r>
        <w:br/>
      </w:r>
      <w:r>
        <w:rPr>
          <w:rStyle w:val="NormalTok"/>
        </w:rPr>
        <w:t xml:space="preserve">affected_area</w:t>
      </w:r>
      <w:r>
        <w:rPr>
          <w:rStyle w:val="OperatorTok"/>
        </w:rPr>
        <w:t xml:space="preserve">=</w:t>
      </w:r>
      <w:r>
        <w:rPr>
          <w:rStyle w:val="NormalTok"/>
        </w:rPr>
        <w:t xml:space="preserve">gfz.merge(affected,on</w:t>
      </w:r>
      <w:r>
        <w:rPr>
          <w:rStyle w:val="OperatorTok"/>
        </w:rPr>
        <w:t xml:space="preserve">=</w:t>
      </w:r>
      <w:r>
        <w:rPr>
          <w:rStyle w:val="NormalTok"/>
        </w:rPr>
        <w:t xml:space="preserve">[</w:t>
      </w:r>
      <w:r>
        <w:rPr>
          <w:rStyle w:val="StringTok"/>
        </w:rPr>
        <w:t xml:space="preserve">'GWR_Nutzung'</w:t>
      </w:r>
      <w:r>
        <w:rPr>
          <w:rStyle w:val="NormalTok"/>
        </w:rPr>
        <w:t xml:space="preserve">,</w:t>
      </w:r>
      <w:r>
        <w:rPr>
          <w:rStyle w:val="StringTok"/>
        </w:rPr>
        <w:t xml:space="preserve">'GK'</w:t>
      </w:r>
      <w:r>
        <w:rPr>
          <w:rStyle w:val="NormalTok"/>
        </w:rPr>
        <w:t xml:space="preserve">]).BGF_m2.</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'Davon betroffene Referenz-BGF [%]:'</w:t>
      </w:r>
      <w:r>
        <w:rPr>
          <w:rStyle w:val="NormalTok"/>
        </w:rPr>
        <w:t xml:space="preserve">,</w:t>
      </w:r>
      <w:r>
        <w:rPr>
          <w:rStyle w:val="DecValTok"/>
        </w:rPr>
        <w:t xml:space="preserve">100</w:t>
      </w:r>
      <w:r>
        <w:rPr>
          <w:rStyle w:val="OperatorTok"/>
        </w:rPr>
        <w:t xml:space="preserve">*</w:t>
      </w:r>
      <w:r>
        <w:rPr>
          <w:rStyle w:val="NormalTok"/>
        </w:rPr>
        <w:t xml:space="preserve">affected_area</w:t>
      </w:r>
      <w:r>
        <w:rPr>
          <w:rStyle w:val="OperatorTok"/>
        </w:rPr>
        <w:t xml:space="preserve">/</w:t>
      </w:r>
      <w:r>
        <w:rPr>
          <w:rStyle w:val="NormalTok"/>
        </w:rPr>
        <w:t xml:space="preserve">gfz.BGF_m2.</w:t>
      </w:r>
      <w:r>
        <w:rPr>
          <w:rStyle w:val="BuiltInTok"/>
        </w:rPr>
        <w:t xml:space="preserve">sum</w:t>
      </w:r>
      <w:r>
        <w:rPr>
          <w:rStyle w:val="NormalTok"/>
        </w:rPr>
        <w:t xml:space="preserve">())</w:t>
      </w:r>
      <w:r>
        <w:br/>
      </w:r>
      <w:r>
        <w:rPr>
          <w:rStyle w:val="NormalTok"/>
        </w:rPr>
        <w:t xml:space="preserve">display(density)</w:t>
      </w:r>
      <w:r>
        <w:br/>
      </w:r>
      <w:r>
        <w:rPr>
          <w:rStyle w:val="NormalTok"/>
        </w:rPr>
        <w:t xml:space="preserve">matrix</w:t>
      </w:r>
      <w:r>
        <w:rPr>
          <w:rStyle w:val="OperatorTok"/>
        </w:rPr>
        <w:t xml:space="preserve">=</w:t>
      </w:r>
      <w:r>
        <w:rPr>
          <w:rStyle w:val="NormalTok"/>
        </w:rPr>
        <w:t xml:space="preserve">data.loc[data[</w:t>
      </w:r>
      <w:r>
        <w:rPr>
          <w:rStyle w:val="StringTok"/>
        </w:rPr>
        <w:t xml:space="preserve">'Nationale BGF 2040'</w:t>
      </w:r>
      <w:r>
        <w:rPr>
          <w:rStyle w:val="NormalTok"/>
        </w:rPr>
        <w:t xml:space="preserve">].gt(</w:t>
      </w:r>
      <w:r>
        <w:rPr>
          <w:rStyle w:val="DecValTok"/>
        </w:rPr>
        <w:t xml:space="preserve">0</w:t>
      </w:r>
      <w:r>
        <w:rPr>
          <w:rStyle w:val="NormalTok"/>
        </w:rPr>
        <w:t xml:space="preserve">),[</w:t>
      </w:r>
      <w:r>
        <w:rPr>
          <w:rStyle w:val="StringTok"/>
        </w:rPr>
        <w:t xml:space="preserve">'Archetype'</w:t>
      </w:r>
      <w:r>
        <w:rPr>
          <w:rStyle w:val="NormalTok"/>
        </w:rPr>
        <w:t xml:space="preserve">,</w:t>
      </w:r>
      <w:r>
        <w:rPr>
          <w:rStyle w:val="StringTok"/>
        </w:rPr>
        <w:t xml:space="preserve">'Geometrie'</w:t>
      </w:r>
      <w:r>
        <w:rPr>
          <w:rStyle w:val="NormalTok"/>
        </w:rPr>
        <w:t xml:space="preserve">,</w:t>
      </w:r>
      <w:r>
        <w:rPr>
          <w:rStyle w:val="StringTok"/>
        </w:rPr>
        <w:t xml:space="preserve">'Nationale BGF 2040'</w:t>
      </w:r>
      <w:r>
        <w:rPr>
          <w:rStyle w:val="NormalTok"/>
        </w:rPr>
        <w:t xml:space="preserve">]].merge(bins[[</w:t>
      </w:r>
      <w:r>
        <w:rPr>
          <w:rStyle w:val="StringTok"/>
        </w:rPr>
        <w:t xml:space="preserve">'Geometrie'</w:t>
      </w:r>
      <w:r>
        <w:rPr>
          <w:rStyle w:val="NormalTok"/>
        </w:rPr>
        <w:t xml:space="preserve">,</w:t>
      </w:r>
      <w:r>
        <w:rPr>
          <w:rStyle w:val="StringTok"/>
        </w:rPr>
        <w:t xml:space="preserve">'GFZ'</w:t>
      </w:r>
      <w:r>
        <w:rPr>
          <w:rStyle w:val="NormalTok"/>
        </w:rPr>
        <w:t xml:space="preserve">,</w:t>
      </w:r>
      <w:r>
        <w:rPr>
          <w:rStyle w:val="StringTok"/>
        </w:rPr>
        <w:t xml:space="preserve">'s'</w:t>
      </w:r>
      <w:r>
        <w:rPr>
          <w:rStyle w:val="NormalTok"/>
        </w:rPr>
        <w:t xml:space="preserve">,</w:t>
      </w:r>
      <w:r>
        <w:rPr>
          <w:rStyle w:val="StringTok"/>
        </w:rPr>
        <w:t xml:space="preserve">'c_D_EE_BGF'</w:t>
      </w:r>
      <w:r>
        <w:rPr>
          <w:rStyle w:val="NormalTok"/>
        </w:rPr>
        <w:t xml:space="preserve">]],on</w:t>
      </w:r>
      <w:r>
        <w:rPr>
          <w:rStyle w:val="OperatorTok"/>
        </w:rPr>
        <w:t xml:space="preserve">=</w:t>
      </w:r>
      <w:r>
        <w:rPr>
          <w:rStyle w:val="StringTok"/>
        </w:rPr>
        <w:t xml:space="preserve">'Geometrie'</w:t>
      </w:r>
      <w:r>
        <w:rPr>
          <w:rStyle w:val="NormalTok"/>
        </w:rPr>
        <w:t xml:space="preserve">,validate</w:t>
      </w:r>
      <w:r>
        <w:rPr>
          <w:rStyle w:val="OperatorTok"/>
        </w:rPr>
        <w:t xml:space="preserve">=</w:t>
      </w:r>
      <w:r>
        <w:rPr>
          <w:rStyle w:val="StringTok"/>
        </w:rPr>
        <w:t xml:space="preserve">'many_to_many'</w:t>
      </w:r>
      <w:r>
        <w:rPr>
          <w:rStyle w:val="NormalTok"/>
        </w:rPr>
        <w:t xml:space="preserve">)</w:t>
      </w:r>
      <w:r>
        <w:br/>
      </w:r>
      <w:r>
        <w:rPr>
          <w:rStyle w:val="NormalTok"/>
        </w:rPr>
        <w:t xml:space="preserve">matrix[</w:t>
      </w:r>
      <w:r>
        <w:rPr>
          <w:rStyle w:val="StringTok"/>
        </w:rPr>
        <w:t xml:space="preserve">'BGF_2040_m2'</w:t>
      </w:r>
      <w:r>
        <w:rPr>
          <w:rStyle w:val="NormalTok"/>
        </w:rPr>
        <w:t xml:space="preserve">]</w:t>
      </w:r>
      <w:r>
        <w:rPr>
          <w:rStyle w:val="OperatorTok"/>
        </w:rPr>
        <w:t xml:space="preserve">=</w:t>
      </w:r>
      <w:r>
        <w:rPr>
          <w:rStyle w:val="NormalTok"/>
        </w:rPr>
        <w:t xml:space="preserve">matrix[</w:t>
      </w:r>
      <w:r>
        <w:rPr>
          <w:rStyle w:val="StringTok"/>
        </w:rPr>
        <w:t xml:space="preserve">'Nationale BGF 2040'</w:t>
      </w:r>
      <w:r>
        <w:rPr>
          <w:rStyle w:val="NormalTok"/>
        </w:rPr>
        <w:t xml:space="preserve">]</w:t>
      </w:r>
      <w:r>
        <w:rPr>
          <w:rStyle w:val="OperatorTok"/>
        </w:rPr>
        <w:t xml:space="preserve">*</w:t>
      </w:r>
      <w:r>
        <w:rPr>
          <w:rStyle w:val="NormalTok"/>
        </w:rPr>
        <w:t xml:space="preserve">matrix.s</w:t>
      </w:r>
      <w:r>
        <w:br/>
      </w:r>
      <w:r>
        <w:rPr>
          <w:rStyle w:val="NormalTok"/>
        </w:rPr>
        <w:t xml:space="preserve">by_type</w:t>
      </w:r>
      <w:r>
        <w:rPr>
          <w:rStyle w:val="OperatorTok"/>
        </w:rPr>
        <w:t xml:space="preserve">=</w:t>
      </w:r>
      <w:r>
        <w:rPr>
          <w:rStyle w:val="NormalTok"/>
        </w:rPr>
        <w:t xml:space="preserve">matrix.groupby(</w:t>
      </w:r>
      <w:r>
        <w:rPr>
          <w:rStyle w:val="StringTok"/>
        </w:rPr>
        <w:t xml:space="preserve">'Archetype'</w:t>
      </w:r>
      <w:r>
        <w:rPr>
          <w:rStyle w:val="NormalTok"/>
        </w:rPr>
        <w:t xml:space="preserve">).BGF_2040_m2.</w:t>
      </w:r>
      <w:r>
        <w:rPr>
          <w:rStyle w:val="BuiltInTok"/>
        </w:rPr>
        <w:t xml:space="preserve">sum</w:t>
      </w:r>
      <w:r>
        <w:rPr>
          <w:rStyle w:val="NormalTok"/>
        </w:rPr>
        <w:t xml:space="preserve">()</w:t>
      </w:r>
      <w:r>
        <w:br/>
      </w:r>
      <w:r>
        <w:rPr>
          <w:rStyle w:val="NormalTok"/>
        </w:rPr>
        <w:t xml:space="preserve">np.testing.assert_allclose(by_type,data.set_index(</w:t>
      </w:r>
      <w:r>
        <w:rPr>
          <w:rStyle w:val="StringTok"/>
        </w:rPr>
        <w:t xml:space="preserve">'Archetype'</w:t>
      </w:r>
      <w:r>
        <w:rPr>
          <w:rStyle w:val="NormalTok"/>
        </w:rPr>
        <w:t xml:space="preserve">).loc[by_type.index,</w:t>
      </w:r>
      <w:r>
        <w:rPr>
          <w:rStyle w:val="StringTok"/>
        </w:rPr>
        <w:t xml:space="preserve">'Nationale BGF 2040'</w:t>
      </w:r>
      <w:r>
        <w:rPr>
          <w:rStyle w:val="NormalTok"/>
        </w:rPr>
        <w:t xml:space="preserve">],rtol</w:t>
      </w:r>
      <w:r>
        <w:rPr>
          <w:rStyle w:val="OperatorTok"/>
        </w:rPr>
        <w:t xml:space="preserve">=</w:t>
      </w:r>
      <w:r>
        <w:rPr>
          <w:rStyle w:val="FloatTok"/>
        </w:rPr>
        <w:t xml:space="preserve">1e-12</w:t>
      </w:r>
      <w:r>
        <w:rPr>
          <w:rStyle w:val="NormalTok"/>
        </w:rPr>
        <w:t xml:space="preserve">)</w:t>
      </w:r>
      <w:r>
        <w:br/>
      </w:r>
      <w:r>
        <w:rPr>
          <w:rStyle w:val="NormalTok"/>
        </w:rPr>
        <w:t xml:space="preserve">matrix[[</w:t>
      </w:r>
      <w:r>
        <w:rPr>
          <w:rStyle w:val="StringTok"/>
        </w:rPr>
        <w:t xml:space="preserve">'Archetype'</w:t>
      </w:r>
      <w:r>
        <w:rPr>
          <w:rStyle w:val="NormalTok"/>
        </w:rPr>
        <w:t xml:space="preserve">,</w:t>
      </w:r>
      <w:r>
        <w:rPr>
          <w:rStyle w:val="StringTok"/>
        </w:rPr>
        <w:t xml:space="preserve">'Geometrie'</w:t>
      </w:r>
      <w:r>
        <w:rPr>
          <w:rStyle w:val="NormalTok"/>
        </w:rPr>
        <w:t xml:space="preserve">,</w:t>
      </w:r>
      <w:r>
        <w:rPr>
          <w:rStyle w:val="StringTok"/>
        </w:rPr>
        <w:t xml:space="preserve">'GFZ'</w:t>
      </w:r>
      <w:r>
        <w:rPr>
          <w:rStyle w:val="NormalTok"/>
        </w:rPr>
        <w:t xml:space="preserve">,</w:t>
      </w:r>
      <w:r>
        <w:rPr>
          <w:rStyle w:val="StringTok"/>
        </w:rPr>
        <w:t xml:space="preserve">'s'</w:t>
      </w:r>
      <w:r>
        <w:rPr>
          <w:rStyle w:val="NormalTok"/>
        </w:rPr>
        <w:t xml:space="preserve">,</w:t>
      </w:r>
      <w:r>
        <w:rPr>
          <w:rStyle w:val="StringTok"/>
        </w:rPr>
        <w:t xml:space="preserve">'BGF_2040_m2'</w:t>
      </w:r>
      <w:r>
        <w:rPr>
          <w:rStyle w:val="NormalTok"/>
        </w:rPr>
        <w:t xml:space="preserve">,</w:t>
      </w:r>
      <w:r>
        <w:rPr>
          <w:rStyle w:val="StringTok"/>
        </w:rPr>
        <w:t xml:space="preserve">'c_D_EE_BGF'</w:t>
      </w:r>
      <w:r>
        <w:rPr>
          <w:rStyle w:val="NormalTok"/>
        </w:rPr>
        <w:t xml:space="preserve">]].to_csv(OUT</w:t>
      </w:r>
      <w:r>
        <w:rPr>
          <w:rStyle w:val="OperatorTok"/>
        </w:rPr>
        <w:t xml:space="preserve">/</w:t>
      </w:r>
      <w:r>
        <w:rPr>
          <w:rStyle w:val="StringTok"/>
        </w:rPr>
        <w:t xml:space="preserve">'typologie_gfz_2040.csv.gz'</w:t>
      </w:r>
      <w:r>
        <w:rPr>
          <w:rStyle w:val="NormalTok"/>
        </w:rPr>
        <w:t xml:space="preserve">,index</w:t>
      </w:r>
      <w:r>
        <w:rPr>
          <w:rStyle w:val="OperatorTok"/>
        </w:rPr>
        <w:t xml:space="preserve">=</w:t>
      </w:r>
      <w:r>
        <w:rPr>
          <w:rStyle w:val="VariableTok"/>
        </w:rPr>
        <w:t xml:space="preserve">False</w:t>
      </w:r>
      <w:r>
        <w:rPr>
          <w:rStyle w:val="NormalTok"/>
        </w:rPr>
        <w:t xml:space="preserve">,compression</w:t>
      </w:r>
      <w:r>
        <w:rPr>
          <w:rStyle w:val="OperatorTok"/>
        </w:rPr>
        <w:t xml:space="preserve">=</w:t>
      </w:r>
      <w:r>
        <w:rPr>
          <w:rStyle w:val="StringTok"/>
        </w:rPr>
        <w:t xml:space="preserve">'gzip'</w:t>
      </w:r>
      <w:r>
        <w:rPr>
          <w:rStyle w:val="NormalTok"/>
        </w:rPr>
        <w:t xml:space="preserve">)</w:t>
      </w:r>
      <w:r>
        <w:br/>
      </w:r>
      <w:r>
        <w:rPr>
          <w:rStyle w:val="NormalTok"/>
        </w:rPr>
        <w:t xml:space="preserve">bins.to_csv(OUT</w:t>
      </w:r>
      <w:r>
        <w:rPr>
          <w:rStyle w:val="OperatorTok"/>
        </w:rPr>
        <w:t xml:space="preserve">/</w:t>
      </w:r>
      <w:r>
        <w:rPr>
          <w:rStyle w:val="StringTok"/>
        </w:rPr>
        <w:t xml:space="preserve">'gfz_kontext_verteilungen.csv'</w:t>
      </w:r>
      <w:r>
        <w:rPr>
          <w:rStyle w:val="NormalTok"/>
        </w:rPr>
        <w:t xml:space="preserve">,index</w:t>
      </w:r>
      <w:r>
        <w:rPr>
          <w:rStyle w:val="OperatorTok"/>
        </w:rPr>
        <w:t xml:space="preserve">=</w:t>
      </w:r>
      <w:r>
        <w:rPr>
          <w:rStyle w:val="VariableTok"/>
        </w:rPr>
        <w:t xml:space="preserve">False</w:t>
      </w:r>
      <w:r>
        <w:rPr>
          <w:rStyle w:val="NormalTok"/>
        </w:rPr>
        <w:t xml:space="preserve">)</w:t>
      </w:r>
      <w:r>
        <w:rPr>
          <w:rStyle w:val="OperatorTok"/>
        </w:rPr>
        <w:t xml:space="preserve">;</w:t>
      </w:r>
      <w:r>
        <w:rPr>
          <w:rStyle w:val="NormalTok"/>
        </w:rPr>
        <w:t xml:space="preserve">density.to_csv(OUT</w:t>
      </w:r>
      <w:r>
        <w:rPr>
          <w:rStyle w:val="OperatorTok"/>
        </w:rPr>
        <w:t xml:space="preserve">/</w:t>
      </w:r>
      <w:r>
        <w:rPr>
          <w:rStyle w:val="StringTok"/>
        </w:rPr>
        <w:t xml:space="preserve">'dichte_erwartungswerte.csv'</w:t>
      </w:r>
      <w:r>
        <w:rPr>
          <w:rStyle w:val="NormalTok"/>
        </w:rPr>
        <w:t xml:space="preserve">)</w:t>
      </w:r>
      <w:r>
        <w:br/>
      </w:r>
      <w:r>
        <w:rPr>
          <w:rStyle w:val="NormalTok"/>
        </w:rPr>
        <w:t xml:space="preserve">data[[</w:t>
      </w:r>
      <w:r>
        <w:rPr>
          <w:rStyle w:val="StringTok"/>
        </w:rPr>
        <w:t xml:space="preserve">'Archetype'</w:t>
      </w:r>
      <w:r>
        <w:rPr>
          <w:rStyle w:val="NormalTok"/>
        </w:rPr>
        <w:t xml:space="preserve">,</w:t>
      </w:r>
      <w:r>
        <w:rPr>
          <w:rStyle w:val="StringTok"/>
        </w:rPr>
        <w:t xml:space="preserve">'Geometrie'</w:t>
      </w:r>
      <w:r>
        <w:rPr>
          <w:rStyle w:val="NormalTok"/>
        </w:rPr>
        <w:t xml:space="preserve">,</w:t>
      </w:r>
      <w:r>
        <w:rPr>
          <w:rStyle w:val="StringTok"/>
        </w:rPr>
        <w:t xml:space="preserve">'GFZ_Mittel'</w:t>
      </w:r>
      <w:r>
        <w:rPr>
          <w:rStyle w:val="NormalTok"/>
        </w:rPr>
        <w:t xml:space="preserve">,</w:t>
      </w:r>
      <w:r>
        <w:rPr>
          <w:rStyle w:val="StringTok"/>
        </w:rPr>
        <w:t xml:space="preserve">'c_D_EE_BGF'</w:t>
      </w:r>
      <w:r>
        <w:rPr>
          <w:rStyle w:val="NormalTok"/>
        </w:rPr>
        <w:t xml:space="preserve">,</w:t>
      </w:r>
      <w:r>
        <w:rPr>
          <w:rStyle w:val="StringTok"/>
        </w:rPr>
        <w:t xml:space="preserve">'c_D_EE_NGF'</w:t>
      </w:r>
      <w:r>
        <w:rPr>
          <w:rStyle w:val="NormalTok"/>
        </w:rPr>
        <w:t xml:space="preserve">,</w:t>
      </w:r>
      <w:r>
        <w:rPr>
          <w:rStyle w:val="StringTok"/>
        </w:rPr>
        <w:t xml:space="preserve">'Nationale BGF 2040'</w:t>
      </w:r>
      <w:r>
        <w:rPr>
          <w:rStyle w:val="NormalTok"/>
        </w:rPr>
        <w:t xml:space="preserve">]].to_csv(OUT</w:t>
      </w:r>
      <w:r>
        <w:rPr>
          <w:rStyle w:val="OperatorTok"/>
        </w:rPr>
        <w:t xml:space="preserve">/</w:t>
      </w:r>
      <w:r>
        <w:rPr>
          <w:rStyle w:val="StringTok"/>
        </w:rPr>
        <w:t xml:space="preserve">'typologie_dichte.csv'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fig,axes</w:t>
      </w:r>
      <w:r>
        <w:rPr>
          <w:rStyle w:val="OperatorTok"/>
        </w:rPr>
        <w:t xml:space="preserve">=</w:t>
      </w:r>
      <w:r>
        <w:rPr>
          <w:rStyle w:val="NormalTok"/>
        </w:rPr>
        <w:t xml:space="preserve">plt.subplots(</w:t>
      </w:r>
      <w:r>
        <w:rPr>
          <w:rStyle w:val="DecValTok"/>
        </w:rPr>
        <w:t xml:space="preserve">1</w:t>
      </w:r>
      <w:r>
        <w:rPr>
          <w:rStyle w:val="NormalTok"/>
        </w:rPr>
        <w:t xml:space="preserve">,</w:t>
      </w:r>
      <w:r>
        <w:rPr>
          <w:rStyle w:val="DecValTok"/>
        </w:rPr>
        <w:t xml:space="preserve">2</w:t>
      </w:r>
      <w:r>
        <w:rPr>
          <w:rStyle w:val="NormalTok"/>
        </w:rPr>
        <w:t xml:space="preserve">,figsize</w:t>
      </w:r>
      <w:r>
        <w:rPr>
          <w:rStyle w:val="OperatorTok"/>
        </w:rPr>
        <w:t xml:space="preserve">=</w:t>
      </w:r>
      <w:r>
        <w:rPr>
          <w:rStyle w:val="NormalTok"/>
        </w:rPr>
        <w:t xml:space="preserve">(</w:t>
      </w:r>
      <w:r>
        <w:rPr>
          <w:rStyle w:val="DecValTok"/>
        </w:rPr>
        <w:t xml:space="preserve">11</w:t>
      </w:r>
      <w:r>
        <w:rPr>
          <w:rStyle w:val="NormalTok"/>
        </w:rPr>
        <w:t xml:space="preserve">,</w:t>
      </w:r>
      <w:r>
        <w:rPr>
          <w:rStyle w:val="DecValTok"/>
        </w:rPr>
        <w:t xml:space="preserve">4</w:t>
      </w:r>
      <w:r>
        <w:rPr>
          <w:rStyle w:val="NormalTok"/>
        </w:rPr>
        <w:t xml:space="preserve">))</w:t>
      </w:r>
      <w:r>
        <w:br/>
      </w:r>
      <w:r>
        <w:rPr>
          <w:rStyle w:val="ControlFlowTok"/>
        </w:rPr>
        <w:t xml:space="preserve">for</w:t>
      </w:r>
      <w:r>
        <w:rPr>
          <w:rStyle w:val="NormalTok"/>
        </w:rPr>
        <w:t xml:space="preserve"> name,g </w:t>
      </w:r>
      <w:r>
        <w:rPr>
          <w:rStyle w:val="KeywordTok"/>
        </w:rPr>
        <w:t xml:space="preserve">in</w:t>
      </w:r>
      <w:r>
        <w:rPr>
          <w:rStyle w:val="NormalTok"/>
        </w:rPr>
        <w:t xml:space="preserve"> bins.groupby(</w:t>
      </w:r>
      <w:r>
        <w:rPr>
          <w:rStyle w:val="StringTok"/>
        </w:rPr>
        <w:t xml:space="preserve">'Geometrie'</w:t>
      </w:r>
      <w:r>
        <w:rPr>
          <w:rStyle w:val="NormalTok"/>
        </w:rPr>
        <w:t xml:space="preserve">):</w:t>
      </w:r>
      <w:r>
        <w:br/>
      </w:r>
      <w:r>
        <w:rPr>
          <w:rStyle w:val="NormalTok"/>
        </w:rPr>
        <w:t xml:space="preserve">    axes[</w:t>
      </w:r>
      <w:r>
        <w:rPr>
          <w:rStyle w:val="DecValTok"/>
        </w:rPr>
        <w:t xml:space="preserve">0</w:t>
      </w:r>
      <w:r>
        <w:rPr>
          <w:rStyle w:val="NormalTok"/>
        </w:rPr>
        <w:t xml:space="preserve">].plot(g.GFZ,g.s</w:t>
      </w:r>
      <w:r>
        <w:rPr>
          <w:rStyle w:val="OperatorTok"/>
        </w:rPr>
        <w:t xml:space="preserve">*</w:t>
      </w:r>
      <w:r>
        <w:rPr>
          <w:rStyle w:val="DecValTok"/>
        </w:rPr>
        <w:t xml:space="preserve">100</w:t>
      </w:r>
      <w:r>
        <w:rPr>
          <w:rStyle w:val="NormalTok"/>
        </w:rPr>
        <w:t xml:space="preserve">,label</w:t>
      </w:r>
      <w:r>
        <w:rPr>
          <w:rStyle w:val="OperatorTok"/>
        </w:rPr>
        <w:t xml:space="preserve">=</w:t>
      </w:r>
      <w:r>
        <w:rPr>
          <w:rStyle w:val="NormalTok"/>
        </w:rPr>
        <w:t xml:space="preserve">name)</w:t>
      </w:r>
      <w:r>
        <w:br/>
      </w:r>
      <w:r>
        <w:rPr>
          <w:rStyle w:val="NormalTok"/>
        </w:rPr>
        <w:t xml:space="preserve">axes[</w:t>
      </w:r>
      <w:r>
        <w:rPr>
          <w:rStyle w:val="DecValTok"/>
        </w:rPr>
        <w:t xml:space="preserve">0</w:t>
      </w:r>
      <w:r>
        <w:rPr>
          <w:rStyle w:val="NormalTok"/>
        </w:rPr>
        <w:t xml:space="preserve">].</w:t>
      </w:r>
      <w:r>
        <w:rPr>
          <w:rStyle w:val="BuiltInTok"/>
        </w:rPr>
        <w:t xml:space="preserve">set</w:t>
      </w:r>
      <w:r>
        <w:rPr>
          <w:rStyle w:val="NormalTok"/>
        </w:rPr>
        <w:t xml:space="preserve">(xlim</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8</w:t>
      </w:r>
      <w:r>
        <w:rPr>
          <w:rStyle w:val="NormalTok"/>
        </w:rPr>
        <w:t xml:space="preserve">),xlabel</w:t>
      </w:r>
      <w:r>
        <w:rPr>
          <w:rStyle w:val="OperatorTok"/>
        </w:rPr>
        <w:t xml:space="preserve">=</w:t>
      </w:r>
      <w:r>
        <w:rPr>
          <w:rStyle w:val="StringTok"/>
        </w:rPr>
        <w:t xml:space="preserve">'GFZ'</w:t>
      </w:r>
      <w:r>
        <w:rPr>
          <w:rStyle w:val="NormalTok"/>
        </w:rPr>
        <w:t xml:space="preserve">,ylabel</w:t>
      </w:r>
      <w:r>
        <w:rPr>
          <w:rStyle w:val="OperatorTok"/>
        </w:rPr>
        <w:t xml:space="preserve">=</w:t>
      </w:r>
      <w:r>
        <w:rPr>
          <w:rStyle w:val="StringTok"/>
        </w:rPr>
        <w:t xml:space="preserve">'BGF-Anteil [% je GFZ-Bin 0,1]'</w:t>
      </w:r>
      <w:r>
        <w:rPr>
          <w:rStyle w:val="NormalTok"/>
        </w:rPr>
        <w:t xml:space="preserve">)</w:t>
      </w:r>
      <w:r>
        <w:rPr>
          <w:rStyle w:val="OperatorTok"/>
        </w:rPr>
        <w:t xml:space="preserve">;</w:t>
      </w:r>
      <w:r>
        <w:rPr>
          <w:rStyle w:val="NormalTok"/>
        </w:rPr>
        <w:t xml:space="preserve">axes[</w:t>
      </w:r>
      <w:r>
        <w:rPr>
          <w:rStyle w:val="DecValTok"/>
        </w:rPr>
        <w:t xml:space="preserve">0</w:t>
      </w:r>
      <w:r>
        <w:rPr>
          <w:rStyle w:val="NormalTok"/>
        </w:rPr>
        <w:t xml:space="preserve">].legend(fontsize</w:t>
      </w:r>
      <w:r>
        <w:rPr>
          <w:rStyle w:val="OperatorTok"/>
        </w:rPr>
        <w:t xml:space="preserve">=</w:t>
      </w:r>
      <w:r>
        <w:rPr>
          <w:rStyle w:val="DecValTok"/>
        </w:rPr>
        <w:t xml:space="preserve">7</w:t>
      </w:r>
      <w:r>
        <w:rPr>
          <w:rStyle w:val="NormalTok"/>
        </w:rPr>
        <w:t xml:space="preserve">,ncol</w:t>
      </w:r>
      <w:r>
        <w:rPr>
          <w:rStyle w:val="OperatorTok"/>
        </w:rPr>
        <w:t xml:space="preserve">=</w:t>
      </w:r>
      <w:r>
        <w:rPr>
          <w:rStyle w:val="DecValTok"/>
        </w:rPr>
        <w:t xml:space="preserve">2</w:t>
      </w:r>
      <w:r>
        <w:rPr>
          <w:rStyle w:val="NormalTok"/>
        </w:rPr>
        <w:t xml:space="preserve">)</w:t>
      </w:r>
      <w:r>
        <w:br/>
      </w:r>
      <w:r>
        <w:rPr>
          <w:rStyle w:val="NormalTok"/>
        </w:rPr>
        <w:t xml:space="preserve">density.c_D_EE_BGF.sort_values().plot.barh(ax</w:t>
      </w:r>
      <w:r>
        <w:rPr>
          <w:rStyle w:val="OperatorTok"/>
        </w:rPr>
        <w:t xml:space="preserve">=</w:t>
      </w:r>
      <w:r>
        <w:rPr>
          <w:rStyle w:val="NormalTok"/>
        </w:rPr>
        <w:t xml:space="preserve">axes[</w:t>
      </w:r>
      <w:r>
        <w:rPr>
          <w:rStyle w:val="DecValTok"/>
        </w:rPr>
        <w:t xml:space="preserve">1</w:t>
      </w:r>
      <w:r>
        <w:rPr>
          <w:rStyle w:val="NormalTok"/>
        </w:rPr>
        <w:t xml:space="preserve">],color</w:t>
      </w:r>
      <w:r>
        <w:rPr>
          <w:rStyle w:val="OperatorTok"/>
        </w:rPr>
        <w:t xml:space="preserve">=</w:t>
      </w:r>
      <w:r>
        <w:rPr>
          <w:rStyle w:val="StringTok"/>
        </w:rPr>
        <w:t xml:space="preserve">'#59856b'</w:t>
      </w:r>
      <w:r>
        <w:rPr>
          <w:rStyle w:val="NormalTok"/>
        </w:rPr>
        <w:t xml:space="preserve">)</w:t>
      </w:r>
      <w:r>
        <w:rPr>
          <w:rStyle w:val="OperatorTok"/>
        </w:rPr>
        <w:t xml:space="preserve">;</w:t>
      </w:r>
      <w:r>
        <w:rPr>
          <w:rStyle w:val="NormalTok"/>
        </w:rPr>
        <w:t xml:space="preserve">axes[</w:t>
      </w:r>
      <w:r>
        <w:rPr>
          <w:rStyle w:val="DecValTok"/>
        </w:rPr>
        <w:t xml:space="preserve">1</w:t>
      </w:r>
      <w:r>
        <w:rPr>
          <w:rStyle w:val="NormalTok"/>
        </w:rPr>
        <w:t xml:space="preserve">].axvline(</w:t>
      </w:r>
      <w:r>
        <w:rPr>
          <w:rStyle w:val="DecValTok"/>
        </w:rPr>
        <w:t xml:space="preserve">0</w:t>
      </w:r>
      <w:r>
        <w:rPr>
          <w:rStyle w:val="NormalTok"/>
        </w:rPr>
        <w:t xml:space="preserve">,color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FloatTok"/>
        </w:rPr>
        <w:t xml:space="preserve">.6</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BuiltInTok"/>
        </w:rPr>
        <w:t xml:space="preserve">set</w:t>
      </w:r>
      <w:r>
        <w:rPr>
          <w:rStyle w:val="NormalTok"/>
        </w:rPr>
        <w:t xml:space="preserve">(xlabel</w:t>
      </w:r>
      <w:r>
        <w:rPr>
          <w:rStyle w:val="OperatorTok"/>
        </w:rPr>
        <w:t xml:space="preserve">=</w:t>
      </w:r>
      <w:r>
        <w:rPr>
          <w:rStyle w:val="StringTok"/>
        </w:rPr>
        <w:t xml:space="preserve">'E[c_D] [kWh EE/(m² BGF a)]'</w:t>
      </w:r>
      <w:r>
        <w:rPr>
          <w:rStyle w:val="NormalTok"/>
        </w:rPr>
        <w:t xml:space="preserve">,ylabel</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fig.tight_layout()</w:t>
      </w:r>
      <w:r>
        <w:rPr>
          <w:rStyle w:val="OperatorTok"/>
        </w:rPr>
        <w:t xml:space="preserve">;</w:t>
      </w:r>
      <w:r>
        <w:rPr>
          <w:rStyle w:val="NormalTok"/>
        </w:rPr>
        <w:t xml:space="preserve">fig.savefig(OUT</w:t>
      </w:r>
      <w:r>
        <w:rPr>
          <w:rStyle w:val="OperatorTok"/>
        </w:rPr>
        <w:t xml:space="preserve">/</w:t>
      </w:r>
      <w:r>
        <w:rPr>
          <w:rStyle w:val="StringTok"/>
        </w:rPr>
        <w:t xml:space="preserve">'gfz_dichte.png'</w:t>
      </w:r>
      <w:r>
        <w:rPr>
          <w:rStyle w:val="NormalTok"/>
        </w:rPr>
        <w:t xml:space="preserve">,dpi</w:t>
      </w:r>
      <w:r>
        <w:rPr>
          <w:rStyle w:val="OperatorTok"/>
        </w:rPr>
        <w:t xml:space="preserve">=</w:t>
      </w:r>
      <w:r>
        <w:rPr>
          <w:rStyle w:val="DecValTok"/>
        </w:rPr>
        <w:t xml:space="preserve">180</w:t>
      </w:r>
      <w:r>
        <w:rPr>
          <w:rStyle w:val="NormalTok"/>
        </w:rPr>
        <w:t xml:space="preserve">)</w:t>
      </w:r>
      <w:r>
        <w:rPr>
          <w:rStyle w:val="OperatorTok"/>
        </w:rPr>
        <w:t xml:space="preserve">;</w:t>
      </w:r>
      <w:r>
        <w:rPr>
          <w:rStyle w:val="NormalTok"/>
        </w:rPr>
        <w:t xml:space="preserve">plt.show()</w:t>
      </w:r>
      <w:r>
        <w:br/>
      </w:r>
      <w:r>
        <w:br/>
      </w:r>
      <w:r>
        <w:rPr>
          <w:rStyle w:val="CommentTok"/>
        </w:rPr>
        <w:t xml:space="preserve"># Zusätzliche, ausdrücklich virtuelle Bewertung; keine Änderung der physischen Bilanz.</w:t>
      </w:r>
      <w:r>
        <w:br/>
      </w:r>
      <w:r>
        <w:rPr>
          <w:rStyle w:val="NormalTok"/>
        </w:rPr>
        <w:t xml:space="preserve">data[</w:t>
      </w:r>
      <w:r>
        <w:rPr>
          <w:rStyle w:val="StringTok"/>
        </w:rPr>
        <w:t xml:space="preserve">'Bedarf_BGF'</w:t>
      </w:r>
      <w:r>
        <w:rPr>
          <w:rStyle w:val="NormalTok"/>
        </w:rPr>
        <w:t xml:space="preserve">]</w:t>
      </w:r>
      <w:r>
        <w:rPr>
          <w:rStyle w:val="OperatorTok"/>
        </w:rPr>
        <w:t xml:space="preserve">=</w:t>
      </w:r>
      <w:r>
        <w:rPr>
          <w:rStyle w:val="NormalTok"/>
        </w:rPr>
        <w:t xml:space="preserve">data.Strombedarf</w:t>
      </w:r>
      <w:r>
        <w:rPr>
          <w:rStyle w:val="OperatorTok"/>
        </w:rPr>
        <w:t xml:space="preserve">*</w:t>
      </w:r>
      <w:r>
        <w:rPr>
          <w:rStyle w:val="NormalTok"/>
        </w:rPr>
        <w:t xml:space="preserve">r</w:t>
      </w:r>
      <w:r>
        <w:br/>
      </w:r>
      <w:r>
        <w:rPr>
          <w:rStyle w:val="NormalTok"/>
        </w:rPr>
        <w:t xml:space="preserve">data[</w:t>
      </w:r>
      <w:r>
        <w:rPr>
          <w:rStyle w:val="StringTok"/>
        </w:rPr>
        <w:t xml:space="preserve">'PV_BGF'</w:t>
      </w:r>
      <w:r>
        <w:rPr>
          <w:rStyle w:val="NormalTok"/>
        </w:rPr>
        <w:t xml:space="preserve">]</w:t>
      </w:r>
      <w:r>
        <w:rPr>
          <w:rStyle w:val="OperatorTok"/>
        </w:rPr>
        <w:t xml:space="preserve">=</w:t>
      </w:r>
      <w:r>
        <w:rPr>
          <w:rStyle w:val="NormalTok"/>
        </w:rPr>
        <w:t xml:space="preserve">data.PV_Erzeugung</w:t>
      </w:r>
      <w:r>
        <w:rPr>
          <w:rStyle w:val="OperatorTok"/>
        </w:rPr>
        <w:t xml:space="preserve">*</w:t>
      </w:r>
      <w:r>
        <w:rPr>
          <w:rStyle w:val="NormalTok"/>
        </w:rPr>
        <w:t xml:space="preserve">r</w:t>
      </w:r>
      <w:r>
        <w:br/>
      </w:r>
      <w:r>
        <w:rPr>
          <w:rStyle w:val="NormalTok"/>
        </w:rPr>
        <w:t xml:space="preserve">positive</w:t>
      </w:r>
      <w:r>
        <w:rPr>
          <w:rStyle w:val="OperatorTok"/>
        </w:rPr>
        <w:t xml:space="preserve">=</w:t>
      </w:r>
      <w:r>
        <w:rPr>
          <w:rStyle w:val="NormalTok"/>
        </w:rPr>
        <w:t xml:space="preserve">data[</w:t>
      </w:r>
      <w:r>
        <w:rPr>
          <w:rStyle w:val="StringTok"/>
        </w:rPr>
        <w:t xml:space="preserve">'Nationale BGF 2040'</w:t>
      </w:r>
      <w:r>
        <w:rPr>
          <w:rStyle w:val="NormalTok"/>
        </w:rPr>
        <w:t xml:space="preserve">].gt(</w:t>
      </w:r>
      <w:r>
        <w:rPr>
          <w:rStyle w:val="DecValTok"/>
        </w:rPr>
        <w:t xml:space="preserve">0</w:t>
      </w:r>
      <w:r>
        <w:rPr>
          <w:rStyle w:val="NormalTok"/>
        </w:rPr>
        <w:t xml:space="preserve">)</w:t>
      </w:r>
      <w:r>
        <w:br/>
      </w:r>
      <w:r>
        <w:rPr>
          <w:rStyle w:val="ControlFlowTok"/>
        </w:rPr>
        <w:t xml:space="preserve">assert</w:t>
      </w:r>
      <w:r>
        <w:rPr>
          <w:rStyle w:val="NormalTok"/>
        </w:rPr>
        <w:t xml:space="preserve"> data.loc[positive,</w:t>
      </w:r>
      <w:r>
        <w:rPr>
          <w:rStyle w:val="StringTok"/>
        </w:rPr>
        <w:t xml:space="preserve">'c_D_EE_BGF'</w:t>
      </w:r>
      <w:r>
        <w:rPr>
          <w:rStyle w:val="NormalTok"/>
        </w:rPr>
        <w:t xml:space="preserve">].notna().</w:t>
      </w:r>
      <w:r>
        <w:rPr>
          <w:rStyle w:val="BuiltInTok"/>
        </w:rPr>
        <w:t xml:space="preserve">all</w:t>
      </w:r>
      <w:r>
        <w:rPr>
          <w:rStyle w:val="NormalTok"/>
        </w:rPr>
        <w:t xml:space="preserve">()</w:t>
      </w:r>
      <w:r>
        <w:br/>
      </w:r>
      <w:r>
        <w:rPr>
          <w:rStyle w:val="NormalTok"/>
        </w:rPr>
        <w:t xml:space="preserve">data[</w:t>
      </w:r>
      <w:r>
        <w:rPr>
          <w:rStyle w:val="StringTok"/>
        </w:rPr>
        <w:t xml:space="preserve">'Dichtebeitrag_PJ'</w:t>
      </w:r>
      <w:r>
        <w:rPr>
          <w:rStyle w:val="NormalTok"/>
        </w:rPr>
        <w:t xml:space="preserve">]</w:t>
      </w:r>
      <w:r>
        <w:rPr>
          <w:rStyle w:val="OperatorTok"/>
        </w:rPr>
        <w:t xml:space="preserve">=</w:t>
      </w:r>
      <w:r>
        <w:rPr>
          <w:rStyle w:val="FloatTok"/>
        </w:rPr>
        <w:t xml:space="preserve">0.0</w:t>
      </w:r>
      <w:r>
        <w:br/>
      </w:r>
      <w:r>
        <w:rPr>
          <w:rStyle w:val="NormalTok"/>
        </w:rPr>
        <w:t xml:space="preserve">data.loc[positive,</w:t>
      </w:r>
      <w:r>
        <w:rPr>
          <w:rStyle w:val="StringTok"/>
        </w:rPr>
        <w:t xml:space="preserve">'Dichtebeitrag_PJ'</w:t>
      </w:r>
      <w:r>
        <w:rPr>
          <w:rStyle w:val="NormalTok"/>
        </w:rPr>
        <w:t xml:space="preserve">]</w:t>
      </w:r>
      <w:r>
        <w:rPr>
          <w:rStyle w:val="OperatorTok"/>
        </w:rPr>
        <w:t xml:space="preserve">=</w:t>
      </w:r>
      <w:r>
        <w:rPr>
          <w:rStyle w:val="NormalTok"/>
        </w:rPr>
        <w:t xml:space="preserve">data.loc[positive,</w:t>
      </w:r>
      <w:r>
        <w:rPr>
          <w:rStyle w:val="StringTok"/>
        </w:rPr>
        <w:t xml:space="preserve">'Nationale BGF 2040'</w:t>
      </w:r>
      <w:r>
        <w:rPr>
          <w:rStyle w:val="NormalTok"/>
        </w:rPr>
        <w:t xml:space="preserve">]</w:t>
      </w:r>
      <w:r>
        <w:rPr>
          <w:rStyle w:val="OperatorTok"/>
        </w:rPr>
        <w:t xml:space="preserve">*</w:t>
      </w:r>
      <w:r>
        <w:rPr>
          <w:rStyle w:val="NormalTok"/>
        </w:rPr>
        <w:t xml:space="preserve">data.loc[positive,</w:t>
      </w:r>
      <w:r>
        <w:rPr>
          <w:rStyle w:val="StringTok"/>
        </w:rPr>
        <w:t xml:space="preserve">'c_D_EE_BGF'</w:t>
      </w:r>
      <w:r>
        <w:rPr>
          <w:rStyle w:val="NormalTok"/>
        </w:rPr>
        <w:t xml:space="preserve">]</w:t>
      </w:r>
      <w:r>
        <w:rPr>
          <w:rStyle w:val="OperatorTok"/>
        </w:rPr>
        <w:t xml:space="preserve">*</w:t>
      </w:r>
      <w:r>
        <w:rPr>
          <w:rStyle w:val="FloatTok"/>
        </w:rPr>
        <w:t xml:space="preserve">3.6e-9</w:t>
      </w:r>
      <w:r>
        <w:br/>
      </w:r>
      <w:r>
        <w:rPr>
          <w:rStyle w:val="NormalTok"/>
        </w:rPr>
        <w:t xml:space="preserve">context_pj</w:t>
      </w:r>
      <w:r>
        <w:rPr>
          <w:rStyle w:val="OperatorTok"/>
        </w:rPr>
        <w:t xml:space="preserve">=</w:t>
      </w:r>
      <w:r>
        <w:rPr>
          <w:rStyle w:val="BuiltInTok"/>
        </w:rPr>
        <w:t xml:space="preserve">float</w:t>
      </w:r>
      <w:r>
        <w:rPr>
          <w:rStyle w:val="NormalTok"/>
        </w:rPr>
        <w:t xml:space="preserve">(data.Dichtebeitrag_PJ.</w:t>
      </w:r>
      <w:r>
        <w:rPr>
          <w:rStyle w:val="BuiltInTok"/>
        </w:rPr>
        <w:t xml:space="preserve">sum</w:t>
      </w:r>
      <w:r>
        <w:rPr>
          <w:rStyle w:val="NormalTok"/>
        </w:rPr>
        <w:t xml:space="preserve">())</w:t>
      </w:r>
      <w:r>
        <w:br/>
      </w:r>
      <w:r>
        <w:rPr>
          <w:rStyle w:val="NormalTok"/>
        </w:rPr>
        <w:t xml:space="preserve">data[[</w:t>
      </w:r>
      <w:r>
        <w:rPr>
          <w:rStyle w:val="StringTok"/>
        </w:rPr>
        <w:t xml:space="preserve">'Archetype'</w:t>
      </w:r>
      <w:r>
        <w:rPr>
          <w:rStyle w:val="NormalTok"/>
        </w:rPr>
        <w:t xml:space="preserve">,</w:t>
      </w:r>
      <w:r>
        <w:rPr>
          <w:rStyle w:val="StringTok"/>
        </w:rPr>
        <w:t xml:space="preserve">'Geometrie'</w:t>
      </w:r>
      <w:r>
        <w:rPr>
          <w:rStyle w:val="NormalTok"/>
        </w:rPr>
        <w:t xml:space="preserve">,</w:t>
      </w:r>
      <w:r>
        <w:rPr>
          <w:rStyle w:val="StringTok"/>
        </w:rPr>
        <w:t xml:space="preserve">'Nationale BGF 2040'</w:t>
      </w:r>
      <w:r>
        <w:rPr>
          <w:rStyle w:val="NormalTok"/>
        </w:rPr>
        <w:t xml:space="preserve">,</w:t>
      </w:r>
      <w:r>
        <w:rPr>
          <w:rStyle w:val="StringTok"/>
        </w:rPr>
        <w:t xml:space="preserve">'Bedarf_BGF'</w:t>
      </w:r>
      <w:r>
        <w:rPr>
          <w:rStyle w:val="NormalTok"/>
        </w:rPr>
        <w:t xml:space="preserve">,</w:t>
      </w:r>
      <w:r>
        <w:rPr>
          <w:rStyle w:val="StringTok"/>
        </w:rPr>
        <w:t xml:space="preserve">'PV_BGF'</w:t>
      </w:r>
      <w:r>
        <w:rPr>
          <w:rStyle w:val="NormalTok"/>
        </w:rPr>
        <w:t xml:space="preserve">,</w:t>
      </w:r>
      <w:r>
        <w:rPr>
          <w:rStyle w:val="StringTok"/>
        </w:rPr>
        <w:t xml:space="preserve">'c_D_EE_BGF'</w:t>
      </w:r>
      <w:r>
        <w:rPr>
          <w:rStyle w:val="NormalTok"/>
        </w:rPr>
        <w:t xml:space="preserve">,</w:t>
      </w:r>
      <w:r>
        <w:rPr>
          <w:rStyle w:val="StringTok"/>
        </w:rPr>
        <w:t xml:space="preserve">'Dichtebeitrag_PJ'</w:t>
      </w:r>
      <w:r>
        <w:rPr>
          <w:rStyle w:val="NormalTok"/>
        </w:rPr>
        <w:t xml:space="preserve">]].to_csv(OUT</w:t>
      </w:r>
      <w:r>
        <w:rPr>
          <w:rStyle w:val="OperatorTok"/>
        </w:rPr>
        <w:t xml:space="preserve">/</w:t>
      </w:r>
      <w:r>
        <w:rPr>
          <w:rStyle w:val="StringTok"/>
        </w:rPr>
        <w:t xml:space="preserve">'typen_bewertung_dichte.csv'</w:t>
      </w:r>
      <w:r>
        <w:rPr>
          <w:rStyle w:val="NormalTok"/>
        </w:rPr>
        <w:t xml:space="preserve">,index</w:t>
      </w:r>
      <w:r>
        <w:rPr>
          <w:rStyle w:val="OperatorTok"/>
        </w:rPr>
        <w:t xml:space="preserve">=</w:t>
      </w:r>
      <w:r>
        <w:rPr>
          <w:rStyle w:val="VariableTok"/>
        </w:rPr>
        <w:t xml:space="preserve">False</w:t>
      </w:r>
      <w:r>
        <w:rPr>
          <w:rStyle w:val="NormalTok"/>
        </w:rPr>
        <w:t xml:space="preserve">)</w:t>
      </w:r>
      <w:r>
        <w:br/>
      </w:r>
      <w:r>
        <w:br/>
      </w: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rPr>
          <w:rStyle w:val="NormalTok"/>
        </w:rPr>
        <w:t xml:space="preserve">display(HTML(</w:t>
      </w:r>
      <w:r>
        <w:rPr>
          <w:rStyle w:val="StringTok"/>
        </w:rPr>
        <w:t xml:space="preserve">'&lt;iframe title="Typenvergleich mit Dichtekorrektur" src="../../Abbildungen/methodik/typen_deckung.html" style="width:100%;height:850px;border:0"&gt;&lt;/iframe&gt;'</w:t>
      </w:r>
      <w:r>
        <w:rPr>
          <w:rStyle w:val="NormalTok"/>
        </w:rPr>
        <w:t xml:space="preserve">))</w:t>
      </w:r>
    </w:p>
    <w:p>
      <w:pPr>
        <w:pStyle w:val="SourceCode"/>
      </w:pPr>
      <w:r>
        <w:rPr>
          <w:rStyle w:val="VerbatimChar"/>
        </w:rPr>
        <w:t xml:space="preserve">Nach bestätigter Einzelzielregel ergänzte leere Anteile: 0 Quellzeilen</w:t>
      </w:r>
      <w:r>
        <w:br/>
      </w:r>
      <w:r>
        <w:rPr>
          <w:rStyle w:val="VerbatimChar"/>
        </w:rPr>
        <w:t xml:space="preserve">Davon betroffene Referenz-BGF [%]: 0.0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GFZ_Mittel</w:t>
            </w:r>
          </w:p>
        </w:tc>
        <w:tc>
          <w:tcPr/>
          <w:p>
            <w:pPr>
              <w:pStyle w:val="Compact"/>
            </w:pPr>
            <w:r>
              <w:t xml:space="preserve">c_D_EE_BGF</w:t>
            </w:r>
          </w:p>
        </w:tc>
        <w:tc>
          <w:tcPr/>
          <w:p>
            <w:pPr>
              <w:pStyle w:val="Compact"/>
            </w:pPr>
            <w:r>
              <w:t xml:space="preserve">Referenz_BGF</w:t>
            </w:r>
          </w:p>
        </w:tc>
        <w:tc>
          <w:tcPr/>
          <w:p>
            <w:pPr>
              <w:pStyle w:val="Compact"/>
            </w:pPr>
            <w:r>
              <w:t xml:space="preserve">c_D_EE_NGF</w:t>
            </w:r>
          </w:p>
        </w:tc>
        <w:tc>
          <w:tcPr/>
          <w:p>
            <w:pPr>
              <w:pStyle w:val="Compact"/>
            </w:pPr>
            <w:r>
              <w:t xml:space="preserve">c_am_GFZ_Mittel</w:t>
            </w:r>
          </w:p>
        </w:tc>
      </w:tr>
      <w:tr>
        <w:trPr>
          <w:tblHeader w:val="on"/>
        </w:trPr>
        <w:tc>
          <w:tcPr/>
          <w:p>
            <w:pPr>
              <w:pStyle w:val="Compact"/>
            </w:pPr>
            <w:r>
              <w:t xml:space="preserve">Geometrie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EFH_1G</w:t>
            </w:r>
          </w:p>
        </w:tc>
        <w:tc>
          <w:tcPr/>
          <w:p>
            <w:pPr>
              <w:pStyle w:val="Compact"/>
            </w:pPr>
            <w:r>
              <w:t xml:space="preserve">0.317942</w:t>
            </w:r>
          </w:p>
        </w:tc>
        <w:tc>
          <w:tcPr/>
          <w:p>
            <w:pPr>
              <w:pStyle w:val="Compact"/>
            </w:pPr>
            <w:r>
              <w:t xml:space="preserve">-41.630722</w:t>
            </w:r>
          </w:p>
        </w:tc>
        <w:tc>
          <w:tcPr/>
          <w:p>
            <w:pPr>
              <w:pStyle w:val="Compact"/>
            </w:pPr>
            <w:r>
              <w:t xml:space="preserve">1.297227e+08</w:t>
            </w:r>
          </w:p>
        </w:tc>
        <w:tc>
          <w:tcPr/>
          <w:p>
            <w:pPr>
              <w:pStyle w:val="Compact"/>
            </w:pPr>
            <w:r>
              <w:t xml:space="preserve">-52.038402</w:t>
            </w:r>
          </w:p>
        </w:tc>
        <w:tc>
          <w:tcPr/>
          <w:p>
            <w:pPr>
              <w:pStyle w:val="Compact"/>
            </w:pPr>
            <w:r>
              <w:t xml:space="preserve">-38.565338</w:t>
            </w:r>
          </w:p>
        </w:tc>
      </w:tr>
      <w:tr>
        <w:tc>
          <w:tcPr/>
          <w:p>
            <w:pPr>
              <w:pStyle w:val="Compact"/>
            </w:pPr>
            <w:r>
              <w:t xml:space="preserve">EFH_2G</w:t>
            </w:r>
          </w:p>
        </w:tc>
        <w:tc>
          <w:tcPr/>
          <w:p>
            <w:pPr>
              <w:pStyle w:val="Compact"/>
            </w:pPr>
            <w:r>
              <w:t xml:space="preserve">0.614984</w:t>
            </w:r>
          </w:p>
        </w:tc>
        <w:tc>
          <w:tcPr/>
          <w:p>
            <w:pPr>
              <w:pStyle w:val="Compact"/>
            </w:pPr>
            <w:r>
              <w:t xml:space="preserve">-22.798103</w:t>
            </w:r>
          </w:p>
        </w:tc>
        <w:tc>
          <w:tcPr/>
          <w:p>
            <w:pPr>
              <w:pStyle w:val="Compact"/>
            </w:pPr>
            <w:r>
              <w:t xml:space="preserve">1.724298e+08</w:t>
            </w:r>
          </w:p>
        </w:tc>
        <w:tc>
          <w:tcPr/>
          <w:p>
            <w:pPr>
              <w:pStyle w:val="Compact"/>
            </w:pPr>
            <w:r>
              <w:t xml:space="preserve">-28.497629</w:t>
            </w:r>
          </w:p>
        </w:tc>
        <w:tc>
          <w:tcPr/>
          <w:p>
            <w:pPr>
              <w:pStyle w:val="Compact"/>
            </w:pPr>
            <w:r>
              <w:t xml:space="preserve">-13.339407</w:t>
            </w:r>
          </w:p>
        </w:tc>
      </w:tr>
      <w:tr>
        <w:tc>
          <w:tcPr/>
          <w:p>
            <w:pPr>
              <w:pStyle w:val="Compact"/>
            </w:pPr>
            <w:r>
              <w:t xml:space="preserve">GWB_5G</w:t>
            </w:r>
          </w:p>
        </w:tc>
        <w:tc>
          <w:tcPr/>
          <w:p>
            <w:pPr>
              <w:pStyle w:val="Compact"/>
            </w:pPr>
            <w:r>
              <w:t xml:space="preserve">2.266322</w:t>
            </w:r>
          </w:p>
        </w:tc>
        <w:tc>
          <w:tcPr/>
          <w:p>
            <w:pPr>
              <w:pStyle w:val="Compact"/>
            </w:pPr>
            <w:r>
              <w:t xml:space="preserve">8.965535</w:t>
            </w:r>
          </w:p>
        </w:tc>
        <w:tc>
          <w:tcPr/>
          <w:p>
            <w:pPr>
              <w:pStyle w:val="Compact"/>
            </w:pPr>
            <w:r>
              <w:t xml:space="preserve">3.707040e+07</w:t>
            </w:r>
          </w:p>
        </w:tc>
        <w:tc>
          <w:tcPr/>
          <w:p>
            <w:pPr>
              <w:pStyle w:val="Compact"/>
            </w:pPr>
            <w:r>
              <w:t xml:space="preserve">11.206919</w:t>
            </w:r>
          </w:p>
        </w:tc>
        <w:tc>
          <w:tcPr/>
          <w:p>
            <w:pPr>
              <w:pStyle w:val="Compact"/>
            </w:pPr>
            <w:r>
              <w:t xml:space="preserve">13.818897</w:t>
            </w:r>
          </w:p>
        </w:tc>
      </w:tr>
      <w:tr>
        <w:tc>
          <w:tcPr/>
          <w:p>
            <w:pPr>
              <w:pStyle w:val="Compact"/>
            </w:pPr>
            <w:r>
              <w:t xml:space="preserve">GWB_7G</w:t>
            </w:r>
          </w:p>
        </w:tc>
        <w:tc>
          <w:tcPr/>
          <w:p>
            <w:pPr>
              <w:pStyle w:val="Compact"/>
            </w:pPr>
            <w:r>
              <w:t xml:space="preserve">4.000472</w:t>
            </w:r>
          </w:p>
        </w:tc>
        <w:tc>
          <w:tcPr/>
          <w:p>
            <w:pPr>
              <w:pStyle w:val="Compact"/>
            </w:pPr>
            <w:r>
              <w:t xml:space="preserve">16.439657</w:t>
            </w:r>
          </w:p>
        </w:tc>
        <w:tc>
          <w:tcPr/>
          <w:p>
            <w:pPr>
              <w:pStyle w:val="Compact"/>
            </w:pPr>
            <w:r>
              <w:t xml:space="preserve">7.518450e+07</w:t>
            </w:r>
          </w:p>
        </w:tc>
        <w:tc>
          <w:tcPr/>
          <w:p>
            <w:pPr>
              <w:pStyle w:val="Compact"/>
            </w:pPr>
            <w:r>
              <w:t xml:space="preserve">20.549571</w:t>
            </w:r>
          </w:p>
        </w:tc>
        <w:tc>
          <w:tcPr/>
          <w:p>
            <w:pPr>
              <w:pStyle w:val="Compact"/>
            </w:pPr>
            <w:r>
              <w:t xml:space="preserve">19.075532</w:t>
            </w:r>
          </w:p>
        </w:tc>
      </w:tr>
      <w:tr>
        <w:tc>
          <w:tcPr/>
          <w:p>
            <w:pPr>
              <w:pStyle w:val="Compact"/>
            </w:pPr>
            <w:r>
              <w:t xml:space="preserve">MFH_4G</w:t>
            </w:r>
          </w:p>
        </w:tc>
        <w:tc>
          <w:tcPr/>
          <w:p>
            <w:pPr>
              <w:pStyle w:val="Compact"/>
            </w:pPr>
            <w:r>
              <w:t xml:space="preserve">1.541462</w:t>
            </w:r>
          </w:p>
        </w:tc>
        <w:tc>
          <w:tcPr/>
          <w:p>
            <w:pPr>
              <w:pStyle w:val="Compact"/>
            </w:pPr>
            <w:r>
              <w:t xml:space="preserve">1.431515</w:t>
            </w:r>
          </w:p>
        </w:tc>
        <w:tc>
          <w:tcPr/>
          <w:p>
            <w:pPr>
              <w:pStyle w:val="Compact"/>
            </w:pPr>
            <w:r>
              <w:t xml:space="preserve">6.056382e+07</w:t>
            </w:r>
          </w:p>
        </w:tc>
        <w:tc>
          <w:tcPr/>
          <w:p>
            <w:pPr>
              <w:pStyle w:val="Compact"/>
            </w:pPr>
            <w:r>
              <w:t xml:space="preserve">1.789394</w:t>
            </w:r>
          </w:p>
        </w:tc>
        <w:tc>
          <w:tcPr/>
          <w:p>
            <w:pPr>
              <w:pStyle w:val="Compact"/>
            </w:pPr>
            <w:r>
              <w:t xml:space="preserve">8.427382</w:t>
            </w:r>
          </w:p>
        </w:tc>
      </w:tr>
      <w:tr>
        <w:tc>
          <w:tcPr/>
          <w:p>
            <w:pPr>
              <w:pStyle w:val="Compact"/>
            </w:pPr>
            <w:r>
              <w:t xml:space="preserve">NiWo_1G</w:t>
            </w:r>
          </w:p>
        </w:tc>
        <w:tc>
          <w:tcPr/>
          <w:p>
            <w:pPr>
              <w:pStyle w:val="Compact"/>
            </w:pPr>
            <w:r>
              <w:t xml:space="preserve">0.490604</w:t>
            </w:r>
          </w:p>
        </w:tc>
        <w:tc>
          <w:tcPr/>
          <w:p>
            <w:pPr>
              <w:pStyle w:val="Compact"/>
            </w:pPr>
            <w:r>
              <w:t xml:space="preserve">-29.353340</w:t>
            </w:r>
          </w:p>
        </w:tc>
        <w:tc>
          <w:tcPr/>
          <w:p>
            <w:pPr>
              <w:pStyle w:val="Compact"/>
            </w:pPr>
            <w:r>
              <w:t xml:space="preserve">8.710480e+07</w:t>
            </w:r>
          </w:p>
        </w:tc>
        <w:tc>
          <w:tcPr/>
          <w:p>
            <w:pPr>
              <w:pStyle w:val="Compact"/>
            </w:pPr>
            <w:r>
              <w:t xml:space="preserve">-36.691675</w:t>
            </w:r>
          </w:p>
        </w:tc>
        <w:tc>
          <w:tcPr/>
          <w:p>
            <w:pPr>
              <w:pStyle w:val="Compact"/>
            </w:pPr>
            <w:r>
              <w:t xml:space="preserve">-21.055233</w:t>
            </w:r>
          </w:p>
        </w:tc>
      </w:tr>
      <w:tr>
        <w:tc>
          <w:tcPr/>
          <w:p>
            <w:pPr>
              <w:pStyle w:val="Compact"/>
            </w:pPr>
            <w:r>
              <w:t xml:space="preserve">NiWo_2G</w:t>
            </w:r>
          </w:p>
        </w:tc>
        <w:tc>
          <w:tcPr/>
          <w:p>
            <w:pPr>
              <w:pStyle w:val="Compact"/>
            </w:pPr>
            <w:r>
              <w:t xml:space="preserve">0.874806</w:t>
            </w:r>
          </w:p>
        </w:tc>
        <w:tc>
          <w:tcPr/>
          <w:p>
            <w:pPr>
              <w:pStyle w:val="Compact"/>
            </w:pPr>
            <w:r>
              <w:t xml:space="preserve">-13.124038</w:t>
            </w:r>
          </w:p>
        </w:tc>
        <w:tc>
          <w:tcPr/>
          <w:p>
            <w:pPr>
              <w:pStyle w:val="Compact"/>
            </w:pPr>
            <w:r>
              <w:t xml:space="preserve">1.368895e+08</w:t>
            </w:r>
          </w:p>
        </w:tc>
        <w:tc>
          <w:tcPr/>
          <w:p>
            <w:pPr>
              <w:pStyle w:val="Compact"/>
            </w:pPr>
            <w:r>
              <w:t xml:space="preserve">-16.405047</w:t>
            </w:r>
          </w:p>
        </w:tc>
        <w:tc>
          <w:tcPr/>
          <w:p>
            <w:pPr>
              <w:pStyle w:val="Compact"/>
            </w:pPr>
            <w:r>
              <w:t xml:space="preserve">-3.264162</w:t>
            </w:r>
          </w:p>
        </w:tc>
      </w:tr>
      <w:tr>
        <w:tc>
          <w:tcPr/>
          <w:p>
            <w:pPr>
              <w:pStyle w:val="Compact"/>
            </w:pPr>
            <w:r>
              <w:t xml:space="preserve">NiWo_3G</w:t>
            </w:r>
          </w:p>
        </w:tc>
        <w:tc>
          <w:tcPr/>
          <w:p>
            <w:pPr>
              <w:pStyle w:val="Compact"/>
            </w:pPr>
            <w:r>
              <w:t xml:space="preserve">2.183130</w:t>
            </w:r>
          </w:p>
        </w:tc>
        <w:tc>
          <w:tcPr/>
          <w:p>
            <w:pPr>
              <w:pStyle w:val="Compact"/>
            </w:pPr>
            <w:r>
              <w:t xml:space="preserve">3.923841</w:t>
            </w:r>
          </w:p>
        </w:tc>
        <w:tc>
          <w:tcPr/>
          <w:p>
            <w:pPr>
              <w:pStyle w:val="Compact"/>
            </w:pPr>
            <w:r>
              <w:t xml:space="preserve">1.875395e+08</w:t>
            </w:r>
          </w:p>
        </w:tc>
        <w:tc>
          <w:tcPr/>
          <w:p>
            <w:pPr>
              <w:pStyle w:val="Compact"/>
            </w:pPr>
            <w:r>
              <w:t xml:space="preserve">4.904801</w:t>
            </w:r>
          </w:p>
        </w:tc>
        <w:tc>
          <w:tcPr/>
          <w:p>
            <w:pPr>
              <w:pStyle w:val="Compact"/>
            </w:pPr>
            <w:r>
              <w:t xml:space="preserve">13.370295</w:t>
            </w:r>
          </w:p>
        </w:tc>
      </w:tr>
      <w:tr>
        <w:tc>
          <w:tcPr/>
          <w:p>
            <w:pPr>
              <w:pStyle w:val="Compact"/>
            </w:pPr>
            <w:r>
              <w:t xml:space="preserve">RH_2G</w:t>
            </w:r>
          </w:p>
        </w:tc>
        <w:tc>
          <w:tcPr/>
          <w:p>
            <w:pPr>
              <w:pStyle w:val="Compact"/>
            </w:pPr>
            <w:r>
              <w:t xml:space="preserve">0.614984</w:t>
            </w:r>
          </w:p>
        </w:tc>
        <w:tc>
          <w:tcPr/>
          <w:p>
            <w:pPr>
              <w:pStyle w:val="Compact"/>
            </w:pPr>
            <w:r>
              <w:t xml:space="preserve">-22.798103</w:t>
            </w:r>
          </w:p>
        </w:tc>
        <w:tc>
          <w:tcPr/>
          <w:p>
            <w:pPr>
              <w:pStyle w:val="Compact"/>
            </w:pPr>
            <w:r>
              <w:t xml:space="preserve">1.724298e+08</w:t>
            </w:r>
          </w:p>
        </w:tc>
        <w:tc>
          <w:tcPr/>
          <w:p>
            <w:pPr>
              <w:pStyle w:val="Compact"/>
            </w:pPr>
            <w:r>
              <w:t xml:space="preserve">-28.497629</w:t>
            </w:r>
          </w:p>
        </w:tc>
        <w:tc>
          <w:tcPr/>
          <w:p>
            <w:pPr>
              <w:pStyle w:val="Compact"/>
            </w:pPr>
            <w:r>
              <w:t xml:space="preserve">-13.339407</w:t>
            </w:r>
          </w:p>
        </w:tc>
      </w:tr>
    </w:tbl>
    <w:p>
      <w:pPr>
        <w:pStyle w:val="BodyText"/>
      </w:pPr>
      <w:r>
        <w:drawing>
          <wp:inline>
            <wp:extent cx="5334000" cy="1909955"/>
            <wp:effectExtent b="0" l="0" r="0" t="0"/>
            <wp:docPr descr="" title="" id="529" name="Picture"/>
            <a:graphic>
              <a:graphicData uri="http://schemas.openxmlformats.org/drawingml/2006/picture">
                <pic:pic>
                  <pic:nvPicPr>
                    <pic:cNvPr descr="Berechnungen\gebaeudesektormodell/Gebaeudesektormodell_files/figure-docx/cell-8-output-3.png" id="530" name="Picture"/>
                    <pic:cNvPicPr>
                      <a:picLocks noChangeArrowheads="1" noChangeAspect="1"/>
                    </pic:cNvPicPr>
                  </pic:nvPicPr>
                  <pic:blipFill>
                    <a:blip r:embed="rId528"/>
                    <a:stretch>
                      <a:fillRect/>
                    </a:stretch>
                  </pic:blipFill>
                  <pic:spPr bwMode="auto">
                    <a:xfrm>
                      <a:off x="0" y="0"/>
                      <a:ext cx="5334000" cy="1909955"/>
                    </a:xfrm>
                    <a:prstGeom prst="rect">
                      <a:avLst/>
                    </a:prstGeom>
                    <a:noFill/>
                    <a:ln w="9525">
                      <a:noFill/>
                      <a:headEnd/>
                      <a:tailEnd/>
                    </a:ln>
                  </pic:spPr>
                </pic:pic>
              </a:graphicData>
            </a:graphic>
          </wp:inline>
        </w:drawing>
      </w:r>
    </w:p>
    <w:p>
      <w:pPr>
        <w:pStyle w:val="SourceCode"/>
      </w:pPr>
      <w:r>
        <w:rPr>
          <w:rStyle w:val="VerbatimChar"/>
        </w:rPr>
        <w:t xml:space="preserve">C:\Users\schneids\AppData\Roaming\Python\Python313\site-packages\IPython\core\display.py:447: UserWarning: Consider using IPython.display.IFrame instead</w:t>
      </w:r>
      <w:r>
        <w:br/>
      </w:r>
      <w:r>
        <w:rPr>
          <w:rStyle w:val="VerbatimChar"/>
        </w:rPr>
        <w:t xml:space="preserve">  warnings.warn("Consider using IPython.display.IFrame instead")</w:t>
      </w:r>
    </w:p>
    <w:p>
      <w:pPr>
        <w:pStyle w:val="SourceCode"/>
      </w:pPr>
      <w:r>
        <w:rPr>
          <w:rStyle w:val="VerbatimChar"/>
        </w:rPr>
        <w:t xml:space="preserve">&lt;IPython.core.display.HTML object&gt;</w:t>
      </w:r>
    </w:p>
    <w:bookmarkEnd w:id="531"/>
    <w:bookmarkEnd w:id="532"/>
    <w:bookmarkStart w:id="533" w:name="sec-gebaeude-abgleich"/>
    <w:p>
      <w:pPr>
        <w:pStyle w:val="Heading2"/>
      </w:pPr>
      <w:r>
        <w:t xml:space="preserve">E.8 8. Abgleich mit der sektoralen Allokation und Grenzen</w:t>
      </w:r>
    </w:p>
    <w:p>
      <w:pPr>
        <w:pStyle w:val="FirstParagraph"/>
      </w:pPr>
      <w:r>
        <w:t xml:space="preserve">Zunächst wird der</w:t>
      </w:r>
      <w:r>
        <w:t xml:space="preserve"> </w:t>
      </w:r>
      <w:r>
        <w:rPr>
          <w:b/>
          <w:bCs/>
        </w:rPr>
        <w:t xml:space="preserve">betriebliche Stromsaldo</w:t>
      </w:r>
      <w:r>
        <w:t xml:space="preserve"> </w:t>
      </w:r>
      <w:r>
        <w:t xml:space="preserve">mit Gebäude-PV minus Gebäudestrom aus der UBA-Allokation verglichen. Erst danach werden identische MIV-Mengen auf beiden Seiten einbezogen:</w:t>
      </w:r>
    </w:p>
    <w:p>
      <w:pPr>
        <w:pStyle w:val="BodyText"/>
      </w:pPr>
      <m:oMathPara>
        <m:oMathParaPr>
          <m:jc m:val="center"/>
        </m:oMathParaPr>
        <m:oMath>
          <m:sSub>
            <m:e>
              <m:r>
                <m:t>B</m:t>
              </m:r>
            </m:e>
            <m:sub>
              <m:r>
                <m:t>B</m:t>
              </m:r>
              <m:r>
                <m:t>U</m:t>
              </m:r>
              <m:r>
                <m:rPr>
                  <m:sty m:val="p"/>
                </m:rPr>
                <m:t>,</m:t>
              </m:r>
              <m:r>
                <m:t>e</m:t>
              </m:r>
              <m:r>
                <m:t>r</m:t>
              </m:r>
              <m:r>
                <m:t>w</m:t>
              </m:r>
              <m:r>
                <m:t>e</m:t>
              </m:r>
              <m:r>
                <m:t>i</m:t>
              </m:r>
              <m:r>
                <m:t>t</m:t>
              </m:r>
              <m:r>
                <m:t>e</m:t>
              </m:r>
              <m:r>
                <m:t>r</m:t>
              </m:r>
              <m:r>
                <m:t>t</m:t>
              </m:r>
            </m:sub>
          </m:sSub>
          <m:r>
            <m:rPr>
              <m:sty m:val="p"/>
            </m:rPr>
            <m:t>=</m:t>
          </m:r>
          <m:sSub>
            <m:e>
              <m:r>
                <m:t>B</m:t>
              </m:r>
            </m:e>
            <m:sub>
              <m:r>
                <m:t>B</m:t>
              </m:r>
              <m:r>
                <m:t>U</m:t>
              </m:r>
              <m:r>
                <m:rPr>
                  <m:sty m:val="p"/>
                </m:rPr>
                <m:t>,</m:t>
              </m:r>
              <m:r>
                <m:t>B</m:t>
              </m:r>
              <m:r>
                <m:t>e</m:t>
              </m:r>
              <m:r>
                <m:t>t</m:t>
              </m:r>
              <m:r>
                <m:t>r</m:t>
              </m:r>
              <m:r>
                <m:t>i</m:t>
              </m:r>
              <m:r>
                <m:t>e</m:t>
              </m:r>
              <m:r>
                <m:t>b</m:t>
              </m:r>
            </m:sub>
          </m:sSub>
          <m:r>
            <m:rPr>
              <m:sty m:val="p"/>
            </m:rPr>
            <m:t>+</m:t>
          </m:r>
          <m:sSub>
            <m:e>
              <m:r>
                <m:t>E</m:t>
              </m:r>
            </m:e>
            <m:sub>
              <m:r>
                <m:t>M</m:t>
              </m:r>
              <m:r>
                <m:t>I</m:t>
              </m:r>
              <m:r>
                <m:t>V</m:t>
              </m:r>
              <m:r>
                <m:rPr>
                  <m:sty m:val="p"/>
                </m:rPr>
                <m:t>,</m:t>
              </m:r>
              <m:r>
                <m:t>B</m:t>
              </m:r>
              <m:r>
                <m:t>u</m:t>
              </m:r>
              <m:r>
                <m:t>d</m:t>
              </m:r>
              <m:r>
                <m:t>g</m:t>
              </m:r>
              <m:r>
                <m:t>e</m:t>
              </m:r>
              <m:r>
                <m:t>t</m:t>
              </m:r>
            </m:sub>
          </m:sSub>
          <m:r>
            <m:rPr>
              <m:sty m:val="p"/>
            </m:rPr>
            <m:t>−</m:t>
          </m:r>
          <m:sSub>
            <m:e>
              <m:r>
                <m:t>E</m:t>
              </m:r>
            </m:e>
            <m:sub>
              <m:r>
                <m:t>M</m:t>
              </m:r>
              <m:r>
                <m:t>I</m:t>
              </m:r>
              <m:r>
                <m:t>V</m:t>
              </m:r>
              <m:r>
                <m:rPr>
                  <m:sty m:val="p"/>
                </m:rPr>
                <m:t>,</m:t>
              </m:r>
              <m:r>
                <m:t>B</m:t>
              </m:r>
              <m:r>
                <m:t>e</m:t>
              </m:r>
              <m:r>
                <m:t>d</m:t>
              </m:r>
              <m:r>
                <m:t>a</m:t>
              </m:r>
              <m:r>
                <m:t>r</m:t>
              </m:r>
              <m:r>
                <m:t>f</m:t>
              </m:r>
            </m:sub>
          </m:sSub>
          <m:r>
            <m:rPr>
              <m:sty m:val="p"/>
            </m:rPr>
            <m:t>.</m:t>
          </m:r>
        </m:oMath>
      </m:oMathPara>
    </w:p>
    <w:p>
      <w:pPr>
        <w:pStyle w:val="FirstParagraph"/>
      </w:pPr>
      <w:r>
        <w:t xml:space="preserve">Das verändert die Differenz nicht. Zusätzliche virtuelle Dichtewerte werden hier</w:t>
      </w:r>
      <w:r>
        <w:t xml:space="preserve"> </w:t>
      </w:r>
      <w:r>
        <w:rPr>
          <w:b/>
          <w:bCs/>
        </w:rPr>
        <w:t xml:space="preserve">nicht</w:t>
      </w:r>
      <w:r>
        <w:t xml:space="preserve"> </w:t>
      </w:r>
      <w:r>
        <w:t xml:space="preserve">addiert: Sie würden ohne freigegebene PEQ-Flächenanteile und Zielwertdefinition eine neue Bilanzgrenze erzeugen. Ebenso dürfen thermische Endenergien nicht kommentarlos mit einem reinen Stromziel verglichen werden.</w:t>
      </w:r>
    </w:p>
    <w:p>
      <w:pPr>
        <w:pStyle w:val="BodyText"/>
      </w:pPr>
      <w:r>
        <w:t xml:space="preserve">Der Pool enthält durchgehend PV30/noFlex und weiterhin fossile Wärmeversorgung im Zieljahr. Ein Abstand zu Transition ist daher ein</w:t>
      </w:r>
      <w:r>
        <w:t xml:space="preserve"> </w:t>
      </w:r>
      <w:r>
        <w:rPr>
          <w:b/>
          <w:bCs/>
        </w:rPr>
        <w:t xml:space="preserve">inhaltlicher Szenariobefund</w:t>
      </w:r>
      <w:r>
        <w:t xml:space="preserve">, kein Rundungsfehler, der durch Skalieren zu beseitigen wäre. Der PEQ-Anteil ist in der Reinschrift als offenes Eingabefeld vorbereitet. Die Zahl allein, etwa ein positiver Stromsaldo eines Typs, belegt keine Standardkonformität.</w:t>
      </w:r>
    </w:p>
    <w:p>
      <w:pPr>
        <w:pStyle w:val="BodyText"/>
      </w:pPr>
      <w:r>
        <w:t xml:space="preserve">Das Vergleichsdiagramm verwendet drei Gruppen:</w:t>
      </w:r>
      <w:r>
        <w:t xml:space="preserve"> </w:t>
      </w:r>
      <w:r>
        <w:rPr>
          <w:b/>
          <w:bCs/>
        </w:rPr>
        <w:t xml:space="preserve">Top-down (UBA-Allokation)</w:t>
      </w:r>
      <w:r>
        <w:t xml:space="preserve">,</w:t>
      </w:r>
      <w:r>
        <w:t xml:space="preserve"> </w:t>
      </w:r>
      <w:r>
        <w:rPr>
          <w:b/>
          <w:bCs/>
        </w:rPr>
        <w:t xml:space="preserve">Bottom-up (gelieferter Gebäudepool)</w:t>
      </w:r>
      <w:r>
        <w:t xml:space="preserve"> </w:t>
      </w:r>
      <w:r>
        <w:t xml:space="preserve">und</w:t>
      </w:r>
      <w:r>
        <w:t xml:space="preserve"> </w:t>
      </w:r>
      <w:r>
        <w:rPr>
          <w:b/>
          <w:bCs/>
        </w:rPr>
        <w:t xml:space="preserve">Bottom-up mit historischer Dichteformel</w:t>
      </w:r>
      <w:r>
        <w:t xml:space="preserve">.</w:t>
      </w:r>
      <w:r>
        <w:t xml:space="preserve"> </w:t>
      </w:r>
      <w:r>
        <w:t xml:space="preserve">Alle Gruppen enthalten dieselben MIV-Mengen. Die dritte Gruppe enthält zusätzlich</w:t>
      </w:r>
      <w:r>
        <w:t xml:space="preserve"> </w:t>
      </w:r>
      <w:r>
        <w:t xml:space="preserve">den schraffierten virtuellen Dichtebeitrag. Ihr Saldo ist ein Bewertungssaldo in</w:t>
      </w:r>
      <w:r>
        <w:t xml:space="preserve"> </w:t>
      </w:r>
      <w:r>
        <w:t xml:space="preserve">PJ-EE-Äquivalent/a; Bedarf und PV bleiben physische Jahresstrommengen. Der Ansatz</w:t>
      </w:r>
      <w:r>
        <w:t xml:space="preserve"> </w:t>
      </w:r>
      <w:r>
        <w:t xml:space="preserve">macht die Wirkung der Dichteformel sichtbar, ohne sie als neue Kalibrierung auszugeben.</w:t>
      </w:r>
    </w:p>
    <w:p>
      <w:pPr>
        <w:pStyle w:val="SourceCode"/>
      </w:pPr>
      <w:r>
        <w:rPr>
          <w:rStyle w:val="NormalTok"/>
        </w:rPr>
        <w:t xml:space="preserve">allocation_path</w:t>
      </w:r>
      <w:r>
        <w:rPr>
          <w:rStyle w:val="OperatorTok"/>
        </w:rPr>
        <w:t xml:space="preserve">=</w:t>
      </w:r>
      <w:r>
        <w:rPr>
          <w:rStyle w:val="NormalTok"/>
        </w:rPr>
        <w:t xml:space="preserve">ROOT</w:t>
      </w:r>
      <w:r>
        <w:rPr>
          <w:rStyle w:val="OperatorTok"/>
        </w:rPr>
        <w:t xml:space="preserve">/</w:t>
      </w:r>
      <w:r>
        <w:rPr>
          <w:rStyle w:val="StringTok"/>
        </w:rPr>
        <w:t xml:space="preserve">'Berechnungen/sektorenmodell/outputs/allokation/allokation.json'</w:t>
      </w:r>
      <w:r>
        <w:br/>
      </w:r>
      <w:r>
        <w:rPr>
          <w:rStyle w:val="NormalTok"/>
        </w:rPr>
        <w:t xml:space="preserve">allocation</w:t>
      </w:r>
      <w:r>
        <w:rPr>
          <w:rStyle w:val="OperatorTok"/>
        </w:rPr>
        <w:t xml:space="preserve">=</w:t>
      </w:r>
      <w:r>
        <w:rPr>
          <w:rStyle w:val="NormalTok"/>
        </w:rPr>
        <w:t xml:space="preserve">json.loads(allocation_path.read_text(encoding</w:t>
      </w:r>
      <w:r>
        <w:rPr>
          <w:rStyle w:val="OperatorTok"/>
        </w:rPr>
        <w:t xml:space="preserve">=</w:t>
      </w:r>
      <w:r>
        <w:rPr>
          <w:rStyle w:val="StringTok"/>
        </w:rPr>
        <w:t xml:space="preserve">'utf-8'</w:t>
      </w:r>
      <w:r>
        <w:rPr>
          <w:rStyle w:val="NormalTok"/>
        </w:rPr>
        <w:t xml:space="preserve">))</w:t>
      </w:r>
      <w:r>
        <w:rPr>
          <w:rStyle w:val="OperatorTok"/>
        </w:rPr>
        <w:t xml:space="preserve">;</w:t>
      </w:r>
      <w:r>
        <w:rPr>
          <w:rStyle w:val="NormalTok"/>
        </w:rPr>
        <w:t xml:space="preserve"> top</w:t>
      </w:r>
      <w:r>
        <w:rPr>
          <w:rStyle w:val="OperatorTok"/>
        </w:rPr>
        <w:t xml:space="preserve">=</w:t>
      </w:r>
      <w:r>
        <w:rPr>
          <w:rStyle w:val="NormalTok"/>
        </w:rPr>
        <w:t xml:space="preserve">allocation[</w:t>
      </w:r>
      <w:r>
        <w:rPr>
          <w:rStyle w:val="StringTok"/>
        </w:rPr>
        <w:t xml:space="preserve">'result'</w:t>
      </w:r>
      <w:r>
        <w:rPr>
          <w:rStyle w:val="NormalTok"/>
        </w:rPr>
        <w:t xml:space="preserve">]</w:t>
      </w:r>
      <w:r>
        <w:br/>
      </w:r>
      <w:r>
        <w:rPr>
          <w:rStyle w:val="KeywordTok"/>
        </w:rPr>
        <w:t xml:space="preserve">def</w:t>
      </w:r>
      <w:r>
        <w:rPr>
          <w:rStyle w:val="NormalTok"/>
        </w:rPr>
        <w:t xml:space="preserve"> val(metric):</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(energy.loc[energy.Stand.eq(</w:t>
      </w:r>
      <w:r>
        <w:rPr>
          <w:rStyle w:val="StringTok"/>
        </w:rPr>
        <w:t xml:space="preserve">'2040'</w:t>
      </w:r>
      <w:r>
        <w:rPr>
          <w:rStyle w:val="NormalTok"/>
        </w:rPr>
        <w:t xml:space="preserve">) </w:t>
      </w:r>
      <w:r>
        <w:rPr>
          <w:rStyle w:val="OperatorTok"/>
        </w:rPr>
        <w:t xml:space="preserve">&amp;</w:t>
      </w:r>
      <w:r>
        <w:rPr>
          <w:rStyle w:val="NormalTok"/>
        </w:rPr>
        <w:t xml:space="preserve"> energy[</w:t>
      </w:r>
      <w:r>
        <w:rPr>
          <w:rStyle w:val="StringTok"/>
        </w:rPr>
        <w:t xml:space="preserve">'Größe'</w:t>
      </w:r>
      <w:r>
        <w:rPr>
          <w:rStyle w:val="NormalTok"/>
        </w:rPr>
        <w:t xml:space="preserve">].eq(metric),</w:t>
      </w:r>
      <w:r>
        <w:rPr>
          <w:rStyle w:val="StringTok"/>
        </w:rPr>
        <w:t xml:space="preserve">'PJ/a'</w:t>
      </w:r>
      <w:r>
        <w:rPr>
          <w:rStyle w:val="NormalTok"/>
        </w:rPr>
        <w:t xml:space="preserve">].iloc[</w:t>
      </w:r>
      <w:r>
        <w:rPr>
          <w:rStyle w:val="DecValTok"/>
        </w:rPr>
        <w:t xml:space="preserve">0</w:t>
      </w:r>
      <w:r>
        <w:rPr>
          <w:rStyle w:val="NormalTok"/>
        </w:rPr>
        <w:t xml:space="preserve">])</w:t>
      </w:r>
      <w:r>
        <w:br/>
      </w:r>
      <w:r>
        <w:rPr>
          <w:rStyle w:val="NormalTok"/>
        </w:rPr>
        <w:t xml:space="preserve">operating</w:t>
      </w:r>
      <w:r>
        <w:rPr>
          <w:rStyle w:val="OperatorTok"/>
        </w:rPr>
        <w:t xml:space="preserve">=</w:t>
      </w:r>
      <w:r>
        <w:rPr>
          <w:rStyle w:val="NormalTok"/>
        </w:rPr>
        <w:t xml:space="preserve">val(</w:t>
      </w:r>
      <w:r>
        <w:rPr>
          <w:rStyle w:val="StringTok"/>
        </w:rPr>
        <w:t xml:space="preserve">'Stromsaldo'</w:t>
      </w:r>
      <w:r>
        <w:rPr>
          <w:rStyle w:val="NormalTok"/>
        </w:rPr>
        <w:t xml:space="preserve">)</w:t>
      </w:r>
      <w:r>
        <w:br/>
      </w:r>
      <w:r>
        <w:rPr>
          <w:rStyle w:val="NormalTok"/>
        </w:rPr>
        <w:t xml:space="preserve">extended</w:t>
      </w:r>
      <w:r>
        <w:rPr>
          <w:rStyle w:val="OperatorTok"/>
        </w:rPr>
        <w:t xml:space="preserve">=</w:t>
      </w:r>
      <w:r>
        <w:rPr>
          <w:rStyle w:val="NormalTok"/>
        </w:rPr>
        <w:t xml:space="preserve">operating</w:t>
      </w:r>
      <w:r>
        <w:rPr>
          <w:rStyle w:val="OperatorTok"/>
        </w:rPr>
        <w:t xml:space="preserve">+</w:t>
      </w:r>
      <w:r>
        <w:rPr>
          <w:rStyle w:val="NormalTok"/>
        </w:rPr>
        <w:t xml:space="preserve">top[</w:t>
      </w:r>
      <w:r>
        <w:rPr>
          <w:rStyle w:val="StringTok"/>
        </w:rPr>
        <w:t xml:space="preserve">'central_credit_pj'</w:t>
      </w:r>
      <w:r>
        <w:rPr>
          <w:rStyle w:val="NormalTok"/>
        </w:rPr>
        <w:t xml:space="preserve">]</w:t>
      </w:r>
      <w:r>
        <w:rPr>
          <w:rStyle w:val="OperatorTok"/>
        </w:rPr>
        <w:t xml:space="preserve">-</w:t>
      </w:r>
      <w:r>
        <w:rPr>
          <w:rStyle w:val="NormalTok"/>
        </w:rPr>
        <w:t xml:space="preserve">top[</w:t>
      </w:r>
      <w:r>
        <w:rPr>
          <w:rStyle w:val="StringTok"/>
        </w:rPr>
        <w:t xml:space="preserve">'miv_demand_pj'</w:t>
      </w:r>
      <w:r>
        <w:rPr>
          <w:rStyle w:val="NormalTok"/>
        </w:rPr>
        <w:t xml:space="preserve">]</w:t>
      </w:r>
      <w:r>
        <w:br/>
      </w:r>
      <w:r>
        <w:rPr>
          <w:rStyle w:val="NormalTok"/>
        </w:rPr>
        <w:t xml:space="preserve">comparison</w:t>
      </w:r>
      <w:r>
        <w:rPr>
          <w:rStyle w:val="OperatorTok"/>
        </w:rPr>
        <w:t xml:space="preserve">=</w:t>
      </w:r>
      <w:r>
        <w:rPr>
          <w:rStyle w:val="NormalTok"/>
        </w:rPr>
        <w:t xml:space="preserve">pd.DataFrame([</w:t>
      </w:r>
      <w:r>
        <w:br/>
      </w:r>
      <w:r>
        <w:rPr>
          <w:rStyle w:val="NormalTok"/>
        </w:rPr>
        <w:t xml:space="preserve"> {</w:t>
      </w:r>
      <w:r>
        <w:rPr>
          <w:rStyle w:val="StringTok"/>
        </w:rPr>
        <w:t xml:space="preserve">'Größe'</w:t>
      </w:r>
      <w:r>
        <w:rPr>
          <w:rStyle w:val="NormalTok"/>
        </w:rPr>
        <w:t xml:space="preserve">:</w:t>
      </w:r>
      <w:r>
        <w:rPr>
          <w:rStyle w:val="StringTok"/>
        </w:rPr>
        <w:t xml:space="preserve">'PV-Erzeugung'</w:t>
      </w:r>
      <w:r>
        <w:rPr>
          <w:rStyle w:val="NormalTok"/>
        </w:rPr>
        <w:t xml:space="preserve">,</w:t>
      </w:r>
      <w:r>
        <w:rPr>
          <w:rStyle w:val="StringTok"/>
        </w:rPr>
        <w:t xml:space="preserve">'Bottom-up [PJ/a]'</w:t>
      </w:r>
      <w:r>
        <w:rPr>
          <w:rStyle w:val="NormalTok"/>
        </w:rPr>
        <w:t xml:space="preserve">:val(</w:t>
      </w:r>
      <w:r>
        <w:rPr>
          <w:rStyle w:val="StringTok"/>
        </w:rPr>
        <w:t xml:space="preserve">'PV_Erzeugung'</w:t>
      </w:r>
      <w:r>
        <w:rPr>
          <w:rStyle w:val="NormalTok"/>
        </w:rPr>
        <w:t xml:space="preserve">),</w:t>
      </w:r>
      <w:r>
        <w:rPr>
          <w:rStyle w:val="StringTok"/>
        </w:rPr>
        <w:t xml:space="preserve">'Top-down [PJ/a]'</w:t>
      </w:r>
      <w:r>
        <w:rPr>
          <w:rStyle w:val="NormalTok"/>
        </w:rPr>
        <w:t xml:space="preserve">:top[</w:t>
      </w:r>
      <w:r>
        <w:rPr>
          <w:rStyle w:val="StringTok"/>
        </w:rPr>
        <w:t xml:space="preserve">'building_pv_pj'</w:t>
      </w:r>
      <w:r>
        <w:rPr>
          <w:rStyle w:val="NormalTok"/>
        </w:rPr>
        <w:t xml:space="preserve">]},</w:t>
      </w:r>
      <w:r>
        <w:br/>
      </w:r>
      <w:r>
        <w:rPr>
          <w:rStyle w:val="NormalTok"/>
        </w:rPr>
        <w:t xml:space="preserve"> {</w:t>
      </w:r>
      <w:r>
        <w:rPr>
          <w:rStyle w:val="StringTok"/>
        </w:rPr>
        <w:t xml:space="preserve">'Größe'</w:t>
      </w:r>
      <w:r>
        <w:rPr>
          <w:rStyle w:val="NormalTok"/>
        </w:rPr>
        <w:t xml:space="preserve">:</w:t>
      </w:r>
      <w:r>
        <w:rPr>
          <w:rStyle w:val="StringTok"/>
        </w:rPr>
        <w:t xml:space="preserve">'Gebäudestrombedarf'</w:t>
      </w:r>
      <w:r>
        <w:rPr>
          <w:rStyle w:val="NormalTok"/>
        </w:rPr>
        <w:t xml:space="preserve">,</w:t>
      </w:r>
      <w:r>
        <w:rPr>
          <w:rStyle w:val="StringTok"/>
        </w:rPr>
        <w:t xml:space="preserve">'Bottom-up [PJ/a]'</w:t>
      </w:r>
      <w:r>
        <w:rPr>
          <w:rStyle w:val="NormalTok"/>
        </w:rPr>
        <w:t xml:space="preserve">:val(</w:t>
      </w:r>
      <w:r>
        <w:rPr>
          <w:rStyle w:val="StringTok"/>
        </w:rPr>
        <w:t xml:space="preserve">'Strombedarf'</w:t>
      </w:r>
      <w:r>
        <w:rPr>
          <w:rStyle w:val="NormalTok"/>
        </w:rPr>
        <w:t xml:space="preserve">),</w:t>
      </w:r>
      <w:r>
        <w:rPr>
          <w:rStyle w:val="StringTok"/>
        </w:rPr>
        <w:t xml:space="preserve">'Top-down [PJ/a]'</w:t>
      </w:r>
      <w:r>
        <w:rPr>
          <w:rStyle w:val="NormalTok"/>
        </w:rPr>
        <w:t xml:space="preserve">:top[</w:t>
      </w:r>
      <w:r>
        <w:rPr>
          <w:rStyle w:val="StringTok"/>
        </w:rPr>
        <w:t xml:space="preserve">'building_pv_pj'</w:t>
      </w:r>
      <w:r>
        <w:rPr>
          <w:rStyle w:val="NormalTok"/>
        </w:rPr>
        <w:t xml:space="preserve">]</w:t>
      </w:r>
      <w:r>
        <w:rPr>
          <w:rStyle w:val="OperatorTok"/>
        </w:rPr>
        <w:t xml:space="preserve">-</w:t>
      </w:r>
      <w:r>
        <w:rPr>
          <w:rStyle w:val="NormalTok"/>
        </w:rPr>
        <w:t xml:space="preserve">top[</w:t>
      </w:r>
      <w:r>
        <w:rPr>
          <w:rStyle w:val="StringTok"/>
        </w:rPr>
        <w:t xml:space="preserve">'building_operation_pj'</w:t>
      </w:r>
      <w:r>
        <w:rPr>
          <w:rStyle w:val="NormalTok"/>
        </w:rPr>
        <w:t xml:space="preserve">]},</w:t>
      </w:r>
      <w:r>
        <w:br/>
      </w:r>
      <w:r>
        <w:rPr>
          <w:rStyle w:val="NormalTok"/>
        </w:rPr>
        <w:t xml:space="preserve"> {</w:t>
      </w:r>
      <w:r>
        <w:rPr>
          <w:rStyle w:val="StringTok"/>
        </w:rPr>
        <w:t xml:space="preserve">'Größe'</w:t>
      </w:r>
      <w:r>
        <w:rPr>
          <w:rStyle w:val="NormalTok"/>
        </w:rPr>
        <w:t xml:space="preserve">:</w:t>
      </w:r>
      <w:r>
        <w:rPr>
          <w:rStyle w:val="StringTok"/>
        </w:rPr>
        <w:t xml:space="preserve">'Betrieblicher Stromsaldo'</w:t>
      </w:r>
      <w:r>
        <w:rPr>
          <w:rStyle w:val="NormalTok"/>
        </w:rPr>
        <w:t xml:space="preserve">,</w:t>
      </w:r>
      <w:r>
        <w:rPr>
          <w:rStyle w:val="StringTok"/>
        </w:rPr>
        <w:t xml:space="preserve">'Bottom-up [PJ/a]'</w:t>
      </w:r>
      <w:r>
        <w:rPr>
          <w:rStyle w:val="NormalTok"/>
        </w:rPr>
        <w:t xml:space="preserve">:operating,</w:t>
      </w:r>
      <w:r>
        <w:rPr>
          <w:rStyle w:val="StringTok"/>
        </w:rPr>
        <w:t xml:space="preserve">'Top-down [PJ/a]'</w:t>
      </w:r>
      <w:r>
        <w:rPr>
          <w:rStyle w:val="NormalTok"/>
        </w:rPr>
        <w:t xml:space="preserve">:top[</w:t>
      </w:r>
      <w:r>
        <w:rPr>
          <w:rStyle w:val="StringTok"/>
        </w:rPr>
        <w:t xml:space="preserve">'building_operation_pj'</w:t>
      </w:r>
      <w:r>
        <w:rPr>
          <w:rStyle w:val="NormalTok"/>
        </w:rPr>
        <w:t xml:space="preserve">]},</w:t>
      </w:r>
      <w:r>
        <w:br/>
      </w:r>
      <w:r>
        <w:rPr>
          <w:rStyle w:val="NormalTok"/>
        </w:rPr>
        <w:t xml:space="preserve"> {</w:t>
      </w:r>
      <w:r>
        <w:rPr>
          <w:rStyle w:val="StringTok"/>
        </w:rPr>
        <w:t xml:space="preserve">'Größe'</w:t>
      </w:r>
      <w:r>
        <w:rPr>
          <w:rStyle w:val="NormalTok"/>
        </w:rPr>
        <w:t xml:space="preserve">:</w:t>
      </w:r>
      <w:r>
        <w:rPr>
          <w:rStyle w:val="StringTok"/>
        </w:rPr>
        <w:t xml:space="preserve">'Saldo einschließlich MIV'</w:t>
      </w:r>
      <w:r>
        <w:rPr>
          <w:rStyle w:val="NormalTok"/>
        </w:rPr>
        <w:t xml:space="preserve">,</w:t>
      </w:r>
      <w:r>
        <w:rPr>
          <w:rStyle w:val="StringTok"/>
        </w:rPr>
        <w:t xml:space="preserve">'Bottom-up [PJ/a]'</w:t>
      </w:r>
      <w:r>
        <w:rPr>
          <w:rStyle w:val="NormalTok"/>
        </w:rPr>
        <w:t xml:space="preserve">:extended,</w:t>
      </w:r>
      <w:r>
        <w:rPr>
          <w:rStyle w:val="StringTok"/>
        </w:rPr>
        <w:t xml:space="preserve">'Top-down [PJ/a]'</w:t>
      </w:r>
      <w:r>
        <w:rPr>
          <w:rStyle w:val="NormalTok"/>
        </w:rPr>
        <w:t xml:space="preserve">:top[</w:t>
      </w:r>
      <w:r>
        <w:rPr>
          <w:rStyle w:val="StringTok"/>
        </w:rPr>
        <w:t xml:space="preserve">'building_target_pj'</w:t>
      </w:r>
      <w:r>
        <w:rPr>
          <w:rStyle w:val="NormalTok"/>
        </w:rPr>
        <w:t xml:space="preserve">]}])</w:t>
      </w:r>
      <w:r>
        <w:br/>
      </w:r>
      <w:r>
        <w:rPr>
          <w:rStyle w:val="NormalTok"/>
        </w:rPr>
        <w:t xml:space="preserve">comparison[</w:t>
      </w:r>
      <w:r>
        <w:rPr>
          <w:rStyle w:val="StringTok"/>
        </w:rPr>
        <w:t xml:space="preserve">'Differenz [PJ/a]'</w:t>
      </w:r>
      <w:r>
        <w:rPr>
          <w:rStyle w:val="NormalTok"/>
        </w:rPr>
        <w:t xml:space="preserve">]</w:t>
      </w:r>
      <w:r>
        <w:rPr>
          <w:rStyle w:val="OperatorTok"/>
        </w:rPr>
        <w:t xml:space="preserve">=</w:t>
      </w:r>
      <w:r>
        <w:rPr>
          <w:rStyle w:val="NormalTok"/>
        </w:rPr>
        <w:t xml:space="preserve">comparison[</w:t>
      </w:r>
      <w:r>
        <w:rPr>
          <w:rStyle w:val="StringTok"/>
        </w:rPr>
        <w:t xml:space="preserve">'Bottom-up [PJ/a]'</w:t>
      </w:r>
      <w:r>
        <w:rPr>
          <w:rStyle w:val="NormalTok"/>
        </w:rPr>
        <w:t xml:space="preserve">]</w:t>
      </w:r>
      <w:r>
        <w:rPr>
          <w:rStyle w:val="OperatorTok"/>
        </w:rPr>
        <w:t xml:space="preserve">-</w:t>
      </w:r>
      <w:r>
        <w:rPr>
          <w:rStyle w:val="NormalTok"/>
        </w:rPr>
        <w:t xml:space="preserve">comparison[</w:t>
      </w:r>
      <w:r>
        <w:rPr>
          <w:rStyle w:val="StringTok"/>
        </w:rPr>
        <w:t xml:space="preserve">'Top-down [PJ/a]'</w:t>
      </w:r>
      <w:r>
        <w:rPr>
          <w:rStyle w:val="NormalTok"/>
        </w:rPr>
        <w:t xml:space="preserve">]</w:t>
      </w:r>
      <w:r>
        <w:br/>
      </w:r>
      <w:r>
        <w:rPr>
          <w:rStyle w:val="NormalTok"/>
        </w:rPr>
        <w:t xml:space="preserve">display(comparison)</w:t>
      </w:r>
      <w:r>
        <w:br/>
      </w:r>
      <w:r>
        <w:rPr>
          <w:rStyle w:val="ControlFlowTok"/>
        </w:rPr>
        <w:t xml:space="preserve">assert</w:t>
      </w:r>
      <w:r>
        <w:rPr>
          <w:rStyle w:val="NormalTok"/>
        </w:rPr>
        <w:t xml:space="preserve"> np.isclose(extended</w:t>
      </w:r>
      <w:r>
        <w:rPr>
          <w:rStyle w:val="OperatorTok"/>
        </w:rPr>
        <w:t xml:space="preserve">-</w:t>
      </w:r>
      <w:r>
        <w:rPr>
          <w:rStyle w:val="NormalTok"/>
        </w:rPr>
        <w:t xml:space="preserve">top[</w:t>
      </w:r>
      <w:r>
        <w:rPr>
          <w:rStyle w:val="StringTok"/>
        </w:rPr>
        <w:t xml:space="preserve">'building_target_pj'</w:t>
      </w:r>
      <w:r>
        <w:rPr>
          <w:rStyle w:val="NormalTok"/>
        </w:rPr>
        <w:t xml:space="preserve">],operating</w:t>
      </w:r>
      <w:r>
        <w:rPr>
          <w:rStyle w:val="OperatorTok"/>
        </w:rPr>
        <w:t xml:space="preserve">-</w:t>
      </w:r>
      <w:r>
        <w:rPr>
          <w:rStyle w:val="NormalTok"/>
        </w:rPr>
        <w:t xml:space="preserve">top[</w:t>
      </w:r>
      <w:r>
        <w:rPr>
          <w:rStyle w:val="StringTok"/>
        </w:rPr>
        <w:t xml:space="preserve">'building_operation_pj'</w:t>
      </w:r>
      <w:r>
        <w:rPr>
          <w:rStyle w:val="NormalTok"/>
        </w:rPr>
        <w:t xml:space="preserve">])</w:t>
      </w:r>
      <w:r>
        <w:br/>
      </w:r>
      <w:r>
        <w:rPr>
          <w:rStyle w:val="NormalTok"/>
        </w:rPr>
        <w:t xml:space="preserve">comparison.to_csv(OUT</w:t>
      </w:r>
      <w:r>
        <w:rPr>
          <w:rStyle w:val="OperatorTok"/>
        </w:rPr>
        <w:t xml:space="preserve">/</w:t>
      </w:r>
      <w:r>
        <w:rPr>
          <w:rStyle w:val="StringTok"/>
        </w:rPr>
        <w:t xml:space="preserve">'abgleich_allokation.csv'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'PEQ-Anteile offen:'</w:t>
      </w:r>
      <w:r>
        <w:rPr>
          <w:rStyle w:val="NormalTok"/>
        </w:rPr>
        <w:t xml:space="preserve">,data.PEQ_Anteil_2040.isna().</w:t>
      </w:r>
      <w:r>
        <w:rPr>
          <w:rStyle w:val="BuiltInTok"/>
        </w:rPr>
        <w:t xml:space="preserve">sum</w:t>
      </w:r>
      <w:r>
        <w:rPr>
          <w:rStyle w:val="NormalTok"/>
        </w:rPr>
        <w:t xml:space="preserve">(),</w:t>
      </w:r>
      <w:r>
        <w:rPr>
          <w:rStyle w:val="StringTok"/>
        </w:rPr>
        <w:t xml:space="preserve">'von'</w:t>
      </w:r>
      <w:r>
        <w:rPr>
          <w:rStyle w:val="NormalTok"/>
        </w:rPr>
        <w:t xml:space="preserve">,</w:t>
      </w:r>
      <w:r>
        <w:rPr>
          <w:rStyle w:val="BuiltInTok"/>
        </w:rPr>
        <w:t xml:space="preserve">len</w:t>
      </w:r>
      <w:r>
        <w:rPr>
          <w:rStyle w:val="NormalTok"/>
        </w:rPr>
        <w:t xml:space="preserve">(data))</w:t>
      </w:r>
      <w:r>
        <w:br/>
      </w:r>
      <w:r>
        <w:rPr>
          <w:rStyle w:val="NormalTok"/>
        </w:rPr>
        <w:t xml:space="preserve">sensitivity</w:t>
      </w:r>
      <w:r>
        <w:rPr>
          <w:rStyle w:val="OperatorTok"/>
        </w:rPr>
        <w:t xml:space="preserve">=</w:t>
      </w:r>
      <w:r>
        <w:rPr>
          <w:rStyle w:val="NormalTok"/>
        </w:rPr>
        <w:t xml:space="preserve">pd.DataFrame([{</w:t>
      </w:r>
      <w:r>
        <w:rPr>
          <w:rStyle w:val="StringTok"/>
        </w:rPr>
        <w:t xml:space="preserve">'NGF/BGF'</w:t>
      </w:r>
      <w:r>
        <w:rPr>
          <w:rStyle w:val="NormalTok"/>
        </w:rPr>
        <w:t xml:space="preserve">:ratio,</w:t>
      </w:r>
      <w:r>
        <w:rPr>
          <w:rStyle w:val="StringTok"/>
        </w:rPr>
        <w:t xml:space="preserve">'Strombedarf [PJ/a]'</w:t>
      </w:r>
      <w:r>
        <w:rPr>
          <w:rStyle w:val="NormalTok"/>
        </w:rPr>
        <w:t xml:space="preserve">:val(</w:t>
      </w:r>
      <w:r>
        <w:rPr>
          <w:rStyle w:val="StringTok"/>
        </w:rPr>
        <w:t xml:space="preserve">'Strombedarf'</w:t>
      </w:r>
      <w:r>
        <w:rPr>
          <w:rStyle w:val="NormalTok"/>
        </w:rPr>
        <w:t xml:space="preserve">)</w:t>
      </w:r>
      <w:r>
        <w:rPr>
          <w:rStyle w:val="OperatorTok"/>
        </w:rPr>
        <w:t xml:space="preserve">*</w:t>
      </w:r>
      <w:r>
        <w:rPr>
          <w:rStyle w:val="NormalTok"/>
        </w:rPr>
        <w:t xml:space="preserve">ratio</w:t>
      </w:r>
      <w:r>
        <w:rPr>
          <w:rStyle w:val="OperatorTok"/>
        </w:rPr>
        <w:t xml:space="preserve">/</w:t>
      </w:r>
      <w:r>
        <w:rPr>
          <w:rStyle w:val="NormalTok"/>
        </w:rPr>
        <w:t xml:space="preserve">r,</w:t>
      </w:r>
      <w:r>
        <w:rPr>
          <w:rStyle w:val="StringTok"/>
        </w:rPr>
        <w:t xml:space="preserve">'Stromsaldo [PJ/a]'</w:t>
      </w:r>
      <w:r>
        <w:rPr>
          <w:rStyle w:val="NormalTok"/>
        </w:rPr>
        <w:t xml:space="preserve">:operating</w:t>
      </w:r>
      <w:r>
        <w:rPr>
          <w:rStyle w:val="OperatorTok"/>
        </w:rPr>
        <w:t xml:space="preserve">*</w:t>
      </w:r>
      <w:r>
        <w:rPr>
          <w:rStyle w:val="NormalTok"/>
        </w:rPr>
        <w:t xml:space="preserve">ratio</w:t>
      </w:r>
      <w:r>
        <w:rPr>
          <w:rStyle w:val="OperatorTok"/>
        </w:rPr>
        <w:t xml:space="preserve">/</w:t>
      </w:r>
      <w:r>
        <w:rPr>
          <w:rStyle w:val="NormalTok"/>
        </w:rPr>
        <w:t xml:space="preserve">r} </w:t>
      </w:r>
      <w:r>
        <w:rPr>
          <w:rStyle w:val="ControlFlowTok"/>
        </w:rPr>
        <w:t xml:space="preserve">for</w:t>
      </w:r>
      <w:r>
        <w:rPr>
          <w:rStyle w:val="NormalTok"/>
        </w:rPr>
        <w:t xml:space="preserve"> ratio </w:t>
      </w:r>
      <w:r>
        <w:rPr>
          <w:rStyle w:val="KeywordTok"/>
        </w:rPr>
        <w:t xml:space="preserve">in</w:t>
      </w:r>
      <w:r>
        <w:rPr>
          <w:rStyle w:val="NormalTok"/>
        </w:rPr>
        <w:t xml:space="preserve"> [</w:t>
      </w:r>
      <w:r>
        <w:rPr>
          <w:rStyle w:val="FloatTok"/>
        </w:rPr>
        <w:t xml:space="preserve">.75</w:t>
      </w:r>
      <w:r>
        <w:rPr>
          <w:rStyle w:val="NormalTok"/>
        </w:rPr>
        <w:t xml:space="preserve">,</w:t>
      </w:r>
      <w:r>
        <w:rPr>
          <w:rStyle w:val="FloatTok"/>
        </w:rPr>
        <w:t xml:space="preserve">.8</w:t>
      </w:r>
      <w:r>
        <w:rPr>
          <w:rStyle w:val="NormalTok"/>
        </w:rPr>
        <w:t xml:space="preserve">,</w:t>
      </w:r>
      <w:r>
        <w:rPr>
          <w:rStyle w:val="FloatTok"/>
        </w:rPr>
        <w:t xml:space="preserve">.85</w:t>
      </w:r>
      <w:r>
        <w:rPr>
          <w:rStyle w:val="NormalTok"/>
        </w:rPr>
        <w:t xml:space="preserve">]])</w:t>
      </w:r>
      <w:r>
        <w:br/>
      </w:r>
      <w:r>
        <w:rPr>
          <w:rStyle w:val="NormalTok"/>
        </w:rPr>
        <w:t xml:space="preserve">display(sensitivity)</w:t>
      </w:r>
      <w:r>
        <w:br/>
      </w:r>
      <w:r>
        <w:br/>
      </w:r>
      <w:r>
        <w:rPr>
          <w:rStyle w:val="ImportTok"/>
        </w:rPr>
        <w:t xml:space="preserve">import</w:t>
      </w:r>
      <w:r>
        <w:rPr>
          <w:rStyle w:val="NormalTok"/>
        </w:rPr>
        <w:t xml:space="preserve"> sys</w:t>
      </w:r>
      <w:r>
        <w:br/>
      </w:r>
      <w:r>
        <w:rPr>
          <w:rStyle w:val="NormalTok"/>
        </w:rPr>
        <w:t xml:space="preserve">sys.path.insert(</w:t>
      </w:r>
      <w:r>
        <w:rPr>
          <w:rStyle w:val="DecValTok"/>
        </w:rPr>
        <w:t xml:space="preserve">0</w:t>
      </w:r>
      <w:r>
        <w:rPr>
          <w:rStyle w:val="NormalTok"/>
        </w:rPr>
        <w:t xml:space="preserve">,</w:t>
      </w:r>
      <w:r>
        <w:rPr>
          <w:rStyle w:val="BuiltInTok"/>
        </w:rPr>
        <w:t xml:space="preserve">str</w:t>
      </w:r>
      <w:r>
        <w:rPr>
          <w:rStyle w:val="NormalTok"/>
        </w:rPr>
        <w:t xml:space="preserve">(ROOT))</w:t>
      </w:r>
      <w:r>
        <w:br/>
      </w:r>
      <w:r>
        <w:rPr>
          <w:rStyle w:val="ImportTok"/>
        </w:rPr>
        <w:t xml:space="preserve">from</w:t>
      </w:r>
      <w:r>
        <w:rPr>
          <w:rStyle w:val="NormalTok"/>
        </w:rPr>
        <w:t xml:space="preserve"> Berechnungen.methodik_plots </w:t>
      </w:r>
      <w:r>
        <w:rPr>
          <w:rStyle w:val="ImportTok"/>
        </w:rPr>
        <w:t xml:space="preserve">import</w:t>
      </w:r>
      <w:r>
        <w:rPr>
          <w:rStyle w:val="NormalTok"/>
        </w:rPr>
        <w:t xml:space="preserve"> building_figures</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rPr>
          <w:rStyle w:val="NormalTok"/>
        </w:rPr>
        <w:t xml:space="preserve">sector_comparison</w:t>
      </w:r>
      <w:r>
        <w:rPr>
          <w:rStyle w:val="OperatorTok"/>
        </w:rPr>
        <w:t xml:space="preserve">=</w:t>
      </w:r>
      <w:r>
        <w:rPr>
          <w:rStyle w:val="NormalTok"/>
        </w:rPr>
        <w:t xml:space="preserve">pd.DataFrame([</w:t>
      </w:r>
      <w:r>
        <w:br/>
      </w:r>
      <w:r>
        <w:rPr>
          <w:rStyle w:val="NormalTok"/>
        </w:rPr>
        <w:t xml:space="preserve"> {</w:t>
      </w:r>
      <w:r>
        <w:rPr>
          <w:rStyle w:val="StringTok"/>
        </w:rPr>
        <w:t xml:space="preserve">'Modell'</w:t>
      </w:r>
      <w:r>
        <w:rPr>
          <w:rStyle w:val="NormalTok"/>
        </w:rPr>
        <w:t xml:space="preserve">:</w:t>
      </w:r>
      <w:r>
        <w:rPr>
          <w:rStyle w:val="StringTok"/>
        </w:rPr>
        <w:t xml:space="preserve">'Top-down: UBA 2040'</w:t>
      </w:r>
      <w:r>
        <w:rPr>
          <w:rStyle w:val="NormalTok"/>
        </w:rPr>
        <w:t xml:space="preserve">,</w:t>
      </w:r>
      <w:r>
        <w:rPr>
          <w:rStyle w:val="StringTok"/>
        </w:rPr>
        <w:t xml:space="preserve">'Bedarf'</w:t>
      </w:r>
      <w:r>
        <w:rPr>
          <w:rStyle w:val="NormalTok"/>
        </w:rPr>
        <w:t xml:space="preserve">:top[</w:t>
      </w:r>
      <w:r>
        <w:rPr>
          <w:rStyle w:val="StringTok"/>
        </w:rPr>
        <w:t xml:space="preserve">'building_pv_pj'</w:t>
      </w:r>
      <w:r>
        <w:rPr>
          <w:rStyle w:val="NormalTok"/>
        </w:rPr>
        <w:t xml:space="preserve">]</w:t>
      </w:r>
      <w:r>
        <w:rPr>
          <w:rStyle w:val="OperatorTok"/>
        </w:rPr>
        <w:t xml:space="preserve">-</w:t>
      </w:r>
      <w:r>
        <w:rPr>
          <w:rStyle w:val="NormalTok"/>
        </w:rPr>
        <w:t xml:space="preserve">top[</w:t>
      </w:r>
      <w:r>
        <w:rPr>
          <w:rStyle w:val="StringTok"/>
        </w:rPr>
        <w:t xml:space="preserve">'building_operation_pj'</w:t>
      </w:r>
      <w:r>
        <w:rPr>
          <w:rStyle w:val="NormalTok"/>
        </w:rPr>
        <w:t xml:space="preserve">]</w:t>
      </w:r>
      <w:r>
        <w:rPr>
          <w:rStyle w:val="OperatorTok"/>
        </w:rPr>
        <w:t xml:space="preserve">+</w:t>
      </w:r>
      <w:r>
        <w:rPr>
          <w:rStyle w:val="NormalTok"/>
        </w:rPr>
        <w:t xml:space="preserve">top[</w:t>
      </w:r>
      <w:r>
        <w:rPr>
          <w:rStyle w:val="StringTok"/>
        </w:rPr>
        <w:t xml:space="preserve">'miv_demand_pj'</w:t>
      </w:r>
      <w:r>
        <w:rPr>
          <w:rStyle w:val="NormalTok"/>
        </w:rPr>
        <w:t xml:space="preserve">],</w:t>
      </w:r>
      <w:r>
        <w:rPr>
          <w:rStyle w:val="StringTok"/>
        </w:rPr>
        <w:t xml:space="preserve">'Deckung'</w:t>
      </w:r>
      <w:r>
        <w:rPr>
          <w:rStyle w:val="NormalTok"/>
        </w:rPr>
        <w:t xml:space="preserve">:top[</w:t>
      </w:r>
      <w:r>
        <w:rPr>
          <w:rStyle w:val="StringTok"/>
        </w:rPr>
        <w:t xml:space="preserve">'building_pv_pj'</w:t>
      </w:r>
      <w:r>
        <w:rPr>
          <w:rStyle w:val="NormalTok"/>
        </w:rPr>
        <w:t xml:space="preserve">]</w:t>
      </w:r>
      <w:r>
        <w:rPr>
          <w:rStyle w:val="OperatorTok"/>
        </w:rPr>
        <w:t xml:space="preserve">+</w:t>
      </w:r>
      <w:r>
        <w:rPr>
          <w:rStyle w:val="NormalTok"/>
        </w:rPr>
        <w:t xml:space="preserve">top[</w:t>
      </w:r>
      <w:r>
        <w:rPr>
          <w:rStyle w:val="StringTok"/>
        </w:rPr>
        <w:t xml:space="preserve">'central_credit_pj'</w:t>
      </w:r>
      <w:r>
        <w:rPr>
          <w:rStyle w:val="NormalTok"/>
        </w:rPr>
        <w:t xml:space="preserve">],</w:t>
      </w:r>
      <w:r>
        <w:rPr>
          <w:rStyle w:val="StringTok"/>
        </w:rPr>
        <w:t xml:space="preserve">'Dichte'</w:t>
      </w:r>
      <w:r>
        <w:rPr>
          <w:rStyle w:val="NormalTok"/>
        </w:rPr>
        <w:t xml:space="preserve">:</w:t>
      </w:r>
      <w:r>
        <w:rPr>
          <w:rStyle w:val="FloatTok"/>
        </w:rPr>
        <w:t xml:space="preserve">0.</w:t>
      </w:r>
      <w:r>
        <w:rPr>
          <w:rStyle w:val="NormalTok"/>
        </w:rPr>
        <w:t xml:space="preserve">,</w:t>
      </w:r>
      <w:r>
        <w:rPr>
          <w:rStyle w:val="StringTok"/>
        </w:rPr>
        <w:t xml:space="preserve">'Saldo'</w:t>
      </w:r>
      <w:r>
        <w:rPr>
          <w:rStyle w:val="NormalTok"/>
        </w:rPr>
        <w:t xml:space="preserve">:top[</w:t>
      </w:r>
      <w:r>
        <w:rPr>
          <w:rStyle w:val="StringTok"/>
        </w:rPr>
        <w:t xml:space="preserve">'building_target_pj'</w:t>
      </w:r>
      <w:r>
        <w:rPr>
          <w:rStyle w:val="NormalTok"/>
        </w:rPr>
        <w:t xml:space="preserve">]},</w:t>
      </w:r>
      <w:r>
        <w:br/>
      </w:r>
      <w:r>
        <w:rPr>
          <w:rStyle w:val="NormalTok"/>
        </w:rPr>
        <w:t xml:space="preserve"> {</w:t>
      </w:r>
      <w:r>
        <w:rPr>
          <w:rStyle w:val="StringTok"/>
        </w:rPr>
        <w:t xml:space="preserve">'Modell'</w:t>
      </w:r>
      <w:r>
        <w:rPr>
          <w:rStyle w:val="NormalTok"/>
        </w:rPr>
        <w:t xml:space="preserve">:</w:t>
      </w:r>
      <w:r>
        <w:rPr>
          <w:rStyle w:val="StringTok"/>
        </w:rPr>
        <w:t xml:space="preserve">'Bottom-up: Pool'</w:t>
      </w:r>
      <w:r>
        <w:rPr>
          <w:rStyle w:val="NormalTok"/>
        </w:rPr>
        <w:t xml:space="preserve">,</w:t>
      </w:r>
      <w:r>
        <w:rPr>
          <w:rStyle w:val="StringTok"/>
        </w:rPr>
        <w:t xml:space="preserve">'Bedarf'</w:t>
      </w:r>
      <w:r>
        <w:rPr>
          <w:rStyle w:val="NormalTok"/>
        </w:rPr>
        <w:t xml:space="preserve">:val(</w:t>
      </w:r>
      <w:r>
        <w:rPr>
          <w:rStyle w:val="StringTok"/>
        </w:rPr>
        <w:t xml:space="preserve">'Strombedarf'</w:t>
      </w:r>
      <w:r>
        <w:rPr>
          <w:rStyle w:val="NormalTok"/>
        </w:rPr>
        <w:t xml:space="preserve">)</w:t>
      </w:r>
      <w:r>
        <w:rPr>
          <w:rStyle w:val="OperatorTok"/>
        </w:rPr>
        <w:t xml:space="preserve">+</w:t>
      </w:r>
      <w:r>
        <w:rPr>
          <w:rStyle w:val="NormalTok"/>
        </w:rPr>
        <w:t xml:space="preserve">top[</w:t>
      </w:r>
      <w:r>
        <w:rPr>
          <w:rStyle w:val="StringTok"/>
        </w:rPr>
        <w:t xml:space="preserve">'miv_demand_pj'</w:t>
      </w:r>
      <w:r>
        <w:rPr>
          <w:rStyle w:val="NormalTok"/>
        </w:rPr>
        <w:t xml:space="preserve">],</w:t>
      </w:r>
      <w:r>
        <w:rPr>
          <w:rStyle w:val="StringTok"/>
        </w:rPr>
        <w:t xml:space="preserve">'Deckung'</w:t>
      </w:r>
      <w:r>
        <w:rPr>
          <w:rStyle w:val="NormalTok"/>
        </w:rPr>
        <w:t xml:space="preserve">:val(</w:t>
      </w:r>
      <w:r>
        <w:rPr>
          <w:rStyle w:val="StringTok"/>
        </w:rPr>
        <w:t xml:space="preserve">'PV_Erzeugung'</w:t>
      </w:r>
      <w:r>
        <w:rPr>
          <w:rStyle w:val="NormalTok"/>
        </w:rPr>
        <w:t xml:space="preserve">)</w:t>
      </w:r>
      <w:r>
        <w:rPr>
          <w:rStyle w:val="OperatorTok"/>
        </w:rPr>
        <w:t xml:space="preserve">+</w:t>
      </w:r>
      <w:r>
        <w:rPr>
          <w:rStyle w:val="NormalTok"/>
        </w:rPr>
        <w:t xml:space="preserve">top[</w:t>
      </w:r>
      <w:r>
        <w:rPr>
          <w:rStyle w:val="StringTok"/>
        </w:rPr>
        <w:t xml:space="preserve">'central_credit_pj'</w:t>
      </w:r>
      <w:r>
        <w:rPr>
          <w:rStyle w:val="NormalTok"/>
        </w:rPr>
        <w:t xml:space="preserve">],</w:t>
      </w:r>
      <w:r>
        <w:rPr>
          <w:rStyle w:val="StringTok"/>
        </w:rPr>
        <w:t xml:space="preserve">'Dichte'</w:t>
      </w:r>
      <w:r>
        <w:rPr>
          <w:rStyle w:val="NormalTok"/>
        </w:rPr>
        <w:t xml:space="preserve">:</w:t>
      </w:r>
      <w:r>
        <w:rPr>
          <w:rStyle w:val="FloatTok"/>
        </w:rPr>
        <w:t xml:space="preserve">0.</w:t>
      </w:r>
      <w:r>
        <w:rPr>
          <w:rStyle w:val="NormalTok"/>
        </w:rPr>
        <w:t xml:space="preserve">,</w:t>
      </w:r>
      <w:r>
        <w:rPr>
          <w:rStyle w:val="StringTok"/>
        </w:rPr>
        <w:t xml:space="preserve">'Saldo'</w:t>
      </w:r>
      <w:r>
        <w:rPr>
          <w:rStyle w:val="NormalTok"/>
        </w:rPr>
        <w:t xml:space="preserve">:extended},</w:t>
      </w:r>
      <w:r>
        <w:br/>
      </w:r>
      <w:r>
        <w:rPr>
          <w:rStyle w:val="NormalTok"/>
        </w:rPr>
        <w:t xml:space="preserve"> {</w:t>
      </w:r>
      <w:r>
        <w:rPr>
          <w:rStyle w:val="StringTok"/>
        </w:rPr>
        <w:t xml:space="preserve">'Modell'</w:t>
      </w:r>
      <w:r>
        <w:rPr>
          <w:rStyle w:val="NormalTok"/>
        </w:rPr>
        <w:t xml:space="preserve">:</w:t>
      </w:r>
      <w:r>
        <w:rPr>
          <w:rStyle w:val="StringTok"/>
        </w:rPr>
        <w:t xml:space="preserve">'Bottom-up + Dichte'</w:t>
      </w:r>
      <w:r>
        <w:rPr>
          <w:rStyle w:val="NormalTok"/>
        </w:rPr>
        <w:t xml:space="preserve">,</w:t>
      </w:r>
      <w:r>
        <w:rPr>
          <w:rStyle w:val="StringTok"/>
        </w:rPr>
        <w:t xml:space="preserve">'Bedarf'</w:t>
      </w:r>
      <w:r>
        <w:rPr>
          <w:rStyle w:val="NormalTok"/>
        </w:rPr>
        <w:t xml:space="preserve">:val(</w:t>
      </w:r>
      <w:r>
        <w:rPr>
          <w:rStyle w:val="StringTok"/>
        </w:rPr>
        <w:t xml:space="preserve">'Strombedarf'</w:t>
      </w:r>
      <w:r>
        <w:rPr>
          <w:rStyle w:val="NormalTok"/>
        </w:rPr>
        <w:t xml:space="preserve">)</w:t>
      </w:r>
      <w:r>
        <w:rPr>
          <w:rStyle w:val="OperatorTok"/>
        </w:rPr>
        <w:t xml:space="preserve">+</w:t>
      </w:r>
      <w:r>
        <w:rPr>
          <w:rStyle w:val="NormalTok"/>
        </w:rPr>
        <w:t xml:space="preserve">top[</w:t>
      </w:r>
      <w:r>
        <w:rPr>
          <w:rStyle w:val="StringTok"/>
        </w:rPr>
        <w:t xml:space="preserve">'miv_demand_pj'</w:t>
      </w:r>
      <w:r>
        <w:rPr>
          <w:rStyle w:val="NormalTok"/>
        </w:rPr>
        <w:t xml:space="preserve">],</w:t>
      </w:r>
      <w:r>
        <w:rPr>
          <w:rStyle w:val="StringTok"/>
        </w:rPr>
        <w:t xml:space="preserve">'Deckung'</w:t>
      </w:r>
      <w:r>
        <w:rPr>
          <w:rStyle w:val="NormalTok"/>
        </w:rPr>
        <w:t xml:space="preserve">:val(</w:t>
      </w:r>
      <w:r>
        <w:rPr>
          <w:rStyle w:val="StringTok"/>
        </w:rPr>
        <w:t xml:space="preserve">'PV_Erzeugung'</w:t>
      </w:r>
      <w:r>
        <w:rPr>
          <w:rStyle w:val="NormalTok"/>
        </w:rPr>
        <w:t xml:space="preserve">)</w:t>
      </w:r>
      <w:r>
        <w:rPr>
          <w:rStyle w:val="OperatorTok"/>
        </w:rPr>
        <w:t xml:space="preserve">+</w:t>
      </w:r>
      <w:r>
        <w:rPr>
          <w:rStyle w:val="NormalTok"/>
        </w:rPr>
        <w:t xml:space="preserve">top[</w:t>
      </w:r>
      <w:r>
        <w:rPr>
          <w:rStyle w:val="StringTok"/>
        </w:rPr>
        <w:t xml:space="preserve">'central_credit_pj'</w:t>
      </w:r>
      <w:r>
        <w:rPr>
          <w:rStyle w:val="NormalTok"/>
        </w:rPr>
        <w:t xml:space="preserve">],</w:t>
      </w:r>
      <w:r>
        <w:rPr>
          <w:rStyle w:val="StringTok"/>
        </w:rPr>
        <w:t xml:space="preserve">'Dichte'</w:t>
      </w:r>
      <w:r>
        <w:rPr>
          <w:rStyle w:val="NormalTok"/>
        </w:rPr>
        <w:t xml:space="preserve">:context_pj,</w:t>
      </w:r>
      <w:r>
        <w:rPr>
          <w:rStyle w:val="StringTok"/>
        </w:rPr>
        <w:t xml:space="preserve">'Saldo'</w:t>
      </w:r>
      <w:r>
        <w:rPr>
          <w:rStyle w:val="NormalTok"/>
        </w:rPr>
        <w:t xml:space="preserve">:extended</w:t>
      </w:r>
      <w:r>
        <w:rPr>
          <w:rStyle w:val="OperatorTok"/>
        </w:rPr>
        <w:t xml:space="preserve">+</w:t>
      </w:r>
      <w:r>
        <w:rPr>
          <w:rStyle w:val="NormalTok"/>
        </w:rPr>
        <w:t xml:space="preserve">context_pj}])</w:t>
      </w:r>
      <w:r>
        <w:br/>
      </w:r>
      <w:r>
        <w:rPr>
          <w:rStyle w:val="NormalTok"/>
        </w:rPr>
        <w:t xml:space="preserve">np.testing.assert_allclose(sector_comparison.Deckung</w:t>
      </w:r>
      <w:r>
        <w:rPr>
          <w:rStyle w:val="OperatorTok"/>
        </w:rPr>
        <w:t xml:space="preserve">-</w:t>
      </w:r>
      <w:r>
        <w:rPr>
          <w:rStyle w:val="NormalTok"/>
        </w:rPr>
        <w:t xml:space="preserve">sector_comparison.Bedarf</w:t>
      </w:r>
      <w:r>
        <w:rPr>
          <w:rStyle w:val="OperatorTok"/>
        </w:rPr>
        <w:t xml:space="preserve">+</w:t>
      </w:r>
      <w:r>
        <w:rPr>
          <w:rStyle w:val="NormalTok"/>
        </w:rPr>
        <w:t xml:space="preserve">sector_comparison.Dichte,sector_comparison.Saldo)</w:t>
      </w:r>
      <w:r>
        <w:br/>
      </w:r>
      <w:r>
        <w:rPr>
          <w:rStyle w:val="NormalTok"/>
        </w:rPr>
        <w:t xml:space="preserve">sector_comparison.to_csv(OUT</w:t>
      </w:r>
      <w:r>
        <w:rPr>
          <w:rStyle w:val="OperatorTok"/>
        </w:rPr>
        <w:t xml:space="preserve">/</w:t>
      </w:r>
      <w:r>
        <w:rPr>
          <w:rStyle w:val="StringTok"/>
        </w:rPr>
        <w:t xml:space="preserve">'sektorvergleich_dichte.csv'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building_figures(data,sector_comparison)</w:t>
      </w:r>
      <w:r>
        <w:br/>
      </w:r>
      <w:r>
        <w:rPr>
          <w:rStyle w:val="NormalTok"/>
        </w:rPr>
        <w:t xml:space="preserve">display(sector_comparison)</w:t>
      </w:r>
      <w:r>
        <w:br/>
      </w:r>
      <w:r>
        <w:rPr>
          <w:rStyle w:val="ControlFlowTok"/>
        </w:rPr>
        <w:t xml:space="preserve">for</w:t>
      </w:r>
      <w:r>
        <w:rPr>
          <w:rStyle w:val="NormalTok"/>
        </w:rPr>
        <w:t xml:space="preserve"> name,height </w:t>
      </w:r>
      <w:r>
        <w:rPr>
          <w:rStyle w:val="KeywordTok"/>
        </w:rPr>
        <w:t xml:space="preserve">in</w:t>
      </w:r>
      <w:r>
        <w:rPr>
          <w:rStyle w:val="NormalTok"/>
        </w:rPr>
        <w:t xml:space="preserve"> [(</w:t>
      </w:r>
      <w:r>
        <w:rPr>
          <w:rStyle w:val="StringTok"/>
        </w:rPr>
        <w:t xml:space="preserve">'sektorvergleich'</w:t>
      </w:r>
      <w:r>
        <w:rPr>
          <w:rStyle w:val="NormalTok"/>
        </w:rPr>
        <w:t xml:space="preserve">,</w:t>
      </w:r>
      <w:r>
        <w:rPr>
          <w:rStyle w:val="DecValTok"/>
        </w:rPr>
        <w:t xml:space="preserve">690</w:t>
      </w:r>
      <w:r>
        <w:rPr>
          <w:rStyle w:val="NormalTok"/>
        </w:rPr>
        <w:t xml:space="preserve">)]:</w:t>
      </w:r>
      <w:r>
        <w:br/>
      </w:r>
      <w:r>
        <w:rPr>
          <w:rStyle w:val="NormalTok"/>
        </w:rPr>
        <w:t xml:space="preserve">    display(HTML(</w:t>
      </w:r>
      <w:r>
        <w:rPr>
          <w:rStyle w:val="SpecialStringTok"/>
        </w:rPr>
        <w:t xml:space="preserve">f'&lt;iframe title="</w:t>
      </w:r>
      <w:r>
        <w:rPr>
          <w:rStyle w:val="SpecialCharTok"/>
        </w:rPr>
        <w:t xml:space="preserve">{</w:t>
      </w:r>
      <w:r>
        <w:rPr>
          <w:rStyle w:val="NormalTok"/>
        </w:rPr>
        <w:t xml:space="preserve">name</w:t>
      </w:r>
      <w:r>
        <w:rPr>
          <w:rStyle w:val="SpecialCharTok"/>
        </w:rPr>
        <w:t xml:space="preserve">}</w:t>
      </w:r>
      <w:r>
        <w:rPr>
          <w:rStyle w:val="SpecialStringTok"/>
        </w:rPr>
        <w:t xml:space="preserve">" src="../../Abbildungen/methodik/</w:t>
      </w:r>
      <w:r>
        <w:rPr>
          <w:rStyle w:val="SpecialCharTok"/>
        </w:rPr>
        <w:t xml:space="preserve">{</w:t>
      </w:r>
      <w:r>
        <w:rPr>
          <w:rStyle w:val="NormalTok"/>
        </w:rPr>
        <w:t xml:space="preserve">name</w:t>
      </w:r>
      <w:r>
        <w:rPr>
          <w:rStyle w:val="SpecialCharTok"/>
        </w:rPr>
        <w:t xml:space="preserve">}</w:t>
      </w:r>
      <w:r>
        <w:rPr>
          <w:rStyle w:val="SpecialStringTok"/>
        </w:rPr>
        <w:t xml:space="preserve">.html" style="width:100%;height:</w:t>
      </w:r>
      <w:r>
        <w:rPr>
          <w:rStyle w:val="SpecialCharTok"/>
        </w:rPr>
        <w:t xml:space="preserve">{</w:t>
      </w:r>
      <w:r>
        <w:rPr>
          <w:rStyle w:val="NormalTok"/>
        </w:rPr>
        <w:t xml:space="preserve">height</w:t>
      </w:r>
      <w:r>
        <w:rPr>
          <w:rStyle w:val="SpecialCharTok"/>
        </w:rPr>
        <w:t xml:space="preserve">}</w:t>
      </w:r>
      <w:r>
        <w:rPr>
          <w:rStyle w:val="SpecialStringTok"/>
        </w:rPr>
        <w:t xml:space="preserve">px;border:0"&gt;&lt;/iframe&gt;'</w:t>
      </w:r>
      <w:r>
        <w:rPr>
          <w:rStyle w:val="NormalTok"/>
        </w:rPr>
        <w:t xml:space="preserve">))</w:t>
      </w:r>
      <w:r>
        <w:br/>
      </w:r>
      <w:r>
        <w:rPr>
          <w:rStyle w:val="BuiltInTok"/>
        </w:rPr>
        <w:t xml:space="preserve">print</w:t>
      </w:r>
      <w:r>
        <w:rPr>
          <w:rStyle w:val="NormalTok"/>
        </w:rPr>
        <w:t xml:space="preserve">(</w:t>
      </w:r>
      <w:r>
        <w:rPr>
          <w:rStyle w:val="StringTok"/>
        </w:rPr>
        <w:t xml:space="preserve">'Virtueller Dichtebeitrag [PJ-Äquivalent/a]:'</w:t>
      </w:r>
      <w:r>
        <w:rPr>
          <w:rStyle w:val="NormalTok"/>
        </w:rPr>
        <w:t xml:space="preserve">,context_pj)</w:t>
      </w:r>
      <w:r>
        <w:br/>
      </w:r>
      <w:r>
        <w:rPr>
          <w:rStyle w:val="BuiltInTok"/>
        </w:rPr>
        <w:t xml:space="preserve">print</w:t>
      </w:r>
      <w:r>
        <w:rPr>
          <w:rStyle w:val="NormalTok"/>
        </w:rPr>
        <w:t xml:space="preserve">(</w:t>
      </w:r>
      <w:r>
        <w:rPr>
          <w:rStyle w:val="StringTok"/>
        </w:rPr>
        <w:t xml:space="preserve">'Betrieblicher Bewertungssaldo mit Dichte:'</w:t>
      </w:r>
      <w:r>
        <w:rPr>
          <w:rStyle w:val="NormalTok"/>
        </w:rPr>
        <w:t xml:space="preserve">,operating</w:t>
      </w:r>
      <w:r>
        <w:rPr>
          <w:rStyle w:val="OperatorTok"/>
        </w:rPr>
        <w:t xml:space="preserve">+</w:t>
      </w:r>
      <w:r>
        <w:rPr>
          <w:rStyle w:val="NormalTok"/>
        </w:rPr>
        <w:t xml:space="preserve">context_pj)</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Größe</w:t>
            </w:r>
          </w:p>
        </w:tc>
        <w:tc>
          <w:tcPr/>
          <w:p>
            <w:pPr>
              <w:pStyle w:val="Compact"/>
            </w:pPr>
            <w:r>
              <w:t xml:space="preserve">Bottom-up [PJ/a]</w:t>
            </w:r>
          </w:p>
        </w:tc>
        <w:tc>
          <w:tcPr/>
          <w:p>
            <w:pPr>
              <w:pStyle w:val="Compact"/>
            </w:pPr>
            <w:r>
              <w:t xml:space="preserve">Top-down [PJ/a]</w:t>
            </w:r>
          </w:p>
        </w:tc>
        <w:tc>
          <w:tcPr/>
          <w:p>
            <w:pPr>
              <w:pStyle w:val="Compact"/>
            </w:pPr>
            <w:r>
              <w:t xml:space="preserve">Differenz [PJ/a]</w:t>
            </w:r>
          </w:p>
        </w:tc>
      </w:tr>
      <w:tr>
        <w:tc>
          <w:tcPr/>
          <w:p>
            <w:pPr>
              <w:pStyle w:val="Compact"/>
            </w:pPr>
            <w:r>
              <w:t xml:space="preserve">0</w:t>
            </w:r>
          </w:p>
        </w:tc>
        <w:tc>
          <w:tcPr/>
          <w:p>
            <w:pPr>
              <w:pStyle w:val="Compact"/>
            </w:pPr>
            <w:r>
              <w:t xml:space="preserve">PV-Erzeugung</w:t>
            </w:r>
          </w:p>
        </w:tc>
        <w:tc>
          <w:tcPr/>
          <w:p>
            <w:pPr>
              <w:pStyle w:val="Compact"/>
            </w:pPr>
            <w:r>
              <w:t xml:space="preserve">78.245462</w:t>
            </w:r>
          </w:p>
        </w:tc>
        <w:tc>
          <w:tcPr/>
          <w:p>
            <w:pPr>
              <w:pStyle w:val="Compact"/>
            </w:pPr>
            <w:r>
              <w:t xml:space="preserve">149.0</w:t>
            </w:r>
          </w:p>
        </w:tc>
        <w:tc>
          <w:tcPr/>
          <w:p>
            <w:pPr>
              <w:pStyle w:val="Compact"/>
            </w:pPr>
            <w:r>
              <w:t xml:space="preserve">-70.754538</w:t>
            </w:r>
          </w:p>
        </w:tc>
      </w:tr>
      <w:tr>
        <w:tc>
          <w:tcPr/>
          <w:p>
            <w:pPr>
              <w:pStyle w:val="Compact"/>
            </w:pPr>
            <w:r>
              <w:t xml:space="preserve">1</w:t>
            </w:r>
          </w:p>
        </w:tc>
        <w:tc>
          <w:tcPr/>
          <w:p>
            <w:pPr>
              <w:pStyle w:val="Compact"/>
            </w:pPr>
            <w:r>
              <w:t xml:space="preserve">Gebäudestrombedarf</w:t>
            </w:r>
          </w:p>
        </w:tc>
        <w:tc>
          <w:tcPr/>
          <w:p>
            <w:pPr>
              <w:pStyle w:val="Compact"/>
            </w:pPr>
            <w:r>
              <w:t xml:space="preserve">137.493260</w:t>
            </w:r>
          </w:p>
        </w:tc>
        <w:tc>
          <w:tcPr/>
          <w:p>
            <w:pPr>
              <w:pStyle w:val="Compact"/>
            </w:pPr>
            <w:r>
              <w:t xml:space="preserve">108.0</w:t>
            </w:r>
          </w:p>
        </w:tc>
        <w:tc>
          <w:tcPr/>
          <w:p>
            <w:pPr>
              <w:pStyle w:val="Compact"/>
            </w:pPr>
            <w:r>
              <w:t xml:space="preserve">29.493260</w:t>
            </w:r>
          </w:p>
        </w:tc>
      </w:tr>
      <w:tr>
        <w:tc>
          <w:tcPr/>
          <w:p>
            <w:pPr>
              <w:pStyle w:val="Compact"/>
            </w:pPr>
            <w:r>
              <w:t xml:space="preserve">2</w:t>
            </w:r>
          </w:p>
        </w:tc>
        <w:tc>
          <w:tcPr/>
          <w:p>
            <w:pPr>
              <w:pStyle w:val="Compact"/>
            </w:pPr>
            <w:r>
              <w:t xml:space="preserve">Betrieblicher Stromsaldo</w:t>
            </w:r>
          </w:p>
        </w:tc>
        <w:tc>
          <w:tcPr/>
          <w:p>
            <w:pPr>
              <w:pStyle w:val="Compact"/>
            </w:pPr>
            <w:r>
              <w:t xml:space="preserve">-59.247798</w:t>
            </w:r>
          </w:p>
        </w:tc>
        <w:tc>
          <w:tcPr/>
          <w:p>
            <w:pPr>
              <w:pStyle w:val="Compact"/>
            </w:pPr>
            <w:r>
              <w:t xml:space="preserve">41.0</w:t>
            </w:r>
          </w:p>
        </w:tc>
        <w:tc>
          <w:tcPr/>
          <w:p>
            <w:pPr>
              <w:pStyle w:val="Compact"/>
            </w:pPr>
            <w:r>
              <w:t xml:space="preserve">-100.247798</w:t>
            </w:r>
          </w:p>
        </w:tc>
      </w:tr>
      <w:tr>
        <w:tc>
          <w:tcPr/>
          <w:p>
            <w:pPr>
              <w:pStyle w:val="Compact"/>
            </w:pPr>
            <w:r>
              <w:t xml:space="preserve">3</w:t>
            </w:r>
          </w:p>
        </w:tc>
        <w:tc>
          <w:tcPr/>
          <w:p>
            <w:pPr>
              <w:pStyle w:val="Compact"/>
            </w:pPr>
            <w:r>
              <w:t xml:space="preserve">Saldo einschließlich MIV</w:t>
            </w:r>
          </w:p>
        </w:tc>
        <w:tc>
          <w:tcPr/>
          <w:p>
            <w:pPr>
              <w:pStyle w:val="Compact"/>
            </w:pPr>
            <w:r>
              <w:t xml:space="preserve">-100.247798</w:t>
            </w:r>
          </w:p>
        </w:tc>
        <w:tc>
          <w:tcPr/>
          <w:p>
            <w:pPr>
              <w:pStyle w:val="Compact"/>
            </w:pPr>
            <w:r>
              <w:t xml:space="preserve">0.0</w:t>
            </w:r>
          </w:p>
        </w:tc>
        <w:tc>
          <w:tcPr/>
          <w:p>
            <w:pPr>
              <w:pStyle w:val="Compact"/>
            </w:pPr>
            <w:r>
              <w:t xml:space="preserve">-100.247798</w:t>
            </w:r>
          </w:p>
        </w:tc>
      </w:tr>
    </w:tbl>
    <w:p>
      <w:pPr>
        <w:pStyle w:val="SourceCode"/>
      </w:pPr>
      <w:r>
        <w:rPr>
          <w:rStyle w:val="VerbatimChar"/>
        </w:rPr>
        <w:t xml:space="preserve">PEQ-Anteile offen: 900 von 900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NGF/BGF</w:t>
            </w:r>
          </w:p>
        </w:tc>
        <w:tc>
          <w:tcPr/>
          <w:p>
            <w:pPr>
              <w:pStyle w:val="Compact"/>
            </w:pPr>
            <w:r>
              <w:t xml:space="preserve">Strombedarf [PJ/a]</w:t>
            </w:r>
          </w:p>
        </w:tc>
        <w:tc>
          <w:tcPr/>
          <w:p>
            <w:pPr>
              <w:pStyle w:val="Compact"/>
            </w:pPr>
            <w:r>
              <w:t xml:space="preserve">Stromsaldo [PJ/a]</w:t>
            </w:r>
          </w:p>
        </w:tc>
      </w:tr>
      <w:tr>
        <w:tc>
          <w:tcPr/>
          <w:p>
            <w:pPr>
              <w:pStyle w:val="Compact"/>
            </w:pPr>
            <w:r>
              <w:t xml:space="preserve">0</w:t>
            </w:r>
          </w:p>
        </w:tc>
        <w:tc>
          <w:tcPr/>
          <w:p>
            <w:pPr>
              <w:pStyle w:val="Compact"/>
            </w:pPr>
            <w:r>
              <w:t xml:space="preserve">0.75</w:t>
            </w:r>
          </w:p>
        </w:tc>
        <w:tc>
          <w:tcPr/>
          <w:p>
            <w:pPr>
              <w:pStyle w:val="Compact"/>
            </w:pPr>
            <w:r>
              <w:t xml:space="preserve">128.899931</w:t>
            </w:r>
          </w:p>
        </w:tc>
        <w:tc>
          <w:tcPr/>
          <w:p>
            <w:pPr>
              <w:pStyle w:val="Compact"/>
            </w:pPr>
            <w:r>
              <w:t xml:space="preserve">-55.544811</w:t>
            </w:r>
          </w:p>
        </w:tc>
      </w:tr>
      <w:tr>
        <w:tc>
          <w:tcPr/>
          <w:p>
            <w:pPr>
              <w:pStyle w:val="Compact"/>
            </w:pPr>
            <w:r>
              <w:t xml:space="preserve">1</w:t>
            </w:r>
          </w:p>
        </w:tc>
        <w:tc>
          <w:tcPr/>
          <w:p>
            <w:pPr>
              <w:pStyle w:val="Compact"/>
            </w:pPr>
            <w:r>
              <w:t xml:space="preserve">0.80</w:t>
            </w:r>
          </w:p>
        </w:tc>
        <w:tc>
          <w:tcPr/>
          <w:p>
            <w:pPr>
              <w:pStyle w:val="Compact"/>
            </w:pPr>
            <w:r>
              <w:t xml:space="preserve">137.493260</w:t>
            </w:r>
          </w:p>
        </w:tc>
        <w:tc>
          <w:tcPr/>
          <w:p>
            <w:pPr>
              <w:pStyle w:val="Compact"/>
            </w:pPr>
            <w:r>
              <w:t xml:space="preserve">-59.247798</w:t>
            </w:r>
          </w:p>
        </w:tc>
      </w:tr>
      <w:tr>
        <w:tc>
          <w:tcPr/>
          <w:p>
            <w:pPr>
              <w:pStyle w:val="Compact"/>
            </w:pPr>
            <w:r>
              <w:t xml:space="preserve">2</w:t>
            </w:r>
          </w:p>
        </w:tc>
        <w:tc>
          <w:tcPr/>
          <w:p>
            <w:pPr>
              <w:pStyle w:val="Compact"/>
            </w:pPr>
            <w:r>
              <w:t xml:space="preserve">0.85</w:t>
            </w:r>
          </w:p>
        </w:tc>
        <w:tc>
          <w:tcPr/>
          <w:p>
            <w:pPr>
              <w:pStyle w:val="Compact"/>
            </w:pPr>
            <w:r>
              <w:t xml:space="preserve">146.086589</w:t>
            </w:r>
          </w:p>
        </w:tc>
        <w:tc>
          <w:tcPr/>
          <w:p>
            <w:pPr>
              <w:pStyle w:val="Compact"/>
            </w:pPr>
            <w:r>
              <w:t xml:space="preserve">-62.950786</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Modell</w:t>
            </w:r>
          </w:p>
        </w:tc>
        <w:tc>
          <w:tcPr/>
          <w:p>
            <w:pPr>
              <w:pStyle w:val="Compact"/>
            </w:pPr>
            <w:r>
              <w:t xml:space="preserve">Bedarf</w:t>
            </w:r>
          </w:p>
        </w:tc>
        <w:tc>
          <w:tcPr/>
          <w:p>
            <w:pPr>
              <w:pStyle w:val="Compact"/>
            </w:pPr>
            <w:r>
              <w:t xml:space="preserve">Deckung</w:t>
            </w:r>
          </w:p>
        </w:tc>
        <w:tc>
          <w:tcPr/>
          <w:p>
            <w:pPr>
              <w:pStyle w:val="Compact"/>
            </w:pPr>
            <w:r>
              <w:t xml:space="preserve">Dichte</w:t>
            </w:r>
          </w:p>
        </w:tc>
        <w:tc>
          <w:tcPr/>
          <w:p>
            <w:pPr>
              <w:pStyle w:val="Compact"/>
            </w:pPr>
            <w:r>
              <w:t xml:space="preserve">Saldo</w:t>
            </w:r>
          </w:p>
        </w:tc>
      </w:tr>
      <w:tr>
        <w:tc>
          <w:tcPr/>
          <w:p>
            <w:pPr>
              <w:pStyle w:val="Compact"/>
            </w:pPr>
            <w:r>
              <w:t xml:space="preserve">0</w:t>
            </w:r>
          </w:p>
        </w:tc>
        <w:tc>
          <w:tcPr/>
          <w:p>
            <w:pPr>
              <w:pStyle w:val="Compact"/>
            </w:pPr>
            <w:r>
              <w:t xml:space="preserve">Top-down: UBA 2040</w:t>
            </w:r>
          </w:p>
        </w:tc>
        <w:tc>
          <w:tcPr/>
          <w:p>
            <w:pPr>
              <w:pStyle w:val="Compact"/>
            </w:pPr>
            <w:r>
              <w:t xml:space="preserve">180.00000</w:t>
            </w:r>
          </w:p>
        </w:tc>
        <w:tc>
          <w:tcPr/>
          <w:p>
            <w:pPr>
              <w:pStyle w:val="Compact"/>
            </w:pPr>
            <w:r>
              <w:t xml:space="preserve">180.000000</w:t>
            </w:r>
          </w:p>
        </w:tc>
        <w:tc>
          <w:tcPr/>
          <w:p>
            <w:pPr>
              <w:pStyle w:val="Compact"/>
            </w:pPr>
            <w:r>
              <w:t xml:space="preserve">0.000000</w:t>
            </w:r>
          </w:p>
        </w:tc>
        <w:tc>
          <w:tcPr/>
          <w:p>
            <w:pPr>
              <w:pStyle w:val="Compact"/>
            </w:pPr>
            <w:r>
              <w:t xml:space="preserve">0.000000</w:t>
            </w:r>
          </w:p>
        </w:tc>
      </w:tr>
      <w:tr>
        <w:tc>
          <w:tcPr/>
          <w:p>
            <w:pPr>
              <w:pStyle w:val="Compact"/>
            </w:pPr>
            <w:r>
              <w:t xml:space="preserve">1</w:t>
            </w:r>
          </w:p>
        </w:tc>
        <w:tc>
          <w:tcPr/>
          <w:p>
            <w:pPr>
              <w:pStyle w:val="Compact"/>
            </w:pPr>
            <w:r>
              <w:t xml:space="preserve">Bottom-up: Pool</w:t>
            </w:r>
          </w:p>
        </w:tc>
        <w:tc>
          <w:tcPr/>
          <w:p>
            <w:pPr>
              <w:pStyle w:val="Compact"/>
            </w:pPr>
            <w:r>
              <w:t xml:space="preserve">209.49326</w:t>
            </w:r>
          </w:p>
        </w:tc>
        <w:tc>
          <w:tcPr/>
          <w:p>
            <w:pPr>
              <w:pStyle w:val="Compact"/>
            </w:pPr>
            <w:r>
              <w:t xml:space="preserve">109.245462</w:t>
            </w:r>
          </w:p>
        </w:tc>
        <w:tc>
          <w:tcPr/>
          <w:p>
            <w:pPr>
              <w:pStyle w:val="Compact"/>
            </w:pPr>
            <w:r>
              <w:t xml:space="preserve">0.000000</w:t>
            </w:r>
          </w:p>
        </w:tc>
        <w:tc>
          <w:tcPr/>
          <w:p>
            <w:pPr>
              <w:pStyle w:val="Compact"/>
            </w:pPr>
            <w:r>
              <w:t xml:space="preserve">-100.247798</w:t>
            </w:r>
          </w:p>
        </w:tc>
      </w:tr>
      <w:tr>
        <w:tc>
          <w:tcPr/>
          <w:p>
            <w:pPr>
              <w:pStyle w:val="Compact"/>
            </w:pPr>
            <w:r>
              <w:t xml:space="preserve">2</w:t>
            </w:r>
          </w:p>
        </w:tc>
        <w:tc>
          <w:tcPr/>
          <w:p>
            <w:pPr>
              <w:pStyle w:val="Compact"/>
            </w:pPr>
            <w:r>
              <w:t xml:space="preserve">Bottom-up + Dichte</w:t>
            </w:r>
          </w:p>
        </w:tc>
        <w:tc>
          <w:tcPr/>
          <w:p>
            <w:pPr>
              <w:pStyle w:val="Compact"/>
            </w:pPr>
            <w:r>
              <w:t xml:space="preserve">209.49326</w:t>
            </w:r>
          </w:p>
        </w:tc>
        <w:tc>
          <w:tcPr/>
          <w:p>
            <w:pPr>
              <w:pStyle w:val="Compact"/>
            </w:pPr>
            <w:r>
              <w:t xml:space="preserve">109.245462</w:t>
            </w:r>
          </w:p>
        </w:tc>
        <w:tc>
          <w:tcPr/>
          <w:p>
            <w:pPr>
              <w:pStyle w:val="Compact"/>
            </w:pPr>
            <w:r>
              <w:t xml:space="preserve">-57.808696</w:t>
            </w:r>
          </w:p>
        </w:tc>
        <w:tc>
          <w:tcPr/>
          <w:p>
            <w:pPr>
              <w:pStyle w:val="Compact"/>
            </w:pPr>
            <w:r>
              <w:t xml:space="preserve">-158.056495</w:t>
            </w:r>
          </w:p>
        </w:tc>
      </w:tr>
    </w:tbl>
    <w:p>
      <w:pPr>
        <w:pStyle w:val="SourceCode"/>
      </w:pPr>
      <w:r>
        <w:rPr>
          <w:rStyle w:val="VerbatimChar"/>
        </w:rPr>
        <w:t xml:space="preserve">C:\Users\schneids\AppData\Roaming\Python\Python313\site-packages\IPython\core\display.py:447: UserWarning:</w:t>
      </w:r>
      <w:r>
        <w:br/>
      </w:r>
      <w:r>
        <w:br/>
      </w:r>
      <w:r>
        <w:rPr>
          <w:rStyle w:val="VerbatimChar"/>
        </w:rPr>
        <w:t xml:space="preserve">Consider using IPython.display.IFrame instead</w:t>
      </w:r>
    </w:p>
    <w:p>
      <w:pPr>
        <w:pStyle w:val="SourceCode"/>
      </w:pPr>
      <w:r>
        <w:rPr>
          <w:rStyle w:val="VerbatimChar"/>
        </w:rPr>
        <w:t xml:space="preserve">&lt;IPython.core.display.HTML object&gt;</w:t>
      </w:r>
    </w:p>
    <w:p>
      <w:pPr>
        <w:pStyle w:val="SourceCode"/>
      </w:pPr>
      <w:r>
        <w:rPr>
          <w:rStyle w:val="VerbatimChar"/>
        </w:rPr>
        <w:t xml:space="preserve">Virtueller Dichtebeitrag [PJ-Äquivalent/a]: -57.808696422686694</w:t>
      </w:r>
      <w:r>
        <w:br/>
      </w:r>
      <w:r>
        <w:rPr>
          <w:rStyle w:val="VerbatimChar"/>
        </w:rPr>
        <w:t xml:space="preserve">Betrieblicher Bewertungssaldo mit Dichte: -117.05649462066046</w:t>
      </w:r>
    </w:p>
    <w:bookmarkEnd w:id="533"/>
    <w:bookmarkStart w:id="534" w:name="ergebnisexport-und-bilanzkontrollen"/>
    <w:p>
      <w:pPr>
        <w:pStyle w:val="Heading2"/>
      </w:pPr>
      <w:r>
        <w:t xml:space="preserve">E.9 9. Ergebnisexport und Bilanzkontrollen</w:t>
      </w:r>
    </w:p>
    <w:p>
      <w:pPr>
        <w:pStyle w:val="FirstParagraph"/>
      </w:pPr>
      <w:r>
        <w:t xml:space="preserve">Die kleine NGF/BGF-Variation illustriert die Bedeutung des Flächenbezugs; sie ist keine Optimierung. Die Ausführung prüft eindeutige Schlüssel, Quell-Cache-Konsistenz, Anwendungen, PV- und Strombilanz, thermische Teilbilanzen, PE-Importkomponenten, nicht doppelte GFZ-Zuordnung und Erhalt jeder positiven Typenfläche in der GFZ-Matrix.</w:t>
      </w:r>
    </w:p>
    <w:p>
      <w:pPr>
        <w:pStyle w:val="BodyText"/>
      </w:pPr>
      <w:r>
        <w:t xml:space="preserve">Für die Fortschreibung benötigt werden: das genaue Bezugsjahr „heute“ und gegebenenfalls echte 2020-Flächen; Herleitung der Flächenentwicklung und Bestands-/Sanierungsanteile; Bestätigung von NGF/BGF je Typ; Definition und Anteil der PEQ-Klassen; alternative PV-/Flexibilitätsausstattungen; Prüfung der fossil beheizten Flächen 2040; Faktorversion der gelieferten PEI; eindeutige EE-Einheiten des historischen Dichte-Referenzstands. Die Einzelzielregel der GFZ-Zuordnung ist inzwischen bestätigt und in der Quelle ergänzt. Erst nach Klärung der noch offenen methodischen Punkte kann die nationale Zielwertfunktion neu kalibriert werden. Die aktuellen Ergebnisse sind nachvollziehbare</w:t>
      </w:r>
      <w:r>
        <w:t xml:space="preserve"> </w:t>
      </w:r>
      <w:r>
        <w:rPr>
          <w:b/>
          <w:bCs/>
        </w:rPr>
        <w:t xml:space="preserve">Pool-Ergebnisse</w:t>
      </w:r>
      <w:r>
        <w:t xml:space="preserve">, keine Bestätigung der Klimaneutralität des Gebäudesektors.</w:t>
      </w:r>
    </w:p>
    <w:p>
      <w:pPr>
        <w:pStyle w:val="SourceCode"/>
      </w:pPr>
      <w:r>
        <w:rPr>
          <w:rStyle w:val="CommentTok"/>
        </w:rPr>
        <w:t xml:space="preserve"># Null ist eine Zahl, unbekannt bleibt unbekannt: unabhängige kleine Regressionen.</w:t>
      </w:r>
      <w:r>
        <w:br/>
      </w:r>
      <w:r>
        <w:rPr>
          <w:rStyle w:val="ControlFlowTok"/>
        </w:rPr>
        <w:t xml:space="preserve">assert</w:t>
      </w:r>
      <w:r>
        <w:rPr>
          <w:rStyle w:val="NormalTok"/>
        </w:rPr>
        <w:t xml:space="preserve"> np.isnan(aggregate(pd.Series([</w:t>
      </w:r>
      <w:r>
        <w:rPr>
          <w:rStyle w:val="FloatTok"/>
        </w:rPr>
        <w:t xml:space="preserve">1.</w:t>
      </w:r>
      <w:r>
        <w:rPr>
          <w:rStyle w:val="NormalTok"/>
        </w:rPr>
        <w:t xml:space="preserve">,np.nan]),pd.Series([</w:t>
      </w:r>
      <w:r>
        <w:rPr>
          <w:rStyle w:val="FloatTok"/>
        </w:rPr>
        <w:t xml:space="preserve">1.</w:t>
      </w:r>
      <w:r>
        <w:rPr>
          <w:rStyle w:val="NormalTok"/>
        </w:rPr>
        <w:t xml:space="preserve">,</w:t>
      </w:r>
      <w:r>
        <w:rPr>
          <w:rStyle w:val="FloatTok"/>
        </w:rPr>
        <w:t xml:space="preserve">1.</w:t>
      </w:r>
      <w:r>
        <w:rPr>
          <w:rStyle w:val="NormalTok"/>
        </w:rPr>
        <w:t xml:space="preserve">]))[</w:t>
      </w:r>
      <w:r>
        <w:rPr>
          <w:rStyle w:val="StringTok"/>
        </w:rPr>
        <w:t xml:space="preserve">'kWh'</w:t>
      </w:r>
      <w:r>
        <w:rPr>
          <w:rStyle w:val="NormalTok"/>
        </w:rPr>
        <w:t xml:space="preserve">])</w:t>
      </w:r>
      <w:r>
        <w:br/>
      </w:r>
      <w:r>
        <w:rPr>
          <w:rStyle w:val="ControlFlowTok"/>
        </w:rPr>
        <w:t xml:space="preserve">assert</w:t>
      </w:r>
      <w:r>
        <w:rPr>
          <w:rStyle w:val="NormalTok"/>
        </w:rPr>
        <w:t xml:space="preserve"> aggregate(pd.Series([</w:t>
      </w:r>
      <w:r>
        <w:rPr>
          <w:rStyle w:val="FloatTok"/>
        </w:rPr>
        <w:t xml:space="preserve">1.</w:t>
      </w:r>
      <w:r>
        <w:rPr>
          <w:rStyle w:val="NormalTok"/>
        </w:rPr>
        <w:t xml:space="preserve">,np.nan]),pd.Series([</w:t>
      </w:r>
      <w:r>
        <w:rPr>
          <w:rStyle w:val="FloatTok"/>
        </w:rPr>
        <w:t xml:space="preserve">1.</w:t>
      </w:r>
      <w:r>
        <w:rPr>
          <w:rStyle w:val="NormalTok"/>
        </w:rPr>
        <w:t xml:space="preserve">,</w:t>
      </w:r>
      <w:r>
        <w:rPr>
          <w:rStyle w:val="FloatTok"/>
        </w:rPr>
        <w:t xml:space="preserve">0.</w:t>
      </w:r>
      <w:r>
        <w:rPr>
          <w:rStyle w:val="NormalTok"/>
        </w:rPr>
        <w:t xml:space="preserve">]))[</w:t>
      </w:r>
      <w:r>
        <w:rPr>
          <w:rStyle w:val="StringTok"/>
        </w:rPr>
        <w:t xml:space="preserve">'kWh'</w:t>
      </w:r>
      <w:r>
        <w:rPr>
          <w:rStyle w:val="NormalTok"/>
        </w:rPr>
        <w:t xml:space="preserve">]</w:t>
      </w:r>
      <w:r>
        <w:rPr>
          <w:rStyle w:val="OperatorTok"/>
        </w:rPr>
        <w:t xml:space="preserve">==</w:t>
      </w:r>
      <w:r>
        <w:rPr>
          <w:rStyle w:val="NormalTok"/>
        </w:rPr>
        <w:t xml:space="preserve">r</w:t>
      </w:r>
      <w:r>
        <w:br/>
      </w:r>
      <w:r>
        <w:rPr>
          <w:rStyle w:val="ControlFlowTok"/>
        </w:rPr>
        <w:t xml:space="preserve">assert</w:t>
      </w:r>
      <w:r>
        <w:rPr>
          <w:rStyle w:val="NormalTok"/>
        </w:rPr>
        <w:t xml:space="preserve"> np.isnan(aggregate(pd.Series([</w:t>
      </w:r>
      <w:r>
        <w:rPr>
          <w:rStyle w:val="FloatTok"/>
        </w:rPr>
        <w:t xml:space="preserve">1.</w:t>
      </w:r>
      <w:r>
        <w:rPr>
          <w:rStyle w:val="NormalTok"/>
        </w:rPr>
        <w:t xml:space="preserve">,</w:t>
      </w:r>
      <w:r>
        <w:rPr>
          <w:rStyle w:val="FloatTok"/>
        </w:rPr>
        <w:t xml:space="preserve">2.</w:t>
      </w:r>
      <w:r>
        <w:rPr>
          <w:rStyle w:val="NormalTok"/>
        </w:rPr>
        <w:t xml:space="preserve">]),pd.Series([</w:t>
      </w:r>
      <w:r>
        <w:rPr>
          <w:rStyle w:val="FloatTok"/>
        </w:rPr>
        <w:t xml:space="preserve">1.</w:t>
      </w:r>
      <w:r>
        <w:rPr>
          <w:rStyle w:val="NormalTok"/>
        </w:rPr>
        <w:t xml:space="preserve">,np.nan]))[</w:t>
      </w:r>
      <w:r>
        <w:rPr>
          <w:rStyle w:val="StringTok"/>
        </w:rPr>
        <w:t xml:space="preserve">'kWh'</w:t>
      </w:r>
      <w:r>
        <w:rPr>
          <w:rStyle w:val="NormalTok"/>
        </w:rPr>
        <w:t xml:space="preserve">])</w:t>
      </w:r>
      <w:r>
        <w:br/>
      </w:r>
      <w:r>
        <w:rPr>
          <w:rStyle w:val="ControlFlowTok"/>
        </w:rPr>
        <w:t xml:space="preserve">assert</w:t>
      </w:r>
      <w:r>
        <w:rPr>
          <w:rStyle w:val="NormalTok"/>
        </w:rPr>
        <w:t xml:space="preserve"> energy.loc[energy.Stand.eq(</w:t>
      </w:r>
      <w:r>
        <w:rPr>
          <w:rStyle w:val="StringTok"/>
        </w:rPr>
        <w:t xml:space="preserve">'2020'</w:t>
      </w:r>
      <w:r>
        <w:rPr>
          <w:rStyle w:val="NormalTok"/>
        </w:rPr>
        <w:t xml:space="preserve">),</w:t>
      </w:r>
      <w:r>
        <w:rPr>
          <w:rStyle w:val="StringTok"/>
        </w:rPr>
        <w:t xml:space="preserve">'PJ/a'</w:t>
      </w:r>
      <w:r>
        <w:rPr>
          <w:rStyle w:val="NormalTok"/>
        </w:rPr>
        <w:t xml:space="preserve">].isna().</w:t>
      </w:r>
      <w:r>
        <w:rPr>
          <w:rStyle w:val="BuiltInTok"/>
        </w:rPr>
        <w:t xml:space="preserve">all</w:t>
      </w:r>
      <w:r>
        <w:rPr>
          <w:rStyle w:val="NormalTok"/>
        </w:rPr>
        <w:t xml:space="preserve">() </w:t>
      </w:r>
      <w:r>
        <w:rPr>
          <w:rStyle w:val="ControlFlowTok"/>
        </w:rPr>
        <w:t xml:space="preserve">if</w:t>
      </w:r>
      <w:r>
        <w:rPr>
          <w:rStyle w:val="NormalTok"/>
        </w:rPr>
        <w:t xml:space="preserve"> data.BGF_2020_m2.isna().</w:t>
      </w:r>
      <w:r>
        <w:rPr>
          <w:rStyle w:val="BuiltInTok"/>
        </w:rPr>
        <w:t xml:space="preserve">all</w:t>
      </w:r>
      <w:r>
        <w:rPr>
          <w:rStyle w:val="NormalTok"/>
        </w:rPr>
        <w:t xml:space="preserve">() </w:t>
      </w:r>
      <w:r>
        <w:rPr>
          <w:rStyle w:val="ControlFlowTok"/>
        </w:rPr>
        <w:t xml:space="preserve">else</w:t>
      </w:r>
      <w:r>
        <w:rPr>
          <w:rStyle w:val="NormalTok"/>
        </w:rPr>
        <w:t xml:space="preserve"> </w:t>
      </w:r>
      <w:r>
        <w:rPr>
          <w:rStyle w:val="VariableTok"/>
        </w:rPr>
        <w:t xml:space="preserve">True</w:t>
      </w:r>
      <w:r>
        <w:br/>
      </w:r>
      <w:r>
        <w:rPr>
          <w:rStyle w:val="NormalTok"/>
        </w:rPr>
        <w:t xml:space="preserve">table</w:t>
      </w:r>
      <w:r>
        <w:rPr>
          <w:rStyle w:val="OperatorTok"/>
        </w:rPr>
        <w:t xml:space="preserve">=</w:t>
      </w:r>
      <w:r>
        <w:rPr>
          <w:rStyle w:val="NormalTok"/>
        </w:rPr>
        <w:t xml:space="preserve">geometry_area.rename(columns</w:t>
      </w:r>
      <w:r>
        <w:rPr>
          <w:rStyle w:val="OperatorTok"/>
        </w:rPr>
        <w:t xml:space="preserve">=</w:t>
      </w:r>
      <w:r>
        <w:rPr>
          <w:rStyle w:val="NormalTok"/>
        </w:rPr>
        <w:t xml:space="preserve">{</w:t>
      </w:r>
      <w:r>
        <w:rPr>
          <w:rStyle w:val="StringTok"/>
        </w:rPr>
        <w:t xml:space="preserve">'Nationale BGF heute'</w:t>
      </w:r>
      <w:r>
        <w:rPr>
          <w:rStyle w:val="NormalTok"/>
        </w:rPr>
        <w:t xml:space="preserve">:</w:t>
      </w:r>
      <w:r>
        <w:rPr>
          <w:rStyle w:val="StringTok"/>
        </w:rPr>
        <w:t xml:space="preserve">'BGF heute [Mio. m²]'</w:t>
      </w:r>
      <w:r>
        <w:rPr>
          <w:rStyle w:val="NormalTok"/>
        </w:rPr>
        <w:t xml:space="preserve">,</w:t>
      </w:r>
      <w:r>
        <w:rPr>
          <w:rStyle w:val="StringTok"/>
        </w:rPr>
        <w:t xml:space="preserve">'Nationale BGF 2040'</w:t>
      </w:r>
      <w:r>
        <w:rPr>
          <w:rStyle w:val="NormalTok"/>
        </w:rPr>
        <w:t xml:space="preserve">:</w:t>
      </w:r>
      <w:r>
        <w:rPr>
          <w:rStyle w:val="StringTok"/>
        </w:rPr>
        <w:t xml:space="preserve">'BGF 2040 [Mio. m²]'</w:t>
      </w:r>
      <w:r>
        <w:rPr>
          <w:rStyle w:val="NormalTok"/>
        </w:rPr>
        <w:t xml:space="preserve">}).reset_index()</w:t>
      </w:r>
      <w:r>
        <w:br/>
      </w:r>
      <w:r>
        <w:rPr>
          <w:rStyle w:val="NormalTok"/>
        </w:rPr>
        <w:t xml:space="preserve">table</w:t>
      </w:r>
      <w:r>
        <w:rPr>
          <w:rStyle w:val="OperatorTok"/>
        </w:rPr>
        <w:t xml:space="preserve">=</w:t>
      </w:r>
      <w:r>
        <w:rPr>
          <w:rStyle w:val="NormalTok"/>
        </w:rPr>
        <w:t xml:space="preserve">table.merge(density[[</w:t>
      </w:r>
      <w:r>
        <w:rPr>
          <w:rStyle w:val="StringTok"/>
        </w:rPr>
        <w:t xml:space="preserve">'GFZ_Mittel'</w:t>
      </w:r>
      <w:r>
        <w:rPr>
          <w:rStyle w:val="NormalTok"/>
        </w:rPr>
        <w:t xml:space="preserve">,</w:t>
      </w:r>
      <w:r>
        <w:rPr>
          <w:rStyle w:val="StringTok"/>
        </w:rPr>
        <w:t xml:space="preserve">'c_D_EE_BGF'</w:t>
      </w:r>
      <w:r>
        <w:rPr>
          <w:rStyle w:val="NormalTok"/>
        </w:rPr>
        <w:t xml:space="preserve">]].reset_index(),on</w:t>
      </w:r>
      <w:r>
        <w:rPr>
          <w:rStyle w:val="OperatorTok"/>
        </w:rPr>
        <w:t xml:space="preserve">=</w:t>
      </w:r>
      <w:r>
        <w:rPr>
          <w:rStyle w:val="StringTok"/>
        </w:rPr>
        <w:t xml:space="preserve">'Geometrie'</w:t>
      </w:r>
      <w:r>
        <w:rPr>
          <w:rStyle w:val="NormalTok"/>
        </w:rPr>
        <w:t xml:space="preserve">,how</w:t>
      </w:r>
      <w:r>
        <w:rPr>
          <w:rStyle w:val="OperatorTok"/>
        </w:rPr>
        <w:t xml:space="preserve">=</w:t>
      </w:r>
      <w:r>
        <w:rPr>
          <w:rStyle w:val="StringTok"/>
        </w:rPr>
        <w:t xml:space="preserve">'left'</w:t>
      </w:r>
      <w:r>
        <w:rPr>
          <w:rStyle w:val="NormalTok"/>
        </w:rPr>
        <w:t xml:space="preserve">)</w:t>
      </w:r>
      <w:r>
        <w:br/>
      </w:r>
      <w:r>
        <w:rPr>
          <w:rStyle w:val="NormalTok"/>
        </w:rPr>
        <w:t xml:space="preserve">(GEN</w:t>
      </w:r>
      <w:r>
        <w:rPr>
          <w:rStyle w:val="OperatorTok"/>
        </w:rPr>
        <w:t xml:space="preserve">/</w:t>
      </w:r>
      <w:r>
        <w:rPr>
          <w:rStyle w:val="StringTok"/>
        </w:rPr>
        <w:t xml:space="preserve">'gebaeude-typologien.qmd'</w:t>
      </w:r>
      <w:r>
        <w:rPr>
          <w:rStyle w:val="NormalTok"/>
        </w:rPr>
        <w:t xml:space="preserve">).write_text(markdown_table(table,</w:t>
      </w:r>
      <w:r>
        <w:rPr>
          <w:rStyle w:val="StringTok"/>
        </w:rPr>
        <w:t xml:space="preserve">'Gelieferte Flächen und BGF-gewichtete Dichte-Erwartungswerte. Heute: Bezugsjahr offen; Dichtefunktion in elektrischer Energie.'</w:t>
      </w:r>
      <w:r>
        <w:rPr>
          <w:rStyle w:val="NormalTok"/>
        </w:rPr>
        <w:t xml:space="preserve">,</w:t>
      </w:r>
      <w:r>
        <w:rPr>
          <w:rStyle w:val="StringTok"/>
        </w:rPr>
        <w:t xml:space="preserve">'tbl-gebaeude-typologien'</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(GEN</w:t>
      </w:r>
      <w:r>
        <w:rPr>
          <w:rStyle w:val="OperatorTok"/>
        </w:rPr>
        <w:t xml:space="preserve">/</w:t>
      </w:r>
      <w:r>
        <w:rPr>
          <w:rStyle w:val="StringTok"/>
        </w:rPr>
        <w:t xml:space="preserve">'gebaeude-strom.qmd'</w:t>
      </w:r>
      <w:r>
        <w:rPr>
          <w:rStyle w:val="NormalTok"/>
        </w:rPr>
        <w:t xml:space="preserve">).write_text(markdown_table(energy.loc[energy.Stand.eq(</w:t>
      </w:r>
      <w:r>
        <w:rPr>
          <w:rStyle w:val="StringTok"/>
        </w:rPr>
        <w:t xml:space="preserve">'2040'</w:t>
      </w:r>
      <w:r>
        <w:rPr>
          <w:rStyle w:val="NormalTok"/>
        </w:rPr>
        <w:t xml:space="preserve">),[</w:t>
      </w:r>
      <w:r>
        <w:rPr>
          <w:rStyle w:val="StringTok"/>
        </w:rPr>
        <w:t xml:space="preserve">'Größe'</w:t>
      </w:r>
      <w:r>
        <w:rPr>
          <w:rStyle w:val="NormalTok"/>
        </w:rPr>
        <w:t xml:space="preserve">,</w:t>
      </w:r>
      <w:r>
        <w:rPr>
          <w:rStyle w:val="StringTok"/>
        </w:rPr>
        <w:t xml:space="preserve">'kWh/(m² NGF a)'</w:t>
      </w:r>
      <w:r>
        <w:rPr>
          <w:rStyle w:val="NormalTok"/>
        </w:rPr>
        <w:t xml:space="preserve">,</w:t>
      </w:r>
      <w:r>
        <w:rPr>
          <w:rStyle w:val="StringTok"/>
        </w:rPr>
        <w:t xml:space="preserve">'GWh/a'</w:t>
      </w:r>
      <w:r>
        <w:rPr>
          <w:rStyle w:val="NormalTok"/>
        </w:rPr>
        <w:t xml:space="preserve">,</w:t>
      </w:r>
      <w:r>
        <w:rPr>
          <w:rStyle w:val="StringTok"/>
        </w:rPr>
        <w:t xml:space="preserve">'PJ/a'</w:t>
      </w:r>
      <w:r>
        <w:rPr>
          <w:rStyle w:val="NormalTok"/>
        </w:rPr>
        <w:t xml:space="preserve">]],</w:t>
      </w:r>
      <w:r>
        <w:rPr>
          <w:rStyle w:val="StringTok"/>
        </w:rPr>
        <w:t xml:space="preserve">'Strombilanz 2040 aus den gelieferten Typenkennwerten bei NGF/BGF = '</w:t>
      </w:r>
      <w:r>
        <w:rPr>
          <w:rStyle w:val="OperatorTok"/>
        </w:rPr>
        <w:t xml:space="preserve">+</w:t>
      </w:r>
      <w:r>
        <w:rPr>
          <w:rStyle w:val="BuiltInTok"/>
        </w:rPr>
        <w:t xml:space="preserve">str</w:t>
      </w:r>
      <w:r>
        <w:rPr>
          <w:rStyle w:val="NormalTok"/>
        </w:rPr>
        <w:t xml:space="preserve">(r)</w:t>
      </w:r>
      <w:r>
        <w:rPr>
          <w:rStyle w:val="OperatorTok"/>
        </w:rPr>
        <w:t xml:space="preserve">+</w:t>
      </w:r>
      <w:r>
        <w:rPr>
          <w:rStyle w:val="StringTok"/>
        </w:rPr>
        <w:t xml:space="preserve">'.'</w:t>
      </w:r>
      <w:r>
        <w:rPr>
          <w:rStyle w:val="NormalTok"/>
        </w:rPr>
        <w:t xml:space="preserve">,</w:t>
      </w:r>
      <w:r>
        <w:rPr>
          <w:rStyle w:val="StringTok"/>
        </w:rPr>
        <w:t xml:space="preserve">'tbl-gebaeude-strom'</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(GEN</w:t>
      </w:r>
      <w:r>
        <w:rPr>
          <w:rStyle w:val="OperatorTok"/>
        </w:rPr>
        <w:t xml:space="preserve">/</w:t>
      </w:r>
      <w:r>
        <w:rPr>
          <w:rStyle w:val="StringTok"/>
        </w:rPr>
        <w:t xml:space="preserve">'gebaeude-endenergie.qmd'</w:t>
      </w:r>
      <w:r>
        <w:rPr>
          <w:rStyle w:val="NormalTok"/>
        </w:rPr>
        <w:t xml:space="preserve">).write_text(markdown_table(endenergy.loc[endenergy.Stand.eq(</w:t>
      </w:r>
      <w:r>
        <w:rPr>
          <w:rStyle w:val="StringTok"/>
        </w:rPr>
        <w:t xml:space="preserve">'2040'</w:t>
      </w:r>
      <w:r>
        <w:rPr>
          <w:rStyle w:val="NormalTok"/>
        </w:rPr>
        <w:t xml:space="preserve">)].drop(columns</w:t>
      </w:r>
      <w:r>
        <w:rPr>
          <w:rStyle w:val="OperatorTok"/>
        </w:rPr>
        <w:t xml:space="preserve">=</w:t>
      </w:r>
      <w:r>
        <w:rPr>
          <w:rStyle w:val="StringTok"/>
        </w:rPr>
        <w:t xml:space="preserve">'Stand'</w:t>
      </w:r>
      <w:r>
        <w:rPr>
          <w:rStyle w:val="NormalTok"/>
        </w:rPr>
        <w:t xml:space="preserve">),</w:t>
      </w:r>
      <w:r>
        <w:rPr>
          <w:rStyle w:val="StringTok"/>
        </w:rPr>
        <w:t xml:space="preserve">'Endenergie 2040 nach Energieträgern. Strom enthält PV-Direktverbrauch; sonstige thermische Energie wird separat geführt.'</w:t>
      </w:r>
      <w:r>
        <w:rPr>
          <w:rStyle w:val="NormalTok"/>
        </w:rPr>
        <w:t xml:space="preserve">,</w:t>
      </w:r>
      <w:r>
        <w:rPr>
          <w:rStyle w:val="StringTok"/>
        </w:rPr>
        <w:t xml:space="preserve">'tbl-gebaeude-endenergie'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(GEN</w:t>
      </w:r>
      <w:r>
        <w:rPr>
          <w:rStyle w:val="OperatorTok"/>
        </w:rPr>
        <w:t xml:space="preserve">/</w:t>
      </w:r>
      <w:r>
        <w:rPr>
          <w:rStyle w:val="StringTok"/>
        </w:rPr>
        <w:t xml:space="preserve">'gebaeude-abgleich.qmd'</w:t>
      </w:r>
      <w:r>
        <w:rPr>
          <w:rStyle w:val="NormalTok"/>
        </w:rPr>
        <w:t xml:space="preserve">).write_text(markdown_table(comparison,</w:t>
      </w:r>
      <w:r>
        <w:rPr>
          <w:rStyle w:val="StringTok"/>
        </w:rPr>
        <w:t xml:space="preserve">'Vergleich bei gleichen elektrischen Bilanzgrenzen; Top-down-Zuordnungen gemäß dokumentiertem Referenzfall.'</w:t>
      </w:r>
      <w:r>
        <w:rPr>
          <w:rStyle w:val="NormalTok"/>
        </w:rPr>
        <w:t xml:space="preserve">,</w:t>
      </w:r>
      <w:r>
        <w:rPr>
          <w:rStyle w:val="StringTok"/>
        </w:rPr>
        <w:t xml:space="preserve">'tbl-gebaeude-abgleich'</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(GEN</w:t>
      </w:r>
      <w:r>
        <w:rPr>
          <w:rStyle w:val="OperatorTok"/>
        </w:rPr>
        <w:t xml:space="preserve">/</w:t>
      </w:r>
      <w:r>
        <w:rPr>
          <w:rStyle w:val="StringTok"/>
        </w:rPr>
        <w:t xml:space="preserve">'gebaeude-status.qmd'</w:t>
      </w:r>
      <w:r>
        <w:rPr>
          <w:rStyle w:val="NormalTok"/>
        </w:rPr>
        <w:t xml:space="preserve">).write_text(markdown_table(status,</w:t>
      </w:r>
      <w:r>
        <w:rPr>
          <w:rStyle w:val="StringTok"/>
        </w:rPr>
        <w:t xml:space="preserve">'Flächengewichtete Zuordnung zu Bestand, Neubau und Sanierung im Zieljahr.'</w:t>
      </w:r>
      <w:r>
        <w:rPr>
          <w:rStyle w:val="NormalTok"/>
        </w:rPr>
        <w:t xml:space="preserve">,</w:t>
      </w:r>
      <w:r>
        <w:rPr>
          <w:rStyle w:val="StringTok"/>
        </w:rPr>
        <w:t xml:space="preserve">'tbl-gebaeude-status'</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(GEN</w:t>
      </w:r>
      <w:r>
        <w:rPr>
          <w:rStyle w:val="OperatorTok"/>
        </w:rPr>
        <w:t xml:space="preserve">/</w:t>
      </w:r>
      <w:r>
        <w:rPr>
          <w:rStyle w:val="StringTok"/>
        </w:rPr>
        <w:t xml:space="preserve">'gebaeude-pe.qmd'</w:t>
      </w:r>
      <w:r>
        <w:rPr>
          <w:rStyle w:val="NormalTok"/>
        </w:rPr>
        <w:t xml:space="preserve">).write_text(markdown_table(primary.loc[primary.Stand.eq(</w:t>
      </w:r>
      <w:r>
        <w:rPr>
          <w:rStyle w:val="StringTok"/>
        </w:rPr>
        <w:t xml:space="preserve">'2040'</w:t>
      </w:r>
      <w:r>
        <w:rPr>
          <w:rStyle w:val="NormalTok"/>
        </w:rPr>
        <w:t xml:space="preserve">)].drop(columns</w:t>
      </w:r>
      <w:r>
        <w:rPr>
          <w:rStyle w:val="OperatorTok"/>
        </w:rPr>
        <w:t xml:space="preserve">=</w:t>
      </w:r>
      <w:r>
        <w:rPr>
          <w:rStyle w:val="StringTok"/>
        </w:rPr>
        <w:t xml:space="preserve">'Stand'</w:t>
      </w:r>
      <w:r>
        <w:rPr>
          <w:rStyle w:val="NormalTok"/>
        </w:rPr>
        <w:t xml:space="preserve">),</w:t>
      </w:r>
      <w:r>
        <w:rPr>
          <w:rStyle w:val="StringTok"/>
        </w:rPr>
        <w:t xml:space="preserve">'Gelieferter PE-Bewertungsstand; Faktorversion und Bezugsjahr noch zu bestätigen, ohne virtuelle Kontextwerte.'</w:t>
      </w:r>
      <w:r>
        <w:rPr>
          <w:rStyle w:val="NormalTok"/>
        </w:rPr>
        <w:t xml:space="preserve">,</w:t>
      </w:r>
      <w:r>
        <w:rPr>
          <w:rStyle w:val="StringTok"/>
        </w:rPr>
        <w:t xml:space="preserve">'tbl-gebaeude-pe'</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summary</w:t>
      </w:r>
      <w:r>
        <w:rPr>
          <w:rStyle w:val="OperatorTok"/>
        </w:rPr>
        <w:t xml:space="preserve">=</w:t>
      </w:r>
      <w:r>
        <w:rPr>
          <w:rStyle w:val="NormalTok"/>
        </w:rPr>
        <w:t xml:space="preserve">{</w:t>
      </w:r>
      <w:r>
        <w:rPr>
          <w:rStyle w:val="StringTok"/>
        </w:rPr>
        <w:t xml:space="preserve">'provenance'</w:t>
      </w:r>
      <w:r>
        <w:rPr>
          <w:rStyle w:val="NormalTok"/>
        </w:rPr>
        <w:t xml:space="preserve">:provenance,</w:t>
      </w:r>
      <w:r>
        <w:rPr>
          <w:rStyle w:val="StringTok"/>
        </w:rPr>
        <w:t xml:space="preserve">'allocation_sha256'</w:t>
      </w:r>
      <w:r>
        <w:rPr>
          <w:rStyle w:val="NormalTok"/>
        </w:rPr>
        <w:t xml:space="preserve">:sha256(allocation_path),</w:t>
      </w:r>
      <w:r>
        <w:rPr>
          <w:rStyle w:val="StringTok"/>
        </w:rPr>
        <w:t xml:space="preserve">'ngf_bgf'</w:t>
      </w:r>
      <w:r>
        <w:rPr>
          <w:rStyle w:val="NormalTok"/>
        </w:rPr>
        <w:t xml:space="preserve">:r,</w:t>
      </w:r>
      <w:r>
        <w:br/>
      </w:r>
      <w:r>
        <w:rPr>
          <w:rStyle w:val="NormalTok"/>
        </w:rPr>
        <w:t xml:space="preserve"> </w:t>
      </w:r>
      <w:r>
        <w:rPr>
          <w:rStyle w:val="StringTok"/>
        </w:rPr>
        <w:t xml:space="preserve">'type_count'</w:t>
      </w:r>
      <w:r>
        <w:rPr>
          <w:rStyle w:val="NormalTok"/>
        </w:rPr>
        <w:t xml:space="preserve">:</w:t>
      </w:r>
      <w:r>
        <w:rPr>
          <w:rStyle w:val="BuiltInTok"/>
        </w:rPr>
        <w:t xml:space="preserve">len</w:t>
      </w:r>
      <w:r>
        <w:rPr>
          <w:rStyle w:val="NormalTok"/>
        </w:rPr>
        <w:t xml:space="preserve">(data),</w:t>
      </w:r>
      <w:r>
        <w:rPr>
          <w:rStyle w:val="StringTok"/>
        </w:rPr>
        <w:t xml:space="preserve">'positive_types_2040'</w:t>
      </w:r>
      <w:r>
        <w:rPr>
          <w:rStyle w:val="NormalTok"/>
        </w:rPr>
        <w:t xml:space="preserve">:</w:t>
      </w:r>
      <w:r>
        <w:rPr>
          <w:rStyle w:val="BuiltInTok"/>
        </w:rPr>
        <w:t xml:space="preserve">int</w:t>
      </w:r>
      <w:r>
        <w:rPr>
          <w:rStyle w:val="NormalTok"/>
        </w:rPr>
        <w:t xml:space="preserve">(data[</w:t>
      </w:r>
      <w:r>
        <w:rPr>
          <w:rStyle w:val="StringTok"/>
        </w:rPr>
        <w:t xml:space="preserve">'Nationale BGF 2040'</w:t>
      </w:r>
      <w:r>
        <w:rPr>
          <w:rStyle w:val="NormalTok"/>
        </w:rPr>
        <w:t xml:space="preserve">].gt(</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'bgf_2040_m2'</w:t>
      </w:r>
      <w:r>
        <w:rPr>
          <w:rStyle w:val="NormalTok"/>
        </w:rPr>
        <w:t xml:space="preserve">:</w:t>
      </w:r>
      <w:r>
        <w:rPr>
          <w:rStyle w:val="BuiltInTok"/>
        </w:rPr>
        <w:t xml:space="preserve">float</w:t>
      </w:r>
      <w:r>
        <w:rPr>
          <w:rStyle w:val="NormalTok"/>
        </w:rPr>
        <w:t xml:space="preserve">(data[</w:t>
      </w:r>
      <w:r>
        <w:rPr>
          <w:rStyle w:val="StringTok"/>
        </w:rPr>
        <w:t xml:space="preserve">'Nationale BGF 2040'</w:t>
      </w:r>
      <w:r>
        <w:rPr>
          <w:rStyle w:val="NormalTok"/>
        </w:rPr>
        <w:t xml:space="preserve">].</w:t>
      </w:r>
      <w:r>
        <w:rPr>
          <w:rStyle w:val="BuiltInTok"/>
        </w:rPr>
        <w:t xml:space="preserve">sum</w:t>
      </w:r>
      <w:r>
        <w:rPr>
          <w:rStyle w:val="NormalTok"/>
        </w:rPr>
        <w:t xml:space="preserve">()),</w:t>
      </w:r>
      <w:r>
        <w:rPr>
          <w:rStyle w:val="StringTok"/>
        </w:rPr>
        <w:t xml:space="preserve">'bgf_today_m2'</w:t>
      </w:r>
      <w:r>
        <w:rPr>
          <w:rStyle w:val="NormalTok"/>
        </w:rPr>
        <w:t xml:space="preserve">:</w:t>
      </w:r>
      <w:r>
        <w:rPr>
          <w:rStyle w:val="BuiltInTok"/>
        </w:rPr>
        <w:t xml:space="preserve">float</w:t>
      </w:r>
      <w:r>
        <w:rPr>
          <w:rStyle w:val="NormalTok"/>
        </w:rPr>
        <w:t xml:space="preserve">(data[</w:t>
      </w:r>
      <w:r>
        <w:rPr>
          <w:rStyle w:val="StringTok"/>
        </w:rPr>
        <w:t xml:space="preserve">'Nationale BGF heute'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'electricity_demand_pj'</w:t>
      </w:r>
      <w:r>
        <w:rPr>
          <w:rStyle w:val="NormalTok"/>
        </w:rPr>
        <w:t xml:space="preserve">:val(</w:t>
      </w:r>
      <w:r>
        <w:rPr>
          <w:rStyle w:val="StringTok"/>
        </w:rPr>
        <w:t xml:space="preserve">'Strombedarf'</w:t>
      </w:r>
      <w:r>
        <w:rPr>
          <w:rStyle w:val="NormalTok"/>
        </w:rPr>
        <w:t xml:space="preserve">),</w:t>
      </w:r>
      <w:r>
        <w:rPr>
          <w:rStyle w:val="StringTok"/>
        </w:rPr>
        <w:t xml:space="preserve">'pv_pj'</w:t>
      </w:r>
      <w:r>
        <w:rPr>
          <w:rStyle w:val="NormalTok"/>
        </w:rPr>
        <w:t xml:space="preserve">:val(</w:t>
      </w:r>
      <w:r>
        <w:rPr>
          <w:rStyle w:val="StringTok"/>
        </w:rPr>
        <w:t xml:space="preserve">'PV_Erzeugung'</w:t>
      </w:r>
      <w:r>
        <w:rPr>
          <w:rStyle w:val="NormalTok"/>
        </w:rPr>
        <w:t xml:space="preserve">),</w:t>
      </w:r>
      <w:r>
        <w:rPr>
          <w:rStyle w:val="StringTok"/>
        </w:rPr>
        <w:t xml:space="preserve">'electricity_balance_pj'</w:t>
      </w:r>
      <w:r>
        <w:rPr>
          <w:rStyle w:val="NormalTok"/>
        </w:rPr>
        <w:t xml:space="preserve">:operating,</w:t>
      </w:r>
      <w:r>
        <w:br/>
      </w:r>
      <w:r>
        <w:rPr>
          <w:rStyle w:val="NormalTok"/>
        </w:rPr>
        <w:t xml:space="preserve"> </w:t>
      </w:r>
      <w:r>
        <w:rPr>
          <w:rStyle w:val="StringTok"/>
        </w:rPr>
        <w:t xml:space="preserve">'extended_balance_pj'</w:t>
      </w:r>
      <w:r>
        <w:rPr>
          <w:rStyle w:val="NormalTok"/>
        </w:rPr>
        <w:t xml:space="preserve">:extended,</w:t>
      </w:r>
      <w:r>
        <w:rPr>
          <w:rStyle w:val="StringTok"/>
        </w:rPr>
        <w:t xml:space="preserve">'gap_topdown_pj'</w:t>
      </w:r>
      <w:r>
        <w:rPr>
          <w:rStyle w:val="NormalTok"/>
        </w:rPr>
        <w:t xml:space="preserve">:extended</w:t>
      </w:r>
      <w:r>
        <w:rPr>
          <w:rStyle w:val="OperatorTok"/>
        </w:rPr>
        <w:t xml:space="preserve">-</w:t>
      </w:r>
      <w:r>
        <w:rPr>
          <w:rStyle w:val="NormalTok"/>
        </w:rPr>
        <w:t xml:space="preserve">top[</w:t>
      </w:r>
      <w:r>
        <w:rPr>
          <w:rStyle w:val="StringTok"/>
        </w:rPr>
        <w:t xml:space="preserve">'building_target_pj'</w:t>
      </w:r>
      <w:r>
        <w:rPr>
          <w:rStyle w:val="NormalTok"/>
        </w:rPr>
        <w:t xml:space="preserve">],</w:t>
      </w:r>
      <w:r>
        <w:br/>
      </w:r>
      <w:r>
        <w:rPr>
          <w:rStyle w:val="NormalTok"/>
        </w:rPr>
        <w:t xml:space="preserve"> </w:t>
      </w:r>
      <w:r>
        <w:rPr>
          <w:rStyle w:val="StringTok"/>
        </w:rPr>
        <w:t xml:space="preserve">'single_target_missing_share_rows'</w:t>
      </w:r>
      <w:r>
        <w:rPr>
          <w:rStyle w:val="NormalTok"/>
        </w:rPr>
        <w:t xml:space="preserve">:</w:t>
      </w:r>
      <w:r>
        <w:rPr>
          <w:rStyle w:val="BuiltInTok"/>
        </w:rPr>
        <w:t xml:space="preserve">int</w:t>
      </w:r>
      <w:r>
        <w:rPr>
          <w:rStyle w:val="NormalTok"/>
        </w:rPr>
        <w:t xml:space="preserve">(mapping[</w:t>
      </w:r>
      <w:r>
        <w:rPr>
          <w:rStyle w:val="StringTok"/>
        </w:rPr>
        <w:t xml:space="preserve">'Einzelziel_ergänzt'</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'affected_reference_area_pct'</w:t>
      </w:r>
      <w:r>
        <w:rPr>
          <w:rStyle w:val="NormalTok"/>
        </w:rPr>
        <w:t xml:space="preserve">:</w:t>
      </w:r>
      <w:r>
        <w:rPr>
          <w:rStyle w:val="DecValTok"/>
        </w:rPr>
        <w:t xml:space="preserve">100</w:t>
      </w:r>
      <w:r>
        <w:rPr>
          <w:rStyle w:val="OperatorTok"/>
        </w:rPr>
        <w:t xml:space="preserve">*</w:t>
      </w:r>
      <w:r>
        <w:rPr>
          <w:rStyle w:val="NormalTok"/>
        </w:rPr>
        <w:t xml:space="preserve">affected_area</w:t>
      </w:r>
      <w:r>
        <w:rPr>
          <w:rStyle w:val="OperatorTok"/>
        </w:rPr>
        <w:t xml:space="preserve">/</w:t>
      </w:r>
      <w:r>
        <w:rPr>
          <w:rStyle w:val="NormalTok"/>
        </w:rPr>
        <w:t xml:space="preserve">gfz.BGF_m2.</w:t>
      </w:r>
      <w:r>
        <w:rPr>
          <w:rStyle w:val="BuiltInTok"/>
        </w:rPr>
        <w:t xml:space="preserve">sum</w:t>
      </w:r>
      <w:r>
        <w:rPr>
          <w:rStyle w:val="NormalTok"/>
        </w:rPr>
        <w:t xml:space="preserve">(),</w:t>
      </w:r>
      <w:r>
        <w:br/>
      </w:r>
      <w:r>
        <w:rPr>
          <w:rStyle w:val="NormalTok"/>
        </w:rPr>
        <w:t xml:space="preserve"> </w:t>
      </w:r>
      <w:r>
        <w:rPr>
          <w:rStyle w:val="StringTok"/>
        </w:rPr>
        <w:t xml:space="preserve">'pe_balance_pj'</w:t>
      </w:r>
      <w:r>
        <w:rPr>
          <w:rStyle w:val="NormalTok"/>
        </w:rPr>
        <w:t xml:space="preserve">:</w:t>
      </w:r>
      <w:r>
        <w:rPr>
          <w:rStyle w:val="BuiltInTok"/>
        </w:rPr>
        <w:t xml:space="preserve">float</w:t>
      </w:r>
      <w:r>
        <w:rPr>
          <w:rStyle w:val="NormalTok"/>
        </w:rPr>
        <w:t xml:space="preserve">(primary.loc[primary.Stand.eq(</w:t>
      </w:r>
      <w:r>
        <w:rPr>
          <w:rStyle w:val="StringTok"/>
        </w:rPr>
        <w:t xml:space="preserve">'2040'</w:t>
      </w:r>
      <w:r>
        <w:rPr>
          <w:rStyle w:val="NormalTok"/>
        </w:rPr>
        <w:t xml:space="preserve">) </w:t>
      </w:r>
      <w:r>
        <w:rPr>
          <w:rStyle w:val="OperatorTok"/>
        </w:rPr>
        <w:t xml:space="preserve">&amp;</w:t>
      </w:r>
      <w:r>
        <w:rPr>
          <w:rStyle w:val="NormalTok"/>
        </w:rPr>
        <w:t xml:space="preserve"> primary[</w:t>
      </w:r>
      <w:r>
        <w:rPr>
          <w:rStyle w:val="StringTok"/>
        </w:rPr>
        <w:t xml:space="preserve">'Größe'</w:t>
      </w:r>
      <w:r>
        <w:rPr>
          <w:rStyle w:val="NormalTok"/>
        </w:rPr>
        <w:t xml:space="preserve">].eq(</w:t>
      </w:r>
      <w:r>
        <w:rPr>
          <w:rStyle w:val="StringTok"/>
        </w:rPr>
        <w:t xml:space="preserve">'PE_Saldo'</w:t>
      </w:r>
      <w:r>
        <w:rPr>
          <w:rStyle w:val="NormalTok"/>
        </w:rPr>
        <w:t xml:space="preserve">),</w:t>
      </w:r>
      <w:r>
        <w:rPr>
          <w:rStyle w:val="StringTok"/>
        </w:rPr>
        <w:t xml:space="preserve">'PJ_PE/a'</w:t>
      </w:r>
      <w:r>
        <w:rPr>
          <w:rStyle w:val="NormalTok"/>
        </w:rPr>
        <w:t xml:space="preserve">].iloc[</w:t>
      </w:r>
      <w:r>
        <w:rPr>
          <w:rStyle w:val="DecValTok"/>
        </w:rPr>
        <w:t xml:space="preserve">0</w:t>
      </w:r>
      <w:r>
        <w:rPr>
          <w:rStyle w:val="NormalTok"/>
        </w:rPr>
        <w:t xml:space="preserve">]),</w:t>
      </w:r>
      <w:r>
        <w:br/>
      </w:r>
      <w:r>
        <w:rPr>
          <w:rStyle w:val="NormalTok"/>
        </w:rPr>
        <w:t xml:space="preserve"> </w:t>
      </w:r>
      <w:r>
        <w:rPr>
          <w:rStyle w:val="StringTok"/>
        </w:rPr>
        <w:t xml:space="preserve">'controls'</w:t>
      </w:r>
      <w:r>
        <w:rPr>
          <w:rStyle w:val="NormalTok"/>
        </w:rPr>
        <w:t xml:space="preserve">:</w:t>
      </w:r>
      <w:r>
        <w:rPr>
          <w:rStyle w:val="StringTok"/>
        </w:rPr>
        <w:t xml:space="preserve">'All assertions passed; source values are not an independently rerun PEExcel simulation.'</w:t>
      </w:r>
      <w:r>
        <w:rPr>
          <w:rStyle w:val="NormalTok"/>
        </w:rPr>
        <w:t xml:space="preserve">}</w:t>
      </w:r>
      <w:r>
        <w:br/>
      </w:r>
      <w:r>
        <w:rPr>
          <w:rStyle w:val="NormalTok"/>
        </w:rPr>
        <w:t xml:space="preserve">(OUT</w:t>
      </w:r>
      <w:r>
        <w:rPr>
          <w:rStyle w:val="OperatorTok"/>
        </w:rPr>
        <w:t xml:space="preserve">/</w:t>
      </w:r>
      <w:r>
        <w:rPr>
          <w:rStyle w:val="StringTok"/>
        </w:rPr>
        <w:t xml:space="preserve">'validation.json'</w:t>
      </w:r>
      <w:r>
        <w:rPr>
          <w:rStyle w:val="NormalTok"/>
        </w:rPr>
        <w:t xml:space="preserve">).write_text(json.dumps(summary,ensure_ascii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),encoding</w:t>
      </w:r>
      <w:r>
        <w:rPr>
          <w:rStyle w:val="OperatorTok"/>
        </w:rPr>
        <w:t xml:space="preserve">=</w:t>
      </w:r>
      <w:r>
        <w:rPr>
          <w:rStyle w:val="StringTok"/>
        </w:rPr>
        <w:t xml:space="preserve">'utf-8'</w:t>
      </w:r>
      <w:r>
        <w:rPr>
          <w:rStyle w:val="NormalTok"/>
        </w:rPr>
        <w:t xml:space="preserve">)</w:t>
      </w:r>
      <w:r>
        <w:br/>
      </w:r>
      <w:r>
        <w:rPr>
          <w:rStyle w:val="NormalTok"/>
        </w:rPr>
        <w:t xml:space="preserve">data.to_csv(OUT</w:t>
      </w:r>
      <w:r>
        <w:rPr>
          <w:rStyle w:val="OperatorTok"/>
        </w:rPr>
        <w:t xml:space="preserve">/</w:t>
      </w:r>
      <w:r>
        <w:rPr>
          <w:rStyle w:val="StringTok"/>
        </w:rPr>
        <w:t xml:space="preserve">'typen_ergebnisse.csv'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area_summary.to_csv(OUT</w:t>
      </w:r>
      <w:r>
        <w:rPr>
          <w:rStyle w:val="OperatorTok"/>
        </w:rPr>
        <w:t xml:space="preserve">/</w:t>
      </w:r>
      <w:r>
        <w:rPr>
          <w:rStyle w:val="StringTok"/>
        </w:rPr>
        <w:t xml:space="preserve">'flaechenbilanz.csv'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NormalTok"/>
        </w:rPr>
        <w:t xml:space="preserve">status.to_csv(OUT</w:t>
      </w:r>
      <w:r>
        <w:rPr>
          <w:rStyle w:val="OperatorTok"/>
        </w:rPr>
        <w:t xml:space="preserve">/</w:t>
      </w:r>
      <w:r>
        <w:rPr>
          <w:rStyle w:val="StringTok"/>
        </w:rPr>
        <w:t xml:space="preserve">'zustandsflaechen_2040.csv'</w:t>
      </w:r>
      <w:r>
        <w:rPr>
          <w:rStyle w:val="NormalTok"/>
        </w:rPr>
        <w:t xml:space="preserve">,index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(json.dumps(summary,ensure_ascii</w:t>
      </w:r>
      <w:r>
        <w:rPr>
          <w:rStyle w:val="OperatorTok"/>
        </w:rPr>
        <w:t xml:space="preserve">=</w:t>
      </w:r>
      <w:r>
        <w:rPr>
          <w:rStyle w:val="VariableTok"/>
        </w:rPr>
        <w:t xml:space="preserve">False</w:t>
      </w:r>
      <w:r>
        <w:rPr>
          <w:rStyle w:val="NormalTok"/>
        </w:rPr>
        <w:t xml:space="preserve">,indent</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w:t>
      </w:r>
      <w:r>
        <w:br/>
      </w:r>
      <w:r>
        <w:rPr>
          <w:rStyle w:val="VerbatimChar"/>
        </w:rPr>
        <w:t xml:space="preserve">  "provenance": {</w:t>
      </w:r>
      <w:r>
        <w:br/>
      </w:r>
      <w:r>
        <w:rPr>
          <w:rStyle w:val="VerbatimChar"/>
        </w:rPr>
        <w:t xml:space="preserve">    "source_sha256": "b032c1bd7148b0bdac8541196a1eaa7fc58f538f87912e1f2714af88ac80a7cd",</w:t>
      </w:r>
      <w:r>
        <w:br/>
      </w:r>
      <w:r>
        <w:rPr>
          <w:rStyle w:val="VerbatimChar"/>
        </w:rPr>
        <w:t xml:space="preserve">    "input_sha256": "cd09efbfbea7bc7e8cfd82b07146f72c6f3712d3a381625532b14c947dd75bc1",</w:t>
      </w:r>
      <w:r>
        <w:br/>
      </w:r>
      <w:r>
        <w:rPr>
          <w:rStyle w:val="VerbatimChar"/>
        </w:rPr>
        <w:t xml:space="preserve">    "gfz_sha256": "b17c1f98b6104a5b8ed6da4fe436ebff14d2f7708cc2043860d166b17d3f1c3b"</w:t>
      </w:r>
      <w:r>
        <w:br/>
      </w:r>
      <w:r>
        <w:rPr>
          <w:rStyle w:val="VerbatimChar"/>
        </w:rPr>
        <w:t xml:space="preserve">  },</w:t>
      </w:r>
      <w:r>
        <w:br/>
      </w:r>
      <w:r>
        <w:rPr>
          <w:rStyle w:val="VerbatimChar"/>
        </w:rPr>
        <w:t xml:space="preserve">  "allocation_sha256": "03903a76568f74be49de3c3bf973a5d3b6c21532323e24b19bfc857fce9df7b2",</w:t>
      </w:r>
      <w:r>
        <w:br/>
      </w:r>
      <w:r>
        <w:rPr>
          <w:rStyle w:val="VerbatimChar"/>
        </w:rPr>
        <w:t xml:space="preserve">  "ngf_bgf": 0.8,</w:t>
      </w:r>
      <w:r>
        <w:br/>
      </w:r>
      <w:r>
        <w:rPr>
          <w:rStyle w:val="VerbatimChar"/>
        </w:rPr>
        <w:t xml:space="preserve">  "type_count": 900,</w:t>
      </w:r>
      <w:r>
        <w:br/>
      </w:r>
      <w:r>
        <w:rPr>
          <w:rStyle w:val="VerbatimChar"/>
        </w:rPr>
        <w:t xml:space="preserve">  "positive_types_2040": 603,</w:t>
      </w:r>
      <w:r>
        <w:br/>
      </w:r>
      <w:r>
        <w:rPr>
          <w:rStyle w:val="VerbatimChar"/>
        </w:rPr>
        <w:t xml:space="preserve">  "bgf_2040_m2": 1126578658.428,</w:t>
      </w:r>
      <w:r>
        <w:br/>
      </w:r>
      <w:r>
        <w:rPr>
          <w:rStyle w:val="VerbatimChar"/>
        </w:rPr>
        <w:t xml:space="preserve">  "bgf_today_m2": 1112340697.5,</w:t>
      </w:r>
      <w:r>
        <w:br/>
      </w:r>
      <w:r>
        <w:rPr>
          <w:rStyle w:val="VerbatimChar"/>
        </w:rPr>
        <w:t xml:space="preserve">  "electricity_demand_pj": 137.49326011458797,</w:t>
      </w:r>
      <w:r>
        <w:br/>
      </w:r>
      <w:r>
        <w:rPr>
          <w:rStyle w:val="VerbatimChar"/>
        </w:rPr>
        <w:t xml:space="preserve">  "pv_pj": 78.24546191661419,</w:t>
      </w:r>
      <w:r>
        <w:br/>
      </w:r>
      <w:r>
        <w:rPr>
          <w:rStyle w:val="VerbatimChar"/>
        </w:rPr>
        <w:t xml:space="preserve">  "electricity_balance_pj": -59.24779819797377,</w:t>
      </w:r>
      <w:r>
        <w:br/>
      </w:r>
      <w:r>
        <w:rPr>
          <w:rStyle w:val="VerbatimChar"/>
        </w:rPr>
        <w:t xml:space="preserve">  "extended_balance_pj": -100.24779819797376,</w:t>
      </w:r>
      <w:r>
        <w:br/>
      </w:r>
      <w:r>
        <w:rPr>
          <w:rStyle w:val="VerbatimChar"/>
        </w:rPr>
        <w:t xml:space="preserve">  "gap_topdown_pj": -100.24779819797376,</w:t>
      </w:r>
      <w:r>
        <w:br/>
      </w:r>
      <w:r>
        <w:rPr>
          <w:rStyle w:val="VerbatimChar"/>
        </w:rPr>
        <w:t xml:space="preserve">  "single_target_missing_share_rows": 0,</w:t>
      </w:r>
      <w:r>
        <w:br/>
      </w:r>
      <w:r>
        <w:rPr>
          <w:rStyle w:val="VerbatimChar"/>
        </w:rPr>
        <w:t xml:space="preserve">  "affected_reference_area_pct": 0.0,</w:t>
      </w:r>
      <w:r>
        <w:br/>
      </w:r>
      <w:r>
        <w:rPr>
          <w:rStyle w:val="VerbatimChar"/>
        </w:rPr>
        <w:t xml:space="preserve">  "pe_balance_pj": -409.3638470994995,</w:t>
      </w:r>
      <w:r>
        <w:br/>
      </w:r>
      <w:r>
        <w:rPr>
          <w:rStyle w:val="VerbatimChar"/>
        </w:rPr>
        <w:t xml:space="preserve">  "controls": "All assertions passed; source values are not an independently rerun PEExcel simulation."</w:t>
      </w:r>
      <w:r>
        <w:br/>
      </w:r>
      <w:r>
        <w:rPr>
          <w:rStyle w:val="VerbatimChar"/>
        </w:rPr>
        <w:t xml:space="preserve">}</w:t>
      </w:r>
    </w:p>
    <w:bookmarkEnd w:id="534"/>
    <w:bookmarkEnd w:id="535"/>
    <w:bookmarkStart w:id="542" w:name="sec-anhang-quartiersbilanzierung"/>
    <w:p>
      <w:pPr>
        <w:pStyle w:val="Heading1"/>
      </w:pPr>
      <w:r>
        <w:t xml:space="preserve">Appendix F — Annahmen der Quartiersbilanzierung</w:t>
      </w:r>
    </w:p>
    <w:p>
      <w:pPr>
        <w:pStyle w:val="FirstParagraph"/>
      </w:pPr>
      <w:r>
        <w:t xml:space="preserve">Die Quartiersbilanz verbindet projektspezifische Gebäude- und Anlagendaten mit Annahmen über Nutzung, Mobilität, Klima und Betriebsweise. Dieser Teil dokumentiert die für vergleichbare Ergebnisse wesentlichen Ansätze. Die Ableitung der Anforderungen steht in</w:t>
      </w:r>
      <w:r>
        <w:t xml:space="preserve"> </w:t>
      </w:r>
      <w:hyperlink w:anchor="sec-anhang">
        <w:r>
          <w:rPr>
            <w:rStyle w:val="Hyperlink"/>
          </w:rPr>
          <w:t xml:space="preserve">Anhang B</w:t>
        </w:r>
      </w:hyperlink>
      <w:r>
        <w:t xml:space="preserve">.</w:t>
      </w:r>
    </w:p>
    <w:p>
      <w:pPr>
        <w:pStyle w:val="BodyText"/>
      </w:pPr>
      <w:r>
        <w:t xml:space="preserve">Technische Presets erleichtern die Eingabe von Projektvarianten. Sie sind nicht allein durch ihre Verfügbarkeit verbindliche Deklarationsvorgaben. Gebäudehülle, Anlagenwahl und Dimensionierung werden deshalb als Projektgrößen beschrieben; nutzungsbezogene Referenzbedarfe und übergreifende Modellannahmen werden tabellarisch ausgewiesen.</w:t>
      </w:r>
    </w:p>
    <w:p>
      <w:pPr>
        <w:pStyle w:val="BodyText"/>
      </w:pPr>
      <w:r>
        <w:rPr>
          <w:b/>
          <w:bCs/>
        </w:rPr>
        <w:t xml:space="preserve">Vorläufig</w:t>
      </w:r>
      <w:r>
        <w:t xml:space="preserve"> </w:t>
      </w:r>
      <w:r>
        <w:t xml:space="preserve">bezeichnet Werte aus dem PEExcel-Entwicklungsschema</w:t>
      </w:r>
      <w:r>
        <w:t xml:space="preserve"> </w:t>
      </w:r>
      <w:r>
        <w:rPr>
          <w:rStyle w:val="VerbatimChar"/>
        </w:rPr>
        <w:t xml:space="preserve">1.13.1_dev</w:t>
      </w:r>
      <w:r>
        <w:t xml:space="preserve"> </w:t>
      </w:r>
      <w:r>
        <w:t xml:space="preserve">(Eingabeschema 8, Export vom 18.08.2026), deren fachliche Festlegung noch aussteht.</w:t>
      </w:r>
      <w:r>
        <w:t xml:space="preserve"> </w:t>
      </w:r>
      <w:r>
        <w:rPr>
          <w:b/>
          <w:bCs/>
        </w:rPr>
        <w:t xml:space="preserve">Noch zu ergänzen</w:t>
      </w:r>
      <w:r>
        <w:t xml:space="preserve"> </w:t>
      </w:r>
      <w:r>
        <w:t xml:space="preserve">kennzeichnet fehlende Angaben dieser Berichtsfassung.</w:t>
      </w:r>
      <w:r>
        <w:t xml:space="preserve"> </w:t>
      </w:r>
      <w:r>
        <w:rPr>
          <w:b/>
          <w:bCs/>
        </w:rPr>
        <w:t xml:space="preserve">Projektwert</w:t>
      </w:r>
      <w:r>
        <w:t xml:space="preserve"> </w:t>
      </w:r>
      <w:r>
        <w:t xml:space="preserve">bezeichnet eine aus dem Vorhaben zu bestimmende Größe, keine Lücke. PEExcel-Kennungen dienen dem Wiederfinden im Tool.</w:t>
      </w:r>
    </w:p>
    <w:bookmarkStart w:id="536" w:name="nutzerstrom-und-warmwasserwärmebedarf"/>
    <w:p>
      <w:pPr>
        <w:pStyle w:val="Heading2"/>
      </w:pPr>
      <w:r>
        <w:t xml:space="preserve">F.1 Nutzerstrom und Warmwasserwärmebedarf</w:t>
      </w:r>
    </w:p>
    <w:p>
      <w:pPr>
        <w:pStyle w:val="FirstParagraph"/>
      </w:pPr>
      <w:r>
        <w:t xml:space="preserve">Die Jahresbedarfe beziehen sich auf die Nettogrundfläche der jeweiligen Nutzung. Warmwasserwärmebedarf bezeichnet die benötigte Nutzwärme; Erzeugungs-, Speicher- und Verteilverluste werden zusätzlich im Versorgungssystem berücksichtigt. Die Werte sind auf zwei Dezimalstellen gerundet.</w:t>
      </w:r>
    </w:p>
    <w:p>
      <w:pPr>
        <w:pStyle w:val="TableCaption"/>
      </w:pPr>
      <w:r>
        <w:rPr>
          <w:b/>
          <w:bCs/>
        </w:rPr>
        <w:t xml:space="preserve">Vorläufige Referenzwerte:</w:t>
      </w:r>
      <w:r>
        <w:t xml:space="preserve"> </w:t>
      </w:r>
      <w:r>
        <w:t xml:space="preserve">Schema 1.13.1_dev, Blatt</w:t>
      </w:r>
      <w:r>
        <w:t xml:space="preserve"> </w:t>
      </w:r>
      <w:r>
        <w:rPr>
          <w:rStyle w:val="VerbatimChar"/>
        </w:rPr>
        <w:t xml:space="preserve">plugloads</w:t>
      </w:r>
      <w:r>
        <w:t xml:space="preserve">, E5:E11, und</w:t>
      </w:r>
      <w:r>
        <w:t xml:space="preserve"> </w:t>
      </w:r>
      <w:r>
        <w:rPr>
          <w:rStyle w:val="VerbatimChar"/>
        </w:rPr>
        <w:t xml:space="preserve">dhw_demand</w:t>
      </w:r>
      <w:r>
        <w:t xml:space="preserve">, G4:G10, jeweils Variante „Deklaration“. Fachliche Quellen und endgültige Gültigkeit sind</w:t>
      </w:r>
      <w:r>
        <w:t xml:space="preserve"> </w:t>
      </w:r>
      <w:r>
        <w:rPr>
          <w:b/>
          <w:bCs/>
        </w:rPr>
        <w:t xml:space="preserve">noch zu ergänzen</w:t>
      </w:r>
      <w:r>
        <w:t xml:space="preserve">. Der Variantenname allein begründet keine verbindliche Vorgabe.</w:t>
      </w:r>
      <w:r>
        <w:t xml:space="preserve"> </w:t>
      </w:r>
      <w:r>
        <w:rPr>
          <w:i/>
          <w:iCs/>
        </w:rPr>
        <w:t xml:space="preserve">Der exportierte Nullwert für sonstige Nutzung ist keine allgemeine Annahme eines stromfreien Betriebs; ein geeigneter Referenzbedarf fehlt.</w:t>
      </w:r>
    </w:p>
    <w:tbl>
      <w:tblPr>
        <w:tblStyle w:val="Table"/>
        <w:tblW w:type="pct" w:w="5000"/>
        <w:tblLayout w:type="fixed"/>
        <w:tblLook w:firstRow="1" w:lastRow="0" w:firstColumn="0" w:lastColumn="0" w:noHBand="0" w:noVBand="0" w:val="0020"/>
        <w:tblCaption w:val="Vorläufige Referenzwerte: Schema 1.13.1_dev, Blatt plugloads, E5:E11, und dhw_demand, G4:G10, jeweils Variante „Deklaration“. Fachliche Quellen und endgültige Gültigkeit sind noch zu ergänzen. Der Variantenname allein begründet keine verbindliche Vorgabe. Der exportierte Nullwert für sonstige Nutzung ist keine allgemeine Annahme eines stromfreien Betriebs; ein geeigneter Referenzbedarf fehlt."/>
      </w:tblPr>
      <w:tblGrid>
        <w:gridCol w:w="1697"/>
        <w:gridCol w:w="2262"/>
        <w:gridCol w:w="2262"/>
        <w:gridCol w:w="1697"/>
      </w:tblGrid>
      <w:tr>
        <w:trPr>
          <w:tblHeader w:val="on"/>
        </w:trPr>
        <w:tc>
          <w:tcPr/>
          <w:p>
            <w:pPr>
              <w:pStyle w:val="Compact"/>
            </w:pPr>
            <w:r>
              <w:t xml:space="preserve">Nutzung</w:t>
            </w:r>
          </w:p>
        </w:tc>
        <w:tc>
          <w:tcPr/>
          <w:p>
            <w:pPr>
              <w:pStyle w:val="Compact"/>
              <w:jc w:val="right"/>
            </w:pPr>
            <w:r>
              <w:t xml:space="preserve">Nutzerstrom [kWh/(m² NGF a)]</w:t>
            </w:r>
          </w:p>
        </w:tc>
        <w:tc>
          <w:tcPr/>
          <w:p>
            <w:pPr>
              <w:pStyle w:val="Compact"/>
              <w:jc w:val="right"/>
            </w:pPr>
            <w:r>
              <w:t xml:space="preserve">Warmwasserwärmebedarf [kWh/(m² NGF a)]</w:t>
            </w:r>
          </w:p>
        </w:tc>
        <w:tc>
          <w:tcPr/>
          <w:p>
            <w:pPr>
              <w:pStyle w:val="Compact"/>
            </w:pPr>
            <w:r>
              <w:t xml:space="preserve">PEExcel-Nutzungsschlüssel</w:t>
            </w:r>
          </w:p>
        </w:tc>
      </w:tr>
      <w:tr>
        <w:tc>
          <w:tcPr/>
          <w:p>
            <w:pPr>
              <w:pStyle w:val="Compact"/>
            </w:pPr>
            <w:r>
              <w:t xml:space="preserve">Wohnen</w:t>
            </w:r>
          </w:p>
        </w:tc>
        <w:tc>
          <w:tcPr/>
          <w:p>
            <w:pPr>
              <w:pStyle w:val="Compact"/>
              <w:jc w:val="right"/>
            </w:pPr>
            <w:r>
              <w:t xml:space="preserve">20,53</w:t>
            </w:r>
          </w:p>
        </w:tc>
        <w:tc>
          <w:tcPr/>
          <w:p>
            <w:pPr>
              <w:pStyle w:val="Compact"/>
              <w:jc w:val="right"/>
            </w:pPr>
            <w:r>
              <w:t xml:space="preserve">12,78</w:t>
            </w:r>
          </w:p>
        </w:tc>
        <w:tc>
          <w:tcPr/>
          <w:p>
            <w:pPr>
              <w:pStyle w:val="Compact"/>
            </w:pPr>
            <w:r>
              <w:rPr>
                <w:rStyle w:val="VerbatimChar"/>
              </w:rPr>
              <w:t xml:space="preserve">residential</w:t>
            </w:r>
          </w:p>
        </w:tc>
      </w:tr>
      <w:tr>
        <w:tc>
          <w:tcPr/>
          <w:p>
            <w:pPr>
              <w:pStyle w:val="Compact"/>
            </w:pPr>
            <w:r>
              <w:t xml:space="preserve">Büro</w:t>
            </w:r>
          </w:p>
        </w:tc>
        <w:tc>
          <w:tcPr/>
          <w:p>
            <w:pPr>
              <w:pStyle w:val="Compact"/>
              <w:jc w:val="right"/>
            </w:pPr>
            <w:r>
              <w:t xml:space="preserve">24,64</w:t>
            </w:r>
          </w:p>
        </w:tc>
        <w:tc>
          <w:tcPr/>
          <w:p>
            <w:pPr>
              <w:pStyle w:val="Compact"/>
              <w:jc w:val="right"/>
            </w:pPr>
            <w:r>
              <w:t xml:space="preserve">3,03</w:t>
            </w:r>
          </w:p>
        </w:tc>
        <w:tc>
          <w:tcPr/>
          <w:p>
            <w:pPr>
              <w:pStyle w:val="Compact"/>
            </w:pPr>
            <w:r>
              <w:rPr>
                <w:rStyle w:val="VerbatimChar"/>
              </w:rPr>
              <w:t xml:space="preserve">office</w:t>
            </w:r>
          </w:p>
        </w:tc>
      </w:tr>
      <w:tr>
        <w:tc>
          <w:tcPr/>
          <w:p>
            <w:pPr>
              <w:pStyle w:val="Compact"/>
            </w:pPr>
            <w:r>
              <w:t xml:space="preserve">Bildung sekundär</w:t>
            </w:r>
          </w:p>
        </w:tc>
        <w:tc>
          <w:tcPr/>
          <w:p>
            <w:pPr>
              <w:pStyle w:val="Compact"/>
              <w:jc w:val="right"/>
            </w:pPr>
            <w:r>
              <w:t xml:space="preserve">51,32</w:t>
            </w:r>
          </w:p>
        </w:tc>
        <w:tc>
          <w:tcPr/>
          <w:p>
            <w:pPr>
              <w:pStyle w:val="Compact"/>
              <w:jc w:val="right"/>
            </w:pPr>
            <w:r>
              <w:t xml:space="preserve">3,36</w:t>
            </w:r>
          </w:p>
        </w:tc>
        <w:tc>
          <w:tcPr/>
          <w:p>
            <w:pPr>
              <w:pStyle w:val="Compact"/>
            </w:pPr>
            <w:r>
              <w:rPr>
                <w:rStyle w:val="VerbatimChar"/>
              </w:rPr>
              <w:t xml:space="preserve">schoolsec</w:t>
            </w:r>
          </w:p>
        </w:tc>
      </w:tr>
      <w:tr>
        <w:tc>
          <w:tcPr/>
          <w:p>
            <w:pPr>
              <w:pStyle w:val="Compact"/>
            </w:pPr>
            <w:r>
              <w:t xml:space="preserve">Bildung primär</w:t>
            </w:r>
          </w:p>
        </w:tc>
        <w:tc>
          <w:tcPr/>
          <w:p>
            <w:pPr>
              <w:pStyle w:val="Compact"/>
              <w:jc w:val="right"/>
            </w:pPr>
            <w:r>
              <w:t xml:space="preserve">30,79</w:t>
            </w:r>
          </w:p>
        </w:tc>
        <w:tc>
          <w:tcPr/>
          <w:p>
            <w:pPr>
              <w:pStyle w:val="Compact"/>
              <w:jc w:val="right"/>
            </w:pPr>
            <w:r>
              <w:t xml:space="preserve">3,36</w:t>
            </w:r>
          </w:p>
        </w:tc>
        <w:tc>
          <w:tcPr/>
          <w:p>
            <w:pPr>
              <w:pStyle w:val="Compact"/>
            </w:pPr>
            <w:r>
              <w:rPr>
                <w:rStyle w:val="VerbatimChar"/>
              </w:rPr>
              <w:t xml:space="preserve">schoolprim</w:t>
            </w:r>
          </w:p>
        </w:tc>
      </w:tr>
      <w:tr>
        <w:tc>
          <w:tcPr/>
          <w:p>
            <w:pPr>
              <w:pStyle w:val="Compact"/>
            </w:pPr>
            <w:r>
              <w:t xml:space="preserve">Lebensmittelhandel</w:t>
            </w:r>
          </w:p>
        </w:tc>
        <w:tc>
          <w:tcPr/>
          <w:p>
            <w:pPr>
              <w:pStyle w:val="Compact"/>
              <w:jc w:val="right"/>
            </w:pPr>
            <w:r>
              <w:t xml:space="preserve">30,80</w:t>
            </w:r>
          </w:p>
        </w:tc>
        <w:tc>
          <w:tcPr/>
          <w:p>
            <w:pPr>
              <w:pStyle w:val="Compact"/>
              <w:jc w:val="right"/>
            </w:pPr>
            <w:r>
              <w:t xml:space="preserve">6,34</w:t>
            </w:r>
          </w:p>
        </w:tc>
        <w:tc>
          <w:tcPr/>
          <w:p>
            <w:pPr>
              <w:pStyle w:val="Compact"/>
            </w:pPr>
            <w:r>
              <w:rPr>
                <w:rStyle w:val="VerbatimChar"/>
              </w:rPr>
              <w:t xml:space="preserve">retailfood</w:t>
            </w:r>
          </w:p>
        </w:tc>
      </w:tr>
      <w:tr>
        <w:tc>
          <w:tcPr/>
          <w:p>
            <w:pPr>
              <w:pStyle w:val="Compact"/>
            </w:pPr>
            <w:r>
              <w:t xml:space="preserve">Sonstiger Handel</w:t>
            </w:r>
          </w:p>
        </w:tc>
        <w:tc>
          <w:tcPr/>
          <w:p>
            <w:pPr>
              <w:pStyle w:val="Compact"/>
              <w:jc w:val="right"/>
            </w:pPr>
            <w:r>
              <w:t xml:space="preserve">30,80</w:t>
            </w:r>
          </w:p>
        </w:tc>
        <w:tc>
          <w:tcPr/>
          <w:p>
            <w:pPr>
              <w:pStyle w:val="Compact"/>
              <w:jc w:val="right"/>
            </w:pPr>
            <w:r>
              <w:t xml:space="preserve">6,34</w:t>
            </w:r>
          </w:p>
        </w:tc>
        <w:tc>
          <w:tcPr/>
          <w:p>
            <w:pPr>
              <w:pStyle w:val="Compact"/>
            </w:pPr>
            <w:r>
              <w:rPr>
                <w:rStyle w:val="VerbatimChar"/>
              </w:rPr>
              <w:t xml:space="preserve">retailother</w:t>
            </w:r>
          </w:p>
        </w:tc>
      </w:tr>
      <w:tr>
        <w:tc>
          <w:tcPr/>
          <w:p>
            <w:pPr>
              <w:pStyle w:val="Compact"/>
            </w:pPr>
            <w:r>
              <w:t xml:space="preserve">Sonstige Nutzung</w:t>
            </w:r>
          </w:p>
        </w:tc>
        <w:tc>
          <w:tcPr/>
          <w:p>
            <w:pPr>
              <w:pStyle w:val="Compact"/>
              <w:jc w:val="right"/>
            </w:pPr>
            <w:r>
              <w:t xml:space="preserve">0,00*</w:t>
            </w:r>
          </w:p>
        </w:tc>
        <w:tc>
          <w:tcPr/>
          <w:p>
            <w:pPr>
              <w:pStyle w:val="Compact"/>
              <w:jc w:val="right"/>
            </w:pPr>
            <w:r>
              <w:t xml:space="preserve">6,34</w:t>
            </w:r>
          </w:p>
        </w:tc>
        <w:tc>
          <w:tcPr/>
          <w:p>
            <w:pPr>
              <w:pStyle w:val="Compact"/>
            </w:pPr>
            <w:r>
              <w:rPr>
                <w:rStyle w:val="VerbatimChar"/>
              </w:rPr>
              <w:t xml:space="preserve">other</w:t>
            </w:r>
          </w:p>
        </w:tc>
      </w:tr>
    </w:tbl>
    <w:p>
      <w:pPr>
        <w:pStyle w:val="BodyText"/>
      </w:pPr>
      <w:r>
        <w:t xml:space="preserve">PEExcel-Zuordnung:</w:t>
      </w:r>
      <w:r>
        <w:t xml:space="preserve"> </w:t>
      </w:r>
      <w:r>
        <w:rPr>
          <w:rStyle w:val="VerbatimChar"/>
        </w:rPr>
        <w:t xml:space="preserve">plugloads_&lt;Nutzungsschlüssel&gt;</w:t>
      </w:r>
      <w:r>
        <w:t xml:space="preserve"> </w:t>
      </w:r>
      <w:r>
        <w:t xml:space="preserve">und</w:t>
      </w:r>
      <w:r>
        <w:t xml:space="preserve"> </w:t>
      </w:r>
      <w:r>
        <w:rPr>
          <w:rStyle w:val="VerbatimChar"/>
        </w:rPr>
        <w:t xml:space="preserve">DHW_demand_&lt;Nutzungsschlüssel&gt;_kWhm2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Ergänzende Annahme</w:t>
            </w:r>
          </w:p>
        </w:tc>
        <w:tc>
          <w:tcPr/>
          <w:p>
            <w:pPr>
              <w:pStyle w:val="Compact"/>
            </w:pPr>
            <w:r>
              <w:t xml:space="preserve">Stand</w:t>
            </w:r>
          </w:p>
        </w:tc>
        <w:tc>
          <w:tcPr/>
          <w:p>
            <w:pPr>
              <w:pStyle w:val="Compact"/>
            </w:pPr>
            <w:r>
              <w:t xml:space="preserve">Bedeutung</w:t>
            </w:r>
          </w:p>
        </w:tc>
      </w:tr>
      <w:tr>
        <w:tc>
          <w:tcPr/>
          <w:p>
            <w:pPr>
              <w:pStyle w:val="Compact"/>
            </w:pPr>
            <w:r>
              <w:t xml:space="preserve">Zeitliche Verteilung der Jahresbedarfe</w:t>
            </w:r>
          </w:p>
        </w:tc>
        <w:tc>
          <w:tcPr/>
          <w:p>
            <w:pPr>
              <w:pStyle w:val="Compact"/>
            </w:pPr>
            <w:r>
              <w:rPr>
                <w:b/>
                <w:bCs/>
              </w:rPr>
              <w:t xml:space="preserve">Noch zu ergänzen:</w:t>
            </w:r>
            <w:r>
              <w:t xml:space="preserve"> </w:t>
            </w:r>
            <w:r>
              <w:t xml:space="preserve">Stundenprofile, Wochen-/Feiertags- und Jahresverlauf je Nutzung</w:t>
            </w:r>
          </w:p>
        </w:tc>
        <w:tc>
          <w:tcPr/>
          <w:p>
            <w:pPr>
              <w:pStyle w:val="Compact"/>
            </w:pPr>
            <w:r>
              <w:t xml:space="preserve">Bestimmt Gleichzeitigkeit mit PV und Wirkung von Speichern</w:t>
            </w:r>
          </w:p>
        </w:tc>
      </w:tr>
      <w:tr>
        <w:tc>
          <w:tcPr/>
          <w:p>
            <w:pPr>
              <w:pStyle w:val="Compact"/>
            </w:pPr>
            <w:r>
              <w:t xml:space="preserve">Abgrenzung des Nutzerstroms</w:t>
            </w:r>
          </w:p>
        </w:tc>
        <w:tc>
          <w:tcPr/>
          <w:p>
            <w:pPr>
              <w:pStyle w:val="Compact"/>
            </w:pPr>
            <w:r>
              <w:rPr>
                <w:b/>
                <w:bCs/>
              </w:rPr>
              <w:t xml:space="preserve">Noch zu ergänzen:</w:t>
            </w:r>
            <w:r>
              <w:t xml:space="preserve"> </w:t>
            </w:r>
            <w:r>
              <w:t xml:space="preserve">enthaltene Anwendungen je Nutzung</w:t>
            </w:r>
          </w:p>
        </w:tc>
        <w:tc>
          <w:tcPr/>
          <w:p>
            <w:pPr>
              <w:pStyle w:val="Compact"/>
            </w:pPr>
            <w:r>
              <w:t xml:space="preserve">Vermeidet Überschneidungen mit Beleuchtung, Allgemeinstrom, Haustechnik und Prozessenergie</w:t>
            </w:r>
          </w:p>
        </w:tc>
      </w:tr>
      <w:tr>
        <w:tc>
          <w:tcPr/>
          <w:p>
            <w:pPr>
              <w:pStyle w:val="Compact"/>
            </w:pPr>
            <w:r>
              <w:t xml:space="preserve">Warmwassernutzung</w:t>
            </w:r>
          </w:p>
        </w:tc>
        <w:tc>
          <w:tcPr/>
          <w:p>
            <w:pPr>
              <w:pStyle w:val="Compact"/>
            </w:pPr>
            <w:r>
              <w:rPr>
                <w:b/>
                <w:bCs/>
              </w:rPr>
              <w:t xml:space="preserve">Noch zu ergänzen:</w:t>
            </w:r>
            <w:r>
              <w:t xml:space="preserve"> </w:t>
            </w:r>
            <w:r>
              <w:t xml:space="preserve">Zapfprofile und Nutzungsintensität</w:t>
            </w:r>
          </w:p>
        </w:tc>
        <w:tc>
          <w:tcPr/>
          <w:p>
            <w:pPr>
              <w:pStyle w:val="Compact"/>
            </w:pPr>
            <w:r>
              <w:t xml:space="preserve">Verknüpft Jahreswärmebedarf mit Leistungs- und Speicherbedarf</w:t>
            </w:r>
          </w:p>
        </w:tc>
      </w:tr>
      <w:tr>
        <w:tc>
          <w:tcPr/>
          <w:p>
            <w:pPr>
              <w:pStyle w:val="Compact"/>
            </w:pPr>
            <w:r>
              <w:t xml:space="preserve">Sondernutzungen</w:t>
            </w:r>
          </w:p>
        </w:tc>
        <w:tc>
          <w:tcPr/>
          <w:p>
            <w:pPr>
              <w:pStyle w:val="Compact"/>
            </w:pPr>
            <w:r>
              <w:rPr>
                <w:b/>
                <w:bCs/>
              </w:rPr>
              <w:t xml:space="preserve">Noch zu ergänzen:</w:t>
            </w:r>
            <w:r>
              <w:t xml:space="preserve"> </w:t>
            </w:r>
            <w:r>
              <w:t xml:space="preserve">Zuordnungsregel und Referenzbedarfe</w:t>
            </w:r>
          </w:p>
        </w:tc>
        <w:tc>
          <w:tcPr/>
          <w:p>
            <w:pPr>
              <w:pStyle w:val="Compact"/>
            </w:pPr>
            <w:r>
              <w:t xml:space="preserve">Für Nutzungen, die durch die vorhandenen Kategorien nicht angemessen beschrieben werden</w:t>
            </w:r>
          </w:p>
        </w:tc>
      </w:tr>
    </w:tbl>
    <w:bookmarkEnd w:id="536"/>
    <w:bookmarkStart w:id="537" w:name="X3e95c389cd6670b7d9e468e872aa53b43fee85e"/>
    <w:p>
      <w:pPr>
        <w:pStyle w:val="Heading2"/>
      </w:pPr>
      <w:r>
        <w:t xml:space="preserve">F.2 Allgemeinstrom, Beleuchtung und innere Wärmegewinne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Benötigter Ansatz</w:t>
            </w:r>
          </w:p>
        </w:tc>
        <w:tc>
          <w:tcPr/>
          <w:p>
            <w:pPr>
              <w:pStyle w:val="Compact"/>
            </w:pPr>
            <w:r>
              <w:t xml:space="preserve">Stand / PEExcel-Bezug</w:t>
            </w:r>
          </w:p>
        </w:tc>
      </w:tr>
      <w:tr>
        <w:tc>
          <w:tcPr/>
          <w:p>
            <w:pPr>
              <w:pStyle w:val="Compact"/>
            </w:pPr>
            <w:r>
              <w:t xml:space="preserve">Allgemeinstrom</w:t>
            </w:r>
          </w:p>
        </w:tc>
        <w:tc>
          <w:tcPr/>
          <w:p>
            <w:pPr>
              <w:pStyle w:val="Compact"/>
            </w:pPr>
            <w:r>
              <w:t xml:space="preserve">Jahresbedarf je Nutzung in kWh/(m² NGF a), enthaltene Anwendungen</w:t>
            </w:r>
          </w:p>
        </w:tc>
        <w:tc>
          <w:tcPr/>
          <w:p>
            <w:pPr>
              <w:pStyle w:val="Compact"/>
            </w:pPr>
            <w:r>
              <w:rPr>
                <w:b/>
                <w:bCs/>
              </w:rPr>
              <w:t xml:space="preserve">Noch zu ergänzen</w:t>
            </w:r>
            <w:r>
              <w:t xml:space="preserve">;</w:t>
            </w:r>
            <w:r>
              <w:t xml:space="preserve"> </w:t>
            </w:r>
            <w:r>
              <w:rPr>
                <w:rStyle w:val="VerbatimChar"/>
              </w:rPr>
              <w:t xml:space="preserve">aux_el_demand_&lt;Nutzungsschlüssel&gt;_kWhm2</w:t>
            </w:r>
          </w:p>
        </w:tc>
      </w:tr>
      <w:tr>
        <w:tc>
          <w:tcPr/>
          <w:p>
            <w:pPr>
              <w:pStyle w:val="Compact"/>
            </w:pPr>
            <w:r>
              <w:t xml:space="preserve">Beleuchtungsleistung</w:t>
            </w:r>
          </w:p>
        </w:tc>
        <w:tc>
          <w:tcPr/>
          <w:p>
            <w:pPr>
              <w:pStyle w:val="Compact"/>
            </w:pPr>
            <w:r>
              <w:t xml:space="preserve">Installierte bzw. angesetzte Leistung in W/m² und Mindestleistung</w:t>
            </w:r>
          </w:p>
        </w:tc>
        <w:tc>
          <w:tcPr/>
          <w:p>
            <w:pPr>
              <w:pStyle w:val="Compact"/>
            </w:pPr>
            <w:r>
              <w:rPr>
                <w:b/>
                <w:bCs/>
              </w:rPr>
              <w:t xml:space="preserve">Noch zu ergänzen</w:t>
            </w:r>
            <w:r>
              <w:t xml:space="preserve">;</w:t>
            </w:r>
            <w:r>
              <w:t xml:space="preserve"> </w:t>
            </w:r>
            <w:r>
              <w:rPr>
                <w:rStyle w:val="VerbatimChar"/>
              </w:rPr>
              <w:t xml:space="preserve">Plight_max_*</w:t>
            </w:r>
            <w:r>
              <w:t xml:space="preserve">,</w:t>
            </w:r>
            <w:r>
              <w:t xml:space="preserve"> </w:t>
            </w:r>
            <w:r>
              <w:rPr>
                <w:rStyle w:val="VerbatimChar"/>
              </w:rPr>
              <w:t xml:space="preserve">Plight_min_*</w:t>
            </w:r>
            <w:r>
              <w:t xml:space="preserve"> </w:t>
            </w:r>
            <w:r>
              <w:t xml:space="preserve">für Büro und Bildungsnutzungen</w:t>
            </w:r>
          </w:p>
        </w:tc>
      </w:tr>
      <w:tr>
        <w:tc>
          <w:tcPr/>
          <w:p>
            <w:pPr>
              <w:pStyle w:val="Compact"/>
            </w:pPr>
            <w:r>
              <w:t xml:space="preserve">Beleuchtungsbetrieb</w:t>
            </w:r>
          </w:p>
        </w:tc>
        <w:tc>
          <w:tcPr/>
          <w:p>
            <w:pPr>
              <w:pStyle w:val="Compact"/>
            </w:pPr>
            <w:r>
              <w:t xml:space="preserve">Nutzungszeiten, Regelung und Skalierung</w:t>
            </w:r>
          </w:p>
        </w:tc>
        <w:tc>
          <w:tcPr/>
          <w:p>
            <w:pPr>
              <w:pStyle w:val="Compact"/>
            </w:pPr>
            <w:r>
              <w:rPr>
                <w:b/>
                <w:bCs/>
              </w:rPr>
              <w:t xml:space="preserve">Noch zu ergänzen</w:t>
            </w:r>
            <w:r>
              <w:t xml:space="preserve">;</w:t>
            </w:r>
            <w:r>
              <w:t xml:space="preserve"> </w:t>
            </w:r>
            <w:r>
              <w:rPr>
                <w:rStyle w:val="VerbatimChar"/>
              </w:rPr>
              <w:t xml:space="preserve">lighting_factor_*</w:t>
            </w:r>
            <w:r>
              <w:t xml:space="preserve"> </w:t>
            </w:r>
            <w:r>
              <w:t xml:space="preserve">und Zeitprofile</w:t>
            </w:r>
          </w:p>
        </w:tc>
      </w:tr>
      <w:tr>
        <w:tc>
          <w:tcPr/>
          <w:p>
            <w:pPr>
              <w:pStyle w:val="Compact"/>
            </w:pPr>
            <w:r>
              <w:t xml:space="preserve">Tageslichtnutzung</w:t>
            </w:r>
          </w:p>
        </w:tc>
        <w:tc>
          <w:tcPr/>
          <w:p>
            <w:pPr>
              <w:pStyle w:val="Compact"/>
            </w:pPr>
            <w:r>
              <w:t xml:space="preserve">Tageslichtkoeffizient und Anteil tageslichtgesteuerter Beleuchtung</w:t>
            </w:r>
          </w:p>
        </w:tc>
        <w:tc>
          <w:tcPr/>
          <w:p>
            <w:pPr>
              <w:pStyle w:val="Compact"/>
            </w:pPr>
            <w:r>
              <w:rPr>
                <w:b/>
                <w:bCs/>
              </w:rPr>
              <w:t xml:space="preserve">Noch zu ergänzen</w:t>
            </w:r>
            <w:r>
              <w:t xml:space="preserve">;</w:t>
            </w:r>
            <w:r>
              <w:t xml:space="preserve"> </w:t>
            </w:r>
            <w:r>
              <w:rPr>
                <w:rStyle w:val="VerbatimChar"/>
              </w:rPr>
              <w:t xml:space="preserve">Daylightcoefficient_*</w:t>
            </w:r>
            <w:r>
              <w:t xml:space="preserve">,</w:t>
            </w:r>
            <w:r>
              <w:t xml:space="preserve"> </w:t>
            </w:r>
            <w:r>
              <w:rPr>
                <w:rStyle w:val="VerbatimChar"/>
              </w:rPr>
              <w:t xml:space="preserve">daylightcontr_*</w:t>
            </w:r>
            <w:r>
              <w:t xml:space="preserve"> </w:t>
            </w:r>
            <w:r>
              <w:t xml:space="preserve">für Büro und Bildungsnutzungen</w:t>
            </w:r>
          </w:p>
        </w:tc>
      </w:tr>
      <w:tr>
        <w:tc>
          <w:tcPr/>
          <w:p>
            <w:pPr>
              <w:pStyle w:val="Compact"/>
            </w:pPr>
            <w:r>
              <w:t xml:space="preserve">Beleuchtung weiterer Nutzungen</w:t>
            </w:r>
          </w:p>
        </w:tc>
        <w:tc>
          <w:tcPr/>
          <w:p>
            <w:pPr>
              <w:pStyle w:val="Compact"/>
            </w:pPr>
            <w:r>
              <w:t xml:space="preserve">Einbeziehung in Nutzerstrom oder gesonderte Berechnung</w:t>
            </w:r>
          </w:p>
        </w:tc>
        <w:tc>
          <w:tcPr/>
          <w:p>
            <w:pPr>
              <w:pStyle w:val="Compact"/>
            </w:pPr>
            <w:r>
              <w:rPr>
                <w:b/>
                <w:bCs/>
              </w:rPr>
              <w:t xml:space="preserve">Noch zu ergänzen:</w:t>
            </w:r>
            <w:r>
              <w:t xml:space="preserve"> </w:t>
            </w:r>
            <w:r>
              <w:t xml:space="preserve">Abgrenzung für Wohnen, Handel und sonstige Nutzungen</w:t>
            </w:r>
          </w:p>
        </w:tc>
      </w:tr>
      <w:tr>
        <w:tc>
          <w:tcPr/>
          <w:p>
            <w:pPr>
              <w:pStyle w:val="Compact"/>
            </w:pPr>
            <w:r>
              <w:t xml:space="preserve">Personenwärme</w:t>
            </w:r>
          </w:p>
        </w:tc>
        <w:tc>
          <w:tcPr/>
          <w:p>
            <w:pPr>
              <w:pStyle w:val="Compact"/>
            </w:pPr>
            <w:r>
              <w:t xml:space="preserve">Wärmeabgabe je Person, Belegung und Anwesenheit</w:t>
            </w:r>
          </w:p>
        </w:tc>
        <w:tc>
          <w:tcPr/>
          <w:p>
            <w:pPr>
              <w:pStyle w:val="Compact"/>
            </w:pPr>
            <w:r>
              <w:rPr>
                <w:b/>
                <w:bCs/>
              </w:rPr>
              <w:t xml:space="preserve">Noch zu ergänzen:</w:t>
            </w:r>
            <w:r>
              <w:t xml:space="preserve"> </w:t>
            </w:r>
            <w:r>
              <w:t xml:space="preserve">Werte, Quellen und Zuordnung der Wärmeanteile</w:t>
            </w:r>
          </w:p>
        </w:tc>
      </w:tr>
      <w:tr>
        <w:tc>
          <w:tcPr/>
          <w:p>
            <w:pPr>
              <w:pStyle w:val="Compact"/>
            </w:pPr>
            <w:r>
              <w:t xml:space="preserve">Geräte- und Beleuchtungswärme</w:t>
            </w:r>
          </w:p>
        </w:tc>
        <w:tc>
          <w:tcPr/>
          <w:p>
            <w:pPr>
              <w:pStyle w:val="Compact"/>
            </w:pPr>
            <w:r>
              <w:t xml:space="preserve">Raumwirksamer Anteil der elektrischen Energie</w:t>
            </w:r>
          </w:p>
        </w:tc>
        <w:tc>
          <w:tcPr/>
          <w:p>
            <w:pPr>
              <w:pStyle w:val="Compact"/>
            </w:pPr>
            <w:r>
              <w:rPr>
                <w:b/>
                <w:bCs/>
              </w:rPr>
              <w:t xml:space="preserve">Noch zu ergänzen:</w:t>
            </w:r>
            <w:r>
              <w:t xml:space="preserve"> </w:t>
            </w:r>
            <w:r>
              <w:t xml:space="preserve">Anteile und zeitliche Zuordnung, einschließlich außerhalb der thermischen Zone abgeführter Wärme</w:t>
            </w:r>
          </w:p>
        </w:tc>
      </w:tr>
      <w:tr>
        <w:tc>
          <w:tcPr/>
          <w:p>
            <w:pPr>
              <w:pStyle w:val="Compact"/>
            </w:pPr>
            <w:r>
              <w:t xml:space="preserve">Gleichzeitigkeit innerer Wärmegewinne</w:t>
            </w:r>
          </w:p>
        </w:tc>
        <w:tc>
          <w:tcPr/>
          <w:p>
            <w:pPr>
              <w:pStyle w:val="Compact"/>
            </w:pPr>
            <w:r>
              <w:t xml:space="preserve">Nutzungsbezogene Sommer-/Winteransätze</w:t>
            </w:r>
          </w:p>
        </w:tc>
        <w:tc>
          <w:tcPr/>
          <w:p>
            <w:pPr>
              <w:pStyle w:val="Compact"/>
            </w:pPr>
            <w:r>
              <w:rPr>
                <w:b/>
                <w:bCs/>
              </w:rPr>
              <w:t xml:space="preserve">Noch zu ergänzen</w:t>
            </w:r>
            <w:r>
              <w:t xml:space="preserve">;</w:t>
            </w:r>
            <w:r>
              <w:t xml:space="preserve"> </w:t>
            </w:r>
            <w:r>
              <w:rPr>
                <w:rStyle w:val="VerbatimChar"/>
              </w:rPr>
              <w:t xml:space="preserve">usage_concurrency_summer_*</w:t>
            </w:r>
            <w:r>
              <w:t xml:space="preserve">,</w:t>
            </w:r>
            <w:r>
              <w:t xml:space="preserve"> </w:t>
            </w:r>
            <w:r>
              <w:rPr>
                <w:rStyle w:val="VerbatimChar"/>
              </w:rPr>
              <w:t xml:space="preserve">usage_concurrency_winter_*</w:t>
            </w:r>
          </w:p>
        </w:tc>
      </w:tr>
    </w:tbl>
    <w:p>
      <w:pPr>
        <w:pStyle w:val="BodyText"/>
      </w:pPr>
      <w:r>
        <w:t xml:space="preserve">Elektrischer Bedarf und innere Wärmegewinne beschreiben unterschiedliche Wirkungen derselben Nutzung. Ein zusätzlicher pauschaler Wärmegewinn darf bereits aus Personen, Geräten und Beleuchtung erfasste Beiträge nicht doppelt enthalten.</w:t>
      </w:r>
    </w:p>
    <w:bookmarkEnd w:id="537"/>
    <w:bookmarkStart w:id="538" w:name="Xa2bf1ed8ab96dcc310e1adeff0ad3ad368ff950"/>
    <w:p>
      <w:pPr>
        <w:pStyle w:val="Heading2"/>
      </w:pPr>
      <w:r>
        <w:t xml:space="preserve">F.3 Belegung, Komfort und thermische Randbedingungen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Ansatz / Einheit</w:t>
            </w:r>
          </w:p>
        </w:tc>
        <w:tc>
          <w:tcPr/>
          <w:p>
            <w:pPr>
              <w:pStyle w:val="Compact"/>
            </w:pPr>
            <w:r>
              <w:t xml:space="preserve">Stand / PEExcel-Bezug</w:t>
            </w:r>
          </w:p>
        </w:tc>
      </w:tr>
      <w:tr>
        <w:tc>
          <w:tcPr/>
          <w:p>
            <w:pPr>
              <w:pStyle w:val="Compact"/>
            </w:pPr>
            <w:r>
              <w:t xml:space="preserve">Nutzflächen nach Nutzung</w:t>
            </w:r>
          </w:p>
        </w:tc>
        <w:tc>
          <w:tcPr/>
          <w:p>
            <w:pPr>
              <w:pStyle w:val="Compact"/>
            </w:pPr>
            <w:r>
              <w:t xml:space="preserve">Projektwert in m² NGF</w:t>
            </w:r>
          </w:p>
        </w:tc>
        <w:tc>
          <w:tcPr/>
          <w:p>
            <w:pPr>
              <w:pStyle w:val="Compact"/>
            </w:pPr>
            <w:r>
              <w:t xml:space="preserve">Grundlage der Bedarfsgewichtung</w:t>
            </w:r>
          </w:p>
        </w:tc>
      </w:tr>
      <w:tr>
        <w:tc>
          <w:tcPr/>
          <w:p>
            <w:pPr>
              <w:pStyle w:val="Compact"/>
            </w:pPr>
            <w:r>
              <w:t xml:space="preserve">NGF/BGF-Verhältnis</w:t>
            </w:r>
          </w:p>
        </w:tc>
        <w:tc>
          <w:tcPr/>
          <w:p>
            <w:pPr>
              <w:pStyle w:val="Compact"/>
            </w:pPr>
            <w:r>
              <w:t xml:space="preserve">Projektwert oder begründeter Referenzwert je Nutzung</w:t>
            </w:r>
          </w:p>
        </w:tc>
        <w:tc>
          <w:tcPr/>
          <w:p>
            <w:pPr>
              <w:pStyle w:val="Compact"/>
            </w:pPr>
            <w:r>
              <w:rPr>
                <w:b/>
                <w:bCs/>
              </w:rPr>
              <w:t xml:space="preserve">Noch zu ergänzen:</w:t>
            </w:r>
            <w:r>
              <w:t xml:space="preserve"> </w:t>
            </w:r>
            <w:r>
              <w:t xml:space="preserve">Referenzwerte und Flächendefinition;</w:t>
            </w:r>
            <w:r>
              <w:t xml:space="preserve"> </w:t>
            </w:r>
            <w:r>
              <w:rPr>
                <w:rStyle w:val="VerbatimChar"/>
              </w:rPr>
              <w:t xml:space="preserve">NFA_to_GFA_ratio_*</w:t>
            </w:r>
          </w:p>
        </w:tc>
      </w:tr>
      <w:tr>
        <w:tc>
          <w:tcPr/>
          <w:p>
            <w:pPr>
              <w:pStyle w:val="Compact"/>
            </w:pPr>
            <w:r>
              <w:t xml:space="preserve">Belegungsdichte</w:t>
            </w:r>
          </w:p>
        </w:tc>
        <w:tc>
          <w:tcPr/>
          <w:p>
            <w:pPr>
              <w:pStyle w:val="Compact"/>
            </w:pPr>
            <w:r>
              <w:t xml:space="preserve">m² je Person, ergänzt um Anwesenheit</w:t>
            </w:r>
          </w:p>
        </w:tc>
        <w:tc>
          <w:tcPr/>
          <w:p>
            <w:pPr>
              <w:pStyle w:val="Compact"/>
            </w:pPr>
            <w:r>
              <w:rPr>
                <w:b/>
                <w:bCs/>
              </w:rPr>
              <w:t xml:space="preserve">Noch zu ergänzen:</w:t>
            </w:r>
            <w:r>
              <w:t xml:space="preserve"> </w:t>
            </w:r>
            <w:r>
              <w:t xml:space="preserve">nutzungsspezifische Werte;</w:t>
            </w:r>
            <w:r>
              <w:t xml:space="preserve"> </w:t>
            </w:r>
            <w:r>
              <w:rPr>
                <w:rStyle w:val="VerbatimChar"/>
              </w:rPr>
              <w:t xml:space="preserve">density_NFApPers_*</w:t>
            </w:r>
          </w:p>
        </w:tc>
      </w:tr>
      <w:tr>
        <w:tc>
          <w:tcPr/>
          <w:p>
            <w:pPr>
              <w:pStyle w:val="Compact"/>
            </w:pPr>
            <w:r>
              <w:t xml:space="preserve">Heiz- und Kühlsolltemperaturen</w:t>
            </w:r>
          </w:p>
        </w:tc>
        <w:tc>
          <w:tcPr/>
          <w:p>
            <w:pPr>
              <w:pStyle w:val="Compact"/>
            </w:pPr>
            <w:r>
              <w:t xml:space="preserve">°C, einschließlich Absenkung und Nutzungszeiten</w:t>
            </w:r>
          </w:p>
        </w:tc>
        <w:tc>
          <w:tcPr/>
          <w:p>
            <w:pPr>
              <w:pStyle w:val="Compact"/>
            </w:pPr>
            <w:r>
              <w:rPr>
                <w:b/>
                <w:bCs/>
              </w:rPr>
              <w:t xml:space="preserve">Noch zu ergänzen:</w:t>
            </w:r>
            <w:r>
              <w:t xml:space="preserve"> </w:t>
            </w:r>
            <w:r>
              <w:t xml:space="preserve">Referenzbedingungen je Nutzung</w:t>
            </w:r>
          </w:p>
        </w:tc>
      </w:tr>
      <w:tr>
        <w:tc>
          <w:tcPr/>
          <w:p>
            <w:pPr>
              <w:pStyle w:val="Compact"/>
            </w:pPr>
            <w:r>
              <w:t xml:space="preserve">Hygienischer Außenluftbedarf</w:t>
            </w:r>
          </w:p>
        </w:tc>
        <w:tc>
          <w:tcPr/>
          <w:p>
            <w:pPr>
              <w:pStyle w:val="Compact"/>
            </w:pPr>
            <w:r>
              <w:t xml:space="preserve">Personen- oder flächenbezogener Luftvolumenstrom</w:t>
            </w:r>
          </w:p>
        </w:tc>
        <w:tc>
          <w:tcPr/>
          <w:p>
            <w:pPr>
              <w:pStyle w:val="Compact"/>
            </w:pPr>
            <w:r>
              <w:rPr>
                <w:b/>
                <w:bCs/>
              </w:rPr>
              <w:t xml:space="preserve">Noch zu ergänzen:</w:t>
            </w:r>
            <w:r>
              <w:t xml:space="preserve"> </w:t>
            </w:r>
            <w:r>
              <w:t xml:space="preserve">Referenzwerte, Betriebszeiten und Grundlage</w:t>
            </w:r>
          </w:p>
        </w:tc>
      </w:tr>
      <w:tr>
        <w:tc>
          <w:tcPr/>
          <w:p>
            <w:pPr>
              <w:pStyle w:val="Compact"/>
            </w:pPr>
            <w:r>
              <w:t xml:space="preserve">Thermische Zonen</w:t>
            </w:r>
          </w:p>
        </w:tc>
        <w:tc>
          <w:tcPr/>
          <w:p>
            <w:pPr>
              <w:pStyle w:val="Compact"/>
            </w:pPr>
            <w:r>
              <w:t xml:space="preserve">Zwei aggregierte Zonen, mit und ohne aktive Kühlung</w:t>
            </w:r>
          </w:p>
        </w:tc>
        <w:tc>
          <w:tcPr/>
          <w:p>
            <w:pPr>
              <w:pStyle w:val="Compact"/>
            </w:pPr>
            <w:r>
              <w:t xml:space="preserve">Modellansatz nach</w:t>
            </w:r>
            <w:r>
              <w:t xml:space="preserve"> </w:t>
            </w:r>
            <w:r>
              <w:t xml:space="preserve">Schneider (2026)</w:t>
            </w:r>
            <w:r>
              <w:t xml:space="preserve">, Abschn. 3.3.3</w:t>
            </w:r>
          </w:p>
        </w:tc>
      </w:tr>
      <w:tr>
        <w:tc>
          <w:tcPr/>
          <w:p>
            <w:pPr>
              <w:pStyle w:val="Compact"/>
            </w:pPr>
            <w:r>
              <w:t xml:space="preserve">Kühlung und Lüftung</w:t>
            </w:r>
          </w:p>
        </w:tc>
        <w:tc>
          <w:tcPr/>
          <w:p>
            <w:pPr>
              <w:pStyle w:val="Compact"/>
            </w:pPr>
            <w:r>
              <w:t xml:space="preserve">Projektbezogene Flächenanteile und Betriebsweise</w:t>
            </w:r>
          </w:p>
        </w:tc>
        <w:tc>
          <w:tcPr/>
          <w:p>
            <w:pPr>
              <w:pStyle w:val="Compact"/>
            </w:pPr>
            <w:r>
              <w:rPr>
                <w:rStyle w:val="VerbatimChar"/>
              </w:rPr>
              <w:t xml:space="preserve">cooling_modes</w:t>
            </w:r>
            <w:r>
              <w:t xml:space="preserve">,</w:t>
            </w:r>
            <w:r>
              <w:t xml:space="preserve"> </w:t>
            </w:r>
            <w:r>
              <w:rPr>
                <w:rStyle w:val="VerbatimChar"/>
              </w:rPr>
              <w:t xml:space="preserve">vent_modes</w:t>
            </w:r>
            <w:r>
              <w:t xml:space="preserve">,</w:t>
            </w:r>
            <w:r>
              <w:t xml:space="preserve"> </w:t>
            </w:r>
            <w:r>
              <w:rPr>
                <w:rStyle w:val="VerbatimChar"/>
              </w:rPr>
              <w:t xml:space="preserve">vent_night_modes</w:t>
            </w:r>
            <w:r>
              <w:t xml:space="preserve">; keine pauschale Vorgabe einer Anlagenausstattung</w:t>
            </w:r>
          </w:p>
        </w:tc>
      </w:tr>
      <w:tr>
        <w:tc>
          <w:tcPr/>
          <w:p>
            <w:pPr>
              <w:pStyle w:val="Compact"/>
            </w:pPr>
            <w:r>
              <w:t xml:space="preserve">Sommerbetrieb / Nachtauskühlung</w:t>
            </w:r>
          </w:p>
        </w:tc>
        <w:tc>
          <w:tcPr/>
          <w:p>
            <w:pPr>
              <w:pStyle w:val="Compact"/>
            </w:pPr>
            <w:r>
              <w:t xml:space="preserve">Projektwert unter realisierbaren Betriebsbedingungen</w:t>
            </w:r>
          </w:p>
        </w:tc>
        <w:tc>
          <w:tcPr/>
          <w:p>
            <w:pPr>
              <w:pStyle w:val="Compact"/>
            </w:pPr>
            <w:r>
              <w:rPr>
                <w:b/>
                <w:bCs/>
              </w:rPr>
              <w:t xml:space="preserve">Noch zu ergänzen:</w:t>
            </w:r>
            <w:r>
              <w:t xml:space="preserve"> </w:t>
            </w:r>
            <w:r>
              <w:t xml:space="preserve">Referenzannahmen zu Freigaben, Temperaturgrenzen und Verfügbarkeit</w:t>
            </w:r>
          </w:p>
        </w:tc>
      </w:tr>
    </w:tbl>
    <w:bookmarkEnd w:id="538"/>
    <w:bookmarkStart w:id="539" w:name="mobilitätsannahmen"/>
    <w:p>
      <w:pPr>
        <w:pStyle w:val="Heading2"/>
      </w:pPr>
      <w:r>
        <w:t xml:space="preserve">F.4 Mobilitätsannahmen</w:t>
      </w:r>
    </w:p>
    <w:p>
      <w:pPr>
        <w:pStyle w:val="FirstParagraph"/>
      </w:pPr>
      <w:r>
        <w:t xml:space="preserve">Die Mobilitätsbilanz umfasst den dem Quartier zugeordneten MIV nach dem Zielverkehrsprinzip. Die nutzungsbezogenen Gutschriften stehen in</w:t>
      </w:r>
      <w:r>
        <w:t xml:space="preserve"> </w:t>
      </w:r>
      <w:hyperlink w:anchor="sec-anhang">
        <w:r>
          <w:rPr>
            <w:rStyle w:val="Hyperlink"/>
          </w:rPr>
          <w:t xml:space="preserve">Anhang B</w:t>
        </w:r>
      </w:hyperlink>
      <w:r>
        <w:t xml:space="preserve">. Standort und Mobilitätskonzept beeinflussen den Bedarf, nicht automatisch den Budgetanspruch.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Ansatz</w:t>
            </w:r>
          </w:p>
        </w:tc>
        <w:tc>
          <w:tcPr/>
          <w:p>
            <w:pPr>
              <w:pStyle w:val="Compact"/>
            </w:pPr>
            <w:r>
              <w:t xml:space="preserve">Stand / Zuordnung</w:t>
            </w:r>
          </w:p>
        </w:tc>
      </w:tr>
      <w:tr>
        <w:tc>
          <w:tcPr/>
          <w:p>
            <w:pPr>
              <w:pStyle w:val="Compact"/>
            </w:pPr>
            <w:r>
              <w:t xml:space="preserve">Verkehrsgrundlage</w:t>
            </w:r>
          </w:p>
        </w:tc>
        <w:tc>
          <w:tcPr/>
          <w:p>
            <w:pPr>
              <w:pStyle w:val="Compact"/>
            </w:pPr>
            <w:r>
              <w:t xml:space="preserve">Mobilitätserhebung 2013/2014 im beschriebenen Ansatz</w:t>
            </w:r>
          </w:p>
        </w:tc>
        <w:tc>
          <w:tcPr/>
          <w:p>
            <w:pPr>
              <w:pStyle w:val="Compact"/>
            </w:pPr>
            <w:r>
              <w:rPr>
                <w:b/>
                <w:bCs/>
              </w:rPr>
              <w:t xml:space="preserve">Noch zu ergänzen:</w:t>
            </w:r>
            <w:r>
              <w:t xml:space="preserve"> </w:t>
            </w:r>
            <w:r>
              <w:t xml:space="preserve">Datentabelle nach Region, Nutzung und Wegezweck; Aktualisierung mit neuer Erhebung vorgesehen</w:t>
            </w:r>
          </w:p>
        </w:tc>
      </w:tr>
      <w:tr>
        <w:tc>
          <w:tcPr/>
          <w:p>
            <w:pPr>
              <w:pStyle w:val="Compact"/>
            </w:pPr>
            <w:r>
              <w:t xml:space="preserve">Standortzuordnung</w:t>
            </w:r>
          </w:p>
        </w:tc>
        <w:tc>
          <w:tcPr/>
          <w:p>
            <w:pPr>
              <w:pStyle w:val="Compact"/>
            </w:pPr>
            <w:r>
              <w:t xml:space="preserve">Gemeinde / Mobilitätsregion</w:t>
            </w:r>
          </w:p>
        </w:tc>
        <w:tc>
          <w:tcPr/>
          <w:p>
            <w:pPr>
              <w:pStyle w:val="Compact"/>
            </w:pPr>
            <w:r>
              <w:t xml:space="preserve">Projektwert; Presetgruppe</w:t>
            </w:r>
            <w:r>
              <w:t xml:space="preserve"> </w:t>
            </w:r>
            <w:r>
              <w:rPr>
                <w:rStyle w:val="VerbatimChar"/>
              </w:rPr>
              <w:t xml:space="preserve">mobility</w:t>
            </w:r>
            <w:r>
              <w:t xml:space="preserve"> </w:t>
            </w:r>
            <w:r>
              <w:t xml:space="preserve">dient der Auswahl</w:t>
            </w:r>
          </w:p>
        </w:tc>
      </w:tr>
      <w:tr>
        <w:tc>
          <w:tcPr/>
          <w:p>
            <w:pPr>
              <w:pStyle w:val="Compact"/>
            </w:pPr>
            <w:r>
              <w:t xml:space="preserve">Wege, Wegelängen und MIV-Anteile</w:t>
            </w:r>
          </w:p>
        </w:tc>
        <w:tc>
          <w:tcPr/>
          <w:p>
            <w:pPr>
              <w:pStyle w:val="Compact"/>
            </w:pPr>
            <w:r>
              <w:t xml:space="preserve">Nutzungs- und standortbezogene Referenzwerte</w:t>
            </w:r>
          </w:p>
        </w:tc>
        <w:tc>
          <w:tcPr/>
          <w:p>
            <w:pPr>
              <w:pStyle w:val="Compact"/>
            </w:pPr>
            <w:r>
              <w:rPr>
                <w:b/>
                <w:bCs/>
              </w:rPr>
              <w:t xml:space="preserve">Noch zu ergänzen:</w:t>
            </w:r>
            <w:r>
              <w:t xml:space="preserve"> </w:t>
            </w:r>
            <w:r>
              <w:t xml:space="preserve">Werte und Quellen einschließlich Umrechnung in jährliche Personen- bzw. Fahrzeugkilometer</w:t>
            </w:r>
          </w:p>
        </w:tc>
      </w:tr>
      <w:tr>
        <w:tc>
          <w:tcPr/>
          <w:p>
            <w:pPr>
              <w:pStyle w:val="Compact"/>
            </w:pPr>
            <w:r>
              <w:t xml:space="preserve">Motorisierung</w:t>
            </w:r>
          </w:p>
        </w:tc>
        <w:tc>
          <w:tcPr/>
          <w:p>
            <w:pPr>
              <w:pStyle w:val="Compact"/>
            </w:pPr>
            <w:r>
              <w:t xml:space="preserve">Fahrzeuge je 100 m² Bezugsfläche</w:t>
            </w:r>
          </w:p>
        </w:tc>
        <w:tc>
          <w:tcPr/>
          <w:p>
            <w:pPr>
              <w:pStyle w:val="Compact"/>
            </w:pPr>
            <w:r>
              <w:rPr>
                <w:b/>
                <w:bCs/>
              </w:rPr>
              <w:t xml:space="preserve">Noch zu ergänzen:</w:t>
            </w:r>
            <w:r>
              <w:t xml:space="preserve"> </w:t>
            </w:r>
            <w:r>
              <w:t xml:space="preserve">Flächenbezug und Werte;</w:t>
            </w:r>
            <w:r>
              <w:t xml:space="preserve"> </w:t>
            </w:r>
            <w:r>
              <w:rPr>
                <w:rStyle w:val="VerbatimChar"/>
              </w:rPr>
              <w:t xml:space="preserve">mob_motorization_perNFA_residential</w:t>
            </w:r>
            <w:r>
              <w:t xml:space="preserve">,</w:t>
            </w:r>
            <w:r>
              <w:t xml:space="preserve"> </w:t>
            </w:r>
            <w:r>
              <w:rPr>
                <w:rStyle w:val="VerbatimChar"/>
              </w:rPr>
              <w:t xml:space="preserve">_work</w:t>
            </w:r>
            <w:r>
              <w:t xml:space="preserve">,</w:t>
            </w:r>
            <w:r>
              <w:t xml:space="preserve"> </w:t>
            </w:r>
            <w:r>
              <w:rPr>
                <w:rStyle w:val="VerbatimChar"/>
              </w:rPr>
              <w:t xml:space="preserve">_retail</w:t>
            </w:r>
          </w:p>
        </w:tc>
      </w:tr>
      <w:tr>
        <w:tc>
          <w:tcPr/>
          <w:p>
            <w:pPr>
              <w:pStyle w:val="Compact"/>
            </w:pPr>
            <w:r>
              <w:t xml:space="preserve">Gleichzeitigkeit</w:t>
            </w:r>
          </w:p>
        </w:tc>
        <w:tc>
          <w:tcPr/>
          <w:p>
            <w:pPr>
              <w:pStyle w:val="Compact"/>
            </w:pPr>
            <w:r>
              <w:t xml:space="preserve">Nutzungsabhängiger Ansatz für Arbeit, Bildung und Einkauf</w:t>
            </w:r>
          </w:p>
        </w:tc>
        <w:tc>
          <w:tcPr/>
          <w:p>
            <w:pPr>
              <w:pStyle w:val="Compact"/>
            </w:pPr>
            <w:r>
              <w:rPr>
                <w:b/>
                <w:bCs/>
              </w:rPr>
              <w:t xml:space="preserve">Noch zu ergänzen:</w:t>
            </w:r>
            <w:r>
              <w:t xml:space="preserve"> </w:t>
            </w:r>
            <w:r>
              <w:t xml:space="preserve">Werte und Definition;</w:t>
            </w:r>
            <w:r>
              <w:t xml:space="preserve"> </w:t>
            </w:r>
            <w:r>
              <w:rPr>
                <w:rStyle w:val="VerbatimChar"/>
              </w:rPr>
              <w:t xml:space="preserve">mob_simultaneity_office</w:t>
            </w:r>
            <w:r>
              <w:t xml:space="preserve">,</w:t>
            </w:r>
            <w:r>
              <w:t xml:space="preserve"> </w:t>
            </w:r>
            <w:r>
              <w:rPr>
                <w:rStyle w:val="VerbatimChar"/>
              </w:rPr>
              <w:t xml:space="preserve">_edu</w:t>
            </w:r>
            <w:r>
              <w:t xml:space="preserve">,</w:t>
            </w:r>
            <w:r>
              <w:t xml:space="preserve"> </w:t>
            </w:r>
            <w:r>
              <w:rPr>
                <w:rStyle w:val="VerbatimChar"/>
              </w:rPr>
              <w:t xml:space="preserve">_retail</w:t>
            </w:r>
          </w:p>
        </w:tc>
      </w:tr>
      <w:tr>
        <w:tc>
          <w:tcPr/>
          <w:p>
            <w:pPr>
              <w:pStyle w:val="Compact"/>
            </w:pPr>
            <w:r>
              <w:t xml:space="preserve">Wirkung von Mobilitätsmaßnahmen</w:t>
            </w:r>
          </w:p>
        </w:tc>
        <w:tc>
          <w:tcPr/>
          <w:p>
            <w:pPr>
              <w:pStyle w:val="Compact"/>
            </w:pPr>
            <w:r>
              <w:t xml:space="preserve">Begründete Veränderung der MIV-Fahrleistung</w:t>
            </w:r>
          </w:p>
        </w:tc>
        <w:tc>
          <w:tcPr/>
          <w:p>
            <w:pPr>
              <w:pStyle w:val="Compact"/>
            </w:pPr>
            <w:r>
              <w:rPr>
                <w:b/>
                <w:bCs/>
              </w:rPr>
              <w:t xml:space="preserve">Noch zu ergänzen:</w:t>
            </w:r>
            <w:r>
              <w:t xml:space="preserve"> </w:t>
            </w:r>
            <w:r>
              <w:t xml:space="preserve">Referenz und Herleitung;</w:t>
            </w:r>
            <w:r>
              <w:t xml:space="preserve"> </w:t>
            </w:r>
            <w:r>
              <w:rPr>
                <w:rStyle w:val="VerbatimChar"/>
              </w:rPr>
              <w:t xml:space="preserve">mob_pkm_factor</w:t>
            </w:r>
          </w:p>
        </w:tc>
      </w:tr>
      <w:tr>
        <w:tc>
          <w:tcPr/>
          <w:p>
            <w:pPr>
              <w:pStyle w:val="Compact"/>
            </w:pPr>
            <w:r>
              <w:t xml:space="preserve">Fahrzeugflotte</w:t>
            </w:r>
          </w:p>
        </w:tc>
        <w:tc>
          <w:tcPr/>
          <w:p>
            <w:pPr>
              <w:pStyle w:val="Compact"/>
            </w:pPr>
            <w:r>
              <w:t xml:space="preserve">Antriebsanteile, Verbrauch, Besetzungsgrad und Entwicklung</w:t>
            </w:r>
          </w:p>
        </w:tc>
        <w:tc>
          <w:tcPr/>
          <w:p>
            <w:pPr>
              <w:pStyle w:val="Compact"/>
            </w:pPr>
            <w:r>
              <w:rPr>
                <w:b/>
                <w:bCs/>
              </w:rPr>
              <w:t xml:space="preserve">Noch zu ergänzen:</w:t>
            </w:r>
            <w:r>
              <w:t xml:space="preserve"> </w:t>
            </w:r>
            <w:r>
              <w:t xml:space="preserve">Werte je Bezugsjahr; Absenkpfade siehe</w:t>
            </w:r>
            <w:r>
              <w:t xml:space="preserve"> </w:t>
            </w:r>
            <w:hyperlink w:anchor="sec-anhang">
              <w:r>
                <w:rPr>
                  <w:rStyle w:val="Hyperlink"/>
                </w:rPr>
                <w:t xml:space="preserve">Anhang B</w:t>
              </w:r>
            </w:hyperlink>
          </w:p>
        </w:tc>
      </w:tr>
      <w:tr>
        <w:tc>
          <w:tcPr/>
          <w:p>
            <w:pPr>
              <w:pStyle w:val="Compact"/>
            </w:pPr>
            <w:r>
              <w:t xml:space="preserve">Laden und Anwesenheit</w:t>
            </w:r>
          </w:p>
        </w:tc>
        <w:tc>
          <w:tcPr/>
          <w:p>
            <w:pPr>
              <w:pStyle w:val="Compact"/>
            </w:pPr>
            <w:r>
              <w:t xml:space="preserve">Zeitprofile für Ankunft, Abfahrt und angeschlossene Fahrzeuge</w:t>
            </w:r>
          </w:p>
        </w:tc>
        <w:tc>
          <w:tcPr/>
          <w:p>
            <w:pPr>
              <w:pStyle w:val="Compact"/>
            </w:pPr>
            <w:r>
              <w:rPr>
                <w:b/>
                <w:bCs/>
              </w:rPr>
              <w:t xml:space="preserve">Noch zu ergänzen:</w:t>
            </w:r>
            <w:r>
              <w:t xml:space="preserve"> </w:t>
            </w:r>
            <w:r>
              <w:t xml:space="preserve">Profile, Ladeleistungen, Ladeverluste und Mindestladezustände</w:t>
            </w:r>
          </w:p>
        </w:tc>
      </w:tr>
      <w:tr>
        <w:tc>
          <w:tcPr/>
          <w:p>
            <w:pPr>
              <w:pStyle w:val="Compact"/>
            </w:pPr>
            <w:r>
              <w:t xml:space="preserve">Fahrzeugrückspeisung</w:t>
            </w:r>
          </w:p>
        </w:tc>
        <w:tc>
          <w:tcPr/>
          <w:p>
            <w:pPr>
              <w:pStyle w:val="Compact"/>
            </w:pPr>
            <w:r>
              <w:t xml:space="preserve">Im beschriebenen Modell auf Wohnnutzung begrenzt</w:t>
            </w:r>
          </w:p>
        </w:tc>
        <w:tc>
          <w:tcPr/>
          <w:p>
            <w:pPr>
              <w:pStyle w:val="Compact"/>
            </w:pPr>
            <w:r>
              <w:t xml:space="preserve">Projektabhängige Verfügbarkeit;</w:t>
            </w:r>
            <w:r>
              <w:t xml:space="preserve"> </w:t>
            </w:r>
            <w:r>
              <w:rPr>
                <w:b/>
                <w:bCs/>
              </w:rPr>
              <w:t xml:space="preserve">noch zu ergänzen:</w:t>
            </w:r>
            <w:r>
              <w:t xml:space="preserve"> </w:t>
            </w:r>
            <w:r>
              <w:t xml:space="preserve">Teilnahmeanteil und Betriebsgrenzen</w:t>
            </w:r>
          </w:p>
        </w:tc>
      </w:tr>
      <w:tr>
        <w:tc>
          <w:tcPr/>
          <w:p>
            <w:pPr>
              <w:pStyle w:val="Compact"/>
            </w:pPr>
            <w:r>
              <w:t xml:space="preserve">Außerhalb des Quartiers geladene Energie</w:t>
            </w:r>
          </w:p>
        </w:tc>
        <w:tc>
          <w:tcPr/>
          <w:p>
            <w:pPr>
              <w:pStyle w:val="Compact"/>
            </w:pPr>
            <w:r>
              <w:t xml:space="preserve">Erfasst und entsprechend der Verkehrszuordnung bilanziert</w:t>
            </w:r>
          </w:p>
        </w:tc>
        <w:tc>
          <w:tcPr/>
          <w:p>
            <w:pPr>
              <w:pStyle w:val="Compact"/>
            </w:pPr>
            <w:r>
              <w:t xml:space="preserve">Modellregel nach</w:t>
            </w:r>
            <w:r>
              <w:t xml:space="preserve"> </w:t>
            </w:r>
            <w:r>
              <w:t xml:space="preserve">Schneider (2026)</w:t>
            </w:r>
            <w:r>
              <w:t xml:space="preserve">, Abschn. 3.3.4</w:t>
            </w:r>
          </w:p>
        </w:tc>
      </w:tr>
      <w:tr>
        <w:tc>
          <w:tcPr/>
          <w:p>
            <w:pPr>
              <w:pStyle w:val="Compact"/>
            </w:pPr>
            <w:r>
              <w:t xml:space="preserve">Fahrzeugherstellung</w:t>
            </w:r>
          </w:p>
        </w:tc>
        <w:tc>
          <w:tcPr/>
          <w:p>
            <w:pPr>
              <w:pStyle w:val="Compact"/>
            </w:pPr>
            <w:r>
              <w:t xml:space="preserve">Einmaliger Ansatz im beschriebenen THG-Verfahren</w:t>
            </w:r>
          </w:p>
        </w:tc>
        <w:tc>
          <w:tcPr/>
          <w:p>
            <w:pPr>
              <w:pStyle w:val="Compact"/>
            </w:pPr>
            <w:r>
              <w:rPr>
                <w:b/>
                <w:bCs/>
              </w:rPr>
              <w:t xml:space="preserve">Noch zu ergänzen:</w:t>
            </w:r>
            <w:r>
              <w:t xml:space="preserve"> </w:t>
            </w:r>
            <w:r>
              <w:t xml:space="preserve">Kennwerte und Datensätze; keine vollständige Fortschreibung aller Fahrzeugwechsel</w:t>
            </w:r>
          </w:p>
        </w:tc>
      </w:tr>
    </w:tbl>
    <w:bookmarkEnd w:id="539"/>
    <w:bookmarkStart w:id="540" w:name="klima-energiesignale-und-bewertung"/>
    <w:p>
      <w:pPr>
        <w:pStyle w:val="Heading2"/>
      </w:pPr>
      <w:r>
        <w:t xml:space="preserve">F.5 Klima, Energiesignale und Bewertung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Grundlage</w:t>
            </w:r>
          </w:p>
        </w:tc>
        <w:tc>
          <w:tcPr/>
          <w:p>
            <w:pPr>
              <w:pStyle w:val="Compact"/>
            </w:pPr>
            <w:r>
              <w:t xml:space="preserve">Ansatz</w:t>
            </w:r>
          </w:p>
        </w:tc>
        <w:tc>
          <w:tcPr/>
          <w:p>
            <w:pPr>
              <w:pStyle w:val="Compact"/>
            </w:pPr>
            <w:r>
              <w:t xml:space="preserve">Stand / PEExcel-Bezug</w:t>
            </w:r>
          </w:p>
        </w:tc>
      </w:tr>
      <w:tr>
        <w:tc>
          <w:tcPr/>
          <w:p>
            <w:pPr>
              <w:pStyle w:val="Compact"/>
            </w:pPr>
            <w:r>
              <w:t xml:space="preserve">Simulationsauflösung</w:t>
            </w:r>
          </w:p>
        </w:tc>
        <w:tc>
          <w:tcPr/>
          <w:p>
            <w:pPr>
              <w:pStyle w:val="Compact"/>
            </w:pPr>
            <w:r>
              <w:t xml:space="preserve">Stündlich über ein vollständiges Jahr</w:t>
            </w:r>
          </w:p>
        </w:tc>
        <w:tc>
          <w:tcPr/>
          <w:p>
            <w:pPr>
              <w:pStyle w:val="Compact"/>
            </w:pPr>
            <w:r>
              <w:t xml:space="preserve">Modell nach</w:t>
            </w:r>
            <w:r>
              <w:t xml:space="preserve"> </w:t>
            </w:r>
            <w:r>
              <w:t xml:space="preserve">Schneider (2026)</w:t>
            </w:r>
            <w:r>
              <w:t xml:space="preserve">, Abschn. 3.3</w:t>
            </w:r>
          </w:p>
        </w:tc>
      </w:tr>
      <w:tr>
        <w:tc>
          <w:tcPr/>
          <w:p>
            <w:pPr>
              <w:pStyle w:val="Compact"/>
            </w:pPr>
            <w:r>
              <w:t xml:space="preserve">Wetter</w:t>
            </w:r>
          </w:p>
        </w:tc>
        <w:tc>
          <w:tcPr/>
          <w:p>
            <w:pPr>
              <w:pStyle w:val="Compact"/>
            </w:pPr>
            <w:r>
              <w:t xml:space="preserve">Zusammengehörige Temperatur- und Strahlungszeitreihen</w:t>
            </w:r>
          </w:p>
        </w:tc>
        <w:tc>
          <w:tcPr/>
          <w:p>
            <w:pPr>
              <w:pStyle w:val="Compact"/>
            </w:pPr>
            <w:r>
              <w:rPr>
                <w:b/>
                <w:bCs/>
              </w:rPr>
              <w:t xml:space="preserve">Noch zu ergänzen:</w:t>
            </w:r>
            <w:r>
              <w:t xml:space="preserve"> </w:t>
            </w:r>
            <w:r>
              <w:t xml:space="preserve">Datensatz, Standort, Referenzjahr und Quelle;</w:t>
            </w:r>
            <w:r>
              <w:t xml:space="preserve"> </w:t>
            </w:r>
            <w:r>
              <w:rPr>
                <w:rStyle w:val="VerbatimChar"/>
              </w:rPr>
              <w:t xml:space="preserve">weather_name</w:t>
            </w:r>
          </w:p>
        </w:tc>
      </w:tr>
      <w:tr>
        <w:tc>
          <w:tcPr/>
          <w:p>
            <w:pPr>
              <w:pStyle w:val="Compact"/>
            </w:pPr>
            <w:r>
              <w:t xml:space="preserve">PV-Ertrag</w:t>
            </w:r>
          </w:p>
        </w:tc>
        <w:tc>
          <w:tcPr/>
          <w:p>
            <w:pPr>
              <w:pStyle w:val="Compact"/>
            </w:pPr>
            <w:r>
              <w:t xml:space="preserve">Projektbezogene Leistung, Orientierung und Verschattung mit Zeitprofil</w:t>
            </w:r>
          </w:p>
        </w:tc>
        <w:tc>
          <w:tcPr/>
          <w:p>
            <w:pPr>
              <w:pStyle w:val="Compact"/>
            </w:pPr>
            <w:r>
              <w:rPr>
                <w:b/>
                <w:bCs/>
              </w:rPr>
              <w:t xml:space="preserve">Noch zu ergänzen:</w:t>
            </w:r>
            <w:r>
              <w:t xml:space="preserve"> </w:t>
            </w:r>
            <w:r>
              <w:t xml:space="preserve">Referenzdatensatz, Verluste und Profildefinition;</w:t>
            </w:r>
            <w:r>
              <w:t xml:space="preserve"> </w:t>
            </w:r>
            <w:r>
              <w:rPr>
                <w:rStyle w:val="VerbatimChar"/>
              </w:rPr>
              <w:t xml:space="preserve">PV_profile_name</w:t>
            </w:r>
          </w:p>
        </w:tc>
      </w:tr>
      <w:tr>
        <w:tc>
          <w:tcPr/>
          <w:p>
            <w:pPr>
              <w:pStyle w:val="Compact"/>
            </w:pPr>
            <w:r>
              <w:t xml:space="preserve">PE- und THG-Bewertung</w:t>
            </w:r>
          </w:p>
        </w:tc>
        <w:tc>
          <w:tcPr/>
          <w:p>
            <w:pPr>
              <w:pStyle w:val="Compact"/>
            </w:pPr>
            <w:r>
              <w:t xml:space="preserve">Monatsfaktoren im beschriebenen Deklarationsansatz</w:t>
            </w:r>
          </w:p>
        </w:tc>
        <w:tc>
          <w:tcPr/>
          <w:p>
            <w:pPr>
              <w:pStyle w:val="Compact"/>
            </w:pPr>
            <w:r>
              <w:rPr>
                <w:b/>
                <w:bCs/>
              </w:rPr>
              <w:t xml:space="preserve">Noch zu ergänzen:</w:t>
            </w:r>
            <w:r>
              <w:t xml:space="preserve"> </w:t>
            </w:r>
            <w:r>
              <w:t xml:space="preserve">Faktorwerte, Einheiten, Bezugsjahr und Quelle;</w:t>
            </w:r>
            <w:r>
              <w:t xml:space="preserve"> </w:t>
            </w:r>
            <w:r>
              <w:rPr>
                <w:rStyle w:val="VerbatimChar"/>
              </w:rPr>
              <w:t xml:space="preserve">fPE_grid_profile</w:t>
            </w:r>
            <w:r>
              <w:t xml:space="preserve">,</w:t>
            </w:r>
            <w:r>
              <w:t xml:space="preserve"> </w:t>
            </w:r>
            <w:r>
              <w:rPr>
                <w:rStyle w:val="VerbatimChar"/>
              </w:rPr>
              <w:t xml:space="preserve">fGHG_grid_profile</w:t>
            </w:r>
          </w:p>
        </w:tc>
      </w:tr>
      <w:tr>
        <w:tc>
          <w:tcPr/>
          <w:p>
            <w:pPr>
              <w:pStyle w:val="Compact"/>
            </w:pPr>
            <w:r>
              <w:t xml:space="preserve">Fernwärme und weitere Energieträger</w:t>
            </w:r>
          </w:p>
        </w:tc>
        <w:tc>
          <w:tcPr/>
          <w:p>
            <w:pPr>
              <w:pStyle w:val="Compact"/>
            </w:pPr>
            <w:r>
              <w:t xml:space="preserve">Versorgungsspezifische Faktoren</w:t>
            </w:r>
          </w:p>
        </w:tc>
        <w:tc>
          <w:tcPr/>
          <w:p>
            <w:pPr>
              <w:pStyle w:val="Compact"/>
            </w:pPr>
            <w:r>
              <w:rPr>
                <w:b/>
                <w:bCs/>
              </w:rPr>
              <w:t xml:space="preserve">Noch zu ergänzen:</w:t>
            </w:r>
            <w:r>
              <w:t xml:space="preserve"> </w:t>
            </w:r>
            <w:r>
              <w:t xml:space="preserve">Faktortabelle und Gültigkeit; u. a.</w:t>
            </w:r>
            <w:r>
              <w:t xml:space="preserve"> </w:t>
            </w:r>
            <w:r>
              <w:rPr>
                <w:rStyle w:val="VerbatimChar"/>
              </w:rPr>
              <w:t xml:space="preserve">district_heating_conversion_profile</w:t>
            </w:r>
          </w:p>
        </w:tc>
      </w:tr>
      <w:tr>
        <w:tc>
          <w:tcPr/>
          <w:p>
            <w:pPr>
              <w:pStyle w:val="Compact"/>
            </w:pPr>
            <w:r>
              <w:t xml:space="preserve">Bezug und Export</w:t>
            </w:r>
          </w:p>
        </w:tc>
        <w:tc>
          <w:tcPr/>
          <w:p>
            <w:pPr>
              <w:pStyle w:val="Compact"/>
            </w:pPr>
            <w:r>
              <w:t xml:space="preserve">Gleiche zeitbezogene operative Faktoren im Referenzverfahren</w:t>
            </w:r>
          </w:p>
        </w:tc>
        <w:tc>
          <w:tcPr/>
          <w:p>
            <w:pPr>
              <w:pStyle w:val="Compact"/>
            </w:pPr>
            <w:r>
              <w:t xml:space="preserve">Schneider u. a. (2025)</w:t>
            </w:r>
            <w:r>
              <w:t xml:space="preserve">, Abschn. 2.4.1; reale Einspeisebegrenzungen bleiben Projektgrößen</w:t>
            </w:r>
          </w:p>
        </w:tc>
      </w:tr>
      <w:tr>
        <w:tc>
          <w:tcPr/>
          <w:p>
            <w:pPr>
              <w:pStyle w:val="Compact"/>
            </w:pPr>
            <w:r>
              <w:t xml:space="preserve">Externe Flexibilität</w:t>
            </w:r>
          </w:p>
        </w:tc>
        <w:tc>
          <w:tcPr/>
          <w:p>
            <w:pPr>
              <w:pStyle w:val="Compact"/>
            </w:pPr>
            <w:r>
              <w:t xml:space="preserve">Signalabhängige Nutzung und Bewertung erneuerbarer Überschüsse</w:t>
            </w:r>
          </w:p>
        </w:tc>
        <w:tc>
          <w:tcPr/>
          <w:p>
            <w:pPr>
              <w:pStyle w:val="Compact"/>
            </w:pPr>
            <w:r>
              <w:rPr>
                <w:b/>
                <w:bCs/>
              </w:rPr>
              <w:t xml:space="preserve">Noch zu ergänzen:</w:t>
            </w:r>
            <w:r>
              <w:t xml:space="preserve"> </w:t>
            </w:r>
            <w:r>
              <w:t xml:space="preserve">Signaldefinition, Faktoransatz und Zeitreihen;</w:t>
            </w:r>
            <w:r>
              <w:t xml:space="preserve"> </w:t>
            </w:r>
            <w:r>
              <w:rPr>
                <w:rStyle w:val="VerbatimChar"/>
              </w:rPr>
              <w:t xml:space="preserve">FLEX_signal_name</w:t>
            </w:r>
            <w:r>
              <w:t xml:space="preserve">,</w:t>
            </w:r>
            <w:r>
              <w:t xml:space="preserve"> </w:t>
            </w:r>
            <w:r>
              <w:rPr>
                <w:rStyle w:val="VerbatimChar"/>
              </w:rPr>
              <w:t xml:space="preserve">fPE_flex_factor</w:t>
            </w:r>
          </w:p>
        </w:tc>
      </w:tr>
      <w:tr>
        <w:tc>
          <w:tcPr/>
          <w:p>
            <w:pPr>
              <w:pStyle w:val="Compact"/>
            </w:pPr>
            <w:r>
              <w:t xml:space="preserve">Langfristige Emissionsentwicklung</w:t>
            </w:r>
          </w:p>
        </w:tc>
        <w:tc>
          <w:tcPr/>
          <w:p>
            <w:pPr>
              <w:pStyle w:val="Compact"/>
            </w:pPr>
            <w:r>
              <w:t xml:space="preserve">Anwendung der Absenkpfade aus Teil A</w:t>
            </w:r>
          </w:p>
        </w:tc>
        <w:tc>
          <w:tcPr/>
          <w:p>
            <w:pPr>
              <w:pStyle w:val="Compact"/>
            </w:pPr>
            <w:r>
              <w:rPr>
                <w:b/>
                <w:bCs/>
              </w:rPr>
              <w:t xml:space="preserve">Noch zu ergänzen:</w:t>
            </w:r>
            <w:r>
              <w:t xml:space="preserve"> </w:t>
            </w:r>
            <w:r>
              <w:t xml:space="preserve">Zuordnung der Faktoren zu Stützjahren und Prozessen</w:t>
            </w:r>
          </w:p>
        </w:tc>
      </w:tr>
    </w:tbl>
    <w:p>
      <w:pPr>
        <w:pStyle w:val="BodyText"/>
      </w:pPr>
      <w:r>
        <w:t xml:space="preserve">Wetter, Erzeugung, Verbrauchsprofile und Flexibilitätssignale müssen zeitlich zusammenpassen. Die spätere Verwendung stündlicher Bewertungsfaktoren ist eine mögliche Weiterentwicklung; sie ist nicht durch die stündliche Simulation allein bereits festgelegt.</w:t>
      </w:r>
    </w:p>
    <w:bookmarkEnd w:id="540"/>
    <w:bookmarkStart w:id="541" w:name="X123ab7bef637efcf1c0dea418956f12927058bd"/>
    <w:p>
      <w:pPr>
        <w:pStyle w:val="Heading2"/>
      </w:pPr>
      <w:r>
        <w:t xml:space="preserve">F.6 Projektspezifische Technik und Lebenszyklus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Gegenstand</w:t>
            </w:r>
          </w:p>
        </w:tc>
        <w:tc>
          <w:tcPr/>
          <w:p>
            <w:pPr>
              <w:pStyle w:val="Compact"/>
            </w:pPr>
            <w:r>
              <w:t xml:space="preserve">Projektbezogene Angaben</w:t>
            </w:r>
          </w:p>
        </w:tc>
        <w:tc>
          <w:tcPr/>
          <w:p>
            <w:pPr>
              <w:pStyle w:val="Compact"/>
            </w:pPr>
            <w:r>
              <w:t xml:space="preserve">Übergreifend noch benötigte Annahmen</w:t>
            </w:r>
          </w:p>
        </w:tc>
      </w:tr>
      <w:tr>
        <w:tc>
          <w:tcPr/>
          <w:p>
            <w:pPr>
              <w:pStyle w:val="Compact"/>
            </w:pPr>
            <w:r>
              <w:t xml:space="preserve">Gebäudehülle</w:t>
            </w:r>
          </w:p>
        </w:tc>
        <w:tc>
          <w:tcPr/>
          <w:p>
            <w:pPr>
              <w:pStyle w:val="Compact"/>
            </w:pPr>
            <w:r>
              <w:t xml:space="preserve">Geometrie, Bauteilflächen, U-Werte, Luftdichtheit, Speichermasse und Sonnenschutz</w:t>
            </w:r>
          </w:p>
        </w:tc>
        <w:tc>
          <w:tcPr/>
          <w:p>
            <w:pPr>
              <w:pStyle w:val="Compact"/>
            </w:pPr>
            <w:r>
              <w:rPr>
                <w:b/>
                <w:bCs/>
              </w:rPr>
              <w:t xml:space="preserve">Noch zu ergänzen:</w:t>
            </w:r>
            <w:r>
              <w:t xml:space="preserve"> </w:t>
            </w:r>
            <w:r>
              <w:t xml:space="preserve">Referenzbedingungen und Grenzen vereinfachter Ansätze; keine vollständige Vorgabe aller Hüllpresets</w:t>
            </w:r>
          </w:p>
        </w:tc>
      </w:tr>
      <w:tr>
        <w:tc>
          <w:tcPr/>
          <w:p>
            <w:pPr>
              <w:pStyle w:val="Compact"/>
            </w:pPr>
            <w:r>
              <w:t xml:space="preserve">Wärme, Kälte und Warmwasser</w:t>
            </w:r>
          </w:p>
        </w:tc>
        <w:tc>
          <w:tcPr/>
          <w:p>
            <w:pPr>
              <w:pStyle w:val="Compact"/>
            </w:pPr>
            <w:r>
              <w:t xml:space="preserve">Erzeuger, Systemtemperaturen, Wirkungsgrade, Leistungen und Verteilung</w:t>
            </w:r>
          </w:p>
        </w:tc>
        <w:tc>
          <w:tcPr/>
          <w:p>
            <w:pPr>
              <w:pStyle w:val="Compact"/>
            </w:pPr>
            <w:r>
              <w:rPr>
                <w:b/>
                <w:bCs/>
              </w:rPr>
              <w:t xml:space="preserve">Noch zu ergänzen:</w:t>
            </w:r>
            <w:r>
              <w:t xml:space="preserve"> </w:t>
            </w:r>
            <w:r>
              <w:t xml:space="preserve">Behandlung von Teillast, Hilfsenergie, Speicher- und Verteilverlusten</w:t>
            </w:r>
          </w:p>
        </w:tc>
      </w:tr>
      <w:tr>
        <w:tc>
          <w:tcPr/>
          <w:p>
            <w:pPr>
              <w:pStyle w:val="Compact"/>
            </w:pPr>
            <w:r>
              <w:t xml:space="preserve">Speicher und Regelung</w:t>
            </w:r>
          </w:p>
        </w:tc>
        <w:tc>
          <w:tcPr/>
          <w:p>
            <w:pPr>
              <w:pStyle w:val="Compact"/>
            </w:pPr>
            <w:r>
              <w:t xml:space="preserve">Kapazität, Leistung, Verluste, Betriebsgrenzen</w:t>
            </w:r>
          </w:p>
        </w:tc>
        <w:tc>
          <w:tcPr/>
          <w:p>
            <w:pPr>
              <w:pStyle w:val="Compact"/>
            </w:pPr>
            <w:r>
              <w:rPr>
                <w:b/>
                <w:bCs/>
              </w:rPr>
              <w:t xml:space="preserve">Noch zu ergänzen:</w:t>
            </w:r>
            <w:r>
              <w:t xml:space="preserve"> </w:t>
            </w:r>
            <w:r>
              <w:t xml:space="preserve">dokumentierte Einsatzprioritäten und Komfortgrenzen</w:t>
            </w:r>
          </w:p>
        </w:tc>
      </w:tr>
      <w:tr>
        <w:tc>
          <w:tcPr/>
          <w:p>
            <w:pPr>
              <w:pStyle w:val="Compact"/>
            </w:pPr>
            <w:r>
              <w:t xml:space="preserve">Bauteile und Anlagen</w:t>
            </w:r>
          </w:p>
        </w:tc>
        <w:tc>
          <w:tcPr/>
          <w:p>
            <w:pPr>
              <w:pStyle w:val="Compact"/>
            </w:pPr>
            <w:r>
              <w:t xml:space="preserve">Mengen und zugehörige Ökobilanzdatensätze</w:t>
            </w:r>
          </w:p>
        </w:tc>
        <w:tc>
          <w:tcPr/>
          <w:p>
            <w:pPr>
              <w:pStyle w:val="Compact"/>
            </w:pPr>
            <w:r>
              <w:rPr>
                <w:b/>
                <w:bCs/>
              </w:rPr>
              <w:t xml:space="preserve">Noch zu ergänzen:</w:t>
            </w:r>
            <w:r>
              <w:t xml:space="preserve"> </w:t>
            </w:r>
            <w:r>
              <w:t xml:space="preserve">Referenzdaten mit funktioneller Einheit, Version, Modulen und technischen Nutzungsdauern</w:t>
            </w:r>
          </w:p>
        </w:tc>
      </w:tr>
      <w:tr>
        <w:tc>
          <w:tcPr/>
          <w:p>
            <w:pPr>
              <w:pStyle w:val="Compact"/>
            </w:pPr>
            <w:r>
              <w:t xml:space="preserve">Lebenszyklusumfang</w:t>
            </w:r>
          </w:p>
        </w:tc>
        <w:tc>
          <w:tcPr/>
          <w:p>
            <w:pPr>
              <w:pStyle w:val="Compact"/>
            </w:pPr>
            <w:r>
              <w:t xml:space="preserve">Prozesse und Abgrenzung gemäß</w:t>
            </w:r>
            <w:r>
              <w:t xml:space="preserve"> </w:t>
            </w:r>
            <w:hyperlink w:anchor="tbl-lca-umfang">
              <w:r>
                <w:rPr>
                  <w:rStyle w:val="Hyperlink"/>
                </w:rPr>
                <w:t xml:space="preserve">Tabelle 17.2</w:t>
              </w:r>
            </w:hyperlink>
          </w:p>
        </w:tc>
        <w:tc>
          <w:tcPr/>
          <w:p>
            <w:pPr>
              <w:pStyle w:val="Compact"/>
            </w:pPr>
            <w:r>
              <w:rPr>
                <w:b/>
                <w:bCs/>
              </w:rPr>
              <w:t xml:space="preserve">Noch zu ergänzen:</w:t>
            </w:r>
            <w:r>
              <w:t xml:space="preserve"> </w:t>
            </w:r>
            <w:r>
              <w:t xml:space="preserve">gemeinsame Erfassungsregel für A4–A5 und dokumentierte Ersatzannahmen</w:t>
            </w:r>
          </w:p>
        </w:tc>
      </w:tr>
      <w:tr>
        <w:tc>
          <w:tcPr/>
          <w:p>
            <w:pPr>
              <w:pStyle w:val="Compact"/>
            </w:pPr>
            <w:r>
              <w:t xml:space="preserve">Biogener Kohlenstoff</w:t>
            </w:r>
          </w:p>
        </w:tc>
        <w:tc>
          <w:tcPr/>
          <w:p>
            <w:pPr>
              <w:pStyle w:val="Compact"/>
            </w:pPr>
            <w:r>
              <w:t xml:space="preserve">Vereinfachte Anrechnung: 100 % schnell nachwachsend, 55 % bewirtschaftetes Holz, 100 % belegtes Kalamitätsholz</w:t>
            </w:r>
          </w:p>
        </w:tc>
        <w:tc>
          <w:tcPr/>
          <w:p>
            <w:pPr>
              <w:pStyle w:val="Compact"/>
            </w:pPr>
            <w:r>
              <w:t xml:space="preserve">Konvention nach</w:t>
            </w:r>
            <w:r>
              <w:t xml:space="preserve"> </w:t>
            </w:r>
            <w:r>
              <w:t xml:space="preserve">Schneider u. a. (2025)</w:t>
            </w:r>
            <w:r>
              <w:t xml:space="preserve">, Abschn. 2.5.2; Herkunft und bereits enthaltene Speicherwirkungen berücksichtigen</w:t>
            </w:r>
          </w:p>
        </w:tc>
      </w:tr>
      <w:tr>
        <w:tc>
          <w:tcPr/>
          <w:p>
            <w:pPr>
              <w:pStyle w:val="Compact"/>
            </w:pPr>
            <w:r>
              <w:t xml:space="preserve">PV-Errichtung</w:t>
            </w:r>
          </w:p>
        </w:tc>
        <w:tc>
          <w:tcPr/>
          <w:p>
            <w:pPr>
              <w:pStyle w:val="Compact"/>
            </w:pPr>
            <w:r>
              <w:t xml:space="preserve">Im Referenzverfahren dem Energieversorgungssektor zugeordnet</w:t>
            </w:r>
          </w:p>
        </w:tc>
        <w:tc>
          <w:tcPr/>
          <w:p>
            <w:pPr>
              <w:pStyle w:val="Compact"/>
            </w:pPr>
            <w:r>
              <w:t xml:space="preserve">Alternative Budget- und Systemgrenze in Teil A</w:t>
            </w:r>
          </w:p>
        </w:tc>
      </w:tr>
    </w:tbl>
    <w:p>
      <w:pPr>
        <w:pStyle w:val="BodyText"/>
      </w:pPr>
      <w:r>
        <w:t xml:space="preserve">Für die Vergleichbarkeit werden Modellstand sowie verwendete Referenzwerte und Projektwerte mit der Bilanz dokumentiert. Ein technisches Auswahlpreset ersetzt weder diese Angaben noch einen Nachweis der Umsetzbarkeit.</w:t>
      </w:r>
    </w:p>
    <w:bookmarkEnd w:id="541"/>
    <w:bookmarkEnd w:id="542"/>
    <w:bookmarkStart w:id="543" w:name="Xbf1442cb2081e1c5e46904a6cb4e7988207d10b"/>
    <w:p>
      <w:pPr>
        <w:pStyle w:val="Heading1"/>
      </w:pPr>
      <w:r>
        <w:t xml:space="preserve">Appendix G — Internes Szenario- und Kalibrierungsdashboard</w:t>
      </w:r>
    </w:p>
    <w:bookmarkEnd w:id="543"/>
    <w:bookmarkStart w:id="549" w:name="sec-internes-dashboard"/>
    <w:p>
      <w:pPr>
        <w:pStyle w:val="Heading1"/>
      </w:pPr>
      <w:r>
        <w:t xml:space="preserve">Appendix G — Interner Arbeitsstand</w:t>
      </w:r>
    </w:p>
    <w:p>
      <w:pPr>
        <w:pStyle w:val="FirstParagraph"/>
      </w:pPr>
      <w:r>
        <w:rPr>
          <w:b/>
          <w:bCs/>
        </w:rPr>
        <w:t xml:space="preserve">Nur für die interne Redaktion. Kein Bestandteil der finalen Publikation.</w:t>
      </w:r>
      <w:r>
        <w:t xml:space="preserve"> </w:t>
      </w:r>
      <w:r>
        <w:t xml:space="preserve">Das Profil</w:t>
      </w:r>
      <w:r>
        <w:t xml:space="preserve"> </w:t>
      </w:r>
      <w:r>
        <w:rPr>
          <w:rStyle w:val="VerbatimChar"/>
        </w:rPr>
        <w:t xml:space="preserve">publikation</w:t>
      </w:r>
      <w:r>
        <w:t xml:space="preserve"> </w:t>
      </w:r>
      <w:r>
        <w:t xml:space="preserve">schließt diesen Anhang aus. Das Dashboard verändert weder</w:t>
      </w:r>
      <w:r>
        <w:t xml:space="preserve"> </w:t>
      </w:r>
      <w:r>
        <w:t xml:space="preserve">die wissenschaftlichen Referenznotebooks noch deren Ergebnisdateien oder QMD-Texte.</w:t>
      </w:r>
    </w:p>
    <w:p>
      <w:pPr>
        <w:pStyle w:val="BodyText"/>
      </w:pPr>
      <w:r>
        <w:rPr>
          <w:b/>
          <w:bCs/>
        </w:rPr>
        <w:t xml:space="preserve">Bedienung:</w:t>
      </w:r>
      <w:r>
        <w:t xml:space="preserve"> </w:t>
      </w:r>
      <w:r>
        <w:t xml:space="preserve">In der nächsten Zelle Excel-Pfad und nationales Szenario wählen,</w:t>
      </w:r>
      <w:r>
        <w:t xml:space="preserve"> </w:t>
      </w:r>
      <w:r>
        <w:t xml:space="preserve">Kernel neu starten und alle Zellen ausführen. Danach HTML neu rendern. Die HTML-Regler</w:t>
      </w:r>
      <w:r>
        <w:t xml:space="preserve"> </w:t>
      </w:r>
      <w:r>
        <w:t xml:space="preserve">rechnen unmittelbar mit diesem eingebetteten Datenstand; sie können keine lokale Excel</w:t>
      </w:r>
      <w:r>
        <w:t xml:space="preserve"> </w:t>
      </w:r>
      <w:r>
        <w:t xml:space="preserve">neu einlesen. Der JSON-Download sichert Parameter, Ergebnisse und Eingabe-Hashes.</w:t>
      </w:r>
      <w:r>
        <w:t xml:space="preserve"> </w:t>
      </w:r>
      <w:r>
        <w:t xml:space="preserve">Für eine Übernahme in den Bericht müssen die Referenznotebooks bewusst aktualisiert werden.</w:t>
      </w:r>
    </w:p>
    <w:p>
      <w:pPr>
        <w:pStyle w:val="BodyText"/>
      </w:pPr>
      <w:r>
        <w:t xml:space="preserve">Quellen und Bilanzgrenzen:</w:t>
      </w:r>
      <w:r>
        <w:t xml:space="preserve"> </w:t>
      </w:r>
      <w:hyperlink w:anchor="sec-gebaeudebestand">
        <w:r>
          <w:rPr>
            <w:rStyle w:val="Hyperlink"/>
          </w:rPr>
          <w:t xml:space="preserve">Kapitel 12</w:t>
        </w:r>
      </w:hyperlink>
      <w:r>
        <w:t xml:space="preserve"> </w:t>
      </w:r>
      <w:r>
        <w:t xml:space="preserve">und</w:t>
      </w:r>
      <w:r>
        <w:t xml:space="preserve"> </w:t>
      </w:r>
      <w:hyperlink w:anchor="sec-allokation">
        <w:r>
          <w:rPr>
            <w:rStyle w:val="Hyperlink"/>
          </w:rPr>
          <w:t xml:space="preserve">Kapitel 11</w:t>
        </w:r>
      </w:hyperlink>
      <w:r>
        <w:t xml:space="preserve"> </w:t>
      </w:r>
      <w:r>
        <w:t xml:space="preserve">sowie die</w:t>
      </w:r>
      <w:r>
        <w:t xml:space="preserve"> </w:t>
      </w:r>
      <w:r>
        <w:t xml:space="preserve">wissenschaftlichen Anhänge. Verkehrsanteile beziehen sich auf</w:t>
      </w:r>
      <w:r>
        <w:t xml:space="preserve"> </w:t>
      </w:r>
      <w:r>
        <w:rPr>
          <w:b/>
          <w:bCs/>
        </w:rPr>
        <w:t xml:space="preserve">elektrische Energie</w:t>
      </w:r>
      <w:r>
        <w:t xml:space="preserve">,</w:t>
      </w:r>
      <w:r>
        <w:t xml:space="preserve"> </w:t>
      </w:r>
      <w:r>
        <w:t xml:space="preserve">nicht auf Fahrten oder Personenkilometer. Alle Salden: Erzeugung minus Bedarf.</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 hashlib,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rPr>
          <w:rStyle w:val="NormalTok"/>
        </w:rPr>
        <w:t xml:space="preserve">ROOT </w:t>
      </w:r>
      <w:r>
        <w:rPr>
          <w:rStyle w:val="OperatorTok"/>
        </w:rPr>
        <w:t xml:space="preserve">=</w:t>
      </w:r>
      <w:r>
        <w:rPr>
          <w:rStyle w:val="NormalTok"/>
        </w:rPr>
        <w:t xml:space="preserve"> </w:t>
      </w:r>
      <w:r>
        <w:rPr>
          <w:rStyle w:val="BuiltInTok"/>
        </w:rPr>
        <w:t xml:space="preserve">next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[Path.cwd(), </w:t>
      </w:r>
      <w:r>
        <w:rPr>
          <w:rStyle w:val="OperatorTok"/>
        </w:rPr>
        <w:t xml:space="preserve">*</w:t>
      </w:r>
      <w:r>
        <w:rPr>
          <w:rStyle w:val="NormalTok"/>
        </w:rPr>
        <w:t xml:space="preserve">Path.cwd().parents] </w:t>
      </w:r>
      <w:r>
        <w:rPr>
          <w:rStyle w:val="ControlFlowTok"/>
        </w:rPr>
        <w:t xml:space="preserve">if</w:t>
      </w:r>
      <w:r>
        <w:rPr>
          <w:rStyle w:val="NormalTok"/>
        </w:rPr>
        <w:t xml:space="preserve"> (p</w:t>
      </w:r>
      <w:r>
        <w:rPr>
          <w:rStyle w:val="OperatorTok"/>
        </w:rPr>
        <w:t xml:space="preserve">/</w:t>
      </w:r>
      <w:r>
        <w:rPr>
          <w:rStyle w:val="StringTok"/>
        </w:rPr>
        <w:t xml:space="preserve">'_quarto.yml'</w:t>
      </w:r>
      <w:r>
        <w:rPr>
          <w:rStyle w:val="NormalTok"/>
        </w:rPr>
        <w:t xml:space="preserve">).exists())</w:t>
      </w:r>
      <w:r>
        <w:br/>
      </w:r>
      <w:r>
        <w:rPr>
          <w:rStyle w:val="NormalTok"/>
        </w:rPr>
        <w:t xml:space="preserve">BASE </w:t>
      </w:r>
      <w:r>
        <w:rPr>
          <w:rStyle w:val="OperatorTok"/>
        </w:rPr>
        <w:t xml:space="preserve">=</w:t>
      </w:r>
      <w:r>
        <w:rPr>
          <w:rStyle w:val="NormalTok"/>
        </w:rPr>
        <w:t xml:space="preserve"> ROOT</w:t>
      </w:r>
      <w:r>
        <w:rPr>
          <w:rStyle w:val="OperatorTok"/>
        </w:rPr>
        <w:t xml:space="preserve">/</w:t>
      </w:r>
      <w:r>
        <w:rPr>
          <w:rStyle w:val="StringTok"/>
        </w:rPr>
        <w:t xml:space="preserve">'Berechnungen/gebaeudesektormodell'</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(BASE))</w:t>
      </w:r>
      <w:r>
        <w:br/>
      </w:r>
      <w:r>
        <w:rPr>
          <w:rStyle w:val="ImportTok"/>
        </w:rPr>
        <w:t xml:space="preserve">from</w:t>
      </w:r>
      <w:r>
        <w:rPr>
          <w:rStyle w:val="NormalTok"/>
        </w:rPr>
        <w:t xml:space="preserve"> utils </w:t>
      </w:r>
      <w:r>
        <w:rPr>
          <w:rStyle w:val="ImportTok"/>
        </w:rPr>
        <w:t xml:space="preserve">import</w:t>
      </w:r>
      <w:r>
        <w:rPr>
          <w:rStyle w:val="NormalTok"/>
        </w:rPr>
        <w:t xml:space="preserve"> sha256</w:t>
      </w:r>
      <w:r>
        <w:br/>
      </w:r>
      <w:r>
        <w:br/>
      </w:r>
      <w:r>
        <w:rPr>
          <w:rStyle w:val="CommentTok"/>
        </w:rPr>
        <w:t xml:space="preserve"># Ausgangsszenario: Original-Pool (Strombed_estim + zuordnung_gfz)</w:t>
      </w:r>
      <w:r>
        <w:br/>
      </w:r>
      <w:r>
        <w:rPr>
          <w:rStyle w:val="CommentTok"/>
        </w:rPr>
        <w:t xml:space="preserve"># oder editierbare Reinschrift (Typen + GFZ_Zuordnung).</w:t>
      </w:r>
      <w:r>
        <w:br/>
      </w:r>
      <w:r>
        <w:rPr>
          <w:rStyle w:val="NormalTok"/>
        </w:rPr>
        <w:t xml:space="preserve">XLSX </w:t>
      </w:r>
      <w:r>
        <w:rPr>
          <w:rStyle w:val="OperatorTok"/>
        </w:rPr>
        <w:t xml:space="preserve">=</w:t>
      </w:r>
      <w:r>
        <w:rPr>
          <w:rStyle w:val="NormalTok"/>
        </w:rPr>
        <w:t xml:space="preserve"> ROOT</w:t>
      </w:r>
      <w:r>
        <w:rPr>
          <w:rStyle w:val="OperatorTok"/>
        </w:rPr>
        <w:t xml:space="preserve">/</w:t>
      </w:r>
      <w:r>
        <w:rPr>
          <w:rStyle w:val="StringTok"/>
        </w:rPr>
        <w:t xml:space="preserve">'Berechnungen/gebaeudesektormodell/data/Building-Sector_Pool_1.xlsx'</w:t>
      </w:r>
      <w:r>
        <w:br/>
      </w:r>
      <w:r>
        <w:rPr>
          <w:rStyle w:val="NormalTok"/>
        </w:rPr>
        <w:t xml:space="preserve">SCENARIO </w:t>
      </w:r>
      <w:r>
        <w:rPr>
          <w:rStyle w:val="OperatorTok"/>
        </w:rPr>
        <w:t xml:space="preserve">=</w:t>
      </w:r>
      <w:r>
        <w:rPr>
          <w:rStyle w:val="NormalTok"/>
        </w:rPr>
        <w:t xml:space="preserve"> </w:t>
      </w:r>
      <w:r>
        <w:rPr>
          <w:rStyle w:val="StringTok"/>
        </w:rPr>
        <w:t xml:space="preserve">'transition_2040'</w:t>
      </w:r>
      <w:r>
        <w:br/>
      </w:r>
      <w:r>
        <w:rPr>
          <w:rStyle w:val="NormalTok"/>
        </w:rPr>
        <w:t xml:space="preserve">AREA_COLUMN </w:t>
      </w:r>
      <w:r>
        <w:rPr>
          <w:rStyle w:val="OperatorTok"/>
        </w:rPr>
        <w:t xml:space="preserve">=</w:t>
      </w:r>
      <w:r>
        <w:rPr>
          <w:rStyle w:val="NormalTok"/>
        </w:rPr>
        <w:t xml:space="preserve"> </w:t>
      </w:r>
      <w:r>
        <w:rPr>
          <w:rStyle w:val="StringTok"/>
        </w:rPr>
        <w:t xml:space="preserve">'Nationale BGF 2040'</w:t>
      </w:r>
      <w:r>
        <w:br/>
      </w:r>
      <w:r>
        <w:rPr>
          <w:rStyle w:val="CommentTok"/>
        </w:rPr>
        <w:t xml:space="preserve"># Andere Flächenjahre sind kein zeitlich konsistenter Vergleich mit UBA 2040!</w:t>
      </w:r>
      <w:r>
        <w:br/>
      </w:r>
      <w:r>
        <w:rPr>
          <w:rStyle w:val="NormalTok"/>
        </w:rPr>
        <w:t xml:space="preserve">DEFAULT </w:t>
      </w:r>
      <w:r>
        <w:rPr>
          <w:rStyle w:val="OperatorTok"/>
        </w:rPr>
        <w:t xml:space="preserve">=</w:t>
      </w:r>
      <w:r>
        <w:rPr>
          <w:rStyle w:val="NormalTok"/>
        </w:rPr>
        <w:t xml:space="preserve"> </w:t>
      </w:r>
      <w:r>
        <w:rPr>
          <w:rStyle w:val="BuiltInTok"/>
        </w:rPr>
        <w:t xml:space="preserve">dict</w:t>
      </w:r>
      <w:r>
        <w:rPr>
          <w:rStyle w:val="NormalTok"/>
        </w:rPr>
        <w:t xml:space="preserve">(miv</w:t>
      </w:r>
      <w:r>
        <w:rPr>
          <w:rStyle w:val="OperatorTok"/>
        </w:rPr>
        <w:t xml:space="preserve">=</w:t>
      </w:r>
      <w:r>
        <w:rPr>
          <w:rStyle w:val="FloatTok"/>
        </w:rPr>
        <w:t xml:space="preserve">.8</w:t>
      </w:r>
      <w:r>
        <w:rPr>
          <w:rStyle w:val="NormalTok"/>
        </w:rPr>
        <w:t xml:space="preserve">, other_transport</w:t>
      </w:r>
      <w:r>
        <w:rPr>
          <w:rStyle w:val="OperatorTok"/>
        </w:rPr>
        <w:t xml:space="preserve">=</w:t>
      </w:r>
      <w:r>
        <w:rPr>
          <w:rStyle w:val="FloatTok"/>
        </w:rPr>
        <w:t xml:space="preserve">0.</w:t>
      </w:r>
      <w:r>
        <w:rPr>
          <w:rStyle w:val="NormalTok"/>
        </w:rPr>
        <w:t xml:space="preserve">, free_pv</w:t>
      </w:r>
      <w:r>
        <w:rPr>
          <w:rStyle w:val="OperatorTok"/>
        </w:rPr>
        <w:t xml:space="preserve">=</w:t>
      </w:r>
      <w:r>
        <w:rPr>
          <w:rStyle w:val="FloatTok"/>
        </w:rPr>
        <w:t xml:space="preserve">0.</w:t>
      </w:r>
      <w:r>
        <w:rPr>
          <w:rStyle w:val="NormalTok"/>
        </w:rPr>
        <w:t xml:space="preserve">,</w:t>
      </w:r>
      <w:r>
        <w:br/>
      </w:r>
      <w:r>
        <w:rPr>
          <w:rStyle w:val="NormalTok"/>
        </w:rPr>
        <w:t xml:space="preserve">               saving</w:t>
      </w:r>
      <w:r>
        <w:rPr>
          <w:rStyle w:val="OperatorTok"/>
        </w:rPr>
        <w:t xml:space="preserve">=</w:t>
      </w:r>
      <w:r>
        <w:rPr>
          <w:rStyle w:val="FloatTok"/>
        </w:rPr>
        <w:t xml:space="preserve">0.</w:t>
      </w:r>
      <w:r>
        <w:rPr>
          <w:rStyle w:val="NormalTok"/>
        </w:rPr>
        <w:t xml:space="preserve">, pv_scale</w:t>
      </w:r>
      <w:r>
        <w:rPr>
          <w:rStyle w:val="OperatorTok"/>
        </w:rPr>
        <w:t xml:space="preserve">=</w:t>
      </w:r>
      <w:r>
        <w:rPr>
          <w:rStyle w:val="FloatTok"/>
        </w:rPr>
        <w:t xml:space="preserve">1.</w:t>
      </w:r>
      <w:r>
        <w:rPr>
          <w:rStyle w:val="NormalTok"/>
        </w:rPr>
        <w:t xml:space="preserve">, ngf_bgf</w:t>
      </w:r>
      <w:r>
        <w:rPr>
          <w:rStyle w:val="OperatorTok"/>
        </w:rPr>
        <w:t xml:space="preserve">=</w:t>
      </w:r>
      <w:r>
        <w:rPr>
          <w:rStyle w:val="FloatTok"/>
        </w:rPr>
        <w:t xml:space="preserve">.8</w:t>
      </w:r>
      <w:r>
        <w:rPr>
          <w:rStyle w:val="NormalTok"/>
        </w:rPr>
        <w:t xml:space="preserve">,</w:t>
      </w:r>
      <w:r>
        <w:br/>
      </w:r>
      <w:r>
        <w:rPr>
          <w:rStyle w:val="NormalTok"/>
        </w:rPr>
        <w:t xml:space="preserve">               density_f_res</w:t>
      </w:r>
      <w:r>
        <w:rPr>
          <w:rStyle w:val="OperatorTok"/>
        </w:rPr>
        <w:t xml:space="preserve">=</w:t>
      </w:r>
      <w:r>
        <w:rPr>
          <w:rStyle w:val="FloatTok"/>
        </w:rPr>
        <w:t xml:space="preserve">30.4</w:t>
      </w:r>
      <w:r>
        <w:rPr>
          <w:rStyle w:val="NormalTok"/>
        </w:rPr>
        <w:t xml:space="preserve">, density_f_ed</w:t>
      </w:r>
      <w:r>
        <w:rPr>
          <w:rStyle w:val="OperatorTok"/>
        </w:rPr>
        <w:t xml:space="preserve">=</w:t>
      </w:r>
      <w:r>
        <w:rPr>
          <w:rStyle w:val="FloatTok"/>
        </w:rPr>
        <w:t xml:space="preserve">26.4</w:t>
      </w:r>
      <w:r>
        <w:rPr>
          <w:rStyle w:val="NormalTok"/>
        </w:rPr>
        <w:t xml:space="preserve">, density_dx</w:t>
      </w:r>
      <w:r>
        <w:rPr>
          <w:rStyle w:val="OperatorTok"/>
        </w:rPr>
        <w:t xml:space="preserve">=</w:t>
      </w:r>
      <w:r>
        <w:rPr>
          <w:rStyle w:val="FloatTok"/>
        </w:rPr>
        <w:t xml:space="preserve">.15</w:t>
      </w:r>
      <w:r>
        <w:rPr>
          <w:rStyle w:val="NormalTok"/>
        </w:rPr>
        <w:t xml:space="preserve">, density_cutoff</w:t>
      </w:r>
      <w:r>
        <w:rPr>
          <w:rStyle w:val="OperatorTok"/>
        </w:rPr>
        <w:t xml:space="preserve">=</w:t>
      </w:r>
      <w:r>
        <w:rPr>
          <w:rStyle w:val="FloatTok"/>
        </w:rPr>
        <w:t xml:space="preserve">62.</w:t>
      </w:r>
      <w:r>
        <w:rPr>
          <w:rStyle w:val="NormalTok"/>
        </w:rPr>
        <w:t xml:space="preserve">)</w:t>
      </w:r>
      <w:r>
        <w:br/>
      </w:r>
      <w:r>
        <w:rPr>
          <w:rStyle w:val="CommentTok"/>
        </w:rPr>
        <w:t xml:space="preserve"># saving: proportionale Strombedarfssenkung des gewählten Gebäudepools.</w:t>
      </w:r>
      <w:r>
        <w:br/>
      </w:r>
      <w:r>
        <w:rPr>
          <w:rStyle w:val="CommentTok"/>
        </w:rPr>
        <w:t xml:space="preserve"># pv_scale: unabhängige Skalierung seiner gesamten PV-Erzeugung, keine PEExcel-Neusimulation.</w:t>
      </w:r>
      <w:r>
        <w:br/>
      </w:r>
      <w:r>
        <w:rPr>
          <w:rStyle w:val="CommentTok"/>
        </w:rPr>
        <w:t xml:space="preserve"># Freiflächen-PV gehört vollständig zu den zentralen Großkraftwerken.</w:t>
      </w:r>
    </w:p>
    <w:bookmarkStart w:id="544" w:name="eingaben-abdeckung-und-herkunft"/>
    <w:p>
      <w:pPr>
        <w:pStyle w:val="Heading2"/>
      </w:pPr>
      <w:r>
        <w:t xml:space="preserve">G.1 Eingaben, Abdeckung und Herkunft</w:t>
      </w:r>
    </w:p>
    <w:p>
      <w:pPr>
        <w:pStyle w:val="FirstParagraph"/>
      </w:pPr>
      <w:r>
        <w:t xml:space="preserve">Die nationale BGF wird unverändert übernommen. Fehlende Flächen oder positive Flächen</w:t>
      </w:r>
      <w:r>
        <w:t xml:space="preserve"> </w:t>
      </w:r>
      <w:r>
        <w:t xml:space="preserve">ohne Energiekennwerte stoppen die Berechnung; eine explizite Nullfläche ist zulässig.</w:t>
      </w:r>
      <w:r>
        <w:t xml:space="preserve"> </w:t>
      </w:r>
      <w:r>
        <w:t xml:space="preserve">Excel-Formeln werden nicht neu berechnet: Verwendet werden die gespeicherten Werte.</w:t>
      </w:r>
      <w:r>
        <w:t xml:space="preserve"> </w:t>
      </w:r>
      <w:r>
        <w:t xml:space="preserve">Für neue Lieferungen müssen Bezeichnungen und Einheiten dem dokumentierten Datenvertrag</w:t>
      </w:r>
      <w:r>
        <w:t xml:space="preserve"> </w:t>
      </w:r>
      <w:r>
        <w:t xml:space="preserve">entsprechen: BGF in m², Kennwerte in kWh/(m² NGF·a). NGF/BGF = 0,8 ist vorläufig.</w:t>
      </w:r>
    </w:p>
    <w:p>
      <w:pPr>
        <w:pStyle w:val="SourceCode"/>
      </w:pPr>
      <w:r>
        <w:rPr>
          <w:rStyle w:val="NormalTok"/>
        </w:rPr>
        <w:t xml:space="preserve">book </w:t>
      </w:r>
      <w:r>
        <w:rPr>
          <w:rStyle w:val="OperatorTok"/>
        </w:rPr>
        <w:t xml:space="preserve">=</w:t>
      </w:r>
      <w:r>
        <w:rPr>
          <w:rStyle w:val="NormalTok"/>
        </w:rPr>
        <w:t xml:space="preserve"> pd.ExcelFile(XLSX)</w:t>
      </w:r>
      <w:r>
        <w:br/>
      </w:r>
      <w:r>
        <w:rPr>
          <w:rStyle w:val="NormalTok"/>
        </w:rPr>
        <w:t xml:space="preserve">clean </w:t>
      </w:r>
      <w:r>
        <w:rPr>
          <w:rStyle w:val="OperatorTok"/>
        </w:rPr>
        <w:t xml:space="preserve">=</w:t>
      </w:r>
      <w:r>
        <w:rPr>
          <w:rStyle w:val="NormalTok"/>
        </w:rPr>
        <w:t xml:space="preserve"> </w:t>
      </w:r>
      <w:r>
        <w:rPr>
          <w:rStyle w:val="StringTok"/>
        </w:rPr>
        <w:t xml:space="preserve">'Typen'</w:t>
      </w:r>
      <w:r>
        <w:rPr>
          <w:rStyle w:val="NormalTok"/>
        </w:rPr>
        <w:t xml:space="preserve"> </w:t>
      </w:r>
      <w:r>
        <w:rPr>
          <w:rStyle w:val="KeywordTok"/>
        </w:rPr>
        <w:t xml:space="preserve">in</w:t>
      </w:r>
      <w:r>
        <w:rPr>
          <w:rStyle w:val="NormalTok"/>
        </w:rPr>
        <w:t xml:space="preserve"> book.sheet_names</w:t>
      </w:r>
      <w:r>
        <w:br/>
      </w:r>
      <w:r>
        <w:rPr>
          <w:rStyle w:val="NormalTok"/>
        </w:rPr>
        <w:t xml:space="preserve">data </w:t>
      </w:r>
      <w:r>
        <w:rPr>
          <w:rStyle w:val="OperatorTok"/>
        </w:rPr>
        <w:t xml:space="preserve">=</w:t>
      </w:r>
      <w:r>
        <w:rPr>
          <w:rStyle w:val="NormalTok"/>
        </w:rPr>
        <w:t xml:space="preserve"> pd.read_excel(book, sheet_name</w:t>
      </w:r>
      <w:r>
        <w:rPr>
          <w:rStyle w:val="OperatorTok"/>
        </w:rPr>
        <w:t xml:space="preserve">=</w:t>
      </w:r>
      <w:r>
        <w:rPr>
          <w:rStyle w:val="StringTok"/>
        </w:rPr>
        <w:t xml:space="preserve">'Typen'</w:t>
      </w:r>
      <w:r>
        <w:rPr>
          <w:rStyle w:val="NormalTok"/>
        </w:rPr>
        <w:t xml:space="preserve"> </w:t>
      </w:r>
      <w:r>
        <w:rPr>
          <w:rStyle w:val="ControlFlowTok"/>
        </w:rPr>
        <w:t xml:space="preserve">if</w:t>
      </w:r>
      <w:r>
        <w:rPr>
          <w:rStyle w:val="NormalTok"/>
        </w:rPr>
        <w:t xml:space="preserve"> clean </w:t>
      </w:r>
      <w:r>
        <w:rPr>
          <w:rStyle w:val="ControlFlowTok"/>
        </w:rPr>
        <w:t xml:space="preserve">else</w:t>
      </w:r>
      <w:r>
        <w:rPr>
          <w:rStyle w:val="NormalTok"/>
        </w:rPr>
        <w:t xml:space="preserve"> </w:t>
      </w:r>
      <w:r>
        <w:rPr>
          <w:rStyle w:val="StringTok"/>
        </w:rPr>
        <w:t xml:space="preserve">'Strombed_estim'</w:t>
      </w:r>
      <w:r>
        <w:rPr>
          <w:rStyle w:val="NormalTok"/>
        </w:rPr>
        <w:t xml:space="preserve">).dropna(how</w:t>
      </w:r>
      <w:r>
        <w:rPr>
          <w:rStyle w:val="OperatorTok"/>
        </w:rPr>
        <w:t xml:space="preserve">=</w:t>
      </w:r>
      <w:r>
        <w:rPr>
          <w:rStyle w:val="StringTok"/>
        </w:rPr>
        <w:t xml:space="preserve">'all'</w:t>
      </w:r>
      <w:r>
        <w:rPr>
          <w:rStyle w:val="NormalTok"/>
        </w:rPr>
        <w:t xml:space="preserve">)</w:t>
      </w:r>
      <w:r>
        <w:br/>
      </w:r>
      <w:r>
        <w:rPr>
          <w:rStyle w:val="NormalTok"/>
        </w:rPr>
        <w:t xml:space="preserve">mapping </w:t>
      </w:r>
      <w:r>
        <w:rPr>
          <w:rStyle w:val="OperatorTok"/>
        </w:rPr>
        <w:t xml:space="preserve">=</w:t>
      </w:r>
      <w:r>
        <w:rPr>
          <w:rStyle w:val="NormalTok"/>
        </w:rPr>
        <w:t xml:space="preserve"> pd.read_excel(book, sheet_name</w:t>
      </w:r>
      <w:r>
        <w:rPr>
          <w:rStyle w:val="OperatorTok"/>
        </w:rPr>
        <w:t xml:space="preserve">=</w:t>
      </w:r>
      <w:r>
        <w:rPr>
          <w:rStyle w:val="StringTok"/>
        </w:rPr>
        <w:t xml:space="preserve">'GFZ_Zuordnung'</w:t>
      </w:r>
      <w:r>
        <w:rPr>
          <w:rStyle w:val="NormalTok"/>
        </w:rPr>
        <w:t xml:space="preserve"> </w:t>
      </w:r>
      <w:r>
        <w:rPr>
          <w:rStyle w:val="ControlFlowTok"/>
        </w:rPr>
        <w:t xml:space="preserve">if</w:t>
      </w:r>
      <w:r>
        <w:rPr>
          <w:rStyle w:val="NormalTok"/>
        </w:rPr>
        <w:t xml:space="preserve"> clean </w:t>
      </w:r>
      <w:r>
        <w:rPr>
          <w:rStyle w:val="ControlFlowTok"/>
        </w:rPr>
        <w:t xml:space="preserve">else</w:t>
      </w:r>
      <w:r>
        <w:rPr>
          <w:rStyle w:val="NormalTok"/>
        </w:rPr>
        <w:t xml:space="preserve"> </w:t>
      </w:r>
      <w:r>
        <w:rPr>
          <w:rStyle w:val="StringTok"/>
        </w:rPr>
        <w:t xml:space="preserve">'zuordnung_gfz'</w:t>
      </w:r>
      <w:r>
        <w:rPr>
          <w:rStyle w:val="NormalTok"/>
        </w:rPr>
        <w:t xml:space="preserve">, usecols</w:t>
      </w:r>
      <w:r>
        <w:rPr>
          <w:rStyle w:val="OperatorTok"/>
        </w:rPr>
        <w:t xml:space="preserve">=</w:t>
      </w:r>
      <w:r>
        <w:rPr>
          <w:rStyle w:val="BuiltInTok"/>
        </w:rPr>
        <w:t xml:space="preserve">range</w:t>
      </w:r>
      <w:r>
        <w:rPr>
          <w:rStyle w:val="NormalTok"/>
        </w:rPr>
        <w:t xml:space="preserve">(</w:t>
      </w:r>
      <w:r>
        <w:rPr>
          <w:rStyle w:val="DecValTok"/>
        </w:rPr>
        <w:t xml:space="preserve">6</w:t>
      </w:r>
      <w:r>
        <w:rPr>
          <w:rStyle w:val="NormalTok"/>
        </w:rPr>
        <w:t xml:space="preserve">)).dropna(how</w:t>
      </w:r>
      <w:r>
        <w:rPr>
          <w:rStyle w:val="OperatorTok"/>
        </w:rPr>
        <w:t xml:space="preserve">=</w:t>
      </w:r>
      <w:r>
        <w:rPr>
          <w:rStyle w:val="StringTok"/>
        </w:rPr>
        <w:t xml:space="preserve">'all'</w:t>
      </w:r>
      <w:r>
        <w:rPr>
          <w:rStyle w:val="NormalTok"/>
        </w:rPr>
        <w:t xml:space="preserve">)</w:t>
      </w:r>
      <w:r>
        <w:br/>
      </w:r>
      <w:r>
        <w:rPr>
          <w:rStyle w:val="NormalTok"/>
        </w:rPr>
        <w:t xml:space="preserve">book.close()</w:t>
      </w:r>
      <w:r>
        <w:br/>
      </w:r>
      <w:r>
        <w:rPr>
          <w:rStyle w:val="ControlFlowTok"/>
        </w:rPr>
        <w:t xml:space="preserve">assert</w:t>
      </w:r>
      <w:r>
        <w:rPr>
          <w:rStyle w:val="NormalTok"/>
        </w:rPr>
        <w:t xml:space="preserve"> data.Archetype.notna().</w:t>
      </w:r>
      <w:r>
        <w:rPr>
          <w:rStyle w:val="BuiltInTok"/>
        </w:rPr>
        <w:t xml:space="preserve">all</w:t>
      </w:r>
      <w:r>
        <w:rPr>
          <w:rStyle w:val="NormalTok"/>
        </w:rPr>
        <w:t xml:space="preserve">() </w:t>
      </w:r>
      <w:r>
        <w:rPr>
          <w:rStyle w:val="KeywordTok"/>
        </w:rPr>
        <w:t xml:space="preserve">and</w:t>
      </w:r>
      <w:r>
        <w:rPr>
          <w:rStyle w:val="NormalTok"/>
        </w:rPr>
        <w:t xml:space="preserve"> data.Archetype.is_unique</w:t>
      </w:r>
      <w:r>
        <w:br/>
      </w:r>
      <w:r>
        <w:rPr>
          <w:rStyle w:val="NormalTok"/>
        </w:rPr>
        <w:t xml:space="preserve">data[</w:t>
      </w:r>
      <w:r>
        <w:rPr>
          <w:rStyle w:val="StringTok"/>
        </w:rPr>
        <w:t xml:space="preserve">'Geometrie'</w:t>
      </w:r>
      <w:r>
        <w:rPr>
          <w:rStyle w:val="NormalTok"/>
        </w:rPr>
        <w:t xml:space="preserve">] </w:t>
      </w:r>
      <w:r>
        <w:rPr>
          <w:rStyle w:val="OperatorTok"/>
        </w:rPr>
        <w:t xml:space="preserve">=</w:t>
      </w:r>
      <w:r>
        <w:rPr>
          <w:rStyle w:val="NormalTok"/>
        </w:rPr>
        <w:t xml:space="preserve"> data.Archetype.</w:t>
      </w:r>
      <w:r>
        <w:rPr>
          <w:rStyle w:val="BuiltInTok"/>
        </w:rPr>
        <w:t xml:space="preserve">str</w:t>
      </w:r>
      <w:r>
        <w:rPr>
          <w:rStyle w:val="NormalTok"/>
        </w:rPr>
        <w:t xml:space="preserve">.split(</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w:t>
      </w:r>
      <w:r>
        <w:rPr>
          <w:rStyle w:val="BuiltInTok"/>
        </w:rPr>
        <w:t xml:space="preserve">str</w:t>
      </w:r>
      <w:r>
        <w:rPr>
          <w:rStyle w:val="NormalTok"/>
        </w:rPr>
        <w:t xml:space="preserve">[</w:t>
      </w:r>
      <w:r>
        <w:rPr>
          <w:rStyle w:val="DecValTok"/>
        </w:rPr>
        <w:t xml:space="preserve">0</w:t>
      </w:r>
      <w:r>
        <w:rPr>
          <w:rStyle w:val="NormalTok"/>
        </w:rPr>
        <w:t xml:space="preserve">]</w:t>
      </w:r>
      <w:r>
        <w:br/>
      </w:r>
      <w:r>
        <w:rPr>
          <w:rStyle w:val="NormalTok"/>
        </w:rPr>
        <w:t xml:space="preserve">area </w:t>
      </w:r>
      <w:r>
        <w:rPr>
          <w:rStyle w:val="OperatorTok"/>
        </w:rPr>
        <w:t xml:space="preserve">=</w:t>
      </w:r>
      <w:r>
        <w:rPr>
          <w:rStyle w:val="NormalTok"/>
        </w:rPr>
        <w:t xml:space="preserve"> pd.to_numeric(data[AREA_COLUMN], errors</w:t>
      </w:r>
      <w:r>
        <w:rPr>
          <w:rStyle w:val="OperatorTok"/>
        </w:rPr>
        <w:t xml:space="preserve">=</w:t>
      </w:r>
      <w:r>
        <w:rPr>
          <w:rStyle w:val="StringTok"/>
        </w:rPr>
        <w:t xml:space="preserve">'raise'</w:t>
      </w:r>
      <w:r>
        <w:rPr>
          <w:rStyle w:val="NormalTok"/>
        </w:rPr>
        <w:t xml:space="preserve">)</w:t>
      </w:r>
      <w:r>
        <w:br/>
      </w:r>
      <w:r>
        <w:rPr>
          <w:rStyle w:val="ControlFlowTok"/>
        </w:rPr>
        <w:t xml:space="preserve">assert</w:t>
      </w:r>
      <w:r>
        <w:rPr>
          <w:rStyle w:val="NormalTok"/>
        </w:rPr>
        <w:t xml:space="preserve"> area.notna().</w:t>
      </w:r>
      <w:r>
        <w:rPr>
          <w:rStyle w:val="BuiltInTok"/>
        </w:rPr>
        <w:t xml:space="preserve">all</w:t>
      </w:r>
      <w:r>
        <w:rPr>
          <w:rStyle w:val="NormalTok"/>
        </w:rPr>
        <w:t xml:space="preserve">() </w:t>
      </w:r>
      <w:r>
        <w:rPr>
          <w:rStyle w:val="KeywordTok"/>
        </w:rPr>
        <w:t xml:space="preserve">and</w:t>
      </w:r>
      <w:r>
        <w:rPr>
          <w:rStyle w:val="NormalTok"/>
        </w:rPr>
        <w:t xml:space="preserve"> area.ge(</w:t>
      </w:r>
      <w:r>
        <w:rPr>
          <w:rStyle w:val="DecValTok"/>
        </w:rPr>
        <w:t xml:space="preserve">0</w:t>
      </w:r>
      <w:r>
        <w:rPr>
          <w:rStyle w:val="NormalTok"/>
        </w:rPr>
        <w:t xml:space="preserve">).</w:t>
      </w:r>
      <w:r>
        <w:rPr>
          <w:rStyle w:val="BuiltInTok"/>
        </w:rPr>
        <w:t xml:space="preserve">all</w:t>
      </w:r>
      <w:r>
        <w:rPr>
          <w:rStyle w:val="NormalTok"/>
        </w:rPr>
        <w:t xml:space="preserve">(), </w:t>
      </w:r>
      <w:r>
        <w:rPr>
          <w:rStyle w:val="StringTok"/>
        </w:rPr>
        <w:t xml:space="preserve">'Fehlende/negative Fläche: Quelle ergänzen'</w:t>
      </w:r>
      <w:r>
        <w:br/>
      </w:r>
      <w:r>
        <w:rPr>
          <w:rStyle w:val="NormalTok"/>
        </w:rPr>
        <w:t xml:space="preserve">fields </w:t>
      </w:r>
      <w:r>
        <w:rPr>
          <w:rStyle w:val="OperatorTok"/>
        </w:rPr>
        <w:t xml:space="preserve">=</w:t>
      </w:r>
      <w:r>
        <w:rPr>
          <w:rStyle w:val="NormalTok"/>
        </w:rPr>
        <w:t xml:space="preserve"> [</w:t>
      </w:r>
      <w:r>
        <w:rPr>
          <w:rStyle w:val="StringTok"/>
        </w:rPr>
        <w:t xml:space="preserve">'Grid_to_building_min'</w:t>
      </w:r>
      <w:r>
        <w:rPr>
          <w:rStyle w:val="NormalTok"/>
        </w:rPr>
        <w:t xml:space="preserve">,</w:t>
      </w:r>
      <w:r>
        <w:rPr>
          <w:rStyle w:val="StringTok"/>
        </w:rPr>
        <w:t xml:space="preserve">'PV_total_direct'</w:t>
      </w:r>
      <w:r>
        <w:rPr>
          <w:rStyle w:val="NormalTok"/>
        </w:rPr>
        <w:t xml:space="preserve">,</w:t>
      </w:r>
      <w:r>
        <w:rPr>
          <w:rStyle w:val="StringTok"/>
        </w:rPr>
        <w:t xml:space="preserve">'PV_to_Egrid'</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fields:</w:t>
      </w:r>
      <w:r>
        <w:br/>
      </w:r>
      <w:r>
        <w:rPr>
          <w:rStyle w:val="NormalTok"/>
        </w:rPr>
        <w:t xml:space="preserve">    data[col] </w:t>
      </w:r>
      <w:r>
        <w:rPr>
          <w:rStyle w:val="OperatorTok"/>
        </w:rPr>
        <w:t xml:space="preserve">=</w:t>
      </w:r>
      <w:r>
        <w:rPr>
          <w:rStyle w:val="NormalTok"/>
        </w:rPr>
        <w:t xml:space="preserve"> pd.to_numeric(data[col], errors</w:t>
      </w:r>
      <w:r>
        <w:rPr>
          <w:rStyle w:val="OperatorTok"/>
        </w:rPr>
        <w:t xml:space="preserve">=</w:t>
      </w:r>
      <w:r>
        <w:rPr>
          <w:rStyle w:val="StringTok"/>
        </w:rPr>
        <w:t xml:space="preserve">'raise'</w:t>
      </w:r>
      <w:r>
        <w:rPr>
          <w:rStyle w:val="NormalTok"/>
        </w:rPr>
        <w:t xml:space="preserve">)</w:t>
      </w:r>
      <w:r>
        <w:br/>
      </w:r>
      <w:r>
        <w:rPr>
          <w:rStyle w:val="NormalTok"/>
        </w:rPr>
        <w:t xml:space="preserve">    </w:t>
      </w:r>
      <w:r>
        <w:rPr>
          <w:rStyle w:val="ControlFlowTok"/>
        </w:rPr>
        <w:t xml:space="preserve">assert</w:t>
      </w:r>
      <w:r>
        <w:rPr>
          <w:rStyle w:val="NormalTok"/>
        </w:rPr>
        <w:t xml:space="preserve"> data.loc[area.gt(</w:t>
      </w:r>
      <w:r>
        <w:rPr>
          <w:rStyle w:val="DecValTok"/>
        </w:rPr>
        <w:t xml:space="preserve">0</w:t>
      </w:r>
      <w:r>
        <w:rPr>
          <w:rStyle w:val="NormalTok"/>
        </w:rPr>
        <w:t xml:space="preserve">),col].notna().</w:t>
      </w:r>
      <w:r>
        <w:rPr>
          <w:rStyle w:val="BuiltInTok"/>
        </w:rPr>
        <w:t xml:space="preserve">all</w:t>
      </w:r>
      <w:r>
        <w:rPr>
          <w:rStyle w:val="NormalTok"/>
        </w:rPr>
        <w:t xml:space="preserve">(), col</w:t>
      </w:r>
      <w:r>
        <w:br/>
      </w:r>
      <w:r>
        <w:rPr>
          <w:rStyle w:val="NormalTok"/>
        </w:rPr>
        <w:t xml:space="preserve">    </w:t>
      </w:r>
      <w:r>
        <w:rPr>
          <w:rStyle w:val="ControlFlowTok"/>
        </w:rPr>
        <w:t xml:space="preserve">assert</w:t>
      </w:r>
      <w:r>
        <w:rPr>
          <w:rStyle w:val="NormalTok"/>
        </w:rPr>
        <w:t xml:space="preserve"> data.loc[area.gt(</w:t>
      </w:r>
      <w:r>
        <w:rPr>
          <w:rStyle w:val="DecValTok"/>
        </w:rPr>
        <w:t xml:space="preserve">0</w:t>
      </w:r>
      <w:r>
        <w:rPr>
          <w:rStyle w:val="NormalTok"/>
        </w:rPr>
        <w:t xml:space="preserve">),col].ge(</w:t>
      </w:r>
      <w:r>
        <w:rPr>
          <w:rStyle w:val="DecValTok"/>
        </w:rPr>
        <w:t xml:space="preserve">0</w:t>
      </w:r>
      <w:r>
        <w:rPr>
          <w:rStyle w:val="NormalTok"/>
        </w:rPr>
        <w:t xml:space="preserve">).</w:t>
      </w:r>
      <w:r>
        <w:rPr>
          <w:rStyle w:val="BuiltInTok"/>
        </w:rPr>
        <w:t xml:space="preserve">all</w:t>
      </w:r>
      <w:r>
        <w:rPr>
          <w:rStyle w:val="NormalTok"/>
        </w:rPr>
        <w:t xml:space="preserve">(), col</w:t>
      </w:r>
      <w:r>
        <w:br/>
      </w:r>
      <w:r>
        <w:rPr>
          <w:rStyle w:val="NormalTok"/>
        </w:rPr>
        <w:t xml:space="preserve">data[</w:t>
      </w:r>
      <w:r>
        <w:rPr>
          <w:rStyle w:val="StringTok"/>
        </w:rPr>
        <w:t xml:space="preserve">'BGF'</w:t>
      </w:r>
      <w:r>
        <w:rPr>
          <w:rStyle w:val="NormalTok"/>
        </w:rPr>
        <w:t xml:space="preserve">] </w:t>
      </w:r>
      <w:r>
        <w:rPr>
          <w:rStyle w:val="OperatorTok"/>
        </w:rPr>
        <w:t xml:space="preserve">=</w:t>
      </w:r>
      <w:r>
        <w:rPr>
          <w:rStyle w:val="NormalTok"/>
        </w:rPr>
        <w:t xml:space="preserve"> area</w:t>
      </w:r>
      <w:r>
        <w:br/>
      </w:r>
      <w:r>
        <w:rPr>
          <w:rStyle w:val="NormalTok"/>
        </w:rPr>
        <w:t xml:space="preserve">data[</w:t>
      </w:r>
      <w:r>
        <w:rPr>
          <w:rStyle w:val="StringTok"/>
        </w:rPr>
        <w:t xml:space="preserve">'demand'</w:t>
      </w:r>
      <w:r>
        <w:rPr>
          <w:rStyle w:val="NormalTok"/>
        </w:rPr>
        <w:t xml:space="preserve">] </w:t>
      </w:r>
      <w:r>
        <w:rPr>
          <w:rStyle w:val="OperatorTok"/>
        </w:rPr>
        <w:t xml:space="preserve">=</w:t>
      </w:r>
      <w:r>
        <w:rPr>
          <w:rStyle w:val="NormalTok"/>
        </w:rPr>
        <w:t xml:space="preserve"> data.Grid_to_building_min </w:t>
      </w:r>
      <w:r>
        <w:rPr>
          <w:rStyle w:val="OperatorTok"/>
        </w:rPr>
        <w:t xml:space="preserve">+</w:t>
      </w:r>
      <w:r>
        <w:rPr>
          <w:rStyle w:val="NormalTok"/>
        </w:rPr>
        <w:t xml:space="preserve"> data.PV_total_direct</w:t>
      </w:r>
      <w:r>
        <w:br/>
      </w:r>
      <w:r>
        <w:rPr>
          <w:rStyle w:val="NormalTok"/>
        </w:rPr>
        <w:t xml:space="preserve">data[</w:t>
      </w:r>
      <w:r>
        <w:rPr>
          <w:rStyle w:val="StringTok"/>
        </w:rPr>
        <w:t xml:space="preserve">'pv'</w:t>
      </w:r>
      <w:r>
        <w:rPr>
          <w:rStyle w:val="NormalTok"/>
        </w:rPr>
        <w:t xml:space="preserve">] </w:t>
      </w:r>
      <w:r>
        <w:rPr>
          <w:rStyle w:val="OperatorTok"/>
        </w:rPr>
        <w:t xml:space="preserve">=</w:t>
      </w:r>
      <w:r>
        <w:rPr>
          <w:rStyle w:val="NormalTok"/>
        </w:rPr>
        <w:t xml:space="preserve"> data.PV_total_direct </w:t>
      </w:r>
      <w:r>
        <w:rPr>
          <w:rStyle w:val="OperatorTok"/>
        </w:rPr>
        <w:t xml:space="preserve">+</w:t>
      </w:r>
      <w:r>
        <w:rPr>
          <w:rStyle w:val="NormalTok"/>
        </w:rPr>
        <w:t xml:space="preserve"> data.PV_to_Egrid</w:t>
      </w:r>
      <w:r>
        <w:br/>
      </w:r>
      <w:r>
        <w:rPr>
          <w:rStyle w:val="NormalTok"/>
        </w:rPr>
        <w:t xml:space="preserve">national </w:t>
      </w:r>
      <w:r>
        <w:rPr>
          <w:rStyle w:val="OperatorTok"/>
        </w:rPr>
        <w:t xml:space="preserve">=</w:t>
      </w:r>
      <w:r>
        <w:rPr>
          <w:rStyle w:val="NormalTok"/>
        </w:rPr>
        <w:t xml:space="preserve"> {}</w:t>
      </w:r>
      <w:r>
        <w:br/>
      </w:r>
      <w:r>
        <w:rPr>
          <w:rStyle w:val="NormalTok"/>
        </w:rPr>
        <w:t xml:space="preserve">source_files </w:t>
      </w:r>
      <w:r>
        <w:rPr>
          <w:rStyle w:val="OperatorTok"/>
        </w:rPr>
        <w:t xml:space="preserve">=</w:t>
      </w:r>
      <w:r>
        <w:rPr>
          <w:rStyle w:val="NormalTok"/>
        </w:rPr>
        <w:t xml:space="preserve"> [XLSX]</w:t>
      </w:r>
      <w:r>
        <w:br/>
      </w:r>
      <w:r>
        <w:rPr>
          <w:rStyle w:val="ControlFlowTok"/>
        </w:rPr>
        <w:t xml:space="preserve">for</w:t>
      </w:r>
      <w:r>
        <w:rPr>
          <w:rStyle w:val="NormalTok"/>
        </w:rPr>
        <w:t xml:space="preserve"> kind,filename </w:t>
      </w:r>
      <w:r>
        <w:rPr>
          <w:rStyle w:val="KeywordTok"/>
        </w:rPr>
        <w:t xml:space="preserve">in</w:t>
      </w:r>
      <w:r>
        <w:rPr>
          <w:rStyle w:val="NormalTok"/>
        </w:rPr>
        <w:t xml:space="preserve"> [(</w:t>
      </w:r>
      <w:r>
        <w:rPr>
          <w:rStyle w:val="StringTok"/>
        </w:rPr>
        <w:t xml:space="preserve">'g'</w:t>
      </w:r>
      <w:r>
        <w:rPr>
          <w:rStyle w:val="NormalTok"/>
        </w:rPr>
        <w:t xml:space="preserve">,</w:t>
      </w:r>
      <w:r>
        <w:rPr>
          <w:rStyle w:val="StringTok"/>
        </w:rPr>
        <w:t xml:space="preserve">'stromerzeugung_2040.csv'</w:t>
      </w:r>
      <w:r>
        <w:rPr>
          <w:rStyle w:val="NormalTok"/>
        </w:rPr>
        <w:t xml:space="preserve">),(</w:t>
      </w:r>
      <w:r>
        <w:rPr>
          <w:rStyle w:val="StringTok"/>
        </w:rPr>
        <w:t xml:space="preserve">'d'</w:t>
      </w:r>
      <w:r>
        <w:rPr>
          <w:rStyle w:val="NormalTok"/>
        </w:rPr>
        <w:t xml:space="preserve">,</w:t>
      </w:r>
      <w:r>
        <w:rPr>
          <w:rStyle w:val="StringTok"/>
        </w:rPr>
        <w:t xml:space="preserve">'strombedarf_2040.csv'</w:t>
      </w:r>
      <w:r>
        <w:rPr>
          <w:rStyle w:val="NormalTok"/>
        </w:rPr>
        <w:t xml:space="preserve">)]:</w:t>
      </w:r>
      <w:r>
        <w:br/>
      </w:r>
      <w:r>
        <w:rPr>
          <w:rStyle w:val="NormalTok"/>
        </w:rPr>
        <w:t xml:space="preserve">    path</w:t>
      </w:r>
      <w:r>
        <w:rPr>
          <w:rStyle w:val="OperatorTok"/>
        </w:rPr>
        <w:t xml:space="preserve">=</w:t>
      </w:r>
      <w:r>
        <w:rPr>
          <w:rStyle w:val="NormalTok"/>
        </w:rPr>
        <w:t xml:space="preserve">ROOT</w:t>
      </w:r>
      <w:r>
        <w:rPr>
          <w:rStyle w:val="OperatorTok"/>
        </w:rPr>
        <w:t xml:space="preserve">/</w:t>
      </w:r>
      <w:r>
        <w:rPr>
          <w:rStyle w:val="StringTok"/>
        </w:rPr>
        <w:t xml:space="preserve">'Daten/sektorenmodell'</w:t>
      </w:r>
      <w:r>
        <w:rPr>
          <w:rStyle w:val="OperatorTok"/>
        </w:rPr>
        <w:t xml:space="preserve">/</w:t>
      </w:r>
      <w:r>
        <w:rPr>
          <w:rStyle w:val="NormalTok"/>
        </w:rPr>
        <w:t xml:space="preserve">filename</w:t>
      </w:r>
      <w:r>
        <w:br/>
      </w:r>
      <w:r>
        <w:rPr>
          <w:rStyle w:val="NormalTok"/>
        </w:rPr>
        <w:t xml:space="preserve">    table</w:t>
      </w:r>
      <w:r>
        <w:rPr>
          <w:rStyle w:val="OperatorTok"/>
        </w:rPr>
        <w:t xml:space="preserve">=</w:t>
      </w:r>
      <w:r>
        <w:rPr>
          <w:rStyle w:val="NormalTok"/>
        </w:rPr>
        <w:t xml:space="preserve">pd.read_csv(path)</w:t>
      </w:r>
      <w:r>
        <w:br/>
      </w:r>
      <w:r>
        <w:rPr>
          <w:rStyle w:val="NormalTok"/>
        </w:rPr>
        <w:t xml:space="preserve">    selected</w:t>
      </w:r>
      <w:r>
        <w:rPr>
          <w:rStyle w:val="OperatorTok"/>
        </w:rPr>
        <w:t xml:space="preserve">=</w:t>
      </w:r>
      <w:r>
        <w:rPr>
          <w:rStyle w:val="NormalTok"/>
        </w:rPr>
        <w:t xml:space="preserve">table.loc[table.scenario.eq(SCENARIO)]</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(selected) </w:t>
      </w:r>
      <w:r>
        <w:rPr>
          <w:rStyle w:val="KeywordTok"/>
        </w:rPr>
        <w:t xml:space="preserve">and</w:t>
      </w:r>
      <w:r>
        <w:rPr>
          <w:rStyle w:val="NormalTok"/>
        </w:rPr>
        <w:t xml:space="preserve"> selected.metric.is_unique </w:t>
      </w:r>
      <w:r>
        <w:rPr>
          <w:rStyle w:val="KeywordTok"/>
        </w:rPr>
        <w:t xml:space="preserve">and</w:t>
      </w:r>
      <w:r>
        <w:rPr>
          <w:rStyle w:val="NormalTok"/>
        </w:rPr>
        <w:t xml:space="preserve"> selected.value_pj.notna().</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selected.year.eq(</w:t>
      </w:r>
      <w:r>
        <w:rPr>
          <w:rStyle w:val="DecValTok"/>
        </w:rPr>
        <w:t xml:space="preserve">2040</w:t>
      </w:r>
      <w:r>
        <w:rPr>
          <w:rStyle w:val="NormalTok"/>
        </w:rPr>
        <w:t xml:space="preserve">).</w:t>
      </w:r>
      <w:r>
        <w:rPr>
          <w:rStyle w:val="BuiltInTok"/>
        </w:rPr>
        <w:t xml:space="preserve">all</w:t>
      </w:r>
      <w:r>
        <w:rPr>
          <w:rStyle w:val="NormalTok"/>
        </w:rPr>
        <w:t xml:space="preserve">()</w:t>
      </w:r>
      <w:r>
        <w:br/>
      </w:r>
      <w:r>
        <w:rPr>
          <w:rStyle w:val="NormalTok"/>
        </w:rPr>
        <w:t xml:space="preserve">    national[kind]</w:t>
      </w:r>
      <w:r>
        <w:rPr>
          <w:rStyle w:val="OperatorTok"/>
        </w:rPr>
        <w:t xml:space="preserve">=</w:t>
      </w:r>
      <w:r>
        <w:rPr>
          <w:rStyle w:val="NormalTok"/>
        </w:rPr>
        <w:t xml:space="preserve">selected.set_index(</w:t>
      </w:r>
      <w:r>
        <w:rPr>
          <w:rStyle w:val="StringTok"/>
        </w:rPr>
        <w:t xml:space="preserve">'metric'</w:t>
      </w:r>
      <w:r>
        <w:rPr>
          <w:rStyle w:val="NormalTok"/>
        </w:rPr>
        <w:t xml:space="preserve">).value_pj.to_dict()</w:t>
      </w:r>
      <w:r>
        <w:br/>
      </w:r>
      <w:r>
        <w:rPr>
          <w:rStyle w:val="NormalTok"/>
        </w:rPr>
        <w:t xml:space="preserve">    source_files.append(path)</w:t>
      </w:r>
      <w:r>
        <w:br/>
      </w:r>
      <w:r>
        <w:rPr>
          <w:rStyle w:val="NormalTok"/>
        </w:rPr>
        <w:t xml:space="preserve">    display(selected[[</w:t>
      </w:r>
      <w:r>
        <w:rPr>
          <w:rStyle w:val="StringTok"/>
        </w:rPr>
        <w:t xml:space="preserve">'metric'</w:t>
      </w:r>
      <w:r>
        <w:rPr>
          <w:rStyle w:val="NormalTok"/>
        </w:rPr>
        <w:t xml:space="preserve">,</w:t>
      </w:r>
      <w:r>
        <w:rPr>
          <w:rStyle w:val="StringTok"/>
        </w:rPr>
        <w:t xml:space="preserve">'value_pj'</w:t>
      </w:r>
      <w:r>
        <w:rPr>
          <w:rStyle w:val="NormalTok"/>
        </w:rPr>
        <w:t xml:space="preserve">,</w:t>
      </w:r>
      <w:r>
        <w:rPr>
          <w:rStyle w:val="StringTok"/>
        </w:rPr>
        <w:t xml:space="preserve">'source_id'</w:t>
      </w:r>
      <w:r>
        <w:rPr>
          <w:rStyle w:val="NormalTok"/>
        </w:rPr>
        <w:t xml:space="preserve">,</w:t>
      </w:r>
      <w:r>
        <w:rPr>
          <w:rStyle w:val="StringTok"/>
        </w:rPr>
        <w:t xml:space="preserve">'source_location'</w:t>
      </w:r>
      <w:r>
        <w:rPr>
          <w:rStyle w:val="NormalTok"/>
        </w:rPr>
        <w:t xml:space="preserve">]])</w:t>
      </w:r>
      <w:r>
        <w:br/>
      </w:r>
      <w:r>
        <w:rPr>
          <w:rStyle w:val="NormalTok"/>
        </w:rPr>
        <w:t xml:space="preserve">g,d</w:t>
      </w:r>
      <w:r>
        <w:rPr>
          <w:rStyle w:val="OperatorTok"/>
        </w:rPr>
        <w:t xml:space="preserve">=</w:t>
      </w:r>
      <w:r>
        <w:rPr>
          <w:rStyle w:val="NormalTok"/>
        </w:rPr>
        <w:t xml:space="preserve">national[</w:t>
      </w:r>
      <w:r>
        <w:rPr>
          <w:rStyle w:val="StringTok"/>
        </w:rPr>
        <w:t xml:space="preserve">'g'</w:t>
      </w:r>
      <w:r>
        <w:rPr>
          <w:rStyle w:val="NormalTok"/>
        </w:rPr>
        <w:t xml:space="preserve">],national[</w:t>
      </w:r>
      <w:r>
        <w:rPr>
          <w:rStyle w:val="StringTok"/>
        </w:rPr>
        <w:t xml:space="preserve">'d'</w:t>
      </w:r>
      <w:r>
        <w:rPr>
          <w:rStyle w:val="NormalTok"/>
        </w:rPr>
        <w:t xml:space="preserve">]</w:t>
      </w:r>
      <w:r>
        <w:br/>
      </w:r>
      <w:r>
        <w:rPr>
          <w:rStyle w:val="NormalTok"/>
        </w:rPr>
        <w:t xml:space="preserve">display(pd.DataFrame([{</w:t>
      </w:r>
      <w:r>
        <w:rPr>
          <w:rStyle w:val="StringTok"/>
        </w:rPr>
        <w:t xml:space="preserve">'Datei'</w:t>
      </w:r>
      <w:r>
        <w:rPr>
          <w:rStyle w:val="NormalTok"/>
        </w:rPr>
        <w:t xml:space="preserve">:</w:t>
      </w:r>
      <w:r>
        <w:rPr>
          <w:rStyle w:val="BuiltInTok"/>
        </w:rPr>
        <w:t xml:space="preserve">str</w:t>
      </w:r>
      <w:r>
        <w:rPr>
          <w:rStyle w:val="NormalTok"/>
        </w:rPr>
        <w:t xml:space="preserve">(XLSX),</w:t>
      </w:r>
      <w:r>
        <w:rPr>
          <w:rStyle w:val="StringTok"/>
        </w:rPr>
        <w:t xml:space="preserve">'Flächenspalte'</w:t>
      </w:r>
      <w:r>
        <w:rPr>
          <w:rStyle w:val="NormalTok"/>
        </w:rPr>
        <w:t xml:space="preserve">:AREA_COLUMN,</w:t>
      </w:r>
      <w:r>
        <w:rPr>
          <w:rStyle w:val="StringTok"/>
        </w:rPr>
        <w:t xml:space="preserve">'Typen'</w:t>
      </w:r>
      <w:r>
        <w:rPr>
          <w:rStyle w:val="NormalTok"/>
        </w:rPr>
        <w:t xml:space="preserve">:</w:t>
      </w:r>
      <w:r>
        <w:rPr>
          <w:rStyle w:val="BuiltInTok"/>
        </w:rPr>
        <w:t xml:space="preserve">len</w:t>
      </w:r>
      <w:r>
        <w:rPr>
          <w:rStyle w:val="NormalTok"/>
        </w:rPr>
        <w:t xml:space="preserve">(data),</w:t>
      </w:r>
      <w:r>
        <w:br/>
      </w:r>
      <w:r>
        <w:rPr>
          <w:rStyle w:val="NormalTok"/>
        </w:rPr>
        <w:t xml:space="preserve"> </w:t>
      </w:r>
      <w:r>
        <w:rPr>
          <w:rStyle w:val="StringTok"/>
        </w:rPr>
        <w:t xml:space="preserve">'positive Typen'</w:t>
      </w:r>
      <w:r>
        <w:rPr>
          <w:rStyle w:val="NormalTok"/>
        </w:rPr>
        <w:t xml:space="preserve">:</w:t>
      </w:r>
      <w:r>
        <w:rPr>
          <w:rStyle w:val="BuiltInTok"/>
        </w:rPr>
        <w:t xml:space="preserve">int</w:t>
      </w:r>
      <w:r>
        <w:rPr>
          <w:rStyle w:val="NormalTok"/>
        </w:rPr>
        <w:t xml:space="preserve">(area.gt(</w:t>
      </w:r>
      <w:r>
        <w:rPr>
          <w:rStyle w:val="DecValTok"/>
        </w:rPr>
        <w:t xml:space="preserve">0</w:t>
      </w:r>
      <w:r>
        <w:rPr>
          <w:rStyle w:val="NormalTok"/>
        </w:rPr>
        <w:t xml:space="preserve">).</w:t>
      </w:r>
      <w:r>
        <w:rPr>
          <w:rStyle w:val="BuiltInTok"/>
        </w:rPr>
        <w:t xml:space="preserve">sum</w:t>
      </w:r>
      <w:r>
        <w:rPr>
          <w:rStyle w:val="NormalTok"/>
        </w:rPr>
        <w:t xml:space="preserve">()),</w:t>
      </w:r>
      <w:r>
        <w:rPr>
          <w:rStyle w:val="StringTok"/>
        </w:rPr>
        <w:t xml:space="preserve">'BGF [Mio. m²]'</w:t>
      </w:r>
      <w:r>
        <w:rPr>
          <w:rStyle w:val="NormalTok"/>
        </w:rPr>
        <w:t xml:space="preserve">:area.</w:t>
      </w:r>
      <w:r>
        <w:rPr>
          <w:rStyle w:val="BuiltInTok"/>
        </w:rPr>
        <w:t xml:space="preserve">sum</w:t>
      </w:r>
      <w:r>
        <w:rPr>
          <w:rStyle w:val="NormalTok"/>
        </w:rPr>
        <w:t xml:space="preserve">()</w:t>
      </w:r>
      <w:r>
        <w:rPr>
          <w:rStyle w:val="OperatorTok"/>
        </w:rPr>
        <w:t xml:space="preserve">/</w:t>
      </w:r>
      <w:r>
        <w:rPr>
          <w:rStyle w:val="FloatTok"/>
        </w:rPr>
        <w:t xml:space="preserve">1e6</w:t>
      </w:r>
      <w:r>
        <w:rPr>
          <w:rStyle w:val="NormalTok"/>
        </w:rPr>
        <w:t xml:space="preserve">,</w:t>
      </w:r>
      <w:r>
        <w:rPr>
          <w:rStyle w:val="StringTok"/>
        </w:rPr>
        <w:t xml:space="preserve">'SHA256'</w:t>
      </w:r>
      <w:r>
        <w:rPr>
          <w:rStyle w:val="NormalTok"/>
        </w:rPr>
        <w:t xml:space="preserve">:sha256(XLSX)}]))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metric</w:t>
            </w:r>
          </w:p>
        </w:tc>
        <w:tc>
          <w:tcPr/>
          <w:p>
            <w:pPr>
              <w:pStyle w:val="Compact"/>
            </w:pPr>
            <w:r>
              <w:t xml:space="preserve">value_pj</w:t>
            </w:r>
          </w:p>
        </w:tc>
        <w:tc>
          <w:tcPr/>
          <w:p>
            <w:pPr>
              <w:pStyle w:val="Compact"/>
            </w:pPr>
            <w:r>
              <w:t xml:space="preserve">source_id</w:t>
            </w:r>
          </w:p>
        </w:tc>
        <w:tc>
          <w:tcPr/>
          <w:p>
            <w:pPr>
              <w:pStyle w:val="Compact"/>
            </w:pPr>
            <w:r>
              <w:t xml:space="preserve">source_location</w:t>
            </w:r>
          </w:p>
        </w:tc>
      </w:tr>
      <w:tr>
        <w:tc>
          <w:tcPr/>
          <w:p>
            <w:pPr>
              <w:pStyle w:val="Compact"/>
            </w:pPr>
            <w:r>
              <w:t xml:space="preserve">18</w:t>
            </w:r>
          </w:p>
        </w:tc>
        <w:tc>
          <w:tcPr/>
          <w:p>
            <w:pPr>
              <w:pStyle w:val="Compact"/>
            </w:pPr>
            <w:r>
              <w:t xml:space="preserve">fossil</w:t>
            </w:r>
          </w:p>
        </w:tc>
        <w:tc>
          <w:tcPr/>
          <w:p>
            <w:pPr>
              <w:pStyle w:val="Compact"/>
            </w:pPr>
            <w:r>
              <w:t xml:space="preserve">1</w:t>
            </w:r>
          </w:p>
        </w:tc>
        <w:tc>
          <w:tcPr/>
          <w:p>
            <w:pPr>
              <w:pStyle w:val="Compact"/>
            </w:pPr>
            <w:r>
              <w:t xml:space="preserve">TRANSITION</w:t>
            </w:r>
          </w:p>
        </w:tc>
        <w:tc>
          <w:tcPr/>
          <w:p>
            <w:pPr>
              <w:pStyle w:val="Compact"/>
            </w:pPr>
            <w:r>
              <w:t xml:space="preserve">Tabelle 16, S. 63</w:t>
            </w:r>
          </w:p>
        </w:tc>
      </w:tr>
      <w:tr>
        <w:tc>
          <w:tcPr/>
          <w:p>
            <w:pPr>
              <w:pStyle w:val="Compact"/>
            </w:pPr>
            <w:r>
              <w:t xml:space="preserve">19</w:t>
            </w:r>
          </w:p>
        </w:tc>
        <w:tc>
          <w:tcPr/>
          <w:p>
            <w:pPr>
              <w:pStyle w:val="Compact"/>
            </w:pPr>
            <w:r>
              <w:t xml:space="preserve">hydro</w:t>
            </w:r>
          </w:p>
        </w:tc>
        <w:tc>
          <w:tcPr/>
          <w:p>
            <w:pPr>
              <w:pStyle w:val="Compact"/>
            </w:pPr>
            <w:r>
              <w:t xml:space="preserve">173</w:t>
            </w:r>
          </w:p>
        </w:tc>
        <w:tc>
          <w:tcPr/>
          <w:p>
            <w:pPr>
              <w:pStyle w:val="Compact"/>
            </w:pPr>
            <w:r>
              <w:t xml:space="preserve">TRANSITION</w:t>
            </w:r>
          </w:p>
        </w:tc>
        <w:tc>
          <w:tcPr/>
          <w:p>
            <w:pPr>
              <w:pStyle w:val="Compact"/>
            </w:pPr>
            <w:r>
              <w:t xml:space="preserve">Tabelle 16, S. 63</w:t>
            </w:r>
          </w:p>
        </w:tc>
      </w:tr>
      <w:tr>
        <w:tc>
          <w:tcPr/>
          <w:p>
            <w:pPr>
              <w:pStyle w:val="Compact"/>
            </w:pPr>
            <w:r>
              <w:t xml:space="preserve">20</w:t>
            </w:r>
          </w:p>
        </w:tc>
        <w:tc>
          <w:tcPr/>
          <w:p>
            <w:pPr>
              <w:pStyle w:val="Compact"/>
            </w:pPr>
            <w:r>
              <w:t xml:space="preserve">biomass</w:t>
            </w:r>
          </w:p>
        </w:tc>
        <w:tc>
          <w:tcPr/>
          <w:p>
            <w:pPr>
              <w:pStyle w:val="Compact"/>
            </w:pPr>
            <w:r>
              <w:t xml:space="preserve">21</w:t>
            </w:r>
          </w:p>
        </w:tc>
        <w:tc>
          <w:tcPr/>
          <w:p>
            <w:pPr>
              <w:pStyle w:val="Compact"/>
            </w:pPr>
            <w:r>
              <w:t xml:space="preserve">TRANSITION</w:t>
            </w:r>
          </w:p>
        </w:tc>
        <w:tc>
          <w:tcPr/>
          <w:p>
            <w:pPr>
              <w:pStyle w:val="Compact"/>
            </w:pPr>
            <w:r>
              <w:t xml:space="preserve">Tabelle 16, S. 63</w:t>
            </w:r>
          </w:p>
        </w:tc>
      </w:tr>
      <w:tr>
        <w:tc>
          <w:tcPr/>
          <w:p>
            <w:pPr>
              <w:pStyle w:val="Compact"/>
            </w:pPr>
            <w:r>
              <w:t xml:space="preserve">21</w:t>
            </w:r>
          </w:p>
        </w:tc>
        <w:tc>
          <w:tcPr/>
          <w:p>
            <w:pPr>
              <w:pStyle w:val="Compact"/>
            </w:pPr>
            <w:r>
              <w:t xml:space="preserve">geothermal</w:t>
            </w:r>
          </w:p>
        </w:tc>
        <w:tc>
          <w:tcPr/>
          <w:p>
            <w:pPr>
              <w:pStyle w:val="Compact"/>
            </w:pPr>
            <w:r>
              <w:t xml:space="preserve">4</w:t>
            </w:r>
          </w:p>
        </w:tc>
        <w:tc>
          <w:tcPr/>
          <w:p>
            <w:pPr>
              <w:pStyle w:val="Compact"/>
            </w:pPr>
            <w:r>
              <w:t xml:space="preserve">TRANSITION</w:t>
            </w:r>
          </w:p>
        </w:tc>
        <w:tc>
          <w:tcPr/>
          <w:p>
            <w:pPr>
              <w:pStyle w:val="Compact"/>
            </w:pPr>
            <w:r>
              <w:t xml:space="preserve">Tabelle 16, S. 63</w:t>
            </w:r>
          </w:p>
        </w:tc>
      </w:tr>
      <w:tr>
        <w:tc>
          <w:tcPr/>
          <w:p>
            <w:pPr>
              <w:pStyle w:val="Compact"/>
            </w:pPr>
            <w:r>
              <w:t xml:space="preserve">22</w:t>
            </w:r>
          </w:p>
        </w:tc>
        <w:tc>
          <w:tcPr/>
          <w:p>
            <w:pPr>
              <w:pStyle w:val="Compact"/>
            </w:pPr>
            <w:r>
              <w:t xml:space="preserve">pv</w:t>
            </w:r>
          </w:p>
        </w:tc>
        <w:tc>
          <w:tcPr/>
          <w:p>
            <w:pPr>
              <w:pStyle w:val="Compact"/>
            </w:pPr>
            <w:r>
              <w:t xml:space="preserve">149</w:t>
            </w:r>
          </w:p>
        </w:tc>
        <w:tc>
          <w:tcPr/>
          <w:p>
            <w:pPr>
              <w:pStyle w:val="Compact"/>
            </w:pPr>
            <w:r>
              <w:t xml:space="preserve">TRANSITION</w:t>
            </w:r>
          </w:p>
        </w:tc>
        <w:tc>
          <w:tcPr/>
          <w:p>
            <w:pPr>
              <w:pStyle w:val="Compact"/>
            </w:pPr>
            <w:r>
              <w:t xml:space="preserve">Tabelle 16, S. 63</w:t>
            </w:r>
          </w:p>
        </w:tc>
      </w:tr>
      <w:tr>
        <w:tc>
          <w:tcPr/>
          <w:p>
            <w:pPr>
              <w:pStyle w:val="Compact"/>
            </w:pPr>
            <w:r>
              <w:t xml:space="preserve">23</w:t>
            </w:r>
          </w:p>
        </w:tc>
        <w:tc>
          <w:tcPr/>
          <w:p>
            <w:pPr>
              <w:pStyle w:val="Compact"/>
            </w:pPr>
            <w:r>
              <w:t xml:space="preserve">wind</w:t>
            </w:r>
          </w:p>
        </w:tc>
        <w:tc>
          <w:tcPr/>
          <w:p>
            <w:pPr>
              <w:pStyle w:val="Compact"/>
            </w:pPr>
            <w:r>
              <w:t xml:space="preserve">105</w:t>
            </w:r>
          </w:p>
        </w:tc>
        <w:tc>
          <w:tcPr/>
          <w:p>
            <w:pPr>
              <w:pStyle w:val="Compact"/>
            </w:pPr>
            <w:r>
              <w:t xml:space="preserve">TRANSITION</w:t>
            </w:r>
          </w:p>
        </w:tc>
        <w:tc>
          <w:tcPr/>
          <w:p>
            <w:pPr>
              <w:pStyle w:val="Compact"/>
            </w:pPr>
            <w:r>
              <w:t xml:space="preserve">Tabelle 16, S. 63</w:t>
            </w:r>
          </w:p>
        </w:tc>
      </w:tr>
      <w:tr>
        <w:tc>
          <w:tcPr/>
          <w:p>
            <w:pPr>
              <w:pStyle w:val="Compact"/>
            </w:pPr>
            <w:r>
              <w:t xml:space="preserve">24</w:t>
            </w:r>
          </w:p>
        </w:tc>
        <w:tc>
          <w:tcPr/>
          <w:p>
            <w:pPr>
              <w:pStyle w:val="Compact"/>
            </w:pPr>
            <w:r>
              <w:t xml:space="preserve">hydrogen_electricity</w:t>
            </w:r>
          </w:p>
        </w:tc>
        <w:tc>
          <w:tcPr/>
          <w:p>
            <w:pPr>
              <w:pStyle w:val="Compact"/>
            </w:pPr>
            <w:r>
              <w:t xml:space="preserve">4</w:t>
            </w:r>
          </w:p>
        </w:tc>
        <w:tc>
          <w:tcPr/>
          <w:p>
            <w:pPr>
              <w:pStyle w:val="Compact"/>
            </w:pPr>
            <w:r>
              <w:t xml:space="preserve">TRANSITION</w:t>
            </w:r>
          </w:p>
        </w:tc>
        <w:tc>
          <w:tcPr/>
          <w:p>
            <w:pPr>
              <w:pStyle w:val="Compact"/>
            </w:pPr>
            <w:r>
              <w:t xml:space="preserve">Tabelle 16, S. 63</w:t>
            </w:r>
          </w:p>
        </w:tc>
      </w:tr>
      <w:tr>
        <w:tc>
          <w:tcPr/>
          <w:p>
            <w:pPr>
              <w:pStyle w:val="Compact"/>
            </w:pPr>
            <w:r>
              <w:t xml:space="preserve">25</w:t>
            </w:r>
          </w:p>
        </w:tc>
        <w:tc>
          <w:tcPr/>
          <w:p>
            <w:pPr>
              <w:pStyle w:val="Compact"/>
            </w:pPr>
            <w:r>
              <w:t xml:space="preserve">generation_published_total</w:t>
            </w:r>
          </w:p>
        </w:tc>
        <w:tc>
          <w:tcPr/>
          <w:p>
            <w:pPr>
              <w:pStyle w:val="Compact"/>
            </w:pPr>
            <w:r>
              <w:t xml:space="preserve">457</w:t>
            </w:r>
          </w:p>
        </w:tc>
        <w:tc>
          <w:tcPr/>
          <w:p>
            <w:pPr>
              <w:pStyle w:val="Compact"/>
            </w:pPr>
            <w:r>
              <w:t xml:space="preserve">TRANSITION</w:t>
            </w:r>
          </w:p>
        </w:tc>
        <w:tc>
          <w:tcPr/>
          <w:p>
            <w:pPr>
              <w:pStyle w:val="Compact"/>
            </w:pPr>
            <w:r>
              <w:t xml:space="preserve">Tabelle 16, S. 63</w:t>
            </w:r>
          </w:p>
        </w:tc>
      </w:tr>
      <w:tr>
        <w:tc>
          <w:tcPr/>
          <w:p>
            <w:pPr>
              <w:pStyle w:val="Compact"/>
            </w:pPr>
            <w:r>
              <w:t xml:space="preserve">26</w:t>
            </w:r>
          </w:p>
        </w:tc>
        <w:tc>
          <w:tcPr/>
          <w:p>
            <w:pPr>
              <w:pStyle w:val="Compact"/>
            </w:pPr>
            <w:r>
              <w:t xml:space="preserve">net_imports</w:t>
            </w:r>
          </w:p>
        </w:tc>
        <w:tc>
          <w:tcPr/>
          <w:p>
            <w:pPr>
              <w:pStyle w:val="Compact"/>
            </w:pPr>
            <w:r>
              <w:t xml:space="preserve">-7</w:t>
            </w:r>
          </w:p>
        </w:tc>
        <w:tc>
          <w:tcPr/>
          <w:p>
            <w:pPr>
              <w:pStyle w:val="Compact"/>
            </w:pPr>
            <w:r>
              <w:t xml:space="preserve">TRANSITION</w:t>
            </w:r>
          </w:p>
        </w:tc>
        <w:tc>
          <w:tcPr/>
          <w:p>
            <w:pPr>
              <w:pStyle w:val="Compact"/>
            </w:pPr>
            <w:r>
              <w:t xml:space="preserve">Tabelle 16, S. 63</w:t>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metric</w:t>
            </w:r>
          </w:p>
        </w:tc>
        <w:tc>
          <w:tcPr/>
          <w:p>
            <w:pPr>
              <w:pStyle w:val="Compact"/>
            </w:pPr>
            <w:r>
              <w:t xml:space="preserve">value_pj</w:t>
            </w:r>
          </w:p>
        </w:tc>
        <w:tc>
          <w:tcPr/>
          <w:p>
            <w:pPr>
              <w:pStyle w:val="Compact"/>
            </w:pPr>
            <w:r>
              <w:t xml:space="preserve">source_id</w:t>
            </w:r>
          </w:p>
        </w:tc>
        <w:tc>
          <w:tcPr/>
          <w:p>
            <w:pPr>
              <w:pStyle w:val="Compact"/>
            </w:pPr>
            <w:r>
              <w:t xml:space="preserve">source_location</w:t>
            </w:r>
          </w:p>
        </w:tc>
      </w:tr>
      <w:tr>
        <w:tc>
          <w:tcPr/>
          <w:p>
            <w:pPr>
              <w:pStyle w:val="Compact"/>
            </w:pPr>
            <w:r>
              <w:t xml:space="preserve">16</w:t>
            </w:r>
          </w:p>
        </w:tc>
        <w:tc>
          <w:tcPr/>
          <w:p>
            <w:pPr>
              <w:pStyle w:val="Compact"/>
            </w:pPr>
            <w:r>
              <w:t xml:space="preserve">verkehr</w:t>
            </w:r>
          </w:p>
        </w:tc>
        <w:tc>
          <w:tcPr/>
          <w:p>
            <w:pPr>
              <w:pStyle w:val="Compact"/>
            </w:pPr>
            <w:r>
              <w:t xml:space="preserve">90</w:t>
            </w:r>
          </w:p>
        </w:tc>
        <w:tc>
          <w:tcPr/>
          <w:p>
            <w:pPr>
              <w:pStyle w:val="Compact"/>
            </w:pPr>
            <w:r>
              <w:t xml:space="preserve">TRANSITION</w:t>
            </w:r>
          </w:p>
        </w:tc>
        <w:tc>
          <w:tcPr/>
          <w:p>
            <w:pPr>
              <w:pStyle w:val="Compact"/>
            </w:pPr>
            <w:r>
              <w:t xml:space="preserve">Tabelle 15, S. 60</w:t>
            </w:r>
          </w:p>
        </w:tc>
      </w:tr>
      <w:tr>
        <w:tc>
          <w:tcPr/>
          <w:p>
            <w:pPr>
              <w:pStyle w:val="Compact"/>
            </w:pPr>
            <w:r>
              <w:t xml:space="preserve">17</w:t>
            </w:r>
          </w:p>
        </w:tc>
        <w:tc>
          <w:tcPr/>
          <w:p>
            <w:pPr>
              <w:pStyle w:val="Compact"/>
            </w:pPr>
            <w:r>
              <w:t xml:space="preserve">gebaeude</w:t>
            </w:r>
          </w:p>
        </w:tc>
        <w:tc>
          <w:tcPr/>
          <w:p>
            <w:pPr>
              <w:pStyle w:val="Compact"/>
            </w:pPr>
            <w:r>
              <w:t xml:space="preserve">108</w:t>
            </w:r>
          </w:p>
        </w:tc>
        <w:tc>
          <w:tcPr/>
          <w:p>
            <w:pPr>
              <w:pStyle w:val="Compact"/>
            </w:pPr>
            <w:r>
              <w:t xml:space="preserve">TRANSITION</w:t>
            </w:r>
          </w:p>
        </w:tc>
        <w:tc>
          <w:tcPr/>
          <w:p>
            <w:pPr>
              <w:pStyle w:val="Compact"/>
            </w:pPr>
            <w:r>
              <w:t xml:space="preserve">Tabelle 15, S. 60</w:t>
            </w:r>
          </w:p>
        </w:tc>
      </w:tr>
      <w:tr>
        <w:tc>
          <w:tcPr/>
          <w:p>
            <w:pPr>
              <w:pStyle w:val="Compact"/>
            </w:pPr>
            <w:r>
              <w:t xml:space="preserve">18</w:t>
            </w:r>
          </w:p>
        </w:tc>
        <w:tc>
          <w:tcPr/>
          <w:p>
            <w:pPr>
              <w:pStyle w:val="Compact"/>
            </w:pPr>
            <w:r>
              <w:t xml:space="preserve">landwirtschaft</w:t>
            </w:r>
          </w:p>
        </w:tc>
        <w:tc>
          <w:tcPr/>
          <w:p>
            <w:pPr>
              <w:pStyle w:val="Compact"/>
            </w:pPr>
            <w:r>
              <w:t xml:space="preserve">4</w:t>
            </w:r>
          </w:p>
        </w:tc>
        <w:tc>
          <w:tcPr/>
          <w:p>
            <w:pPr>
              <w:pStyle w:val="Compact"/>
            </w:pPr>
            <w:r>
              <w:t xml:space="preserve">TRANSITION</w:t>
            </w:r>
          </w:p>
        </w:tc>
        <w:tc>
          <w:tcPr/>
          <w:p>
            <w:pPr>
              <w:pStyle w:val="Compact"/>
            </w:pPr>
            <w:r>
              <w:t xml:space="preserve">Tabelle 15, S. 60</w:t>
            </w:r>
          </w:p>
        </w:tc>
      </w:tr>
      <w:tr>
        <w:tc>
          <w:tcPr/>
          <w:p>
            <w:pPr>
              <w:pStyle w:val="Compact"/>
            </w:pPr>
            <w:r>
              <w:t xml:space="preserve">19</w:t>
            </w:r>
          </w:p>
        </w:tc>
        <w:tc>
          <w:tcPr/>
          <w:p>
            <w:pPr>
              <w:pStyle w:val="Compact"/>
            </w:pPr>
            <w:r>
              <w:t xml:space="preserve">industrie</w:t>
            </w:r>
          </w:p>
        </w:tc>
        <w:tc>
          <w:tcPr/>
          <w:p>
            <w:pPr>
              <w:pStyle w:val="Compact"/>
            </w:pPr>
            <w:r>
              <w:t xml:space="preserve">140</w:t>
            </w:r>
          </w:p>
        </w:tc>
        <w:tc>
          <w:tcPr/>
          <w:p>
            <w:pPr>
              <w:pStyle w:val="Compact"/>
            </w:pPr>
            <w:r>
              <w:t xml:space="preserve">TRANSITION</w:t>
            </w:r>
          </w:p>
        </w:tc>
        <w:tc>
          <w:tcPr/>
          <w:p>
            <w:pPr>
              <w:pStyle w:val="Compact"/>
            </w:pPr>
            <w:r>
              <w:t xml:space="preserve">Tabelle 15, S. 60</w:t>
            </w:r>
          </w:p>
        </w:tc>
      </w:tr>
      <w:tr>
        <w:tc>
          <w:tcPr/>
          <w:p>
            <w:pPr>
              <w:pStyle w:val="Compact"/>
            </w:pPr>
            <w:r>
              <w:t xml:space="preserve">20</w:t>
            </w:r>
          </w:p>
        </w:tc>
        <w:tc>
          <w:tcPr/>
          <w:p>
            <w:pPr>
              <w:pStyle w:val="Compact"/>
            </w:pPr>
            <w:r>
              <w:t xml:space="preserve">verbrauch_sektor_energie</w:t>
            </w:r>
          </w:p>
        </w:tc>
        <w:tc>
          <w:tcPr/>
          <w:p>
            <w:pPr>
              <w:pStyle w:val="Compact"/>
            </w:pPr>
            <w:r>
              <w:t xml:space="preserve">34</w:t>
            </w:r>
          </w:p>
        </w:tc>
        <w:tc>
          <w:tcPr/>
          <w:p>
            <w:pPr>
              <w:pStyle w:val="Compact"/>
            </w:pPr>
            <w:r>
              <w:t xml:space="preserve">TRANSITION</w:t>
            </w:r>
          </w:p>
        </w:tc>
        <w:tc>
          <w:tcPr/>
          <w:p>
            <w:pPr>
              <w:pStyle w:val="Compact"/>
            </w:pPr>
            <w:r>
              <w:t xml:space="preserve">Tabelle 15, S. 60</w:t>
            </w:r>
          </w:p>
        </w:tc>
      </w:tr>
      <w:tr>
        <w:tc>
          <w:tcPr/>
          <w:p>
            <w:pPr>
              <w:pStyle w:val="Compact"/>
            </w:pPr>
            <w:r>
              <w:t xml:space="preserve">21</w:t>
            </w:r>
          </w:p>
        </w:tc>
        <w:tc>
          <w:tcPr/>
          <w:p>
            <w:pPr>
              <w:pStyle w:val="Compact"/>
            </w:pPr>
            <w:r>
              <w:t xml:space="preserve">transportverluste</w:t>
            </w:r>
          </w:p>
        </w:tc>
        <w:tc>
          <w:tcPr/>
          <w:p>
            <w:pPr>
              <w:pStyle w:val="Compact"/>
            </w:pPr>
            <w:r>
              <w:t xml:space="preserve">19</w:t>
            </w:r>
          </w:p>
        </w:tc>
        <w:tc>
          <w:tcPr/>
          <w:p>
            <w:pPr>
              <w:pStyle w:val="Compact"/>
            </w:pPr>
            <w:r>
              <w:t xml:space="preserve">TRANSITION</w:t>
            </w:r>
          </w:p>
        </w:tc>
        <w:tc>
          <w:tcPr/>
          <w:p>
            <w:pPr>
              <w:pStyle w:val="Compact"/>
            </w:pPr>
            <w:r>
              <w:t xml:space="preserve">Tabelle 15, S. 60</w:t>
            </w:r>
          </w:p>
        </w:tc>
      </w:tr>
      <w:tr>
        <w:tc>
          <w:tcPr/>
          <w:p>
            <w:pPr>
              <w:pStyle w:val="Compact"/>
            </w:pPr>
            <w:r>
              <w:t xml:space="preserve">22</w:t>
            </w:r>
          </w:p>
        </w:tc>
        <w:tc>
          <w:tcPr/>
          <w:p>
            <w:pPr>
              <w:pStyle w:val="Compact"/>
            </w:pPr>
            <w:r>
              <w:t xml:space="preserve">umwandlungseinsatz</w:t>
            </w:r>
          </w:p>
        </w:tc>
        <w:tc>
          <w:tcPr/>
          <w:p>
            <w:pPr>
              <w:pStyle w:val="Compact"/>
            </w:pPr>
            <w:r>
              <w:t xml:space="preserve">57</w:t>
            </w:r>
          </w:p>
        </w:tc>
        <w:tc>
          <w:tcPr/>
          <w:p>
            <w:pPr>
              <w:pStyle w:val="Compact"/>
            </w:pPr>
            <w:r>
              <w:t xml:space="preserve">TRANSITION</w:t>
            </w:r>
          </w:p>
        </w:tc>
        <w:tc>
          <w:tcPr/>
          <w:p>
            <w:pPr>
              <w:pStyle w:val="Compact"/>
            </w:pPr>
            <w:r>
              <w:t xml:space="preserve">Tabelle 15, S. 60</w:t>
            </w:r>
          </w:p>
        </w:tc>
      </w:tr>
      <w:tr>
        <w:tc>
          <w:tcPr/>
          <w:p>
            <w:pPr>
              <w:pStyle w:val="Compact"/>
            </w:pPr>
            <w:r>
              <w:t xml:space="preserve">23</w:t>
            </w:r>
          </w:p>
        </w:tc>
        <w:tc>
          <w:tcPr/>
          <w:p>
            <w:pPr>
              <w:pStyle w:val="Compact"/>
            </w:pPr>
            <w:r>
              <w:t xml:space="preserve">electricity_demand_published_total</w:t>
            </w:r>
          </w:p>
        </w:tc>
        <w:tc>
          <w:tcPr/>
          <w:p>
            <w:pPr>
              <w:pStyle w:val="Compact"/>
            </w:pPr>
            <w:r>
              <w:t xml:space="preserve">450</w:t>
            </w:r>
          </w:p>
        </w:tc>
        <w:tc>
          <w:tcPr/>
          <w:p>
            <w:pPr>
              <w:pStyle w:val="Compact"/>
            </w:pPr>
            <w:r>
              <w:t xml:space="preserve">TRANSITION</w:t>
            </w:r>
          </w:p>
        </w:tc>
        <w:tc>
          <w:tcPr/>
          <w:p>
            <w:pPr>
              <w:pStyle w:val="Compact"/>
            </w:pPr>
            <w:r>
              <w:t xml:space="preserve">Tabelle 15, S. 60</w:t>
            </w:r>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Datei</w:t>
            </w:r>
          </w:p>
        </w:tc>
        <w:tc>
          <w:tcPr/>
          <w:p>
            <w:pPr>
              <w:pStyle w:val="Compact"/>
            </w:pPr>
            <w:r>
              <w:t xml:space="preserve">Flächenspalte</w:t>
            </w:r>
          </w:p>
        </w:tc>
        <w:tc>
          <w:tcPr/>
          <w:p>
            <w:pPr>
              <w:pStyle w:val="Compact"/>
            </w:pPr>
            <w:r>
              <w:t xml:space="preserve">Typen</w:t>
            </w:r>
          </w:p>
        </w:tc>
        <w:tc>
          <w:tcPr/>
          <w:p>
            <w:pPr>
              <w:pStyle w:val="Compact"/>
            </w:pPr>
            <w:r>
              <w:t xml:space="preserve">positive Typen</w:t>
            </w:r>
          </w:p>
        </w:tc>
        <w:tc>
          <w:tcPr/>
          <w:p>
            <w:pPr>
              <w:pStyle w:val="Compact"/>
            </w:pPr>
            <w:r>
              <w:t xml:space="preserve">BGF [Mio. m²]</w:t>
            </w:r>
          </w:p>
        </w:tc>
        <w:tc>
          <w:tcPr/>
          <w:p>
            <w:pPr>
              <w:pStyle w:val="Compact"/>
            </w:pPr>
            <w:r>
              <w:t xml:space="preserve">SHA256</w:t>
            </w:r>
          </w:p>
        </w:tc>
      </w:tr>
      <w:tr>
        <w:tc>
          <w:tcPr/>
          <w:p>
            <w:pPr>
              <w:pStyle w:val="Compact"/>
            </w:pPr>
            <w:r>
              <w:t xml:space="preserve">0</w:t>
            </w:r>
          </w:p>
        </w:tc>
        <w:tc>
          <w:tcPr/>
          <w:p>
            <w:pPr>
              <w:pStyle w:val="Compact"/>
            </w:pPr>
            <w:r>
              <w:t xml:space="preserve">C:\Users\schneids\code\peq-higrube\peq-higrube...</w:t>
            </w:r>
          </w:p>
        </w:tc>
        <w:tc>
          <w:tcPr/>
          <w:p>
            <w:pPr>
              <w:pStyle w:val="Compact"/>
            </w:pPr>
            <w:r>
              <w:t xml:space="preserve">Nationale BGF 2040</w:t>
            </w:r>
          </w:p>
        </w:tc>
        <w:tc>
          <w:tcPr/>
          <w:p>
            <w:pPr>
              <w:pStyle w:val="Compact"/>
            </w:pPr>
            <w:r>
              <w:t xml:space="preserve">900</w:t>
            </w:r>
          </w:p>
        </w:tc>
        <w:tc>
          <w:tcPr/>
          <w:p>
            <w:pPr>
              <w:pStyle w:val="Compact"/>
            </w:pPr>
            <w:r>
              <w:t xml:space="preserve">603</w:t>
            </w:r>
          </w:p>
        </w:tc>
        <w:tc>
          <w:tcPr/>
          <w:p>
            <w:pPr>
              <w:pStyle w:val="Compact"/>
            </w:pPr>
            <w:r>
              <w:t xml:space="preserve">1126.578658</w:t>
            </w:r>
          </w:p>
        </w:tc>
        <w:tc>
          <w:tcPr/>
          <w:p>
            <w:pPr>
              <w:pStyle w:val="Compact"/>
            </w:pPr>
            <w:r>
              <w:t xml:space="preserve">b032c1bd7148b0bdac8541196a1eaa7fc58f538f87912e...</w:t>
            </w:r>
          </w:p>
        </w:tc>
      </w:tr>
    </w:tbl>
    <w:bookmarkEnd w:id="544"/>
    <w:bookmarkStart w:id="545" w:name="dichtezuordnung-und-erwartungswert"/>
    <w:p>
      <w:pPr>
        <w:pStyle w:val="Heading2"/>
      </w:pPr>
      <w:r>
        <w:t xml:space="preserve">G.2 Dichtezuordnung und Erwartungswert</w:t>
      </w:r>
    </w:p>
    <w:p>
      <w:pPr>
        <w:pStyle w:val="FirstParagraph"/>
      </w:pPr>
      <w:r>
        <w:t xml:space="preserve">Ein einziges Ziel erhält 100 %. Bei zwei Zielen müssen beide Anteile vorhanden sein</w:t>
      </w:r>
      <w:r>
        <w:t xml:space="preserve"> </w:t>
      </w:r>
      <w:r>
        <w:t xml:space="preserve">und zusammen 100 % ergeben. Identische zusammengefasste Statistiknutzungen werden</w:t>
      </w:r>
      <w:r>
        <w:t xml:space="preserve"> </w:t>
      </w:r>
      <w:r>
        <w:t xml:space="preserve">nicht doppelt gezählt. Die GFZ-Verteilung 2021 bleibt ein vorläufiges räumliches Muster.</w:t>
      </w:r>
    </w:p>
    <w:p>
      <w:pPr>
        <w:pStyle w:val="BodyText"/>
      </w:pPr>
      <m:oMathPara>
        <m:oMathParaPr>
          <m:jc m:val="center"/>
        </m:oMathParaPr>
        <m:oMath>
          <m:r>
            <m:t>E</m:t>
          </m:r>
          <m:r>
            <m:rPr>
              <m:sty m:val="p"/>
            </m:rPr>
            <m:t>[</m:t>
          </m:r>
          <m:sSub>
            <m:e>
              <m:r>
                <m:t>c</m:t>
              </m:r>
            </m:e>
            <m:sub>
              <m:r>
                <m:t>D</m:t>
              </m:r>
            </m:sub>
          </m:sSub>
          <m:r>
            <m:rPr>
              <m:sty m:val="p"/>
            </m:rPr>
            <m:t>∣</m:t>
          </m:r>
          <m:r>
            <m:t>k</m:t>
          </m:r>
          <m:r>
            <m:rPr>
              <m:sty m:val="p"/>
            </m:rPr>
            <m:t>]</m:t>
          </m:r>
          <m:r>
            <m:rPr>
              <m:sty m:val="p"/>
            </m:rPr>
            <m:t>=</m:t>
          </m:r>
          <m:nary>
            <m:naryPr>
              <m:chr m:val="∑"/>
              <m:limLoc m:val="undOvr"/>
              <m:subHide m:val="off"/>
              <m:supHide m:val="on"/>
            </m:naryPr>
            <m:sub>
              <m:r>
                <m:t>j</m:t>
              </m:r>
            </m:sub>
            <m:sup>
              <m:r>
                <m:t>​</m:t>
              </m:r>
            </m:sup>
            <m:e>
              <m:sSub>
                <m:e>
                  <m:r>
                    <m:t>s</m:t>
                  </m:r>
                </m:e>
                <m:sub>
                  <m:r>
                    <m:t>k</m:t>
                  </m:r>
                  <m:r>
                    <m:t>j</m:t>
                  </m:r>
                </m:sub>
              </m:sSub>
            </m:e>
          </m:nary>
          <m:r>
            <m:t> </m:t>
          </m:r>
          <m:d>
            <m:dPr>
              <m:begChr m:val="["/>
              <m:sepChr m:val=""/>
              <m:endChr m:val="]"/>
              <m:grow/>
            </m:dPr>
            <m:e>
              <m:r>
                <m:rPr>
                  <m:sty m:val="p"/>
                </m:rPr>
                <m:t>−</m:t>
              </m:r>
              <m:r>
                <m:rPr>
                  <m:sty m:val="p"/>
                </m:rPr>
                <m:t>min</m:t>
              </m:r>
              <m:d>
                <m:dPr>
                  <m:begChr m:val="("/>
                  <m:sepChr m:val=""/>
                  <m:endChr m:val=")"/>
                  <m:grow/>
                </m:dPr>
                <m:e>
                  <m:f>
                    <m:fPr>
                      <m:type m:val="bar"/>
                    </m:fPr>
                    <m:num>
                      <m:sSub>
                        <m:e>
                          <m:r>
                            <m:t>f</m:t>
                          </m:r>
                        </m:e>
                        <m:sub>
                          <m:r>
                            <m:t>R</m:t>
                          </m:r>
                          <m:r>
                            <m:t>E</m:t>
                          </m:r>
                          <m:r>
                            <m:t>S</m:t>
                          </m:r>
                        </m:sub>
                      </m:sSub>
                    </m:num>
                    <m:den>
                      <m:r>
                        <m:t>G</m:t>
                      </m:r>
                      <m:r>
                        <m:t>F</m:t>
                      </m:r>
                      <m:sSub>
                        <m:e>
                          <m:r>
                            <m:t>Z</m:t>
                          </m:r>
                        </m:e>
                        <m:sub>
                          <m:r>
                            <m:t>j</m:t>
                          </m:r>
                        </m:sub>
                      </m:sSub>
                      <m:r>
                        <m:rPr>
                          <m:sty m:val="p"/>
                        </m:rPr>
                        <m:t>+</m:t>
                      </m:r>
                      <m:r>
                        <m:t>d</m:t>
                      </m:r>
                      <m:r>
                        <m:t>x</m:t>
                      </m:r>
                    </m:den>
                  </m:f>
                  <m:r>
                    <m:rPr>
                      <m:sty m:val="p"/>
                    </m:rPr>
                    <m:t>−</m:t>
                  </m:r>
                  <m:sSub>
                    <m:e>
                      <m:r>
                        <m:t>f</m:t>
                      </m:r>
                    </m:e>
                    <m:sub>
                      <m:r>
                        <m:t>E</m:t>
                      </m:r>
                      <m:r>
                        <m:t>D</m:t>
                      </m:r>
                    </m:sub>
                  </m:sSub>
                  <m:r>
                    <m:rPr>
                      <m:sty m:val="p"/>
                    </m:rPr>
                    <m:t>,</m:t>
                  </m:r>
                  <m:sSub>
                    <m:e>
                      <m:r>
                        <m:t>c</m:t>
                      </m:r>
                    </m:e>
                    <m:sub>
                      <m:r>
                        <m:t>m</m:t>
                      </m:r>
                      <m:r>
                        <m:t>a</m:t>
                      </m:r>
                      <m:r>
                        <m:t>x</m:t>
                      </m:r>
                    </m:sub>
                  </m:sSub>
                </m:e>
              </m:d>
            </m:e>
          </m:d>
          <m:r>
            <m:rPr>
              <m:sty m:val="p"/>
            </m:rPr>
            <m:t>.</m:t>
          </m:r>
        </m:oMath>
      </m:oMathPara>
    </w:p>
    <w:p>
      <w:pPr>
        <w:pStyle w:val="FirstParagraph"/>
      </w:pPr>
      <m:oMath>
        <m:sSub>
          <m:e>
            <m:r>
              <m:t>s</m:t>
            </m:r>
          </m:e>
          <m:sub>
            <m:r>
              <m:t>k</m:t>
            </m:r>
            <m:r>
              <m:t>j</m:t>
            </m:r>
          </m:sub>
        </m:sSub>
      </m:oMath>
      <w:r>
        <w:t xml:space="preserve"> </w:t>
      </w:r>
      <w:r>
        <w:t xml:space="preserve">ist der bedingte BGF-Anteil im GFZ-Bin,</w:t>
      </w:r>
      <w:r>
        <w:t xml:space="preserve"> </w:t>
      </w:r>
      <m:oMath>
        <m:r>
          <m:t>k</m:t>
        </m:r>
      </m:oMath>
      <w:r>
        <w:t xml:space="preserve"> </w:t>
      </w:r>
      <w:r>
        <w:t xml:space="preserve">die Geometrieklasse.</w:t>
      </w:r>
      <w:r>
        <w:t xml:space="preserve"> </w:t>
      </w:r>
      <w:r>
        <w:t xml:space="preserve">Die historische Kurve (Schneider et al. 2023, Tabelle 5/Gleichung 7) wird wie im</w:t>
      </w:r>
      <w:r>
        <w:t xml:space="preserve"> </w:t>
      </w:r>
      <w:r>
        <w:t xml:space="preserve">wissenschaftlichen Anhang vorläufig als EE-Strom interpretiert. Sie ist ein</w:t>
      </w:r>
      <w:r>
        <w:t xml:space="preserve"> </w:t>
      </w:r>
      <w:r>
        <w:rPr>
          <w:b/>
          <w:bCs/>
        </w:rPr>
        <w:t xml:space="preserve">virtueller Bewertungswert</w:t>
      </w:r>
      <w:r>
        <w:t xml:space="preserve">, keine Stromerzeugung und keine bestätigte neue Kalibrierung.</w:t>
      </w:r>
    </w:p>
    <w:p>
      <w:pPr>
        <w:pStyle w:val="SourceCode"/>
      </w:pPr>
      <w:r>
        <w:rPr>
          <w:rStyle w:val="NormalTok"/>
        </w:rPr>
        <w:t xml:space="preserve">use_map</w:t>
      </w:r>
      <w:r>
        <w:rPr>
          <w:rStyle w:val="OperatorTok"/>
        </w:rPr>
        <w:t xml:space="preserve">=</w:t>
      </w:r>
      <w:r>
        <w:rPr>
          <w:rStyle w:val="NormalTok"/>
        </w:rPr>
        <w:t xml:space="preserve">{</w:t>
      </w:r>
      <w:r>
        <w:rPr>
          <w:rStyle w:val="StringTok"/>
        </w:rPr>
        <w:t xml:space="preserve">'Gebäude für Gemeinschaften'</w:t>
      </w:r>
      <w:r>
        <w:rPr>
          <w:rStyle w:val="NormalTok"/>
        </w:rPr>
        <w:t xml:space="preserve">:</w:t>
      </w:r>
      <w:r>
        <w:rPr>
          <w:rStyle w:val="StringTok"/>
        </w:rPr>
        <w:t xml:space="preserve">'Gemeinschaftsgebäude'</w:t>
      </w:r>
      <w:r>
        <w:rPr>
          <w:rStyle w:val="NormalTok"/>
        </w:rPr>
        <w:t xml:space="preserve">,</w:t>
      </w:r>
      <w:r>
        <w:rPr>
          <w:rStyle w:val="StringTok"/>
        </w:rPr>
        <w:t xml:space="preserve">'Hotels und ähnliche Gebäude'</w:t>
      </w:r>
      <w:r>
        <w:rPr>
          <w:rStyle w:val="NormalTok"/>
        </w:rPr>
        <w:t xml:space="preserve">:</w:t>
      </w:r>
      <w:r>
        <w:rPr>
          <w:rStyle w:val="StringTok"/>
        </w:rPr>
        <w:t xml:space="preserve">'Hotels o.Ä.'</w:t>
      </w:r>
      <w:r>
        <w:rPr>
          <w:rStyle w:val="NormalTok"/>
        </w:rPr>
        <w:t xml:space="preserve">,</w:t>
      </w:r>
      <w:r>
        <w:br/>
      </w:r>
      <w:r>
        <w:rPr>
          <w:rStyle w:val="NormalTok"/>
        </w:rPr>
        <w:t xml:space="preserve"> </w:t>
      </w:r>
      <w:r>
        <w:rPr>
          <w:rStyle w:val="StringTok"/>
        </w:rPr>
        <w:t xml:space="preserve">'Bürogebäude'</w:t>
      </w:r>
      <w:r>
        <w:rPr>
          <w:rStyle w:val="NormalTok"/>
        </w:rPr>
        <w:t xml:space="preserve">:</w:t>
      </w:r>
      <w:r>
        <w:rPr>
          <w:rStyle w:val="StringTok"/>
        </w:rPr>
        <w:t xml:space="preserve">'Büronutzung'</w:t>
      </w:r>
      <w:r>
        <w:rPr>
          <w:rStyle w:val="NormalTok"/>
        </w:rPr>
        <w:t xml:space="preserve">,</w:t>
      </w:r>
      <w:r>
        <w:rPr>
          <w:rStyle w:val="StringTok"/>
        </w:rPr>
        <w:t xml:space="preserve">'Groß- und Einzelhandelsgebäude'</w:t>
      </w:r>
      <w:r>
        <w:rPr>
          <w:rStyle w:val="NormalTok"/>
        </w:rPr>
        <w:t xml:space="preserve">:</w:t>
      </w:r>
      <w:r>
        <w:rPr>
          <w:rStyle w:val="StringTok"/>
        </w:rPr>
        <w:t xml:space="preserve">'Groß- und Einzelhandelsgebäude'</w:t>
      </w:r>
      <w:r>
        <w:rPr>
          <w:rStyle w:val="NormalTok"/>
        </w:rPr>
        <w:t xml:space="preserve">,</w:t>
      </w:r>
      <w:r>
        <w:br/>
      </w:r>
      <w:r>
        <w:rPr>
          <w:rStyle w:val="NormalTok"/>
        </w:rPr>
        <w:t xml:space="preserve"> </w:t>
      </w:r>
      <w:r>
        <w:rPr>
          <w:rStyle w:val="StringTok"/>
        </w:rPr>
        <w:t xml:space="preserve">'Gebäude des Verkehrs- und Nachrichtenwesens'</w:t>
      </w:r>
      <w:r>
        <w:rPr>
          <w:rStyle w:val="NormalTok"/>
        </w:rPr>
        <w:t xml:space="preserve">:</w:t>
      </w:r>
      <w:r>
        <w:rPr>
          <w:rStyle w:val="StringTok"/>
        </w:rPr>
        <w:t xml:space="preserve">'Verkehrs- und Nachrichtenwesen'</w:t>
      </w:r>
      <w:r>
        <w:rPr>
          <w:rStyle w:val="NormalTok"/>
        </w:rPr>
        <w:t xml:space="preserve">,</w:t>
      </w:r>
      <w:r>
        <w:rPr>
          <w:rStyle w:val="StringTok"/>
        </w:rPr>
        <w:t xml:space="preserve">'Industrie- und Lagergebäude'</w:t>
      </w:r>
      <w:r>
        <w:rPr>
          <w:rStyle w:val="NormalTok"/>
        </w:rPr>
        <w:t xml:space="preserve">:</w:t>
      </w:r>
      <w:r>
        <w:rPr>
          <w:rStyle w:val="StringTok"/>
        </w:rPr>
        <w:t xml:space="preserve">'Industrie und Lagerung'</w:t>
      </w:r>
      <w:r>
        <w:rPr>
          <w:rStyle w:val="NormalTok"/>
        </w:rPr>
        <w:t xml:space="preserve">,</w:t>
      </w:r>
      <w:r>
        <w:br/>
      </w:r>
      <w:r>
        <w:rPr>
          <w:rStyle w:val="NormalTok"/>
        </w:rPr>
        <w:t xml:space="preserve"> </w:t>
      </w:r>
      <w:r>
        <w:rPr>
          <w:rStyle w:val="StringTok"/>
        </w:rPr>
        <w:t xml:space="preserve">'Gebäude für Kultur- und Freizeitzwecke sowie des Bildungs- und Gesundheitswesens'</w:t>
      </w:r>
      <w:r>
        <w:rPr>
          <w:rStyle w:val="NormalTok"/>
        </w:rPr>
        <w:t xml:space="preserve">:</w:t>
      </w:r>
      <w:r>
        <w:rPr>
          <w:rStyle w:val="StringTok"/>
        </w:rPr>
        <w:t xml:space="preserve">'Kultur, Freizeit, Bildung und Gesundheit'</w:t>
      </w:r>
      <w:r>
        <w:rPr>
          <w:rStyle w:val="NormalTok"/>
        </w:rPr>
        <w:t xml:space="preserve">,</w:t>
      </w:r>
      <w:r>
        <w:br/>
      </w:r>
      <w:r>
        <w:rPr>
          <w:rStyle w:val="NormalTok"/>
        </w:rPr>
        <w:t xml:space="preserve"> </w:t>
      </w:r>
      <w:r>
        <w:rPr>
          <w:rStyle w:val="StringTok"/>
        </w:rPr>
        <w:t xml:space="preserve">'Wohngebäude mit einer Wohnung'</w:t>
      </w:r>
      <w:r>
        <w:rPr>
          <w:rStyle w:val="NormalTok"/>
        </w:rPr>
        <w:t xml:space="preserve">:</w:t>
      </w:r>
      <w:r>
        <w:rPr>
          <w:rStyle w:val="StringTok"/>
        </w:rPr>
        <w:t xml:space="preserve">'Ein- und Zweifamilienhäuser'</w:t>
      </w:r>
      <w:r>
        <w:rPr>
          <w:rStyle w:val="NormalTok"/>
        </w:rPr>
        <w:t xml:space="preserve">,</w:t>
      </w:r>
      <w:r>
        <w:rPr>
          <w:rStyle w:val="StringTok"/>
        </w:rPr>
        <w:t xml:space="preserve">'Wohngebäude mit zwei Wohnungen'</w:t>
      </w:r>
      <w:r>
        <w:rPr>
          <w:rStyle w:val="NormalTok"/>
        </w:rPr>
        <w:t xml:space="preserve">:</w:t>
      </w:r>
      <w:r>
        <w:rPr>
          <w:rStyle w:val="StringTok"/>
        </w:rPr>
        <w:t xml:space="preserve">'Ein- und Zweifamilienhäuser'</w:t>
      </w:r>
      <w:r>
        <w:rPr>
          <w:rStyle w:val="NormalTok"/>
        </w:rPr>
        <w:t xml:space="preserve">,</w:t>
      </w:r>
      <w:r>
        <w:br/>
      </w:r>
      <w:r>
        <w:rPr>
          <w:rStyle w:val="NormalTok"/>
        </w:rPr>
        <w:t xml:space="preserve"> </w:t>
      </w:r>
      <w:r>
        <w:rPr>
          <w:rStyle w:val="StringTok"/>
        </w:rPr>
        <w:t xml:space="preserve">'Wohngebäude mit drei und mehr Wohnungen'</w:t>
      </w:r>
      <w:r>
        <w:rPr>
          <w:rStyle w:val="NormalTok"/>
        </w:rPr>
        <w:t xml:space="preserve">:</w:t>
      </w:r>
      <w:r>
        <w:rPr>
          <w:rStyle w:val="StringTok"/>
        </w:rPr>
        <w:t xml:space="preserve">'Mehrfamilienhaus'</w:t>
      </w:r>
      <w:r>
        <w:rPr>
          <w:rStyle w:val="NormalTok"/>
        </w:rPr>
        <w:t xml:space="preserve">}</w:t>
      </w:r>
      <w:r>
        <w:br/>
      </w:r>
      <w:r>
        <w:rPr>
          <w:rStyle w:val="NormalTok"/>
        </w:rPr>
        <w:t xml:space="preserve">mapping[</w:t>
      </w:r>
      <w:r>
        <w:rPr>
          <w:rStyle w:val="StringTok"/>
        </w:rPr>
        <w:t xml:space="preserve">'GWR_Nutzung'</w:t>
      </w:r>
      <w:r>
        <w:rPr>
          <w:rStyle w:val="NormalTok"/>
        </w:rPr>
        <w:t xml:space="preserve">]</w:t>
      </w:r>
      <w:r>
        <w:rPr>
          <w:rStyle w:val="OperatorTok"/>
        </w:rPr>
        <w:t xml:space="preserve">=</w:t>
      </w:r>
      <w:r>
        <w:rPr>
          <w:rStyle w:val="NormalTok"/>
        </w:rPr>
        <w:t xml:space="preserve">mapping.Nutzung.</w:t>
      </w:r>
      <w:r>
        <w:rPr>
          <w:rStyle w:val="BuiltInTok"/>
        </w:rPr>
        <w:t xml:space="preserve">map</w:t>
      </w:r>
      <w:r>
        <w:rPr>
          <w:rStyle w:val="NormalTok"/>
        </w:rPr>
        <w:t xml:space="preserve">(use_map)</w:t>
      </w:r>
      <w:r>
        <w:rPr>
          <w:rStyle w:val="OperatorTok"/>
        </w:rPr>
        <w:t xml:space="preserve">;</w:t>
      </w:r>
      <w:r>
        <w:rPr>
          <w:rStyle w:val="NormalTok"/>
        </w:rPr>
        <w:t xml:space="preserve"> </w:t>
      </w:r>
      <w:r>
        <w:rPr>
          <w:rStyle w:val="ControlFlowTok"/>
        </w:rPr>
        <w:t xml:space="preserve">assert</w:t>
      </w:r>
      <w:r>
        <w:rPr>
          <w:rStyle w:val="NormalTok"/>
        </w:rPr>
        <w:t xml:space="preserve"> mapping.GWR_Nutzung.notna().</w:t>
      </w:r>
      <w:r>
        <w:rPr>
          <w:rStyle w:val="BuiltInTok"/>
        </w:rPr>
        <w:t xml:space="preserve">all</w:t>
      </w:r>
      <w:r>
        <w:rPr>
          <w:rStyle w:val="NormalTok"/>
        </w:rPr>
        <w:t xml:space="preserve">()</w:t>
      </w:r>
      <w:r>
        <w:br/>
      </w:r>
      <w:r>
        <w:rPr>
          <w:rStyle w:val="NormalTok"/>
        </w:rPr>
        <w:t xml:space="preserve">mapping[</w:t>
      </w:r>
      <w:r>
        <w:rPr>
          <w:rStyle w:val="StringTok"/>
        </w:rPr>
        <w:t xml:space="preserve">'GK'</w:t>
      </w:r>
      <w:r>
        <w:rPr>
          <w:rStyle w:val="NormalTok"/>
        </w:rPr>
        <w:t xml:space="preserve">]</w:t>
      </w:r>
      <w:r>
        <w:rPr>
          <w:rStyle w:val="OperatorTok"/>
        </w:rPr>
        <w:t xml:space="preserve">=</w:t>
      </w:r>
      <w:r>
        <w:rPr>
          <w:rStyle w:val="NormalTok"/>
        </w:rPr>
        <w:t xml:space="preserve">mapping.Geschoss.</w:t>
      </w:r>
      <w:r>
        <w:rPr>
          <w:rStyle w:val="BuiltInTok"/>
        </w:rPr>
        <w:t xml:space="preserve">str</w:t>
      </w:r>
      <w:r>
        <w:rPr>
          <w:rStyle w:val="NormalTok"/>
        </w:rPr>
        <w:t xml:space="preserve">.replace(</w:t>
      </w:r>
      <w:r>
        <w:rPr>
          <w:rStyle w:val="StringTok"/>
        </w:rPr>
        <w:t xml:space="preserve">' Geschoße'</w:t>
      </w:r>
      <w:r>
        <w:rPr>
          <w:rStyle w:val="NormalTok"/>
        </w:rPr>
        <w:t xml:space="preserve">,</w:t>
      </w:r>
      <w:r>
        <w:rPr>
          <w:rStyle w:val="StringTok"/>
        </w:rPr>
        <w:t xml:space="preserve">''</w:t>
      </w:r>
      <w:r>
        <w:rPr>
          <w:rStyle w:val="NormalTok"/>
        </w:rPr>
        <w:t xml:space="preserve">,regex</w:t>
      </w:r>
      <w:r>
        <w:rPr>
          <w:rStyle w:val="OperatorTok"/>
        </w:rPr>
        <w:t xml:space="preserve">=</w:t>
      </w:r>
      <w:r>
        <w:rPr>
          <w:rStyle w:val="VariableTok"/>
        </w:rPr>
        <w:t xml:space="preserve">False</w:t>
      </w:r>
      <w:r>
        <w:rPr>
          <w:rStyle w:val="NormalTok"/>
        </w:rPr>
        <w:t xml:space="preserve">).</w:t>
      </w:r>
      <w:r>
        <w:rPr>
          <w:rStyle w:val="BuiltInTok"/>
        </w:rPr>
        <w:t xml:space="preserve">str</w:t>
      </w:r>
      <w:r>
        <w:rPr>
          <w:rStyle w:val="NormalTok"/>
        </w:rPr>
        <w:t xml:space="preserve">.replace(</w:t>
      </w:r>
      <w:r>
        <w:rPr>
          <w:rStyle w:val="StringTok"/>
        </w:rPr>
        <w:t xml:space="preserve">' Geschoß'</w:t>
      </w:r>
      <w:r>
        <w:rPr>
          <w:rStyle w:val="NormalTok"/>
        </w:rPr>
        <w:t xml:space="preserve">,</w:t>
      </w:r>
      <w:r>
        <w:rPr>
          <w:rStyle w:val="StringTok"/>
        </w:rPr>
        <w:t xml:space="preserve">''</w:t>
      </w:r>
      <w:r>
        <w:rPr>
          <w:rStyle w:val="NormalTok"/>
        </w:rPr>
        <w:t xml:space="preserve">,regex</w:t>
      </w:r>
      <w:r>
        <w:rPr>
          <w:rStyle w:val="OperatorTok"/>
        </w:rPr>
        <w:t xml:space="preserve">=</w:t>
      </w:r>
      <w:r>
        <w:rPr>
          <w:rStyle w:val="VariableTok"/>
        </w:rPr>
        <w:t xml:space="preserve">False</w:t>
      </w:r>
      <w:r>
        <w:rPr>
          <w:rStyle w:val="NormalTok"/>
        </w:rPr>
        <w:t xml:space="preserve">).replace({</w:t>
      </w:r>
      <w:r>
        <w:rPr>
          <w:rStyle w:val="StringTok"/>
        </w:rPr>
        <w:t xml:space="preserve">'6 bis 10'</w:t>
      </w:r>
      <w:r>
        <w:rPr>
          <w:rStyle w:val="NormalTok"/>
        </w:rPr>
        <w:t xml:space="preserve">:</w:t>
      </w:r>
      <w:r>
        <w:rPr>
          <w:rStyle w:val="StringTok"/>
        </w:rPr>
        <w:t xml:space="preserve">'6-10'</w:t>
      </w:r>
      <w:r>
        <w:rPr>
          <w:rStyle w:val="NormalTok"/>
        </w:rPr>
        <w:t xml:space="preserve">,</w:t>
      </w:r>
      <w:r>
        <w:rPr>
          <w:rStyle w:val="StringTok"/>
        </w:rPr>
        <w:t xml:space="preserve">'11 und mehr'</w:t>
      </w:r>
      <w:r>
        <w:rPr>
          <w:rStyle w:val="NormalTok"/>
        </w:rPr>
        <w:t xml:space="preserve">:</w:t>
      </w:r>
      <w:r>
        <w:rPr>
          <w:rStyle w:val="StringTok"/>
        </w:rPr>
        <w:t xml:space="preserve">'11+'</w:t>
      </w:r>
      <w:r>
        <w:rPr>
          <w:rStyle w:val="NormalTok"/>
        </w:rPr>
        <w:t xml:space="preserve">})</w:t>
      </w:r>
      <w:r>
        <w:br/>
      </w:r>
      <w:r>
        <w:rPr>
          <w:rStyle w:val="NormalTok"/>
        </w:rPr>
        <w:t xml:space="preserve">mapping[</w:t>
      </w:r>
      <w:r>
        <w:rPr>
          <w:rStyle w:val="StringTok"/>
        </w:rPr>
        <w:t xml:space="preserve">'Einzelziel_ergänzt'</w:t>
      </w:r>
      <w:r>
        <w:rPr>
          <w:rStyle w:val="NormalTok"/>
        </w:rPr>
        <w:t xml:space="preserve">]</w:t>
      </w:r>
      <w:r>
        <w:rPr>
          <w:rStyle w:val="OperatorTok"/>
        </w:rPr>
        <w:t xml:space="preserve">=</w:t>
      </w:r>
      <w:r>
        <w:rPr>
          <w:rStyle w:val="NormalTok"/>
        </w:rPr>
        <w:t xml:space="preserve">mapping.Anteil1.isna() </w:t>
      </w:r>
      <w:r>
        <w:rPr>
          <w:rStyle w:val="OperatorTok"/>
        </w:rPr>
        <w:t xml:space="preserve">&amp;</w:t>
      </w:r>
      <w:r>
        <w:rPr>
          <w:rStyle w:val="NormalTok"/>
        </w:rPr>
        <w:t xml:space="preserve"> mapping.Archetype1.notna() </w:t>
      </w:r>
      <w:r>
        <w:rPr>
          <w:rStyle w:val="OperatorTok"/>
        </w:rPr>
        <w:t xml:space="preserve">&amp;</w:t>
      </w:r>
      <w:r>
        <w:rPr>
          <w:rStyle w:val="NormalTok"/>
        </w:rPr>
        <w:t xml:space="preserve"> mapping.Archetype2.isna()</w:t>
      </w:r>
      <w:r>
        <w:br/>
      </w:r>
      <w:r>
        <w:rPr>
          <w:rStyle w:val="ControlFlowTok"/>
        </w:rPr>
        <w:t xml:space="preserve">if</w:t>
      </w:r>
      <w:r>
        <w:rPr>
          <w:rStyle w:val="NormalTok"/>
        </w:rPr>
        <w:t xml:space="preserve"> </w:t>
      </w:r>
      <w:r>
        <w:rPr>
          <w:rStyle w:val="VariableTok"/>
        </w:rPr>
        <w:t xml:space="preserve">True</w:t>
      </w:r>
      <w:r>
        <w:rPr>
          <w:rStyle w:val="NormalTok"/>
        </w:rPr>
        <w:t xml:space="preserve">:</w:t>
      </w:r>
      <w:r>
        <w:br/>
      </w:r>
      <w:r>
        <w:rPr>
          <w:rStyle w:val="NormalTok"/>
        </w:rPr>
        <w:t xml:space="preserve">    mapping.loc[mapping[</w:t>
      </w:r>
      <w:r>
        <w:rPr>
          <w:rStyle w:val="StringTok"/>
        </w:rPr>
        <w:t xml:space="preserve">'Einzelziel_ergänzt'</w:t>
      </w:r>
      <w:r>
        <w:rPr>
          <w:rStyle w:val="NormalTok"/>
        </w:rPr>
        <w:t xml:space="preserve">],</w:t>
      </w:r>
      <w:r>
        <w:rPr>
          <w:rStyle w:val="StringTok"/>
        </w:rPr>
        <w:t xml:space="preserve">'Anteil1'</w:t>
      </w:r>
      <w:r>
        <w:rPr>
          <w:rStyle w:val="NormalTok"/>
        </w:rPr>
        <w:t xml:space="preserve">]</w:t>
      </w:r>
      <w:r>
        <w:rPr>
          <w:rStyle w:val="OperatorTok"/>
        </w:rPr>
        <w:t xml:space="preserve">=</w:t>
      </w:r>
      <w:r>
        <w:rPr>
          <w:rStyle w:val="FloatTok"/>
        </w:rPr>
        <w:t xml:space="preserve">1.0</w:t>
      </w:r>
      <w:r>
        <w:br/>
      </w:r>
      <w:r>
        <w:rPr>
          <w:rStyle w:val="CommentTok"/>
        </w:rPr>
        <w:t xml:space="preserve"># Doppelte Statistiknutzungen nur zusammenführen, wenn ihre Regeln identisch sind.</w:t>
      </w:r>
      <w:r>
        <w:br/>
      </w:r>
      <w:r>
        <w:rPr>
          <w:rStyle w:val="ControlFlowTok"/>
        </w:rPr>
        <w:t xml:space="preserve">for</w:t>
      </w:r>
      <w:r>
        <w:rPr>
          <w:rStyle w:val="NormalTok"/>
        </w:rPr>
        <w:t xml:space="preserve"> key,group </w:t>
      </w:r>
      <w:r>
        <w:rPr>
          <w:rStyle w:val="KeywordTok"/>
        </w:rPr>
        <w:t xml:space="preserve">in</w:t>
      </w:r>
      <w:r>
        <w:rPr>
          <w:rStyle w:val="NormalTok"/>
        </w:rPr>
        <w:t xml:space="preserve"> mapping.groupby([</w:t>
      </w:r>
      <w:r>
        <w:rPr>
          <w:rStyle w:val="StringTok"/>
        </w:rPr>
        <w:t xml:space="preserve">'GWR_Nutzung'</w:t>
      </w:r>
      <w:r>
        <w:rPr>
          <w:rStyle w:val="NormalTok"/>
        </w:rPr>
        <w:t xml:space="preserve">,</w:t>
      </w:r>
      <w:r>
        <w:rPr>
          <w:rStyle w:val="StringTok"/>
        </w:rPr>
        <w:t xml:space="preserve">'GK'</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(group[[</w:t>
      </w:r>
      <w:r>
        <w:rPr>
          <w:rStyle w:val="StringTok"/>
        </w:rPr>
        <w:t xml:space="preserve">'Anteil1'</w:t>
      </w:r>
      <w:r>
        <w:rPr>
          <w:rStyle w:val="NormalTok"/>
        </w:rPr>
        <w:t xml:space="preserve">,</w:t>
      </w:r>
      <w:r>
        <w:rPr>
          <w:rStyle w:val="StringTok"/>
        </w:rPr>
        <w:t xml:space="preserve">'Archetype1'</w:t>
      </w:r>
      <w:r>
        <w:rPr>
          <w:rStyle w:val="NormalTok"/>
        </w:rPr>
        <w:t xml:space="preserve">,</w:t>
      </w:r>
      <w:r>
        <w:rPr>
          <w:rStyle w:val="StringTok"/>
        </w:rPr>
        <w:t xml:space="preserve">'Anteil2'</w:t>
      </w:r>
      <w:r>
        <w:rPr>
          <w:rStyle w:val="NormalTok"/>
        </w:rPr>
        <w:t xml:space="preserve">,</w:t>
      </w:r>
      <w:r>
        <w:rPr>
          <w:rStyle w:val="StringTok"/>
        </w:rPr>
        <w:t xml:space="preserve">'Archetype2'</w:t>
      </w:r>
      <w:r>
        <w:rPr>
          <w:rStyle w:val="NormalTok"/>
        </w:rPr>
        <w:t xml:space="preserve">]].drop_duplicates())</w:t>
      </w:r>
      <w:r>
        <w:rPr>
          <w:rStyle w:val="OperatorTok"/>
        </w:rPr>
        <w:t xml:space="preserve">==</w:t>
      </w:r>
      <w:r>
        <w:rPr>
          <w:rStyle w:val="DecValTok"/>
        </w:rPr>
        <w:t xml:space="preserve">1</w:t>
      </w:r>
      <w:r>
        <w:rPr>
          <w:rStyle w:val="NormalTok"/>
        </w:rPr>
        <w:t xml:space="preserve">,key</w:t>
      </w:r>
      <w:r>
        <w:br/>
      </w:r>
      <w:r>
        <w:rPr>
          <w:rStyle w:val="NormalTok"/>
        </w:rPr>
        <w:t xml:space="preserve">unique</w:t>
      </w:r>
      <w:r>
        <w:rPr>
          <w:rStyle w:val="OperatorTok"/>
        </w:rPr>
        <w:t xml:space="preserve">=</w:t>
      </w:r>
      <w:r>
        <w:rPr>
          <w:rStyle w:val="NormalTok"/>
        </w:rPr>
        <w:t xml:space="preserve">mapping.drop_duplicates([</w:t>
      </w:r>
      <w:r>
        <w:rPr>
          <w:rStyle w:val="StringTok"/>
        </w:rPr>
        <w:t xml:space="preserve">'GWR_Nutzung'</w:t>
      </w:r>
      <w:r>
        <w:rPr>
          <w:rStyle w:val="NormalTok"/>
        </w:rPr>
        <w:t xml:space="preserve">,</w:t>
      </w:r>
      <w:r>
        <w:rPr>
          <w:rStyle w:val="StringTok"/>
        </w:rPr>
        <w:t xml:space="preserve">'GK'</w:t>
      </w:r>
      <w:r>
        <w:rPr>
          <w:rStyle w:val="NormalTok"/>
        </w:rPr>
        <w:t xml:space="preserve">])</w:t>
      </w:r>
      <w:r>
        <w:br/>
      </w:r>
      <w:r>
        <w:rPr>
          <w:rStyle w:val="BuiltInTok"/>
        </w:rPr>
        <w:t xml:space="preserve">long</w:t>
      </w:r>
      <w:r>
        <w:rPr>
          <w:rStyle w:val="OperatorTok"/>
        </w:rPr>
        <w:t xml:space="preserve">=</w:t>
      </w:r>
      <w:r>
        <w:rPr>
          <w:rStyle w:val="NormalTok"/>
        </w:rPr>
        <w:t xml:space="preserve">[]</w:t>
      </w:r>
      <w:r>
        <w:br/>
      </w:r>
      <w:r>
        <w:rPr>
          <w:rStyle w:val="ControlFlowTok"/>
        </w:rPr>
        <w:t xml:space="preserve">for</w:t>
      </w:r>
      <w:r>
        <w:rPr>
          <w:rStyle w:val="NormalTok"/>
        </w:rPr>
        <w:t xml:space="preserve"> _,row </w:t>
      </w:r>
      <w:r>
        <w:rPr>
          <w:rStyle w:val="KeywordTok"/>
        </w:rPr>
        <w:t xml:space="preserve">in</w:t>
      </w:r>
      <w:r>
        <w:rPr>
          <w:rStyle w:val="NormalTok"/>
        </w:rPr>
        <w:t xml:space="preserve"> unique.iterrows():</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pd.notna(row[</w:t>
      </w:r>
      <w:r>
        <w:rPr>
          <w:rStyle w:val="SpecialStringTok"/>
        </w:rPr>
        <w:t xml:space="preserve">f'Archetype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long</w:t>
      </w:r>
      <w:r>
        <w:rPr>
          <w:rStyle w:val="NormalTok"/>
        </w:rPr>
        <w:t xml:space="preserve">.append({</w:t>
      </w:r>
      <w:r>
        <w:rPr>
          <w:rStyle w:val="StringTok"/>
        </w:rPr>
        <w:t xml:space="preserve">'GWR_Nutzung'</w:t>
      </w:r>
      <w:r>
        <w:rPr>
          <w:rStyle w:val="NormalTok"/>
        </w:rPr>
        <w:t xml:space="preserve">:row.GWR_Nutzung,</w:t>
      </w:r>
      <w:r>
        <w:rPr>
          <w:rStyle w:val="StringTok"/>
        </w:rPr>
        <w:t xml:space="preserve">'GK'</w:t>
      </w:r>
      <w:r>
        <w:rPr>
          <w:rStyle w:val="NormalTok"/>
        </w:rPr>
        <w:t xml:space="preserve">:row.GK,</w:t>
      </w:r>
      <w:r>
        <w:rPr>
          <w:rStyle w:val="StringTok"/>
        </w:rPr>
        <w:t xml:space="preserve">'Geometrie'</w:t>
      </w:r>
      <w:r>
        <w:rPr>
          <w:rStyle w:val="NormalTok"/>
        </w:rPr>
        <w:t xml:space="preserve">:row[</w:t>
      </w:r>
      <w:r>
        <w:rPr>
          <w:rStyle w:val="SpecialStringTok"/>
        </w:rPr>
        <w:t xml:space="preserve">f'Archetype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rPr>
          <w:rStyle w:val="StringTok"/>
        </w:rPr>
        <w:t xml:space="preserve">'Anteil'</w:t>
      </w:r>
      <w:r>
        <w:rPr>
          <w:rStyle w:val="NormalTok"/>
        </w:rPr>
        <w:t xml:space="preserve">:row[</w:t>
      </w:r>
      <w:r>
        <w:rPr>
          <w:rStyle w:val="SpecialStringTok"/>
        </w:rPr>
        <w:t xml:space="preserve">f'Anteil</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links</w:t>
      </w:r>
      <w:r>
        <w:rPr>
          <w:rStyle w:val="OperatorTok"/>
        </w:rPr>
        <w:t xml:space="preserve">=</w:t>
      </w:r>
      <w:r>
        <w:rPr>
          <w:rStyle w:val="NormalTok"/>
        </w:rPr>
        <w:t xml:space="preserve">pd.DataFrame(</w:t>
      </w:r>
      <w:r>
        <w:rPr>
          <w:rStyle w:val="BuiltInTok"/>
        </w:rPr>
        <w:t xml:space="preserve">long</w:t>
      </w:r>
      <w:r>
        <w:rPr>
          <w:rStyle w:val="NormalTok"/>
        </w:rPr>
        <w:t xml:space="preserve">)</w:t>
      </w:r>
      <w:r>
        <w:br/>
      </w:r>
      <w:r>
        <w:rPr>
          <w:rStyle w:val="ControlFlowTok"/>
        </w:rPr>
        <w:t xml:space="preserve">assert</w:t>
      </w:r>
      <w:r>
        <w:rPr>
          <w:rStyle w:val="NormalTok"/>
        </w:rPr>
        <w:t xml:space="preserve"> links.Anteil.notna().</w:t>
      </w:r>
      <w:r>
        <w:rPr>
          <w:rStyle w:val="BuiltInTok"/>
        </w:rPr>
        <w:t xml:space="preserve">all</w:t>
      </w:r>
      <w:r>
        <w:rPr>
          <w:rStyle w:val="NormalTok"/>
        </w:rPr>
        <w:t xml:space="preserve">(), </w:t>
      </w:r>
      <w:r>
        <w:rPr>
          <w:rStyle w:val="StringTok"/>
        </w:rPr>
        <w:t xml:space="preserve">'GFZ-Anteile offen; Einzelzielregel oder Eingaben prüfen'</w:t>
      </w:r>
      <w:r>
        <w:br/>
      </w:r>
      <w:r>
        <w:rPr>
          <w:rStyle w:val="ControlFlowTok"/>
        </w:rPr>
        <w:t xml:space="preserve">assert</w:t>
      </w:r>
      <w:r>
        <w:rPr>
          <w:rStyle w:val="NormalTok"/>
        </w:rPr>
        <w:t xml:space="preserve"> links.Anteil.between(</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all</w:t>
      </w:r>
      <w:r>
        <w:rPr>
          <w:rStyle w:val="NormalTok"/>
        </w:rPr>
        <w:t xml:space="preserve">()</w:t>
      </w:r>
      <w:r>
        <w:br/>
      </w:r>
      <w:r>
        <w:rPr>
          <w:rStyle w:val="NormalTok"/>
        </w:rPr>
        <w:t xml:space="preserve">np.testing.assert_allclose(links.groupby([</w:t>
      </w:r>
      <w:r>
        <w:rPr>
          <w:rStyle w:val="StringTok"/>
        </w:rPr>
        <w:t xml:space="preserve">'GWR_Nutzung'</w:t>
      </w:r>
      <w:r>
        <w:rPr>
          <w:rStyle w:val="NormalTok"/>
        </w:rPr>
        <w:t xml:space="preserve">,</w:t>
      </w:r>
      <w:r>
        <w:rPr>
          <w:rStyle w:val="StringTok"/>
        </w:rPr>
        <w:t xml:space="preserve">'GK'</w:t>
      </w:r>
      <w:r>
        <w:rPr>
          <w:rStyle w:val="NormalTok"/>
        </w:rPr>
        <w:t xml:space="preserve">]).Anteil.</w:t>
      </w:r>
      <w:r>
        <w:rPr>
          <w:rStyle w:val="BuiltInTok"/>
        </w:rPr>
        <w:t xml:space="preserve">sum</w:t>
      </w:r>
      <w:r>
        <w:rPr>
          <w:rStyle w:val="NormalTok"/>
        </w:rPr>
        <w:t xml:space="preserve">(),</w:t>
      </w:r>
      <w:r>
        <w:rPr>
          <w:rStyle w:val="DecValTok"/>
        </w:rPr>
        <w:t xml:space="preserve">1</w:t>
      </w:r>
      <w:r>
        <w:rPr>
          <w:rStyle w:val="NormalTok"/>
        </w:rPr>
        <w:t xml:space="preserve">)</w:t>
      </w:r>
      <w:r>
        <w:br/>
      </w:r>
      <w:r>
        <w:rPr>
          <w:rStyle w:val="NormalTok"/>
        </w:rPr>
        <w:t xml:space="preserve">gfz</w:t>
      </w:r>
      <w:r>
        <w:rPr>
          <w:rStyle w:val="OperatorTok"/>
        </w:rPr>
        <w:t xml:space="preserve">=</w:t>
      </w:r>
      <w:r>
        <w:rPr>
          <w:rStyle w:val="NormalTok"/>
        </w:rPr>
        <w:t xml:space="preserve">pd.read_csv(ROOT</w:t>
      </w:r>
      <w:r>
        <w:rPr>
          <w:rStyle w:val="OperatorTok"/>
        </w:rPr>
        <w:t xml:space="preserve">/</w:t>
      </w:r>
      <w:r>
        <w:rPr>
          <w:rStyle w:val="StringTok"/>
        </w:rPr>
        <w:t xml:space="preserve">'Berechnungen/gfz_at/outputs/recalculated/gfz_distribution_by_province_use_storeys.csv'</w:t>
      </w:r>
      <w:r>
        <w:rPr>
          <w:rStyle w:val="NormalTok"/>
        </w:rPr>
        <w:t xml:space="preserve">,dtype</w:t>
      </w:r>
      <w:r>
        <w:rPr>
          <w:rStyle w:val="OperatorTok"/>
        </w:rPr>
        <w:t xml:space="preserve">=</w:t>
      </w:r>
      <w:r>
        <w:rPr>
          <w:rStyle w:val="NormalTok"/>
        </w:rPr>
        <w:t xml:space="preserve">{</w:t>
      </w:r>
      <w:r>
        <w:rPr>
          <w:rStyle w:val="StringTok"/>
        </w:rPr>
        <w:t xml:space="preserve">'GK'</w:t>
      </w:r>
      <w:r>
        <w:rPr>
          <w:rStyle w:val="NormalTok"/>
        </w:rPr>
        <w:t xml:space="preserve">:</w:t>
      </w:r>
      <w:r>
        <w:rPr>
          <w:rStyle w:val="BuiltInTok"/>
        </w:rPr>
        <w:t xml:space="preserve">str</w:t>
      </w:r>
      <w:r>
        <w:rPr>
          <w:rStyle w:val="NormalTok"/>
        </w:rPr>
        <w:t xml:space="preserve">})</w:t>
      </w:r>
      <w:r>
        <w:br/>
      </w:r>
      <w:r>
        <w:rPr>
          <w:rStyle w:val="NormalTok"/>
        </w:rPr>
        <w:t xml:space="preserve">joined</w:t>
      </w:r>
      <w:r>
        <w:rPr>
          <w:rStyle w:val="OperatorTok"/>
        </w:rPr>
        <w:t xml:space="preserve">=</w:t>
      </w:r>
      <w:r>
        <w:rPr>
          <w:rStyle w:val="NormalTok"/>
        </w:rPr>
        <w:t xml:space="preserve">gfz.merge(links,on</w:t>
      </w:r>
      <w:r>
        <w:rPr>
          <w:rStyle w:val="OperatorTok"/>
        </w:rPr>
        <w:t xml:space="preserve">=</w:t>
      </w:r>
      <w:r>
        <w:rPr>
          <w:rStyle w:val="NormalTok"/>
        </w:rPr>
        <w:t xml:space="preserve">[</w:t>
      </w:r>
      <w:r>
        <w:rPr>
          <w:rStyle w:val="StringTok"/>
        </w:rPr>
        <w:t xml:space="preserve">'GWR_Nutzung'</w:t>
      </w:r>
      <w:r>
        <w:rPr>
          <w:rStyle w:val="NormalTok"/>
        </w:rPr>
        <w:t xml:space="preserve">,</w:t>
      </w:r>
      <w:r>
        <w:rPr>
          <w:rStyle w:val="StringTok"/>
        </w:rPr>
        <w:t xml:space="preserve">'GK'</w:t>
      </w:r>
      <w:r>
        <w:rPr>
          <w:rStyle w:val="NormalTok"/>
        </w:rPr>
        <w:t xml:space="preserve">],how</w:t>
      </w:r>
      <w:r>
        <w:rPr>
          <w:rStyle w:val="OperatorTok"/>
        </w:rPr>
        <w:t xml:space="preserve">=</w:t>
      </w:r>
      <w:r>
        <w:rPr>
          <w:rStyle w:val="StringTok"/>
        </w:rPr>
        <w:t xml:space="preserve">'left'</w:t>
      </w:r>
      <w:r>
        <w:rPr>
          <w:rStyle w:val="NormalTok"/>
        </w:rPr>
        <w:t xml:space="preserve">,indicator</w:t>
      </w:r>
      <w:r>
        <w:rPr>
          <w:rStyle w:val="OperatorTok"/>
        </w:rPr>
        <w:t xml:space="preserve">=</w:t>
      </w:r>
      <w:r>
        <w:rPr>
          <w:rStyle w:val="VariableTok"/>
        </w:rPr>
        <w:t xml:space="preserve">True</w:t>
      </w:r>
      <w:r>
        <w:rPr>
          <w:rStyle w:val="NormalTok"/>
        </w:rPr>
        <w:t xml:space="preserve">)</w:t>
      </w:r>
      <w:r>
        <w:br/>
      </w:r>
      <w:r>
        <w:rPr>
          <w:rStyle w:val="ControlFlowTok"/>
        </w:rPr>
        <w:t xml:space="preserve">assert</w:t>
      </w:r>
      <w:r>
        <w:rPr>
          <w:rStyle w:val="NormalTok"/>
        </w:rPr>
        <w:t xml:space="preserve"> joined[</w:t>
      </w:r>
      <w:r>
        <w:rPr>
          <w:rStyle w:val="StringTok"/>
        </w:rPr>
        <w:t xml:space="preserve">'_merge'</w:t>
      </w:r>
      <w:r>
        <w:rPr>
          <w:rStyle w:val="NormalTok"/>
        </w:rPr>
        <w:t xml:space="preserve">].eq(</w:t>
      </w:r>
      <w:r>
        <w:rPr>
          <w:rStyle w:val="StringTok"/>
        </w:rPr>
        <w:t xml:space="preserve">'both'</w:t>
      </w:r>
      <w:r>
        <w:rPr>
          <w:rStyle w:val="NormalTok"/>
        </w:rPr>
        <w:t xml:space="preserve">).</w:t>
      </w:r>
      <w:r>
        <w:rPr>
          <w:rStyle w:val="BuiltInTok"/>
        </w:rPr>
        <w:t xml:space="preserve">all</w:t>
      </w:r>
      <w:r>
        <w:rPr>
          <w:rStyle w:val="NormalTok"/>
        </w:rPr>
        <w:t xml:space="preserve">()</w:t>
      </w:r>
      <w:r>
        <w:br/>
      </w:r>
      <w:r>
        <w:rPr>
          <w:rStyle w:val="NormalTok"/>
        </w:rPr>
        <w:t xml:space="preserve">joined[</w:t>
      </w:r>
      <w:r>
        <w:rPr>
          <w:rStyle w:val="StringTok"/>
        </w:rPr>
        <w:t xml:space="preserve">'zugeordnete_BGF'</w:t>
      </w:r>
      <w:r>
        <w:rPr>
          <w:rStyle w:val="NormalTok"/>
        </w:rPr>
        <w:t xml:space="preserve">]</w:t>
      </w:r>
      <w:r>
        <w:rPr>
          <w:rStyle w:val="OperatorTok"/>
        </w:rPr>
        <w:t xml:space="preserve">=</w:t>
      </w:r>
      <w:r>
        <w:rPr>
          <w:rStyle w:val="NormalTok"/>
        </w:rPr>
        <w:t xml:space="preserve">joined.BGF_m2</w:t>
      </w:r>
      <w:r>
        <w:rPr>
          <w:rStyle w:val="OperatorTok"/>
        </w:rPr>
        <w:t xml:space="preserve">*</w:t>
      </w:r>
      <w:r>
        <w:rPr>
          <w:rStyle w:val="NormalTok"/>
        </w:rPr>
        <w:t xml:space="preserve">joined.Anteil</w:t>
      </w:r>
      <w:r>
        <w:br/>
      </w:r>
      <w:r>
        <w:rPr>
          <w:rStyle w:val="NormalTok"/>
        </w:rPr>
        <w:t xml:space="preserve">np.testing.assert_allclose(joined.zugeordnete_BGF.</w:t>
      </w:r>
      <w:r>
        <w:rPr>
          <w:rStyle w:val="BuiltInTok"/>
        </w:rPr>
        <w:t xml:space="preserve">sum</w:t>
      </w:r>
      <w:r>
        <w:rPr>
          <w:rStyle w:val="NormalTok"/>
        </w:rPr>
        <w:t xml:space="preserve">(),gfz.BGF_m2.</w:t>
      </w:r>
      <w:r>
        <w:rPr>
          <w:rStyle w:val="BuiltInTok"/>
        </w:rPr>
        <w:t xml:space="preserve">sum</w:t>
      </w:r>
      <w:r>
        <w:rPr>
          <w:rStyle w:val="NormalTok"/>
        </w:rPr>
        <w:t xml:space="preserve">(),rtol</w:t>
      </w:r>
      <w:r>
        <w:rPr>
          <w:rStyle w:val="OperatorTok"/>
        </w:rPr>
        <w:t xml:space="preserve">=</w:t>
      </w:r>
      <w:r>
        <w:rPr>
          <w:rStyle w:val="FloatTok"/>
        </w:rPr>
        <w:t xml:space="preserve">1e-12</w:t>
      </w:r>
      <w:r>
        <w:rPr>
          <w:rStyle w:val="NormalTok"/>
        </w:rPr>
        <w:t xml:space="preserve">)</w:t>
      </w:r>
      <w:r>
        <w:br/>
      </w:r>
      <w:r>
        <w:rPr>
          <w:rStyle w:val="NormalTok"/>
        </w:rPr>
        <w:t xml:space="preserve">bins</w:t>
      </w:r>
      <w:r>
        <w:rPr>
          <w:rStyle w:val="OperatorTok"/>
        </w:rPr>
        <w:t xml:space="preserve">=</w:t>
      </w:r>
      <w:r>
        <w:rPr>
          <w:rStyle w:val="NormalTok"/>
        </w:rPr>
        <w:t xml:space="preserve">joined.groupby([</w:t>
      </w:r>
      <w:r>
        <w:rPr>
          <w:rStyle w:val="StringTok"/>
        </w:rPr>
        <w:t xml:space="preserve">'Geometrie'</w:t>
      </w:r>
      <w:r>
        <w:rPr>
          <w:rStyle w:val="NormalTok"/>
        </w:rPr>
        <w:t xml:space="preserve">,</w:t>
      </w:r>
      <w:r>
        <w:rPr>
          <w:rStyle w:val="StringTok"/>
        </w:rPr>
        <w:t xml:space="preserve">'GFZ'</w:t>
      </w:r>
      <w:r>
        <w:rPr>
          <w:rStyle w:val="NormalTok"/>
        </w:rPr>
        <w:t xml:space="preserve">],as_index</w:t>
      </w:r>
      <w:r>
        <w:rPr>
          <w:rStyle w:val="OperatorTok"/>
        </w:rPr>
        <w:t xml:space="preserve">=</w:t>
      </w:r>
      <w:r>
        <w:rPr>
          <w:rStyle w:val="VariableTok"/>
        </w:rPr>
        <w:t xml:space="preserve">False</w:t>
      </w:r>
      <w:r>
        <w:rPr>
          <w:rStyle w:val="NormalTok"/>
        </w:rPr>
        <w:t xml:space="preserve">).zugeordnete_BGF.</w:t>
      </w:r>
      <w:r>
        <w:rPr>
          <w:rStyle w:val="BuiltInTok"/>
        </w:rPr>
        <w:t xml:space="preserve">sum</w:t>
      </w:r>
      <w:r>
        <w:rPr>
          <w:rStyle w:val="NormalTok"/>
        </w:rPr>
        <w:t xml:space="preserve">()</w:t>
      </w:r>
      <w:r>
        <w:br/>
      </w:r>
      <w:r>
        <w:rPr>
          <w:rStyle w:val="NormalTok"/>
        </w:rPr>
        <w:t xml:space="preserve">bins[</w:t>
      </w:r>
      <w:r>
        <w:rPr>
          <w:rStyle w:val="StringTok"/>
        </w:rPr>
        <w:t xml:space="preserve">'s'</w:t>
      </w:r>
      <w:r>
        <w:rPr>
          <w:rStyle w:val="NormalTok"/>
        </w:rPr>
        <w:t xml:space="preserve">]</w:t>
      </w:r>
      <w:r>
        <w:rPr>
          <w:rStyle w:val="OperatorTok"/>
        </w:rPr>
        <w:t xml:space="preserve">=</w:t>
      </w:r>
      <w:r>
        <w:rPr>
          <w:rStyle w:val="NormalTok"/>
        </w:rPr>
        <w:t xml:space="preserve">bins.zugeordnete_BGF</w:t>
      </w:r>
      <w:r>
        <w:rPr>
          <w:rStyle w:val="OperatorTok"/>
        </w:rPr>
        <w:t xml:space="preserve">/</w:t>
      </w:r>
      <w:r>
        <w:rPr>
          <w:rStyle w:val="NormalTok"/>
        </w:rPr>
        <w:t xml:space="preserve">bins.groupby(</w:t>
      </w:r>
      <w:r>
        <w:rPr>
          <w:rStyle w:val="StringTok"/>
        </w:rPr>
        <w:t xml:space="preserve">'Geometrie'</w:t>
      </w:r>
      <w:r>
        <w:rPr>
          <w:rStyle w:val="NormalTok"/>
        </w:rPr>
        <w:t xml:space="preserve">).zugeordnete_BGF.transform(</w:t>
      </w:r>
      <w:r>
        <w:rPr>
          <w:rStyle w:val="StringTok"/>
        </w:rPr>
        <w:t xml:space="preserve">'sum'</w:t>
      </w:r>
      <w:r>
        <w:rPr>
          <w:rStyle w:val="NormalTok"/>
        </w:rPr>
        <w:t xml:space="preserve">)</w:t>
      </w:r>
      <w:r>
        <w:br/>
      </w:r>
      <w:r>
        <w:rPr>
          <w:rStyle w:val="ControlFlowTok"/>
        </w:rPr>
        <w:t xml:space="preserve">assert</w:t>
      </w:r>
      <w:r>
        <w:rPr>
          <w:rStyle w:val="NormalTok"/>
        </w:rPr>
        <w:t xml:space="preserve"> </w:t>
      </w:r>
      <w:r>
        <w:rPr>
          <w:rStyle w:val="BuiltInTok"/>
        </w:rPr>
        <w:t xml:space="preserve">set</w:t>
      </w:r>
      <w:r>
        <w:rPr>
          <w:rStyle w:val="NormalTok"/>
        </w:rPr>
        <w:t xml:space="preserve">(data.loc[data.BGF.gt(</w:t>
      </w:r>
      <w:r>
        <w:rPr>
          <w:rStyle w:val="DecValTok"/>
        </w:rPr>
        <w:t xml:space="preserve">0</w:t>
      </w:r>
      <w:r>
        <w:rPr>
          <w:rStyle w:val="NormalTok"/>
        </w:rPr>
        <w:t xml:space="preserve">),</w:t>
      </w:r>
      <w:r>
        <w:rPr>
          <w:rStyle w:val="StringTok"/>
        </w:rPr>
        <w:t xml:space="preserve">'Geometrie'</w:t>
      </w:r>
      <w:r>
        <w:rPr>
          <w:rStyle w:val="NormalTok"/>
        </w:rPr>
        <w:t xml:space="preserve">]).issubset(</w:t>
      </w:r>
      <w:r>
        <w:rPr>
          <w:rStyle w:val="BuiltInTok"/>
        </w:rPr>
        <w:t xml:space="preserve">set</w:t>
      </w:r>
      <w:r>
        <w:rPr>
          <w:rStyle w:val="NormalTok"/>
        </w:rPr>
        <w:t xml:space="preserve">(bins.Geometrie)), </w:t>
      </w:r>
      <w:r>
        <w:rPr>
          <w:rStyle w:val="StringTok"/>
        </w:rPr>
        <w:t xml:space="preserve">'GFZ-Zuordnung fehlt'</w:t>
      </w:r>
      <w:r>
        <w:br/>
      </w:r>
      <w:r>
        <w:rPr>
          <w:rStyle w:val="NormalTok"/>
        </w:rPr>
        <w:t xml:space="preserve">source_files.append(ROOT</w:t>
      </w:r>
      <w:r>
        <w:rPr>
          <w:rStyle w:val="OperatorTok"/>
        </w:rPr>
        <w:t xml:space="preserve">/</w:t>
      </w:r>
      <w:r>
        <w:rPr>
          <w:rStyle w:val="StringTok"/>
        </w:rPr>
        <w:t xml:space="preserve">'Berechnungen/gfz_at/outputs/recalculated/gfz_distribution_by_province_use_storeys.csv'</w:t>
      </w:r>
      <w:r>
        <w:rPr>
          <w:rStyle w:val="NormalTok"/>
        </w:rPr>
        <w:t xml:space="preserve">)</w:t>
      </w:r>
      <w:r>
        <w:br/>
      </w:r>
      <w:r>
        <w:rPr>
          <w:rStyle w:val="NormalTok"/>
        </w:rPr>
        <w:t xml:space="preserve">display(links)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GWR_Nutzung</w:t>
            </w:r>
          </w:p>
        </w:tc>
        <w:tc>
          <w:tcPr/>
          <w:p>
            <w:pPr>
              <w:pStyle w:val="Compact"/>
            </w:pPr>
            <w:r>
              <w:t xml:space="preserve">GK</w:t>
            </w:r>
          </w:p>
        </w:tc>
        <w:tc>
          <w:tcPr/>
          <w:p>
            <w:pPr>
              <w:pStyle w:val="Compact"/>
            </w:pPr>
            <w:r>
              <w:t xml:space="preserve">Geometrie</w:t>
            </w:r>
          </w:p>
        </w:tc>
        <w:tc>
          <w:tcPr/>
          <w:p>
            <w:pPr>
              <w:pStyle w:val="Compact"/>
            </w:pPr>
            <w:r>
              <w:t xml:space="preserve">Anteil</w:t>
            </w:r>
          </w:p>
        </w:tc>
      </w:tr>
      <w:tr>
        <w:tc>
          <w:tcPr/>
          <w:p>
            <w:pPr>
              <w:pStyle w:val="Compact"/>
            </w:pPr>
            <w:r>
              <w:t xml:space="preserve">0</w:t>
            </w:r>
          </w:p>
        </w:tc>
        <w:tc>
          <w:tcPr/>
          <w:p>
            <w:pPr>
              <w:pStyle w:val="Compact"/>
            </w:pPr>
            <w:r>
              <w:t xml:space="preserve">Gemeinschaftsgebäude</w:t>
            </w:r>
          </w:p>
        </w:tc>
        <w:tc>
          <w:tcPr/>
          <w:p>
            <w:pPr>
              <w:pStyle w:val="Compact"/>
            </w:pPr>
            <w:r>
              <w:t xml:space="preserve">1</w:t>
            </w:r>
          </w:p>
        </w:tc>
        <w:tc>
          <w:tcPr/>
          <w:p>
            <w:pPr>
              <w:pStyle w:val="Compact"/>
            </w:pPr>
            <w:r>
              <w:t xml:space="preserve">NiWo_1G</w:t>
            </w:r>
          </w:p>
        </w:tc>
        <w:tc>
          <w:tcPr/>
          <w:p>
            <w:pPr>
              <w:pStyle w:val="Compact"/>
            </w:pPr>
            <w:r>
              <w:t xml:space="preserve">1.0</w:t>
            </w:r>
          </w:p>
        </w:tc>
      </w:tr>
      <w:tr>
        <w:tc>
          <w:tcPr/>
          <w:p>
            <w:pPr>
              <w:pStyle w:val="Compact"/>
            </w:pPr>
            <w:r>
              <w:t xml:space="preserve">1</w:t>
            </w:r>
          </w:p>
        </w:tc>
        <w:tc>
          <w:tcPr/>
          <w:p>
            <w:pPr>
              <w:pStyle w:val="Compact"/>
            </w:pPr>
            <w:r>
              <w:t xml:space="preserve">Gemeinschaftsgebäude</w:t>
            </w:r>
          </w:p>
        </w:tc>
        <w:tc>
          <w:tcPr/>
          <w:p>
            <w:pPr>
              <w:pStyle w:val="Compact"/>
            </w:pPr>
            <w:r>
              <w:t xml:space="preserve">2</w:t>
            </w:r>
          </w:p>
        </w:tc>
        <w:tc>
          <w:tcPr/>
          <w:p>
            <w:pPr>
              <w:pStyle w:val="Compact"/>
            </w:pPr>
            <w:r>
              <w:t xml:space="preserve">NiWo_2G</w:t>
            </w:r>
          </w:p>
        </w:tc>
        <w:tc>
          <w:tcPr/>
          <w:p>
            <w:pPr>
              <w:pStyle w:val="Compact"/>
            </w:pPr>
            <w:r>
              <w:t xml:space="preserve">1.0</w:t>
            </w:r>
          </w:p>
        </w:tc>
      </w:tr>
      <w:tr>
        <w:tc>
          <w:tcPr/>
          <w:p>
            <w:pPr>
              <w:pStyle w:val="Compact"/>
            </w:pPr>
            <w:r>
              <w:t xml:space="preserve">2</w:t>
            </w:r>
          </w:p>
        </w:tc>
        <w:tc>
          <w:tcPr/>
          <w:p>
            <w:pPr>
              <w:pStyle w:val="Compact"/>
            </w:pPr>
            <w:r>
              <w:t xml:space="preserve">Gemeinschaftsgebäude</w:t>
            </w:r>
          </w:p>
        </w:tc>
        <w:tc>
          <w:tcPr/>
          <w:p>
            <w:pPr>
              <w:pStyle w:val="Compact"/>
            </w:pPr>
            <w:r>
              <w:t xml:space="preserve">3</w:t>
            </w:r>
          </w:p>
        </w:tc>
        <w:tc>
          <w:tcPr/>
          <w:p>
            <w:pPr>
              <w:pStyle w:val="Compact"/>
            </w:pPr>
            <w:r>
              <w:t xml:space="preserve">NiWo_3G</w:t>
            </w:r>
          </w:p>
        </w:tc>
        <w:tc>
          <w:tcPr/>
          <w:p>
            <w:pPr>
              <w:pStyle w:val="Compact"/>
            </w:pPr>
            <w:r>
              <w:t xml:space="preserve">1.0</w:t>
            </w:r>
          </w:p>
        </w:tc>
      </w:tr>
      <w:tr>
        <w:tc>
          <w:tcPr/>
          <w:p>
            <w:pPr>
              <w:pStyle w:val="Compact"/>
            </w:pPr>
            <w:r>
              <w:t xml:space="preserve">3</w:t>
            </w:r>
          </w:p>
        </w:tc>
        <w:tc>
          <w:tcPr/>
          <w:p>
            <w:pPr>
              <w:pStyle w:val="Compact"/>
            </w:pPr>
            <w:r>
              <w:t xml:space="preserve">Gemeinschaftsgebäude</w:t>
            </w:r>
          </w:p>
        </w:tc>
        <w:tc>
          <w:tcPr/>
          <w:p>
            <w:pPr>
              <w:pStyle w:val="Compact"/>
            </w:pPr>
            <w:r>
              <w:t xml:space="preserve">4</w:t>
            </w:r>
          </w:p>
        </w:tc>
        <w:tc>
          <w:tcPr/>
          <w:p>
            <w:pPr>
              <w:pStyle w:val="Compact"/>
            </w:pPr>
            <w:r>
              <w:t xml:space="preserve">NiWo_3G</w:t>
            </w:r>
          </w:p>
        </w:tc>
        <w:tc>
          <w:tcPr/>
          <w:p>
            <w:pPr>
              <w:pStyle w:val="Compact"/>
            </w:pPr>
            <w:r>
              <w:t xml:space="preserve">1.0</w:t>
            </w:r>
          </w:p>
        </w:tc>
      </w:tr>
      <w:tr>
        <w:tc>
          <w:tcPr/>
          <w:p>
            <w:pPr>
              <w:pStyle w:val="Compact"/>
            </w:pPr>
            <w:r>
              <w:t xml:space="preserve">4</w:t>
            </w:r>
          </w:p>
        </w:tc>
        <w:tc>
          <w:tcPr/>
          <w:p>
            <w:pPr>
              <w:pStyle w:val="Compact"/>
            </w:pPr>
            <w:r>
              <w:t xml:space="preserve">Gemeinschaftsgebäude</w:t>
            </w:r>
          </w:p>
        </w:tc>
        <w:tc>
          <w:tcPr/>
          <w:p>
            <w:pPr>
              <w:pStyle w:val="Compact"/>
            </w:pPr>
            <w:r>
              <w:t xml:space="preserve">5</w:t>
            </w:r>
          </w:p>
        </w:tc>
        <w:tc>
          <w:tcPr/>
          <w:p>
            <w:pPr>
              <w:pStyle w:val="Compact"/>
            </w:pPr>
            <w:r>
              <w:t xml:space="preserve">NiWo_3G</w:t>
            </w:r>
          </w:p>
        </w:tc>
        <w:tc>
          <w:tcPr/>
          <w:p>
            <w:pPr>
              <w:pStyle w:val="Compact"/>
            </w:pPr>
            <w:r>
              <w:t xml:space="preserve">1.0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62</w:t>
            </w:r>
          </w:p>
        </w:tc>
        <w:tc>
          <w:tcPr/>
          <w:p>
            <w:pPr>
              <w:pStyle w:val="Compact"/>
            </w:pPr>
            <w:r>
              <w:t xml:space="preserve">Mehrfamilienhaus</w:t>
            </w:r>
          </w:p>
        </w:tc>
        <w:tc>
          <w:tcPr/>
          <w:p>
            <w:pPr>
              <w:pStyle w:val="Compact"/>
            </w:pPr>
            <w:r>
              <w:t xml:space="preserve">3</w:t>
            </w:r>
          </w:p>
        </w:tc>
        <w:tc>
          <w:tcPr/>
          <w:p>
            <w:pPr>
              <w:pStyle w:val="Compact"/>
            </w:pPr>
            <w:r>
              <w:t xml:space="preserve">RH_2G</w:t>
            </w:r>
          </w:p>
        </w:tc>
        <w:tc>
          <w:tcPr/>
          <w:p>
            <w:pPr>
              <w:pStyle w:val="Compact"/>
            </w:pPr>
            <w:r>
              <w:t xml:space="preserve">0.5</w:t>
            </w:r>
          </w:p>
        </w:tc>
      </w:tr>
      <w:tr>
        <w:tc>
          <w:tcPr/>
          <w:p>
            <w:pPr>
              <w:pStyle w:val="Compact"/>
            </w:pPr>
            <w:r>
              <w:t xml:space="preserve">63</w:t>
            </w:r>
          </w:p>
        </w:tc>
        <w:tc>
          <w:tcPr/>
          <w:p>
            <w:pPr>
              <w:pStyle w:val="Compact"/>
            </w:pPr>
            <w:r>
              <w:t xml:space="preserve">Mehrfamilienhaus</w:t>
            </w:r>
          </w:p>
        </w:tc>
        <w:tc>
          <w:tcPr/>
          <w:p>
            <w:pPr>
              <w:pStyle w:val="Compact"/>
            </w:pPr>
            <w:r>
              <w:t xml:space="preserve">4</w:t>
            </w:r>
          </w:p>
        </w:tc>
        <w:tc>
          <w:tcPr/>
          <w:p>
            <w:pPr>
              <w:pStyle w:val="Compact"/>
            </w:pPr>
            <w:r>
              <w:t xml:space="preserve">MFH_4G</w:t>
            </w:r>
          </w:p>
        </w:tc>
        <w:tc>
          <w:tcPr/>
          <w:p>
            <w:pPr>
              <w:pStyle w:val="Compact"/>
            </w:pPr>
            <w:r>
              <w:t xml:space="preserve">1.0</w:t>
            </w:r>
          </w:p>
        </w:tc>
      </w:tr>
      <w:tr>
        <w:tc>
          <w:tcPr/>
          <w:p>
            <w:pPr>
              <w:pStyle w:val="Compact"/>
            </w:pPr>
            <w:r>
              <w:t xml:space="preserve">64</w:t>
            </w:r>
          </w:p>
        </w:tc>
        <w:tc>
          <w:tcPr/>
          <w:p>
            <w:pPr>
              <w:pStyle w:val="Compact"/>
            </w:pPr>
            <w:r>
              <w:t xml:space="preserve">Mehrfamilienhaus</w:t>
            </w:r>
          </w:p>
        </w:tc>
        <w:tc>
          <w:tcPr/>
          <w:p>
            <w:pPr>
              <w:pStyle w:val="Compact"/>
            </w:pPr>
            <w:r>
              <w:t xml:space="preserve">5</w:t>
            </w:r>
          </w:p>
        </w:tc>
        <w:tc>
          <w:tcPr/>
          <w:p>
            <w:pPr>
              <w:pStyle w:val="Compact"/>
            </w:pPr>
            <w:r>
              <w:t xml:space="preserve">GWB_5G</w:t>
            </w:r>
          </w:p>
        </w:tc>
        <w:tc>
          <w:tcPr/>
          <w:p>
            <w:pPr>
              <w:pStyle w:val="Compact"/>
            </w:pPr>
            <w:r>
              <w:t xml:space="preserve">1.0</w:t>
            </w:r>
          </w:p>
        </w:tc>
      </w:tr>
      <w:tr>
        <w:tc>
          <w:tcPr/>
          <w:p>
            <w:pPr>
              <w:pStyle w:val="Compact"/>
            </w:pPr>
            <w:r>
              <w:t xml:space="preserve">65</w:t>
            </w:r>
          </w:p>
        </w:tc>
        <w:tc>
          <w:tcPr/>
          <w:p>
            <w:pPr>
              <w:pStyle w:val="Compact"/>
            </w:pPr>
            <w:r>
              <w:t xml:space="preserve">Mehrfamilienhaus</w:t>
            </w:r>
          </w:p>
        </w:tc>
        <w:tc>
          <w:tcPr/>
          <w:p>
            <w:pPr>
              <w:pStyle w:val="Compact"/>
            </w:pPr>
            <w:r>
              <w:t xml:space="preserve">6-10</w:t>
            </w:r>
          </w:p>
        </w:tc>
        <w:tc>
          <w:tcPr/>
          <w:p>
            <w:pPr>
              <w:pStyle w:val="Compact"/>
            </w:pPr>
            <w:r>
              <w:t xml:space="preserve">GWB_7G</w:t>
            </w:r>
          </w:p>
        </w:tc>
        <w:tc>
          <w:tcPr/>
          <w:p>
            <w:pPr>
              <w:pStyle w:val="Compact"/>
            </w:pPr>
            <w:r>
              <w:t xml:space="preserve">1.0</w:t>
            </w:r>
          </w:p>
        </w:tc>
      </w:tr>
      <w:tr>
        <w:tc>
          <w:tcPr/>
          <w:p>
            <w:pPr>
              <w:pStyle w:val="Compact"/>
            </w:pPr>
            <w:r>
              <w:t xml:space="preserve">66</w:t>
            </w:r>
          </w:p>
        </w:tc>
        <w:tc>
          <w:tcPr/>
          <w:p>
            <w:pPr>
              <w:pStyle w:val="Compact"/>
            </w:pPr>
            <w:r>
              <w:t xml:space="preserve">Mehrfamilienhaus</w:t>
            </w:r>
          </w:p>
        </w:tc>
        <w:tc>
          <w:tcPr/>
          <w:p>
            <w:pPr>
              <w:pStyle w:val="Compact"/>
            </w:pPr>
            <w:r>
              <w:t xml:space="preserve">11+</w:t>
            </w:r>
          </w:p>
        </w:tc>
        <w:tc>
          <w:tcPr/>
          <w:p>
            <w:pPr>
              <w:pStyle w:val="Compact"/>
            </w:pPr>
            <w:r>
              <w:t xml:space="preserve">GWB_7G</w:t>
            </w:r>
          </w:p>
        </w:tc>
        <w:tc>
          <w:tcPr/>
          <w:p>
            <w:pPr>
              <w:pStyle w:val="Compact"/>
            </w:pPr>
            <w:r>
              <w:t xml:space="preserve">1.0</w:t>
            </w:r>
          </w:p>
        </w:tc>
      </w:tr>
    </w:tbl>
    <w:bookmarkEnd w:id="545"/>
    <w:bookmarkStart w:id="546" w:name="rechenmodell-und-bilanzkontrollen"/>
    <w:p>
      <w:pPr>
        <w:pStyle w:val="Heading2"/>
      </w:pPr>
      <w:r>
        <w:t xml:space="preserve">G.3 Rechenmodell und Bilanzkontrollen</w:t>
      </w:r>
    </w:p>
    <w:p>
      <w:pPr>
        <w:pStyle w:val="FirstParagraph"/>
      </w:pPr>
      <m:oMathPara>
        <m:oMathParaPr>
          <m:jc m:val="center"/>
        </m:oMathParaPr>
        <m:oMath>
          <m:sSub>
            <m:e>
              <m:r>
                <m:t>D</m:t>
              </m:r>
            </m:e>
            <m:sub>
              <m:r>
                <m:t>B</m:t>
              </m:r>
            </m:sub>
          </m:sSub>
          <m:r>
            <m:rPr>
              <m:sty m:val="p"/>
            </m:rPr>
            <m:t>=</m:t>
          </m:r>
          <m:nary>
            <m:naryPr>
              <m:chr m:val="∑"/>
              <m:limLoc m:val="undOvr"/>
              <m:subHide m:val="off"/>
              <m:supHide m:val="on"/>
            </m:naryPr>
            <m:sub>
              <m:r>
                <m:t>k</m:t>
              </m:r>
            </m:sub>
            <m:sup>
              <m:r>
                <m:t>​</m:t>
              </m:r>
            </m:sup>
            <m:e>
              <m:sSub>
                <m:e>
                  <m:r>
                    <m:t>A</m:t>
                  </m:r>
                </m:e>
                <m:sub>
                  <m:r>
                    <m:t>k</m:t>
                  </m:r>
                </m:sub>
              </m:sSub>
            </m:e>
          </m:nary>
          <m:r>
            <m:t>r</m:t>
          </m:r>
          <m:sSub>
            <m:e>
              <m:r>
                <m:t>e</m:t>
              </m:r>
            </m:e>
            <m:sub>
              <m:r>
                <m:t>e</m:t>
              </m:r>
              <m:r>
                <m:t>l</m:t>
              </m:r>
              <m:r>
                <m:rPr>
                  <m:sty m:val="p"/>
                </m:rPr>
                <m:t>,</m:t>
              </m:r>
              <m:r>
                <m:t>k</m:t>
              </m:r>
            </m:sub>
          </m:sSub>
          <m:r>
            <m:rPr>
              <m:sty m:val="p"/>
            </m:rPr>
            <m:t>(</m:t>
          </m:r>
          <m:r>
            <m:t>1</m:t>
          </m:r>
          <m:r>
            <m:rPr>
              <m:sty m:val="p"/>
            </m:rPr>
            <m:t>−</m:t>
          </m:r>
          <m:r>
            <m:t>u</m:t>
          </m:r>
          <m:r>
            <m:rPr>
              <m:sty m:val="p"/>
            </m:rPr>
            <m:t>)</m:t>
          </m:r>
          <m:r>
            <m:rPr>
              <m:sty m:val="p"/>
            </m:rPr>
            <m:t>,</m:t>
          </m:r>
          <m:r>
            <m:t> </m:t>
          </m:r>
          <m:sSub>
            <m:e>
              <m:r>
                <m:t>P</m:t>
              </m:r>
            </m:e>
            <m:sub>
              <m:r>
                <m:t>B</m:t>
              </m:r>
            </m:sub>
          </m:sSub>
          <m:r>
            <m:rPr>
              <m:sty m:val="p"/>
            </m:rPr>
            <m:t>=</m:t>
          </m:r>
          <m:nary>
            <m:naryPr>
              <m:chr m:val="∑"/>
              <m:limLoc m:val="undOvr"/>
              <m:subHide m:val="off"/>
              <m:supHide m:val="on"/>
            </m:naryPr>
            <m:sub>
              <m:r>
                <m:t>k</m:t>
              </m:r>
            </m:sub>
            <m:sup>
              <m:r>
                <m:t>​</m:t>
              </m:r>
            </m:sup>
            <m:e>
              <m:sSub>
                <m:e>
                  <m:r>
                    <m:t>A</m:t>
                  </m:r>
                </m:e>
                <m:sub>
                  <m:r>
                    <m:t>k</m:t>
                  </m:r>
                </m:sub>
              </m:sSub>
            </m:e>
          </m:nary>
          <m:r>
            <m:t>r</m:t>
          </m:r>
          <m:sSub>
            <m:e>
              <m:r>
                <m:t>e</m:t>
              </m:r>
            </m:e>
            <m:sub>
              <m:r>
                <m:t>P</m:t>
              </m:r>
              <m:r>
                <m:t>V</m:t>
              </m:r>
              <m:r>
                <m:rPr>
                  <m:sty m:val="p"/>
                </m:rPr>
                <m:t>,</m:t>
              </m:r>
              <m:r>
                <m:t>k</m:t>
              </m:r>
            </m:sub>
          </m:sSub>
          <m:r>
            <m:t>v</m:t>
          </m:r>
          <m:r>
            <m:rPr>
              <m:sty m:val="p"/>
            </m:rPr>
            <m:t>.</m:t>
          </m:r>
        </m:oMath>
      </m:oMathPara>
    </w:p>
    <w:p>
      <w:pPr>
        <w:pStyle w:val="FirstParagraph"/>
      </w:pPr>
      <w:r>
        <w:t xml:space="preserve">Gebäude-PV enthält Eigenverbrauch und Einspeisung. Freiflächen-PV gehört zu den zentralen Großkraftwerken. H₂ (4 PJ/a) und fossiler Strom (1 PJ/a) sind vollständig enthalten. Als dokumentierte Modellannahme vom 29.10.2026 gelten 5 statt 7 PJ/a Nettoexport; Quelldaten bleiben unverändert.</w:t>
      </w:r>
    </w:p>
    <w:p>
      <w:pPr>
        <w:pStyle w:val="BodyText"/>
      </w:pPr>
      <w:r>
        <w:t xml:space="preserve">Die zentrale Restdeckung</w:t>
      </w:r>
      <w:r>
        <w:t xml:space="preserve"> </w:t>
      </w:r>
      <m:oMath>
        <m:r>
          <m:t>R</m:t>
        </m:r>
      </m:oMath>
      <w:r>
        <w:t xml:space="preserve"> </w:t>
      </w:r>
      <w:r>
        <w:t xml:space="preserve">nach allen Bedarfen außerhalb Gebäude + MIV wird ohne MIV-Obergrenze zugeordnet. Negative Reste werden als zentraler Fehlbetrag sichtbar und durch Gebäude-PV ausgeglichen.</w:t>
      </w:r>
    </w:p>
    <w:p>
      <w:pPr>
        <w:pStyle w:val="BodyText"/>
      </w:pPr>
      <m:oMathPara>
        <m:oMathParaPr>
          <m:jc m:val="center"/>
        </m:oMathParaPr>
        <m:oMath>
          <m:sSub>
            <m:e>
              <m:r>
                <m:t>T</m:t>
              </m:r>
            </m:e>
            <m:sub>
              <m:r>
                <m:t>B</m:t>
              </m:r>
            </m:sub>
          </m:sSub>
          <m:r>
            <m:rPr>
              <m:sty m:val="p"/>
            </m:rPr>
            <m:t>=</m:t>
          </m:r>
          <m:sSub>
            <m:e>
              <m:r>
                <m:t>P</m:t>
              </m:r>
            </m:e>
            <m:sub>
              <m:r>
                <m:t>P</m:t>
              </m:r>
              <m:r>
                <m:t>V</m:t>
              </m:r>
              <m:r>
                <m:rPr>
                  <m:sty m:val="p"/>
                </m:rPr>
                <m:t>,</m:t>
              </m:r>
              <m:r>
                <m:t>T</m:t>
              </m:r>
              <m:r>
                <m:t>D</m:t>
              </m:r>
            </m:sub>
          </m:sSub>
          <m:r>
            <m:rPr>
              <m:sty m:val="p"/>
            </m:rPr>
            <m:t>(</m:t>
          </m:r>
          <m:r>
            <m:t>1</m:t>
          </m:r>
          <m:r>
            <m:rPr>
              <m:sty m:val="p"/>
            </m:rPr>
            <m:t>−</m:t>
          </m:r>
          <m:r>
            <m:t>f</m:t>
          </m:r>
          <m:r>
            <m:rPr>
              <m:sty m:val="p"/>
            </m:rPr>
            <m:t>)</m:t>
          </m:r>
          <m:r>
            <m:rPr>
              <m:sty m:val="p"/>
            </m:rPr>
            <m:t>−</m:t>
          </m:r>
          <m:sSub>
            <m:e>
              <m:r>
                <m:t>D</m:t>
              </m:r>
            </m:e>
            <m:sub>
              <m:r>
                <m:t>B</m:t>
              </m:r>
              <m:r>
                <m:rPr>
                  <m:sty m:val="p"/>
                </m:rPr>
                <m:t>,</m:t>
              </m:r>
              <m:r>
                <m:t>T</m:t>
              </m:r>
              <m:r>
                <m:t>D</m:t>
              </m:r>
            </m:sub>
          </m:sSub>
          <m:r>
            <m:rPr>
              <m:sty m:val="p"/>
            </m:rPr>
            <m:t>,</m:t>
          </m:r>
          <m:r>
            <m:t> </m:t>
          </m:r>
          <m:sSub>
            <m:e>
              <m:r>
                <m:t>T</m:t>
              </m:r>
            </m:e>
            <m:sub>
              <m:r>
                <m:t>B</m:t>
              </m:r>
              <m:r>
                <m:rPr>
                  <m:sty m:val="p"/>
                </m:rPr>
                <m:t>+</m:t>
              </m:r>
              <m:r>
                <m:t>M</m:t>
              </m:r>
              <m:r>
                <m:t>I</m:t>
              </m:r>
              <m:r>
                <m:t>V</m:t>
              </m:r>
            </m:sub>
          </m:sSub>
          <m:r>
            <m:rPr>
              <m:sty m:val="p"/>
            </m:rPr>
            <m:t>=</m:t>
          </m:r>
          <m:sSub>
            <m:e>
              <m:r>
                <m:t>T</m:t>
              </m:r>
            </m:e>
            <m:sub>
              <m:r>
                <m:t>B</m:t>
              </m:r>
            </m:sub>
          </m:sSub>
          <m:r>
            <m:rPr>
              <m:sty m:val="p"/>
            </m:rPr>
            <m:t>+</m:t>
          </m:r>
          <m:r>
            <m:t>R</m:t>
          </m:r>
          <m:r>
            <m:rPr>
              <m:sty m:val="p"/>
            </m:rPr>
            <m:t>−</m:t>
          </m:r>
          <m:sSub>
            <m:e>
              <m:r>
                <m:t>D</m:t>
              </m:r>
            </m:e>
            <m:sub>
              <m:r>
                <m:t>M</m:t>
              </m:r>
              <m:r>
                <m:t>I</m:t>
              </m:r>
              <m:r>
                <m:t>V</m:t>
              </m:r>
            </m:sub>
          </m:sSub>
          <m:r>
            <m:rPr>
              <m:sty m:val="p"/>
            </m:rPr>
            <m:t>=</m:t>
          </m:r>
          <m:r>
            <m:t>0</m:t>
          </m:r>
          <m:r>
            <m:rPr>
              <m:sty m:val="p"/>
            </m:rPr>
            <m:t>.</m:t>
          </m:r>
        </m:oMath>
      </m:oMathPara>
    </w:p>
    <w:p>
      <w:pPr>
        <w:pStyle w:val="FirstParagraph"/>
      </w:pPr>
      <w:r>
        <w:t xml:space="preserve">Bottom-Up und Top-Down verwenden dieselbe Restdeckung. Ihre Differenz ist</w:t>
      </w:r>
      <w:r>
        <w:t xml:space="preserve"> </w:t>
      </w:r>
      <m:oMath>
        <m:r>
          <m:rPr>
            <m:sty m:val="p"/>
          </m:rPr>
          <m:t>Δ</m:t>
        </m:r>
        <m:r>
          <m:rPr>
            <m:sty m:val="p"/>
          </m:rPr>
          <m:t>=</m:t>
        </m:r>
        <m:r>
          <m:rPr>
            <m:sty m:val="p"/>
          </m:rPr>
          <m:t>(</m:t>
        </m:r>
        <m:sSub>
          <m:e>
            <m:r>
              <m:t>P</m:t>
            </m:r>
          </m:e>
          <m:sub>
            <m:r>
              <m:t>B</m:t>
            </m:r>
          </m:sub>
        </m:sSub>
        <m:r>
          <m:rPr>
            <m:sty m:val="p"/>
          </m:rPr>
          <m:t>−</m:t>
        </m:r>
        <m:sSub>
          <m:e>
            <m:r>
              <m:t>D</m:t>
            </m:r>
          </m:e>
          <m:sub>
            <m:r>
              <m:t>B</m:t>
            </m:r>
          </m:sub>
        </m:sSub>
        <m:r>
          <m:rPr>
            <m:sty m:val="p"/>
          </m:rPr>
          <m:t>)</m:t>
        </m:r>
        <m:r>
          <m:rPr>
            <m:sty m:val="p"/>
          </m:rPr>
          <m:t>−</m:t>
        </m:r>
        <m:sSub>
          <m:e>
            <m:r>
              <m:t>T</m:t>
            </m:r>
          </m:e>
          <m:sub>
            <m:r>
              <m:t>B</m:t>
            </m:r>
          </m:sub>
        </m:sSub>
      </m:oMath>
      <w:r>
        <w:t xml:space="preserve">. Dichtewerte bleiben separat; sie schließen keine physische Energielücke.</w:t>
      </w:r>
    </w:p>
    <w:p>
      <w:pPr>
        <w:pStyle w:val="SourceCode"/>
      </w:pPr>
      <w:r>
        <w:rPr>
          <w:rStyle w:val="NormalTok"/>
        </w:rPr>
        <w:t xml:space="preserve">generation_keys</w:t>
      </w:r>
      <w:r>
        <w:rPr>
          <w:rStyle w:val="OperatorTok"/>
        </w:rPr>
        <w:t xml:space="preserve">=</w:t>
      </w:r>
      <w:r>
        <w:rPr>
          <w:rStyle w:val="NormalTok"/>
        </w:rPr>
        <w:t xml:space="preserve">[</w:t>
      </w:r>
      <w:r>
        <w:rPr>
          <w:rStyle w:val="StringTok"/>
        </w:rPr>
        <w:t xml:space="preserve">'hydro'</w:t>
      </w:r>
      <w:r>
        <w:rPr>
          <w:rStyle w:val="NormalTok"/>
        </w:rPr>
        <w:t xml:space="preserve">,</w:t>
      </w:r>
      <w:r>
        <w:rPr>
          <w:rStyle w:val="StringTok"/>
        </w:rPr>
        <w:t xml:space="preserve">'wind'</w:t>
      </w:r>
      <w:r>
        <w:rPr>
          <w:rStyle w:val="NormalTok"/>
        </w:rPr>
        <w:t xml:space="preserve">,</w:t>
      </w:r>
      <w:r>
        <w:rPr>
          <w:rStyle w:val="StringTok"/>
        </w:rPr>
        <w:t xml:space="preserve">'biomass'</w:t>
      </w:r>
      <w:r>
        <w:rPr>
          <w:rStyle w:val="NormalTok"/>
        </w:rPr>
        <w:t xml:space="preserve">,</w:t>
      </w:r>
      <w:r>
        <w:rPr>
          <w:rStyle w:val="StringTok"/>
        </w:rPr>
        <w:t xml:space="preserve">'geothermal'</w:t>
      </w:r>
      <w:r>
        <w:rPr>
          <w:rStyle w:val="NormalTok"/>
        </w:rPr>
        <w:t xml:space="preserve">,</w:t>
      </w:r>
      <w:r>
        <w:rPr>
          <w:rStyle w:val="StringTok"/>
        </w:rPr>
        <w:t xml:space="preserve">'hydrogen_electricity'</w:t>
      </w:r>
      <w:r>
        <w:rPr>
          <w:rStyle w:val="NormalTok"/>
        </w:rPr>
        <w:t xml:space="preserve">,</w:t>
      </w:r>
      <w:r>
        <w:rPr>
          <w:rStyle w:val="StringTok"/>
        </w:rPr>
        <w:t xml:space="preserve">'pv'</w:t>
      </w:r>
      <w:r>
        <w:rPr>
          <w:rStyle w:val="NormalTok"/>
        </w:rPr>
        <w:t xml:space="preserve">,</w:t>
      </w:r>
      <w:r>
        <w:rPr>
          <w:rStyle w:val="StringTok"/>
        </w:rPr>
        <w:t xml:space="preserve">'fossil'</w:t>
      </w:r>
      <w:r>
        <w:rPr>
          <w:rStyle w:val="NormalTok"/>
        </w:rPr>
        <w:t xml:space="preserve">]</w:t>
      </w:r>
      <w:r>
        <w:br/>
      </w:r>
      <w:r>
        <w:rPr>
          <w:rStyle w:val="NormalTok"/>
        </w:rPr>
        <w:t xml:space="preserve">demand_keys</w:t>
      </w:r>
      <w:r>
        <w:rPr>
          <w:rStyle w:val="OperatorTok"/>
        </w:rPr>
        <w:t xml:space="preserve">=</w:t>
      </w:r>
      <w:r>
        <w:rPr>
          <w:rStyle w:val="NormalTok"/>
        </w:rPr>
        <w:t xml:space="preserve">[</w:t>
      </w:r>
      <w:r>
        <w:rPr>
          <w:rStyle w:val="StringTok"/>
        </w:rPr>
        <w:t xml:space="preserve">'verkehr'</w:t>
      </w:r>
      <w:r>
        <w:rPr>
          <w:rStyle w:val="NormalTok"/>
        </w:rPr>
        <w:t xml:space="preserve">,</w:t>
      </w:r>
      <w:r>
        <w:rPr>
          <w:rStyle w:val="StringTok"/>
        </w:rPr>
        <w:t xml:space="preserve">'gebaeude'</w:t>
      </w:r>
      <w:r>
        <w:rPr>
          <w:rStyle w:val="NormalTok"/>
        </w:rPr>
        <w:t xml:space="preserve">,</w:t>
      </w:r>
      <w:r>
        <w:rPr>
          <w:rStyle w:val="StringTok"/>
        </w:rPr>
        <w:t xml:space="preserve">'industrie'</w:t>
      </w:r>
      <w:r>
        <w:rPr>
          <w:rStyle w:val="NormalTok"/>
        </w:rPr>
        <w:t xml:space="preserve">,</w:t>
      </w:r>
      <w:r>
        <w:rPr>
          <w:rStyle w:val="StringTok"/>
        </w:rPr>
        <w:t xml:space="preserve">'landwirtschaft'</w:t>
      </w:r>
      <w:r>
        <w:rPr>
          <w:rStyle w:val="NormalTok"/>
        </w:rPr>
        <w:t xml:space="preserve">,</w:t>
      </w:r>
      <w:r>
        <w:rPr>
          <w:rStyle w:val="StringTok"/>
        </w:rPr>
        <w:t xml:space="preserve">'verbrauch_sektor_energie'</w:t>
      </w:r>
      <w:r>
        <w:rPr>
          <w:rStyle w:val="NormalTok"/>
        </w:rPr>
        <w:t xml:space="preserve">,</w:t>
      </w:r>
      <w:r>
        <w:rPr>
          <w:rStyle w:val="StringTok"/>
        </w:rPr>
        <w:t xml:space="preserve">'transportverluste'</w:t>
      </w:r>
      <w:r>
        <w:rPr>
          <w:rStyle w:val="NormalTok"/>
        </w:rPr>
        <w:t xml:space="preserve">,</w:t>
      </w:r>
      <w:r>
        <w:rPr>
          <w:rStyle w:val="StringTok"/>
        </w:rPr>
        <w:t xml:space="preserve">'umwandlungseinsatz'</w:t>
      </w:r>
      <w:r>
        <w:rPr>
          <w:rStyle w:val="NormalTok"/>
        </w:rPr>
        <w:t xml:space="preserve">]</w:t>
      </w:r>
      <w:r>
        <w:br/>
      </w:r>
      <w:r>
        <w:rPr>
          <w:rStyle w:val="NormalTok"/>
        </w:rPr>
        <w:t xml:space="preserve">residual</w:t>
      </w:r>
      <w:r>
        <w:rPr>
          <w:rStyle w:val="OperatorTok"/>
        </w:rPr>
        <w:t xml:space="preserve">=</w:t>
      </w:r>
      <w:r>
        <w:rPr>
          <w:rStyle w:val="BuiltInTok"/>
        </w:rPr>
        <w:t xml:space="preserve">sum</w:t>
      </w:r>
      <w:r>
        <w:rPr>
          <w:rStyle w:val="NormalTok"/>
        </w:rPr>
        <w:t xml:space="preserve">(g[k] </w:t>
      </w:r>
      <w:r>
        <w:rPr>
          <w:rStyle w:val="ControlFlowTok"/>
        </w:rPr>
        <w:t xml:space="preserve">for</w:t>
      </w:r>
      <w:r>
        <w:rPr>
          <w:rStyle w:val="NormalTok"/>
        </w:rPr>
        <w:t xml:space="preserve"> k </w:t>
      </w:r>
      <w:r>
        <w:rPr>
          <w:rStyle w:val="KeywordTok"/>
        </w:rPr>
        <w:t xml:space="preserve">in</w:t>
      </w:r>
      <w:r>
        <w:rPr>
          <w:rStyle w:val="NormalTok"/>
        </w:rPr>
        <w:t xml:space="preserve"> generation_keys)</w:t>
      </w:r>
      <w:r>
        <w:rPr>
          <w:rStyle w:val="OperatorTok"/>
        </w:rPr>
        <w:t xml:space="preserve">+</w:t>
      </w:r>
      <w:r>
        <w:rPr>
          <w:rStyle w:val="NormalTok"/>
        </w:rPr>
        <w:t xml:space="preserve">g[</w:t>
      </w:r>
      <w:r>
        <w:rPr>
          <w:rStyle w:val="StringTok"/>
        </w:rPr>
        <w:t xml:space="preserve">'net_imports'</w:t>
      </w:r>
      <w:r>
        <w:rPr>
          <w:rStyle w:val="NormalTok"/>
        </w:rPr>
        <w:t xml:space="preserve">]</w:t>
      </w:r>
      <w:r>
        <w:rPr>
          <w:rStyle w:val="OperatorTok"/>
        </w:rPr>
        <w:t xml:space="preserve">-</w:t>
      </w:r>
      <w:r>
        <w:rPr>
          <w:rStyle w:val="BuiltInTok"/>
        </w:rPr>
        <w:t xml:space="preserve">sum</w:t>
      </w:r>
      <w:r>
        <w:rPr>
          <w:rStyle w:val="NormalTok"/>
        </w:rPr>
        <w:t xml:space="preserve">(d[k] </w:t>
      </w:r>
      <w:r>
        <w:rPr>
          <w:rStyle w:val="ControlFlowTok"/>
        </w:rPr>
        <w:t xml:space="preserve">for</w:t>
      </w:r>
      <w:r>
        <w:rPr>
          <w:rStyle w:val="NormalTok"/>
        </w:rPr>
        <w:t xml:space="preserve"> k </w:t>
      </w:r>
      <w:r>
        <w:rPr>
          <w:rStyle w:val="KeywordTok"/>
        </w:rPr>
        <w:t xml:space="preserve">in</w:t>
      </w:r>
      <w:r>
        <w:rPr>
          <w:rStyle w:val="NormalTok"/>
        </w:rPr>
        <w:t xml:space="preserve"> demand_keys)</w:t>
      </w:r>
      <w:r>
        <w:br/>
      </w:r>
      <w:r>
        <w:rPr>
          <w:rStyle w:val="ControlFlowTok"/>
        </w:rPr>
        <w:t xml:space="preserve">assert</w:t>
      </w:r>
      <w:r>
        <w:rPr>
          <w:rStyle w:val="NormalTok"/>
        </w:rPr>
        <w:t xml:space="preserve"> SCENARIO </w:t>
      </w:r>
      <w:r>
        <w:rPr>
          <w:rStyle w:val="OperatorTok"/>
        </w:rPr>
        <w:t xml:space="preserve">==</w:t>
      </w:r>
      <w:r>
        <w:rPr>
          <w:rStyle w:val="NormalTok"/>
        </w:rPr>
        <w:t xml:space="preserve"> </w:t>
      </w:r>
      <w:r>
        <w:rPr>
          <w:rStyle w:val="StringTok"/>
        </w:rPr>
        <w:t xml:space="preserve">'transition_2040'</w:t>
      </w:r>
      <w:r>
        <w:rPr>
          <w:rStyle w:val="NormalTok"/>
        </w:rPr>
        <w:t xml:space="preserve">, </w:t>
      </w:r>
      <w:r>
        <w:rPr>
          <w:rStyle w:val="StringTok"/>
        </w:rPr>
        <w:t xml:space="preserve">'Exportannahme nur für Transition 2040'</w:t>
      </w:r>
      <w:r>
        <w:br/>
      </w:r>
      <w:r>
        <w:rPr>
          <w:rStyle w:val="NormalTok"/>
        </w:rPr>
        <w:t xml:space="preserve">assumptions</w:t>
      </w:r>
      <w:r>
        <w:rPr>
          <w:rStyle w:val="OperatorTok"/>
        </w:rPr>
        <w:t xml:space="preserve">=</w:t>
      </w:r>
      <w:r>
        <w:rPr>
          <w:rStyle w:val="BuiltInTok"/>
        </w:rPr>
        <w:t xml:space="preserve">dict</w:t>
      </w:r>
      <w:r>
        <w:rPr>
          <w:rStyle w:val="NormalTok"/>
        </w:rPr>
        <w:t xml:space="preserve">(date</w:t>
      </w:r>
      <w:r>
        <w:rPr>
          <w:rStyle w:val="OperatorTok"/>
        </w:rPr>
        <w:t xml:space="preserve">=</w:t>
      </w:r>
      <w:r>
        <w:rPr>
          <w:rStyle w:val="StringTok"/>
        </w:rPr>
        <w:t xml:space="preserve">'2026-10-29'</w:t>
      </w:r>
      <w:r>
        <w:rPr>
          <w:rStyle w:val="NormalTok"/>
        </w:rPr>
        <w:t xml:space="preserve">,source_net_exports_pj</w:t>
      </w:r>
      <w:r>
        <w:rPr>
          <w:rStyle w:val="OperatorTok"/>
        </w:rPr>
        <w:t xml:space="preserve">=</w:t>
      </w:r>
      <w:r>
        <w:rPr>
          <w:rStyle w:val="DecValTok"/>
        </w:rPr>
        <w:t xml:space="preserve">7</w:t>
      </w:r>
      <w:r>
        <w:rPr>
          <w:rStyle w:val="NormalTok"/>
        </w:rPr>
        <w:t xml:space="preserve">,model_net_exports_pj</w:t>
      </w:r>
      <w:r>
        <w:rPr>
          <w:rStyle w:val="OperatorTok"/>
        </w:rPr>
        <w:t xml:space="preserve">=</w:t>
      </w:r>
      <w:r>
        <w:rPr>
          <w:rStyle w:val="DecValTok"/>
        </w:rPr>
        <w:t xml:space="preserve">5</w:t>
      </w:r>
      <w:r>
        <w:rPr>
          <w:rStyle w:val="NormalTok"/>
        </w:rPr>
        <w:t xml:space="preserve">,export_adjustment_pj</w:t>
      </w:r>
      <w:r>
        <w:rPr>
          <w:rStyle w:val="OperatorTok"/>
        </w:rPr>
        <w:t xml:space="preserve">=-</w:t>
      </w:r>
      <w:r>
        <w:rPr>
          <w:rStyle w:val="DecValTok"/>
        </w:rPr>
        <w:t xml:space="preserve">2</w:t>
      </w:r>
      <w:r>
        <w:rPr>
          <w:rStyle w:val="NormalTok"/>
        </w:rPr>
        <w:t xml:space="preserve">,</w:t>
      </w:r>
      <w:r>
        <w:br/>
      </w:r>
      <w:r>
        <w:rPr>
          <w:rStyle w:val="NormalTok"/>
        </w:rPr>
        <w:t xml:space="preserve">    reason</w:t>
      </w:r>
      <w:r>
        <w:rPr>
          <w:rStyle w:val="OperatorTok"/>
        </w:rPr>
        <w:t xml:space="preserve">=</w:t>
      </w:r>
      <w:r>
        <w:rPr>
          <w:rStyle w:val="StringTok"/>
        </w:rPr>
        <w:t xml:space="preserve">'Modellannahme zur Bilanzschließung'</w:t>
      </w:r>
      <w:r>
        <w:rPr>
          <w:rStyle w:val="NormalTok"/>
        </w:rPr>
        <w:t xml:space="preserve">,hydrogen_electricity_included_pj</w:t>
      </w:r>
      <w:r>
        <w:rPr>
          <w:rStyle w:val="OperatorTok"/>
        </w:rPr>
        <w:t xml:space="preserve">=</w:t>
      </w:r>
      <w:r>
        <w:rPr>
          <w:rStyle w:val="DecValTok"/>
        </w:rPr>
        <w:t xml:space="preserve">4</w:t>
      </w:r>
      <w:r>
        <w:rPr>
          <w:rStyle w:val="NormalTok"/>
        </w:rPr>
        <w:t xml:space="preserve">,fossil_included_pj</w:t>
      </w:r>
      <w:r>
        <w:rPr>
          <w:rStyle w:val="OperatorTok"/>
        </w:rPr>
        <w:t xml:space="preserve">=</w:t>
      </w:r>
      <w:r>
        <w:rPr>
          <w:rStyle w:val="DecValTok"/>
        </w:rPr>
        <w:t xml:space="preserve">1</w:t>
      </w:r>
      <w:r>
        <w:rPr>
          <w:rStyle w:val="NormalTok"/>
        </w:rPr>
        <w:t xml:space="preserve">)</w:t>
      </w:r>
      <w:r>
        <w:br/>
      </w:r>
      <w:r>
        <w:rPr>
          <w:rStyle w:val="NormalTok"/>
        </w:rPr>
        <w:t xml:space="preserve">model_net_imports</w:t>
      </w:r>
      <w:r>
        <w:rPr>
          <w:rStyle w:val="OperatorTok"/>
        </w:rPr>
        <w:t xml:space="preserve">=-</w:t>
      </w:r>
      <w:r>
        <w:rPr>
          <w:rStyle w:val="NormalTok"/>
        </w:rPr>
        <w:t xml:space="preserve">assumptions[</w:t>
      </w:r>
      <w:r>
        <w:rPr>
          <w:rStyle w:val="StringTok"/>
        </w:rPr>
        <w:t xml:space="preserve">'model_net_exports_pj'</w:t>
      </w:r>
      <w:r>
        <w:rPr>
          <w:rStyle w:val="NormalTok"/>
        </w:rPr>
        <w:t xml:space="preserve">]</w:t>
      </w:r>
      <w:r>
        <w:br/>
      </w:r>
      <w:r>
        <w:rPr>
          <w:rStyle w:val="NormalTok"/>
        </w:rPr>
        <w:t xml:space="preserve">model_residual</w:t>
      </w:r>
      <w:r>
        <w:rPr>
          <w:rStyle w:val="OperatorTok"/>
        </w:rPr>
        <w:t xml:space="preserve">=</w:t>
      </w:r>
      <w:r>
        <w:rPr>
          <w:rStyle w:val="NormalTok"/>
        </w:rPr>
        <w:t xml:space="preserve">residual</w:t>
      </w:r>
      <w:r>
        <w:rPr>
          <w:rStyle w:val="OperatorTok"/>
        </w:rPr>
        <w:t xml:space="preserve">+</w:t>
      </w:r>
      <w:r>
        <w:rPr>
          <w:rStyle w:val="NormalTok"/>
        </w:rPr>
        <w:t xml:space="preserve">model_net_imports</w:t>
      </w:r>
      <w:r>
        <w:rPr>
          <w:rStyle w:val="OperatorTok"/>
        </w:rPr>
        <w:t xml:space="preserve">-</w:t>
      </w:r>
      <w:r>
        <w:rPr>
          <w:rStyle w:val="NormalTok"/>
        </w:rPr>
        <w:t xml:space="preserve">g[</w:t>
      </w:r>
      <w:r>
        <w:rPr>
          <w:rStyle w:val="StringTok"/>
        </w:rPr>
        <w:t xml:space="preserve">'net_imports'</w:t>
      </w:r>
      <w:r>
        <w:rPr>
          <w:rStyle w:val="NormalTok"/>
        </w:rPr>
        <w:t xml:space="preserve">]</w:t>
      </w:r>
      <w:r>
        <w:br/>
      </w:r>
      <w:r>
        <w:rPr>
          <w:rStyle w:val="CommentTok"/>
        </w:rPr>
        <w:t xml:space="preserve"># Aggregation in PJ bei r=1; der editierbare Flächenfaktor wird erst im Dashboard angewandt.</w:t>
      </w:r>
      <w:r>
        <w:br/>
      </w:r>
      <w:r>
        <w:rPr>
          <w:rStyle w:val="NormalTok"/>
        </w:rPr>
        <w:t xml:space="preserve">active</w:t>
      </w:r>
      <w:r>
        <w:rPr>
          <w:rStyle w:val="OperatorTok"/>
        </w:rPr>
        <w:t xml:space="preserve">=</w:t>
      </w:r>
      <w:r>
        <w:rPr>
          <w:rStyle w:val="NormalTok"/>
        </w:rPr>
        <w:t xml:space="preserve">data.loc[data.BGF.gt(</w:t>
      </w:r>
      <w:r>
        <w:rPr>
          <w:rStyle w:val="DecValTok"/>
        </w:rPr>
        <w:t xml:space="preserve">0</w:t>
      </w:r>
      <w:r>
        <w:rPr>
          <w:rStyle w:val="NormalTok"/>
        </w:rPr>
        <w:t xml:space="preserve">)].copy()</w:t>
      </w:r>
      <w:r>
        <w:br/>
      </w:r>
      <w:r>
        <w:rPr>
          <w:rStyle w:val="NormalTok"/>
        </w:rPr>
        <w:t xml:space="preserve">active[</w:t>
      </w:r>
      <w:r>
        <w:rPr>
          <w:rStyle w:val="StringTok"/>
        </w:rPr>
        <w:t xml:space="preserve">'D'</w:t>
      </w:r>
      <w:r>
        <w:rPr>
          <w:rStyle w:val="NormalTok"/>
        </w:rPr>
        <w:t xml:space="preserve">]</w:t>
      </w:r>
      <w:r>
        <w:rPr>
          <w:rStyle w:val="OperatorTok"/>
        </w:rPr>
        <w:t xml:space="preserve">=</w:t>
      </w:r>
      <w:r>
        <w:rPr>
          <w:rStyle w:val="NormalTok"/>
        </w:rPr>
        <w:t xml:space="preserve">active.BGF</w:t>
      </w:r>
      <w:r>
        <w:rPr>
          <w:rStyle w:val="OperatorTok"/>
        </w:rPr>
        <w:t xml:space="preserve">*</w:t>
      </w:r>
      <w:r>
        <w:rPr>
          <w:rStyle w:val="NormalTok"/>
        </w:rPr>
        <w:t xml:space="preserve">active.demand</w:t>
      </w:r>
      <w:r>
        <w:rPr>
          <w:rStyle w:val="OperatorTok"/>
        </w:rPr>
        <w:t xml:space="preserve">*</w:t>
      </w:r>
      <w:r>
        <w:rPr>
          <w:rStyle w:val="FloatTok"/>
        </w:rPr>
        <w:t xml:space="preserve">3.6e-9</w:t>
      </w:r>
      <w:r>
        <w:br/>
      </w:r>
      <w:r>
        <w:rPr>
          <w:rStyle w:val="NormalTok"/>
        </w:rPr>
        <w:t xml:space="preserve">active[</w:t>
      </w:r>
      <w:r>
        <w:rPr>
          <w:rStyle w:val="StringTok"/>
        </w:rPr>
        <w:t xml:space="preserve">'P'</w:t>
      </w:r>
      <w:r>
        <w:rPr>
          <w:rStyle w:val="NormalTok"/>
        </w:rPr>
        <w:t xml:space="preserve">]</w:t>
      </w:r>
      <w:r>
        <w:rPr>
          <w:rStyle w:val="OperatorTok"/>
        </w:rPr>
        <w:t xml:space="preserve">=</w:t>
      </w:r>
      <w:r>
        <w:rPr>
          <w:rStyle w:val="NormalTok"/>
        </w:rPr>
        <w:t xml:space="preserve">active.BGF</w:t>
      </w:r>
      <w:r>
        <w:rPr>
          <w:rStyle w:val="OperatorTok"/>
        </w:rPr>
        <w:t xml:space="preserve">*</w:t>
      </w:r>
      <w:r>
        <w:rPr>
          <w:rStyle w:val="NormalTok"/>
        </w:rPr>
        <w:t xml:space="preserve">active.pv</w:t>
      </w:r>
      <w:r>
        <w:rPr>
          <w:rStyle w:val="OperatorTok"/>
        </w:rPr>
        <w:t xml:space="preserve">*</w:t>
      </w:r>
      <w:r>
        <w:rPr>
          <w:rStyle w:val="FloatTok"/>
        </w:rPr>
        <w:t xml:space="preserve">3.6e-9</w:t>
      </w:r>
      <w:r>
        <w:br/>
      </w:r>
      <w:r>
        <w:rPr>
          <w:rStyle w:val="NormalTok"/>
        </w:rPr>
        <w:t xml:space="preserve">geometry</w:t>
      </w:r>
      <w:r>
        <w:rPr>
          <w:rStyle w:val="OperatorTok"/>
        </w:rPr>
        <w:t xml:space="preserve">=</w:t>
      </w:r>
      <w:r>
        <w:rPr>
          <w:rStyle w:val="NormalTok"/>
        </w:rPr>
        <w:t xml:space="preserve">active.groupby(</w:t>
      </w:r>
      <w:r>
        <w:rPr>
          <w:rStyle w:val="StringTok"/>
        </w:rPr>
        <w:t xml:space="preserve">'Geometrie'</w:t>
      </w:r>
      <w:r>
        <w:rPr>
          <w:rStyle w:val="NormalTok"/>
        </w:rPr>
        <w:t xml:space="preserve">).agg(BGF</w:t>
      </w:r>
      <w:r>
        <w:rPr>
          <w:rStyle w:val="OperatorTok"/>
        </w:rPr>
        <w:t xml:space="preserve">=</w:t>
      </w:r>
      <w:r>
        <w:rPr>
          <w:rStyle w:val="NormalTok"/>
        </w:rPr>
        <w:t xml:space="preserve">(</w:t>
      </w:r>
      <w:r>
        <w:rPr>
          <w:rStyle w:val="StringTok"/>
        </w:rPr>
        <w:t xml:space="preserve">'BGF'</w:t>
      </w:r>
      <w:r>
        <w:rPr>
          <w:rStyle w:val="NormalTok"/>
        </w:rPr>
        <w:t xml:space="preserve">,</w:t>
      </w:r>
      <w:r>
        <w:rPr>
          <w:rStyle w:val="StringTok"/>
        </w:rPr>
        <w:t xml:space="preserve">'sum'</w:t>
      </w:r>
      <w:r>
        <w:rPr>
          <w:rStyle w:val="NormalTok"/>
        </w:rPr>
        <w:t xml:space="preserve">),D</w:t>
      </w:r>
      <w:r>
        <w:rPr>
          <w:rStyle w:val="OperatorTok"/>
        </w:rPr>
        <w:t xml:space="preserve">=</w:t>
      </w:r>
      <w:r>
        <w:rPr>
          <w:rStyle w:val="NormalTok"/>
        </w:rPr>
        <w:t xml:space="preserve">(</w:t>
      </w:r>
      <w:r>
        <w:rPr>
          <w:rStyle w:val="StringTok"/>
        </w:rPr>
        <w:t xml:space="preserve">'D'</w:t>
      </w:r>
      <w:r>
        <w:rPr>
          <w:rStyle w:val="NormalTok"/>
        </w:rPr>
        <w:t xml:space="preserve">,</w:t>
      </w:r>
      <w:r>
        <w:rPr>
          <w:rStyle w:val="StringTok"/>
        </w:rPr>
        <w:t xml:space="preserve">'sum'</w:t>
      </w:r>
      <w:r>
        <w:rPr>
          <w:rStyle w:val="NormalTok"/>
        </w:rPr>
        <w:t xml:space="preserve">),P</w:t>
      </w:r>
      <w:r>
        <w:rPr>
          <w:rStyle w:val="OperatorTok"/>
        </w:rPr>
        <w:t xml:space="preserve">=</w:t>
      </w:r>
      <w:r>
        <w:rPr>
          <w:rStyle w:val="NormalTok"/>
        </w:rPr>
        <w:t xml:space="preserve">(</w:t>
      </w:r>
      <w:r>
        <w:rPr>
          <w:rStyle w:val="StringTok"/>
        </w:rPr>
        <w:t xml:space="preserve">'P'</w:t>
      </w:r>
      <w:r>
        <w:rPr>
          <w:rStyle w:val="NormalTok"/>
        </w:rPr>
        <w:t xml:space="preserve">,</w:t>
      </w:r>
      <w:r>
        <w:rPr>
          <w:rStyle w:val="StringTok"/>
        </w:rPr>
        <w:t xml:space="preserve">'sum'</w:t>
      </w:r>
      <w:r>
        <w:rPr>
          <w:rStyle w:val="NormalTok"/>
        </w:rPr>
        <w:t xml:space="preserve">))</w:t>
      </w:r>
      <w:r>
        <w:br/>
      </w:r>
      <w:r>
        <w:rPr>
          <w:rStyle w:val="KeywordTok"/>
        </w:rPr>
        <w:t xml:space="preserve">def</w:t>
      </w:r>
      <w:r>
        <w:rPr>
          <w:rStyle w:val="NormalTok"/>
        </w:rPr>
        <w:t xml:space="preserve"> calculate(p):</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(np.isfinite(v) </w:t>
      </w:r>
      <w:r>
        <w:rPr>
          <w:rStyle w:val="ControlFlowTok"/>
        </w:rPr>
        <w:t xml:space="preserve">for</w:t>
      </w:r>
      <w:r>
        <w:rPr>
          <w:rStyle w:val="NormalTok"/>
        </w:rPr>
        <w:t xml:space="preserve"> v </w:t>
      </w:r>
      <w:r>
        <w:rPr>
          <w:rStyle w:val="KeywordTok"/>
        </w:rPr>
        <w:t xml:space="preserve">in</w:t>
      </w:r>
      <w:r>
        <w:rPr>
          <w:rStyle w:val="NormalTok"/>
        </w:rPr>
        <w:t xml:space="preserve"> p.values())</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w:t>
      </w:r>
      <w:r>
        <w:rPr>
          <w:rStyle w:val="DecValTok"/>
        </w:rPr>
        <w:t xml:space="preserve">0</w:t>
      </w:r>
      <w:r>
        <w:rPr>
          <w:rStyle w:val="OperatorTok"/>
        </w:rPr>
        <w:t xml:space="preserve">&lt;=</w:t>
      </w:r>
      <w:r>
        <w:rPr>
          <w:rStyle w:val="NormalTok"/>
        </w:rPr>
        <w:t xml:space="preserve">p[k]</w:t>
      </w:r>
      <w:r>
        <w:rPr>
          <w:rStyle w:val="OperatorTok"/>
        </w:rPr>
        <w:t xml:space="preserve">&lt;=</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'miv'</w:t>
      </w:r>
      <w:r>
        <w:rPr>
          <w:rStyle w:val="NormalTok"/>
        </w:rPr>
        <w:t xml:space="preserve">,</w:t>
      </w:r>
      <w:r>
        <w:rPr>
          <w:rStyle w:val="StringTok"/>
        </w:rPr>
        <w:t xml:space="preserve">'other_transport'</w:t>
      </w:r>
      <w:r>
        <w:rPr>
          <w:rStyle w:val="NormalTok"/>
        </w:rPr>
        <w:t xml:space="preserve">,</w:t>
      </w:r>
      <w:r>
        <w:rPr>
          <w:rStyle w:val="StringTok"/>
        </w:rPr>
        <w:t xml:space="preserve">'free_pv'</w:t>
      </w:r>
      <w:r>
        <w:rPr>
          <w:rStyle w:val="NormalTok"/>
        </w:rPr>
        <w:t xml:space="preserve">,</w:t>
      </w:r>
      <w:r>
        <w:rPr>
          <w:rStyle w:val="StringTok"/>
        </w:rPr>
        <w:t xml:space="preserve">'saving'</w:t>
      </w:r>
      <w:r>
        <w:rPr>
          <w:rStyle w:val="NormalTok"/>
        </w:rPr>
        <w:t xml:space="preserve">])</w:t>
      </w:r>
      <w:r>
        <w:br/>
      </w:r>
      <w:r>
        <w:rPr>
          <w:rStyle w:val="NormalTok"/>
        </w:rPr>
        <w:t xml:space="preserve">    </w:t>
      </w:r>
      <w:r>
        <w:rPr>
          <w:rStyle w:val="ControlFlowTok"/>
        </w:rPr>
        <w:t xml:space="preserve">assert</w:t>
      </w:r>
      <w:r>
        <w:rPr>
          <w:rStyle w:val="NormalTok"/>
        </w:rPr>
        <w:t xml:space="preserve"> p[</w:t>
      </w:r>
      <w:r>
        <w:rPr>
          <w:rStyle w:val="StringTok"/>
        </w:rPr>
        <w:t xml:space="preserve">'miv'</w:t>
      </w:r>
      <w:r>
        <w:rPr>
          <w:rStyle w:val="NormalTok"/>
        </w:rPr>
        <w:t xml:space="preserve">]</w:t>
      </w:r>
      <w:r>
        <w:rPr>
          <w:rStyle w:val="OperatorTok"/>
        </w:rPr>
        <w:t xml:space="preserve">+</w:t>
      </w:r>
      <w:r>
        <w:rPr>
          <w:rStyle w:val="NormalTok"/>
        </w:rPr>
        <w:t xml:space="preserve">p[</w:t>
      </w:r>
      <w:r>
        <w:rPr>
          <w:rStyle w:val="StringTok"/>
        </w:rPr>
        <w:t xml:space="preserve">'other_transport'</w:t>
      </w:r>
      <w:r>
        <w:rPr>
          <w:rStyle w:val="NormalTok"/>
        </w:rPr>
        <w:t xml:space="preserve">]</w:t>
      </w:r>
      <w:r>
        <w:rPr>
          <w:rStyle w:val="OperatorTok"/>
        </w:rPr>
        <w:t xml:space="preserve">&lt;=</w:t>
      </w:r>
      <w:r>
        <w:rPr>
          <w:rStyle w:val="DecValTok"/>
        </w:rPr>
        <w:t xml:space="preserve">1</w:t>
      </w:r>
      <w:r>
        <w:br/>
      </w:r>
      <w:r>
        <w:rPr>
          <w:rStyle w:val="NormalTok"/>
        </w:rPr>
        <w:t xml:space="preserve">    </w:t>
      </w:r>
      <w:r>
        <w:rPr>
          <w:rStyle w:val="ControlFlowTok"/>
        </w:rPr>
        <w:t xml:space="preserve">assert</w:t>
      </w:r>
      <w:r>
        <w:rPr>
          <w:rStyle w:val="NormalTok"/>
        </w:rPr>
        <w:t xml:space="preserve"> p[</w:t>
      </w:r>
      <w:r>
        <w:rPr>
          <w:rStyle w:val="StringTok"/>
        </w:rPr>
        <w:t xml:space="preserve">'ngf_bgf'</w:t>
      </w:r>
      <w:r>
        <w:rPr>
          <w:rStyle w:val="NormalTok"/>
        </w:rPr>
        <w:t xml:space="preserv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p[</w:t>
      </w:r>
      <w:r>
        <w:rPr>
          <w:rStyle w:val="StringTok"/>
        </w:rPr>
        <w:t xml:space="preserve">'pv_scale'</w:t>
      </w:r>
      <w:r>
        <w:rPr>
          <w:rStyle w:val="NormalTok"/>
        </w:rPr>
        <w:t xml:space="preserv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p[</w:t>
      </w:r>
      <w:r>
        <w:rPr>
          <w:rStyle w:val="StringTok"/>
        </w:rPr>
        <w:t xml:space="preserve">'density_dx'</w:t>
      </w:r>
      <w:r>
        <w:rPr>
          <w:rStyle w:val="NormalTok"/>
        </w:rPr>
        <w:t xml:space="preserve">]</w:t>
      </w:r>
      <w:r>
        <w:rPr>
          <w:rStyle w:val="OperatorTok"/>
        </w:rPr>
        <w:t xml:space="preserve">&gt;</w:t>
      </w:r>
      <w:r>
        <w:rPr>
          <w:rStyle w:val="DecValTok"/>
        </w:rPr>
        <w:t xml:space="preserve">0</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(p[k]</w:t>
      </w:r>
      <w:r>
        <w:rPr>
          <w:rStyle w:val="OperatorTok"/>
        </w:rPr>
        <w:t xml:space="preserve">&gt;=</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'density_f_res'</w:t>
      </w:r>
      <w:r>
        <w:rPr>
          <w:rStyle w:val="NormalTok"/>
        </w:rPr>
        <w:t xml:space="preserve">,</w:t>
      </w:r>
      <w:r>
        <w:rPr>
          <w:rStyle w:val="StringTok"/>
        </w:rPr>
        <w:t xml:space="preserve">'density_f_ed'</w:t>
      </w:r>
      <w:r>
        <w:rPr>
          <w:rStyle w:val="NormalTok"/>
        </w:rPr>
        <w:t xml:space="preserve">,</w:t>
      </w:r>
      <w:r>
        <w:rPr>
          <w:rStyle w:val="StringTok"/>
        </w:rPr>
        <w:t xml:space="preserve">'density_cutoff'</w:t>
      </w:r>
      <w:r>
        <w:rPr>
          <w:rStyle w:val="NormalTok"/>
        </w:rPr>
        <w:t xml:space="preserve">])</w:t>
      </w:r>
      <w:r>
        <w:br/>
      </w:r>
      <w:r>
        <w:rPr>
          <w:rStyle w:val="NormalTok"/>
        </w:rPr>
        <w:t xml:space="preserve">    central</w:t>
      </w:r>
      <w:r>
        <w:rPr>
          <w:rStyle w:val="OperatorTok"/>
        </w:rPr>
        <w:t xml:space="preserve">=</w:t>
      </w:r>
      <w:r>
        <w:rPr>
          <w:rStyle w:val="BuiltInTok"/>
        </w:rPr>
        <w:t xml:space="preserve">sum</w:t>
      </w:r>
      <w:r>
        <w:rPr>
          <w:rStyle w:val="NormalTok"/>
        </w:rPr>
        <w:t xml:space="preserve">(g[k] </w:t>
      </w:r>
      <w:r>
        <w:rPr>
          <w:rStyle w:val="ControlFlowTok"/>
        </w:rPr>
        <w:t xml:space="preserve">for</w:t>
      </w:r>
      <w:r>
        <w:rPr>
          <w:rStyle w:val="NormalTok"/>
        </w:rPr>
        <w:t xml:space="preserve"> k </w:t>
      </w:r>
      <w:r>
        <w:rPr>
          <w:rStyle w:val="KeywordTok"/>
        </w:rPr>
        <w:t xml:space="preserve">in</w:t>
      </w:r>
      <w:r>
        <w:rPr>
          <w:rStyle w:val="NormalTok"/>
        </w:rPr>
        <w:t xml:space="preserve"> generation_keys </w:t>
      </w:r>
      <w:r>
        <w:rPr>
          <w:rStyle w:val="ControlFlowTok"/>
        </w:rPr>
        <w:t xml:space="preserve">if</w:t>
      </w:r>
      <w:r>
        <w:rPr>
          <w:rStyle w:val="NormalTok"/>
        </w:rPr>
        <w:t xml:space="preserve"> k</w:t>
      </w:r>
      <w:r>
        <w:rPr>
          <w:rStyle w:val="OperatorTok"/>
        </w:rPr>
        <w:t xml:space="preserve">!=</w:t>
      </w:r>
      <w:r>
        <w:rPr>
          <w:rStyle w:val="StringTok"/>
        </w:rPr>
        <w:t xml:space="preserve">'pv'</w:t>
      </w:r>
      <w:r>
        <w:rPr>
          <w:rStyle w:val="NormalTok"/>
        </w:rPr>
        <w:t xml:space="preserve">)</w:t>
      </w:r>
      <w:r>
        <w:rPr>
          <w:rStyle w:val="OperatorTok"/>
        </w:rPr>
        <w:t xml:space="preserve">+</w:t>
      </w:r>
      <w:r>
        <w:rPr>
          <w:rStyle w:val="NormalTok"/>
        </w:rPr>
        <w:t xml:space="preserve">g[</w:t>
      </w:r>
      <w:r>
        <w:rPr>
          <w:rStyle w:val="StringTok"/>
        </w:rPr>
        <w:t xml:space="preserve">'pv'</w:t>
      </w:r>
      <w:r>
        <w:rPr>
          <w:rStyle w:val="NormalTok"/>
        </w:rPr>
        <w:t xml:space="preserve">]</w:t>
      </w:r>
      <w:r>
        <w:rPr>
          <w:rStyle w:val="OperatorTok"/>
        </w:rPr>
        <w:t xml:space="preserve">*</w:t>
      </w:r>
      <w:r>
        <w:rPr>
          <w:rStyle w:val="NormalTok"/>
        </w:rPr>
        <w:t xml:space="preserve">p[</w:t>
      </w:r>
      <w:r>
        <w:rPr>
          <w:rStyle w:val="StringTok"/>
        </w:rPr>
        <w:t xml:space="preserve">'free_pv'</w:t>
      </w:r>
      <w:r>
        <w:rPr>
          <w:rStyle w:val="NormalTok"/>
        </w:rPr>
        <w:t xml:space="preserve">]</w:t>
      </w:r>
      <w:r>
        <w:rPr>
          <w:rStyle w:val="OperatorTok"/>
        </w:rPr>
        <w:t xml:space="preserve">+</w:t>
      </w:r>
      <w:r>
        <w:rPr>
          <w:rStyle w:val="BuiltInTok"/>
        </w:rPr>
        <w:t xml:space="preserve">max</w:t>
      </w:r>
      <w:r>
        <w:rPr>
          <w:rStyle w:val="NormalTok"/>
        </w:rPr>
        <w:t xml:space="preserve">(model_net_imports,</w:t>
      </w:r>
      <w:r>
        <w:rPr>
          <w:rStyle w:val="DecValTok"/>
        </w:rPr>
        <w:t xml:space="preserve">0</w:t>
      </w:r>
      <w:r>
        <w:rPr>
          <w:rStyle w:val="NormalTok"/>
        </w:rPr>
        <w:t xml:space="preserve">)</w:t>
      </w:r>
      <w:r>
        <w:br/>
      </w:r>
      <w:r>
        <w:rPr>
          <w:rStyle w:val="NormalTok"/>
        </w:rPr>
        <w:t xml:space="preserve">    fixed</w:t>
      </w:r>
      <w:r>
        <w:rPr>
          <w:rStyle w:val="OperatorTok"/>
        </w:rPr>
        <w:t xml:space="preserve">=</w:t>
      </w:r>
      <w:r>
        <w:rPr>
          <w:rStyle w:val="BuiltInTok"/>
        </w:rPr>
        <w:t xml:space="preserve">sum</w:t>
      </w:r>
      <w:r>
        <w:rPr>
          <w:rStyle w:val="NormalTok"/>
        </w:rPr>
        <w:t xml:space="preserve">(d[k]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'industrie'</w:t>
      </w:r>
      <w:r>
        <w:rPr>
          <w:rStyle w:val="NormalTok"/>
        </w:rPr>
        <w:t xml:space="preserve">,</w:t>
      </w:r>
      <w:r>
        <w:rPr>
          <w:rStyle w:val="StringTok"/>
        </w:rPr>
        <w:t xml:space="preserve">'landwirtschaft'</w:t>
      </w:r>
      <w:r>
        <w:rPr>
          <w:rStyle w:val="NormalTok"/>
        </w:rPr>
        <w:t xml:space="preserve">,</w:t>
      </w:r>
      <w:r>
        <w:rPr>
          <w:rStyle w:val="StringTok"/>
        </w:rPr>
        <w:t xml:space="preserve">'verbrauch_sektor_energie'</w:t>
      </w:r>
      <w:r>
        <w:rPr>
          <w:rStyle w:val="NormalTok"/>
        </w:rPr>
        <w:t xml:space="preserve">,</w:t>
      </w:r>
      <w:r>
        <w:rPr>
          <w:rStyle w:val="StringTok"/>
        </w:rPr>
        <w:t xml:space="preserve">'umwandlungseinsatz'</w:t>
      </w:r>
      <w:r>
        <w:rPr>
          <w:rStyle w:val="NormalTok"/>
        </w:rPr>
        <w:t xml:space="preserve">,</w:t>
      </w:r>
      <w:r>
        <w:rPr>
          <w:rStyle w:val="StringTok"/>
        </w:rPr>
        <w:t xml:space="preserve">'transportverluste'</w:t>
      </w:r>
      <w:r>
        <w:rPr>
          <w:rStyle w:val="NormalTok"/>
        </w:rPr>
        <w:t xml:space="preserve">])</w:t>
      </w:r>
      <w:r>
        <w:rPr>
          <w:rStyle w:val="OperatorTok"/>
        </w:rPr>
        <w:t xml:space="preserve">+</w:t>
      </w:r>
      <w:r>
        <w:rPr>
          <w:rStyle w:val="BuiltInTok"/>
        </w:rPr>
        <w:t xml:space="preserve">max</w:t>
      </w:r>
      <w:r>
        <w:rPr>
          <w:rStyle w:val="NormalTok"/>
        </w:rPr>
        <w:t xml:space="preserve">(</w:t>
      </w:r>
      <w:r>
        <w:rPr>
          <w:rStyle w:val="OperatorTok"/>
        </w:rPr>
        <w:t xml:space="preserve">-</w:t>
      </w:r>
      <w:r>
        <w:rPr>
          <w:rStyle w:val="NormalTok"/>
        </w:rPr>
        <w:t xml:space="preserve">model_net_imports,</w:t>
      </w:r>
      <w:r>
        <w:rPr>
          <w:rStyle w:val="DecValTok"/>
        </w:rPr>
        <w:t xml:space="preserve">0</w:t>
      </w:r>
      <w:r>
        <w:rPr>
          <w:rStyle w:val="NormalTok"/>
        </w:rPr>
        <w:t xml:space="preserve">)</w:t>
      </w:r>
      <w:r>
        <w:br/>
      </w:r>
      <w:r>
        <w:rPr>
          <w:rStyle w:val="NormalTok"/>
        </w:rPr>
        <w:t xml:space="preserve">    raw</w:t>
      </w:r>
      <w:r>
        <w:rPr>
          <w:rStyle w:val="OperatorTok"/>
        </w:rPr>
        <w:t xml:space="preserve">=</w:t>
      </w:r>
      <w:r>
        <w:rPr>
          <w:rStyle w:val="NormalTok"/>
        </w:rPr>
        <w:t xml:space="preserve">central</w:t>
      </w:r>
      <w:r>
        <w:rPr>
          <w:rStyle w:val="OperatorTok"/>
        </w:rPr>
        <w:t xml:space="preserve">-</w:t>
      </w:r>
      <w:r>
        <w:rPr>
          <w:rStyle w:val="NormalTok"/>
        </w:rPr>
        <w:t xml:space="preserve">fixed</w:t>
      </w:r>
      <w:r>
        <w:rPr>
          <w:rStyle w:val="OperatorTok"/>
        </w:rPr>
        <w:t xml:space="preserve">-</w:t>
      </w:r>
      <w:r>
        <w:rPr>
          <w:rStyle w:val="NormalTok"/>
        </w:rPr>
        <w:t xml:space="preserve">d[</w:t>
      </w:r>
      <w:r>
        <w:rPr>
          <w:rStyle w:val="StringTok"/>
        </w:rPr>
        <w:t xml:space="preserve">'verkehr'</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tringTok"/>
        </w:rPr>
        <w:t xml:space="preserve">'miv'</w:t>
      </w:r>
      <w:r>
        <w:rPr>
          <w:rStyle w:val="NormalTok"/>
        </w:rPr>
        <w:t xml:space="preserve">])</w:t>
      </w:r>
      <w:r>
        <w:br/>
      </w:r>
      <w:r>
        <w:rPr>
          <w:rStyle w:val="NormalTok"/>
        </w:rPr>
        <w:t xml:space="preserve">    miv</w:t>
      </w:r>
      <w:r>
        <w:rPr>
          <w:rStyle w:val="OperatorTok"/>
        </w:rPr>
        <w:t xml:space="preserve">=</w:t>
      </w:r>
      <w:r>
        <w:rPr>
          <w:rStyle w:val="NormalTok"/>
        </w:rPr>
        <w:t xml:space="preserve">d[</w:t>
      </w:r>
      <w:r>
        <w:rPr>
          <w:rStyle w:val="StringTok"/>
        </w:rPr>
        <w:t xml:space="preserve">'verkehr'</w:t>
      </w:r>
      <w:r>
        <w:rPr>
          <w:rStyle w:val="NormalTok"/>
        </w:rPr>
        <w:t xml:space="preserve">]</w:t>
      </w:r>
      <w:r>
        <w:rPr>
          <w:rStyle w:val="OperatorTok"/>
        </w:rPr>
        <w:t xml:space="preserve">*</w:t>
      </w:r>
      <w:r>
        <w:rPr>
          <w:rStyle w:val="NormalTok"/>
        </w:rPr>
        <w:t xml:space="preserve">p[</w:t>
      </w:r>
      <w:r>
        <w:rPr>
          <w:rStyle w:val="StringTok"/>
        </w:rPr>
        <w:t xml:space="preserve">'miv'</w:t>
      </w:r>
      <w:r>
        <w:rPr>
          <w:rStyle w:val="NormalTok"/>
        </w:rPr>
        <w:t xml:space="preserve">]</w:t>
      </w:r>
      <w:r>
        <w:rPr>
          <w:rStyle w:val="OperatorTok"/>
        </w:rPr>
        <w:t xml:space="preserve">;</w:t>
      </w:r>
      <w:r>
        <w:rPr>
          <w:rStyle w:val="NormalTok"/>
        </w:rPr>
        <w:t xml:space="preserve"> credit</w:t>
      </w:r>
      <w:r>
        <w:rPr>
          <w:rStyle w:val="OperatorTok"/>
        </w:rPr>
        <w:t xml:space="preserve">=</w:t>
      </w:r>
      <w:r>
        <w:rPr>
          <w:rStyle w:val="NormalTok"/>
        </w:rPr>
        <w:t xml:space="preserve">raw</w:t>
      </w:r>
      <w:r>
        <w:br/>
      </w:r>
      <w:r>
        <w:rPr>
          <w:rStyle w:val="NormalTok"/>
        </w:rPr>
        <w:t xml:space="preserve">    target</w:t>
      </w:r>
      <w:r>
        <w:rPr>
          <w:rStyle w:val="OperatorTok"/>
        </w:rPr>
        <w:t xml:space="preserve">=</w:t>
      </w:r>
      <w:r>
        <w:rPr>
          <w:rStyle w:val="NormalTok"/>
        </w:rPr>
        <w:t xml:space="preserve">g[</w:t>
      </w:r>
      <w:r>
        <w:rPr>
          <w:rStyle w:val="StringTok"/>
        </w:rPr>
        <w:t xml:space="preserve">'pv'</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tringTok"/>
        </w:rPr>
        <w:t xml:space="preserve">'free_pv'</w:t>
      </w:r>
      <w:r>
        <w:rPr>
          <w:rStyle w:val="NormalTok"/>
        </w:rPr>
        <w:t xml:space="preserve">])</w:t>
      </w:r>
      <w:r>
        <w:rPr>
          <w:rStyle w:val="OperatorTok"/>
        </w:rPr>
        <w:t xml:space="preserve">-</w:t>
      </w:r>
      <w:r>
        <w:rPr>
          <w:rStyle w:val="NormalTok"/>
        </w:rPr>
        <w:t xml:space="preserve">d[</w:t>
      </w:r>
      <w:r>
        <w:rPr>
          <w:rStyle w:val="StringTok"/>
        </w:rPr>
        <w:t xml:space="preserve">'gebaeude'</w:t>
      </w:r>
      <w:r>
        <w:rPr>
          <w:rStyle w:val="NormalTok"/>
        </w:rPr>
        <w:t xml:space="preserve">]</w:t>
      </w:r>
      <w:r>
        <w:br/>
      </w:r>
      <w:r>
        <w:rPr>
          <w:rStyle w:val="NormalTok"/>
        </w:rPr>
        <w:t xml:space="preserve">    demand</w:t>
      </w:r>
      <w:r>
        <w:rPr>
          <w:rStyle w:val="OperatorTok"/>
        </w:rPr>
        <w:t xml:space="preserve">=</w:t>
      </w:r>
      <w:r>
        <w:rPr>
          <w:rStyle w:val="NormalTok"/>
        </w:rPr>
        <w:t xml:space="preserve">geometry.D.</w:t>
      </w:r>
      <w:r>
        <w:rPr>
          <w:rStyle w:val="BuiltInTok"/>
        </w:rPr>
        <w:t xml:space="preserve">sum</w:t>
      </w:r>
      <w:r>
        <w:rPr>
          <w:rStyle w:val="NormalTok"/>
        </w:rPr>
        <w:t xml:space="preserve">()</w:t>
      </w:r>
      <w:r>
        <w:rPr>
          <w:rStyle w:val="OperatorTok"/>
        </w:rPr>
        <w:t xml:space="preserve">*</w:t>
      </w:r>
      <w:r>
        <w:rPr>
          <w:rStyle w:val="NormalTok"/>
        </w:rPr>
        <w:t xml:space="preserve">p[</w:t>
      </w:r>
      <w:r>
        <w:rPr>
          <w:rStyle w:val="StringTok"/>
        </w:rPr>
        <w:t xml:space="preserve">'ngf_bgf'</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tringTok"/>
        </w:rPr>
        <w:t xml:space="preserve">'saving'</w:t>
      </w:r>
      <w:r>
        <w:rPr>
          <w:rStyle w:val="NormalTok"/>
        </w:rPr>
        <w:t xml:space="preserve">])</w:t>
      </w:r>
      <w:r>
        <w:br/>
      </w:r>
      <w:r>
        <w:rPr>
          <w:rStyle w:val="NormalTok"/>
        </w:rPr>
        <w:t xml:space="preserve">    pv</w:t>
      </w:r>
      <w:r>
        <w:rPr>
          <w:rStyle w:val="OperatorTok"/>
        </w:rPr>
        <w:t xml:space="preserve">=</w:t>
      </w:r>
      <w:r>
        <w:rPr>
          <w:rStyle w:val="NormalTok"/>
        </w:rPr>
        <w:t xml:space="preserve">geometry.P.</w:t>
      </w:r>
      <w:r>
        <w:rPr>
          <w:rStyle w:val="BuiltInTok"/>
        </w:rPr>
        <w:t xml:space="preserve">sum</w:t>
      </w:r>
      <w:r>
        <w:rPr>
          <w:rStyle w:val="NormalTok"/>
        </w:rPr>
        <w:t xml:space="preserve">()</w:t>
      </w:r>
      <w:r>
        <w:rPr>
          <w:rStyle w:val="OperatorTok"/>
        </w:rPr>
        <w:t xml:space="preserve">*</w:t>
      </w:r>
      <w:r>
        <w:rPr>
          <w:rStyle w:val="NormalTok"/>
        </w:rPr>
        <w:t xml:space="preserve">p[</w:t>
      </w:r>
      <w:r>
        <w:rPr>
          <w:rStyle w:val="StringTok"/>
        </w:rPr>
        <w:t xml:space="preserve">'ngf_bgf'</w:t>
      </w:r>
      <w:r>
        <w:rPr>
          <w:rStyle w:val="NormalTok"/>
        </w:rPr>
        <w:t xml:space="preserve">]</w:t>
      </w:r>
      <w:r>
        <w:rPr>
          <w:rStyle w:val="OperatorTok"/>
        </w:rPr>
        <w:t xml:space="preserve">*</w:t>
      </w:r>
      <w:r>
        <w:rPr>
          <w:rStyle w:val="NormalTok"/>
        </w:rPr>
        <w:t xml:space="preserve">p[</w:t>
      </w:r>
      <w:r>
        <w:rPr>
          <w:rStyle w:val="StringTok"/>
        </w:rPr>
        <w:t xml:space="preserve">'pv_scale'</w:t>
      </w:r>
      <w:r>
        <w:rPr>
          <w:rStyle w:val="NormalTok"/>
        </w:rPr>
        <w:t xml:space="preserve">]</w:t>
      </w:r>
      <w:r>
        <w:br/>
      </w:r>
      <w:r>
        <w:rPr>
          <w:rStyle w:val="NormalTok"/>
        </w:rPr>
        <w:t xml:space="preserve">    closure</w:t>
      </w:r>
      <w:r>
        <w:rPr>
          <w:rStyle w:val="OperatorTok"/>
        </w:rPr>
        <w:t xml:space="preserve">=</w:t>
      </w:r>
      <w:r>
        <w:rPr>
          <w:rStyle w:val="NormalTok"/>
        </w:rPr>
        <w:t xml:space="preserve">target</w:t>
      </w:r>
      <w:r>
        <w:rPr>
          <w:rStyle w:val="OperatorTok"/>
        </w:rPr>
        <w:t xml:space="preserve">+</w:t>
      </w:r>
      <w:r>
        <w:rPr>
          <w:rStyle w:val="NormalTok"/>
        </w:rPr>
        <w:t xml:space="preserve">credit</w:t>
      </w:r>
      <w:r>
        <w:rPr>
          <w:rStyle w:val="OperatorTok"/>
        </w:rPr>
        <w:t xml:space="preserve">-</w:t>
      </w:r>
      <w:r>
        <w:rPr>
          <w:rStyle w:val="NormalTok"/>
        </w:rPr>
        <w:t xml:space="preserve">miv</w:t>
      </w:r>
      <w:r>
        <w:br/>
      </w:r>
      <w:r>
        <w:rPr>
          <w:rStyle w:val="NormalTok"/>
        </w:rPr>
        <w:t xml:space="preserve">    </w:t>
      </w:r>
      <w:r>
        <w:rPr>
          <w:rStyle w:val="ControlFlowTok"/>
        </w:rPr>
        <w:t xml:space="preserve">assert</w:t>
      </w:r>
      <w:r>
        <w:rPr>
          <w:rStyle w:val="NormalTok"/>
        </w:rPr>
        <w:t xml:space="preserve"> np.isclose(closure,model_residual)</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(demand</w:t>
      </w:r>
      <w:r>
        <w:rPr>
          <w:rStyle w:val="OperatorTok"/>
        </w:rPr>
        <w:t xml:space="preserve">=</w:t>
      </w:r>
      <w:r>
        <w:rPr>
          <w:rStyle w:val="NormalTok"/>
        </w:rPr>
        <w:t xml:space="preserve">demand,pv</w:t>
      </w:r>
      <w:r>
        <w:rPr>
          <w:rStyle w:val="OperatorTok"/>
        </w:rPr>
        <w:t xml:space="preserve">=</w:t>
      </w:r>
      <w:r>
        <w:rPr>
          <w:rStyle w:val="NormalTok"/>
        </w:rPr>
        <w:t xml:space="preserve">pv,balance</w:t>
      </w:r>
      <w:r>
        <w:rPr>
          <w:rStyle w:val="OperatorTok"/>
        </w:rPr>
        <w:t xml:space="preserve">=</w:t>
      </w:r>
      <w:r>
        <w:rPr>
          <w:rStyle w:val="NormalTok"/>
        </w:rPr>
        <w:t xml:space="preserve">pv</w:t>
      </w:r>
      <w:r>
        <w:rPr>
          <w:rStyle w:val="OperatorTok"/>
        </w:rPr>
        <w:t xml:space="preserve">-</w:t>
      </w:r>
      <w:r>
        <w:rPr>
          <w:rStyle w:val="NormalTok"/>
        </w:rPr>
        <w:t xml:space="preserve">demand,target</w:t>
      </w:r>
      <w:r>
        <w:rPr>
          <w:rStyle w:val="OperatorTok"/>
        </w:rPr>
        <w:t xml:space="preserve">=</w:t>
      </w:r>
      <w:r>
        <w:rPr>
          <w:rStyle w:val="NormalTok"/>
        </w:rPr>
        <w:t xml:space="preserve">target,credit</w:t>
      </w:r>
      <w:r>
        <w:rPr>
          <w:rStyle w:val="OperatorTok"/>
        </w:rPr>
        <w:t xml:space="preserve">=</w:t>
      </w:r>
      <w:r>
        <w:rPr>
          <w:rStyle w:val="NormalTok"/>
        </w:rPr>
        <w:t xml:space="preserve">credit,</w:t>
      </w:r>
      <w:r>
        <w:br/>
      </w:r>
      <w:r>
        <w:rPr>
          <w:rStyle w:val="NormalTok"/>
        </w:rPr>
        <w:t xml:space="preserve">                extended</w:t>
      </w:r>
      <w:r>
        <w:rPr>
          <w:rStyle w:val="OperatorTok"/>
        </w:rPr>
        <w:t xml:space="preserve">=</w:t>
      </w:r>
      <w:r>
        <w:rPr>
          <w:rStyle w:val="NormalTok"/>
        </w:rPr>
        <w:t xml:space="preserve">pv</w:t>
      </w:r>
      <w:r>
        <w:rPr>
          <w:rStyle w:val="OperatorTok"/>
        </w:rPr>
        <w:t xml:space="preserve">-</w:t>
      </w:r>
      <w:r>
        <w:rPr>
          <w:rStyle w:val="NormalTok"/>
        </w:rPr>
        <w:t xml:space="preserve">demand</w:t>
      </w:r>
      <w:r>
        <w:rPr>
          <w:rStyle w:val="OperatorTok"/>
        </w:rPr>
        <w:t xml:space="preserve">+</w:t>
      </w:r>
      <w:r>
        <w:rPr>
          <w:rStyle w:val="NormalTok"/>
        </w:rPr>
        <w:t xml:space="preserve">credit</w:t>
      </w:r>
      <w:r>
        <w:rPr>
          <w:rStyle w:val="OperatorTok"/>
        </w:rPr>
        <w:t xml:space="preserve">-</w:t>
      </w:r>
      <w:r>
        <w:rPr>
          <w:rStyle w:val="NormalTok"/>
        </w:rPr>
        <w:t xml:space="preserve">miv,target_extended</w:t>
      </w:r>
      <w:r>
        <w:rPr>
          <w:rStyle w:val="OperatorTok"/>
        </w:rPr>
        <w:t xml:space="preserve">=</w:t>
      </w:r>
      <w:r>
        <w:rPr>
          <w:rStyle w:val="NormalTok"/>
        </w:rPr>
        <w:t xml:space="preserve">target</w:t>
      </w:r>
      <w:r>
        <w:rPr>
          <w:rStyle w:val="OperatorTok"/>
        </w:rPr>
        <w:t xml:space="preserve">+</w:t>
      </w:r>
      <w:r>
        <w:rPr>
          <w:rStyle w:val="NormalTok"/>
        </w:rPr>
        <w:t xml:space="preserve">credit</w:t>
      </w:r>
      <w:r>
        <w:rPr>
          <w:rStyle w:val="OperatorTok"/>
        </w:rPr>
        <w:t xml:space="preserve">-</w:t>
      </w:r>
      <w:r>
        <w:rPr>
          <w:rStyle w:val="NormalTok"/>
        </w:rPr>
        <w:t xml:space="preserve">miv,</w:t>
      </w:r>
      <w:r>
        <w:br/>
      </w:r>
      <w:r>
        <w:rPr>
          <w:rStyle w:val="NormalTok"/>
        </w:rPr>
        <w:t xml:space="preserve">                gap</w:t>
      </w:r>
      <w:r>
        <w:rPr>
          <w:rStyle w:val="OperatorTok"/>
        </w:rPr>
        <w:t xml:space="preserve">=</w:t>
      </w:r>
      <w:r>
        <w:rPr>
          <w:rStyle w:val="NormalTok"/>
        </w:rPr>
        <w:t xml:space="preserve">pv</w:t>
      </w:r>
      <w:r>
        <w:rPr>
          <w:rStyle w:val="OperatorTok"/>
        </w:rPr>
        <w:t xml:space="preserve">-</w:t>
      </w:r>
      <w:r>
        <w:rPr>
          <w:rStyle w:val="NormalTok"/>
        </w:rPr>
        <w:t xml:space="preserve">demand</w:t>
      </w:r>
      <w:r>
        <w:rPr>
          <w:rStyle w:val="OperatorTok"/>
        </w:rPr>
        <w:t xml:space="preserve">-</w:t>
      </w:r>
      <w:r>
        <w:rPr>
          <w:rStyle w:val="NormalTok"/>
        </w:rPr>
        <w:t xml:space="preserve">target,raw</w:t>
      </w:r>
      <w:r>
        <w:rPr>
          <w:rStyle w:val="OperatorTok"/>
        </w:rPr>
        <w:t xml:space="preserve">=</w:t>
      </w:r>
      <w:r>
        <w:rPr>
          <w:rStyle w:val="NormalTok"/>
        </w:rPr>
        <w:t xml:space="preserve">raw,closure</w:t>
      </w:r>
      <w:r>
        <w:rPr>
          <w:rStyle w:val="OperatorTok"/>
        </w:rPr>
        <w:t xml:space="preserve">=</w:t>
      </w:r>
      <w:r>
        <w:rPr>
          <w:rStyle w:val="NormalTok"/>
        </w:rPr>
        <w:t xml:space="preserve">closure)</w:t>
      </w:r>
      <w:r>
        <w:br/>
      </w:r>
      <w:r>
        <w:rPr>
          <w:rStyle w:val="NormalTok"/>
        </w:rPr>
        <w:t xml:space="preserve">reference</w:t>
      </w:r>
      <w:r>
        <w:rPr>
          <w:rStyle w:val="OperatorTok"/>
        </w:rPr>
        <w:t xml:space="preserve">=</w:t>
      </w:r>
      <w:r>
        <w:rPr>
          <w:rStyle w:val="NormalTok"/>
        </w:rPr>
        <w:t xml:space="preserve">calculate(DEFAULT)</w:t>
      </w:r>
      <w:r>
        <w:br/>
      </w:r>
      <w:r>
        <w:rPr>
          <w:rStyle w:val="ControlFlowTok"/>
        </w:rPr>
        <w:t xml:space="preserve">for</w:t>
      </w:r>
      <w:r>
        <w:rPr>
          <w:rStyle w:val="NormalTok"/>
        </w:rPr>
        <w:t xml:space="preserve"> m,f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FloatTok"/>
        </w:rPr>
        <w:t xml:space="preserve">.6</w:t>
      </w:r>
      <w:r>
        <w:rPr>
          <w:rStyle w:val="NormalTok"/>
        </w:rPr>
        <w:t xml:space="preserve">,</w:t>
      </w:r>
      <w:r>
        <w:rPr>
          <w:rStyle w:val="FloatTok"/>
        </w:rPr>
        <w:t xml:space="preserve">.2</w:t>
      </w:r>
      <w:r>
        <w:rPr>
          <w:rStyle w:val="NormalTok"/>
        </w:rPr>
        <w:t xml:space="preserve">)]:</w:t>
      </w:r>
      <w:r>
        <w:br/>
      </w:r>
      <w:r>
        <w:rPr>
          <w:rStyle w:val="NormalTok"/>
        </w:rPr>
        <w:t xml:space="preserve">    result</w:t>
      </w:r>
      <w:r>
        <w:rPr>
          <w:rStyle w:val="OperatorTok"/>
        </w:rPr>
        <w:t xml:space="preserve">=</w:t>
      </w:r>
      <w:r>
        <w:rPr>
          <w:rStyle w:val="NormalTok"/>
        </w:rPr>
        <w:t xml:space="preserve">calculate(</w:t>
      </w:r>
      <w:r>
        <w:rPr>
          <w:rStyle w:val="BuiltInTok"/>
        </w:rPr>
        <w:t xml:space="preserve">dict</w:t>
      </w:r>
      <w:r>
        <w:rPr>
          <w:rStyle w:val="NormalTok"/>
        </w:rPr>
        <w:t xml:space="preserve">(DEFAULT,miv</w:t>
      </w:r>
      <w:r>
        <w:rPr>
          <w:rStyle w:val="OperatorTok"/>
        </w:rPr>
        <w:t xml:space="preserve">=</w:t>
      </w:r>
      <w:r>
        <w:rPr>
          <w:rStyle w:val="NormalTok"/>
        </w:rPr>
        <w:t xml:space="preserve">m,free_pv</w:t>
      </w:r>
      <w:r>
        <w:rPr>
          <w:rStyle w:val="OperatorTok"/>
        </w:rPr>
        <w:t xml:space="preserve">=</w:t>
      </w:r>
      <w:r>
        <w:rPr>
          <w:rStyle w:val="NormalTok"/>
        </w:rPr>
        <w:t xml:space="preserve">f))</w:t>
      </w:r>
      <w:r>
        <w:br/>
      </w:r>
      <w:r>
        <w:rPr>
          <w:rStyle w:val="NormalTok"/>
        </w:rPr>
        <w:t xml:space="preserve">    </w:t>
      </w:r>
      <w:r>
        <w:rPr>
          <w:rStyle w:val="ControlFlowTok"/>
        </w:rPr>
        <w:t xml:space="preserve">assert</w:t>
      </w:r>
      <w:r>
        <w:rPr>
          <w:rStyle w:val="NormalTok"/>
        </w:rPr>
        <w:t xml:space="preserve"> np.isclose(result[</w:t>
      </w:r>
      <w:r>
        <w:rPr>
          <w:rStyle w:val="StringTok"/>
        </w:rPr>
        <w:t xml:space="preserve">'extended'</w:t>
      </w:r>
      <w:r>
        <w:rPr>
          <w:rStyle w:val="NormalTok"/>
        </w:rPr>
        <w:t xml:space="preserve">]</w:t>
      </w:r>
      <w:r>
        <w:rPr>
          <w:rStyle w:val="OperatorTok"/>
        </w:rPr>
        <w:t xml:space="preserve">-</w:t>
      </w:r>
      <w:r>
        <w:rPr>
          <w:rStyle w:val="NormalTok"/>
        </w:rPr>
        <w:t xml:space="preserve">result[</w:t>
      </w:r>
      <w:r>
        <w:rPr>
          <w:rStyle w:val="StringTok"/>
        </w:rPr>
        <w:t xml:space="preserve">'target_extended'</w:t>
      </w:r>
      <w:r>
        <w:rPr>
          <w:rStyle w:val="NormalTok"/>
        </w:rPr>
        <w:t xml:space="preserve">],result[</w:t>
      </w:r>
      <w:r>
        <w:rPr>
          <w:rStyle w:val="StringTok"/>
        </w:rPr>
        <w:t xml:space="preserve">'gap'</w:t>
      </w:r>
      <w:r>
        <w:rPr>
          <w:rStyle w:val="NormalTok"/>
        </w:rPr>
        <w:t xml:space="preserve">])</w:t>
      </w:r>
      <w:r>
        <w:br/>
      </w:r>
      <w:r>
        <w:rPr>
          <w:rStyle w:val="NormalTok"/>
        </w:rPr>
        <w:t xml:space="preserve">display(pd.DataFrame([reference],index</w:t>
      </w:r>
      <w:r>
        <w:rPr>
          <w:rStyle w:val="OperatorTok"/>
        </w:rPr>
        <w:t xml:space="preserve">=</w:t>
      </w:r>
      <w:r>
        <w:rPr>
          <w:rStyle w:val="NormalTok"/>
        </w:rPr>
        <w:t xml:space="preserve">[</w:t>
      </w:r>
      <w:r>
        <w:rPr>
          <w:rStyle w:val="StringTok"/>
        </w:rPr>
        <w:t xml:space="preserve">'Referenz; PJ_el/a'</w:t>
      </w:r>
      <w:r>
        <w:rPr>
          <w:rStyle w:val="NormalTok"/>
        </w:rPr>
        <w:t xml:space="preserve">]).T)</w:t>
      </w:r>
      <w:r>
        <w:br/>
      </w:r>
      <w:r>
        <w:rPr>
          <w:rStyle w:val="NormalTok"/>
        </w:rPr>
        <w:t xml:space="preserve">payload</w:t>
      </w:r>
      <w:r>
        <w:rPr>
          <w:rStyle w:val="OperatorTok"/>
        </w:rPr>
        <w:t xml:space="preserve">=</w:t>
      </w:r>
      <w:r>
        <w:rPr>
          <w:rStyle w:val="BuiltInTok"/>
        </w:rPr>
        <w:t xml:space="preserve">dict</w:t>
      </w:r>
      <w:r>
        <w:rPr>
          <w:rStyle w:val="NormalTok"/>
        </w:rPr>
        <w:t xml:space="preserve">(defaults</w:t>
      </w:r>
      <w:r>
        <w:rPr>
          <w:rStyle w:val="OperatorTok"/>
        </w:rPr>
        <w:t xml:space="preserve">=</w:t>
      </w:r>
      <w:r>
        <w:rPr>
          <w:rStyle w:val="NormalTok"/>
        </w:rPr>
        <w:t xml:space="preserve">DEFAULT,reference</w:t>
      </w:r>
      <w:r>
        <w:rPr>
          <w:rStyle w:val="OperatorTok"/>
        </w:rPr>
        <w:t xml:space="preserve">=</w:t>
      </w:r>
      <w:r>
        <w:rPr>
          <w:rStyle w:val="NormalTok"/>
        </w:rPr>
        <w:t xml:space="preserve">reference,g</w:t>
      </w:r>
      <w:r>
        <w:rPr>
          <w:rStyle w:val="OperatorTok"/>
        </w:rPr>
        <w:t xml:space="preserve">=</w:t>
      </w:r>
      <w:r>
        <w:rPr>
          <w:rStyle w:val="NormalTok"/>
        </w:rPr>
        <w:t xml:space="preserve">g,d</w:t>
      </w:r>
      <w:r>
        <w:rPr>
          <w:rStyle w:val="OperatorTok"/>
        </w:rPr>
        <w:t xml:space="preserve">=</w:t>
      </w:r>
      <w:r>
        <w:rPr>
          <w:rStyle w:val="NormalTok"/>
        </w:rPr>
        <w:t xml:space="preserve">d,residual</w:t>
      </w:r>
      <w:r>
        <w:rPr>
          <w:rStyle w:val="OperatorTok"/>
        </w:rPr>
        <w:t xml:space="preserve">=</w:t>
      </w:r>
      <w:r>
        <w:rPr>
          <w:rStyle w:val="NormalTok"/>
        </w:rPr>
        <w:t xml:space="preserve">residual,model_residual</w:t>
      </w:r>
      <w:r>
        <w:rPr>
          <w:rStyle w:val="OperatorTok"/>
        </w:rPr>
        <w:t xml:space="preserve">=</w:t>
      </w:r>
      <w:r>
        <w:rPr>
          <w:rStyle w:val="NormalTok"/>
        </w:rPr>
        <w:t xml:space="preserve">model_residual,model_net_imports</w:t>
      </w:r>
      <w:r>
        <w:rPr>
          <w:rStyle w:val="OperatorTok"/>
        </w:rPr>
        <w:t xml:space="preserve">=</w:t>
      </w:r>
      <w:r>
        <w:rPr>
          <w:rStyle w:val="NormalTok"/>
        </w:rPr>
        <w:t xml:space="preserve">model_net_imports,assumptions</w:t>
      </w:r>
      <w:r>
        <w:rPr>
          <w:rStyle w:val="OperatorTok"/>
        </w:rPr>
        <w:t xml:space="preserve">=</w:t>
      </w:r>
      <w:r>
        <w:rPr>
          <w:rStyle w:val="NormalTok"/>
        </w:rPr>
        <w:t xml:space="preserve">assumptions,schema_version</w:t>
      </w:r>
      <w:r>
        <w:rPr>
          <w:rStyle w:val="OperatorTok"/>
        </w:rPr>
        <w:t xml:space="preserve">=</w:t>
      </w:r>
      <w:r>
        <w:rPr>
          <w:rStyle w:val="DecValTok"/>
        </w:rPr>
        <w:t xml:space="preserve">2</w:t>
      </w:r>
      <w:r>
        <w:rPr>
          <w:rStyle w:val="NormalTok"/>
        </w:rPr>
        <w:t xml:space="preserve">,</w:t>
      </w:r>
      <w:r>
        <w:br/>
      </w:r>
      <w:r>
        <w:rPr>
          <w:rStyle w:val="NormalTok"/>
        </w:rPr>
        <w:t xml:space="preserve">             geometry</w:t>
      </w:r>
      <w:r>
        <w:rPr>
          <w:rStyle w:val="OperatorTok"/>
        </w:rPr>
        <w:t xml:space="preserve">=</w:t>
      </w:r>
      <w:r>
        <w:rPr>
          <w:rStyle w:val="NormalTok"/>
        </w:rPr>
        <w:t xml:space="preserve">geometry.reset_index().to_dict(</w:t>
      </w:r>
      <w:r>
        <w:rPr>
          <w:rStyle w:val="StringTok"/>
        </w:rPr>
        <w:t xml:space="preserve">'records'</w:t>
      </w:r>
      <w:r>
        <w:rPr>
          <w:rStyle w:val="NormalTok"/>
        </w:rPr>
        <w:t xml:space="preserve">),</w:t>
      </w:r>
      <w:r>
        <w:br/>
      </w:r>
      <w:r>
        <w:rPr>
          <w:rStyle w:val="NormalTok"/>
        </w:rPr>
        <w:t xml:space="preserve">             bins</w:t>
      </w:r>
      <w:r>
        <w:rPr>
          <w:rStyle w:val="OperatorTok"/>
        </w:rPr>
        <w:t xml:space="preserve">=</w:t>
      </w:r>
      <w:r>
        <w:rPr>
          <w:rStyle w:val="NormalTok"/>
        </w:rPr>
        <w:t xml:space="preserve">bins[[</w:t>
      </w:r>
      <w:r>
        <w:rPr>
          <w:rStyle w:val="StringTok"/>
        </w:rPr>
        <w:t xml:space="preserve">'Geometrie'</w:t>
      </w:r>
      <w:r>
        <w:rPr>
          <w:rStyle w:val="NormalTok"/>
        </w:rPr>
        <w:t xml:space="preserve">,</w:t>
      </w:r>
      <w:r>
        <w:rPr>
          <w:rStyle w:val="StringTok"/>
        </w:rPr>
        <w:t xml:space="preserve">'GFZ'</w:t>
      </w:r>
      <w:r>
        <w:rPr>
          <w:rStyle w:val="NormalTok"/>
        </w:rPr>
        <w:t xml:space="preserve">,</w:t>
      </w:r>
      <w:r>
        <w:rPr>
          <w:rStyle w:val="StringTok"/>
        </w:rPr>
        <w:t xml:space="preserve">'s'</w:t>
      </w:r>
      <w:r>
        <w:rPr>
          <w:rStyle w:val="NormalTok"/>
        </w:rPr>
        <w:t xml:space="preserve">]].to_dict(</w:t>
      </w:r>
      <w:r>
        <w:rPr>
          <w:rStyle w:val="StringTok"/>
        </w:rPr>
        <w:t xml:space="preserve">'records'</w:t>
      </w:r>
      <w:r>
        <w:rPr>
          <w:rStyle w:val="NormalTok"/>
        </w:rPr>
        <w:t xml:space="preserve">),</w:t>
      </w:r>
      <w:r>
        <w:br/>
      </w:r>
      <w:r>
        <w:rPr>
          <w:rStyle w:val="NormalTok"/>
        </w:rPr>
        <w:t xml:space="preserve">             provenance</w:t>
      </w:r>
      <w:r>
        <w:rPr>
          <w:rStyle w:val="OperatorTok"/>
        </w:rPr>
        <w:t xml:space="preserve">=</w:t>
      </w:r>
      <w:r>
        <w:rPr>
          <w:rStyle w:val="NormalTok"/>
        </w:rPr>
        <w:t xml:space="preserve">{</w:t>
      </w:r>
      <w:r>
        <w:rPr>
          <w:rStyle w:val="BuiltInTok"/>
        </w:rPr>
        <w:t xml:space="preserve">str</w:t>
      </w:r>
      <w:r>
        <w:rPr>
          <w:rStyle w:val="NormalTok"/>
        </w:rPr>
        <w:t xml:space="preserve">(p.relative_to(ROOT)) </w:t>
      </w:r>
      <w:r>
        <w:rPr>
          <w:rStyle w:val="ControlFlowTok"/>
        </w:rPr>
        <w:t xml:space="preserve">if</w:t>
      </w:r>
      <w:r>
        <w:rPr>
          <w:rStyle w:val="NormalTok"/>
        </w:rPr>
        <w:t xml:space="preserve"> p.is_relative_to(ROOT) </w:t>
      </w:r>
      <w:r>
        <w:rPr>
          <w:rStyle w:val="ControlFlowTok"/>
        </w:rPr>
        <w:t xml:space="preserve">else</w:t>
      </w:r>
      <w:r>
        <w:rPr>
          <w:rStyle w:val="NormalTok"/>
        </w:rPr>
        <w:t xml:space="preserve"> </w:t>
      </w:r>
      <w:r>
        <w:rPr>
          <w:rStyle w:val="BuiltInTok"/>
        </w:rPr>
        <w:t xml:space="preserve">str</w:t>
      </w:r>
      <w:r>
        <w:rPr>
          <w:rStyle w:val="NormalTok"/>
        </w:rPr>
        <w:t xml:space="preserve">(p):sha256(p) </w:t>
      </w:r>
      <w:r>
        <w:rPr>
          <w:rStyle w:val="ControlFlowTok"/>
        </w:rPr>
        <w:t xml:space="preserve">for</w:t>
      </w:r>
      <w:r>
        <w:rPr>
          <w:rStyle w:val="NormalTok"/>
        </w:rPr>
        <w:t xml:space="preserve"> p </w:t>
      </w:r>
      <w:r>
        <w:rPr>
          <w:rStyle w:val="KeywordTok"/>
        </w:rPr>
        <w:t xml:space="preserve">in</w:t>
      </w:r>
      <w:r>
        <w:rPr>
          <w:rStyle w:val="NormalTok"/>
        </w:rPr>
        <w:t xml:space="preserve"> source_files},</w:t>
      </w:r>
      <w:r>
        <w:br/>
      </w:r>
      <w:r>
        <w:rPr>
          <w:rStyle w:val="NormalTok"/>
        </w:rPr>
        <w:t xml:space="preserve">             scenario</w:t>
      </w:r>
      <w:r>
        <w:rPr>
          <w:rStyle w:val="OperatorTok"/>
        </w:rPr>
        <w:t xml:space="preserve">=</w:t>
      </w:r>
      <w:r>
        <w:rPr>
          <w:rStyle w:val="NormalTok"/>
        </w:rPr>
        <w:t xml:space="preserve">SCENARIO,area_column</w:t>
      </w:r>
      <w:r>
        <w:rPr>
          <w:rStyle w:val="OperatorTok"/>
        </w:rPr>
        <w:t xml:space="preserve">=</w:t>
      </w:r>
      <w:r>
        <w:rPr>
          <w:rStyle w:val="NormalTok"/>
        </w:rPr>
        <w:t xml:space="preserve">AREA_COLUMN,xlsx</w:t>
      </w:r>
      <w:r>
        <w:rPr>
          <w:rStyle w:val="OperatorTok"/>
        </w:rPr>
        <w:t xml:space="preserve">=</w:t>
      </w:r>
      <w:r>
        <w:rPr>
          <w:rStyle w:val="BuiltInTok"/>
        </w:rPr>
        <w:t xml:space="preserve">str</w:t>
      </w:r>
      <w:r>
        <w:rPr>
          <w:rStyle w:val="NormalTok"/>
        </w:rPr>
        <w:t xml:space="preserve">(XLSX))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Referenz; PJ_el/a</w:t>
            </w:r>
          </w:p>
        </w:tc>
      </w:tr>
      <w:tr>
        <w:tc>
          <w:tcPr/>
          <w:p>
            <w:pPr>
              <w:pStyle w:val="Compact"/>
            </w:pPr>
            <w:r>
              <w:t xml:space="preserve">demand</w:t>
            </w:r>
          </w:p>
        </w:tc>
        <w:tc>
          <w:tcPr/>
          <w:p>
            <w:pPr>
              <w:pStyle w:val="Compact"/>
            </w:pPr>
            <w:r>
              <w:t xml:space="preserve">137.493260</w:t>
            </w:r>
          </w:p>
        </w:tc>
      </w:tr>
      <w:tr>
        <w:tc>
          <w:tcPr/>
          <w:p>
            <w:pPr>
              <w:pStyle w:val="Compact"/>
            </w:pPr>
            <w:r>
              <w:t xml:space="preserve">pv</w:t>
            </w:r>
          </w:p>
        </w:tc>
        <w:tc>
          <w:tcPr/>
          <w:p>
            <w:pPr>
              <w:pStyle w:val="Compact"/>
            </w:pPr>
            <w:r>
              <w:t xml:space="preserve">78.245462</w:t>
            </w:r>
          </w:p>
        </w:tc>
      </w:tr>
      <w:tr>
        <w:tc>
          <w:tcPr/>
          <w:p>
            <w:pPr>
              <w:pStyle w:val="Compact"/>
            </w:pPr>
            <w:r>
              <w:t xml:space="preserve">balance</w:t>
            </w:r>
          </w:p>
        </w:tc>
        <w:tc>
          <w:tcPr/>
          <w:p>
            <w:pPr>
              <w:pStyle w:val="Compact"/>
            </w:pPr>
            <w:r>
              <w:t xml:space="preserve">-59.247798</w:t>
            </w:r>
          </w:p>
        </w:tc>
      </w:tr>
      <w:tr>
        <w:tc>
          <w:tcPr/>
          <w:p>
            <w:pPr>
              <w:pStyle w:val="Compact"/>
            </w:pPr>
            <w:r>
              <w:t xml:space="preserve">target</w:t>
            </w:r>
          </w:p>
        </w:tc>
        <w:tc>
          <w:tcPr/>
          <w:p>
            <w:pPr>
              <w:pStyle w:val="Compact"/>
            </w:pPr>
            <w:r>
              <w:t xml:space="preserve">41.000000</w:t>
            </w:r>
          </w:p>
        </w:tc>
      </w:tr>
      <w:tr>
        <w:tc>
          <w:tcPr/>
          <w:p>
            <w:pPr>
              <w:pStyle w:val="Compact"/>
            </w:pPr>
            <w:r>
              <w:t xml:space="preserve">credit</w:t>
            </w:r>
          </w:p>
        </w:tc>
        <w:tc>
          <w:tcPr/>
          <w:p>
            <w:pPr>
              <w:pStyle w:val="Compact"/>
            </w:pPr>
            <w:r>
              <w:t xml:space="preserve">31.000000</w:t>
            </w:r>
          </w:p>
        </w:tc>
      </w:tr>
      <w:tr>
        <w:tc>
          <w:tcPr/>
          <w:p>
            <w:pPr>
              <w:pStyle w:val="Compact"/>
            </w:pPr>
            <w:r>
              <w:t xml:space="preserve">extended</w:t>
            </w:r>
          </w:p>
        </w:tc>
        <w:tc>
          <w:tcPr/>
          <w:p>
            <w:pPr>
              <w:pStyle w:val="Compact"/>
            </w:pPr>
            <w:r>
              <w:t xml:space="preserve">-100.247798</w:t>
            </w:r>
          </w:p>
        </w:tc>
      </w:tr>
      <w:tr>
        <w:tc>
          <w:tcPr/>
          <w:p>
            <w:pPr>
              <w:pStyle w:val="Compact"/>
            </w:pPr>
            <w:r>
              <w:t xml:space="preserve">target_extended</w:t>
            </w:r>
          </w:p>
        </w:tc>
        <w:tc>
          <w:tcPr/>
          <w:p>
            <w:pPr>
              <w:pStyle w:val="Compact"/>
            </w:pPr>
            <w:r>
              <w:t xml:space="preserve">0.000000</w:t>
            </w:r>
          </w:p>
        </w:tc>
      </w:tr>
      <w:tr>
        <w:tc>
          <w:tcPr/>
          <w:p>
            <w:pPr>
              <w:pStyle w:val="Compact"/>
            </w:pPr>
            <w:r>
              <w:t xml:space="preserve">gap</w:t>
            </w:r>
          </w:p>
        </w:tc>
        <w:tc>
          <w:tcPr/>
          <w:p>
            <w:pPr>
              <w:pStyle w:val="Compact"/>
            </w:pPr>
            <w:r>
              <w:t xml:space="preserve">-100.247798</w:t>
            </w:r>
          </w:p>
        </w:tc>
      </w:tr>
      <w:tr>
        <w:tc>
          <w:tcPr/>
          <w:p>
            <w:pPr>
              <w:pStyle w:val="Compact"/>
            </w:pPr>
            <w:r>
              <w:t xml:space="preserve">raw</w:t>
            </w:r>
          </w:p>
        </w:tc>
        <w:tc>
          <w:tcPr/>
          <w:p>
            <w:pPr>
              <w:pStyle w:val="Compact"/>
            </w:pPr>
            <w:r>
              <w:t xml:space="preserve">31.000000</w:t>
            </w:r>
          </w:p>
        </w:tc>
      </w:tr>
      <w:tr>
        <w:tc>
          <w:tcPr/>
          <w:p>
            <w:pPr>
              <w:pStyle w:val="Compact"/>
            </w:pPr>
            <w:r>
              <w:t xml:space="preserve">closure</w:t>
            </w:r>
          </w:p>
        </w:tc>
        <w:tc>
          <w:tcPr/>
          <w:p>
            <w:pPr>
              <w:pStyle w:val="Compact"/>
            </w:pPr>
            <w:r>
              <w:t xml:space="preserve">0.000000</w:t>
            </w:r>
          </w:p>
        </w:tc>
      </w:tr>
    </w:tbl>
    <w:bookmarkEnd w:id="546"/>
    <w:bookmarkStart w:id="547" w:name="Xa64b8a7b1ba24f6daca0315fa6da901be9b11ff"/>
    <w:p>
      <w:pPr>
        <w:pStyle w:val="Heading2"/>
      </w:pPr>
      <w:r>
        <w:t xml:space="preserve">G.4 Selektive Dichtebewertung über die GFZ-Verteilung</w:t>
      </w:r>
    </w:p>
    <w:p>
      <w:pPr>
        <w:pStyle w:val="FirstParagraph"/>
      </w:pPr>
      <w:r>
        <w:t xml:space="preserve">Für Typ</w:t>
      </w:r>
      <w:r>
        <w:t xml:space="preserve"> </w:t>
      </w:r>
      <m:oMath>
        <m:r>
          <m:t>k</m:t>
        </m:r>
      </m:oMath>
      <w:r>
        <w:t xml:space="preserve">, Nutzung</w:t>
      </w:r>
      <w:r>
        <w:t xml:space="preserve"> </w:t>
      </w:r>
      <m:oMath>
        <m:r>
          <m:t>u</m:t>
        </m:r>
      </m:oMath>
      <w:r>
        <w:t xml:space="preserve"> </w:t>
      </w:r>
      <w:r>
        <w:t xml:space="preserve">und GFZ-Klasse</w:t>
      </w:r>
      <w:r>
        <w:t xml:space="preserve"> </w:t>
      </w:r>
      <m:oMath>
        <m:r>
          <m:t>j</m:t>
        </m:r>
      </m:oMath>
      <w:r>
        <w:t xml:space="preserve"> </w:t>
      </w:r>
      <w:r>
        <w:t xml:space="preserve">ist</w:t>
      </w:r>
      <w:r>
        <w:t xml:space="preserve"> </w:t>
      </w:r>
      <m:oMath>
        <m:sSub>
          <m:e>
            <m:r>
              <m:t>s</m:t>
            </m:r>
          </m:e>
          <m:sub>
            <m:r>
              <m:t>k</m:t>
            </m:r>
            <m:r>
              <m:t>u</m:t>
            </m:r>
            <m:r>
              <m:t>j</m:t>
            </m:r>
          </m:sub>
        </m:sSub>
      </m:oMath>
      <w:r>
        <w:t xml:space="preserve"> </w:t>
      </w:r>
      <w:r>
        <w:t xml:space="preserve">der zugeordnete BGF-Anteil, mit</w:t>
      </w:r>
      <w:r>
        <w:t xml:space="preserve"> </w:t>
      </w:r>
      <m:oMath>
        <m:nary>
          <m:naryPr>
            <m:chr m:val="∑"/>
            <m:limLoc m:val="undOvr"/>
            <m:subHide m:val="off"/>
            <m:supHide m:val="on"/>
          </m:naryPr>
          <m:sub>
            <m:r>
              <m:t>u</m:t>
            </m:r>
            <m:r>
              <m:rPr>
                <m:sty m:val="p"/>
              </m:rPr>
              <m:t>,</m:t>
            </m:r>
            <m:r>
              <m:t>j</m:t>
            </m:r>
          </m:sub>
          <m:sup>
            <m:r>
              <m:t>​</m:t>
            </m:r>
          </m:sup>
          <m:e>
            <m:sSub>
              <m:e>
                <m:r>
                  <m:t>s</m:t>
                </m:r>
              </m:e>
              <m:sub>
                <m:r>
                  <m:t>k</m:t>
                </m:r>
                <m:r>
                  <m:t>u</m:t>
                </m:r>
                <m:r>
                  <m:t>j</m:t>
                </m:r>
              </m:sub>
            </m:sSub>
          </m:e>
        </m:nary>
        <m:r>
          <m:rPr>
            <m:sty m:val="p"/>
          </m:rPr>
          <m:t>=</m:t>
        </m:r>
        <m:r>
          <m:t>1</m:t>
        </m:r>
      </m:oMath>
      <w:r>
        <w:t xml:space="preserve">. Die Verteilung stammt aus dem GFZ-Modell 2021 und wird innerhalb der zugeordneten Geometrieklasse auf die Szenarioflächen übertragen. Energiekennwerte eines Typs sind innerhalb dieser Verteilung konstant; eine GFZ-abhängige PV-Neusimulation findet nicht statt.</w:t>
      </w:r>
    </w:p>
    <w:p>
      <w:pPr>
        <w:pStyle w:val="BodyText"/>
      </w:pPr>
      <m:oMathPara>
        <m:oMathParaPr>
          <m:jc m:val="center"/>
        </m:oMathParaPr>
        <m:oMath>
          <m:sSub>
            <m:e>
              <m:r>
                <m:t>P</m:t>
              </m:r>
            </m:e>
            <m:sub>
              <m:r>
                <m:t>u</m:t>
              </m:r>
              <m:r>
                <m:t>j</m:t>
              </m:r>
            </m:sub>
          </m:sSub>
          <m:r>
            <m:rPr>
              <m:sty m:val="p"/>
            </m:rPr>
            <m:t>=</m:t>
          </m:r>
          <m:nary>
            <m:naryPr>
              <m:chr m:val="∑"/>
              <m:limLoc m:val="undOvr"/>
              <m:subHide m:val="off"/>
              <m:supHide m:val="on"/>
            </m:naryPr>
            <m:sub>
              <m:r>
                <m:t>k</m:t>
              </m:r>
            </m:sub>
            <m:sup>
              <m:r>
                <m:t>​</m:t>
              </m:r>
            </m:sup>
            <m:e>
              <m:sSub>
                <m:e>
                  <m:r>
                    <m:t>s</m:t>
                  </m:r>
                </m:e>
                <m:sub>
                  <m:r>
                    <m:t>k</m:t>
                  </m:r>
                  <m:r>
                    <m:t>u</m:t>
                  </m:r>
                  <m:r>
                    <m:t>j</m:t>
                  </m:r>
                </m:sub>
              </m:sSub>
            </m:e>
          </m:nary>
          <m:sSub>
            <m:e>
              <m:r>
                <m:t>A</m:t>
              </m:r>
            </m:e>
            <m:sub>
              <m:r>
                <m:t>k</m:t>
              </m:r>
            </m:sub>
          </m:sSub>
          <m:r>
            <m:t>r</m:t>
          </m:r>
          <m:sSub>
            <m:e>
              <m:r>
                <m:t>e</m:t>
              </m:r>
            </m:e>
            <m:sub>
              <m:r>
                <m:t>P</m:t>
              </m:r>
              <m:r>
                <m:t>V</m:t>
              </m:r>
              <m:r>
                <m:rPr>
                  <m:sty m:val="p"/>
                </m:rPr>
                <m:t>,</m:t>
              </m:r>
              <m:r>
                <m:t>k</m:t>
              </m:r>
            </m:sub>
          </m:sSub>
          <m:r>
            <m:t>v</m:t>
          </m:r>
          <m:r>
            <m:rPr>
              <m:sty m:val="p"/>
            </m:rPr>
            <m:t>,</m:t>
          </m:r>
          <m:r>
            <m:t> </m:t>
          </m:r>
          <m:sSub>
            <m:e>
              <m:r>
                <m:t>D</m:t>
              </m:r>
            </m:e>
            <m:sub>
              <m:r>
                <m:t>u</m:t>
              </m:r>
              <m:r>
                <m:t>j</m:t>
              </m:r>
            </m:sub>
          </m:sSub>
          <m:r>
            <m:rPr>
              <m:sty m:val="p"/>
            </m:rPr>
            <m:t>=</m:t>
          </m:r>
          <m:nary>
            <m:naryPr>
              <m:chr m:val="∑"/>
              <m:limLoc m:val="undOvr"/>
              <m:subHide m:val="off"/>
              <m:supHide m:val="on"/>
            </m:naryPr>
            <m:sub>
              <m:r>
                <m:t>k</m:t>
              </m:r>
            </m:sub>
            <m:sup>
              <m:r>
                <m:t>​</m:t>
              </m:r>
            </m:sup>
            <m:e>
              <m:sSub>
                <m:e>
                  <m:r>
                    <m:t>s</m:t>
                  </m:r>
                </m:e>
                <m:sub>
                  <m:r>
                    <m:t>k</m:t>
                  </m:r>
                  <m:r>
                    <m:t>u</m:t>
                  </m:r>
                  <m:r>
                    <m:t>j</m:t>
                  </m:r>
                </m:sub>
              </m:sSub>
            </m:e>
          </m:nary>
          <m:sSub>
            <m:e>
              <m:r>
                <m:t>A</m:t>
              </m:r>
            </m:e>
            <m:sub>
              <m:r>
                <m:t>k</m:t>
              </m:r>
            </m:sub>
          </m:sSub>
          <m:r>
            <m:t>r</m:t>
          </m:r>
          <m:sSub>
            <m:e>
              <m:r>
                <m:t>e</m:t>
              </m:r>
            </m:e>
            <m:sub>
              <m:r>
                <m:t>e</m:t>
              </m:r>
              <m:r>
                <m:t>l</m:t>
              </m:r>
              <m:r>
                <m:rPr>
                  <m:sty m:val="p"/>
                </m:rPr>
                <m:t>,</m:t>
              </m:r>
              <m:r>
                <m:t>k</m:t>
              </m:r>
            </m:sub>
          </m:sSub>
          <m:r>
            <m:rPr>
              <m:sty m:val="p"/>
            </m:rPr>
            <m:t>(</m:t>
          </m:r>
          <m:r>
            <m:t>1</m:t>
          </m:r>
          <m:r>
            <m:rPr>
              <m:sty m:val="p"/>
            </m:rPr>
            <m:t>−</m:t>
          </m:r>
          <m:sSub>
            <m:e>
              <m:r>
                <m:t>u</m:t>
              </m:r>
            </m:e>
            <m:sub>
              <m:r>
                <m:t>s</m:t>
              </m:r>
            </m:sub>
          </m:sSub>
          <m:r>
            <m:rPr>
              <m:sty m:val="p"/>
            </m:rPr>
            <m:t>)</m:t>
          </m:r>
          <m:r>
            <m:rPr>
              <m:sty m:val="p"/>
            </m:rPr>
            <m:t>.</m:t>
          </m:r>
        </m:oMath>
      </m:oMathPara>
    </w:p>
    <w:p>
      <w:pPr>
        <w:pStyle w:val="FirstParagraph"/>
      </w:pPr>
      <m:oMath>
        <m:sSub>
          <m:e>
            <m:r>
              <m:t>A</m:t>
            </m:r>
          </m:e>
          <m:sub>
            <m:r>
              <m:t>k</m:t>
            </m:r>
          </m:sub>
        </m:sSub>
      </m:oMath>
      <w:r>
        <w:t xml:space="preserve"> </w:t>
      </w:r>
      <w:r>
        <w:t xml:space="preserve">ist die BGF in m²,</w:t>
      </w:r>
      <w:r>
        <w:t xml:space="preserve"> </w:t>
      </w:r>
      <m:oMath>
        <m:r>
          <m:t>r</m:t>
        </m:r>
      </m:oMath>
      <w:r>
        <w:t xml:space="preserve"> </w:t>
      </w:r>
      <w:r>
        <w:t xml:space="preserve">das NGF/BGF-Verhältnis,</w:t>
      </w:r>
      <w:r>
        <w:t xml:space="preserve"> </w:t>
      </w:r>
      <m:oMath>
        <m:r>
          <m:t>v</m:t>
        </m:r>
      </m:oMath>
      <w:r>
        <w:t xml:space="preserve"> </w:t>
      </w:r>
      <w:r>
        <w:t xml:space="preserve">die PV-Skalierung und</w:t>
      </w:r>
      <w:r>
        <w:t xml:space="preserve"> </w:t>
      </w:r>
      <m:oMath>
        <m:sSub>
          <m:e>
            <m:r>
              <m:t>u</m:t>
            </m:r>
          </m:e>
          <m:sub>
            <m:r>
              <m:t>s</m:t>
            </m:r>
          </m:sub>
        </m:sSub>
      </m:oMath>
      <w:r>
        <w:t xml:space="preserve"> </w:t>
      </w:r>
      <w:r>
        <w:t xml:space="preserve">die zusätzliche Bedarfssenkung. Die Kennwerte beziehen sich auf m² NGF. Für die ausgewählte Typenmenge</w:t>
      </w:r>
      <w:r>
        <w:t xml:space="preserve"> </w:t>
      </w:r>
      <m:oMath>
        <m:sSub>
          <m:e>
            <m:r>
              <m:t>K</m:t>
            </m:r>
          </m:e>
          <m:sub>
            <m:r>
              <m:t>P</m:t>
            </m:r>
            <m:r>
              <m:t>E</m:t>
            </m:r>
            <m:r>
              <m:t>Q</m:t>
            </m:r>
          </m:sub>
        </m:sSub>
      </m:oMath>
      <w:r>
        <w:t xml:space="preserve"> </w:t>
      </w:r>
      <w:r>
        <w:t xml:space="preserve">wird die virtuelle Korrektur ausschließlich auf deren BGF angewendet:</w:t>
      </w:r>
    </w:p>
    <w:p>
      <w:pPr>
        <w:pStyle w:val="BodyText"/>
      </w:pPr>
      <m:oMathPara>
        <m:oMathParaPr>
          <m:jc m:val="center"/>
        </m:oMathParaPr>
        <m:oMath>
          <m:sSub>
            <m:e>
              <m:r>
                <m:t>T</m:t>
              </m:r>
            </m:e>
            <m:sub>
              <m:r>
                <m:t>u</m:t>
              </m:r>
              <m:r>
                <m:t>j</m:t>
              </m:r>
            </m:sub>
          </m:sSub>
          <m:r>
            <m:rPr>
              <m:sty m:val="p"/>
            </m:rPr>
            <m:t>=</m:t>
          </m:r>
          <m:nary>
            <m:naryPr>
              <m:chr m:val="∑"/>
              <m:limLoc m:val="undOvr"/>
              <m:subHide m:val="off"/>
              <m:supHide m:val="on"/>
            </m:naryPr>
            <m:sub>
              <m:r>
                <m:t>k</m:t>
              </m:r>
              <m:r>
                <m:rPr>
                  <m:sty m:val="p"/>
                </m:rPr>
                <m:t>∈</m:t>
              </m:r>
              <m:sSub>
                <m:e>
                  <m:r>
                    <m:t>K</m:t>
                  </m:r>
                </m:e>
                <m:sub>
                  <m:r>
                    <m:t>P</m:t>
                  </m:r>
                  <m:r>
                    <m:t>E</m:t>
                  </m:r>
                  <m:r>
                    <m:t>Q</m:t>
                  </m:r>
                </m:sub>
              </m:sSub>
            </m:sub>
            <m:sup>
              <m:r>
                <m:t>​</m:t>
              </m:r>
            </m:sup>
            <m:e>
              <m:sSub>
                <m:e>
                  <m:r>
                    <m:t>s</m:t>
                  </m:r>
                </m:e>
                <m:sub>
                  <m:r>
                    <m:t>k</m:t>
                  </m:r>
                  <m:r>
                    <m:t>u</m:t>
                  </m:r>
                  <m:r>
                    <m:t>j</m:t>
                  </m:r>
                </m:sub>
              </m:sSub>
            </m:e>
          </m:nary>
          <m:sSub>
            <m:e>
              <m:r>
                <m:t>A</m:t>
              </m:r>
            </m:e>
            <m:sub>
              <m:r>
                <m:t>k</m:t>
              </m:r>
            </m:sub>
          </m:sSub>
          <m:r>
            <m:t>t</m:t>
          </m:r>
          <m:r>
            <m:rPr>
              <m:sty m:val="p"/>
            </m:rPr>
            <m:t>(</m:t>
          </m:r>
          <m:r>
            <m:t>G</m:t>
          </m:r>
          <m:r>
            <m:t>F</m:t>
          </m:r>
          <m:sSub>
            <m:e>
              <m:r>
                <m:t>Z</m:t>
              </m:r>
            </m:e>
            <m:sub>
              <m:r>
                <m:t>j</m:t>
              </m:r>
            </m:sub>
          </m:sSub>
          <m:r>
            <m:rPr>
              <m:sty m:val="p"/>
            </m:rPr>
            <m:t>)</m:t>
          </m:r>
          <m:r>
            <m:rPr>
              <m:sty m:val="p"/>
            </m:rPr>
            <m:t>,</m:t>
          </m:r>
          <m:r>
            <m:t> </m:t>
          </m:r>
          <m:sSub>
            <m:e>
              <m:r>
                <m:t>C</m:t>
              </m:r>
            </m:e>
            <m:sub>
              <m:r>
                <m:t>u</m:t>
              </m:r>
              <m:r>
                <m:t>j</m:t>
              </m:r>
            </m:sub>
          </m:sSub>
          <m:r>
            <m:rPr>
              <m:sty m:val="p"/>
            </m:rPr>
            <m:t>=</m:t>
          </m:r>
          <m:sSub>
            <m:e>
              <m:r>
                <m:t>T</m:t>
              </m:r>
            </m:e>
            <m:sub>
              <m:r>
                <m:t>u</m:t>
              </m:r>
              <m:r>
                <m:t>j</m:t>
              </m:r>
            </m:sub>
          </m:sSub>
          <m:r>
            <m:rPr>
              <m:sty m:val="p"/>
            </m:rPr>
            <m:t>−</m:t>
          </m:r>
          <m:r>
            <m:rPr>
              <m:sty m:val="p"/>
            </m:rPr>
            <m:t>(</m:t>
          </m:r>
          <m:sSub>
            <m:e>
              <m:r>
                <m:t>P</m:t>
              </m:r>
            </m:e>
            <m:sub>
              <m:r>
                <m:t>u</m:t>
              </m:r>
              <m:r>
                <m:t>j</m:t>
              </m:r>
              <m:r>
                <m:rPr>
                  <m:sty m:val="p"/>
                </m:rPr>
                <m:t>,</m:t>
              </m:r>
              <m:r>
                <m:t>P</m:t>
              </m:r>
              <m:r>
                <m:t>E</m:t>
              </m:r>
              <m:r>
                <m:t>Q</m:t>
              </m:r>
            </m:sub>
          </m:sSub>
          <m:r>
            <m:rPr>
              <m:sty m:val="p"/>
            </m:rPr>
            <m:t>−</m:t>
          </m:r>
          <m:sSub>
            <m:e>
              <m:r>
                <m:t>D</m:t>
              </m:r>
            </m:e>
            <m:sub>
              <m:r>
                <m:t>u</m:t>
              </m:r>
              <m:r>
                <m:t>j</m:t>
              </m:r>
              <m:r>
                <m:rPr>
                  <m:sty m:val="p"/>
                </m:rPr>
                <m:t>,</m:t>
              </m:r>
              <m:r>
                <m:t>P</m:t>
              </m:r>
              <m:r>
                <m:t>E</m:t>
              </m:r>
              <m:r>
                <m:t>Q</m:t>
              </m:r>
            </m:sub>
          </m:sSub>
          <m:r>
            <m:rPr>
              <m:sty m:val="p"/>
            </m:rPr>
            <m:t>)</m:t>
          </m:r>
          <m:r>
            <m:rPr>
              <m:sty m:val="p"/>
            </m:rPr>
            <m:t>,</m:t>
          </m:r>
          <m:r>
            <m:t>  </m:t>
          </m:r>
          <m:sSub>
            <m:e>
              <m:r>
                <m:t>B</m:t>
              </m:r>
            </m:e>
            <m:sub>
              <m:r>
                <m:rPr>
                  <m:sty m:val="p"/>
                </m:rPr>
                <m:t>≤</m:t>
              </m:r>
              <m:r>
                <m:t>j</m:t>
              </m:r>
            </m:sub>
          </m:sSub>
          <m:r>
            <m:rPr>
              <m:sty m:val="p"/>
            </m:rPr>
            <m:t>=</m:t>
          </m:r>
          <m:nary>
            <m:naryPr>
              <m:chr m:val="∑"/>
              <m:limLoc m:val="undOvr"/>
              <m:subHide m:val="off"/>
              <m:supHide m:val="on"/>
            </m:naryPr>
            <m:sub>
              <m:r>
                <m:t>i</m:t>
              </m:r>
              <m:r>
                <m:rPr>
                  <m:sty m:val="p"/>
                </m:rPr>
                <m:t>≤</m:t>
              </m:r>
              <m:r>
                <m:t>j</m:t>
              </m:r>
              <m:r>
                <m:rPr>
                  <m:sty m:val="p"/>
                </m:rPr>
                <m:t>,</m:t>
              </m:r>
              <m:r>
                <m:t>u</m:t>
              </m:r>
            </m:sub>
            <m:sup>
              <m:r>
                <m:t>​</m:t>
              </m:r>
            </m:sup>
            <m:e>
              <m:r>
                <m:rPr>
                  <m:sty m:val="p"/>
                </m:rPr>
                <m:t>(</m:t>
              </m:r>
            </m:e>
          </m:nary>
          <m:sSub>
            <m:e>
              <m:r>
                <m:t>P</m:t>
              </m:r>
            </m:e>
            <m:sub>
              <m:r>
                <m:t>u</m:t>
              </m:r>
              <m:r>
                <m:t>i</m:t>
              </m:r>
            </m:sub>
          </m:sSub>
          <m:r>
            <m:rPr>
              <m:sty m:val="p"/>
            </m:rPr>
            <m:t>−</m:t>
          </m:r>
          <m:sSub>
            <m:e>
              <m:r>
                <m:t>D</m:t>
              </m:r>
            </m:e>
            <m:sub>
              <m:r>
                <m:t>u</m:t>
              </m:r>
              <m:r>
                <m:t>i</m:t>
              </m:r>
            </m:sub>
          </m:sSub>
          <m:r>
            <m:rPr>
              <m:sty m:val="p"/>
            </m:rPr>
            <m:t>)</m:t>
          </m:r>
          <m:r>
            <m:rPr>
              <m:sty m:val="p"/>
            </m:rPr>
            <m:t>,</m:t>
          </m:r>
          <m:r>
            <m:t> </m:t>
          </m:r>
          <m:sSubSup>
            <m:e>
              <m:r>
                <m:t>B</m:t>
              </m:r>
            </m:e>
            <m:sub>
              <m:r>
                <m:rPr>
                  <m:sty m:val="p"/>
                </m:rPr>
                <m:t>≤</m:t>
              </m:r>
              <m:r>
                <m:t>j</m:t>
              </m:r>
            </m:sub>
            <m:sup>
              <m:r>
                <m:rPr>
                  <m:sty m:val="p"/>
                </m:rPr>
                <m:t>*</m:t>
              </m:r>
            </m:sup>
          </m:sSubSup>
          <m:r>
            <m:rPr>
              <m:sty m:val="p"/>
            </m:rPr>
            <m:t>=</m:t>
          </m:r>
          <m:sSub>
            <m:e>
              <m:r>
                <m:t>B</m:t>
              </m:r>
            </m:e>
            <m:sub>
              <m:r>
                <m:rPr>
                  <m:sty m:val="p"/>
                </m:rPr>
                <m:t>≤</m:t>
              </m:r>
              <m:r>
                <m:t>j</m:t>
              </m:r>
            </m:sub>
          </m:sSub>
          <m:r>
            <m:rPr>
              <m:sty m:val="p"/>
            </m:rPr>
            <m:t>+</m:t>
          </m:r>
          <m:nary>
            <m:naryPr>
              <m:chr m:val="∑"/>
              <m:limLoc m:val="undOvr"/>
              <m:subHide m:val="off"/>
              <m:supHide m:val="on"/>
            </m:naryPr>
            <m:sub>
              <m:r>
                <m:t>i</m:t>
              </m:r>
              <m:r>
                <m:rPr>
                  <m:sty m:val="p"/>
                </m:rPr>
                <m:t>≤</m:t>
              </m:r>
              <m:r>
                <m:t>j</m:t>
              </m:r>
              <m:r>
                <m:rPr>
                  <m:sty m:val="p"/>
                </m:rPr>
                <m:t>,</m:t>
              </m:r>
              <m:r>
                <m:t>u</m:t>
              </m:r>
            </m:sub>
            <m:sup>
              <m:r>
                <m:t>​</m:t>
              </m:r>
            </m:sup>
            <m:e>
              <m:sSub>
                <m:e>
                  <m:r>
                    <m:t>C</m:t>
                  </m:r>
                </m:e>
                <m:sub>
                  <m:r>
                    <m:t>u</m:t>
                  </m:r>
                  <m:r>
                    <m:t>i</m:t>
                  </m:r>
                </m:sub>
              </m:sSub>
            </m:e>
          </m:nary>
          <m:r>
            <m:rPr>
              <m:sty m:val="p"/>
            </m:rPr>
            <m:t>.</m:t>
          </m:r>
        </m:oMath>
      </m:oMathPara>
    </w:p>
    <w:p>
      <w:pPr>
        <w:pStyle w:val="FirstParagraph"/>
      </w:pPr>
      <w:r>
        <w:t xml:space="preserve">Energie in kWh wird mit</w:t>
      </w:r>
      <w:r>
        <w:t xml:space="preserve"> </w:t>
      </w:r>
      <m:oMath>
        <m:r>
          <m:t>3</m:t>
        </m:r>
        <m:r>
          <m:rPr>
            <m:sty m:val="p"/>
          </m:rPr>
          <m:t>,</m:t>
        </m:r>
        <m:r>
          <m:t>6</m:t>
        </m:r>
        <m:r>
          <m:rPr>
            <m:sty m:val="p"/>
          </m:rPr>
          <m:t>⋅</m:t>
        </m:r>
        <m:sSup>
          <m:e>
            <m:r>
              <m:t>10</m:t>
            </m:r>
          </m:e>
          <m:sup>
            <m:r>
              <m:rPr>
                <m:sty m:val="p"/>
              </m:rPr>
              <m:t>−</m:t>
            </m:r>
            <m:r>
              <m:t>9</m:t>
            </m:r>
          </m:sup>
        </m:sSup>
      </m:oMath>
      <w:r>
        <w:t xml:space="preserve"> </w:t>
      </w:r>
      <w:r>
        <w:t xml:space="preserve">in PJ umgerechnet. Die kumulierte Linie summiert Klassenbeiträge von niedriger zu hoher GFZ; sie ist kein spezifischer Kennwert. Ihr Endpunkt entspricht der Sektorsumme ohne Mobilität. Die unbereinigte GFZ-Aggregation muss die direkte BGF-Bilanz reproduzieren. Die Korrektur bleibt separat schraffiert und verändert keine physische Stromerzeugung. Startauswahl und einzelne Typen sind im nachgelagerten Dashboard editierbar; die vollständige GFZ-Spanne bleibt erhalten.</w:t>
      </w:r>
    </w:p>
    <w:p>
      <w:pPr>
        <w:pStyle w:val="BodyText"/>
      </w:pPr>
      <w:r>
        <w:t xml:space="preserve">Der Zielsaldo ist</w:t>
      </w:r>
      <w:r>
        <w:t xml:space="preserve"> </w:t>
      </w:r>
      <m:oMath>
        <m:r>
          <m:t>t</m:t>
        </m:r>
        <m:r>
          <m:rPr>
            <m:sty m:val="p"/>
          </m:rPr>
          <m:t>(</m:t>
        </m:r>
        <m:r>
          <m:t>G</m:t>
        </m:r>
        <m:r>
          <m:t>F</m:t>
        </m:r>
        <m:r>
          <m:t>Z</m:t>
        </m:r>
        <m:r>
          <m:rPr>
            <m:sty m:val="p"/>
          </m:rPr>
          <m:t>)</m:t>
        </m:r>
        <m:r>
          <m:rPr>
            <m:sty m:val="p"/>
          </m:rPr>
          <m:t>=</m:t>
        </m:r>
        <m:r>
          <m:rPr>
            <m:sty m:val="p"/>
          </m:rPr>
          <m:t>min</m:t>
        </m:r>
        <m:r>
          <m:rPr>
            <m:sty m:val="p"/>
          </m:rPr>
          <m:t>(</m:t>
        </m:r>
        <m:sSub>
          <m:e>
            <m:r>
              <m:t>f</m:t>
            </m:r>
          </m:e>
          <m:sub>
            <m:r>
              <m:t>R</m:t>
            </m:r>
            <m:r>
              <m:t>E</m:t>
            </m:r>
            <m:r>
              <m:t>S</m:t>
            </m:r>
          </m:sub>
        </m:sSub>
        <m:r>
          <m:rPr>
            <m:sty m:val="p"/>
          </m:rPr>
          <m:t>/</m:t>
        </m:r>
        <m:r>
          <m:rPr>
            <m:sty m:val="p"/>
          </m:rPr>
          <m:t>(</m:t>
        </m:r>
        <m:r>
          <m:t>G</m:t>
        </m:r>
        <m:r>
          <m:t>F</m:t>
        </m:r>
        <m:r>
          <m:t>Z</m:t>
        </m:r>
        <m:r>
          <m:rPr>
            <m:sty m:val="p"/>
          </m:rPr>
          <m:t>+</m:t>
        </m:r>
        <m:r>
          <m:t>d</m:t>
        </m:r>
        <m:r>
          <m:t>x</m:t>
        </m:r>
        <m:r>
          <m:rPr>
            <m:sty m:val="p"/>
          </m:rPr>
          <m:t>)</m:t>
        </m:r>
        <m:r>
          <m:rPr>
            <m:sty m:val="p"/>
          </m:rPr>
          <m:t>−</m:t>
        </m:r>
        <m:sSub>
          <m:e>
            <m:r>
              <m:t>f</m:t>
            </m:r>
          </m:e>
          <m:sub>
            <m:r>
              <m:t>E</m:t>
            </m:r>
            <m:r>
              <m:t>D</m:t>
            </m:r>
          </m:sub>
        </m:sSub>
        <m:r>
          <m:rPr>
            <m:sty m:val="p"/>
          </m:rPr>
          <m:t>,</m:t>
        </m:r>
        <m:sSub>
          <m:e>
            <m:r>
              <m:t>c</m:t>
            </m:r>
          </m:e>
          <m:sub>
            <m:r>
              <m:t>m</m:t>
            </m:r>
            <m:r>
              <m:t>a</m:t>
            </m:r>
            <m:r>
              <m:t>x</m:t>
            </m:r>
          </m:sub>
        </m:sSub>
        <m:r>
          <m:rPr>
            <m:sty m:val="p"/>
          </m:rPr>
          <m:t>)</m:t>
        </m:r>
      </m:oMath>
      <w:r>
        <w:t xml:space="preserve">. Die negative historische Bewertungskorrektur prüft die Zielerfüllung; sie wird hier nicht zusätzlich auf den Gebäudesaldo addiert. Stattdessen ersetzt der Zielsaldo den typologischen Saldo ausgewählter Typen. Die schraffierte Anpassung</w:t>
      </w:r>
      <w:r>
        <w:t xml:space="preserve"> </w:t>
      </w:r>
      <m:oMath>
        <m:r>
          <m:t>C</m:t>
        </m:r>
      </m:oMath>
      <w:r>
        <w:t xml:space="preserve"> </w:t>
      </w:r>
      <w:r>
        <w:t xml:space="preserve">kann durch mehr Erzeugung oder weniger Bedarf erreicht werden. Nicht ausgewählte Typen bleiben unverändert. PEQ-Typen sind in beiden Grafiken grün; sonstige Typen behalten die Nutzungsfarben. Die Ansicht GFZ 0–5 begrenzt nur die Darstellung, nicht die Berechnung.</w:t>
      </w:r>
    </w:p>
    <w:p>
      <w:pPr>
        <w:pStyle w:val="BodyText"/>
      </w:pPr>
      <w:r>
        <w:t xml:space="preserve">Die spezifische Klassenbilanz trennt Nicht-PEQ, ausgewählte PEQ mit typologischen Kennwerten und dieselben PEQ bei Erreichen des Dichteziels. Jede Gruppe wird durch ihre eigene BGF innerhalb der Geometrieklasse geteilt. Die drei spezifischen Salden sind nicht addierbar; leere Gruppen bleiben ohne Wert. Die Verteilungsgrafik verwendet BGF-gewichtete Quantile der Zielwerte: Das q-Quantil ist der kleinste Zielwert, dessen kumuliertes Flächengewicht mindestens q erreicht. Der gewichtete Mittelwert ergänzt Median und Perzentilband. Top-Down, Typologie und Dichteausgleich werden ohne Mobilität verglichen. Die nationale Säulengrafik enthält alle Strombedarfe, Erzeugungsträger und den Außenhandel; die Mobilitätsgutschrift wird dabei nicht als zusätzliche nationale Erzeugung gezählt.</w:t>
      </w:r>
    </w:p>
    <w:p>
      <w:pPr>
        <w:pStyle w:val="SourceCode"/>
      </w:pPr>
      <w:r>
        <w:rPr>
          <w:rStyle w:val="CommentTok"/>
        </w:rPr>
        <w:t xml:space="preserve"># Gemeinsame GFZ-/Nutzungsverteilung bedingt auf die geometrische Klasse.</w:t>
      </w:r>
      <w:r>
        <w:br/>
      </w:r>
      <w:r>
        <w:rPr>
          <w:rStyle w:val="CommentTok"/>
        </w:rPr>
        <w:t xml:space="preserve"># Nutzung und GFZ werden gemeinsam gewichtet; keine gleichmäßige Aufteilung.</w:t>
      </w:r>
      <w:r>
        <w:br/>
      </w:r>
      <w:r>
        <w:rPr>
          <w:rStyle w:val="NormalTok"/>
        </w:rPr>
        <w:t xml:space="preserve">use_bins</w:t>
      </w:r>
      <w:r>
        <w:rPr>
          <w:rStyle w:val="OperatorTok"/>
        </w:rPr>
        <w:t xml:space="preserve">=</w:t>
      </w:r>
      <w:r>
        <w:rPr>
          <w:rStyle w:val="NormalTok"/>
        </w:rPr>
        <w:t xml:space="preserve">joined.groupby([</w:t>
      </w:r>
      <w:r>
        <w:rPr>
          <w:rStyle w:val="StringTok"/>
        </w:rPr>
        <w:t xml:space="preserve">'Geometrie'</w:t>
      </w:r>
      <w:r>
        <w:rPr>
          <w:rStyle w:val="NormalTok"/>
        </w:rPr>
        <w:t xml:space="preserve">,</w:t>
      </w:r>
      <w:r>
        <w:rPr>
          <w:rStyle w:val="StringTok"/>
        </w:rPr>
        <w:t xml:space="preserve">'GWR_Nutzung'</w:t>
      </w:r>
      <w:r>
        <w:rPr>
          <w:rStyle w:val="NormalTok"/>
        </w:rPr>
        <w:t xml:space="preserve">,</w:t>
      </w:r>
      <w:r>
        <w:rPr>
          <w:rStyle w:val="StringTok"/>
        </w:rPr>
        <w:t xml:space="preserve">'GFZ'</w:t>
      </w:r>
      <w:r>
        <w:rPr>
          <w:rStyle w:val="NormalTok"/>
        </w:rPr>
        <w:t xml:space="preserve">],as_index</w:t>
      </w:r>
      <w:r>
        <w:rPr>
          <w:rStyle w:val="OperatorTok"/>
        </w:rPr>
        <w:t xml:space="preserve">=</w:t>
      </w:r>
      <w:r>
        <w:rPr>
          <w:rStyle w:val="VariableTok"/>
        </w:rPr>
        <w:t xml:space="preserve">False</w:t>
      </w:r>
      <w:r>
        <w:rPr>
          <w:rStyle w:val="NormalTok"/>
        </w:rPr>
        <w:t xml:space="preserve">).zugeordnete_BGF.</w:t>
      </w:r>
      <w:r>
        <w:rPr>
          <w:rStyle w:val="BuiltInTok"/>
        </w:rPr>
        <w:t xml:space="preserve">sum</w:t>
      </w:r>
      <w:r>
        <w:rPr>
          <w:rStyle w:val="NormalTok"/>
        </w:rPr>
        <w:t xml:space="preserve">()</w:t>
      </w:r>
      <w:r>
        <w:br/>
      </w:r>
      <w:r>
        <w:rPr>
          <w:rStyle w:val="NormalTok"/>
        </w:rPr>
        <w:t xml:space="preserve">use_bins[</w:t>
      </w:r>
      <w:r>
        <w:rPr>
          <w:rStyle w:val="StringTok"/>
        </w:rPr>
        <w:t xml:space="preserve">'s'</w:t>
      </w:r>
      <w:r>
        <w:rPr>
          <w:rStyle w:val="NormalTok"/>
        </w:rPr>
        <w:t xml:space="preserve">]</w:t>
      </w:r>
      <w:r>
        <w:rPr>
          <w:rStyle w:val="OperatorTok"/>
        </w:rPr>
        <w:t xml:space="preserve">=</w:t>
      </w:r>
      <w:r>
        <w:rPr>
          <w:rStyle w:val="NormalTok"/>
        </w:rPr>
        <w:t xml:space="preserve">use_bins.zugeordnete_BGF</w:t>
      </w:r>
      <w:r>
        <w:rPr>
          <w:rStyle w:val="OperatorTok"/>
        </w:rPr>
        <w:t xml:space="preserve">/</w:t>
      </w:r>
      <w:r>
        <w:rPr>
          <w:rStyle w:val="NormalTok"/>
        </w:rPr>
        <w:t xml:space="preserve">use_bins.groupby(</w:t>
      </w:r>
      <w:r>
        <w:rPr>
          <w:rStyle w:val="StringTok"/>
        </w:rPr>
        <w:t xml:space="preserve">'Geometrie'</w:t>
      </w:r>
      <w:r>
        <w:rPr>
          <w:rStyle w:val="NormalTok"/>
        </w:rPr>
        <w:t xml:space="preserve">).zugeordnete_BGF.transform(</w:t>
      </w:r>
      <w:r>
        <w:rPr>
          <w:rStyle w:val="StringTok"/>
        </w:rPr>
        <w:t xml:space="preserve">'sum'</w:t>
      </w:r>
      <w:r>
        <w:rPr>
          <w:rStyle w:val="NormalTok"/>
        </w:rPr>
        <w:t xml:space="preserve">)</w:t>
      </w:r>
      <w:r>
        <w:br/>
      </w:r>
      <w:r>
        <w:rPr>
          <w:rStyle w:val="NormalTok"/>
        </w:rPr>
        <w:t xml:space="preserve">np.testing.assert_allclose(use_bins.groupby(</w:t>
      </w:r>
      <w:r>
        <w:rPr>
          <w:rStyle w:val="StringTok"/>
        </w:rPr>
        <w:t xml:space="preserve">'Geometrie'</w:t>
      </w:r>
      <w:r>
        <w:rPr>
          <w:rStyle w:val="NormalTok"/>
        </w:rPr>
        <w:t xml:space="preserve">).s.</w:t>
      </w:r>
      <w:r>
        <w:rPr>
          <w:rStyle w:val="BuiltInTok"/>
        </w:rPr>
        <w:t xml:space="preserve">sum</w:t>
      </w:r>
      <w:r>
        <w:rPr>
          <w:rStyle w:val="NormalTok"/>
        </w:rPr>
        <w:t xml:space="preserve">(),</w:t>
      </w:r>
      <w:r>
        <w:rPr>
          <w:rStyle w:val="DecValTok"/>
        </w:rPr>
        <w:t xml:space="preserve">1</w:t>
      </w:r>
      <w:r>
        <w:rPr>
          <w:rStyle w:val="NormalTok"/>
        </w:rPr>
        <w:t xml:space="preserve">)</w:t>
      </w:r>
      <w:r>
        <w:br/>
      </w:r>
      <w:r>
        <w:rPr>
          <w:rStyle w:val="NormalTok"/>
        </w:rPr>
        <w:t xml:space="preserve">parts</w:t>
      </w:r>
      <w:r>
        <w:rPr>
          <w:rStyle w:val="OperatorTok"/>
        </w:rPr>
        <w:t xml:space="preserve">=</w:t>
      </w:r>
      <w:r>
        <w:rPr>
          <w:rStyle w:val="NormalTok"/>
        </w:rPr>
        <w:t xml:space="preserve">active.Archetype.</w:t>
      </w:r>
      <w:r>
        <w:rPr>
          <w:rStyle w:val="BuiltInTok"/>
        </w:rPr>
        <w:t xml:space="preserve">str</w:t>
      </w:r>
      <w:r>
        <w:rPr>
          <w:rStyle w:val="NormalTok"/>
        </w:rPr>
        <w:t xml:space="preserve">.split(</w:t>
      </w:r>
      <w:r>
        <w:rPr>
          <w:rStyle w:val="StringTok"/>
        </w:rPr>
        <w:t xml:space="preserve">'|'</w:t>
      </w:r>
      <w:r>
        <w:rPr>
          <w:rStyle w:val="NormalTok"/>
        </w:rPr>
        <w:t xml:space="preserve">,regex</w:t>
      </w:r>
      <w:r>
        <w:rPr>
          <w:rStyle w:val="OperatorTok"/>
        </w:rPr>
        <w:t xml:space="preserve">=</w:t>
      </w:r>
      <w:r>
        <w:rPr>
          <w:rStyle w:val="VariableTok"/>
        </w:rPr>
        <w:t xml:space="preserve">False</w:t>
      </w:r>
      <w:r>
        <w:rPr>
          <w:rStyle w:val="NormalTok"/>
        </w:rPr>
        <w:t xml:space="preserve">)</w:t>
      </w:r>
      <w:r>
        <w:br/>
      </w:r>
      <w:r>
        <w:rPr>
          <w:rStyle w:val="NormalTok"/>
        </w:rPr>
        <w:t xml:space="preserve">active[</w:t>
      </w:r>
      <w:r>
        <w:rPr>
          <w:rStyle w:val="StringTok"/>
        </w:rPr>
        <w:t xml:space="preserve">'default_selected'</w:t>
      </w:r>
      <w:r>
        <w:rPr>
          <w:rStyle w:val="NormalTok"/>
        </w:rPr>
        <w:t xml:space="preserve">]</w:t>
      </w:r>
      <w:r>
        <w:rPr>
          <w:rStyle w:val="OperatorTok"/>
        </w:rPr>
        <w:t xml:space="preserve">=</w:t>
      </w:r>
      <w:r>
        <w:rPr>
          <w:rStyle w:val="NormalTok"/>
        </w:rPr>
        <w:t xml:space="preserve">parts.</w:t>
      </w:r>
      <w:r>
        <w:rPr>
          <w:rStyle w:val="BuiltInTok"/>
        </w:rPr>
        <w:t xml:space="preserve">str</w:t>
      </w:r>
      <w:r>
        <w:rPr>
          <w:rStyle w:val="NormalTok"/>
        </w:rPr>
        <w:t xml:space="preserve">[</w:t>
      </w:r>
      <w:r>
        <w:rPr>
          <w:rStyle w:val="DecValTok"/>
        </w:rPr>
        <w:t xml:space="preserve">1</w:t>
      </w:r>
      <w:r>
        <w:rPr>
          <w:rStyle w:val="NormalTok"/>
        </w:rPr>
        <w:t xml:space="preserve">].eq(</w:t>
      </w:r>
      <w:r>
        <w:rPr>
          <w:rStyle w:val="StringTok"/>
        </w:rPr>
        <w:t xml:space="preserve">'Neu_30cm'</w:t>
      </w:r>
      <w:r>
        <w:rPr>
          <w:rStyle w:val="NormalTok"/>
        </w:rPr>
        <w:t xml:space="preserve">) </w:t>
      </w:r>
      <w:r>
        <w:rPr>
          <w:rStyle w:val="OperatorTok"/>
        </w:rPr>
        <w:t xml:space="preserve">&amp;</w:t>
      </w:r>
      <w:r>
        <w:rPr>
          <w:rStyle w:val="NormalTok"/>
        </w:rPr>
        <w:t xml:space="preserve"> (parts.</w:t>
      </w:r>
      <w:r>
        <w:rPr>
          <w:rStyle w:val="BuiltInTok"/>
        </w:rPr>
        <w:t xml:space="preserve">str</w:t>
      </w:r>
      <w:r>
        <w:rPr>
          <w:rStyle w:val="NormalTok"/>
        </w:rPr>
        <w:t xml:space="preserve">[</w:t>
      </w:r>
      <w:r>
        <w:rPr>
          <w:rStyle w:val="DecValTok"/>
        </w:rPr>
        <w:t xml:space="preserve">2</w:t>
      </w:r>
      <w:r>
        <w:rPr>
          <w:rStyle w:val="NormalTok"/>
        </w:rPr>
        <w:t xml:space="preserve">].</w:t>
      </w:r>
      <w:r>
        <w:rPr>
          <w:rStyle w:val="BuiltInTok"/>
        </w:rPr>
        <w:t xml:space="preserve">str</w:t>
      </w:r>
      <w:r>
        <w:rPr>
          <w:rStyle w:val="NormalTok"/>
        </w:rPr>
        <w:t xml:space="preserve">.startswith(</w:t>
      </w:r>
      <w:r>
        <w:rPr>
          <w:rStyle w:val="StringTok"/>
        </w:rPr>
        <w:t xml:space="preserve">'WP_'</w:t>
      </w:r>
      <w:r>
        <w:rPr>
          <w:rStyle w:val="NormalTok"/>
        </w:rPr>
        <w:t xml:space="preserve">) </w:t>
      </w:r>
      <w:r>
        <w:rPr>
          <w:rStyle w:val="OperatorTok"/>
        </w:rPr>
        <w:t xml:space="preserve">|</w:t>
      </w:r>
      <w:r>
        <w:rPr>
          <w:rStyle w:val="NormalTok"/>
        </w:rPr>
        <w:t xml:space="preserve"> parts.</w:t>
      </w:r>
      <w:r>
        <w:rPr>
          <w:rStyle w:val="BuiltInTok"/>
        </w:rPr>
        <w:t xml:space="preserve">str</w:t>
      </w:r>
      <w:r>
        <w:rPr>
          <w:rStyle w:val="NormalTok"/>
        </w:rPr>
        <w:t xml:space="preserve">[</w:t>
      </w:r>
      <w:r>
        <w:rPr>
          <w:rStyle w:val="DecValTok"/>
        </w:rPr>
        <w:t xml:space="preserve">2</w:t>
      </w:r>
      <w:r>
        <w:rPr>
          <w:rStyle w:val="NormalTok"/>
        </w:rPr>
        <w:t xml:space="preserve">].isin([</w:t>
      </w:r>
      <w:r>
        <w:rPr>
          <w:rStyle w:val="StringTok"/>
        </w:rPr>
        <w:t xml:space="preserve">'FW_erneu'</w:t>
      </w:r>
      <w:r>
        <w:rPr>
          <w:rStyle w:val="NormalTok"/>
        </w:rPr>
        <w:t xml:space="preserve">,</w:t>
      </w:r>
      <w:r>
        <w:rPr>
          <w:rStyle w:val="StringTok"/>
        </w:rPr>
        <w:t xml:space="preserve">'Bio'</w:t>
      </w:r>
      <w:r>
        <w:rPr>
          <w:rStyle w:val="NormalTok"/>
        </w:rPr>
        <w:t xml:space="preserve">]))</w:t>
      </w:r>
      <w:r>
        <w:br/>
      </w:r>
      <w:r>
        <w:rPr>
          <w:rStyle w:val="CommentTok"/>
        </w:rPr>
        <w:t xml:space="preserve"># Explizite PEQ-Kennzeichnung hat Vorrang vor dem transparenten Startvorschlag.</w:t>
      </w:r>
      <w:r>
        <w:br/>
      </w:r>
      <w:r>
        <w:rPr>
          <w:rStyle w:val="NormalTok"/>
        </w:rPr>
        <w:t xml:space="preserve">explicit</w:t>
      </w:r>
      <w:r>
        <w:rPr>
          <w:rStyle w:val="OperatorTok"/>
        </w:rPr>
        <w:t xml:space="preserve">=</w:t>
      </w:r>
      <w:r>
        <w:rPr>
          <w:rStyle w:val="NormalTok"/>
        </w:rPr>
        <w:t xml:space="preserve">active[</w:t>
      </w:r>
      <w:r>
        <w:rPr>
          <w:rStyle w:val="StringTok"/>
        </w:rPr>
        <w:t xml:space="preserve">'Energetischer Standard'</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.fullmatch(</w:t>
      </w:r>
      <w:r>
        <w:rPr>
          <w:rStyle w:val="StringTok"/>
        </w:rPr>
        <w:t xml:space="preserve">'PEQ'</w:t>
      </w:r>
      <w:r>
        <w:rPr>
          <w:rStyle w:val="NormalTok"/>
        </w:rPr>
        <w:t xml:space="preserve">,case</w:t>
      </w:r>
      <w:r>
        <w:rPr>
          <w:rStyle w:val="OperatorTok"/>
        </w:rPr>
        <w:t xml:space="preserve">=</w:t>
      </w:r>
      <w:r>
        <w:rPr>
          <w:rStyle w:val="VariableTok"/>
        </w:rPr>
        <w:t xml:space="preserve">False</w:t>
      </w:r>
      <w:r>
        <w:rPr>
          <w:rStyle w:val="NormalTok"/>
        </w:rPr>
        <w:t xml:space="preserve">)</w:t>
      </w:r>
      <w:r>
        <w:br/>
      </w:r>
      <w:r>
        <w:rPr>
          <w:rStyle w:val="ControlFlowTok"/>
        </w:rPr>
        <w:t xml:space="preserve">if</w:t>
      </w:r>
      <w:r>
        <w:rPr>
          <w:rStyle w:val="NormalTok"/>
        </w:rPr>
        <w:t xml:space="preserve"> explicit.</w:t>
      </w:r>
      <w:r>
        <w:rPr>
          <w:rStyle w:val="BuiltInTok"/>
        </w:rPr>
        <w:t xml:space="preserve">any</w:t>
      </w:r>
      <w:r>
        <w:rPr>
          <w:rStyle w:val="NormalTok"/>
        </w:rPr>
        <w:t xml:space="preserve">():</w:t>
      </w:r>
      <w:r>
        <w:br/>
      </w:r>
      <w:r>
        <w:rPr>
          <w:rStyle w:val="NormalTok"/>
        </w:rPr>
        <w:t xml:space="preserve">    active[</w:t>
      </w:r>
      <w:r>
        <w:rPr>
          <w:rStyle w:val="StringTok"/>
        </w:rPr>
        <w:t xml:space="preserve">'default_selected'</w:t>
      </w:r>
      <w:r>
        <w:rPr>
          <w:rStyle w:val="NormalTok"/>
        </w:rPr>
        <w:t xml:space="preserve">]</w:t>
      </w:r>
      <w:r>
        <w:rPr>
          <w:rStyle w:val="OperatorTok"/>
        </w:rPr>
        <w:t xml:space="preserve">=</w:t>
      </w:r>
      <w:r>
        <w:rPr>
          <w:rStyle w:val="NormalTok"/>
        </w:rPr>
        <w:t xml:space="preserve">explicit</w:t>
      </w:r>
      <w:r>
        <w:br/>
      </w:r>
      <w:r>
        <w:rPr>
          <w:rStyle w:val="NormalTok"/>
        </w:rPr>
        <w:t xml:space="preserve">    selection_note</w:t>
      </w:r>
      <w:r>
        <w:rPr>
          <w:rStyle w:val="OperatorTok"/>
        </w:rPr>
        <w:t xml:space="preserve">=</w:t>
      </w:r>
      <w:r>
        <w:rPr>
          <w:rStyle w:val="StringTok"/>
        </w:rPr>
        <w:t xml:space="preserve">'Startauswahl: explizite Kennzeichnung PEQ in Energetischer Standard.'</w:t>
      </w:r>
      <w:r>
        <w:br/>
      </w:r>
      <w:r>
        <w:rPr>
          <w:rStyle w:val="ControlFlowTok"/>
        </w:rPr>
        <w:t xml:space="preserve">else</w:t>
      </w:r>
      <w:r>
        <w:rPr>
          <w:rStyle w:val="NormalTok"/>
        </w:rPr>
        <w:t xml:space="preserve">:</w:t>
      </w:r>
      <w:r>
        <w:br/>
      </w:r>
      <w:r>
        <w:rPr>
          <w:rStyle w:val="NormalTok"/>
        </w:rPr>
        <w:t xml:space="preserve">    selection_note</w:t>
      </w:r>
      <w:r>
        <w:rPr>
          <w:rStyle w:val="OperatorTok"/>
        </w:rPr>
        <w:t xml:space="preserve">=</w:t>
      </w:r>
      <w:r>
        <w:rPr>
          <w:rStyle w:val="StringTok"/>
        </w:rPr>
        <w:t xml:space="preserve">'Startvorschlag: Neu_30cm mit Wärmepumpe, FW_erneu oder Bio. Energetischer Standard ist nicht als PEQ gekennzeichnet; diese Auswahl ist kein PEQ-Konformitätsnachweis.'</w:t>
      </w:r>
      <w:r>
        <w:br/>
      </w:r>
      <w:r>
        <w:rPr>
          <w:rStyle w:val="NormalTok"/>
        </w:rPr>
        <w:t xml:space="preserve">selected_area</w:t>
      </w:r>
      <w:r>
        <w:rPr>
          <w:rStyle w:val="OperatorTok"/>
        </w:rPr>
        <w:t xml:space="preserve">=</w:t>
      </w:r>
      <w:r>
        <w:rPr>
          <w:rStyle w:val="NormalTok"/>
        </w:rPr>
        <w:t xml:space="preserve">active.loc[active.default_selected].groupby(</w:t>
      </w:r>
      <w:r>
        <w:rPr>
          <w:rStyle w:val="StringTok"/>
        </w:rPr>
        <w:t xml:space="preserve">'Geometrie'</w:t>
      </w:r>
      <w:r>
        <w:rPr>
          <w:rStyle w:val="NormalTok"/>
        </w:rPr>
        <w:t xml:space="preserve">).BGF.</w:t>
      </w:r>
      <w:r>
        <w:rPr>
          <w:rStyle w:val="BuiltInTok"/>
        </w:rPr>
        <w:t xml:space="preserve">sum</w:t>
      </w:r>
      <w:r>
        <w:rPr>
          <w:rStyle w:val="NormalTok"/>
        </w:rPr>
        <w:t xml:space="preserve">()</w:t>
      </w:r>
      <w:r>
        <w:br/>
      </w:r>
      <w:r>
        <w:rPr>
          <w:rStyle w:val="NormalTok"/>
        </w:rPr>
        <w:t xml:space="preserve">allocation</w:t>
      </w:r>
      <w:r>
        <w:rPr>
          <w:rStyle w:val="OperatorTok"/>
        </w:rPr>
        <w:t xml:space="preserve">=</w:t>
      </w:r>
      <w:r>
        <w:rPr>
          <w:rStyle w:val="NormalTok"/>
        </w:rPr>
        <w:t xml:space="preserve">use_bins.merge(geometry.reset_index(),on</w:t>
      </w:r>
      <w:r>
        <w:rPr>
          <w:rStyle w:val="OperatorTok"/>
        </w:rPr>
        <w:t xml:space="preserve">=</w:t>
      </w:r>
      <w:r>
        <w:rPr>
          <w:rStyle w:val="StringTok"/>
        </w:rPr>
        <w:t xml:space="preserve">'Geometrie'</w:t>
      </w:r>
      <w:r>
        <w:rPr>
          <w:rStyle w:val="NormalTok"/>
        </w:rPr>
        <w:t xml:space="preserve">,validate</w:t>
      </w:r>
      <w:r>
        <w:rPr>
          <w:rStyle w:val="OperatorTok"/>
        </w:rPr>
        <w:t xml:space="preserve">=</w:t>
      </w:r>
      <w:r>
        <w:rPr>
          <w:rStyle w:val="StringTok"/>
        </w:rPr>
        <w:t xml:space="preserve">'many_to_one'</w:t>
      </w:r>
      <w:r>
        <w:rPr>
          <w:rStyle w:val="NormalTok"/>
        </w:rPr>
        <w:t xml:space="preserve">)</w:t>
      </w:r>
      <w:r>
        <w:br/>
      </w:r>
      <w:r>
        <w:rPr>
          <w:rStyle w:val="NormalTok"/>
        </w:rPr>
        <w:t xml:space="preserve">allocation[</w:t>
      </w:r>
      <w:r>
        <w:rPr>
          <w:rStyle w:val="StringTok"/>
        </w:rPr>
        <w:t xml:space="preserve">'D_pj'</w:t>
      </w:r>
      <w:r>
        <w:rPr>
          <w:rStyle w:val="NormalTok"/>
        </w:rPr>
        <w:t xml:space="preserve">]</w:t>
      </w:r>
      <w:r>
        <w:rPr>
          <w:rStyle w:val="OperatorTok"/>
        </w:rPr>
        <w:t xml:space="preserve">=</w:t>
      </w:r>
      <w:r>
        <w:rPr>
          <w:rStyle w:val="NormalTok"/>
        </w:rPr>
        <w:t xml:space="preserve">allocation.D</w:t>
      </w:r>
      <w:r>
        <w:rPr>
          <w:rStyle w:val="OperatorTok"/>
        </w:rPr>
        <w:t xml:space="preserve">*</w:t>
      </w:r>
      <w:r>
        <w:rPr>
          <w:rStyle w:val="NormalTok"/>
        </w:rPr>
        <w:t xml:space="preserve">allocation.s</w:t>
      </w:r>
      <w:r>
        <w:rPr>
          <w:rStyle w:val="OperatorTok"/>
        </w:rPr>
        <w:t xml:space="preserve">*</w:t>
      </w:r>
      <w:r>
        <w:rPr>
          <w:rStyle w:val="NormalTok"/>
        </w:rPr>
        <w:t xml:space="preserve">DEFAULT[</w:t>
      </w:r>
      <w:r>
        <w:rPr>
          <w:rStyle w:val="StringTok"/>
        </w:rPr>
        <w:t xml:space="preserve">'ngf_bgf'</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DEFAULT[</w:t>
      </w:r>
      <w:r>
        <w:rPr>
          <w:rStyle w:val="StringTok"/>
        </w:rPr>
        <w:t xml:space="preserve">'saving'</w:t>
      </w:r>
      <w:r>
        <w:rPr>
          <w:rStyle w:val="NormalTok"/>
        </w:rPr>
        <w:t xml:space="preserve">])</w:t>
      </w:r>
      <w:r>
        <w:br/>
      </w:r>
      <w:r>
        <w:rPr>
          <w:rStyle w:val="NormalTok"/>
        </w:rPr>
        <w:t xml:space="preserve">allocation[</w:t>
      </w:r>
      <w:r>
        <w:rPr>
          <w:rStyle w:val="StringTok"/>
        </w:rPr>
        <w:t xml:space="preserve">'P_pj'</w:t>
      </w:r>
      <w:r>
        <w:rPr>
          <w:rStyle w:val="NormalTok"/>
        </w:rPr>
        <w:t xml:space="preserve">]</w:t>
      </w:r>
      <w:r>
        <w:rPr>
          <w:rStyle w:val="OperatorTok"/>
        </w:rPr>
        <w:t xml:space="preserve">=</w:t>
      </w:r>
      <w:r>
        <w:rPr>
          <w:rStyle w:val="NormalTok"/>
        </w:rPr>
        <w:t xml:space="preserve">allocation.P</w:t>
      </w:r>
      <w:r>
        <w:rPr>
          <w:rStyle w:val="OperatorTok"/>
        </w:rPr>
        <w:t xml:space="preserve">*</w:t>
      </w:r>
      <w:r>
        <w:rPr>
          <w:rStyle w:val="NormalTok"/>
        </w:rPr>
        <w:t xml:space="preserve">allocation.s</w:t>
      </w:r>
      <w:r>
        <w:rPr>
          <w:rStyle w:val="OperatorTok"/>
        </w:rPr>
        <w:t xml:space="preserve">*</w:t>
      </w:r>
      <w:r>
        <w:rPr>
          <w:rStyle w:val="NormalTok"/>
        </w:rPr>
        <w:t xml:space="preserve">DEFAULT[</w:t>
      </w:r>
      <w:r>
        <w:rPr>
          <w:rStyle w:val="StringTok"/>
        </w:rPr>
        <w:t xml:space="preserve">'ngf_bgf'</w:t>
      </w:r>
      <w:r>
        <w:rPr>
          <w:rStyle w:val="NormalTok"/>
        </w:rPr>
        <w:t xml:space="preserve">]</w:t>
      </w:r>
      <w:r>
        <w:rPr>
          <w:rStyle w:val="OperatorTok"/>
        </w:rPr>
        <w:t xml:space="preserve">*</w:t>
      </w:r>
      <w:r>
        <w:rPr>
          <w:rStyle w:val="NormalTok"/>
        </w:rPr>
        <w:t xml:space="preserve">DEFAULT[</w:t>
      </w:r>
      <w:r>
        <w:rPr>
          <w:rStyle w:val="StringTok"/>
        </w:rPr>
        <w:t xml:space="preserve">'pv_scale'</w:t>
      </w:r>
      <w:r>
        <w:rPr>
          <w:rStyle w:val="NormalTok"/>
        </w:rPr>
        <w:t xml:space="preserve">]</w:t>
      </w:r>
      <w:r>
        <w:br/>
      </w:r>
      <w:r>
        <w:rPr>
          <w:rStyle w:val="NormalTok"/>
        </w:rPr>
        <w:t xml:space="preserve">allocation[</w:t>
      </w:r>
      <w:r>
        <w:rPr>
          <w:rStyle w:val="StringTok"/>
        </w:rPr>
        <w:t xml:space="preserve">'selected_BGF'</w:t>
      </w:r>
      <w:r>
        <w:rPr>
          <w:rStyle w:val="NormalTok"/>
        </w:rPr>
        <w:t xml:space="preserve">]</w:t>
      </w:r>
      <w:r>
        <w:rPr>
          <w:rStyle w:val="OperatorTok"/>
        </w:rPr>
        <w:t xml:space="preserve">=</w:t>
      </w:r>
      <w:r>
        <w:rPr>
          <w:rStyle w:val="NormalTok"/>
        </w:rPr>
        <w:t xml:space="preserve">allocation.Geometrie.</w:t>
      </w:r>
      <w:r>
        <w:rPr>
          <w:rStyle w:val="BuiltInTok"/>
        </w:rPr>
        <w:t xml:space="preserve">map</w:t>
      </w:r>
      <w:r>
        <w:rPr>
          <w:rStyle w:val="NormalTok"/>
        </w:rPr>
        <w:t xml:space="preserve">(selected_area).fillna(</w:t>
      </w:r>
      <w:r>
        <w:rPr>
          <w:rStyle w:val="DecValTok"/>
        </w:rPr>
        <w:t xml:space="preserve">0</w:t>
      </w:r>
      <w:r>
        <w:rPr>
          <w:rStyle w:val="NormalTok"/>
        </w:rPr>
        <w:t xml:space="preserve">)</w:t>
      </w:r>
      <w:r>
        <w:rPr>
          <w:rStyle w:val="OperatorTok"/>
        </w:rPr>
        <w:t xml:space="preserve">*</w:t>
      </w:r>
      <w:r>
        <w:rPr>
          <w:rStyle w:val="NormalTok"/>
        </w:rPr>
        <w:t xml:space="preserve">allocation.s</w:t>
      </w:r>
      <w:r>
        <w:br/>
      </w:r>
      <w:r>
        <w:rPr>
          <w:rStyle w:val="NormalTok"/>
        </w:rPr>
        <w:t xml:space="preserve">allocation[</w:t>
      </w:r>
      <w:r>
        <w:rPr>
          <w:rStyle w:val="StringTok"/>
        </w:rPr>
        <w:t xml:space="preserve">'target_pj'</w:t>
      </w:r>
      <w:r>
        <w:rPr>
          <w:rStyle w:val="NormalTok"/>
        </w:rPr>
        <w:t xml:space="preserve">]</w:t>
      </w:r>
      <w:r>
        <w:rPr>
          <w:rStyle w:val="OperatorTok"/>
        </w:rPr>
        <w:t xml:space="preserve">=</w:t>
      </w:r>
      <w:r>
        <w:rPr>
          <w:rStyle w:val="NormalTok"/>
        </w:rPr>
        <w:t xml:space="preserve">allocation.selected_BGF</w:t>
      </w:r>
      <w:r>
        <w:rPr>
          <w:rStyle w:val="OperatorTok"/>
        </w:rPr>
        <w:t xml:space="preserve">*</w:t>
      </w:r>
      <w:r>
        <w:rPr>
          <w:rStyle w:val="NormalTok"/>
        </w:rPr>
        <w:t xml:space="preserve">(np.minimum(DEFAULT[</w:t>
      </w:r>
      <w:r>
        <w:rPr>
          <w:rStyle w:val="StringTok"/>
        </w:rPr>
        <w:t xml:space="preserve">'density_f_res'</w:t>
      </w:r>
      <w:r>
        <w:rPr>
          <w:rStyle w:val="NormalTok"/>
        </w:rPr>
        <w:t xml:space="preserve">]</w:t>
      </w:r>
      <w:r>
        <w:rPr>
          <w:rStyle w:val="OperatorTok"/>
        </w:rPr>
        <w:t xml:space="preserve">/</w:t>
      </w:r>
      <w:r>
        <w:rPr>
          <w:rStyle w:val="NormalTok"/>
        </w:rPr>
        <w:t xml:space="preserve">(allocation.GFZ</w:t>
      </w:r>
      <w:r>
        <w:rPr>
          <w:rStyle w:val="OperatorTok"/>
        </w:rPr>
        <w:t xml:space="preserve">+</w:t>
      </w:r>
      <w:r>
        <w:rPr>
          <w:rStyle w:val="NormalTok"/>
        </w:rPr>
        <w:t xml:space="preserve">DEFAULT[</w:t>
      </w:r>
      <w:r>
        <w:rPr>
          <w:rStyle w:val="StringTok"/>
        </w:rPr>
        <w:t xml:space="preserve">'density_dx'</w:t>
      </w:r>
      <w:r>
        <w:rPr>
          <w:rStyle w:val="NormalTok"/>
        </w:rPr>
        <w:t xml:space="preserve">])</w:t>
      </w:r>
      <w:r>
        <w:rPr>
          <w:rStyle w:val="OperatorTok"/>
        </w:rPr>
        <w:t xml:space="preserve">-</w:t>
      </w:r>
      <w:r>
        <w:rPr>
          <w:rStyle w:val="NormalTok"/>
        </w:rPr>
        <w:t xml:space="preserve">DEFAULT[</w:t>
      </w:r>
      <w:r>
        <w:rPr>
          <w:rStyle w:val="StringTok"/>
        </w:rPr>
        <w:t xml:space="preserve">'density_f_ed'</w:t>
      </w:r>
      <w:r>
        <w:rPr>
          <w:rStyle w:val="NormalTok"/>
        </w:rPr>
        <w:t xml:space="preserve">],DEFAULT[</w:t>
      </w:r>
      <w:r>
        <w:rPr>
          <w:rStyle w:val="StringTok"/>
        </w:rPr>
        <w:t xml:space="preserve">'density_cutoff'</w:t>
      </w:r>
      <w:r>
        <w:rPr>
          <w:rStyle w:val="NormalTok"/>
        </w:rPr>
        <w:t xml:space="preserve">]))</w:t>
      </w:r>
      <w:r>
        <w:rPr>
          <w:rStyle w:val="OperatorTok"/>
        </w:rPr>
        <w:t xml:space="preserve">*</w:t>
      </w:r>
      <w:r>
        <w:rPr>
          <w:rStyle w:val="FloatTok"/>
        </w:rPr>
        <w:t xml:space="preserve">3.6e-9</w:t>
      </w:r>
      <w:r>
        <w:br/>
      </w:r>
      <w:r>
        <w:rPr>
          <w:rStyle w:val="NormalTok"/>
        </w:rPr>
        <w:t xml:space="preserve">selected_energy</w:t>
      </w:r>
      <w:r>
        <w:rPr>
          <w:rStyle w:val="OperatorTok"/>
        </w:rPr>
        <w:t xml:space="preserve">=</w:t>
      </w:r>
      <w:r>
        <w:rPr>
          <w:rStyle w:val="NormalTok"/>
        </w:rPr>
        <w:t xml:space="preserve">active.loc[active.default_selected].groupby(</w:t>
      </w:r>
      <w:r>
        <w:rPr>
          <w:rStyle w:val="StringTok"/>
        </w:rPr>
        <w:t xml:space="preserve">'Geometrie'</w:t>
      </w:r>
      <w:r>
        <w:rPr>
          <w:rStyle w:val="NormalTok"/>
        </w:rPr>
        <w:t xml:space="preserve">)[[</w:t>
      </w:r>
      <w:r>
        <w:rPr>
          <w:rStyle w:val="StringTok"/>
        </w:rPr>
        <w:t xml:space="preserve">'D'</w:t>
      </w:r>
      <w:r>
        <w:rPr>
          <w:rStyle w:val="NormalTok"/>
        </w:rPr>
        <w:t xml:space="preserve">,</w:t>
      </w:r>
      <w:r>
        <w:rPr>
          <w:rStyle w:val="StringTok"/>
        </w:rPr>
        <w:t xml:space="preserve">'P'</w:t>
      </w:r>
      <w:r>
        <w:rPr>
          <w:rStyle w:val="NormalTok"/>
        </w:rPr>
        <w:t xml:space="preserve">]].</w:t>
      </w:r>
      <w:r>
        <w:rPr>
          <w:rStyle w:val="BuiltInTok"/>
        </w:rPr>
        <w:t xml:space="preserve">sum</w:t>
      </w:r>
      <w:r>
        <w:rPr>
          <w:rStyle w:val="NormalTok"/>
        </w:rPr>
        <w:t xml:space="preserve">()</w:t>
      </w:r>
      <w:r>
        <w:br/>
      </w:r>
      <w:r>
        <w:rPr>
          <w:rStyle w:val="NormalTok"/>
        </w:rPr>
        <w:t xml:space="preserve">allocation[</w:t>
      </w:r>
      <w:r>
        <w:rPr>
          <w:rStyle w:val="StringTok"/>
        </w:rPr>
        <w:t xml:space="preserve">'selected_balance_pj'</w:t>
      </w:r>
      <w:r>
        <w:rPr>
          <w:rStyle w:val="NormalTok"/>
        </w:rPr>
        <w:t xml:space="preserve">]</w:t>
      </w:r>
      <w:r>
        <w:rPr>
          <w:rStyle w:val="OperatorTok"/>
        </w:rPr>
        <w:t xml:space="preserve">=</w:t>
      </w:r>
      <w:r>
        <w:rPr>
          <w:rStyle w:val="NormalTok"/>
        </w:rPr>
        <w:t xml:space="preserve">(allocation.Geometrie.</w:t>
      </w:r>
      <w:r>
        <w:rPr>
          <w:rStyle w:val="BuiltInTok"/>
        </w:rPr>
        <w:t xml:space="preserve">map</w:t>
      </w:r>
      <w:r>
        <w:rPr>
          <w:rStyle w:val="NormalTok"/>
        </w:rPr>
        <w:t xml:space="preserve">(selected_energy.P).fillna(</w:t>
      </w:r>
      <w:r>
        <w:rPr>
          <w:rStyle w:val="DecValTok"/>
        </w:rPr>
        <w:t xml:space="preserve">0</w:t>
      </w:r>
      <w:r>
        <w:rPr>
          <w:rStyle w:val="NormalTok"/>
        </w:rPr>
        <w:t xml:space="preserve">)</w:t>
      </w:r>
      <w:r>
        <w:rPr>
          <w:rStyle w:val="OperatorTok"/>
        </w:rPr>
        <w:t xml:space="preserve">*</w:t>
      </w:r>
      <w:r>
        <w:rPr>
          <w:rStyle w:val="NormalTok"/>
        </w:rPr>
        <w:t xml:space="preserve">DEFAULT[</w:t>
      </w:r>
      <w:r>
        <w:rPr>
          <w:rStyle w:val="StringTok"/>
        </w:rPr>
        <w:t xml:space="preserve">'pv_scale'</w:t>
      </w:r>
      <w:r>
        <w:rPr>
          <w:rStyle w:val="NormalTok"/>
        </w:rPr>
        <w:t xml:space="preserve">]</w:t>
      </w:r>
      <w:r>
        <w:rPr>
          <w:rStyle w:val="OperatorTok"/>
        </w:rPr>
        <w:t xml:space="preserve">-</w:t>
      </w:r>
      <w:r>
        <w:rPr>
          <w:rStyle w:val="NormalTok"/>
        </w:rPr>
        <w:t xml:space="preserve">allocation.Geometrie.</w:t>
      </w:r>
      <w:r>
        <w:rPr>
          <w:rStyle w:val="BuiltInTok"/>
        </w:rPr>
        <w:t xml:space="preserve">map</w:t>
      </w:r>
      <w:r>
        <w:rPr>
          <w:rStyle w:val="NormalTok"/>
        </w:rPr>
        <w:t xml:space="preserve">(selected_energy.D).fillna(</w:t>
      </w:r>
      <w:r>
        <w:rPr>
          <w:rStyle w:val="DecValTok"/>
        </w:rPr>
        <w:t xml:space="preserve">0</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DEFAULT[</w:t>
      </w:r>
      <w:r>
        <w:rPr>
          <w:rStyle w:val="StringTok"/>
        </w:rPr>
        <w:t xml:space="preserve">'saving'</w:t>
      </w:r>
      <w:r>
        <w:rPr>
          <w:rStyle w:val="NormalTok"/>
        </w:rPr>
        <w:t xml:space="preserve">]))</w:t>
      </w:r>
      <w:r>
        <w:rPr>
          <w:rStyle w:val="OperatorTok"/>
        </w:rPr>
        <w:t xml:space="preserve">*</w:t>
      </w:r>
      <w:r>
        <w:rPr>
          <w:rStyle w:val="NormalTok"/>
        </w:rPr>
        <w:t xml:space="preserve">DEFAULT[</w:t>
      </w:r>
      <w:r>
        <w:rPr>
          <w:rStyle w:val="StringTok"/>
        </w:rPr>
        <w:t xml:space="preserve">'ngf_bgf'</w:t>
      </w:r>
      <w:r>
        <w:rPr>
          <w:rStyle w:val="NormalTok"/>
        </w:rPr>
        <w:t xml:space="preserve">]</w:t>
      </w:r>
      <w:r>
        <w:rPr>
          <w:rStyle w:val="OperatorTok"/>
        </w:rPr>
        <w:t xml:space="preserve">*</w:t>
      </w:r>
      <w:r>
        <w:rPr>
          <w:rStyle w:val="NormalTok"/>
        </w:rPr>
        <w:t xml:space="preserve">allocation.s</w:t>
      </w:r>
      <w:r>
        <w:br/>
      </w:r>
      <w:r>
        <w:rPr>
          <w:rStyle w:val="NormalTok"/>
        </w:rPr>
        <w:t xml:space="preserve">allocation[</w:t>
      </w:r>
      <w:r>
        <w:rPr>
          <w:rStyle w:val="StringTok"/>
        </w:rPr>
        <w:t xml:space="preserve">'C_pj'</w:t>
      </w:r>
      <w:r>
        <w:rPr>
          <w:rStyle w:val="NormalTok"/>
        </w:rPr>
        <w:t xml:space="preserve">]</w:t>
      </w:r>
      <w:r>
        <w:rPr>
          <w:rStyle w:val="OperatorTok"/>
        </w:rPr>
        <w:t xml:space="preserve">=</w:t>
      </w:r>
      <w:r>
        <w:rPr>
          <w:rStyle w:val="NormalTok"/>
        </w:rPr>
        <w:t xml:space="preserve">allocation.target_pj</w:t>
      </w:r>
      <w:r>
        <w:rPr>
          <w:rStyle w:val="OperatorTok"/>
        </w:rPr>
        <w:t xml:space="preserve">-</w:t>
      </w:r>
      <w:r>
        <w:rPr>
          <w:rStyle w:val="NormalTok"/>
        </w:rPr>
        <w:t xml:space="preserve">allocation.selected_balance_pj</w:t>
      </w:r>
      <w:r>
        <w:br/>
      </w:r>
      <w:r>
        <w:rPr>
          <w:rStyle w:val="CommentTok"/>
        </w:rPr>
        <w:t xml:space="preserve"># Ausgewählte Typen erreichen exakt den Zielsaldo; andere bleiben unverändert.</w:t>
      </w:r>
      <w:r>
        <w:br/>
      </w:r>
      <w:r>
        <w:rPr>
          <w:rStyle w:val="NormalTok"/>
        </w:rPr>
        <w:t xml:space="preserve">np.testing.assert_allclose((allocation.selected_balance_pj</w:t>
      </w:r>
      <w:r>
        <w:rPr>
          <w:rStyle w:val="OperatorTok"/>
        </w:rPr>
        <w:t xml:space="preserve">+</w:t>
      </w:r>
      <w:r>
        <w:rPr>
          <w:rStyle w:val="NormalTok"/>
        </w:rPr>
        <w:t xml:space="preserve">allocation.C_pj).</w:t>
      </w:r>
      <w:r>
        <w:rPr>
          <w:rStyle w:val="BuiltInTok"/>
        </w:rPr>
        <w:t xml:space="preserve">sum</w:t>
      </w:r>
      <w:r>
        <w:rPr>
          <w:rStyle w:val="NormalTok"/>
        </w:rPr>
        <w:t xml:space="preserve">(),allocation.target_pj.</w:t>
      </w:r>
      <w:r>
        <w:rPr>
          <w:rStyle w:val="BuiltInTok"/>
        </w:rPr>
        <w:t xml:space="preserve">sum</w:t>
      </w:r>
      <w:r>
        <w:rPr>
          <w:rStyle w:val="NormalTok"/>
        </w:rPr>
        <w:t xml:space="preserve">())</w:t>
      </w:r>
      <w:r>
        <w:br/>
      </w:r>
      <w:r>
        <w:rPr>
          <w:rStyle w:val="NormalTok"/>
        </w:rPr>
        <w:t xml:space="preserve">np.testing.assert_allclose([allocation.D_pj.</w:t>
      </w:r>
      <w:r>
        <w:rPr>
          <w:rStyle w:val="BuiltInTok"/>
        </w:rPr>
        <w:t xml:space="preserve">sum</w:t>
      </w:r>
      <w:r>
        <w:rPr>
          <w:rStyle w:val="NormalTok"/>
        </w:rPr>
        <w:t xml:space="preserve">(),allocation.P_pj.</w:t>
      </w:r>
      <w:r>
        <w:rPr>
          <w:rStyle w:val="BuiltInTok"/>
        </w:rPr>
        <w:t xml:space="preserve">sum</w:t>
      </w:r>
      <w:r>
        <w:rPr>
          <w:rStyle w:val="NormalTok"/>
        </w:rPr>
        <w:t xml:space="preserve">()],[reference[</w:t>
      </w:r>
      <w:r>
        <w:rPr>
          <w:rStyle w:val="StringTok"/>
        </w:rPr>
        <w:t xml:space="preserve">'demand'</w:t>
      </w:r>
      <w:r>
        <w:rPr>
          <w:rStyle w:val="NormalTok"/>
        </w:rPr>
        <w:t xml:space="preserve">],reference[</w:t>
      </w:r>
      <w:r>
        <w:rPr>
          <w:rStyle w:val="StringTok"/>
        </w:rPr>
        <w:t xml:space="preserve">'pv'</w:t>
      </w:r>
      <w:r>
        <w:rPr>
          <w:rStyle w:val="NormalTok"/>
        </w:rPr>
        <w:t xml:space="preserve">]],rtol</w:t>
      </w:r>
      <w:r>
        <w:rPr>
          <w:rStyle w:val="OperatorTok"/>
        </w:rPr>
        <w:t xml:space="preserve">=</w:t>
      </w:r>
      <w:r>
        <w:rPr>
          <w:rStyle w:val="FloatTok"/>
        </w:rPr>
        <w:t xml:space="preserve">1e-12</w:t>
      </w:r>
      <w:r>
        <w:rPr>
          <w:rStyle w:val="NormalTok"/>
        </w:rPr>
        <w:t xml:space="preserve">)</w:t>
      </w:r>
      <w:r>
        <w:br/>
      </w:r>
      <w:r>
        <w:rPr>
          <w:rStyle w:val="NormalTok"/>
        </w:rPr>
        <w:t xml:space="preserve">gfz_reference</w:t>
      </w:r>
      <w:r>
        <w:rPr>
          <w:rStyle w:val="OperatorTok"/>
        </w:rPr>
        <w:t xml:space="preserve">=</w:t>
      </w:r>
      <w:r>
        <w:rPr>
          <w:rStyle w:val="BuiltInTok"/>
        </w:rPr>
        <w:t xml:space="preserve">dict</w:t>
      </w:r>
      <w:r>
        <w:rPr>
          <w:rStyle w:val="NormalTok"/>
        </w:rPr>
        <w:t xml:space="preserve">(demand</w:t>
      </w:r>
      <w:r>
        <w:rPr>
          <w:rStyle w:val="OperatorTok"/>
        </w:rPr>
        <w:t xml:space="preserve">=</w:t>
      </w:r>
      <w:r>
        <w:rPr>
          <w:rStyle w:val="NormalTok"/>
        </w:rPr>
        <w:t xml:space="preserve">allocation.D_pj.</w:t>
      </w:r>
      <w:r>
        <w:rPr>
          <w:rStyle w:val="BuiltInTok"/>
        </w:rPr>
        <w:t xml:space="preserve">sum</w:t>
      </w:r>
      <w:r>
        <w:rPr>
          <w:rStyle w:val="NormalTok"/>
        </w:rPr>
        <w:t xml:space="preserve">(),pv</w:t>
      </w:r>
      <w:r>
        <w:rPr>
          <w:rStyle w:val="OperatorTok"/>
        </w:rPr>
        <w:t xml:space="preserve">=</w:t>
      </w:r>
      <w:r>
        <w:rPr>
          <w:rStyle w:val="NormalTok"/>
        </w:rPr>
        <w:t xml:space="preserve">allocation.P_pj.</w:t>
      </w:r>
      <w:r>
        <w:rPr>
          <w:rStyle w:val="BuiltInTok"/>
        </w:rPr>
        <w:t xml:space="preserve">sum</w:t>
      </w:r>
      <w:r>
        <w:rPr>
          <w:rStyle w:val="NormalTok"/>
        </w:rPr>
        <w:t xml:space="preserve">(),virtual</w:t>
      </w:r>
      <w:r>
        <w:rPr>
          <w:rStyle w:val="OperatorTok"/>
        </w:rPr>
        <w:t xml:space="preserve">=</w:t>
      </w:r>
      <w:r>
        <w:rPr>
          <w:rStyle w:val="NormalTok"/>
        </w:rPr>
        <w:t xml:space="preserve">allocation.C_pj.</w:t>
      </w:r>
      <w:r>
        <w:rPr>
          <w:rStyle w:val="BuiltInTok"/>
        </w:rPr>
        <w:t xml:space="preserve">sum</w:t>
      </w:r>
      <w:r>
        <w:rPr>
          <w:rStyle w:val="NormalTok"/>
        </w:rPr>
        <w:t xml:space="preserve">(),balance</w:t>
      </w:r>
      <w:r>
        <w:rPr>
          <w:rStyle w:val="OperatorTok"/>
        </w:rPr>
        <w:t xml:space="preserve">=</w:t>
      </w:r>
      <w:r>
        <w:rPr>
          <w:rStyle w:val="NormalTok"/>
        </w:rPr>
        <w:t xml:space="preserve">(allocation.P_pj</w:t>
      </w:r>
      <w:r>
        <w:rPr>
          <w:rStyle w:val="OperatorTok"/>
        </w:rPr>
        <w:t xml:space="preserve">-</w:t>
      </w:r>
      <w:r>
        <w:rPr>
          <w:rStyle w:val="NormalTok"/>
        </w:rPr>
        <w:t xml:space="preserve">allocation.D_pj).</w:t>
      </w:r>
      <w:r>
        <w:rPr>
          <w:rStyle w:val="BuiltInTok"/>
        </w:rPr>
        <w:t xml:space="preserve">sum</w:t>
      </w:r>
      <w:r>
        <w:rPr>
          <w:rStyle w:val="NormalTok"/>
        </w:rPr>
        <w:t xml:space="preserve">(),corrected</w:t>
      </w:r>
      <w:r>
        <w:rPr>
          <w:rStyle w:val="OperatorTok"/>
        </w:rPr>
        <w:t xml:space="preserve">=</w:t>
      </w:r>
      <w:r>
        <w:rPr>
          <w:rStyle w:val="NormalTok"/>
        </w:rPr>
        <w:t xml:space="preserve">(allocation.P_pj</w:t>
      </w:r>
      <w:r>
        <w:rPr>
          <w:rStyle w:val="OperatorTok"/>
        </w:rPr>
        <w:t xml:space="preserve">-</w:t>
      </w:r>
      <w:r>
        <w:rPr>
          <w:rStyle w:val="NormalTok"/>
        </w:rPr>
        <w:t xml:space="preserve">allocation.D_pj</w:t>
      </w:r>
      <w:r>
        <w:rPr>
          <w:rStyle w:val="OperatorTok"/>
        </w:rPr>
        <w:t xml:space="preserve">+</w:t>
      </w:r>
      <w:r>
        <w:rPr>
          <w:rStyle w:val="NormalTok"/>
        </w:rPr>
        <w:t xml:space="preserve">allocation.C_pj).</w:t>
      </w:r>
      <w:r>
        <w:rPr>
          <w:rStyle w:val="BuiltInTok"/>
        </w:rPr>
        <w:t xml:space="preserve">sum</w:t>
      </w:r>
      <w:r>
        <w:rPr>
          <w:rStyle w:val="NormalTok"/>
        </w:rPr>
        <w:t xml:space="preserve">())</w:t>
      </w:r>
      <w:r>
        <w:br/>
      </w:r>
      <w:r>
        <w:rPr>
          <w:rStyle w:val="NormalTok"/>
        </w:rPr>
        <w:t xml:space="preserve">np.testing.assert_allclose(gfz_reference[</w:t>
      </w:r>
      <w:r>
        <w:rPr>
          <w:rStyle w:val="StringTok"/>
        </w:rPr>
        <w:t xml:space="preserve">'balance'</w:t>
      </w:r>
      <w:r>
        <w:rPr>
          <w:rStyle w:val="NormalTok"/>
        </w:rPr>
        <w:t xml:space="preserve">],reference[</w:t>
      </w:r>
      <w:r>
        <w:rPr>
          <w:rStyle w:val="StringTok"/>
        </w:rPr>
        <w:t xml:space="preserve">'balance'</w:t>
      </w:r>
      <w:r>
        <w:rPr>
          <w:rStyle w:val="NormalTok"/>
        </w:rPr>
        <w:t xml:space="preserve">])</w:t>
      </w:r>
      <w:r>
        <w:br/>
      </w:r>
      <w:r>
        <w:rPr>
          <w:rStyle w:val="NormalTok"/>
        </w:rPr>
        <w:t xml:space="preserve">display(pd.DataFrame([gfz_reference],index</w:t>
      </w:r>
      <w:r>
        <w:rPr>
          <w:rStyle w:val="OperatorTok"/>
        </w:rPr>
        <w:t xml:space="preserve">=</w:t>
      </w:r>
      <w:r>
        <w:rPr>
          <w:rStyle w:val="NormalTok"/>
        </w:rPr>
        <w:t xml:space="preserve">[</w:t>
      </w:r>
      <w:r>
        <w:rPr>
          <w:rStyle w:val="StringTok"/>
        </w:rPr>
        <w:t xml:space="preserve">'GFZ-Aggregation; PJ/a bzw. PJ-Äquivalent/a'</w:t>
      </w:r>
      <w:r>
        <w:rPr>
          <w:rStyle w:val="NormalTok"/>
        </w:rPr>
        <w:t xml:space="preserve">]).T)</w:t>
      </w:r>
      <w:r>
        <w:br/>
      </w:r>
      <w:r>
        <w:rPr>
          <w:rStyle w:val="NormalTok"/>
        </w:rPr>
        <w:t xml:space="preserve">sys.path.insert(</w:t>
      </w:r>
      <w:r>
        <w:rPr>
          <w:rStyle w:val="DecValTok"/>
        </w:rPr>
        <w:t xml:space="preserve">0</w:t>
      </w:r>
      <w:r>
        <w:rPr>
          <w:rStyle w:val="NormalTok"/>
        </w:rPr>
        <w:t xml:space="preserve">,</w:t>
      </w:r>
      <w:r>
        <w:rPr>
          <w:rStyle w:val="BuiltInTok"/>
        </w:rPr>
        <w:t xml:space="preserve">str</w:t>
      </w:r>
      <w:r>
        <w:rPr>
          <w:rStyle w:val="NormalTok"/>
        </w:rPr>
        <w:t xml:space="preserve">(ROOT))</w:t>
      </w:r>
      <w:r>
        <w:br/>
      </w:r>
      <w:r>
        <w:rPr>
          <w:rStyle w:val="ImportTok"/>
        </w:rPr>
        <w:t xml:space="preserve">from</w:t>
      </w:r>
      <w:r>
        <w:rPr>
          <w:rStyle w:val="NormalTok"/>
        </w:rPr>
        <w:t xml:space="preserve"> styles.plotly_formatting </w:t>
      </w:r>
      <w:r>
        <w:rPr>
          <w:rStyle w:val="ImportTok"/>
        </w:rPr>
        <w:t xml:space="preserve">import</w:t>
      </w:r>
      <w:r>
        <w:rPr>
          <w:rStyle w:val="NormalTok"/>
        </w:rPr>
        <w:t xml:space="preserve"> GFZ_USE_COLORS, COLORS</w:t>
      </w:r>
      <w:r>
        <w:br/>
      </w:r>
      <w:r>
        <w:rPr>
          <w:rStyle w:val="ControlFlowTok"/>
        </w:rPr>
        <w:t xml:space="preserve">assert</w:t>
      </w:r>
      <w:r>
        <w:rPr>
          <w:rStyle w:val="NormalTok"/>
        </w:rPr>
        <w:t xml:space="preserve"> </w:t>
      </w:r>
      <w:r>
        <w:rPr>
          <w:rStyle w:val="BuiltInTok"/>
        </w:rPr>
        <w:t xml:space="preserve">set</w:t>
      </w:r>
      <w:r>
        <w:rPr>
          <w:rStyle w:val="NormalTok"/>
        </w:rPr>
        <w:t xml:space="preserve">(use_bins.GWR_Nutzung).issubset(GFZ_USE_COLORS), </w:t>
      </w:r>
      <w:r>
        <w:rPr>
          <w:rStyle w:val="StringTok"/>
        </w:rPr>
        <w:t xml:space="preserve">"Nutzungsfarbe fehlt"</w:t>
      </w:r>
      <w:r>
        <w:br/>
      </w:r>
      <w:r>
        <w:rPr>
          <w:rStyle w:val="NormalTok"/>
        </w:rPr>
        <w:t xml:space="preserve">payload.update(types</w:t>
      </w:r>
      <w:r>
        <w:rPr>
          <w:rStyle w:val="OperatorTok"/>
        </w:rPr>
        <w:t xml:space="preserve">=</w:t>
      </w:r>
      <w:r>
        <w:rPr>
          <w:rStyle w:val="NormalTok"/>
        </w:rPr>
        <w:t xml:space="preserve">active[[</w:t>
      </w:r>
      <w:r>
        <w:rPr>
          <w:rStyle w:val="StringTok"/>
        </w:rPr>
        <w:t xml:space="preserve">'Archetype'</w:t>
      </w:r>
      <w:r>
        <w:rPr>
          <w:rStyle w:val="NormalTok"/>
        </w:rPr>
        <w:t xml:space="preserve">,</w:t>
      </w:r>
      <w:r>
        <w:rPr>
          <w:rStyle w:val="StringTok"/>
        </w:rPr>
        <w:t xml:space="preserve">'Geometrie'</w:t>
      </w:r>
      <w:r>
        <w:rPr>
          <w:rStyle w:val="NormalTok"/>
        </w:rPr>
        <w:t xml:space="preserve">,</w:t>
      </w:r>
      <w:r>
        <w:rPr>
          <w:rStyle w:val="StringTok"/>
        </w:rPr>
        <w:t xml:space="preserve">'BGF'</w:t>
      </w:r>
      <w:r>
        <w:rPr>
          <w:rStyle w:val="NormalTok"/>
        </w:rPr>
        <w:t xml:space="preserve">,</w:t>
      </w:r>
      <w:r>
        <w:rPr>
          <w:rStyle w:val="StringTok"/>
        </w:rPr>
        <w:t xml:space="preserve">'D'</w:t>
      </w:r>
      <w:r>
        <w:rPr>
          <w:rStyle w:val="NormalTok"/>
        </w:rPr>
        <w:t xml:space="preserve">,</w:t>
      </w:r>
      <w:r>
        <w:rPr>
          <w:rStyle w:val="StringTok"/>
        </w:rPr>
        <w:t xml:space="preserve">'P'</w:t>
      </w:r>
      <w:r>
        <w:rPr>
          <w:rStyle w:val="NormalTok"/>
        </w:rPr>
        <w:t xml:space="preserve">,</w:t>
      </w:r>
      <w:r>
        <w:rPr>
          <w:rStyle w:val="StringTok"/>
        </w:rPr>
        <w:t xml:space="preserve">'default_selected'</w:t>
      </w:r>
      <w:r>
        <w:rPr>
          <w:rStyle w:val="NormalTok"/>
        </w:rPr>
        <w:t xml:space="preserve">]].to_dict(</w:t>
      </w:r>
      <w:r>
        <w:rPr>
          <w:rStyle w:val="StringTok"/>
        </w:rPr>
        <w:t xml:space="preserve">'records'</w:t>
      </w:r>
      <w:r>
        <w:rPr>
          <w:rStyle w:val="NormalTok"/>
        </w:rPr>
        <w:t xml:space="preserve">),</w:t>
      </w:r>
      <w:r>
        <w:br/>
      </w:r>
      <w:r>
        <w:rPr>
          <w:rStyle w:val="NormalTok"/>
        </w:rPr>
        <w:t xml:space="preserve">               use_bins</w:t>
      </w:r>
      <w:r>
        <w:rPr>
          <w:rStyle w:val="OperatorTok"/>
        </w:rPr>
        <w:t xml:space="preserve">=</w:t>
      </w:r>
      <w:r>
        <w:rPr>
          <w:rStyle w:val="NormalTok"/>
        </w:rPr>
        <w:t xml:space="preserve">use_bins[[</w:t>
      </w:r>
      <w:r>
        <w:rPr>
          <w:rStyle w:val="StringTok"/>
        </w:rPr>
        <w:t xml:space="preserve">'Geometrie'</w:t>
      </w:r>
      <w:r>
        <w:rPr>
          <w:rStyle w:val="NormalTok"/>
        </w:rPr>
        <w:t xml:space="preserve">,</w:t>
      </w:r>
      <w:r>
        <w:rPr>
          <w:rStyle w:val="StringTok"/>
        </w:rPr>
        <w:t xml:space="preserve">'GWR_Nutzung'</w:t>
      </w:r>
      <w:r>
        <w:rPr>
          <w:rStyle w:val="NormalTok"/>
        </w:rPr>
        <w:t xml:space="preserve">,</w:t>
      </w:r>
      <w:r>
        <w:rPr>
          <w:rStyle w:val="StringTok"/>
        </w:rPr>
        <w:t xml:space="preserve">'GFZ'</w:t>
      </w:r>
      <w:r>
        <w:rPr>
          <w:rStyle w:val="NormalTok"/>
        </w:rPr>
        <w:t xml:space="preserve">,</w:t>
      </w:r>
      <w:r>
        <w:rPr>
          <w:rStyle w:val="StringTok"/>
        </w:rPr>
        <w:t xml:space="preserve">'s'</w:t>
      </w:r>
      <w:r>
        <w:rPr>
          <w:rStyle w:val="NormalTok"/>
        </w:rPr>
        <w:t xml:space="preserve">]].to_dict(</w:t>
      </w:r>
      <w:r>
        <w:rPr>
          <w:rStyle w:val="StringTok"/>
        </w:rPr>
        <w:t xml:space="preserve">'records'</w:t>
      </w:r>
      <w:r>
        <w:rPr>
          <w:rStyle w:val="NormalTok"/>
        </w:rPr>
        <w:t xml:space="preserve">),</w:t>
      </w:r>
      <w:r>
        <w:br/>
      </w:r>
      <w:r>
        <w:rPr>
          <w:rStyle w:val="NormalTok"/>
        </w:rPr>
        <w:t xml:space="preserve">               use_colors</w:t>
      </w:r>
      <w:r>
        <w:rPr>
          <w:rStyle w:val="OperatorTok"/>
        </w:rPr>
        <w:t xml:space="preserve">=</w:t>
      </w:r>
      <w:r>
        <w:rPr>
          <w:rStyle w:val="NormalTok"/>
        </w:rPr>
        <w:t xml:space="preserve">GFZ_USE_COLORS,selection_note</w:t>
      </w:r>
      <w:r>
        <w:rPr>
          <w:rStyle w:val="OperatorTok"/>
        </w:rPr>
        <w:t xml:space="preserve">=</w:t>
      </w:r>
      <w:r>
        <w:rPr>
          <w:rStyle w:val="NormalTok"/>
        </w:rPr>
        <w:t xml:space="preserve">selection_note,gfz_reference</w:t>
      </w:r>
      <w:r>
        <w:rPr>
          <w:rStyle w:val="OperatorTok"/>
        </w:rPr>
        <w:t xml:space="preserve">=</w:t>
      </w:r>
      <w:r>
        <w:rPr>
          <w:rStyle w:val="NormalTok"/>
        </w:rPr>
        <w:t xml:space="preserve">gfz_reference)</w:t>
      </w:r>
      <w:r>
        <w:br/>
      </w:r>
      <w:r>
        <w:br/>
      </w:r>
      <w:r>
        <w:rPr>
          <w:rStyle w:val="CommentTok"/>
        </w:rPr>
        <w:t xml:space="preserve"># BGF-gewichtete Zielsaldo-Verteilung je Geometrie (keine ungewichteten Quantile).</w:t>
      </w:r>
      <w:r>
        <w:br/>
      </w:r>
      <w:r>
        <w:rPr>
          <w:rStyle w:val="NormalTok"/>
        </w:rPr>
        <w:t xml:space="preserve">target_distribution</w:t>
      </w:r>
      <w:r>
        <w:rPr>
          <w:rStyle w:val="OperatorTok"/>
        </w:rPr>
        <w:t xml:space="preserve">=</w:t>
      </w:r>
      <w:r>
        <w:rPr>
          <w:rStyle w:val="NormalTok"/>
        </w:rPr>
        <w:t xml:space="preserve">[]</w:t>
      </w:r>
      <w:r>
        <w:br/>
      </w:r>
      <w:r>
        <w:rPr>
          <w:rStyle w:val="ControlFlowTok"/>
        </w:rPr>
        <w:t xml:space="preserve">for</w:t>
      </w:r>
      <w:r>
        <w:rPr>
          <w:rStyle w:val="NormalTok"/>
        </w:rPr>
        <w:t xml:space="preserve"> name,group </w:t>
      </w:r>
      <w:r>
        <w:rPr>
          <w:rStyle w:val="KeywordTok"/>
        </w:rPr>
        <w:t xml:space="preserve">in</w:t>
      </w:r>
      <w:r>
        <w:rPr>
          <w:rStyle w:val="NormalTok"/>
        </w:rPr>
        <w:t xml:space="preserve"> bins.groupby(</w:t>
      </w:r>
      <w:r>
        <w:rPr>
          <w:rStyle w:val="StringTok"/>
        </w:rPr>
        <w:t xml:space="preserve">'Geometrie'</w:t>
      </w:r>
      <w:r>
        <w:rPr>
          <w:rStyle w:val="NormalTok"/>
        </w:rPr>
        <w:t xml:space="preserve">):</w:t>
      </w:r>
      <w:r>
        <w:br/>
      </w:r>
      <w:r>
        <w:rPr>
          <w:rStyle w:val="NormalTok"/>
        </w:rPr>
        <w:t xml:space="preserve">    values</w:t>
      </w:r>
      <w:r>
        <w:rPr>
          <w:rStyle w:val="OperatorTok"/>
        </w:rPr>
        <w:t xml:space="preserve">=</w:t>
      </w:r>
      <w:r>
        <w:rPr>
          <w:rStyle w:val="NormalTok"/>
        </w:rPr>
        <w:t xml:space="preserve">np.minimum(DEFAULT[</w:t>
      </w:r>
      <w:r>
        <w:rPr>
          <w:rStyle w:val="StringTok"/>
        </w:rPr>
        <w:t xml:space="preserve">'density_f_res'</w:t>
      </w:r>
      <w:r>
        <w:rPr>
          <w:rStyle w:val="NormalTok"/>
        </w:rPr>
        <w:t xml:space="preserve">]</w:t>
      </w:r>
      <w:r>
        <w:rPr>
          <w:rStyle w:val="OperatorTok"/>
        </w:rPr>
        <w:t xml:space="preserve">/</w:t>
      </w:r>
      <w:r>
        <w:rPr>
          <w:rStyle w:val="NormalTok"/>
        </w:rPr>
        <w:t xml:space="preserve">(group.GFZ.to_numpy()</w:t>
      </w:r>
      <w:r>
        <w:rPr>
          <w:rStyle w:val="OperatorTok"/>
        </w:rPr>
        <w:t xml:space="preserve">+</w:t>
      </w:r>
      <w:r>
        <w:rPr>
          <w:rStyle w:val="NormalTok"/>
        </w:rPr>
        <w:t xml:space="preserve">DEFAULT[</w:t>
      </w:r>
      <w:r>
        <w:rPr>
          <w:rStyle w:val="StringTok"/>
        </w:rPr>
        <w:t xml:space="preserve">'density_dx'</w:t>
      </w:r>
      <w:r>
        <w:rPr>
          <w:rStyle w:val="NormalTok"/>
        </w:rPr>
        <w:t xml:space="preserve">])</w:t>
      </w:r>
      <w:r>
        <w:rPr>
          <w:rStyle w:val="OperatorTok"/>
        </w:rPr>
        <w:t xml:space="preserve">-</w:t>
      </w:r>
      <w:r>
        <w:rPr>
          <w:rStyle w:val="NormalTok"/>
        </w:rPr>
        <w:t xml:space="preserve">DEFAULT[</w:t>
      </w:r>
      <w:r>
        <w:rPr>
          <w:rStyle w:val="StringTok"/>
        </w:rPr>
        <w:t xml:space="preserve">'density_f_ed'</w:t>
      </w:r>
      <w:r>
        <w:rPr>
          <w:rStyle w:val="NormalTok"/>
        </w:rPr>
        <w:t xml:space="preserve">],DEFAULT[</w:t>
      </w:r>
      <w:r>
        <w:rPr>
          <w:rStyle w:val="StringTok"/>
        </w:rPr>
        <w:t xml:space="preserve">'density_cutoff'</w:t>
      </w:r>
      <w:r>
        <w:rPr>
          <w:rStyle w:val="NormalTok"/>
        </w:rPr>
        <w:t xml:space="preserve">])</w:t>
      </w:r>
      <w:r>
        <w:br/>
      </w:r>
      <w:r>
        <w:rPr>
          <w:rStyle w:val="NormalTok"/>
        </w:rPr>
        <w:t xml:space="preserve">    weights</w:t>
      </w:r>
      <w:r>
        <w:rPr>
          <w:rStyle w:val="OperatorTok"/>
        </w:rPr>
        <w:t xml:space="preserve">=</w:t>
      </w:r>
      <w:r>
        <w:rPr>
          <w:rStyle w:val="NormalTok"/>
        </w:rPr>
        <w:t xml:space="preserve">group.s.to_numpy()</w:t>
      </w:r>
      <w:r>
        <w:rPr>
          <w:rStyle w:val="OperatorTok"/>
        </w:rPr>
        <w:t xml:space="preserve">;</w:t>
      </w:r>
      <w:r>
        <w:rPr>
          <w:rStyle w:val="NormalTok"/>
        </w:rPr>
        <w:t xml:space="preserve"> order</w:t>
      </w:r>
      <w:r>
        <w:rPr>
          <w:rStyle w:val="OperatorTok"/>
        </w:rPr>
        <w:t xml:space="preserve">=</w:t>
      </w:r>
      <w:r>
        <w:rPr>
          <w:rStyle w:val="NormalTok"/>
        </w:rPr>
        <w:t xml:space="preserve">np.argsort(values)</w:t>
      </w:r>
      <w:r>
        <w:br/>
      </w:r>
      <w:r>
        <w:rPr>
          <w:rStyle w:val="NormalTok"/>
        </w:rPr>
        <w:t xml:space="preserve">    values</w:t>
      </w:r>
      <w:r>
        <w:rPr>
          <w:rStyle w:val="OperatorTok"/>
        </w:rPr>
        <w:t xml:space="preserve">=</w:t>
      </w:r>
      <w:r>
        <w:rPr>
          <w:rStyle w:val="NormalTok"/>
        </w:rPr>
        <w:t xml:space="preserve">values[order]</w:t>
      </w:r>
      <w:r>
        <w:rPr>
          <w:rStyle w:val="OperatorTok"/>
        </w:rPr>
        <w:t xml:space="preserve">;</w:t>
      </w:r>
      <w:r>
        <w:rPr>
          <w:rStyle w:val="NormalTok"/>
        </w:rPr>
        <w:t xml:space="preserve"> weights</w:t>
      </w:r>
      <w:r>
        <w:rPr>
          <w:rStyle w:val="OperatorTok"/>
        </w:rPr>
        <w:t xml:space="preserve">=</w:t>
      </w:r>
      <w:r>
        <w:rPr>
          <w:rStyle w:val="NormalTok"/>
        </w:rPr>
        <w:t xml:space="preserve">weights[order]</w:t>
      </w:r>
      <w:r>
        <w:rPr>
          <w:rStyle w:val="OperatorTok"/>
        </w:rPr>
        <w:t xml:space="preserve">;</w:t>
      </w:r>
      <w:r>
        <w:rPr>
          <w:rStyle w:val="NormalTok"/>
        </w:rPr>
        <w:t xml:space="preserve"> cumulative</w:t>
      </w:r>
      <w:r>
        <w:rPr>
          <w:rStyle w:val="OperatorTok"/>
        </w:rPr>
        <w:t xml:space="preserve">=</w:t>
      </w:r>
      <w:r>
        <w:rPr>
          <w:rStyle w:val="NormalTok"/>
        </w:rPr>
        <w:t xml:space="preserve">np.cumsum(weights)</w:t>
      </w:r>
      <w:r>
        <w:rPr>
          <w:rStyle w:val="OperatorTok"/>
        </w:rPr>
        <w:t xml:space="preserve">/</w:t>
      </w:r>
      <w:r>
        <w:rPr>
          <w:rStyle w:val="NormalTok"/>
        </w:rPr>
        <w:t xml:space="preserve">weights.</w:t>
      </w:r>
      <w:r>
        <w:rPr>
          <w:rStyle w:val="BuiltInTok"/>
        </w:rPr>
        <w:t xml:space="preserve">sum</w:t>
      </w:r>
      <w:r>
        <w:rPr>
          <w:rStyle w:val="NormalTok"/>
        </w:rPr>
        <w:t xml:space="preserve">()</w:t>
      </w:r>
      <w:r>
        <w:br/>
      </w:r>
      <w:r>
        <w:rPr>
          <w:rStyle w:val="NormalTok"/>
        </w:rPr>
        <w:t xml:space="preserve">    quantiles</w:t>
      </w:r>
      <w:r>
        <w:rPr>
          <w:rStyle w:val="OperatorTok"/>
        </w:rPr>
        <w:t xml:space="preserve">=</w:t>
      </w:r>
      <w:r>
        <w:rPr>
          <w:rStyle w:val="NormalTok"/>
        </w:rPr>
        <w:t xml:space="preserve">[</w:t>
      </w:r>
      <w:r>
        <w:rPr>
          <w:rStyle w:val="BuiltInTok"/>
        </w:rPr>
        <w:t xml:space="preserve">float</w:t>
      </w:r>
      <w:r>
        <w:rPr>
          <w:rStyle w:val="NormalTok"/>
        </w:rPr>
        <w:t xml:space="preserve">(values[</w:t>
      </w:r>
      <w:r>
        <w:rPr>
          <w:rStyle w:val="BuiltInTok"/>
        </w:rPr>
        <w:t xml:space="preserve">min</w:t>
      </w:r>
      <w:r>
        <w:rPr>
          <w:rStyle w:val="NormalTok"/>
        </w:rPr>
        <w:t xml:space="preserve">(np.searchsorted(cumulative,q),</w:t>
      </w:r>
      <w:r>
        <w:rPr>
          <w:rStyle w:val="BuiltInTok"/>
        </w:rPr>
        <w:t xml:space="preserve">len</w:t>
      </w:r>
      <w:r>
        <w:rPr>
          <w:rStyle w:val="NormalTok"/>
        </w:rPr>
        <w:t xml:space="preserve">(values)</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FloatTok"/>
        </w:rPr>
        <w:t xml:space="preserve">.1</w:t>
      </w:r>
      <w:r>
        <w:rPr>
          <w:rStyle w:val="NormalTok"/>
        </w:rPr>
        <w:t xml:space="preserve">,</w:t>
      </w:r>
      <w:r>
        <w:rPr>
          <w:rStyle w:val="FloatTok"/>
        </w:rPr>
        <w:t xml:space="preserve">.25</w:t>
      </w:r>
      <w:r>
        <w:rPr>
          <w:rStyle w:val="NormalTok"/>
        </w:rPr>
        <w:t xml:space="preserve">,</w:t>
      </w:r>
      <w:r>
        <w:rPr>
          <w:rStyle w:val="FloatTok"/>
        </w:rPr>
        <w:t xml:space="preserve">.5</w:t>
      </w:r>
      <w:r>
        <w:rPr>
          <w:rStyle w:val="NormalTok"/>
        </w:rPr>
        <w:t xml:space="preserve">,</w:t>
      </w:r>
      <w:r>
        <w:rPr>
          <w:rStyle w:val="FloatTok"/>
        </w:rPr>
        <w:t xml:space="preserve">.75</w:t>
      </w:r>
      <w:r>
        <w:rPr>
          <w:rStyle w:val="NormalTok"/>
        </w:rPr>
        <w:t xml:space="preserve">,</w:t>
      </w:r>
      <w:r>
        <w:rPr>
          <w:rStyle w:val="FloatTok"/>
        </w:rPr>
        <w:t xml:space="preserve">.9</w:t>
      </w:r>
      <w:r>
        <w:rPr>
          <w:rStyle w:val="NormalTok"/>
        </w:rPr>
        <w:t xml:space="preserve">]]</w:t>
      </w:r>
      <w:r>
        <w:br/>
      </w:r>
      <w:r>
        <w:rPr>
          <w:rStyle w:val="NormalTok"/>
        </w:rPr>
        <w:t xml:space="preserve">    target_distribution.append(</w:t>
      </w:r>
      <w:r>
        <w:rPr>
          <w:rStyle w:val="BuiltInTok"/>
        </w:rPr>
        <w:t xml:space="preserve">dict</w:t>
      </w:r>
      <w:r>
        <w:rPr>
          <w:rStyle w:val="NormalTok"/>
        </w:rPr>
        <w:t xml:space="preserve">(Geometrie</w:t>
      </w:r>
      <w:r>
        <w:rPr>
          <w:rStyle w:val="OperatorTok"/>
        </w:rPr>
        <w:t xml:space="preserve">=</w:t>
      </w:r>
      <w:r>
        <w:rPr>
          <w:rStyle w:val="NormalTok"/>
        </w:rPr>
        <w:t xml:space="preserve">name,q10</w:t>
      </w:r>
      <w:r>
        <w:rPr>
          <w:rStyle w:val="OperatorTok"/>
        </w:rPr>
        <w:t xml:space="preserve">=</w:t>
      </w:r>
      <w:r>
        <w:rPr>
          <w:rStyle w:val="NormalTok"/>
        </w:rPr>
        <w:t xml:space="preserve">quantiles[</w:t>
      </w:r>
      <w:r>
        <w:rPr>
          <w:rStyle w:val="DecValTok"/>
        </w:rPr>
        <w:t xml:space="preserve">0</w:t>
      </w:r>
      <w:r>
        <w:rPr>
          <w:rStyle w:val="NormalTok"/>
        </w:rPr>
        <w:t xml:space="preserve">],q25</w:t>
      </w:r>
      <w:r>
        <w:rPr>
          <w:rStyle w:val="OperatorTok"/>
        </w:rPr>
        <w:t xml:space="preserve">=</w:t>
      </w:r>
      <w:r>
        <w:rPr>
          <w:rStyle w:val="NormalTok"/>
        </w:rPr>
        <w:t xml:space="preserve">quantiles[</w:t>
      </w:r>
      <w:r>
        <w:rPr>
          <w:rStyle w:val="DecValTok"/>
        </w:rPr>
        <w:t xml:space="preserve">1</w:t>
      </w:r>
      <w:r>
        <w:rPr>
          <w:rStyle w:val="NormalTok"/>
        </w:rPr>
        <w:t xml:space="preserve">],median</w:t>
      </w:r>
      <w:r>
        <w:rPr>
          <w:rStyle w:val="OperatorTok"/>
        </w:rPr>
        <w:t xml:space="preserve">=</w:t>
      </w:r>
      <w:r>
        <w:rPr>
          <w:rStyle w:val="NormalTok"/>
        </w:rPr>
        <w:t xml:space="preserve">quantiles[</w:t>
      </w:r>
      <w:r>
        <w:rPr>
          <w:rStyle w:val="DecValTok"/>
        </w:rPr>
        <w:t xml:space="preserve">2</w:t>
      </w:r>
      <w:r>
        <w:rPr>
          <w:rStyle w:val="NormalTok"/>
        </w:rPr>
        <w:t xml:space="preserve">],q75</w:t>
      </w:r>
      <w:r>
        <w:rPr>
          <w:rStyle w:val="OperatorTok"/>
        </w:rPr>
        <w:t xml:space="preserve">=</w:t>
      </w:r>
      <w:r>
        <w:rPr>
          <w:rStyle w:val="NormalTok"/>
        </w:rPr>
        <w:t xml:space="preserve">quantiles[</w:t>
      </w:r>
      <w:r>
        <w:rPr>
          <w:rStyle w:val="DecValTok"/>
        </w:rPr>
        <w:t xml:space="preserve">3</w:t>
      </w:r>
      <w:r>
        <w:rPr>
          <w:rStyle w:val="NormalTok"/>
        </w:rPr>
        <w:t xml:space="preserve">],q90</w:t>
      </w:r>
      <w:r>
        <w:rPr>
          <w:rStyle w:val="OperatorTok"/>
        </w:rPr>
        <w:t xml:space="preserve">=</w:t>
      </w:r>
      <w:r>
        <w:rPr>
          <w:rStyle w:val="NormalTok"/>
        </w:rPr>
        <w:t xml:space="preserve">quantiles[</w:t>
      </w:r>
      <w:r>
        <w:rPr>
          <w:rStyle w:val="DecValTok"/>
        </w:rPr>
        <w:t xml:space="preserve">4</w:t>
      </w:r>
      <w:r>
        <w:rPr>
          <w:rStyle w:val="NormalTok"/>
        </w:rPr>
        <w:t xml:space="preserve">],mean</w:t>
      </w:r>
      <w:r>
        <w:rPr>
          <w:rStyle w:val="OperatorTok"/>
        </w:rPr>
        <w:t xml:space="preserve">=</w:t>
      </w:r>
      <w:r>
        <w:rPr>
          <w:rStyle w:val="BuiltInTok"/>
        </w:rPr>
        <w:t xml:space="preserve">float</w:t>
      </w:r>
      <w:r>
        <w:rPr>
          <w:rStyle w:val="NormalTok"/>
        </w:rPr>
        <w:t xml:space="preserve">(np.</w:t>
      </w:r>
      <w:r>
        <w:rPr>
          <w:rStyle w:val="BuiltInTok"/>
        </w:rPr>
        <w:t xml:space="preserve">sum</w:t>
      </w:r>
      <w:r>
        <w:rPr>
          <w:rStyle w:val="NormalTok"/>
        </w:rPr>
        <w:t xml:space="preserve">(values</w:t>
      </w:r>
      <w:r>
        <w:rPr>
          <w:rStyle w:val="OperatorTok"/>
        </w:rPr>
        <w:t xml:space="preserve">*</w:t>
      </w:r>
      <w:r>
        <w:rPr>
          <w:rStyle w:val="NormalTok"/>
        </w:rPr>
        <w:t xml:space="preserve">weights)</w:t>
      </w:r>
      <w:r>
        <w:rPr>
          <w:rStyle w:val="OperatorTok"/>
        </w:rPr>
        <w:t xml:space="preserve">/</w:t>
      </w:r>
      <w:r>
        <w:rPr>
          <w:rStyle w:val="NormalTok"/>
        </w:rPr>
        <w:t xml:space="preserve">weights.</w:t>
      </w:r>
      <w:r>
        <w:rPr>
          <w:rStyle w:val="BuiltInTok"/>
        </w:rPr>
        <w:t xml:space="preserve">sum</w:t>
      </w:r>
      <w:r>
        <w:rPr>
          <w:rStyle w:val="NormalTok"/>
        </w:rPr>
        <w:t xml:space="preserve">())))</w:t>
      </w:r>
      <w:r>
        <w:br/>
      </w:r>
      <w:r>
        <w:rPr>
          <w:rStyle w:val="NormalTok"/>
        </w:rPr>
        <w:t xml:space="preserve">display(pd.DataFrame(target_distribution).set_index(</w:t>
      </w:r>
      <w:r>
        <w:rPr>
          <w:rStyle w:val="StringTok"/>
        </w:rPr>
        <w:t xml:space="preserve">'Geometrie'</w:t>
      </w:r>
      <w:r>
        <w:rPr>
          <w:rStyle w:val="NormalTok"/>
        </w:rPr>
        <w:t xml:space="preserve">))</w:t>
      </w:r>
      <w:r>
        <w:br/>
      </w:r>
      <w:r>
        <w:rPr>
          <w:rStyle w:val="NormalTok"/>
        </w:rPr>
        <w:t xml:space="preserve">payload.update(energy_colors</w:t>
      </w:r>
      <w:r>
        <w:rPr>
          <w:rStyle w:val="OperatorTok"/>
        </w:rPr>
        <w:t xml:space="preserve">=</w:t>
      </w:r>
      <w:r>
        <w:rPr>
          <w:rStyle w:val="NormalTok"/>
        </w:rPr>
        <w:t xml:space="preserve">COLORS,target_distribution_reference</w:t>
      </w:r>
      <w:r>
        <w:rPr>
          <w:rStyle w:val="OperatorTok"/>
        </w:rPr>
        <w:t xml:space="preserve">=</w:t>
      </w:r>
      <w:r>
        <w:rPr>
          <w:rStyle w:val="NormalTok"/>
        </w:rPr>
        <w:t xml:space="preserve">target_distribution)</w:t>
      </w:r>
      <w:r>
        <w:br/>
      </w:r>
      <w:r>
        <w:br/>
      </w:r>
      <w:r>
        <w:rPr>
          <w:rStyle w:val="CommentTok"/>
        </w:rPr>
        <w:t xml:space="preserve"># Drei spezifische Salden je Geometrie, bezogen auf die jeweilige Gruppen-BGF.</w:t>
      </w:r>
      <w:r>
        <w:br/>
      </w:r>
      <w:r>
        <w:rPr>
          <w:rStyle w:val="NormalTok"/>
        </w:rPr>
        <w:t xml:space="preserve">group_balances</w:t>
      </w:r>
      <w:r>
        <w:rPr>
          <w:rStyle w:val="OperatorTok"/>
        </w:rPr>
        <w:t xml:space="preserve">=</w:t>
      </w:r>
      <w:r>
        <w:rPr>
          <w:rStyle w:val="NormalTok"/>
        </w:rPr>
        <w:t xml:space="preserve">[]</w:t>
      </w:r>
      <w:r>
        <w:br/>
      </w:r>
      <w:r>
        <w:rPr>
          <w:rStyle w:val="ControlFlowTok"/>
        </w:rPr>
        <w:t xml:space="preserve">for</w:t>
      </w:r>
      <w:r>
        <w:rPr>
          <w:rStyle w:val="NormalTok"/>
        </w:rPr>
        <w:t xml:space="preserve"> geo,group </w:t>
      </w:r>
      <w:r>
        <w:rPr>
          <w:rStyle w:val="KeywordTok"/>
        </w:rPr>
        <w:t xml:space="preserve">in</w:t>
      </w:r>
      <w:r>
        <w:rPr>
          <w:rStyle w:val="NormalTok"/>
        </w:rPr>
        <w:t xml:space="preserve"> active.groupby(</w:t>
      </w:r>
      <w:r>
        <w:rPr>
          <w:rStyle w:val="StringTok"/>
        </w:rPr>
        <w:t xml:space="preserve">'Geometrie'</w:t>
      </w:r>
      <w:r>
        <w:rPr>
          <w:rStyle w:val="NormalTok"/>
        </w:rPr>
        <w:t xml:space="preserve">):</w:t>
      </w:r>
      <w:r>
        <w:br/>
      </w:r>
      <w:r>
        <w:rPr>
          <w:rStyle w:val="NormalTok"/>
        </w:rPr>
        <w:t xml:space="preserve">    other</w:t>
      </w:r>
      <w:r>
        <w:rPr>
          <w:rStyle w:val="OperatorTok"/>
        </w:rPr>
        <w:t xml:space="preserve">=</w:t>
      </w:r>
      <w:r>
        <w:rPr>
          <w:rStyle w:val="NormalTok"/>
        </w:rPr>
        <w:t xml:space="preserve">group.loc[</w:t>
      </w:r>
      <w:r>
        <w:rPr>
          <w:rStyle w:val="OperatorTok"/>
        </w:rPr>
        <w:t xml:space="preserve">~</w:t>
      </w:r>
      <w:r>
        <w:rPr>
          <w:rStyle w:val="NormalTok"/>
        </w:rPr>
        <w:t xml:space="preserve">group.default_selected]</w:t>
      </w:r>
      <w:r>
        <w:rPr>
          <w:rStyle w:val="OperatorTok"/>
        </w:rPr>
        <w:t xml:space="preserve">;</w:t>
      </w:r>
      <w:r>
        <w:rPr>
          <w:rStyle w:val="NormalTok"/>
        </w:rPr>
        <w:t xml:space="preserve"> chosen</w:t>
      </w:r>
      <w:r>
        <w:rPr>
          <w:rStyle w:val="OperatorTok"/>
        </w:rPr>
        <w:t xml:space="preserve">=</w:t>
      </w:r>
      <w:r>
        <w:rPr>
          <w:rStyle w:val="NormalTok"/>
        </w:rPr>
        <w:t xml:space="preserve">group.loc[group.default_selected]</w:t>
      </w:r>
      <w:r>
        <w:br/>
      </w:r>
      <w:r>
        <w:rPr>
          <w:rStyle w:val="NormalTok"/>
        </w:rPr>
        <w:t xml:space="preserve">    </w:t>
      </w:r>
      <w:r>
        <w:rPr>
          <w:rStyle w:val="KeywordTok"/>
        </w:rPr>
        <w:t xml:space="preserve">def</w:t>
      </w:r>
      <w:r>
        <w:rPr>
          <w:rStyle w:val="NormalTok"/>
        </w:rPr>
        <w:t xml:space="preserve"> specific_balance(part):</w:t>
      </w:r>
      <w:r>
        <w:br/>
      </w:r>
      <w:r>
        <w:rPr>
          <w:rStyle w:val="NormalTok"/>
        </w:rPr>
        <w:t xml:space="preserve">        area</w:t>
      </w:r>
      <w:r>
        <w:rPr>
          <w:rStyle w:val="OperatorTok"/>
        </w:rPr>
        <w:t xml:space="preserve">=</w:t>
      </w:r>
      <w:r>
        <w:rPr>
          <w:rStyle w:val="NormalTok"/>
        </w:rPr>
        <w:t xml:space="preserve">part.BGF.</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(((part.P</w:t>
      </w:r>
      <w:r>
        <w:rPr>
          <w:rStyle w:val="OperatorTok"/>
        </w:rPr>
        <w:t xml:space="preserve">*</w:t>
      </w:r>
      <w:r>
        <w:rPr>
          <w:rStyle w:val="NormalTok"/>
        </w:rPr>
        <w:t xml:space="preserve">DEFAULT[</w:t>
      </w:r>
      <w:r>
        <w:rPr>
          <w:rStyle w:val="StringTok"/>
        </w:rPr>
        <w:t xml:space="preserve">'pv_scale'</w:t>
      </w:r>
      <w:r>
        <w:rPr>
          <w:rStyle w:val="NormalTok"/>
        </w:rPr>
        <w:t xml:space="preserve">]</w:t>
      </w:r>
      <w:r>
        <w:rPr>
          <w:rStyle w:val="OperatorTok"/>
        </w:rPr>
        <w:t xml:space="preserve">-</w:t>
      </w:r>
      <w:r>
        <w:rPr>
          <w:rStyle w:val="NormalTok"/>
        </w:rPr>
        <w:t xml:space="preserve">part.D</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DEFAULT[</w:t>
      </w:r>
      <w:r>
        <w:rPr>
          <w:rStyle w:val="StringTok"/>
        </w:rPr>
        <w:t xml:space="preserve">'saving'</w:t>
      </w:r>
      <w:r>
        <w:rPr>
          <w:rStyle w:val="NormalTok"/>
        </w:rPr>
        <w:t xml:space="preserve">]))</w:t>
      </w:r>
      <w:r>
        <w:rPr>
          <w:rStyle w:val="OperatorTok"/>
        </w:rPr>
        <w:t xml:space="preserve">*</w:t>
      </w:r>
      <w:r>
        <w:rPr>
          <w:rStyle w:val="NormalTok"/>
        </w:rPr>
        <w:t xml:space="preserve">DEFAULT[</w:t>
      </w:r>
      <w:r>
        <w:rPr>
          <w:rStyle w:val="StringTok"/>
        </w:rPr>
        <w:t xml:space="preserve">'ngf_bgf'</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(area</w:t>
      </w:r>
      <w:r>
        <w:rPr>
          <w:rStyle w:val="OperatorTok"/>
        </w:rPr>
        <w:t xml:space="preserve">*</w:t>
      </w:r>
      <w:r>
        <w:rPr>
          <w:rStyle w:val="FloatTok"/>
        </w:rPr>
        <w:t xml:space="preserve">3.6e-9</w:t>
      </w:r>
      <w:r>
        <w:rPr>
          <w:rStyle w:val="NormalTok"/>
        </w:rPr>
        <w:t xml:space="preserve">)) </w:t>
      </w:r>
      <w:r>
        <w:rPr>
          <w:rStyle w:val="ControlFlowTok"/>
        </w:rPr>
        <w:t xml:space="preserve">if</w:t>
      </w:r>
      <w:r>
        <w:rPr>
          <w:rStyle w:val="NormalTok"/>
        </w:rPr>
        <w:t xml:space="preserve"> area</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weights</w:t>
      </w:r>
      <w:r>
        <w:rPr>
          <w:rStyle w:val="OperatorTok"/>
        </w:rPr>
        <w:t xml:space="preserve">=</w:t>
      </w:r>
      <w:r>
        <w:rPr>
          <w:rStyle w:val="NormalTok"/>
        </w:rPr>
        <w:t xml:space="preserve">bins.loc[bins.Geometrie.eq(geo)]</w:t>
      </w:r>
      <w:r>
        <w:br/>
      </w:r>
      <w:r>
        <w:rPr>
          <w:rStyle w:val="NormalTok"/>
        </w:rPr>
        <w:t xml:space="preserve">    target</w:t>
      </w:r>
      <w:r>
        <w:rPr>
          <w:rStyle w:val="OperatorTok"/>
        </w:rPr>
        <w:t xml:space="preserve">=</w:t>
      </w:r>
      <w:r>
        <w:rPr>
          <w:rStyle w:val="BuiltInTok"/>
        </w:rPr>
        <w:t xml:space="preserve">float</w:t>
      </w:r>
      <w:r>
        <w:rPr>
          <w:rStyle w:val="NormalTok"/>
        </w:rPr>
        <w:t xml:space="preserve">((weights.s</w:t>
      </w:r>
      <w:r>
        <w:rPr>
          <w:rStyle w:val="OperatorTok"/>
        </w:rPr>
        <w:t xml:space="preserve">*</w:t>
      </w:r>
      <w:r>
        <w:rPr>
          <w:rStyle w:val="NormalTok"/>
        </w:rPr>
        <w:t xml:space="preserve">np.minimum(DEFAULT[</w:t>
      </w:r>
      <w:r>
        <w:rPr>
          <w:rStyle w:val="StringTok"/>
        </w:rPr>
        <w:t xml:space="preserve">'density_f_res'</w:t>
      </w:r>
      <w:r>
        <w:rPr>
          <w:rStyle w:val="NormalTok"/>
        </w:rPr>
        <w:t xml:space="preserve">]</w:t>
      </w:r>
      <w:r>
        <w:rPr>
          <w:rStyle w:val="OperatorTok"/>
        </w:rPr>
        <w:t xml:space="preserve">/</w:t>
      </w:r>
      <w:r>
        <w:rPr>
          <w:rStyle w:val="NormalTok"/>
        </w:rPr>
        <w:t xml:space="preserve">(weights.GFZ</w:t>
      </w:r>
      <w:r>
        <w:rPr>
          <w:rStyle w:val="OperatorTok"/>
        </w:rPr>
        <w:t xml:space="preserve">+</w:t>
      </w:r>
      <w:r>
        <w:rPr>
          <w:rStyle w:val="NormalTok"/>
        </w:rPr>
        <w:t xml:space="preserve">DEFAULT[</w:t>
      </w:r>
      <w:r>
        <w:rPr>
          <w:rStyle w:val="StringTok"/>
        </w:rPr>
        <w:t xml:space="preserve">'density_dx'</w:t>
      </w:r>
      <w:r>
        <w:rPr>
          <w:rStyle w:val="NormalTok"/>
        </w:rPr>
        <w:t xml:space="preserve">])</w:t>
      </w:r>
      <w:r>
        <w:rPr>
          <w:rStyle w:val="OperatorTok"/>
        </w:rPr>
        <w:t xml:space="preserve">-</w:t>
      </w:r>
      <w:r>
        <w:rPr>
          <w:rStyle w:val="NormalTok"/>
        </w:rPr>
        <w:t xml:space="preserve">DEFAULT[</w:t>
      </w:r>
      <w:r>
        <w:rPr>
          <w:rStyle w:val="StringTok"/>
        </w:rPr>
        <w:t xml:space="preserve">'density_f_ed'</w:t>
      </w:r>
      <w:r>
        <w:rPr>
          <w:rStyle w:val="NormalTok"/>
        </w:rPr>
        <w:t xml:space="preserve">],DEFAULT[</w:t>
      </w:r>
      <w:r>
        <w:rPr>
          <w:rStyle w:val="StringTok"/>
        </w:rPr>
        <w:t xml:space="preserve">'density_cutoff'</w:t>
      </w:r>
      <w:r>
        <w:rPr>
          <w:rStyle w:val="NormalTok"/>
        </w:rPr>
        <w:t xml:space="preserve">])).</w:t>
      </w:r>
      <w:r>
        <w:rPr>
          <w:rStyle w:val="BuiltInTok"/>
        </w:rPr>
        <w:t xml:space="preserve">sum</w:t>
      </w:r>
      <w:r>
        <w:rPr>
          <w:rStyle w:val="NormalTok"/>
        </w:rPr>
        <w:t xml:space="preserve">()) </w:t>
      </w:r>
      <w:r>
        <w:rPr>
          <w:rStyle w:val="ControlFlowTok"/>
        </w:rPr>
        <w:t xml:space="preserve">if</w:t>
      </w:r>
      <w:r>
        <w:rPr>
          <w:rStyle w:val="NormalTok"/>
        </w:rPr>
        <w:t xml:space="preserve"> chosen.BGF.</w:t>
      </w:r>
      <w:r>
        <w:rPr>
          <w:rStyle w:val="BuiltInTok"/>
        </w:rPr>
        <w:t xml:space="preserve">sum</w:t>
      </w:r>
      <w:r>
        <w:rPr>
          <w:rStyle w:val="NormalTok"/>
        </w:rPr>
        <w:t xml:space="preserve">()</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group_balances.append(</w:t>
      </w:r>
      <w:r>
        <w:rPr>
          <w:rStyle w:val="BuiltInTok"/>
        </w:rPr>
        <w:t xml:space="preserve">dict</w:t>
      </w:r>
      <w:r>
        <w:rPr>
          <w:rStyle w:val="NormalTok"/>
        </w:rPr>
        <w:t xml:space="preserve">(geometry</w:t>
      </w:r>
      <w:r>
        <w:rPr>
          <w:rStyle w:val="OperatorTok"/>
        </w:rPr>
        <w:t xml:space="preserve">=</w:t>
      </w:r>
      <w:r>
        <w:rPr>
          <w:rStyle w:val="NormalTok"/>
        </w:rPr>
        <w:t xml:space="preserve">geo,non_peq_bgf_m2</w:t>
      </w:r>
      <w:r>
        <w:rPr>
          <w:rStyle w:val="OperatorTok"/>
        </w:rPr>
        <w:t xml:space="preserve">=</w:t>
      </w:r>
      <w:r>
        <w:rPr>
          <w:rStyle w:val="BuiltInTok"/>
        </w:rPr>
        <w:t xml:space="preserve">float</w:t>
      </w:r>
      <w:r>
        <w:rPr>
          <w:rStyle w:val="NormalTok"/>
        </w:rPr>
        <w:t xml:space="preserve">(other.BGF.</w:t>
      </w:r>
      <w:r>
        <w:rPr>
          <w:rStyle w:val="BuiltInTok"/>
        </w:rPr>
        <w:t xml:space="preserve">sum</w:t>
      </w:r>
      <w:r>
        <w:rPr>
          <w:rStyle w:val="NormalTok"/>
        </w:rPr>
        <w:t xml:space="preserve">()),peq_bgf_m2</w:t>
      </w:r>
      <w:r>
        <w:rPr>
          <w:rStyle w:val="OperatorTok"/>
        </w:rPr>
        <w:t xml:space="preserve">=</w:t>
      </w:r>
      <w:r>
        <w:rPr>
          <w:rStyle w:val="BuiltInTok"/>
        </w:rPr>
        <w:t xml:space="preserve">float</w:t>
      </w:r>
      <w:r>
        <w:rPr>
          <w:rStyle w:val="NormalTok"/>
        </w:rPr>
        <w:t xml:space="preserve">(chosen.BGF.</w:t>
      </w:r>
      <w:r>
        <w:rPr>
          <w:rStyle w:val="BuiltInTok"/>
        </w:rPr>
        <w:t xml:space="preserve">sum</w:t>
      </w:r>
      <w:r>
        <w:rPr>
          <w:rStyle w:val="NormalTok"/>
        </w:rPr>
        <w:t xml:space="preserve">()),non_peq</w:t>
      </w:r>
      <w:r>
        <w:rPr>
          <w:rStyle w:val="OperatorTok"/>
        </w:rPr>
        <w:t xml:space="preserve">=</w:t>
      </w:r>
      <w:r>
        <w:rPr>
          <w:rStyle w:val="NormalTok"/>
        </w:rPr>
        <w:t xml:space="preserve">specific_balance(other),peq_typological</w:t>
      </w:r>
      <w:r>
        <w:rPr>
          <w:rStyle w:val="OperatorTok"/>
        </w:rPr>
        <w:t xml:space="preserve">=</w:t>
      </w:r>
      <w:r>
        <w:rPr>
          <w:rStyle w:val="NormalTok"/>
        </w:rPr>
        <w:t xml:space="preserve">specific_balance(chosen),peq_target</w:t>
      </w:r>
      <w:r>
        <w:rPr>
          <w:rStyle w:val="OperatorTok"/>
        </w:rPr>
        <w:t xml:space="preserve">=</w:t>
      </w:r>
      <w:r>
        <w:rPr>
          <w:rStyle w:val="NormalTok"/>
        </w:rPr>
        <w:t xml:space="preserve">target))</w:t>
      </w:r>
      <w:r>
        <w:br/>
      </w:r>
      <w:r>
        <w:rPr>
          <w:rStyle w:val="NormalTok"/>
        </w:rPr>
        <w:t xml:space="preserve">display(pd.DataFrame(group_balances).set_index(</w:t>
      </w:r>
      <w:r>
        <w:rPr>
          <w:rStyle w:val="StringTok"/>
        </w:rPr>
        <w:t xml:space="preserve">'geometry'</w:t>
      </w:r>
      <w:r>
        <w:rPr>
          <w:rStyle w:val="NormalTok"/>
        </w:rPr>
        <w:t xml:space="preserve">))</w:t>
      </w:r>
      <w:r>
        <w:br/>
      </w:r>
      <w:r>
        <w:rPr>
          <w:rStyle w:val="NormalTok"/>
        </w:rPr>
        <w:t xml:space="preserve">payload[</w:t>
      </w:r>
      <w:r>
        <w:rPr>
          <w:rStyle w:val="StringTok"/>
        </w:rPr>
        <w:t xml:space="preserve">'group_balance_reference'</w:t>
      </w:r>
      <w:r>
        <w:rPr>
          <w:rStyle w:val="NormalTok"/>
        </w:rPr>
        <w:t xml:space="preserve">]</w:t>
      </w:r>
      <w:r>
        <w:rPr>
          <w:rStyle w:val="OperatorTok"/>
        </w:rPr>
        <w:t xml:space="preserve">=</w:t>
      </w:r>
      <w:r>
        <w:rPr>
          <w:rStyle w:val="NormalTok"/>
        </w:rPr>
        <w:t xml:space="preserve">group_balances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GFZ-Aggregation; PJ/a bzw. PJ-Äquivalent/a</w:t>
            </w:r>
          </w:p>
        </w:tc>
      </w:tr>
      <w:tr>
        <w:tc>
          <w:tcPr/>
          <w:p>
            <w:pPr>
              <w:pStyle w:val="Compact"/>
            </w:pPr>
            <w:r>
              <w:t xml:space="preserve">demand</w:t>
            </w:r>
          </w:p>
        </w:tc>
        <w:tc>
          <w:tcPr/>
          <w:p>
            <w:pPr>
              <w:pStyle w:val="Compact"/>
            </w:pPr>
            <w:r>
              <w:t xml:space="preserve">137.493260</w:t>
            </w:r>
          </w:p>
        </w:tc>
      </w:tr>
      <w:tr>
        <w:tc>
          <w:tcPr/>
          <w:p>
            <w:pPr>
              <w:pStyle w:val="Compact"/>
            </w:pPr>
            <w:r>
              <w:t xml:space="preserve">pv</w:t>
            </w:r>
          </w:p>
        </w:tc>
        <w:tc>
          <w:tcPr/>
          <w:p>
            <w:pPr>
              <w:pStyle w:val="Compact"/>
            </w:pPr>
            <w:r>
              <w:t xml:space="preserve">78.245462</w:t>
            </w:r>
          </w:p>
        </w:tc>
      </w:tr>
      <w:tr>
        <w:tc>
          <w:tcPr/>
          <w:p>
            <w:pPr>
              <w:pStyle w:val="Compact"/>
            </w:pPr>
            <w:r>
              <w:t xml:space="preserve">virtual</w:t>
            </w:r>
          </w:p>
        </w:tc>
        <w:tc>
          <w:tcPr/>
          <w:p>
            <w:pPr>
              <w:pStyle w:val="Compact"/>
            </w:pPr>
            <w:r>
              <w:t xml:space="preserve">22.897023</w:t>
            </w:r>
          </w:p>
        </w:tc>
      </w:tr>
      <w:tr>
        <w:tc>
          <w:tcPr/>
          <w:p>
            <w:pPr>
              <w:pStyle w:val="Compact"/>
            </w:pPr>
            <w:r>
              <w:t xml:space="preserve">balance</w:t>
            </w:r>
          </w:p>
        </w:tc>
        <w:tc>
          <w:tcPr/>
          <w:p>
            <w:pPr>
              <w:pStyle w:val="Compact"/>
            </w:pPr>
            <w:r>
              <w:t xml:space="preserve">-59.247798</w:t>
            </w:r>
          </w:p>
        </w:tc>
      </w:tr>
      <w:tr>
        <w:tc>
          <w:tcPr/>
          <w:p>
            <w:pPr>
              <w:pStyle w:val="Compact"/>
            </w:pPr>
            <w:r>
              <w:t xml:space="preserve">corrected</w:t>
            </w:r>
          </w:p>
        </w:tc>
        <w:tc>
          <w:tcPr/>
          <w:p>
            <w:pPr>
              <w:pStyle w:val="Compact"/>
            </w:pPr>
            <w:r>
              <w:t xml:space="preserve">-36.350776</w:t>
            </w:r>
          </w:p>
        </w:tc>
      </w:tr>
    </w:tbl>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q10</w:t>
            </w:r>
          </w:p>
        </w:tc>
        <w:tc>
          <w:tcPr/>
          <w:p>
            <w:pPr>
              <w:pStyle w:val="Compact"/>
            </w:pPr>
            <w:r>
              <w:t xml:space="preserve">q25</w:t>
            </w:r>
          </w:p>
        </w:tc>
        <w:tc>
          <w:tcPr/>
          <w:p>
            <w:pPr>
              <w:pStyle w:val="Compact"/>
            </w:pPr>
            <w:r>
              <w:t xml:space="preserve">median</w:t>
            </w:r>
          </w:p>
        </w:tc>
        <w:tc>
          <w:tcPr/>
          <w:p>
            <w:pPr>
              <w:pStyle w:val="Compact"/>
            </w:pPr>
            <w:r>
              <w:t xml:space="preserve">q75</w:t>
            </w:r>
          </w:p>
        </w:tc>
        <w:tc>
          <w:tcPr/>
          <w:p>
            <w:pPr>
              <w:pStyle w:val="Compact"/>
            </w:pPr>
            <w:r>
              <w:t xml:space="preserve">q90</w:t>
            </w:r>
          </w:p>
        </w:tc>
        <w:tc>
          <w:tcPr/>
          <w:p>
            <w:pPr>
              <w:pStyle w:val="Compact"/>
            </w:pPr>
            <w:r>
              <w:t xml:space="preserve">mean</w:t>
            </w:r>
          </w:p>
        </w:tc>
      </w:tr>
      <w:tr>
        <w:trPr>
          <w:tblHeader w:val="on"/>
        </w:trPr>
        <w:tc>
          <w:tcPr/>
          <w:p>
            <w:pPr>
              <w:pStyle w:val="Compact"/>
            </w:pPr>
            <w:r>
              <w:t xml:space="preserve">Geometrie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EFH_1G</w:t>
            </w:r>
          </w:p>
        </w:tc>
        <w:tc>
          <w:tcPr/>
          <w:p>
            <w:pPr>
              <w:pStyle w:val="Compact"/>
            </w:pPr>
            <w:r>
              <w:t xml:space="preserve">17.028571</w:t>
            </w:r>
          </w:p>
        </w:tc>
        <w:tc>
          <w:tcPr/>
          <w:p>
            <w:pPr>
              <w:pStyle w:val="Compact"/>
            </w:pPr>
            <w:r>
              <w:t xml:space="preserve">34.400000</w:t>
            </w:r>
          </w:p>
        </w:tc>
        <w:tc>
          <w:tcPr/>
          <w:p>
            <w:pPr>
              <w:pStyle w:val="Compact"/>
            </w:pPr>
            <w:r>
              <w:t xml:space="preserve">49.600000</w:t>
            </w:r>
          </w:p>
        </w:tc>
        <w:tc>
          <w:tcPr/>
          <w:p>
            <w:pPr>
              <w:pStyle w:val="Compact"/>
            </w:pPr>
            <w:r>
              <w:t xml:space="preserve">62.000000</w:t>
            </w:r>
          </w:p>
        </w:tc>
        <w:tc>
          <w:tcPr/>
          <w:p>
            <w:pPr>
              <w:pStyle w:val="Compact"/>
            </w:pPr>
            <w:r>
              <w:t xml:space="preserve">62.000000</w:t>
            </w:r>
          </w:p>
        </w:tc>
        <w:tc>
          <w:tcPr/>
          <w:p>
            <w:pPr>
              <w:pStyle w:val="Compact"/>
            </w:pPr>
            <w:r>
              <w:t xml:space="preserve">41.630722</w:t>
            </w:r>
          </w:p>
        </w:tc>
      </w:tr>
      <w:tr>
        <w:tc>
          <w:tcPr/>
          <w:p>
            <w:pPr>
              <w:pStyle w:val="Compact"/>
            </w:pPr>
            <w:r>
              <w:t xml:space="preserve">EFH_2G</w:t>
            </w:r>
          </w:p>
        </w:tc>
        <w:tc>
          <w:tcPr/>
          <w:p>
            <w:pPr>
              <w:pStyle w:val="Compact"/>
            </w:pPr>
            <w:r>
              <w:t xml:space="preserve">-1.066667</w:t>
            </w:r>
          </w:p>
        </w:tc>
        <w:tc>
          <w:tcPr/>
          <w:p>
            <w:pPr>
              <w:pStyle w:val="Compact"/>
            </w:pPr>
            <w:r>
              <w:t xml:space="preserve">11.600000</w:t>
            </w:r>
          </w:p>
        </w:tc>
        <w:tc>
          <w:tcPr/>
          <w:p>
            <w:pPr>
              <w:pStyle w:val="Compact"/>
            </w:pPr>
            <w:r>
              <w:t xml:space="preserve">24.266667</w:t>
            </w:r>
          </w:p>
        </w:tc>
        <w:tc>
          <w:tcPr/>
          <w:p>
            <w:pPr>
              <w:pStyle w:val="Compact"/>
            </w:pPr>
            <w:r>
              <w:t xml:space="preserve">34.400000</w:t>
            </w:r>
          </w:p>
        </w:tc>
        <w:tc>
          <w:tcPr/>
          <w:p>
            <w:pPr>
              <w:pStyle w:val="Compact"/>
            </w:pPr>
            <w:r>
              <w:t xml:space="preserve">49.600000</w:t>
            </w:r>
          </w:p>
        </w:tc>
        <w:tc>
          <w:tcPr/>
          <w:p>
            <w:pPr>
              <w:pStyle w:val="Compact"/>
            </w:pPr>
            <w:r>
              <w:t xml:space="preserve">22.798103</w:t>
            </w:r>
          </w:p>
        </w:tc>
      </w:tr>
      <w:tr>
        <w:tc>
          <w:tcPr/>
          <w:p>
            <w:pPr>
              <w:pStyle w:val="Compact"/>
            </w:pPr>
            <w:r>
              <w:t xml:space="preserve">GWB_5G</w:t>
            </w:r>
          </w:p>
        </w:tc>
        <w:tc>
          <w:tcPr/>
          <w:p>
            <w:pPr>
              <w:pStyle w:val="Compact"/>
            </w:pPr>
            <w:r>
              <w:t xml:space="preserve">-19.161905</w:t>
            </w:r>
          </w:p>
        </w:tc>
        <w:tc>
          <w:tcPr/>
          <w:p>
            <w:pPr>
              <w:pStyle w:val="Compact"/>
            </w:pPr>
            <w:r>
              <w:t xml:space="preserve">-17.458824</w:t>
            </w:r>
          </w:p>
        </w:tc>
        <w:tc>
          <w:tcPr/>
          <w:p>
            <w:pPr>
              <w:pStyle w:val="Compact"/>
            </w:pPr>
            <w:r>
              <w:t xml:space="preserve">-11.923810</w:t>
            </w:r>
          </w:p>
        </w:tc>
        <w:tc>
          <w:tcPr/>
          <w:p>
            <w:pPr>
              <w:pStyle w:val="Compact"/>
            </w:pPr>
            <w:r>
              <w:t xml:space="preserve">-4.685714</w:t>
            </w:r>
          </w:p>
        </w:tc>
        <w:tc>
          <w:tcPr/>
          <w:p>
            <w:pPr>
              <w:pStyle w:val="Compact"/>
            </w:pPr>
            <w:r>
              <w:t xml:space="preserve">4.000000</w:t>
            </w:r>
          </w:p>
        </w:tc>
        <w:tc>
          <w:tcPr/>
          <w:p>
            <w:pPr>
              <w:pStyle w:val="Compact"/>
            </w:pPr>
            <w:r>
              <w:t xml:space="preserve">-8.965535</w:t>
            </w:r>
          </w:p>
        </w:tc>
      </w:tr>
      <w:tr>
        <w:tc>
          <w:tcPr/>
          <w:p>
            <w:pPr>
              <w:pStyle w:val="Compact"/>
            </w:pPr>
            <w:r>
              <w:t xml:space="preserve">GWB_7G</w:t>
            </w:r>
          </w:p>
        </w:tc>
        <w:tc>
          <w:tcPr/>
          <w:p>
            <w:pPr>
              <w:pStyle w:val="Compact"/>
            </w:pPr>
            <w:r>
              <w:t xml:space="preserve">-21.723077</w:t>
            </w:r>
          </w:p>
        </w:tc>
        <w:tc>
          <w:tcPr/>
          <w:p>
            <w:pPr>
              <w:pStyle w:val="Compact"/>
            </w:pPr>
            <w:r>
              <w:t xml:space="preserve">-20.664151</w:t>
            </w:r>
          </w:p>
        </w:tc>
        <w:tc>
          <w:tcPr/>
          <w:p>
            <w:pPr>
              <w:pStyle w:val="Compact"/>
            </w:pPr>
            <w:r>
              <w:t xml:space="preserve">-18.985366</w:t>
            </w:r>
          </w:p>
        </w:tc>
        <w:tc>
          <w:tcPr/>
          <w:p>
            <w:pPr>
              <w:pStyle w:val="Compact"/>
            </w:pPr>
            <w:r>
              <w:t xml:space="preserve">-15.140741</w:t>
            </w:r>
          </w:p>
        </w:tc>
        <w:tc>
          <w:tcPr/>
          <w:p>
            <w:pPr>
              <w:pStyle w:val="Compact"/>
            </w:pPr>
            <w:r>
              <w:t xml:space="preserve">-8.517647</w:t>
            </w:r>
          </w:p>
        </w:tc>
        <w:tc>
          <w:tcPr/>
          <w:p>
            <w:pPr>
              <w:pStyle w:val="Compact"/>
            </w:pPr>
            <w:r>
              <w:t xml:space="preserve">-16.439657</w:t>
            </w:r>
          </w:p>
        </w:tc>
      </w:tr>
      <w:tr>
        <w:tc>
          <w:tcPr/>
          <w:p>
            <w:pPr>
              <w:pStyle w:val="Compact"/>
            </w:pPr>
            <w:r>
              <w:t xml:space="preserve">MFH_4G</w:t>
            </w:r>
          </w:p>
        </w:tc>
        <w:tc>
          <w:tcPr/>
          <w:p>
            <w:pPr>
              <w:pStyle w:val="Compact"/>
            </w:pPr>
            <w:r>
              <w:t xml:space="preserve">-16.900000</w:t>
            </w:r>
          </w:p>
        </w:tc>
        <w:tc>
          <w:tcPr/>
          <w:p>
            <w:pPr>
              <w:pStyle w:val="Compact"/>
            </w:pPr>
            <w:r>
              <w:t xml:space="preserve">-12.581818</w:t>
            </w:r>
          </w:p>
        </w:tc>
        <w:tc>
          <w:tcPr/>
          <w:p>
            <w:pPr>
              <w:pStyle w:val="Compact"/>
            </w:pPr>
            <w:r>
              <w:t xml:space="preserve">-4.685714</w:t>
            </w:r>
          </w:p>
        </w:tc>
        <w:tc>
          <w:tcPr/>
          <w:p>
            <w:pPr>
              <w:pStyle w:val="Compact"/>
            </w:pPr>
            <w:r>
              <w:t xml:space="preserve">4.000000</w:t>
            </w:r>
          </w:p>
        </w:tc>
        <w:tc>
          <w:tcPr/>
          <w:p>
            <w:pPr>
              <w:pStyle w:val="Compact"/>
            </w:pPr>
            <w:r>
              <w:t xml:space="preserve">17.028571</w:t>
            </w:r>
          </w:p>
        </w:tc>
        <w:tc>
          <w:tcPr/>
          <w:p>
            <w:pPr>
              <w:pStyle w:val="Compact"/>
            </w:pPr>
            <w:r>
              <w:t xml:space="preserve">-1.431515</w:t>
            </w:r>
          </w:p>
        </w:tc>
      </w:tr>
      <w:tr>
        <w:tc>
          <w:tcPr/>
          <w:p>
            <w:pPr>
              <w:pStyle w:val="Compact"/>
            </w:pPr>
            <w:r>
              <w:t xml:space="preserve">NiWo_1G</w:t>
            </w:r>
          </w:p>
        </w:tc>
        <w:tc>
          <w:tcPr/>
          <w:p>
            <w:pPr>
              <w:pStyle w:val="Compact"/>
            </w:pPr>
            <w:r>
              <w:t xml:space="preserve">4.000000</w:t>
            </w:r>
          </w:p>
        </w:tc>
        <w:tc>
          <w:tcPr/>
          <w:p>
            <w:pPr>
              <w:pStyle w:val="Compact"/>
            </w:pPr>
            <w:r>
              <w:t xml:space="preserve">11.600000</w:t>
            </w:r>
          </w:p>
        </w:tc>
        <w:tc>
          <w:tcPr/>
          <w:p>
            <w:pPr>
              <w:pStyle w:val="Compact"/>
            </w:pPr>
            <w:r>
              <w:t xml:space="preserve">24.266667</w:t>
            </w:r>
          </w:p>
        </w:tc>
        <w:tc>
          <w:tcPr/>
          <w:p>
            <w:pPr>
              <w:pStyle w:val="Compact"/>
            </w:pPr>
            <w:r>
              <w:t xml:space="preserve">49.600000</w:t>
            </w:r>
          </w:p>
        </w:tc>
        <w:tc>
          <w:tcPr/>
          <w:p>
            <w:pPr>
              <w:pStyle w:val="Compact"/>
            </w:pPr>
            <w:r>
              <w:t xml:space="preserve">62.000000</w:t>
            </w:r>
          </w:p>
        </w:tc>
        <w:tc>
          <w:tcPr/>
          <w:p>
            <w:pPr>
              <w:pStyle w:val="Compact"/>
            </w:pPr>
            <w:r>
              <w:t xml:space="preserve">29.353340</w:t>
            </w:r>
          </w:p>
        </w:tc>
      </w:tr>
      <w:tr>
        <w:tc>
          <w:tcPr/>
          <w:p>
            <w:pPr>
              <w:pStyle w:val="Compact"/>
            </w:pPr>
            <w:r>
              <w:t xml:space="preserve">NiWo_2G</w:t>
            </w:r>
          </w:p>
        </w:tc>
        <w:tc>
          <w:tcPr/>
          <w:p>
            <w:pPr>
              <w:pStyle w:val="Compact"/>
            </w:pPr>
            <w:r>
              <w:t xml:space="preserve">-7.400000</w:t>
            </w:r>
          </w:p>
        </w:tc>
        <w:tc>
          <w:tcPr/>
          <w:p>
            <w:pPr>
              <w:pStyle w:val="Compact"/>
            </w:pPr>
            <w:r>
              <w:t xml:space="preserve">-1.066667</w:t>
            </w:r>
          </w:p>
        </w:tc>
        <w:tc>
          <w:tcPr/>
          <w:p>
            <w:pPr>
              <w:pStyle w:val="Compact"/>
            </w:pPr>
            <w:r>
              <w:t xml:space="preserve">7.377778</w:t>
            </w:r>
          </w:p>
        </w:tc>
        <w:tc>
          <w:tcPr/>
          <w:p>
            <w:pPr>
              <w:pStyle w:val="Compact"/>
            </w:pPr>
            <w:r>
              <w:t xml:space="preserve">24.266667</w:t>
            </w:r>
          </w:p>
        </w:tc>
        <w:tc>
          <w:tcPr/>
          <w:p>
            <w:pPr>
              <w:pStyle w:val="Compact"/>
            </w:pPr>
            <w:r>
              <w:t xml:space="preserve">49.600000</w:t>
            </w:r>
          </w:p>
        </w:tc>
        <w:tc>
          <w:tcPr/>
          <w:p>
            <w:pPr>
              <w:pStyle w:val="Compact"/>
            </w:pPr>
            <w:r>
              <w:t xml:space="preserve">13.124038</w:t>
            </w:r>
          </w:p>
        </w:tc>
      </w:tr>
      <w:tr>
        <w:tc>
          <w:tcPr/>
          <w:p>
            <w:pPr>
              <w:pStyle w:val="Compact"/>
            </w:pPr>
            <w:r>
              <w:t xml:space="preserve">NiWo_3G</w:t>
            </w:r>
          </w:p>
        </w:tc>
        <w:tc>
          <w:tcPr/>
          <w:p>
            <w:pPr>
              <w:pStyle w:val="Compact"/>
            </w:pPr>
            <w:r>
              <w:t xml:space="preserve">-20.066667</w:t>
            </w:r>
          </w:p>
        </w:tc>
        <w:tc>
          <w:tcPr/>
          <w:p>
            <w:pPr>
              <w:pStyle w:val="Compact"/>
            </w:pPr>
            <w:r>
              <w:t xml:space="preserve">-16.266667</w:t>
            </w:r>
          </w:p>
        </w:tc>
        <w:tc>
          <w:tcPr/>
          <w:p>
            <w:pPr>
              <w:pStyle w:val="Compact"/>
            </w:pPr>
            <w:r>
              <w:t xml:space="preserve">-8.517647</w:t>
            </w:r>
          </w:p>
        </w:tc>
        <w:tc>
          <w:tcPr/>
          <w:p>
            <w:pPr>
              <w:pStyle w:val="Compact"/>
            </w:pPr>
            <w:r>
              <w:t xml:space="preserve">1.236364</w:t>
            </w:r>
          </w:p>
        </w:tc>
        <w:tc>
          <w:tcPr/>
          <w:p>
            <w:pPr>
              <w:pStyle w:val="Compact"/>
            </w:pPr>
            <w:r>
              <w:t xml:space="preserve">17.028571</w:t>
            </w:r>
          </w:p>
        </w:tc>
        <w:tc>
          <w:tcPr/>
          <w:p>
            <w:pPr>
              <w:pStyle w:val="Compact"/>
            </w:pPr>
            <w:r>
              <w:t xml:space="preserve">-3.923841</w:t>
            </w:r>
          </w:p>
        </w:tc>
      </w:tr>
      <w:tr>
        <w:tc>
          <w:tcPr/>
          <w:p>
            <w:pPr>
              <w:pStyle w:val="Compact"/>
            </w:pPr>
            <w:r>
              <w:t xml:space="preserve">RH_2G</w:t>
            </w:r>
          </w:p>
        </w:tc>
        <w:tc>
          <w:tcPr/>
          <w:p>
            <w:pPr>
              <w:pStyle w:val="Compact"/>
            </w:pPr>
            <w:r>
              <w:t xml:space="preserve">-1.066667</w:t>
            </w:r>
          </w:p>
        </w:tc>
        <w:tc>
          <w:tcPr/>
          <w:p>
            <w:pPr>
              <w:pStyle w:val="Compact"/>
            </w:pPr>
            <w:r>
              <w:t xml:space="preserve">11.600000</w:t>
            </w:r>
          </w:p>
        </w:tc>
        <w:tc>
          <w:tcPr/>
          <w:p>
            <w:pPr>
              <w:pStyle w:val="Compact"/>
            </w:pPr>
            <w:r>
              <w:t xml:space="preserve">24.266667</w:t>
            </w:r>
          </w:p>
        </w:tc>
        <w:tc>
          <w:tcPr/>
          <w:p>
            <w:pPr>
              <w:pStyle w:val="Compact"/>
            </w:pPr>
            <w:r>
              <w:t xml:space="preserve">34.400000</w:t>
            </w:r>
          </w:p>
        </w:tc>
        <w:tc>
          <w:tcPr/>
          <w:p>
            <w:pPr>
              <w:pStyle w:val="Compact"/>
            </w:pPr>
            <w:r>
              <w:t xml:space="preserve">49.600000</w:t>
            </w:r>
          </w:p>
        </w:tc>
        <w:tc>
          <w:tcPr/>
          <w:p>
            <w:pPr>
              <w:pStyle w:val="Compact"/>
            </w:pPr>
            <w:r>
              <w:t xml:space="preserve">22.798103</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non_peq_bgf_m2</w:t>
            </w:r>
          </w:p>
        </w:tc>
        <w:tc>
          <w:tcPr/>
          <w:p>
            <w:pPr>
              <w:pStyle w:val="Compact"/>
            </w:pPr>
            <w:r>
              <w:t xml:space="preserve">peq_bgf_m2</w:t>
            </w:r>
          </w:p>
        </w:tc>
        <w:tc>
          <w:tcPr/>
          <w:p>
            <w:pPr>
              <w:pStyle w:val="Compact"/>
            </w:pPr>
            <w:r>
              <w:t xml:space="preserve">non_peq</w:t>
            </w:r>
          </w:p>
        </w:tc>
        <w:tc>
          <w:tcPr/>
          <w:p>
            <w:pPr>
              <w:pStyle w:val="Compact"/>
            </w:pPr>
            <w:r>
              <w:t xml:space="preserve">peq_typological</w:t>
            </w:r>
          </w:p>
        </w:tc>
        <w:tc>
          <w:tcPr/>
          <w:p>
            <w:pPr>
              <w:pStyle w:val="Compact"/>
            </w:pPr>
            <w:r>
              <w:t xml:space="preserve">peq_target</w:t>
            </w:r>
          </w:p>
        </w:tc>
      </w:tr>
      <w:tr>
        <w:trPr>
          <w:tblHeader w:val="on"/>
        </w:trPr>
        <w:tc>
          <w:tcPr/>
          <w:p>
            <w:pPr>
              <w:pStyle w:val="Compact"/>
            </w:pPr>
            <w:r>
              <w:t xml:space="preserve">geometry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EFH_1G</w:t>
            </w:r>
          </w:p>
        </w:tc>
        <w:tc>
          <w:tcPr/>
          <w:p>
            <w:pPr>
              <w:pStyle w:val="Compact"/>
            </w:pPr>
            <w:r>
              <w:t xml:space="preserve">1.021088e+08</w:t>
            </w:r>
          </w:p>
        </w:tc>
        <w:tc>
          <w:tcPr/>
          <w:p>
            <w:pPr>
              <w:pStyle w:val="Compact"/>
            </w:pPr>
            <w:r>
              <w:t xml:space="preserve">2.893797e+07</w:t>
            </w:r>
          </w:p>
        </w:tc>
        <w:tc>
          <w:tcPr/>
          <w:p>
            <w:pPr>
              <w:pStyle w:val="Compact"/>
            </w:pPr>
            <w:r>
              <w:t xml:space="preserve">24.478499</w:t>
            </w:r>
          </w:p>
        </w:tc>
        <w:tc>
          <w:tcPr/>
          <w:p>
            <w:pPr>
              <w:pStyle w:val="Compact"/>
            </w:pPr>
            <w:r>
              <w:t xml:space="preserve">31.812447</w:t>
            </w:r>
          </w:p>
        </w:tc>
        <w:tc>
          <w:tcPr/>
          <w:p>
            <w:pPr>
              <w:pStyle w:val="Compact"/>
            </w:pPr>
            <w:r>
              <w:t xml:space="preserve">41.630722</w:t>
            </w:r>
          </w:p>
        </w:tc>
      </w:tr>
      <w:tr>
        <w:tc>
          <w:tcPr/>
          <w:p>
            <w:pPr>
              <w:pStyle w:val="Compact"/>
            </w:pPr>
            <w:r>
              <w:t xml:space="preserve">EFH_2G</w:t>
            </w:r>
          </w:p>
        </w:tc>
        <w:tc>
          <w:tcPr/>
          <w:p>
            <w:pPr>
              <w:pStyle w:val="Compact"/>
            </w:pPr>
            <w:r>
              <w:t xml:space="preserve">1.498068e+08</w:t>
            </w:r>
          </w:p>
        </w:tc>
        <w:tc>
          <w:tcPr/>
          <w:p>
            <w:pPr>
              <w:pStyle w:val="Compact"/>
            </w:pPr>
            <w:r>
              <w:t xml:space="preserve">3.968553e+07</w:t>
            </w:r>
          </w:p>
        </w:tc>
        <w:tc>
          <w:tcPr/>
          <w:p>
            <w:pPr>
              <w:pStyle w:val="Compact"/>
            </w:pPr>
            <w:r>
              <w:t xml:space="preserve">-1.834708</w:t>
            </w:r>
          </w:p>
        </w:tc>
        <w:tc>
          <w:tcPr/>
          <w:p>
            <w:pPr>
              <w:pStyle w:val="Compact"/>
            </w:pPr>
            <w:r>
              <w:t xml:space="preserve">2.385640</w:t>
            </w:r>
          </w:p>
        </w:tc>
        <w:tc>
          <w:tcPr/>
          <w:p>
            <w:pPr>
              <w:pStyle w:val="Compact"/>
            </w:pPr>
            <w:r>
              <w:t xml:space="preserve">22.798103</w:t>
            </w:r>
          </w:p>
        </w:tc>
      </w:tr>
      <w:tr>
        <w:tc>
          <w:tcPr/>
          <w:p>
            <w:pPr>
              <w:pStyle w:val="Compact"/>
            </w:pPr>
            <w:r>
              <w:t xml:space="preserve">GWB_5G</w:t>
            </w:r>
          </w:p>
        </w:tc>
        <w:tc>
          <w:tcPr/>
          <w:p>
            <w:pPr>
              <w:pStyle w:val="Compact"/>
            </w:pPr>
            <w:r>
              <w:t xml:space="preserve">3.092923e+07</w:t>
            </w:r>
          </w:p>
        </w:tc>
        <w:tc>
          <w:tcPr/>
          <w:p>
            <w:pPr>
              <w:pStyle w:val="Compact"/>
            </w:pPr>
            <w:r>
              <w:t xml:space="preserve">9.011690e+06</w:t>
            </w:r>
          </w:p>
        </w:tc>
        <w:tc>
          <w:tcPr/>
          <w:p>
            <w:pPr>
              <w:pStyle w:val="Compact"/>
            </w:pPr>
            <w:r>
              <w:t xml:space="preserve">-15.032370</w:t>
            </w:r>
          </w:p>
        </w:tc>
        <w:tc>
          <w:tcPr/>
          <w:p>
            <w:pPr>
              <w:pStyle w:val="Compact"/>
            </w:pPr>
            <w:r>
              <w:t xml:space="preserve">-13.234511</w:t>
            </w:r>
          </w:p>
        </w:tc>
        <w:tc>
          <w:tcPr/>
          <w:p>
            <w:pPr>
              <w:pStyle w:val="Compact"/>
            </w:pPr>
            <w:r>
              <w:t xml:space="preserve">-8.965535</w:t>
            </w:r>
          </w:p>
        </w:tc>
      </w:tr>
      <w:tr>
        <w:tc>
          <w:tcPr/>
          <w:p>
            <w:pPr>
              <w:pStyle w:val="Compact"/>
            </w:pPr>
            <w:r>
              <w:t xml:space="preserve">GWB_7G</w:t>
            </w:r>
          </w:p>
        </w:tc>
        <w:tc>
          <w:tcPr/>
          <w:p>
            <w:pPr>
              <w:pStyle w:val="Compact"/>
            </w:pPr>
            <w:r>
              <w:t xml:space="preserve">6.314175e+07</w:t>
            </w:r>
          </w:p>
        </w:tc>
        <w:tc>
          <w:tcPr/>
          <w:p>
            <w:pPr>
              <w:pStyle w:val="Compact"/>
            </w:pPr>
            <w:r>
              <w:t xml:space="preserve">1.896576e+07</w:t>
            </w:r>
          </w:p>
        </w:tc>
        <w:tc>
          <w:tcPr/>
          <w:p>
            <w:pPr>
              <w:pStyle w:val="Compact"/>
            </w:pPr>
            <w:r>
              <w:t xml:space="preserve">-17.946238</w:t>
            </w:r>
          </w:p>
        </w:tc>
        <w:tc>
          <w:tcPr/>
          <w:p>
            <w:pPr>
              <w:pStyle w:val="Compact"/>
            </w:pPr>
            <w:r>
              <w:t xml:space="preserve">-16.661045</w:t>
            </w:r>
          </w:p>
        </w:tc>
        <w:tc>
          <w:tcPr/>
          <w:p>
            <w:pPr>
              <w:pStyle w:val="Compact"/>
            </w:pPr>
            <w:r>
              <w:t xml:space="preserve">-16.439657</w:t>
            </w:r>
          </w:p>
        </w:tc>
      </w:tr>
      <w:tr>
        <w:tc>
          <w:tcPr/>
          <w:p>
            <w:pPr>
              <w:pStyle w:val="Compact"/>
            </w:pPr>
            <w:r>
              <w:t xml:space="preserve">MFH_4G</w:t>
            </w:r>
          </w:p>
        </w:tc>
        <w:tc>
          <w:tcPr/>
          <w:p>
            <w:pPr>
              <w:pStyle w:val="Compact"/>
            </w:pPr>
            <w:r>
              <w:t xml:space="preserve">5.129471e+07</w:t>
            </w:r>
          </w:p>
        </w:tc>
        <w:tc>
          <w:tcPr/>
          <w:p>
            <w:pPr>
              <w:pStyle w:val="Compact"/>
            </w:pPr>
            <w:r>
              <w:t xml:space="preserve">1.457005e+07</w:t>
            </w:r>
          </w:p>
        </w:tc>
        <w:tc>
          <w:tcPr/>
          <w:p>
            <w:pPr>
              <w:pStyle w:val="Compact"/>
            </w:pPr>
            <w:r>
              <w:t xml:space="preserve">-11.448487</w:t>
            </w:r>
          </w:p>
        </w:tc>
        <w:tc>
          <w:tcPr/>
          <w:p>
            <w:pPr>
              <w:pStyle w:val="Compact"/>
            </w:pPr>
            <w:r>
              <w:t xml:space="preserve">-10.205430</w:t>
            </w:r>
          </w:p>
        </w:tc>
        <w:tc>
          <w:tcPr/>
          <w:p>
            <w:pPr>
              <w:pStyle w:val="Compact"/>
            </w:pPr>
            <w:r>
              <w:t xml:space="preserve">-1.431515</w:t>
            </w:r>
          </w:p>
        </w:tc>
      </w:tr>
      <w:tr>
        <w:tc>
          <w:tcPr/>
          <w:p>
            <w:pPr>
              <w:pStyle w:val="Compact"/>
            </w:pPr>
            <w:r>
              <w:t xml:space="preserve">NiWo_1G</w:t>
            </w:r>
          </w:p>
        </w:tc>
        <w:tc>
          <w:tcPr/>
          <w:p>
            <w:pPr>
              <w:pStyle w:val="Compact"/>
            </w:pPr>
            <w:r>
              <w:t xml:space="preserve">7.287718e+07</w:t>
            </w:r>
          </w:p>
        </w:tc>
        <w:tc>
          <w:tcPr/>
          <w:p>
            <w:pPr>
              <w:pStyle w:val="Compact"/>
            </w:pPr>
            <w:r>
              <w:t xml:space="preserve">1.914908e+07</w:t>
            </w:r>
          </w:p>
        </w:tc>
        <w:tc>
          <w:tcPr/>
          <w:p>
            <w:pPr>
              <w:pStyle w:val="Compact"/>
            </w:pPr>
            <w:r>
              <w:t xml:space="preserve">-23.867301</w:t>
            </w:r>
          </w:p>
        </w:tc>
        <w:tc>
          <w:tcPr/>
          <w:p>
            <w:pPr>
              <w:pStyle w:val="Compact"/>
            </w:pPr>
            <w:r>
              <w:t xml:space="preserve">-23.434220</w:t>
            </w:r>
          </w:p>
        </w:tc>
        <w:tc>
          <w:tcPr/>
          <w:p>
            <w:pPr>
              <w:pStyle w:val="Compact"/>
            </w:pPr>
            <w:r>
              <w:t xml:space="preserve">29.353340</w:t>
            </w:r>
          </w:p>
        </w:tc>
      </w:tr>
      <w:tr>
        <w:tc>
          <w:tcPr/>
          <w:p>
            <w:pPr>
              <w:pStyle w:val="Compact"/>
            </w:pPr>
            <w:r>
              <w:t xml:space="preserve">NiWo_2G</w:t>
            </w:r>
          </w:p>
        </w:tc>
        <w:tc>
          <w:tcPr/>
          <w:p>
            <w:pPr>
              <w:pStyle w:val="Compact"/>
            </w:pPr>
            <w:r>
              <w:t xml:space="preserve">1.102141e+08</w:t>
            </w:r>
          </w:p>
        </w:tc>
        <w:tc>
          <w:tcPr/>
          <w:p>
            <w:pPr>
              <w:pStyle w:val="Compact"/>
            </w:pPr>
            <w:r>
              <w:t xml:space="preserve">2.962631e+07</w:t>
            </w:r>
          </w:p>
        </w:tc>
        <w:tc>
          <w:tcPr/>
          <w:p>
            <w:pPr>
              <w:pStyle w:val="Compact"/>
            </w:pPr>
            <w:r>
              <w:t xml:space="preserve">-34.804495</w:t>
            </w:r>
          </w:p>
        </w:tc>
        <w:tc>
          <w:tcPr/>
          <w:p>
            <w:pPr>
              <w:pStyle w:val="Compact"/>
            </w:pPr>
            <w:r>
              <w:t xml:space="preserve">-36.251926</w:t>
            </w:r>
          </w:p>
        </w:tc>
        <w:tc>
          <w:tcPr/>
          <w:p>
            <w:pPr>
              <w:pStyle w:val="Compact"/>
            </w:pPr>
            <w:r>
              <w:t xml:space="preserve">13.124038</w:t>
            </w:r>
          </w:p>
        </w:tc>
      </w:tr>
      <w:tr>
        <w:tc>
          <w:tcPr/>
          <w:p>
            <w:pPr>
              <w:pStyle w:val="Compact"/>
            </w:pPr>
            <w:r>
              <w:t xml:space="preserve">NiWo_3G</w:t>
            </w:r>
          </w:p>
        </w:tc>
        <w:tc>
          <w:tcPr/>
          <w:p>
            <w:pPr>
              <w:pStyle w:val="Compact"/>
            </w:pPr>
            <w:r>
              <w:t xml:space="preserve">1.548059e+08</w:t>
            </w:r>
          </w:p>
        </w:tc>
        <w:tc>
          <w:tcPr/>
          <w:p>
            <w:pPr>
              <w:pStyle w:val="Compact"/>
            </w:pPr>
            <w:r>
              <w:t xml:space="preserve">4.196144e+07</w:t>
            </w:r>
          </w:p>
        </w:tc>
        <w:tc>
          <w:tcPr/>
          <w:p>
            <w:pPr>
              <w:pStyle w:val="Compact"/>
            </w:pPr>
            <w:r>
              <w:t xml:space="preserve">-51.057266</w:t>
            </w:r>
          </w:p>
        </w:tc>
        <w:tc>
          <w:tcPr/>
          <w:p>
            <w:pPr>
              <w:pStyle w:val="Compact"/>
            </w:pPr>
            <w:r>
              <w:t xml:space="preserve">-47.731450</w:t>
            </w:r>
          </w:p>
        </w:tc>
        <w:tc>
          <w:tcPr/>
          <w:p>
            <w:pPr>
              <w:pStyle w:val="Compact"/>
            </w:pPr>
            <w:r>
              <w:t xml:space="preserve">-3.923841</w:t>
            </w:r>
          </w:p>
        </w:tc>
      </w:tr>
      <w:tr>
        <w:tc>
          <w:tcPr/>
          <w:p>
            <w:pPr>
              <w:pStyle w:val="Compact"/>
            </w:pPr>
            <w:r>
              <w:t xml:space="preserve">RH_2G</w:t>
            </w:r>
          </w:p>
        </w:tc>
        <w:tc>
          <w:tcPr/>
          <w:p>
            <w:pPr>
              <w:pStyle w:val="Compact"/>
            </w:pPr>
            <w:r>
              <w:t xml:space="preserve">1.498068e+08</w:t>
            </w:r>
          </w:p>
        </w:tc>
        <w:tc>
          <w:tcPr/>
          <w:p>
            <w:pPr>
              <w:pStyle w:val="Compact"/>
            </w:pPr>
            <w:r>
              <w:t xml:space="preserve">3.968553e+07</w:t>
            </w:r>
          </w:p>
        </w:tc>
        <w:tc>
          <w:tcPr/>
          <w:p>
            <w:pPr>
              <w:pStyle w:val="Compact"/>
            </w:pPr>
            <w:r>
              <w:t xml:space="preserve">-0.296714</w:t>
            </w:r>
          </w:p>
        </w:tc>
        <w:tc>
          <w:tcPr/>
          <w:p>
            <w:pPr>
              <w:pStyle w:val="Compact"/>
            </w:pPr>
            <w:r>
              <w:t xml:space="preserve">3.050682</w:t>
            </w:r>
          </w:p>
        </w:tc>
        <w:tc>
          <w:tcPr/>
          <w:p>
            <w:pPr>
              <w:pStyle w:val="Compact"/>
            </w:pPr>
            <w:r>
              <w:t xml:space="preserve">22.798103</w:t>
            </w:r>
          </w:p>
        </w:tc>
      </w:tr>
    </w:tbl>
    <w:bookmarkEnd w:id="547"/>
    <w:bookmarkStart w:id="548" w:name="dashboard-verändern-vergleichen-sichern"/>
    <w:p>
      <w:pPr>
        <w:pStyle w:val="Heading2"/>
      </w:pPr>
      <w:r>
        <w:t xml:space="preserve">G.5 Dashboard: verändern, vergleichen, sichern</w:t>
      </w:r>
    </w:p>
    <w:p>
      <w:pPr>
        <w:pStyle w:val="FirstParagraph"/>
      </w:pPr>
      <w:r>
        <w:t xml:space="preserve">Die Startwerte entsprechen dem dokumentierten Rechenbeispiel,</w:t>
      </w:r>
      <w:r>
        <w:t xml:space="preserve"> </w:t>
      </w:r>
      <w:r>
        <w:rPr>
          <w:b/>
          <w:bCs/>
        </w:rPr>
        <w:t xml:space="preserve">keiner normativen Freigabe</w:t>
      </w:r>
      <w:r>
        <w:t xml:space="preserve">.</w:t>
      </w:r>
      <w:r>
        <w:t xml:space="preserve"> </w:t>
      </w:r>
      <w:r>
        <w:t xml:space="preserve">Gebäude-PV/ÖPNV werden jeweils als Restanteile berechnet. „Übriger Verkehr“ bleibt</w:t>
      </w:r>
      <w:r>
        <w:t xml:space="preserve"> </w:t>
      </w:r>
      <w:r>
        <w:t xml:space="preserve">eigenständig. Grün/Blau kennzeichnen Erzeugung und Bedarf, Orange den Zielwert,</w:t>
      </w:r>
      <w:r>
        <w:t xml:space="preserve"> </w:t>
      </w:r>
      <w:r>
        <w:t xml:space="preserve">Violett virtuelle Kontextwerte. Alle Diagramme verwenden die aktuelle Parametrierung.</w:t>
      </w:r>
    </w:p>
    <w:p>
      <w:pPr>
        <w:pStyle w:val="BodyText"/>
      </w:pPr>
      <w:r>
        <w:t xml:space="preserve">Die angezeigte zusätzliche PV-Lücke ist ein algebraischer Rest bei konstantem Bedarf,</w:t>
      </w:r>
      <w:r>
        <w:t xml:space="preserve"> </w:t>
      </w:r>
      <w:r>
        <w:t xml:space="preserve">kein Standort-, Flächen- oder Machbarkeitsnachweis. Die Dichtekurve darf verändert werden,</w:t>
      </w:r>
      <w:r>
        <w:t xml:space="preserve"> </w:t>
      </w:r>
      <w:r>
        <w:t xml:space="preserve">aber wird nicht automatisch optimiert. Die finale Publikation verwendet weiterhin nur</w:t>
      </w:r>
      <w:r>
        <w:t xml:space="preserve"> </w:t>
      </w:r>
      <w:r>
        <w:t xml:space="preserve">die bewusst übernommenen wissenschaftlichen Modellstände.</w:t>
      </w:r>
    </w:p>
    <w:p>
      <w:pPr>
        <w:pStyle w:val="BodyText"/>
      </w:pPr>
      <w:r>
        <w:t xml:space="preserve">Die Kennzahlen stehen in drei Spalten:</w:t>
      </w:r>
      <w:r>
        <w:t xml:space="preserve"> </w:t>
      </w:r>
      <w:r>
        <w:rPr>
          <w:b/>
          <w:bCs/>
        </w:rPr>
        <w:t xml:space="preserve">Bedarf, Deckung und Saldo</w:t>
      </w:r>
      <w:r>
        <w:t xml:space="preserve">. Gebäudebetrieb und zugeordnete Mobilität addieren sich spaltenweise zur Bottom-Up-Summe. Darunter steht der Top-Down-Vergleich mit identischer MIV-Zuordnung. Hover-Erklärungen an Reglern und Kacheln nennen Bezugsgrößen und Rechenregeln. TD bezeichnet das nationale Top-Down-Szenario.</w:t>
      </w:r>
    </w:p>
    <w:p>
      <w:pPr>
        <w:pStyle w:val="SourceCode"/>
      </w:pPr>
      <w:r>
        <w:rPr>
          <w:rStyle w:val="CommentTok"/>
        </w:rPr>
        <w:t xml:space="preserve"># Technische HTML-Darstellung; die wissenschaftliche Referenzrechnung steht oben.</w:t>
      </w:r>
      <w:r>
        <w:br/>
      </w:r>
      <w:r>
        <w:rPr>
          <w:rStyle w:val="NormalTok"/>
        </w:rPr>
        <w:t xml:space="preserve">template</w:t>
      </w:r>
      <w:r>
        <w:rPr>
          <w:rStyle w:val="OperatorTok"/>
        </w:rPr>
        <w:t xml:space="preserve">=</w:t>
      </w:r>
      <w:r>
        <w:rPr>
          <w:rStyle w:val="NormalTok"/>
        </w:rPr>
        <w:t xml:space="preserve">(BASE</w:t>
      </w:r>
      <w:r>
        <w:rPr>
          <w:rStyle w:val="OperatorTok"/>
        </w:rPr>
        <w:t xml:space="preserve">/</w:t>
      </w:r>
      <w:r>
        <w:rPr>
          <w:rStyle w:val="StringTok"/>
        </w:rPr>
        <w:t xml:space="preserve">'dashboard_template.html'</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template</w:t>
      </w:r>
      <w:r>
        <w:rPr>
          <w:rStyle w:val="OperatorTok"/>
        </w:rPr>
        <w:t xml:space="preserve">=</w:t>
      </w:r>
      <w:r>
        <w:rPr>
          <w:rStyle w:val="NormalTok"/>
        </w:rPr>
        <w:t xml:space="preserve">template.replace(</w:t>
      </w:r>
      <w:r>
        <w:rPr>
          <w:rStyle w:val="StringTok"/>
        </w:rPr>
        <w:t xml:space="preserve">'__DENSITY_SCRIPT__'</w:t>
      </w:r>
      <w:r>
        <w:rPr>
          <w:rStyle w:val="NormalTok"/>
        </w:rPr>
        <w:t xml:space="preserve">,(BASE</w:t>
      </w:r>
      <w:r>
        <w:rPr>
          <w:rStyle w:val="OperatorTok"/>
        </w:rPr>
        <w:t xml:space="preserve">/</w:t>
      </w:r>
      <w:r>
        <w:rPr>
          <w:rStyle w:val="StringTok"/>
        </w:rPr>
        <w:t xml:space="preserve">'dashboard_density.js'</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encoded</w:t>
      </w:r>
      <w:r>
        <w:rPr>
          <w:rStyle w:val="OperatorTok"/>
        </w:rPr>
        <w:t xml:space="preserve">=</w:t>
      </w:r>
      <w:r>
        <w:rPr>
          <w:rStyle w:val="NormalTok"/>
        </w:rPr>
        <w:t xml:space="preserve">json.dumps(payload,ensure_ascii</w:t>
      </w:r>
      <w:r>
        <w:rPr>
          <w:rStyle w:val="OperatorTok"/>
        </w:rPr>
        <w:t xml:space="preserve">=</w:t>
      </w:r>
      <w:r>
        <w:rPr>
          <w:rStyle w:val="VariableTok"/>
        </w:rPr>
        <w:t xml:space="preserve">False</w:t>
      </w:r>
      <w:r>
        <w:rPr>
          <w:rStyle w:val="NormalTok"/>
        </w:rPr>
        <w:t xml:space="preserve">,allow_nan</w:t>
      </w:r>
      <w:r>
        <w:rPr>
          <w:rStyle w:val="OperatorTok"/>
        </w:rPr>
        <w:t xml:space="preserve">=</w:t>
      </w:r>
      <w:r>
        <w:rPr>
          <w:rStyle w:val="VariableTok"/>
        </w:rPr>
        <w:t xml:space="preserve">False</w:t>
      </w:r>
      <w:r>
        <w:rPr>
          <w:rStyle w:val="NormalTok"/>
        </w:rPr>
        <w:t xml:space="preserve">).replace(</w:t>
      </w:r>
      <w:r>
        <w:rPr>
          <w:rStyle w:val="StringTok"/>
        </w:rPr>
        <w:t xml:space="preserve">'&lt;'</w:t>
      </w:r>
      <w:r>
        <w:rPr>
          <w:rStyle w:val="NormalTok"/>
        </w:rPr>
        <w:t xml:space="preserve">,</w:t>
      </w:r>
      <w:r>
        <w:rPr>
          <w:rStyle w:val="VerbatimStringTok"/>
        </w:rPr>
        <w:t xml:space="preserve">r'</w:t>
      </w:r>
      <w:r>
        <w:rPr>
          <w:rStyle w:val="CharTok"/>
        </w:rPr>
        <w:t xml:space="preserve">\u003c</w:t>
      </w:r>
      <w:r>
        <w:rPr>
          <w:rStyle w:val="VerbatimStringTok"/>
        </w:rPr>
        <w:t xml:space="preserve">'</w:t>
      </w:r>
      <w:r>
        <w:rPr>
          <w:rStyle w:val="NormalTok"/>
        </w:rPr>
        <w:t xml:space="preserve">)</w:t>
      </w:r>
      <w:r>
        <w:br/>
      </w:r>
      <w:r>
        <w:rPr>
          <w:rStyle w:val="NormalTok"/>
        </w:rPr>
        <w:t xml:space="preserve">display(HTML(template.replace(</w:t>
      </w:r>
      <w:r>
        <w:rPr>
          <w:rStyle w:val="StringTok"/>
        </w:rPr>
        <w:t xml:space="preserve">'__PAYLOAD__'</w:t>
      </w:r>
      <w:r>
        <w:rPr>
          <w:rStyle w:val="NormalTok"/>
        </w:rPr>
        <w:t xml:space="preserve">,encoded)))</w:t>
      </w:r>
    </w:p>
    <w:p>
      <w:pPr>
        <w:pStyle w:val="SourceCode"/>
      </w:pPr>
      <w:r>
        <w:rPr>
          <w:rStyle w:val="VerbatimChar"/>
        </w:rPr>
        <w:t xml:space="preserve">&lt;IPython.core.display.HTML object&gt;</w:t>
      </w:r>
    </w:p>
    <w:bookmarkEnd w:id="548"/>
    <w:bookmarkEnd w:id="549"/>
    <w:bookmarkStart w:id="558" w:name="sec-review-methodik"/>
    <w:p>
      <w:pPr>
        <w:pStyle w:val="Heading1"/>
      </w:pPr>
      <w:r>
        <w:t xml:space="preserve">Appendix H — Review der Methodik: Verständlichkeit und Gliederung</w:t>
      </w:r>
    </w:p>
    <w:p>
      <w:pPr>
        <w:pStyle w:val="FirstParagraph"/>
      </w:pPr>
      <w:r>
        <w:t xml:space="preserve">Stand: 23.10.2026. Vergleichsbasis:</w:t>
      </w:r>
      <w:r>
        <w:t xml:space="preserve"> </w:t>
      </w:r>
      <w:r>
        <w:rPr>
          <w:rStyle w:val="VerbatimChar"/>
        </w:rPr>
        <w:t xml:space="preserve">d7705cd</w:t>
      </w:r>
      <w:r>
        <w:t xml:space="preserve">, Bearbeitung auf</w:t>
      </w:r>
      <w:r>
        <w:t xml:space="preserve"> </w:t>
      </w:r>
      <w:r>
        <w:rPr>
          <w:rStyle w:val="VerbatimChar"/>
        </w:rPr>
        <w:t xml:space="preserve">main</w:t>
      </w:r>
      <w:r>
        <w:t xml:space="preserve">.</w:t>
      </w:r>
      <w:r>
        <w:t xml:space="preserve"> </w:t>
      </w:r>
      <w:r>
        <w:t xml:space="preserve">Alle zehn Methodikkapitel wurden geprüft. Dieser Bericht dokumentiert redaktionelle Änderungen und die ausdrücklich ergänzte Dichte-Bewertungsvariante; eine normative Neukalibrierung ist damit nicht verbunden.</w:t>
      </w:r>
    </w:p>
    <w:bookmarkStart w:id="550" w:name="nummerierte-änderungen"/>
    <w:p>
      <w:pPr>
        <w:pStyle w:val="Heading2"/>
      </w:pPr>
      <w:r>
        <w:t xml:space="preserve">H.1 Nummerierte Änderungen</w:t>
      </w:r>
    </w:p>
    <w:p>
      <w:pPr>
        <w:numPr>
          <w:ilvl w:val="0"/>
          <w:numId w:val="1009"/>
        </w:numPr>
      </w:pPr>
      <w:r>
        <w:rPr>
          <w:b/>
          <w:bCs/>
        </w:rPr>
        <w:t xml:space="preserve">Gliederung Methodik.</w:t>
      </w:r>
      <w:r>
        <w:t xml:space="preserve"> </w:t>
      </w:r>
      <w:r>
        <w:t xml:space="preserve">Die Reihenfolge vom nationalen Zielbild über Allokation, Gebäudemodell und Kontextfaktoren zur THG- und Quartiersbilanz bleibt erhalten. Doppelte Erläuterungen und redaktionelle Produktionsanweisungen sind entfernt.</w:t>
      </w:r>
    </w:p>
    <w:p>
      <w:pPr>
        <w:numPr>
          <w:ilvl w:val="0"/>
          <w:numId w:val="1009"/>
        </w:numPr>
      </w:pPr>
      <w:r>
        <w:rPr>
          <w:b/>
          <w:bCs/>
        </w:rPr>
        <w:t xml:space="preserve">Sachstand statt Arbeitsauftrag.</w:t>
      </w:r>
      <w:r>
        <w:t xml:space="preserve"> </w:t>
      </w:r>
      <w:r>
        <w:t xml:space="preserve">Formulierungen mit „vorläufig“, „zukünftig“, „künftig“, „einzufügen“ und „noch zu ergänzen“ sind in den betroffenen Berichtstexten durch Modellannahme, Referenzfall oder konkreten Datenstatus ersetzt. Fehlende normative Festlegungen bleiben als solche benannt; sie werden nicht als beschlossene Ergebnisse dargestellt.</w:t>
      </w:r>
    </w:p>
    <w:p>
      <w:pPr>
        <w:numPr>
          <w:ilvl w:val="0"/>
          <w:numId w:val="1009"/>
        </w:numPr>
      </w:pPr>
      <w:r>
        <w:rPr>
          <w:b/>
          <w:bCs/>
        </w:rPr>
        <w:t xml:space="preserve">Methodikeinleitung.</w:t>
      </w:r>
      <w:r>
        <w:t xml:space="preserve"> </w:t>
      </w:r>
      <w:r>
        <w:t xml:space="preserve">Die Erklärung der Kontextbilanz wurde gekürzt. Das Statusfeld nennt Ergebnisse und nicht festgelegte Parameter statt einen noch abzuarbeitenden Arbeitsplan.</w:t>
      </w:r>
    </w:p>
    <w:p>
      <w:pPr>
        <w:numPr>
          <w:ilvl w:val="0"/>
          <w:numId w:val="1009"/>
        </w:numPr>
      </w:pPr>
      <w:r>
        <w:rPr>
          <w:b/>
          <w:bCs/>
        </w:rPr>
        <w:t xml:space="preserve">Zielszenario: Tabellen verschoben.</w:t>
      </w:r>
      <w:r>
        <w:t xml:space="preserve"> </w:t>
      </w:r>
      <w:r>
        <w:t xml:space="preserve">Die bisherigen Tabellen 4.1–4.4 stehen im Anhang „Nationale Energie- und Stromtabellen“. Tabellen-IDs und Daten bleiben erhalten, die Nummerierung folgt dem Anhang.</w:t>
      </w:r>
    </w:p>
    <w:p>
      <w:pPr>
        <w:numPr>
          <w:ilvl w:val="0"/>
          <w:numId w:val="1009"/>
        </w:numPr>
      </w:pPr>
      <w:r>
        <w:rPr>
          <w:b/>
          <w:bCs/>
        </w:rPr>
        <w:t xml:space="preserve">Zielszenario: Diagramme.</w:t>
      </w:r>
      <w:r>
        <w:t xml:space="preserve"> </w:t>
      </w:r>
      <w:r>
        <w:t xml:space="preserve">Die ersten drei Tabellen sind im Hauptkapitel durch Plotly-Stapelgrafiken ersetzt. Die Restetabelle wird als drei getrennte Bilanzidentitäten mit positiven/negativen Stapeln und Restmarkierung gezeigt; unabhängige Rundungsreste werden nicht sinnlos addiert.</w:t>
      </w:r>
    </w:p>
    <w:p>
      <w:pPr>
        <w:numPr>
          <w:ilvl w:val="0"/>
          <w:numId w:val="1009"/>
        </w:numPr>
      </w:pPr>
      <w:r>
        <w:rPr>
          <w:b/>
          <w:bCs/>
        </w:rPr>
        <w:t xml:space="preserve">Allokation: Glossar.</w:t>
      </w:r>
      <w:r>
        <w:t xml:space="preserve"> </w:t>
      </w:r>
      <w:r>
        <w:t xml:space="preserve">Definitionen für zentralen Pool, budgetfähig, Gebäude-/Freiflächen-PV, MIV-Anteil, ÖPNV, Mobilitätsbudget und Saldo ergänzt. „Budgetfähig“ ist eine Anrechnungsregel des Modells, kein Herkunftsnachweis.</w:t>
      </w:r>
    </w:p>
    <w:p>
      <w:pPr>
        <w:numPr>
          <w:ilvl w:val="0"/>
          <w:numId w:val="1009"/>
        </w:numPr>
      </w:pPr>
      <w:r>
        <w:rPr>
          <w:b/>
          <w:bCs/>
        </w:rPr>
        <w:t xml:space="preserve">Allokation: Variablen und Formel.</w:t>
      </w:r>
      <w:r>
        <w:t xml:space="preserve"> </w:t>
      </w:r>
      <w:r>
        <w:t xml:space="preserve">Die Symboltabelle verwendet renderbare Quarto-Mathematik. G_MIV bezeichnet das Budget; E_MIV den Bedarf. Die Formel enthält jetzt min/max-Begrenzungen entsprechend dem vorhandenen ausführbaren Algorithmus.</w:t>
      </w:r>
    </w:p>
    <w:p>
      <w:pPr>
        <w:numPr>
          <w:ilvl w:val="0"/>
          <w:numId w:val="1009"/>
        </w:numPr>
      </w:pPr>
      <w:r>
        <w:rPr>
          <w:b/>
          <w:bCs/>
        </w:rPr>
        <w:t xml:space="preserve">Allokation: zentraler Pool.</w:t>
      </w:r>
      <w:r>
        <w:t xml:space="preserve"> </w:t>
      </w:r>
      <w:r>
        <w:t xml:space="preserve">Die Schrittetabelle ist durch ein Plotly-Wasserfalldiagramm ersetzt. 303 PJ/a zentrale Erzeugung, priorisierte Bedarfe und 24 PJ/a MIV-Budget bleiben nachvollziehbar.</w:t>
      </w:r>
    </w:p>
    <w:p>
      <w:pPr>
        <w:numPr>
          <w:ilvl w:val="0"/>
          <w:numId w:val="1009"/>
        </w:numPr>
      </w:pPr>
      <w:r>
        <w:rPr>
          <w:b/>
          <w:bCs/>
        </w:rPr>
        <w:t xml:space="preserve">Allokation: Stellschrauben.</w:t>
      </w:r>
      <w:r>
        <w:t xml:space="preserve"> </w:t>
      </w:r>
      <w:r>
        <w:t xml:space="preserve">Die breite, begrifflich unklare Tabelle wurde in PV-Gesamtmenge/Gebäude/Freifläche, Verkehr-Gesamtmenge/ÖPNV/MIV/übriger Verkehr sowie Ergebnisse aufgeteilt. Absolute Mengen in PJ/a und die Bezugsgrößen der Prozentanteile sind explizit.</w:t>
      </w:r>
    </w:p>
    <w:p>
      <w:pPr>
        <w:numPr>
          <w:ilvl w:val="0"/>
          <w:numId w:val="1009"/>
        </w:numPr>
      </w:pPr>
      <w:r>
        <w:rPr>
          <w:b/>
          <w:bCs/>
        </w:rPr>
        <w:t xml:space="preserve">Allokation: Vergleichsgrafiken.</w:t>
      </w:r>
      <w:r>
        <w:t xml:space="preserve"> </w:t>
      </w:r>
      <w:r>
        <w:t xml:space="preserve">Je Variante werden Gebäudebedarf + MIV und Gebäude-PV + Mobilitätsgutschrift gegenübergestellt. Ein separates Diagramm zeigt Saldo und zentrale Unterdeckung. Dieselbe Darstellung steht im Allokationsnotebook.</w:t>
      </w:r>
    </w:p>
    <w:p>
      <w:pPr>
        <w:numPr>
          <w:ilvl w:val="0"/>
          <w:numId w:val="1009"/>
        </w:numPr>
      </w:pPr>
      <w:r>
        <w:rPr>
          <w:b/>
          <w:bCs/>
        </w:rPr>
        <w:t xml:space="preserve">Gebäudemodell: PV-Herkunft.</w:t>
      </w:r>
      <w:r>
        <w:t xml:space="preserve"> </w:t>
      </w:r>
      <w:r>
        <w:t xml:space="preserve">Ergänzt: Die PV-Erzeugung ist die Summe der gelieferten Kennwerte PV_total_direct und PV_to_Egrid; Kontrolle gegen Tabelle2.PV_total. Keine neue Ertragssimulation und keine GFZ-Skalierung der PV.</w:t>
      </w:r>
    </w:p>
    <w:p>
      <w:pPr>
        <w:numPr>
          <w:ilvl w:val="0"/>
          <w:numId w:val="1009"/>
        </w:numPr>
      </w:pPr>
      <w:r>
        <w:rPr>
          <w:b/>
          <w:bCs/>
        </w:rPr>
        <w:t xml:space="preserve">Gebäudemodell: Variablen.</w:t>
      </w:r>
      <w:r>
        <w:t xml:space="preserve"> </w:t>
      </w:r>
      <w:r>
        <w:t xml:space="preserve">Im Abschnitt 7 des Notebooks sind k, u, g, j, d_j, R, z, s, E[c_D], A_BGF und C_D mit Bedeutung und Einheit erklärt. Ein Zahlenbeispiel erläutert das negative Vorzeichen für EFH_1G.</w:t>
      </w:r>
    </w:p>
    <w:p>
      <w:pPr>
        <w:numPr>
          <w:ilvl w:val="0"/>
          <w:numId w:val="1009"/>
        </w:numPr>
      </w:pPr>
      <w:r>
        <w:rPr>
          <w:b/>
          <w:bCs/>
        </w:rPr>
        <w:t xml:space="preserve">Gebäudemodell: alle Typen.</w:t>
      </w:r>
      <w:r>
        <w:t xml:space="preserve"> </w:t>
      </w:r>
      <w:r>
        <w:t xml:space="preserve">Plotly-Auswahl für alle 900 Typen ergänzt: spezifischer Strombedarf, PV und virtueller Dichtewert. Geometrieauswahl und Achsenregler ermöglichen lesbare Ausschnitte; Tooltip mit nationaler Fläche. Die nicht zugeordnete Klasse MFH_2G bleibt ohne Kontextwert.</w:t>
      </w:r>
    </w:p>
    <w:p>
      <w:pPr>
        <w:numPr>
          <w:ilvl w:val="0"/>
          <w:numId w:val="1009"/>
        </w:numPr>
      </w:pPr>
      <w:r>
        <w:rPr>
          <w:b/>
          <w:bCs/>
        </w:rPr>
        <w:t xml:space="preserve">Gebäudemodell: tatsächliche Anwendung der Dichteformel.</w:t>
      </w:r>
      <w:r>
        <w:t xml:space="preserve"> </w:t>
      </w:r>
      <w:r>
        <w:t xml:space="preserve">Neu berechneter Vergleichsfall über alle positiv gewichteten Flächen: C_D = −57,808696 PJ-Äquivalent/a. Dies ist eine ausdrücklich ausgewiesene Bewertungsvariante. Die bestehende physische Bilanz wird nicht überschrieben und PEQ-Berechtigung nicht unterstellt.</w:t>
      </w:r>
    </w:p>
    <w:p>
      <w:pPr>
        <w:numPr>
          <w:ilvl w:val="0"/>
          <w:numId w:val="1009"/>
        </w:numPr>
      </w:pPr>
      <w:r>
        <w:rPr>
          <w:b/>
          <w:bCs/>
        </w:rPr>
        <w:t xml:space="preserve">Gebäudemodell: Top-down/Bottom-up-Vergleich.</w:t>
      </w:r>
      <w:r>
        <w:t xml:space="preserve"> </w:t>
      </w:r>
      <w:r>
        <w:t xml:space="preserve">Abschnitt 8 zeigt drei Säulengruppen: UBA-Allokation, Gebäudepool und Gebäudepool einschließlich Dichteformel. Dieselbe MIV-Zuordnung gilt in allen Gruppen. Erweiterte Salden: −7,00 / −107,25 / −165,06 PJ bzw. PJ-EE-Äquivalent/a.</w:t>
      </w:r>
    </w:p>
    <w:p>
      <w:pPr>
        <w:numPr>
          <w:ilvl w:val="0"/>
          <w:numId w:val="1009"/>
        </w:numPr>
      </w:pPr>
      <w:r>
        <w:rPr>
          <w:b/>
          <w:bCs/>
        </w:rPr>
        <w:t xml:space="preserve">Dichtekalibrierung.</w:t>
      </w:r>
      <w:r>
        <w:t xml:space="preserve"> </w:t>
      </w:r>
      <w:r>
        <w:t xml:space="preserve">Wiederholte Hinweise zur Nichtvergleichbarkeit von Strom und PE gekürzt; stattdessen eine positive Definition von Aggregationseinheit und Umrechnung. Ein Arbeitsauftrag-Platzhalter wurde durch den Geltungsbereich des Entwurfs ersetzt.</w:t>
      </w:r>
    </w:p>
    <w:p>
      <w:pPr>
        <w:numPr>
          <w:ilvl w:val="0"/>
          <w:numId w:val="1009"/>
        </w:numPr>
      </w:pPr>
      <w:r>
        <w:rPr>
          <w:b/>
          <w:bCs/>
        </w:rPr>
        <w:t xml:space="preserve">Mobilität und Sanierung.</w:t>
      </w:r>
      <w:r>
        <w:t xml:space="preserve"> </w:t>
      </w:r>
      <w:r>
        <w:t xml:space="preserve">Anweisungen „noch zu berechnen“ und „Tabelle ergänzen“ durch den dokumentierten Parameterstand ersetzt. Vorhandene historische Gutschriften werden weiterhin als historische Werte eingeordnet.</w:t>
      </w:r>
    </w:p>
    <w:p>
      <w:pPr>
        <w:numPr>
          <w:ilvl w:val="0"/>
          <w:numId w:val="1009"/>
        </w:numPr>
      </w:pPr>
      <w:r>
        <w:rPr>
          <w:b/>
          <w:bCs/>
        </w:rPr>
        <w:t xml:space="preserve">THG.</w:t>
      </w:r>
      <w:r>
        <w:t xml:space="preserve"> </w:t>
      </w:r>
      <w:r>
        <w:t xml:space="preserve">Doppelte Einleitung und triviale Wiederholungen gestrichen. Datenlücken sind als Datenumfang formuliert. Die Flächen- und Budgetannahmen, Systemgrenzen und Emissionspfade bleiben inhaltlich erhalten.</w:t>
      </w:r>
    </w:p>
    <w:p>
      <w:pPr>
        <w:numPr>
          <w:ilvl w:val="0"/>
          <w:numId w:val="1009"/>
        </w:numPr>
      </w:pPr>
      <w:r>
        <w:rPr>
          <w:b/>
          <w:bCs/>
        </w:rPr>
        <w:t xml:space="preserve">Quartiersbilanz.</w:t>
      </w:r>
      <w:r>
        <w:t xml:space="preserve"> </w:t>
      </w:r>
      <w:r>
        <w:t xml:space="preserve">Vier Abbildungs-Produktionshinweise entfernt; vorhandene Abbildungen bleiben. Wiederholungen zu Flächen-/Einheitenvergleich, Speicher als Energiequelle, Autarkie und Zeitbegriffen gestrafft. Die maßgeblichen Bilanzregeln bleiben erhalten.</w:t>
      </w:r>
    </w:p>
    <w:p>
      <w:pPr>
        <w:numPr>
          <w:ilvl w:val="0"/>
          <w:numId w:val="1009"/>
        </w:numPr>
      </w:pPr>
      <w:r>
        <w:rPr>
          <w:b/>
          <w:bCs/>
        </w:rPr>
        <w:t xml:space="preserve">Fortschreibung.</w:t>
      </w:r>
      <w:r>
        <w:t xml:space="preserve"> </w:t>
      </w:r>
      <w:r>
        <w:t xml:space="preserve">Überschrift und Einleitung auf Methodenstand und Einflussgrößen konzentriert; Zukunftsankündigungen in konkrete Varianten/Parameterstände überführt. Keine Änderung von Senken- oder Budgetannahmen.</w:t>
      </w:r>
    </w:p>
    <w:p>
      <w:pPr>
        <w:numPr>
          <w:ilvl w:val="0"/>
          <w:numId w:val="1009"/>
        </w:numPr>
      </w:pPr>
      <w:r>
        <w:rPr>
          <w:b/>
          <w:bCs/>
        </w:rPr>
        <w:t xml:space="preserve">Einheitliche Grafikgestaltung.</w:t>
      </w:r>
      <w:r>
        <w:t xml:space="preserve"> </w:t>
      </w:r>
      <w:r>
        <w:t xml:space="preserve">Farben und Grundlayout liegen in styles/plotly_formatting.py; auch die vorhandenen sektoralen und Mobilitäts-Sankeys verwenden diese Palette. Schraffuren markieren virtuelle Kontextwerte. Alle neuen HTML-Grafiken funktionieren ohne CDN.</w:t>
      </w:r>
    </w:p>
    <w:p>
      <w:pPr>
        <w:numPr>
          <w:ilvl w:val="0"/>
          <w:numId w:val="1009"/>
        </w:numPr>
      </w:pPr>
      <w:r>
        <w:rPr>
          <w:b/>
          <w:bCs/>
        </w:rPr>
        <w:t xml:space="preserve">Reproduzierbarkeit.</w:t>
      </w:r>
      <w:r>
        <w:t xml:space="preserve"> </w:t>
      </w:r>
      <w:r>
        <w:t xml:space="preserve">Wissenschaftliche Zusatzrechnungen bleiben im Gebäudenotebook. Berechnungen/methodik_plots.py formatiert die übergebenen Ergebnisse und die nationalen Quelltabellen. Original-Excel und ursprüngliche physische Typenkennwerte bleiben unverändert.</w:t>
      </w:r>
    </w:p>
    <w:p>
      <w:pPr>
        <w:numPr>
          <w:ilvl w:val="0"/>
          <w:numId w:val="1009"/>
        </w:numPr>
      </w:pPr>
      <w:r>
        <w:rPr>
          <w:b/>
          <w:bCs/>
        </w:rPr>
        <w:t xml:space="preserve">Interne Dokumentation.</w:t>
      </w:r>
      <w:r>
        <w:t xml:space="preserve"> </w:t>
      </w:r>
      <w:r>
        <w:t xml:space="preserve">Dieser Reviewbericht ist in den Profilen intern und redaktion eingebunden, im Publikationsprofil ausgeschlossen. Der neue Szenariotabellen-Anhang ist dagegen Teil der Publikation.</w:t>
      </w:r>
    </w:p>
    <w:bookmarkEnd w:id="550"/>
    <w:bookmarkStart w:id="556" w:name="wortlautvergleich-der-geänderten-kapitel"/>
    <w:p>
      <w:pPr>
        <w:pStyle w:val="Heading2"/>
      </w:pPr>
      <w:r>
        <w:t xml:space="preserve">H.2 Wortlautvergleich der geänderten Kapitel</w:t>
      </w:r>
    </w:p>
    <w:p>
      <w:pPr>
        <w:pStyle w:val="FirstParagraph"/>
      </w:pPr>
      <w:r>
        <w:t xml:space="preserve">Die folgenden nummerierten Einträge enthalten die geänderten Textblöcke vollständig. Reine Leerzeilenänderungen sind ausgelassen. Die Codeblöcke verhindern, dass historische Formeln oder Querverweise als aktuelle Kapitelinhalte interpretiert werden.</w:t>
      </w:r>
    </w:p>
    <w:p>
      <w:pPr>
        <w:numPr>
          <w:ilvl w:val="0"/>
          <w:numId w:val="1010"/>
        </w:numPr>
      </w:pPr>
      <w:r>
        <w:rPr>
          <w:b/>
          <w:bCs/>
        </w:rPr>
        <w:t xml:space="preserve">Kapitel/03-methodik.qmd, Ausgangszeile 59: Umformulierung / Umgliederung.</w:t>
      </w:r>
    </w:p>
    <w:p>
      <w:pPr>
        <w:numPr>
          <w:ilvl w:val="0"/>
          <w:numId w:val="1000"/>
        </w:numPr>
      </w:pPr>
      <w:r>
        <w:t xml:space="preserve">Bisher:</w:t>
      </w:r>
    </w:p>
    <w:p>
      <w:pPr>
        <w:pStyle w:val="SourceCode"/>
        <w:numPr>
          <w:ilvl w:val="0"/>
          <w:numId w:val="1000"/>
        </w:numPr>
      </w:pPr>
      <w:r>
        <w:rPr>
          <w:rStyle w:val="VerbatimChar"/>
        </w:rPr>
        <w:t xml:space="preserve">Für einen Quartierssaldo \(b_{\mathrm{PE}}\) vor Kontextkorrektur gilt schematisch:</w:t>
      </w:r>
    </w:p>
    <w:p>
      <w:pPr>
        <w:numPr>
          <w:ilvl w:val="0"/>
          <w:numId w:val="1000"/>
        </w:numPr>
      </w:pPr>
      <w:r>
        <w:t xml:space="preserve">Jetzt:</w:t>
      </w:r>
    </w:p>
    <w:p>
      <w:pPr>
        <w:pStyle w:val="SourceCode"/>
        <w:numPr>
          <w:ilvl w:val="0"/>
          <w:numId w:val="1000"/>
        </w:numPr>
      </w:pPr>
      <w:r>
        <w:rPr>
          <w:rStyle w:val="VerbatimChar"/>
        </w:rPr>
        <w:t xml:space="preserve">Für einen Quartierssaldo $b_{\mathrm{PE}}$ vor Kontextkorrektur gilt schematisch:</w:t>
      </w:r>
    </w:p>
    <w:p>
      <w:pPr>
        <w:numPr>
          <w:ilvl w:val="0"/>
          <w:numId w:val="1010"/>
        </w:numPr>
      </w:pPr>
      <w:r>
        <w:rPr>
          <w:b/>
          <w:bCs/>
        </w:rPr>
        <w:t xml:space="preserve">Kapitel/03-methodik.qmd, Ausgangszeile 66: Umformulierung / Umgliederung.</w:t>
      </w:r>
    </w:p>
    <w:p>
      <w:pPr>
        <w:numPr>
          <w:ilvl w:val="0"/>
          <w:numId w:val="1000"/>
        </w:numPr>
      </w:pPr>
      <w:r>
        <w:t xml:space="preserve">Bisher:</w:t>
      </w:r>
    </w:p>
    <w:p>
      <w:pPr>
        <w:pStyle w:val="SourceCode"/>
        <w:numPr>
          <w:ilvl w:val="0"/>
          <w:numId w:val="1000"/>
        </w:numPr>
      </w:pPr>
      <w:r>
        <w:rPr>
          <w:rStyle w:val="VerbatimChar"/>
        </w:rPr>
        <w:t xml:space="preserve">Alle Größen müssen dieselbe flächenbezogene Primärenergie-Einheit und Systemgrenze verwenden, etwa kWh PE/(m² NGF·a). Positive Kontextwerte sind Gutschriften, negative erhöhen die Anforderung. Der **Mobilitätswert** entsteht aus der nationalen Sektorallokation und wird ausschließlich bei Einbeziehung des entsprechenden MIV-Bedarfs angesetzt. Der **Sanierungswert** ist künftig *typologieabhängig* und wird nicht als genereller Pauschalwert festgelegt. Dichte- und Sanierungsparameter sind gemeinsam auf den sektoralen Zielsaldo abzustimmen; bereits in einem typologischen Zielsaldo berücksichtigte Wirkungen dürfen nicht noch einmal addiert werden.</w:t>
      </w:r>
    </w:p>
    <w:p>
      <w:pPr>
        <w:numPr>
          <w:ilvl w:val="0"/>
          <w:numId w:val="1000"/>
        </w:numPr>
      </w:pPr>
      <w:r>
        <w:t xml:space="preserve">Jetzt:</w:t>
      </w:r>
    </w:p>
    <w:p>
      <w:pPr>
        <w:pStyle w:val="SourceCode"/>
        <w:numPr>
          <w:ilvl w:val="0"/>
          <w:numId w:val="1000"/>
        </w:numPr>
      </w:pPr>
      <w:r>
        <w:rPr>
          <w:rStyle w:val="VerbatimChar"/>
        </w:rPr>
        <w:t xml:space="preserve">Die Bewertung erfolgt in kWh PE/(m² NGF·a). Positive Kontextwerte entlasten die Anforderung, negative erhöhen sie. Der **Mobilitätswert** entsteht aus der nationalen Sektorallokation und wird ausschließlich bei Einbeziehung des entsprechenden MIV-Bedarfs angesetzt. Der **Sanierungswert** ist *typologieabhängig* und wird nicht als genereller Pauschalwert festgelegt. Dichte- und Sanierungsparameter sind gemeinsam auf den sektoralen Zielsaldo abzustimmen; bereits in einem typologischen Zielsaldo berücksichtigte Wirkungen dürfen nicht noch einmal addiert werden.</w:t>
      </w:r>
    </w:p>
    <w:p>
      <w:pPr>
        <w:numPr>
          <w:ilvl w:val="0"/>
          <w:numId w:val="1010"/>
        </w:numPr>
      </w:pPr>
      <w:r>
        <w:rPr>
          <w:b/>
          <w:bCs/>
        </w:rPr>
        <w:t xml:space="preserve">Kapitel/03-methodik.qmd, Ausgangszeile 68: Umformulierung / Umgliederung.</w:t>
      </w:r>
    </w:p>
    <w:p>
      <w:pPr>
        <w:numPr>
          <w:ilvl w:val="0"/>
          <w:numId w:val="1000"/>
        </w:numPr>
      </w:pPr>
      <w:r>
        <w:t xml:space="preserve">Bisher:</w:t>
      </w:r>
    </w:p>
    <w:p>
      <w:pPr>
        <w:pStyle w:val="SourceCode"/>
        <w:numPr>
          <w:ilvl w:val="0"/>
          <w:numId w:val="1000"/>
        </w:numPr>
      </w:pPr>
      <w:r>
        <w:rPr>
          <w:rStyle w:val="VerbatimChar"/>
        </w:rPr>
        <w:t xml:space="preserve">Die Bewertungsbedingung \(b_{\mathrm{Bewertung}}&gt;0\) verlangt keinen physischen Exportüberschuss. Die reale Bilanz und alle virtuellen Korrekturen sind daher getrennt auszuweisen. Das kumulierte THG-Budget ist eine zusätzliche eigenständige Prüfung und keine Primärenergie-Gutschrift.</w:t>
      </w:r>
      <w:r>
        <w:br/>
      </w:r>
      <w:r>
        <w:br/>
      </w:r>
      <w:r>
        <w:rPr>
          <w:rStyle w:val="VerbatimChar"/>
        </w:rPr>
        <w:t xml:space="preserve">::: {.callout-note title="Kalibrierungsstand dieser Arbeitsfassung"}</w:t>
      </w:r>
      <w:r>
        <w:br/>
      </w:r>
      <w:r>
        <w:rPr>
          <w:rStyle w:val="VerbatimChar"/>
        </w:rPr>
        <w:t xml:space="preserve">UBA Transition 2040 ist das festgelegte Referenzszenario. Die sektorale Allokation und die neue Gebäudetypologie mit Flächenverteilung sind inzwischen in getrennten ausführbaren Notebooks ausgewertet (@sec-allokation-notebook; @sec-gebaeudesektormodell). Der Vergleich zeigt einen noch nicht geschlossenen Szenarioabstand. Solange die sektorale Zuordnung und die Parameterkalibrierung nicht abgeschlossen sind, werden historische Zielwerte nicht als neue Ergebnisse ausgewiesen. Die ursprüngliche Streicher-basierte Kalibrierung ist als methodischer Vorläufer dokumentiert [@schneider2020lokal; @schneider2023context].</w:t>
      </w:r>
    </w:p>
    <w:p>
      <w:pPr>
        <w:numPr>
          <w:ilvl w:val="0"/>
          <w:numId w:val="1000"/>
        </w:numPr>
      </w:pPr>
      <w:r>
        <w:t xml:space="preserve">Jetzt:</w:t>
      </w:r>
    </w:p>
    <w:p>
      <w:pPr>
        <w:pStyle w:val="SourceCode"/>
        <w:numPr>
          <w:ilvl w:val="0"/>
          <w:numId w:val="1000"/>
        </w:numPr>
      </w:pPr>
      <w:r>
        <w:rPr>
          <w:rStyle w:val="VerbatimChar"/>
        </w:rPr>
        <w:t xml:space="preserve">::: {.callout-note title="Sachstand des Publikationsentwurfs"}</w:t>
      </w:r>
      <w:r>
        <w:br/>
      </w:r>
      <w:r>
        <w:rPr>
          <w:rStyle w:val="VerbatimChar"/>
        </w:rPr>
        <w:t xml:space="preserve">UBA Transition 2040 ist das festgelegte Referenzszenario. Die sektorale Allokation und die neue Gebäudetypologie mit Flächenverteilung sind in getrennten ausführbaren Notebooks ausgewertet (@sec-allokation-notebook; @sec-gebaeudesektormodell). Der Vergleich weist den Szenarioabstand und die Wirkung der historischen Dichteformel aus. Normative PEQ-Anteile und neue Typologiegrenzwerte sind im Entwurf nicht festgelegt. Die ursprüngliche Streicher-basierte Kalibrierung ist als methodischer Vorläufer dokumentiert [@schneider2020lokal; @schneider2023context].</w:t>
      </w:r>
    </w:p>
    <w:p>
      <w:pPr>
        <w:numPr>
          <w:ilvl w:val="0"/>
          <w:numId w:val="1010"/>
        </w:numPr>
      </w:pPr>
      <w:r>
        <w:rPr>
          <w:b/>
          <w:bCs/>
        </w:rPr>
        <w:t xml:space="preserve">Kapitel/03-zielszenario.qmd, Ausgangszeile 4: Umformulierung / Umgliederung.</w:t>
      </w:r>
    </w:p>
    <w:p>
      <w:pPr>
        <w:numPr>
          <w:ilvl w:val="0"/>
          <w:numId w:val="1000"/>
        </w:numPr>
      </w:pPr>
      <w:r>
        <w:t xml:space="preserve">Bisher:</w:t>
      </w:r>
    </w:p>
    <w:p>
      <w:pPr>
        <w:pStyle w:val="SourceCode"/>
        <w:numPr>
          <w:ilvl w:val="0"/>
          <w:numId w:val="1000"/>
        </w:numPr>
      </w:pPr>
      <w:r>
        <w:rPr>
          <w:rStyle w:val="VerbatimChar"/>
        </w:rPr>
        <w:t xml:space="preserve">UBA Transition 2040 als einheitliche Referenz für die nationale Energieaufgabe</w:t>
      </w:r>
    </w:p>
    <w:p>
      <w:pPr>
        <w:numPr>
          <w:ilvl w:val="0"/>
          <w:numId w:val="1000"/>
        </w:numPr>
      </w:pPr>
      <w:r>
        <w:t xml:space="preserve">Jetzt:</w:t>
      </w:r>
    </w:p>
    <w:p>
      <w:pPr>
        <w:pStyle w:val="SourceCode"/>
        <w:numPr>
          <w:ilvl w:val="0"/>
          <w:numId w:val="1000"/>
        </w:numPr>
      </w:pPr>
      <w:r>
        <w:rPr>
          <w:rStyle w:val="VerbatimChar"/>
        </w:rPr>
        <w:t xml:space="preserve">UBA Transition 2040 als Referenz der nationalen Energieaufgabe</w:t>
      </w:r>
    </w:p>
    <w:p>
      <w:pPr>
        <w:numPr>
          <w:ilvl w:val="0"/>
          <w:numId w:val="1010"/>
        </w:numPr>
      </w:pPr>
      <w:r>
        <w:rPr>
          <w:b/>
          <w:bCs/>
        </w:rPr>
        <w:t xml:space="preserve">Kapitel/03-zielszenario.qmd, Ausgangszeile 7: Umformulierung / Umgliederung.</w:t>
      </w:r>
    </w:p>
    <w:p>
      <w:pPr>
        <w:numPr>
          <w:ilvl w:val="0"/>
          <w:numId w:val="1000"/>
        </w:numPr>
      </w:pPr>
      <w:r>
        <w:t xml:space="preserve">Bisher:</w:t>
      </w:r>
    </w:p>
    <w:p>
      <w:pPr>
        <w:pStyle w:val="SourceCode"/>
        <w:numPr>
          <w:ilvl w:val="0"/>
          <w:numId w:val="1000"/>
        </w:numPr>
      </w:pPr>
      <w:r>
        <w:rPr>
          <w:rStyle w:val="VerbatimChar"/>
        </w:rPr>
        <w:t xml:space="preserve">Das Szenario **UBA Transition 2040** ist die Grundlage der Neukalibrierung der energiebezogenen PEQ-Anforderungen. Dieses Kapitel dokumentiert die veröffentlichten Energie- und Strombilanzen und ihren Vergleich mit dem Ausgangsjahr. Die **Zuordnung** von Erzeugung und Bedarf zu Gebäuden, Industrie und Verkehr erfolgt erst in @sec-allokation; die Anforderungen an Gebäudetypologien und Quartiere werden in @sec-gebaeudebestand und @sec-kalibrierung abgeleitet.</w:t>
      </w:r>
    </w:p>
    <w:p>
      <w:pPr>
        <w:numPr>
          <w:ilvl w:val="0"/>
          <w:numId w:val="1000"/>
        </w:numPr>
      </w:pPr>
      <w:r>
        <w:t xml:space="preserve">Jetzt:</w:t>
      </w:r>
    </w:p>
    <w:p>
      <w:pPr>
        <w:pStyle w:val="SourceCode"/>
        <w:numPr>
          <w:ilvl w:val="0"/>
          <w:numId w:val="1000"/>
        </w:numPr>
      </w:pPr>
      <w:r>
        <w:rPr>
          <w:rStyle w:val="VerbatimChar"/>
        </w:rPr>
        <w:t xml:space="preserve">UBA Transition 2040 (REP-0880) beschreibt die Erzeugung und den Bedarf im Zieljahr 2040 [@uba2023transition]. WEM/WAM 2023 und 2025 dienen als Vergleichsszenarien. Die sektorale Zuordnung folgt in @sec-allokation, der Abgleich mit Gebäudetypologien in @sec-gebaeudebestand.</w:t>
      </w:r>
    </w:p>
    <w:p>
      <w:pPr>
        <w:numPr>
          <w:ilvl w:val="0"/>
          <w:numId w:val="1010"/>
        </w:numPr>
      </w:pPr>
      <w:r>
        <w:rPr>
          <w:b/>
          <w:bCs/>
        </w:rPr>
        <w:t xml:space="preserve">Kapitel/03-zielszenario.qmd, Ausgangszeile 9: Umformulierung / Umgliederung.</w:t>
      </w:r>
    </w:p>
    <w:p>
      <w:pPr>
        <w:numPr>
          <w:ilvl w:val="0"/>
          <w:numId w:val="1000"/>
        </w:numPr>
      </w:pPr>
      <w:r>
        <w:t xml:space="preserve">Bisher:</w:t>
      </w:r>
    </w:p>
    <w:p>
      <w:pPr>
        <w:numPr>
          <w:ilvl w:val="0"/>
          <w:numId w:val="1000"/>
        </w:numPr>
      </w:pPr>
      <w:r>
        <w:t xml:space="preserve">text</w:t>
      </w:r>
      <w:r>
        <w:t xml:space="preserve"> </w:t>
      </w:r>
      <w:r>
        <w:t xml:space="preserve">## Referenzszenario und Datenstand</w:t>
      </w:r>
    </w:p>
    <w:p>
      <w:pPr>
        <w:numPr>
          <w:ilvl w:val="0"/>
          <w:numId w:val="1000"/>
        </w:numPr>
      </w:pPr>
      <w:r>
        <w:t xml:space="preserve">Maßgeblich ist UBA Transition 2040 (REP-0880) für das</w:t>
      </w:r>
      <w:r>
        <w:t xml:space="preserve"> </w:t>
      </w:r>
      <w:r>
        <w:rPr>
          <w:b/>
          <w:bCs/>
        </w:rPr>
        <w:t xml:space="preserve">Zieljahr 2040</w:t>
      </w:r>
      <w:r>
        <w:t xml:space="preserve"> </w:t>
      </w:r>
      <w:r>
        <w:t xml:space="preserve">(Umweltbundesamt 2024)</w:t>
      </w:r>
      <w:r>
        <w:t xml:space="preserve">. Für Vergleiche werden WEM/WAM 2023 sowie WEM/WAM 2025 getrennt ausgewiesen. Diese Vergleichsszenarien ändern die festgelegte Referenz für die Neukalibrierung nicht</w:t>
      </w:r>
      <w:r>
        <w:t xml:space="preserve"> </w:t>
      </w:r>
      <w:r>
        <w:t xml:space="preserve">(Umweltbundesamt 2025)</w:t>
      </w:r>
      <w:r>
        <w:t xml:space="preserve">.</w:t>
      </w:r>
    </w:p>
    <w:p>
      <w:pPr>
        <w:numPr>
          <w:ilvl w:val="0"/>
          <w:numId w:val="1000"/>
        </w:numPr>
      </w:pPr>
      <w:r>
        <w:t xml:space="preserve">Die zugrunde liegenden Größen sind zunächst</w:t>
      </w:r>
      <w:r>
        <w:t xml:space="preserve"> </w:t>
      </w:r>
      <w:r>
        <w:rPr>
          <w:b/>
          <w:bCs/>
        </w:rPr>
        <w:t xml:space="preserve">physische jährliche Energiemengen</w:t>
      </w:r>
      <w:r>
        <w:t xml:space="preserve">. Stromerzeugung, Strombedarf und Saldo werden in PJ elektrischer Energie pro Jahr verglichen; der Endenergieverbrauch aller Energieträger wird separat ausgewiesen. Primärenergiegewichtungen und virtuelle Gutschriften sind keine Bestandteile dieser physischen nationalen Stromtabelle.</w:t>
      </w:r>
    </w:p>
    <w:p>
      <w:pPr>
        <w:pStyle w:val="Heading2"/>
        <w:numPr>
          <w:ilvl w:val="0"/>
          <w:numId w:val="1000"/>
        </w:numPr>
      </w:pPr>
      <w:bookmarkStart w:id="551" w:name="nationale-elektrizitätsbilanz-2040"/>
      <w:r>
        <w:t xml:space="preserve">H.3 Nationale Elektrizitätsbilanz 2040</w:t>
      </w:r>
      <w:bookmarkEnd w:id="551"/>
    </w:p>
    <w:tbl>
      <w:tblPr>
        <w:tblStyle w:val="Table"/>
        <w:tblW w:type="pct" w:w="5000"/>
        <w:tblLayout w:type="fixed"/>
        <w:tblLook w:firstRow="0" w:lastRow="0" w:firstColumn="0" w:lastColumn="0" w:noHBand="0" w:noVBand="0" w:val="0000"/>
      </w:tblPr>
      <w:tblGrid>
        <w:gridCol w:w="7920"/>
      </w:tblGrid>
      <w:tr>
        <w:tc>
          <w:tcPr/>
          <w:bookmarkStart w:id="552" w:name="tbl-allokation-stromerzeugung-2040"/>
          <w:p>
            <w:pPr>
              <w:jc w:val="center"/>
            </w:pPr>
            <w:pPr>
              <w:jc w:val="left"/>
              <w:spacing w:before="200"/>
              <w:pStyle w:val="ImageCaption"/>
            </w:pPr>
            <w:r>
              <w:t xml:space="preserve">Tabelle L.1: Publizierte Stromerzeugung und Nettoimporte. Transition: REP-0880, Tab. 16, S. 63; WEM/WAM 2023: REP-0882, Zusammenfassung, Tab. D, S. 8; WEM/WAM 2025: REP-0995, Tab. E, S. 12</w:t>
            </w:r>
            <w:r>
              <w:t xml:space="preserve"> </w:t>
            </w:r>
            <w:r>
              <w:t xml:space="preserve">(Umweltbundesamt 2024, 2023b,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Stromerzeugung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Wasserkraft</w:t>
                  </w:r>
                </w:p>
              </w:tc>
              <w:tc>
                <w:tcPr/>
                <w:p>
                  <w:pPr>
                    <w:pStyle w:val="Compact"/>
                    <w:jc w:val="right"/>
                    <w:jc w:val="center"/>
                  </w:pPr>
                  <w:r>
                    <w:t xml:space="preserve">173</w:t>
                  </w:r>
                </w:p>
              </w:tc>
              <w:tc>
                <w:tcPr/>
                <w:p>
                  <w:pPr>
                    <w:pStyle w:val="Compact"/>
                    <w:jc w:val="right"/>
                    <w:jc w:val="center"/>
                  </w:pPr>
                  <w:r>
                    <w:t xml:space="preserve">167</w:t>
                  </w:r>
                </w:p>
              </w:tc>
              <w:tc>
                <w:tcPr/>
                <w:p>
                  <w:pPr>
                    <w:pStyle w:val="Compact"/>
                    <w:jc w:val="right"/>
                    <w:jc w:val="center"/>
                  </w:pPr>
                  <w:r>
                    <w:t xml:space="preserve">176</w:t>
                  </w:r>
                </w:p>
              </w:tc>
              <w:tc>
                <w:tcPr/>
                <w:p>
                  <w:pPr>
                    <w:pStyle w:val="Compact"/>
                    <w:jc w:val="right"/>
                    <w:jc w:val="center"/>
                  </w:pPr>
                  <w:r>
                    <w:t xml:space="preserve">174</w:t>
                  </w:r>
                </w:p>
              </w:tc>
              <w:tc>
                <w:tcPr/>
                <w:p>
                  <w:pPr>
                    <w:pStyle w:val="Compact"/>
                    <w:jc w:val="right"/>
                    <w:jc w:val="center"/>
                  </w:pPr>
                  <w:r>
                    <w:t xml:space="preserve">176</w:t>
                  </w:r>
                </w:p>
              </w:tc>
            </w:tr>
            <w:tr>
              <w:tc>
                <w:tcPr/>
                <w:p>
                  <w:pPr>
                    <w:pStyle w:val="Compact"/>
                    <w:jc w:val="center"/>
                  </w:pPr>
                  <w:r>
                    <w:t xml:space="preserve">Windkraft</w:t>
                  </w:r>
                </w:p>
              </w:tc>
              <w:tc>
                <w:tcPr/>
                <w:p>
                  <w:pPr>
                    <w:pStyle w:val="Compact"/>
                    <w:jc w:val="right"/>
                    <w:jc w:val="center"/>
                  </w:pPr>
                  <w:r>
                    <w:t xml:space="preserve">105</w:t>
                  </w:r>
                </w:p>
              </w:tc>
              <w:tc>
                <w:tcPr/>
                <w:p>
                  <w:pPr>
                    <w:pStyle w:val="Compact"/>
                    <w:jc w:val="right"/>
                    <w:jc w:val="center"/>
                  </w:pPr>
                  <w:r>
                    <w:t xml:space="preserve">65</w:t>
                  </w:r>
                </w:p>
              </w:tc>
              <w:tc>
                <w:tcPr/>
                <w:p>
                  <w:pPr>
                    <w:pStyle w:val="Compact"/>
                    <w:jc w:val="right"/>
                    <w:jc w:val="center"/>
                  </w:pPr>
                  <w:r>
                    <w:t xml:space="preserve">87</w:t>
                  </w:r>
                </w:p>
              </w:tc>
              <w:tc>
                <w:tcPr/>
                <w:p>
                  <w:pPr>
                    <w:pStyle w:val="Compact"/>
                    <w:jc w:val="right"/>
                    <w:jc w:val="center"/>
                  </w:pPr>
                  <w:r>
                    <w:t xml:space="preserve">69</w:t>
                  </w:r>
                </w:p>
              </w:tc>
              <w:tc>
                <w:tcPr/>
                <w:p>
                  <w:pPr>
                    <w:pStyle w:val="Compact"/>
                    <w:jc w:val="right"/>
                    <w:jc w:val="center"/>
                  </w:pPr>
                  <w:r>
                    <w:t xml:space="preserve">87</w:t>
                  </w:r>
                </w:p>
              </w:tc>
            </w:tr>
            <w:tr>
              <w:tc>
                <w:tcPr/>
                <w:p>
                  <w:pPr>
                    <w:pStyle w:val="Compact"/>
                    <w:jc w:val="center"/>
                  </w:pPr>
                  <w:r>
                    <w:t xml:space="preserve">Photovoltaik</w:t>
                  </w:r>
                </w:p>
              </w:tc>
              <w:tc>
                <w:tcPr/>
                <w:p>
                  <w:pPr>
                    <w:pStyle w:val="Compact"/>
                    <w:jc w:val="right"/>
                    <w:jc w:val="center"/>
                  </w:pPr>
                  <w:r>
                    <w:t xml:space="preserve">149</w:t>
                  </w:r>
                </w:p>
              </w:tc>
              <w:tc>
                <w:tcPr/>
                <w:p>
                  <w:pPr>
                    <w:pStyle w:val="Compact"/>
                    <w:jc w:val="right"/>
                    <w:jc w:val="center"/>
                  </w:pPr>
                  <w:r>
                    <w:t xml:space="preserve">53</w:t>
                  </w:r>
                </w:p>
              </w:tc>
              <w:tc>
                <w:tcPr/>
                <w:p>
                  <w:pPr>
                    <w:pStyle w:val="Compact"/>
                    <w:jc w:val="right"/>
                    <w:jc w:val="center"/>
                  </w:pPr>
                  <w:r>
                    <w:t xml:space="preserve">107</w:t>
                  </w:r>
                </w:p>
              </w:tc>
              <w:tc>
                <w:tcPr/>
                <w:p>
                  <w:pPr>
                    <w:pStyle w:val="Compact"/>
                    <w:jc w:val="right"/>
                    <w:jc w:val="center"/>
                  </w:pPr>
                  <w:r>
                    <w:t xml:space="preserve">54</w:t>
                  </w:r>
                </w:p>
              </w:tc>
              <w:tc>
                <w:tcPr/>
                <w:p>
                  <w:pPr>
                    <w:pStyle w:val="Compact"/>
                    <w:jc w:val="right"/>
                    <w:jc w:val="center"/>
                  </w:pPr>
                  <w:r>
                    <w:t xml:space="preserve">107</w:t>
                  </w:r>
                </w:p>
              </w:tc>
            </w:tr>
            <w:tr>
              <w:tc>
                <w:tcPr/>
                <w:p>
                  <w:pPr>
                    <w:pStyle w:val="Compact"/>
                    <w:jc w:val="center"/>
                  </w:pPr>
                  <w:r>
                    <w:t xml:space="preserve">Biomasse inkl. Biomethan</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r>
            <w:tr>
              <w:tc>
                <w:tcPr/>
                <w:p>
                  <w:pPr>
                    <w:pStyle w:val="Compact"/>
                    <w:jc w:val="center"/>
                  </w:pPr>
                  <w:r>
                    <w:t xml:space="preserve">Geothermie / sonstige Erzeugung¹</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Wasserstoff-Rückverstromung</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center"/>
                  </w:pPr>
                  <w:r>
                    <w:t xml:space="preserve">Fossile Erzeugung</w:t>
                  </w:r>
                </w:p>
              </w:tc>
              <w:tc>
                <w:tcPr/>
                <w:p>
                  <w:pPr>
                    <w:pStyle w:val="Compact"/>
                    <w:jc w:val="right"/>
                    <w:jc w:val="center"/>
                  </w:pPr>
                  <w:r>
                    <w:t xml:space="preserve">1</w:t>
                  </w:r>
                </w:p>
              </w:tc>
              <w:tc>
                <w:tcPr/>
                <w:p>
                  <w:pPr>
                    <w:pStyle w:val="Compact"/>
                    <w:jc w:val="right"/>
                    <w:jc w:val="center"/>
                  </w:pPr>
                  <w:r>
                    <w:t xml:space="preserve">33</w:t>
                  </w:r>
                </w:p>
              </w:tc>
              <w:tc>
                <w:tcPr/>
                <w:p>
                  <w:pPr>
                    <w:pStyle w:val="Compact"/>
                    <w:jc w:val="right"/>
                    <w:jc w:val="center"/>
                  </w:pPr>
                  <w:r>
                    <w:t xml:space="preserve">15</w:t>
                  </w:r>
                </w:p>
              </w:tc>
              <w:tc>
                <w:tcPr/>
                <w:p>
                  <w:pPr>
                    <w:pStyle w:val="Compact"/>
                    <w:jc w:val="right"/>
                    <w:jc w:val="center"/>
                  </w:pPr>
                  <w:r>
                    <w:t xml:space="preserve">27</w:t>
                  </w:r>
                </w:p>
              </w:tc>
              <w:tc>
                <w:tcPr/>
                <w:p>
                  <w:pPr>
                    <w:pStyle w:val="Compact"/>
                    <w:jc w:val="right"/>
                    <w:jc w:val="center"/>
                  </w:pPr>
                  <w:r>
                    <w:t xml:space="preserve">15</w:t>
                  </w:r>
                </w:p>
              </w:tc>
            </w:tr>
            <w:tr>
              <w:tc>
                <w:tcPr/>
                <w:p>
                  <w:pPr>
                    <w:pStyle w:val="Compact"/>
                    <w:jc w:val="center"/>
                  </w:pPr>
                  <w:r>
                    <w:t xml:space="preserve">Publizierte Erzeugung gesamt</w:t>
                  </w:r>
                </w:p>
              </w:tc>
              <w:tc>
                <w:tcPr/>
                <w:p>
                  <w:pPr>
                    <w:pStyle w:val="Compact"/>
                    <w:jc w:val="right"/>
                    <w:jc w:val="center"/>
                  </w:pPr>
                  <w:r>
                    <w:t xml:space="preserve">457</w:t>
                  </w:r>
                </w:p>
              </w:tc>
              <w:tc>
                <w:tcPr/>
                <w:p>
                  <w:pPr>
                    <w:pStyle w:val="Compact"/>
                    <w:jc w:val="right"/>
                    <w:jc w:val="center"/>
                  </w:pPr>
                  <w:r>
                    <w:t xml:space="preserve">339</w:t>
                  </w:r>
                </w:p>
              </w:tc>
              <w:tc>
                <w:tcPr/>
                <w:p>
                  <w:pPr>
                    <w:pStyle w:val="Compact"/>
                    <w:jc w:val="right"/>
                    <w:jc w:val="center"/>
                  </w:pPr>
                  <w:r>
                    <w:t xml:space="preserve">406</w:t>
                  </w:r>
                </w:p>
              </w:tc>
              <w:tc>
                <w:tcPr/>
                <w:p>
                  <w:pPr>
                    <w:pStyle w:val="Compact"/>
                    <w:jc w:val="right"/>
                    <w:jc w:val="center"/>
                  </w:pPr>
                  <w:r>
                    <w:t xml:space="preserve">346</w:t>
                  </w:r>
                </w:p>
              </w:tc>
              <w:tc>
                <w:tcPr/>
                <w:p>
                  <w:pPr>
                    <w:pStyle w:val="Compact"/>
                    <w:jc w:val="right"/>
                    <w:jc w:val="center"/>
                  </w:pPr>
                  <w:r>
                    <w:t xml:space="preserve">406</w:t>
                  </w:r>
                </w:p>
              </w:tc>
            </w:tr>
            <w:tr>
              <w:tc>
                <w:tcPr/>
                <w:p>
                  <w:pPr>
                    <w:pStyle w:val="Compact"/>
                    <w:jc w:val="center"/>
                  </w:pPr>
                  <w:r>
                    <w:t xml:space="preserve">Nettoimporte (− = Export)</w:t>
                  </w:r>
                </w:p>
              </w:tc>
              <w:tc>
                <w:tcPr/>
                <w:p>
                  <w:pPr>
                    <w:pStyle w:val="Compact"/>
                    <w:jc w:val="right"/>
                    <w:jc w:val="center"/>
                  </w:pPr>
                  <w:r>
                    <w:t xml:space="preserve">-7</w:t>
                  </w:r>
                </w:p>
              </w:tc>
              <w:tc>
                <w:tcPr/>
                <w:p>
                  <w:pPr>
                    <w:pStyle w:val="Compact"/>
                    <w:jc w:val="right"/>
                    <w:jc w:val="center"/>
                  </w:pPr>
                  <w:r>
                    <w:t xml:space="preserve">38</w:t>
                  </w:r>
                </w:p>
              </w:tc>
              <w:tc>
                <w:tcPr/>
                <w:p>
                  <w:pPr>
                    <w:pStyle w:val="Compact"/>
                    <w:jc w:val="right"/>
                    <w:jc w:val="center"/>
                  </w:pPr>
                  <w:r>
                    <w:t xml:space="preserve">-10</w:t>
                  </w:r>
                </w:p>
              </w:tc>
              <w:tc>
                <w:tcPr/>
                <w:p>
                  <w:pPr>
                    <w:pStyle w:val="Compact"/>
                    <w:jc w:val="right"/>
                    <w:jc w:val="center"/>
                  </w:pPr>
                  <w:r>
                    <w:t xml:space="preserve">21</w:t>
                  </w:r>
                </w:p>
              </w:tc>
              <w:tc>
                <w:tcPr/>
                <w:p>
                  <w:pPr>
                    <w:pStyle w:val="Compact"/>
                    <w:jc w:val="right"/>
                    <w:jc w:val="center"/>
                  </w:pPr>
                  <w:r>
                    <w:t xml:space="preserve">1</w:t>
                  </w:r>
                </w:p>
              </w:tc>
            </w:tr>
          </w:tbl>
          <w:bookmarkEnd w:id="5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3" w:name="tbl-allokation-strombedarf-2040"/>
          <w:p>
            <w:pPr>
              <w:jc w:val="center"/>
            </w:pPr>
            <w:pPr>
              <w:jc w:val="left"/>
              <w:spacing w:before="200"/>
              <w:pStyle w:val="ImageCaption"/>
            </w:pPr>
            <w:r>
              <w:t xml:space="preserve">Tabelle L.2: Publizierter Strombedarf einschließlich Energiebranche, Verlusten und Umwandlung. Transition: REP-0880, Tab. 15, S. 60; WEM/WAM 2023: REP-0882, Tab. 12, S. 39; WEM/WAM 2025: REP-0995, Tab. 18, S. 62</w:t>
            </w:r>
            <w:r>
              <w:t xml:space="preserve"> </w:t>
            </w:r>
            <w:r>
              <w:t xml:space="preserve">(Umweltbundesamt 2024, 2023a, 2025)</w:t>
            </w:r>
            <w: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Strombedarf 2040 [PJ_el/a]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90</w:t>
                  </w:r>
                </w:p>
              </w:tc>
              <w:tc>
                <w:tcPr/>
                <w:p>
                  <w:pPr>
                    <w:pStyle w:val="Compact"/>
                    <w:jc w:val="right"/>
                    <w:jc w:val="center"/>
                  </w:pPr>
                  <w:r>
                    <w:t xml:space="preserve">76</w:t>
                  </w:r>
                </w:p>
              </w:tc>
              <w:tc>
                <w:tcPr/>
                <w:p>
                  <w:pPr>
                    <w:pStyle w:val="Compact"/>
                    <w:jc w:val="right"/>
                    <w:jc w:val="center"/>
                  </w:pPr>
                  <w:r>
                    <w:t xml:space="preserve">72</w:t>
                  </w:r>
                </w:p>
              </w:tc>
              <w:tc>
                <w:tcPr/>
                <w:p>
                  <w:pPr>
                    <w:pStyle w:val="Compact"/>
                    <w:jc w:val="right"/>
                    <w:jc w:val="center"/>
                  </w:pPr>
                  <w:r>
                    <w:t xml:space="preserve">67</w:t>
                  </w:r>
                </w:p>
              </w:tc>
              <w:tc>
                <w:tcPr/>
                <w:p>
                  <w:pPr>
                    <w:pStyle w:val="Compact"/>
                    <w:jc w:val="right"/>
                    <w:jc w:val="center"/>
                  </w:pPr>
                  <w:r>
                    <w:t xml:space="preserve">70</w:t>
                  </w:r>
                </w:p>
              </w:tc>
            </w:tr>
            <w:tr>
              <w:tc>
                <w:tcPr/>
                <w:p>
                  <w:pPr>
                    <w:pStyle w:val="Compact"/>
                    <w:jc w:val="center"/>
                  </w:pPr>
                  <w:r>
                    <w:t xml:space="preserve">Gebäude</w:t>
                  </w:r>
                </w:p>
              </w:tc>
              <w:tc>
                <w:tcPr/>
                <w:p>
                  <w:pPr>
                    <w:pStyle w:val="Compact"/>
                    <w:jc w:val="right"/>
                    <w:jc w:val="center"/>
                  </w:pPr>
                  <w:r>
                    <w:t xml:space="preserve">108</w:t>
                  </w:r>
                </w:p>
              </w:tc>
              <w:tc>
                <w:tcPr/>
                <w:p>
                  <w:pPr>
                    <w:pStyle w:val="Compact"/>
                    <w:jc w:val="right"/>
                    <w:jc w:val="center"/>
                  </w:pPr>
                  <w:r>
                    <w:t xml:space="preserve">132</w:t>
                  </w:r>
                </w:p>
              </w:tc>
              <w:tc>
                <w:tcPr/>
                <w:p>
                  <w:pPr>
                    <w:pStyle w:val="Compact"/>
                    <w:jc w:val="right"/>
                    <w:jc w:val="center"/>
                  </w:pPr>
                  <w:r>
                    <w:t xml:space="preserve">123</w:t>
                  </w:r>
                </w:p>
              </w:tc>
              <w:tc>
                <w:tcPr/>
                <w:p>
                  <w:pPr>
                    <w:pStyle w:val="Compact"/>
                    <w:jc w:val="right"/>
                    <w:jc w:val="center"/>
                  </w:pPr>
                  <w:r>
                    <w:t xml:space="preserve">134</w:t>
                  </w:r>
                </w:p>
              </w:tc>
              <w:tc>
                <w:tcPr/>
                <w:p>
                  <w:pPr>
                    <w:pStyle w:val="Compact"/>
                    <w:jc w:val="right"/>
                    <w:jc w:val="center"/>
                  </w:pPr>
                  <w:r>
                    <w:t xml:space="preserve">122</w:t>
                  </w:r>
                </w:p>
              </w:tc>
            </w:tr>
            <w:tr>
              <w:tc>
                <w:tcPr/>
                <w:p>
                  <w:pPr>
                    <w:pStyle w:val="Compact"/>
                    <w:jc w:val="center"/>
                  </w:pPr>
                  <w:r>
                    <w:t xml:space="preserve">Industrie</w:t>
                  </w:r>
                </w:p>
              </w:tc>
              <w:tc>
                <w:tcPr/>
                <w:p>
                  <w:pPr>
                    <w:pStyle w:val="Compact"/>
                    <w:jc w:val="right"/>
                    <w:jc w:val="center"/>
                  </w:pPr>
                  <w:r>
                    <w:t xml:space="preserve">140</w:t>
                  </w:r>
                </w:p>
              </w:tc>
              <w:tc>
                <w:tcPr/>
                <w:p>
                  <w:pPr>
                    <w:pStyle w:val="Compact"/>
                    <w:jc w:val="right"/>
                    <w:jc w:val="center"/>
                  </w:pPr>
                  <w:r>
                    <w:t xml:space="preserve">115</w:t>
                  </w:r>
                </w:p>
              </w:tc>
              <w:tc>
                <w:tcPr/>
                <w:p>
                  <w:pPr>
                    <w:pStyle w:val="Compact"/>
                    <w:jc w:val="right"/>
                    <w:jc w:val="center"/>
                  </w:pPr>
                  <w:r>
                    <w:t xml:space="preserve">107</w:t>
                  </w:r>
                </w:p>
              </w:tc>
              <w:tc>
                <w:tcPr/>
                <w:p>
                  <w:pPr>
                    <w:pStyle w:val="Compact"/>
                    <w:jc w:val="right"/>
                    <w:jc w:val="center"/>
                  </w:pPr>
                  <w:r>
                    <w:t xml:space="preserve">120</w:t>
                  </w:r>
                </w:p>
              </w:tc>
              <w:tc>
                <w:tcPr/>
                <w:p>
                  <w:pPr>
                    <w:pStyle w:val="Compact"/>
                    <w:jc w:val="right"/>
                    <w:jc w:val="center"/>
                  </w:pPr>
                  <w:r>
                    <w:t xml:space="preserve">126</w:t>
                  </w:r>
                </w:p>
              </w:tc>
            </w:tr>
            <w:tr>
              <w:tc>
                <w:tcPr/>
                <w:p>
                  <w:pPr>
                    <w:pStyle w:val="Compact"/>
                    <w:jc w:val="center"/>
                  </w:pPr>
                  <w:r>
                    <w:t xml:space="preserve">Landwirtschaft</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4</w:t>
                  </w:r>
                </w:p>
              </w:tc>
            </w:tr>
            <w:tr>
              <w:tc>
                <w:tcPr/>
                <w:p>
                  <w:pPr>
                    <w:pStyle w:val="Compact"/>
                    <w:jc w:val="center"/>
                  </w:pPr>
                  <w:r>
                    <w:t xml:space="preserve">Verbrauch Sektor Energie</w:t>
                  </w:r>
                </w:p>
              </w:tc>
              <w:tc>
                <w:tcPr/>
                <w:p>
                  <w:pPr>
                    <w:pStyle w:val="Compact"/>
                    <w:jc w:val="right"/>
                    <w:jc w:val="center"/>
                  </w:pPr>
                  <w:r>
                    <w:t xml:space="preserve">34</w:t>
                  </w:r>
                </w:p>
              </w:tc>
              <w:tc>
                <w:tcPr/>
                <w:p>
                  <w:pPr>
                    <w:pStyle w:val="Compact"/>
                    <w:jc w:val="right"/>
                    <w:jc w:val="center"/>
                  </w:pPr>
                  <w:r>
                    <w:t xml:space="preserve">28</w:t>
                  </w:r>
                </w:p>
              </w:tc>
              <w:tc>
                <w:tcPr/>
                <w:p>
                  <w:pPr>
                    <w:pStyle w:val="Compact"/>
                    <w:jc w:val="right"/>
                    <w:jc w:val="center"/>
                  </w:pPr>
                  <w:r>
                    <w:t xml:space="preserve">40</w:t>
                  </w:r>
                </w:p>
              </w:tc>
              <w:tc>
                <w:tcPr/>
                <w:p>
                  <w:pPr>
                    <w:pStyle w:val="Compact"/>
                    <w:jc w:val="right"/>
                    <w:jc w:val="center"/>
                  </w:pPr>
                  <w:r>
                    <w:t xml:space="preserve">25</w:t>
                  </w:r>
                </w:p>
              </w:tc>
              <w:tc>
                <w:tcPr/>
                <w:p>
                  <w:pPr>
                    <w:pStyle w:val="Compact"/>
                    <w:jc w:val="right"/>
                    <w:jc w:val="center"/>
                  </w:pPr>
                  <w:r>
                    <w:t xml:space="preserve">34</w:t>
                  </w:r>
                </w:p>
              </w:tc>
            </w:tr>
            <w:tr>
              <w:tc>
                <w:tcPr/>
                <w:p>
                  <w:pPr>
                    <w:pStyle w:val="Compact"/>
                    <w:jc w:val="center"/>
                  </w:pPr>
                  <w:r>
                    <w:t xml:space="preserve">Transportverluste</w:t>
                  </w:r>
                </w:p>
              </w:tc>
              <w:tc>
                <w:tcPr/>
                <w:p>
                  <w:pPr>
                    <w:pStyle w:val="Compact"/>
                    <w:jc w:val="right"/>
                    <w:jc w:val="center"/>
                  </w:pPr>
                  <w:r>
                    <w:t xml:space="preserve">19</w:t>
                  </w:r>
                </w:p>
              </w:tc>
              <w:tc>
                <w:tcPr/>
                <w:p>
                  <w:pPr>
                    <w:pStyle w:val="Compact"/>
                    <w:jc w:val="right"/>
                    <w:jc w:val="center"/>
                  </w:pPr>
                  <w:r>
                    <w:t xml:space="preserve">16</w:t>
                  </w:r>
                </w:p>
              </w:tc>
              <w:tc>
                <w:tcPr/>
                <w:p>
                  <w:pPr>
                    <w:pStyle w:val="Compact"/>
                    <w:jc w:val="right"/>
                    <w:jc w:val="center"/>
                  </w:pPr>
                  <w:r>
                    <w:t xml:space="preserve">14</w:t>
                  </w:r>
                </w:p>
              </w:tc>
              <w:tc>
                <w:tcPr/>
                <w:p>
                  <w:pPr>
                    <w:pStyle w:val="Compact"/>
                    <w:jc w:val="right"/>
                    <w:jc w:val="center"/>
                  </w:pPr>
                  <w:r>
                    <w:t xml:space="preserve">15</w:t>
                  </w:r>
                </w:p>
              </w:tc>
              <w:tc>
                <w:tcPr/>
                <w:p>
                  <w:pPr>
                    <w:pStyle w:val="Compact"/>
                    <w:jc w:val="right"/>
                    <w:jc w:val="center"/>
                  </w:pPr>
                  <w:r>
                    <w:t xml:space="preserve">15</w:t>
                  </w:r>
                </w:p>
              </w:tc>
            </w:tr>
            <w:tr>
              <w:tc>
                <w:tcPr/>
                <w:p>
                  <w:pPr>
                    <w:pStyle w:val="Compact"/>
                    <w:jc w:val="center"/>
                  </w:pPr>
                  <w:r>
                    <w:t xml:space="preserve">Umwandlungseinsatz</w:t>
                  </w:r>
                </w:p>
              </w:tc>
              <w:tc>
                <w:tcPr/>
                <w:p>
                  <w:pPr>
                    <w:pStyle w:val="Compact"/>
                    <w:jc w:val="right"/>
                    <w:jc w:val="center"/>
                  </w:pPr>
                  <w:r>
                    <w:t xml:space="preserve">57</w:t>
                  </w:r>
                </w:p>
              </w:tc>
              <w:tc>
                <w:tcPr/>
                <w:p>
                  <w:pPr>
                    <w:pStyle w:val="Compact"/>
                    <w:jc w:val="right"/>
                    <w:jc w:val="center"/>
                  </w:pPr>
                  <w:r>
                    <w:t xml:space="preserve">3</w:t>
                  </w:r>
                </w:p>
              </w:tc>
              <w:tc>
                <w:tcPr/>
                <w:p>
                  <w:pPr>
                    <w:pStyle w:val="Compact"/>
                    <w:jc w:val="right"/>
                    <w:jc w:val="center"/>
                  </w:pPr>
                  <w:r>
                    <w:t xml:space="preserve">34</w:t>
                  </w:r>
                </w:p>
              </w:tc>
              <w:tc>
                <w:tcPr/>
                <w:p>
                  <w:pPr>
                    <w:pStyle w:val="Compact"/>
                    <w:jc w:val="right"/>
                    <w:jc w:val="center"/>
                  </w:pPr>
                  <w:r>
                    <w:t xml:space="preserve">0</w:t>
                  </w:r>
                </w:p>
              </w:tc>
              <w:tc>
                <w:tcPr/>
                <w:p>
                  <w:pPr>
                    <w:pStyle w:val="Compact"/>
                    <w:jc w:val="right"/>
                    <w:jc w:val="center"/>
                  </w:pPr>
                  <w:r>
                    <w:t xml:space="preserve">36</w:t>
                  </w:r>
                </w:p>
              </w:tc>
            </w:tr>
            <w:tr>
              <w:tc>
                <w:tcPr/>
                <w:p>
                  <w:pPr>
                    <w:pStyle w:val="Compact"/>
                    <w:jc w:val="center"/>
                  </w:pPr>
                  <w:r>
                    <w:t xml:space="preserve">Publizierter Strombedarf gesamt</w:t>
                  </w:r>
                </w:p>
              </w:tc>
              <w:tc>
                <w:tcPr/>
                <w:p>
                  <w:pPr>
                    <w:pStyle w:val="Compact"/>
                    <w:jc w:val="right"/>
                    <w:jc w:val="center"/>
                  </w:pPr>
                  <w:r>
                    <w:t xml:space="preserve">450</w:t>
                  </w:r>
                </w:p>
              </w:tc>
              <w:tc>
                <w:tcPr/>
                <w:p>
                  <w:pPr>
                    <w:pStyle w:val="Compact"/>
                    <w:jc w:val="right"/>
                    <w:jc w:val="center"/>
                  </w:pPr>
                  <w:r>
                    <w:t xml:space="preserve">376</w:t>
                  </w:r>
                </w:p>
              </w:tc>
              <w:tc>
                <w:tcPr/>
                <w:p>
                  <w:pPr>
                    <w:pStyle w:val="Compact"/>
                    <w:jc w:val="right"/>
                    <w:jc w:val="center"/>
                  </w:pPr>
                  <w:r>
                    <w:t xml:space="preserve">394</w:t>
                  </w:r>
                </w:p>
              </w:tc>
              <w:tc>
                <w:tcPr/>
                <w:p>
                  <w:pPr>
                    <w:pStyle w:val="Compact"/>
                    <w:jc w:val="right"/>
                    <w:jc w:val="center"/>
                  </w:pPr>
                  <w:r>
                    <w:t xml:space="preserve">367</w:t>
                  </w:r>
                </w:p>
              </w:tc>
              <w:tc>
                <w:tcPr/>
                <w:p>
                  <w:pPr>
                    <w:pStyle w:val="Compact"/>
                    <w:jc w:val="right"/>
                    <w:jc w:val="center"/>
                  </w:pPr>
                  <w:r>
                    <w:t xml:space="preserve">407</w:t>
                  </w:r>
                </w:p>
              </w:tc>
            </w:tr>
          </w:tbl>
          <w:bookmarkEnd w:id="553"/>
          <w:p/>
        </w:tc>
      </w:tr>
    </w:tbl>
    <w:p>
      <w:pPr>
        <w:pStyle w:val="BodyText"/>
      </w:pPr>
      <w:r>
        <w:t xml:space="preserve">¹ Transition: Geothermie; die Vergleichstabellen verwenden die breitere Kategorie „Umgebungswärme etc.“. Striche bei WEM/WAM 2023 wurden in der übergebenen Normierung als null geführt.</w:t>
      </w:r>
    </w:p>
    <w:tbl>
      <w:tblPr>
        <w:tblStyle w:val="Table"/>
        <w:tblW w:type="pct" w:w="5000"/>
        <w:tblLayout w:type="fixed"/>
        <w:tblLook w:firstRow="0" w:lastRow="0" w:firstColumn="0" w:lastColumn="0" w:noHBand="0" w:noVBand="0" w:val="0000"/>
      </w:tblPr>
      <w:tblGrid>
        <w:gridCol w:w="7920"/>
      </w:tblGrid>
      <w:tr>
        <w:tc>
          <w:tcPr/>
          <w:bookmarkStart w:id="554" w:name="tbl-szenario-bilanzreste"/>
          <w:p>
            <w:pPr>
              <w:jc w:val="center"/>
            </w:pPr>
            <w:pPr>
              <w:jc w:val="left"/>
              <w:spacing w:before="200"/>
              <w:pStyle w:val="ImageCaption"/>
            </w:pPr>
            <w:r>
              <w:t xml:space="preserve">Tabelle L.3: Dokumentierte Rundungs- und Bilanzreste in PJ_el/a, aus denselben publizierten Tabellen berechnet. Keine Verteilung auf Einzelpositionen.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center"/>
                  </w:pPr>
                  <w:r>
                    <w:t xml:space="preserve">Szenario</w:t>
                  </w:r>
                </w:p>
              </w:tc>
              <w:tc>
                <w:tcPr/>
                <w:p>
                  <w:pPr>
                    <w:pStyle w:val="Compact"/>
                    <w:jc w:val="right"/>
                    <w:jc w:val="center"/>
                  </w:pPr>
                  <w:r>
                    <w:t xml:space="preserve">Erzeugung: Komponenten − Gesamt</w:t>
                  </w:r>
                </w:p>
              </w:tc>
              <w:tc>
                <w:tcPr/>
                <w:p>
                  <w:pPr>
                    <w:pStyle w:val="Compact"/>
                    <w:jc w:val="right"/>
                    <w:jc w:val="center"/>
                  </w:pPr>
                  <w:r>
                    <w:t xml:space="preserve">Bedarf: Komponenten − Gesamt</w:t>
                  </w:r>
                </w:p>
              </w:tc>
              <w:tc>
                <w:tcPr/>
                <w:p>
                  <w:pPr>
                    <w:pStyle w:val="Compact"/>
                    <w:jc w:val="right"/>
                    <w:jc w:val="center"/>
                  </w:pPr>
                  <w:r>
                    <w:t xml:space="preserve">Erzeugung + Nettoimport − Bedarf</w:t>
                  </w:r>
                </w:p>
              </w:tc>
            </w:tr>
            <w:tr>
              <w:tc>
                <w:tcPr/>
                <w:p>
                  <w:pPr>
                    <w:pStyle w:val="Compact"/>
                    <w:jc w:val="center"/>
                  </w:pPr>
                  <w:r>
                    <w:t xml:space="preserve">Transition 2040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r>
            <w:tr>
              <w:tc>
                <w:tcPr/>
                <w:p>
                  <w:pPr>
                    <w:pStyle w:val="Compact"/>
                    <w:jc w:val="center"/>
                  </w:pPr>
                  <w:r>
                    <w:t xml:space="preserve">WEM 2025</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center"/>
                  </w:pPr>
                  <w:r>
                    <w:t xml:space="preserve">WAM 2025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center"/>
                  </w:pPr>
                  <w:r>
                    <w:t xml:space="preserve">WEM 2023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center"/>
                  </w:pPr>
                  <w:r>
                    <w:t xml:space="preserve">WAM 2023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554"/>
          <w:p/>
        </w:tc>
      </w:tr>
    </w:tbl>
    <w:p>
      <w:pPr>
        <w:pStyle w:val="SourceCode"/>
      </w:pPr>
      <w:r>
        <w:rPr>
          <w:rStyle w:val="VerbatimChar"/>
        </w:rPr>
        <w:t xml:space="preserve">Die veröffentlichte nationale Elektrizitätsbilanz ist der Ausgangspunkt der sektoralen Stromaufteilung. Dabei sind Stromerzeugung nach Technologie, Strombedarfe nach Sektor sowie Energieumwandlung, Eigenverbrauch, Netzverluste und gegebenenfalls Nettoimporte nachvollziehbar zu trennen. Insbesondere sind die Rückverstromung gespeicherter Energieträger und die zugehörigen Umwandlungsbedarfe konsistent abzubilden; eine Erzeugungsposition darf nicht mit ihrem vorgelagerten Stromeinsatz doppelt als neue Nettoenergie gezählt werden.</w:t>
      </w:r>
      <w:r>
        <w:br/>
      </w:r>
      <w:r>
        <w:br/>
      </w:r>
      <w:r>
        <w:rPr>
          <w:rStyle w:val="VerbatimChar"/>
        </w:rPr>
        <w:t xml:space="preserve">## Endenergie aller Energieträger im Vergleich</w:t>
      </w:r>
    </w:p>
    <w:tbl>
      <w:tblPr>
        <w:tblStyle w:val="Table"/>
        <w:tblW w:type="pct" w:w="5000"/>
        <w:tblLayout w:type="fixed"/>
        <w:tblLook w:firstRow="0" w:lastRow="0" w:firstColumn="0" w:lastColumn="0" w:noHBand="0" w:noVBand="0" w:val="0000"/>
      </w:tblPr>
      <w:tblGrid>
        <w:gridCol w:w="7920"/>
      </w:tblGrid>
      <w:tr>
        <w:tc>
          <w:tcPr/>
          <w:bookmarkStart w:id="555" w:name="tbl-eev-data-only"/>
          <w:p>
            <w:pPr>
              <w:jc w:val="center"/>
            </w:pPr>
            <w:pPr>
              <w:jc w:val="left"/>
              <w:spacing w:before="200"/>
              <w:pStyle w:val="ImageCaption"/>
            </w:pPr>
            <w:r>
              <w:t xml:space="preserve">Tabelle L.4: Separater Sektorausweis, nicht Teil der Stromallokation. Quellen: REP-0880 Tab. A S. 7, REP-0882 Zusammenfassung Tab. B S. 5, REP-0995 Tab. B S. 10.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center"/>
                  </w:pPr>
                  <w:r>
                    <w:t xml:space="preserve">Endenergie 2040 [PJ_end/a]</w:t>
                  </w:r>
                </w:p>
              </w:tc>
              <w:tc>
                <w:tcPr/>
                <w:p>
                  <w:pPr>
                    <w:pStyle w:val="Compact"/>
                    <w:jc w:val="right"/>
                    <w:jc w:val="center"/>
                  </w:pPr>
                  <w:r>
                    <w:t xml:space="preserve">Transition 2040</w:t>
                  </w:r>
                </w:p>
              </w:tc>
              <w:tc>
                <w:tcPr/>
                <w:p>
                  <w:pPr>
                    <w:pStyle w:val="Compact"/>
                    <w:jc w:val="right"/>
                    <w:jc w:val="center"/>
                  </w:pPr>
                  <w:r>
                    <w:t xml:space="preserve">WEM 2025</w:t>
                  </w:r>
                </w:p>
              </w:tc>
              <w:tc>
                <w:tcPr/>
                <w:p>
                  <w:pPr>
                    <w:pStyle w:val="Compact"/>
                    <w:jc w:val="right"/>
                    <w:jc w:val="center"/>
                  </w:pPr>
                  <w:r>
                    <w:t xml:space="preserve">WAM 2025</w:t>
                  </w:r>
                </w:p>
              </w:tc>
              <w:tc>
                <w:tcPr/>
                <w:p>
                  <w:pPr>
                    <w:pStyle w:val="Compact"/>
                    <w:jc w:val="right"/>
                    <w:jc w:val="center"/>
                  </w:pPr>
                  <w:r>
                    <w:t xml:space="preserve">WEM 2023</w:t>
                  </w:r>
                </w:p>
              </w:tc>
              <w:tc>
                <w:tcPr/>
                <w:p>
                  <w:pPr>
                    <w:pStyle w:val="Compact"/>
                    <w:jc w:val="right"/>
                    <w:jc w:val="center"/>
                  </w:pPr>
                  <w:r>
                    <w:t xml:space="preserve">WAM 2023</w:t>
                  </w:r>
                </w:p>
              </w:tc>
            </w:tr>
            <w:tr>
              <w:tc>
                <w:tcPr/>
                <w:p>
                  <w:pPr>
                    <w:pStyle w:val="Compact"/>
                    <w:jc w:val="center"/>
                  </w:pPr>
                  <w:r>
                    <w:t xml:space="preserve">Verkehr</w:t>
                  </w:r>
                </w:p>
              </w:tc>
              <w:tc>
                <w:tcPr/>
                <w:p>
                  <w:pPr>
                    <w:pStyle w:val="Compact"/>
                    <w:jc w:val="right"/>
                    <w:jc w:val="center"/>
                  </w:pPr>
                  <w:r>
                    <w:t xml:space="preserve">151</w:t>
                  </w:r>
                </w:p>
              </w:tc>
              <w:tc>
                <w:tcPr/>
                <w:p>
                  <w:pPr>
                    <w:pStyle w:val="Compact"/>
                    <w:jc w:val="right"/>
                    <w:jc w:val="center"/>
                  </w:pPr>
                  <w:r>
                    <w:t xml:space="preserve">279</w:t>
                  </w:r>
                </w:p>
              </w:tc>
              <w:tc>
                <w:tcPr/>
                <w:p>
                  <w:pPr>
                    <w:pStyle w:val="Compact"/>
                    <w:jc w:val="right"/>
                    <w:jc w:val="center"/>
                  </w:pPr>
                  <w:r>
                    <w:t xml:space="preserve">268</w:t>
                  </w:r>
                </w:p>
              </w:tc>
              <w:tc>
                <w:tcPr/>
                <w:p>
                  <w:pPr>
                    <w:pStyle w:val="Compact"/>
                    <w:jc w:val="right"/>
                    <w:jc w:val="center"/>
                  </w:pPr>
                  <w:r>
                    <w:t xml:space="preserve">325</w:t>
                  </w:r>
                </w:p>
              </w:tc>
              <w:tc>
                <w:tcPr/>
                <w:p>
                  <w:pPr>
                    <w:pStyle w:val="Compact"/>
                    <w:jc w:val="right"/>
                    <w:jc w:val="center"/>
                  </w:pPr>
                  <w:r>
                    <w:t xml:space="preserve">295</w:t>
                  </w:r>
                </w:p>
              </w:tc>
            </w:tr>
            <w:tr>
              <w:tc>
                <w:tcPr/>
                <w:p>
                  <w:pPr>
                    <w:pStyle w:val="Compact"/>
                    <w:jc w:val="center"/>
                  </w:pPr>
                  <w:r>
                    <w:t xml:space="preserve">Industrie</w:t>
                  </w:r>
                </w:p>
              </w:tc>
              <w:tc>
                <w:tcPr/>
                <w:p>
                  <w:pPr>
                    <w:pStyle w:val="Compact"/>
                    <w:jc w:val="right"/>
                    <w:jc w:val="center"/>
                  </w:pPr>
                  <w:r>
                    <w:t xml:space="preserve">260</w:t>
                  </w:r>
                </w:p>
              </w:tc>
              <w:tc>
                <w:tcPr/>
                <w:p>
                  <w:pPr>
                    <w:pStyle w:val="Compact"/>
                    <w:jc w:val="right"/>
                    <w:jc w:val="center"/>
                  </w:pPr>
                  <w:r>
                    <w:t xml:space="preserve">347</w:t>
                  </w:r>
                </w:p>
              </w:tc>
              <w:tc>
                <w:tcPr/>
                <w:p>
                  <w:pPr>
                    <w:pStyle w:val="Compact"/>
                    <w:jc w:val="right"/>
                    <w:jc w:val="center"/>
                  </w:pPr>
                  <w:r>
                    <w:t xml:space="preserve">320</w:t>
                  </w:r>
                </w:p>
              </w:tc>
              <w:tc>
                <w:tcPr/>
                <w:p>
                  <w:pPr>
                    <w:pStyle w:val="Compact"/>
                    <w:jc w:val="right"/>
                    <w:jc w:val="center"/>
                  </w:pPr>
                  <w:r>
                    <w:t xml:space="preserve">348</w:t>
                  </w:r>
                </w:p>
              </w:tc>
              <w:tc>
                <w:tcPr/>
                <w:p>
                  <w:pPr>
                    <w:pStyle w:val="Compact"/>
                    <w:jc w:val="right"/>
                    <w:jc w:val="center"/>
                  </w:pPr>
                  <w:r>
                    <w:t xml:space="preserve">329</w:t>
                  </w:r>
                </w:p>
              </w:tc>
            </w:tr>
            <w:tr>
              <w:tc>
                <w:tcPr/>
                <w:p>
                  <w:pPr>
                    <w:pStyle w:val="Compact"/>
                    <w:jc w:val="center"/>
                  </w:pPr>
                  <w:r>
                    <w:t xml:space="preserve">Gebäude</w:t>
                  </w:r>
                </w:p>
              </w:tc>
              <w:tc>
                <w:tcPr/>
                <w:p>
                  <w:pPr>
                    <w:pStyle w:val="Compact"/>
                    <w:jc w:val="right"/>
                    <w:jc w:val="center"/>
                  </w:pPr>
                  <w:r>
                    <w:t xml:space="preserve">300</w:t>
                  </w:r>
                </w:p>
              </w:tc>
              <w:tc>
                <w:tcPr/>
                <w:p>
                  <w:pPr>
                    <w:pStyle w:val="Compact"/>
                    <w:jc w:val="right"/>
                    <w:jc w:val="center"/>
                  </w:pPr>
                  <w:r>
                    <w:t xml:space="preserve">364</w:t>
                  </w:r>
                </w:p>
              </w:tc>
              <w:tc>
                <w:tcPr/>
                <w:p>
                  <w:pPr>
                    <w:pStyle w:val="Compact"/>
                    <w:jc w:val="right"/>
                    <w:jc w:val="center"/>
                  </w:pPr>
                  <w:r>
                    <w:t xml:space="preserve">348</w:t>
                  </w:r>
                </w:p>
              </w:tc>
              <w:tc>
                <w:tcPr/>
                <w:p>
                  <w:pPr>
                    <w:pStyle w:val="Compact"/>
                    <w:jc w:val="right"/>
                    <w:jc w:val="center"/>
                  </w:pPr>
                  <w:r>
                    <w:t xml:space="preserve">393</w:t>
                  </w:r>
                </w:p>
              </w:tc>
              <w:tc>
                <w:tcPr/>
                <w:p>
                  <w:pPr>
                    <w:pStyle w:val="Compact"/>
                    <w:jc w:val="right"/>
                    <w:jc w:val="center"/>
                  </w:pPr>
                  <w:r>
                    <w:t xml:space="preserve">347</w:t>
                  </w:r>
                </w:p>
              </w:tc>
            </w:tr>
            <w:tr>
              <w:tc>
                <w:tcPr/>
                <w:p>
                  <w:pPr>
                    <w:pStyle w:val="Compact"/>
                    <w:jc w:val="center"/>
                  </w:pPr>
                  <w:r>
                    <w:t xml:space="preserve">Landwirtschaft</w:t>
                  </w:r>
                </w:p>
              </w:tc>
              <w:tc>
                <w:tcPr/>
                <w:p>
                  <w:pPr>
                    <w:pStyle w:val="Compact"/>
                    <w:jc w:val="right"/>
                    <w:jc w:val="center"/>
                  </w:pPr>
                  <w:r>
                    <w:t xml:space="preserve">11</w:t>
                  </w:r>
                </w:p>
              </w:tc>
              <w:tc>
                <w:tcPr/>
                <w:p>
                  <w:pPr>
                    <w:pStyle w:val="Compact"/>
                    <w:jc w:val="right"/>
                    <w:jc w:val="center"/>
                  </w:pPr>
                  <w:r>
                    <w:t xml:space="preserve">12</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12</w:t>
                  </w:r>
                </w:p>
              </w:tc>
            </w:tr>
            <w:tr>
              <w:tc>
                <w:tcPr/>
                <w:p>
                  <w:pPr>
                    <w:pStyle w:val="Compact"/>
                    <w:jc w:val="center"/>
                  </w:pPr>
                  <w:r>
                    <w:t xml:space="preserve">Publizierte Endenergie gesamt</w:t>
                  </w:r>
                </w:p>
              </w:tc>
              <w:tc>
                <w:tcPr/>
                <w:p>
                  <w:pPr>
                    <w:pStyle w:val="Compact"/>
                    <w:jc w:val="right"/>
                    <w:jc w:val="center"/>
                  </w:pPr>
                  <w:r>
                    <w:t xml:space="preserve">722</w:t>
                  </w:r>
                </w:p>
              </w:tc>
              <w:tc>
                <w:tcPr/>
                <w:p>
                  <w:pPr>
                    <w:pStyle w:val="Compact"/>
                    <w:jc w:val="right"/>
                    <w:jc w:val="center"/>
                  </w:pPr>
                  <w:r>
                    <w:t xml:space="preserve">1003</w:t>
                  </w:r>
                </w:p>
              </w:tc>
              <w:tc>
                <w:tcPr/>
                <w:p>
                  <w:pPr>
                    <w:pStyle w:val="Compact"/>
                    <w:jc w:val="right"/>
                    <w:jc w:val="center"/>
                  </w:pPr>
                  <w:r>
                    <w:t xml:space="preserve">948</w:t>
                  </w:r>
                </w:p>
              </w:tc>
              <w:tc>
                <w:tcPr/>
                <w:p>
                  <w:pPr>
                    <w:pStyle w:val="Compact"/>
                    <w:jc w:val="right"/>
                    <w:jc w:val="center"/>
                  </w:pPr>
                  <w:r>
                    <w:t xml:space="preserve">1079</w:t>
                  </w:r>
                </w:p>
              </w:tc>
              <w:tc>
                <w:tcPr/>
                <w:p>
                  <w:pPr>
                    <w:pStyle w:val="Compact"/>
                    <w:jc w:val="right"/>
                    <w:jc w:val="center"/>
                  </w:pPr>
                  <w:r>
                    <w:t xml:space="preserve">984</w:t>
                  </w:r>
                </w:p>
              </w:tc>
            </w:tr>
          </w:tbl>
          <w:bookmarkEnd w:id="555"/>
          <w:p/>
        </w:tc>
      </w:tr>
    </w:tbl>
    <w:p>
      <w:pPr>
        <w:pStyle w:val="SourceCode"/>
      </w:pPr>
      <w:r>
        <w:rPr>
          <w:rStyle w:val="VerbatimChar"/>
        </w:rPr>
        <w:t xml:space="preserve">Der Endenergievergleich umfasst sämtliche Energieträger und darf nicht mit dem Strombedarf gleichgesetzt werden [@uba2023transition, Tab. A; @uba2023zusammenfassung, Tab. B; @uba2025szenarien, Tab. B]. Die veröffentlichten Gesamtsummen bleiben neben den Summen gerundeter Einzelpositionen erhalten. Bilanzreste werden nicht stillschweigend auf Sektoren umgelegt. Für WEM/WAM 2025 folgt die vorhandene Normierung Tabelle E (S. 12) in REP-0995; deren Abweichungen gegenüber Tabelle 19 desselben Berichts sind separat dokumentiert. Für Transition ist REP-0880, Tabelle 16, maßgeblich [@uba2025szenarien; @uba2023transition].</w:t>
      </w:r>
      <w:r>
        <w:br/>
      </w:r>
      <w:r>
        <w:br/>
      </w:r>
      <w:r>
        <w:rPr>
          <w:rStyle w:val="VerbatimChar"/>
        </w:rPr>
        <w:t xml:space="preserve">## Entwicklung vom Ausgangsjahr 2020 bis 2040</w:t>
      </w:r>
      <w:r>
        <w:br/>
      </w:r>
      <w:r>
        <w:br/>
      </w:r>
      <w:r>
        <w:rPr>
          <w:rStyle w:val="VerbatimChar"/>
        </w:rPr>
        <w:t xml:space="preserve">Das Ausgangsjahr der Transition-Bilanz ist **2020** und nicht das Erscheinungsjahr dieses Berichts. Von 2020 bis 2040 steigt die veröffentlichte jährliche Stromerzeugung von 249 auf 457 PJ und der Strombedarf von 257 auf 450 PJ. Zugleich sinkt der gesamte energetische Endverbrauch von 1.053 auf 722 PJ. Dies zeigt die zunehmende Elektrifizierung bei sinkendem Endenergieverbrauch über sämtliche Träger [@uba2023transition, Tab. A, 15 und 16].</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Stromerzeugung und Strombedarf</w:t>
      </w:r>
      <w:r>
        <w:br/>
      </w:r>
      <w:r>
        <w:rPr>
          <w:rStyle w:val="VerbatimChar"/>
        </w:rPr>
        <w:t xml:space="preserve">~~~~</w:t>
      </w:r>
    </w:p>
    <w:p>
      <w:pPr>
        <w:numPr>
          <w:ilvl w:val="0"/>
          <w:numId w:val="1011"/>
        </w:numPr>
      </w:pPr>
      <w:r>
        <w:rPr>
          <w:b/>
          <w:bCs/>
        </w:rPr>
        <w:t xml:space="preserve">Kapitel/03-zielszenario.qmd, Ausgangszeile 33: Umformulierung / Umgliederung.</w:t>
      </w:r>
    </w:p>
    <w:p>
      <w:pPr>
        <w:numPr>
          <w:ilvl w:val="0"/>
          <w:numId w:val="1000"/>
        </w:numPr>
      </w:pPr>
      <w:r>
        <w:t xml:space="preserve">Bisher:</w:t>
      </w:r>
    </w:p>
    <w:p>
      <w:pPr>
        <w:pStyle w:val="SourceCode"/>
        <w:numPr>
          <w:ilvl w:val="0"/>
          <w:numId w:val="1000"/>
        </w:numPr>
      </w:pPr>
      <w:r>
        <w:rPr>
          <w:rStyle w:val="VerbatimChar"/>
        </w:rPr>
        <w:t xml:space="preserve">&lt;iframe src="../Abbildungen/transition_sankey.html" title="UBA Transition 2040: Stromausbau, Strombedarf und Endenergieminderung" style="width:100%;height:1760px;border:0" loading="lazy"&gt;&lt;/iframe&gt;</w:t>
      </w:r>
    </w:p>
    <w:p>
      <w:pPr>
        <w:numPr>
          <w:ilvl w:val="0"/>
          <w:numId w:val="1000"/>
        </w:numPr>
      </w:pPr>
      <w:r>
        <w:t xml:space="preserve">Jetzt:</w:t>
      </w:r>
    </w:p>
    <w:p>
      <w:pPr>
        <w:pStyle w:val="SourceCode"/>
        <w:numPr>
          <w:ilvl w:val="0"/>
          <w:numId w:val="1000"/>
        </w:numPr>
      </w:pPr>
      <w:r>
        <w:rPr>
          <w:rStyle w:val="VerbatimChar"/>
        </w:rPr>
        <w:t xml:space="preserve">&lt;iframe src="../Abbildungen/methodik/stromerzeugung.html" title="Stromerzeugung nach Energieträgern" style="width:100%;height:620px;border:0" loading="lazy"&gt;&lt;/iframe&gt;</w:t>
      </w:r>
    </w:p>
    <w:p>
      <w:pPr>
        <w:numPr>
          <w:ilvl w:val="0"/>
          <w:numId w:val="1011"/>
        </w:numPr>
      </w:pPr>
      <w:r>
        <w:rPr>
          <w:b/>
          <w:bCs/>
        </w:rPr>
        <w:t xml:space="preserve">Kapitel/03-zielszenario.qmd, Ausgangszeile 35: Ergänzung.</w:t>
      </w:r>
    </w:p>
    <w:p>
      <w:pPr>
        <w:numPr>
          <w:ilvl w:val="0"/>
          <w:numId w:val="1000"/>
        </w:numPr>
      </w:pPr>
      <w:r>
        <w:t xml:space="preserve">Jetzt:</w:t>
      </w:r>
    </w:p>
    <w:p>
      <w:pPr>
        <w:pStyle w:val="SourceCode"/>
        <w:numPr>
          <w:ilvl w:val="0"/>
          <w:numId w:val="1000"/>
        </w:numPr>
      </w:pPr>
      <w:r>
        <w:rPr>
          <w:rStyle w:val="VerbatimChar"/>
        </w:rPr>
        <w:t xml:space="preserve">[Grafik separat öffnen](../Abbildungen/methodik/stromerzeugung.html)</w:t>
      </w:r>
      <w:r>
        <w:br/>
      </w:r>
      <w:r>
        <w:rPr>
          <w:rStyle w:val="VerbatimChar"/>
        </w:rPr>
        <w:t xml:space="preserve">:::</w:t>
      </w:r>
    </w:p>
    <w:p>
      <w:pPr>
        <w:numPr>
          <w:ilvl w:val="0"/>
          <w:numId w:val="1011"/>
        </w:numPr>
      </w:pPr>
      <w:r>
        <w:rPr>
          <w:b/>
          <w:bCs/>
        </w:rPr>
        <w:t xml:space="preserve">Kapitel/03-zielszenario.qmd, Ausgangszeile 36: Umformulierung / Umgliederung.</w:t>
      </w:r>
    </w:p>
    <w:p>
      <w:pPr>
        <w:numPr>
          <w:ilvl w:val="0"/>
          <w:numId w:val="1000"/>
        </w:numPr>
      </w:pPr>
      <w:r>
        <w:t xml:space="preserve">Bisher:</w:t>
      </w:r>
    </w:p>
    <w:p>
      <w:pPr>
        <w:pStyle w:val="SourceCode"/>
        <w:numPr>
          <w:ilvl w:val="0"/>
          <w:numId w:val="1000"/>
        </w:numPr>
      </w:pPr>
      <w:r>
        <w:rPr>
          <w:rStyle w:val="VerbatimChar"/>
        </w:rPr>
        <w:t xml:space="preserve">[Interaktive Grafik in voller Breite öffnen](../Abbildungen/transition_sankey.html)</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src="../Abbildungen/methodik/strombedarf.html" title="Strombedarf nach Sektoren" style="width:100%;height:620px;border:0" loading="lazy"&gt;&lt;/iframe&gt;</w:t>
      </w:r>
      <w:r>
        <w:br/>
      </w:r>
      <w:r>
        <w:rPr>
          <w:rStyle w:val="VerbatimChar"/>
        </w:rPr>
        <w:t xml:space="preserve">```</w:t>
      </w:r>
      <w:r>
        <w:br/>
      </w:r>
      <w:r>
        <w:rPr>
          <w:rStyle w:val="VerbatimChar"/>
        </w:rPr>
        <w:t xml:space="preserve">[Grafik separat öffnen](../Abbildungen/methodik/strombedarf.html)</w:t>
      </w:r>
      <w:r>
        <w:br/>
      </w:r>
      <w:r>
        <w:rPr>
          <w:rStyle w:val="VerbatimChar"/>
        </w:rPr>
        <w:t xml:space="preserve">:::</w:t>
      </w:r>
      <w:r>
        <w:br/>
      </w:r>
      <w:r>
        <w:br/>
      </w:r>
      <w:r>
        <w:rPr>
          <w:rStyle w:val="VerbatimChar"/>
        </w:rPr>
        <w:t xml:space="preserve">Die gestapelten Säulen zeigen die veröffentlichten Komponenten. Rauten markieren die publizierten Gesamtsummen; Nettoimporte beziehungsweise Exporte sind bei der Erzeugung gesondert dargestellt. Für Transition gelten REP-0880, Tabellen 15 und 16; die Vergleichsdaten stammen aus REP-0882 und REP-0995 [@uba2023transition; @uba2023zusammenfassung; @uba2025szenarien].</w:t>
      </w:r>
      <w:r>
        <w:br/>
      </w:r>
      <w:r>
        <w:br/>
      </w:r>
      <w:r>
        <w:rPr>
          <w:rStyle w:val="VerbatimChar"/>
        </w:rPr>
        <w:t xml:space="preserve">## Bilanzreste und Datengrundlage</w:t>
      </w:r>
      <w:r>
        <w:br/>
      </w:r>
      <w:r>
        <w:br/>
      </w:r>
      <w:r>
        <w:rPr>
          <w:rStyle w:val="VerbatimChar"/>
        </w:rPr>
        <w:t xml:space="preserve">::: {.content-visible when-format="html"}</w:t>
      </w:r>
      <w:r>
        <w:br/>
      </w:r>
      <w:r>
        <w:rPr>
          <w:rStyle w:val="VerbatimChar"/>
        </w:rPr>
        <w:t xml:space="preserve">```{=html}</w:t>
      </w:r>
      <w:r>
        <w:br/>
      </w:r>
      <w:r>
        <w:rPr>
          <w:rStyle w:val="VerbatimChar"/>
        </w:rPr>
        <w:t xml:space="preserve">&lt;iframe src="../Abbildungen/methodik/bilanzreste.html" title="Komponenten, publizierte Summen und Bilanzreste" style="width:100%;height:850px;border:0" loading="lazy"&gt;&lt;/iframe&gt;</w:t>
      </w:r>
      <w:r>
        <w:br/>
      </w:r>
      <w:r>
        <w:rPr>
          <w:rStyle w:val="VerbatimChar"/>
        </w:rPr>
        <w:t xml:space="preserve">```</w:t>
      </w:r>
      <w:r>
        <w:br/>
      </w:r>
      <w:r>
        <w:rPr>
          <w:rStyle w:val="VerbatimChar"/>
        </w:rPr>
        <w:t xml:space="preserve">[Grafik separat öffnen](../Abbildungen/methodik/bilanzreste.html)</w:t>
      </w:r>
      <w:r>
        <w:br/>
      </w:r>
      <w:r>
        <w:rPr>
          <w:rStyle w:val="VerbatimChar"/>
        </w:rPr>
        <w:t xml:space="preserve">:::</w:t>
      </w:r>
      <w:r>
        <w:br/>
      </w:r>
      <w:r>
        <w:br/>
      </w:r>
      <w:r>
        <w:rPr>
          <w:rStyle w:val="VerbatimChar"/>
        </w:rPr>
        <w:t xml:space="preserve">Die gerundeten Bedarfskomponenten von Transition ergeben 452 PJ/a gegenüber einer publizierten Summe von 450 PJ/a. Die Komponentenbilanz einschließlich Nettoexport weist damit −2 PJ/a aus. Diese Differenz bleibt erhalten. Die vollständigen Tabellen zu Erzeugung, Bedarf, Resten und Endenergie stehen in @sec-szenariotabellen; ihre Quellen- und Tabellenverweise bleiben dort nachvollziehbar.</w:t>
      </w:r>
      <w:r>
        <w:br/>
      </w:r>
      <w:r>
        <w:br/>
      </w:r>
      <w:r>
        <w:rPr>
          <w:rStyle w:val="VerbatimChar"/>
        </w:rPr>
        <w:t xml:space="preserve">## Entwicklung von 2020 bis 2040</w:t>
      </w:r>
      <w:r>
        <w:br/>
      </w:r>
      <w:r>
        <w:br/>
      </w:r>
      <w:r>
        <w:rPr>
          <w:rStyle w:val="VerbatimChar"/>
        </w:rPr>
        <w:t xml:space="preserve">Die jährliche Stromerzeugung steigt von 249 auf 457 PJ, der veröffentlichte Strombedarf von 257 auf 450 PJ. Der gesamte energetische Endverbrauch sinkt von 1.053 auf 722 PJ. Transition verbindet damit Elektrifizierung und eine Minderung des Endenergieverbrauchs [@uba2023transition, Tab. A, 15 und 16].</w:t>
      </w:r>
      <w:r>
        <w:br/>
      </w:r>
      <w:r>
        <w:br/>
      </w:r>
      <w:r>
        <w:rPr>
          <w:rStyle w:val="VerbatimChar"/>
        </w:rPr>
        <w:t xml:space="preserve">::: {.content-visible when-format="html"}</w:t>
      </w:r>
      <w:r>
        <w:br/>
      </w:r>
      <w:r>
        <w:rPr>
          <w:rStyle w:val="VerbatimChar"/>
        </w:rPr>
        <w:t xml:space="preserve">```{=html}</w:t>
      </w:r>
      <w:r>
        <w:br/>
      </w:r>
      <w:r>
        <w:rPr>
          <w:rStyle w:val="VerbatimChar"/>
        </w:rPr>
        <w:t xml:space="preserve">&lt;iframe src="../Abbildungen/transition_sankey.html" title="Transition 2040: Ausbau und Bedarfsentwicklung gegenüber 2020" style="width:100%;height:1760px;border:0" loading="lazy"&gt;&lt;/iframe&gt;</w:t>
      </w:r>
      <w:r>
        <w:br/>
      </w:r>
      <w:r>
        <w:rPr>
          <w:rStyle w:val="VerbatimChar"/>
        </w:rPr>
        <w:t xml:space="preserve">```</w:t>
      </w:r>
      <w:r>
        <w:br/>
      </w:r>
      <w:r>
        <w:rPr>
          <w:rStyle w:val="VerbatimChar"/>
        </w:rPr>
        <w:t xml:space="preserve">[Interaktive Grafik separat öffnen](../Abbildungen/transition_sankey.html)</w:t>
      </w:r>
    </w:p>
    <w:p>
      <w:pPr>
        <w:numPr>
          <w:ilvl w:val="0"/>
          <w:numId w:val="1011"/>
        </w:numPr>
      </w:pPr>
      <w:r>
        <w:rPr>
          <w:b/>
          <w:bCs/>
        </w:rPr>
        <w:t xml:space="preserve">Kapitel/03-zielszenario.qmd, Ausgangszeile 40: Umformulierung / Umgliederung.</w:t>
      </w:r>
    </w:p>
    <w:p>
      <w:pPr>
        <w:numPr>
          <w:ilvl w:val="0"/>
          <w:numId w:val="1000"/>
        </w:numPr>
      </w:pPr>
      <w:r>
        <w:t xml:space="preserve">Bisher:</w:t>
      </w:r>
    </w:p>
    <w:p>
      <w:pPr>
        <w:pStyle w:val="SourceCode"/>
        <w:numPr>
          <w:ilvl w:val="0"/>
          <w:numId w:val="1000"/>
        </w:numPr>
      </w:pPr>
      <w:r>
        <w:rPr>
          <w:rStyle w:val="VerbatimChar"/>
        </w:rPr>
        <w:t xml:space="preserve">![Stromausbau und Strombedarf sowie getrennt dargestellte Endenergieminderung: Transition 2040 gegenüber 2020.](../Abbildungen/transition_sankey.png){#fig-transition-sankey}</w:t>
      </w:r>
    </w:p>
    <w:p>
      <w:pPr>
        <w:numPr>
          <w:ilvl w:val="0"/>
          <w:numId w:val="1000"/>
        </w:numPr>
      </w:pPr>
      <w:r>
        <w:t xml:space="preserve">Jetzt:</w:t>
      </w:r>
    </w:p>
    <w:p>
      <w:pPr>
        <w:pStyle w:val="SourceCode"/>
        <w:numPr>
          <w:ilvl w:val="0"/>
          <w:numId w:val="1000"/>
        </w:numPr>
      </w:pPr>
      <w:r>
        <w:rPr>
          <w:rStyle w:val="VerbatimChar"/>
        </w:rPr>
        <w:t xml:space="preserve">![Stromausbau, Strombedarf und Endenergieminderung gegenüber 2020.](../Abbildungen/transition_sankey.png){#fig-transition-sankey}</w:t>
      </w:r>
    </w:p>
    <w:p>
      <w:pPr>
        <w:numPr>
          <w:ilvl w:val="0"/>
          <w:numId w:val="1011"/>
        </w:numPr>
      </w:pPr>
      <w:r>
        <w:rPr>
          <w:b/>
          <w:bCs/>
        </w:rPr>
        <w:t xml:space="preserve">Kapitel/03-zielszenario.qmd, Ausgangszeile 43: Umformulierung / Umgliederung.</w:t>
      </w:r>
    </w:p>
    <w:p>
      <w:pPr>
        <w:numPr>
          <w:ilvl w:val="0"/>
          <w:numId w:val="1000"/>
        </w:numPr>
      </w:pPr>
      <w:r>
        <w:t xml:space="preserve">Bisher:</w:t>
      </w:r>
    </w:p>
    <w:p>
      <w:pPr>
        <w:pStyle w:val="SourceCode"/>
        <w:numPr>
          <w:ilvl w:val="0"/>
          <w:numId w:val="1000"/>
        </w:numPr>
      </w:pPr>
      <w:r>
        <w:rPr>
          <w:rStyle w:val="VerbatimChar"/>
        </w:rPr>
        <w:t xml:space="preserve">Die Grafik stellt Jahresenergiemengen, keine installierten Leistungen und keine virtuellen Primärenergie-Gutschriften dar. Die Minderung des Endenergieverbrauchs beträgt nach veröffentlichten Gesamtsummen 331 PJ, nach gerundeten Sektorkomponenten 330 PJ. Beim Ziel-Strombedarf stehen 450 PJ Gesamtsumme einer Komponentensumme von 452 PJ gegenüber; diese Abweichungen werden ausgewiesen, nicht korrigierend verteilt. Zentral/dezentral sowie MIV/ÖPNV/übriger Verkehr sind **nachgelagerte, dokumentationspflichtige Modellaufteilungen** und keine unmittelbar veröffentlichten UBA-Kategorien.</w:t>
      </w:r>
    </w:p>
    <w:p>
      <w:pPr>
        <w:numPr>
          <w:ilvl w:val="0"/>
          <w:numId w:val="1000"/>
        </w:numPr>
      </w:pPr>
      <w:r>
        <w:t xml:space="preserve">Jetzt:</w:t>
      </w:r>
    </w:p>
    <w:p>
      <w:pPr>
        <w:pStyle w:val="SourceCode"/>
        <w:numPr>
          <w:ilvl w:val="0"/>
          <w:numId w:val="1000"/>
        </w:numPr>
      </w:pPr>
      <w:r>
        <w:rPr>
          <w:rStyle w:val="VerbatimChar"/>
        </w:rPr>
        <w:t xml:space="preserve">Die Minderung der Endenergie beträgt nach Gesamtsummen 331 PJ/a und nach gerundeten Sektorkomponenten 330 PJ/a. Für WEM/WAM 2025 folgt die Normierung Tabelle E in REP-0995; Abweichungen zu Tabelle 19 desselben Berichts sind im Datenanhang dokumentiert.</w:t>
      </w:r>
    </w:p>
    <w:p>
      <w:pPr>
        <w:numPr>
          <w:ilvl w:val="0"/>
          <w:numId w:val="1011"/>
        </w:numPr>
      </w:pPr>
      <w:r>
        <w:rPr>
          <w:b/>
          <w:bCs/>
        </w:rPr>
        <w:t xml:space="preserve">Kapitel/03-zielszenario.qmd, Ausgangszeile 45: Umformulierung / Umgliederung.</w:t>
      </w:r>
    </w:p>
    <w:p>
      <w:pPr>
        <w:numPr>
          <w:ilvl w:val="0"/>
          <w:numId w:val="1000"/>
        </w:numPr>
      </w:pPr>
      <w:r>
        <w:t xml:space="preserve">Bisher:</w:t>
      </w:r>
    </w:p>
    <w:p>
      <w:pPr>
        <w:pStyle w:val="SourceCode"/>
        <w:numPr>
          <w:ilvl w:val="0"/>
          <w:numId w:val="1000"/>
        </w:numPr>
      </w:pPr>
      <w:r>
        <w:rPr>
          <w:rStyle w:val="VerbatimChar"/>
        </w:rPr>
        <w:t xml:space="preserve">## Schnittstelle zur sektoralen Allokation</w:t>
      </w:r>
    </w:p>
    <w:p>
      <w:pPr>
        <w:numPr>
          <w:ilvl w:val="0"/>
          <w:numId w:val="1000"/>
        </w:numPr>
      </w:pPr>
      <w:r>
        <w:t xml:space="preserve">Jetzt:</w:t>
      </w:r>
    </w:p>
    <w:p>
      <w:pPr>
        <w:pStyle w:val="SourceCode"/>
        <w:numPr>
          <w:ilvl w:val="0"/>
          <w:numId w:val="1000"/>
        </w:numPr>
      </w:pPr>
      <w:r>
        <w:rPr>
          <w:rStyle w:val="VerbatimChar"/>
        </w:rPr>
        <w:t xml:space="preserve">## Übergang zur Allokation</w:t>
      </w:r>
    </w:p>
    <w:p>
      <w:pPr>
        <w:numPr>
          <w:ilvl w:val="0"/>
          <w:numId w:val="1011"/>
        </w:numPr>
      </w:pPr>
      <w:r>
        <w:rPr>
          <w:b/>
          <w:bCs/>
        </w:rPr>
        <w:t xml:space="preserve">Kapitel/03-zielszenario.qmd, Ausgangszeile 47: Umformulierung / Umgliederung.</w:t>
      </w:r>
    </w:p>
    <w:p>
      <w:pPr>
        <w:numPr>
          <w:ilvl w:val="0"/>
          <w:numId w:val="1000"/>
        </w:numPr>
      </w:pPr>
      <w:r>
        <w:t xml:space="preserve">Bisher:</w:t>
      </w:r>
    </w:p>
    <w:p>
      <w:pPr>
        <w:pStyle w:val="SourceCode"/>
        <w:numPr>
          <w:ilvl w:val="0"/>
          <w:numId w:val="1000"/>
        </w:numPr>
      </w:pPr>
      <w:r>
        <w:rPr>
          <w:rStyle w:val="VerbatimChar"/>
        </w:rPr>
        <w:t xml:space="preserve">Die Übertragung in @sec-allokation benötigt eine eindeutige, versionierte Strombilanz mit der Aufteilung nach Technologien und Sektoren. Besonders offen sind die Zuordnung von PV-Erzeugung zu Gebäuden beziehungsweise anderen Flächen und die Abgrenzung des Verkehrssektors in MIV, ÖPNV und weitere Verkehrsleistungen. Die Quelldaten sind dabei unveränderlich; solche Aufteilungen werden als gesonderte Modellparameter geführt.</w:t>
      </w:r>
    </w:p>
    <w:p>
      <w:pPr>
        <w:numPr>
          <w:ilvl w:val="0"/>
          <w:numId w:val="1000"/>
        </w:numPr>
      </w:pPr>
      <w:r>
        <w:t xml:space="preserve">Jetzt:</w:t>
      </w:r>
    </w:p>
    <w:p>
      <w:pPr>
        <w:pStyle w:val="SourceCode"/>
        <w:numPr>
          <w:ilvl w:val="0"/>
          <w:numId w:val="1000"/>
        </w:numPr>
      </w:pPr>
      <w:r>
        <w:rPr>
          <w:rStyle w:val="VerbatimChar"/>
        </w:rPr>
        <w:t xml:space="preserve">Die UBA-Tabellen enthalten weder die für PEQ benötigte Aufteilung der PV auf Gebäude und Freiflächen noch jene des Verkehrs auf MIV und ÖPNV. Diese Aufteilungen sind explizite Parameter der Allokation in @sec-allokation. Die Quelldaten bleiben davon unverändert.</w:t>
      </w:r>
    </w:p>
    <w:p>
      <w:pPr>
        <w:numPr>
          <w:ilvl w:val="0"/>
          <w:numId w:val="1011"/>
        </w:numPr>
      </w:pPr>
      <w:r>
        <w:rPr>
          <w:b/>
          <w:bCs/>
        </w:rPr>
        <w:t xml:space="preserve">Kapitel/03-zielszenario.qmd, Ausgangszeile 49: Umformulierung / Umgliederung.</w:t>
      </w:r>
    </w:p>
    <w:p>
      <w:pPr>
        <w:numPr>
          <w:ilvl w:val="0"/>
          <w:numId w:val="1000"/>
        </w:numPr>
      </w:pPr>
      <w:r>
        <w:t xml:space="preserve">Bisher:</w:t>
      </w:r>
    </w:p>
    <w:p>
      <w:pPr>
        <w:pStyle w:val="SourceCode"/>
        <w:numPr>
          <w:ilvl w:val="0"/>
          <w:numId w:val="1000"/>
        </w:numPr>
      </w:pPr>
      <w:r>
        <w:rPr>
          <w:rStyle w:val="VerbatimChar"/>
        </w:rPr>
        <w:t xml:space="preserve">Das vorhandene Notebook `Redaktion/transitionsszenarien/Berechnungen/Transition_2040.ipynb` dient als Daten- und Rechengrundlage. Seine Varianten für PV-Zuordnung, MIV/ÖPNV und zusätzliche Verbrauchsminderung sind nicht automatisch als neue PEQ-Anforderung zu interpretieren.</w:t>
      </w:r>
      <w:r>
        <w:br/>
      </w:r>
      <w:r>
        <w:br/>
      </w:r>
      <w:r>
        <w:rPr>
          <w:rStyle w:val="VerbatimChar"/>
        </w:rPr>
        <w:t xml:space="preserve">::: {.callout-note title="Historische Einordnung"}</w:t>
      </w:r>
      <w:r>
        <w:br/>
      </w:r>
      <w:r>
        <w:rPr>
          <w:rStyle w:val="VerbatimChar"/>
        </w:rPr>
        <w:t xml:space="preserve">Die ursprüngliche PEQ-Zielwertableitung beruhte auf „Energieautarkie für Österreich 2050“ nach Streicher et al. und der darauf aufbauenden sektoralen Allokation [@streicher2010energieautarkie; @schneider2020lokal; @schneider2023context]. Sie ist für die vorliegende Neukalibrierung **kein konkurrierendes Referenzszenario**. Die vollständige historische Parametrisierung gehört in den Methodenanhang.</w:t>
      </w:r>
      <w:r>
        <w:br/>
      </w:r>
      <w:r>
        <w:rPr>
          <w:rStyle w:val="VerbatimChar"/>
        </w:rPr>
        <w:t xml:space="preserve">:::</w:t>
      </w:r>
    </w:p>
    <w:p>
      <w:pPr>
        <w:numPr>
          <w:ilvl w:val="0"/>
          <w:numId w:val="1000"/>
        </w:numPr>
      </w:pPr>
      <w:r>
        <w:t xml:space="preserve">Jetzt:</w:t>
      </w:r>
    </w:p>
    <w:p>
      <w:pPr>
        <w:pStyle w:val="SourceCode"/>
        <w:numPr>
          <w:ilvl w:val="0"/>
          <w:numId w:val="1000"/>
        </w:numPr>
      </w:pPr>
      <w:r>
        <w:rPr>
          <w:rStyle w:val="VerbatimChar"/>
        </w:rPr>
        <w:t xml:space="preserve">Die historische Ableitung nach Streicher et al. bildet den methodischen Ausgangspunkt; das Referenzszenario dieses Entwurfs ist Transition 2040 [@streicher2010energieautarkie; @schneider2020lokal; @schneider2023context].</w:t>
      </w:r>
    </w:p>
    <w:p>
      <w:pPr>
        <w:numPr>
          <w:ilvl w:val="0"/>
          <w:numId w:val="1011"/>
        </w:numPr>
      </w:pPr>
      <w:r>
        <w:rPr>
          <w:b/>
          <w:bCs/>
        </w:rPr>
        <w:t xml:space="preserve">Kapitel/03-allokation.qmd, Ausgangszeile 4: Umformulierung / Umgliederung.</w:t>
      </w:r>
    </w:p>
    <w:p>
      <w:pPr>
        <w:numPr>
          <w:ilvl w:val="0"/>
          <w:numId w:val="1000"/>
        </w:numPr>
      </w:pPr>
      <w:r>
        <w:t xml:space="preserve">Bisher:</w:t>
      </w:r>
    </w:p>
    <w:p>
      <w:pPr>
        <w:pStyle w:val="SourceCode"/>
        <w:numPr>
          <w:ilvl w:val="0"/>
          <w:numId w:val="1000"/>
        </w:numPr>
      </w:pPr>
      <w:r>
        <w:rPr>
          <w:rStyle w:val="VerbatimChar"/>
        </w:rPr>
        <w:t xml:space="preserve">Vom nationalen Stromsystem nach UBA Transition 2040 zum Energiebeitrag des Gebäudesektors und zum MIV-Budget</w:t>
      </w:r>
    </w:p>
    <w:p>
      <w:pPr>
        <w:numPr>
          <w:ilvl w:val="0"/>
          <w:numId w:val="1000"/>
        </w:numPr>
      </w:pPr>
      <w:r>
        <w:t xml:space="preserve">Jetzt:</w:t>
      </w:r>
    </w:p>
    <w:p>
      <w:pPr>
        <w:pStyle w:val="SourceCode"/>
        <w:numPr>
          <w:ilvl w:val="0"/>
          <w:numId w:val="1000"/>
        </w:numPr>
      </w:pPr>
      <w:r>
        <w:rPr>
          <w:rStyle w:val="VerbatimChar"/>
        </w:rPr>
        <w:t xml:space="preserve">Vom nationalen Stromsystem zum Gebäudesektorsaldo und zum Mobilitätsbudget</w:t>
      </w:r>
    </w:p>
    <w:p>
      <w:pPr>
        <w:numPr>
          <w:ilvl w:val="0"/>
          <w:numId w:val="1011"/>
        </w:numPr>
      </w:pPr>
      <w:r>
        <w:rPr>
          <w:b/>
          <w:bCs/>
        </w:rPr>
        <w:t xml:space="preserve">Kapitel/03-allokation.qmd, Ausgangszeile 7: Umformulierung / Umgliederung.</w:t>
      </w:r>
    </w:p>
    <w:p>
      <w:pPr>
        <w:numPr>
          <w:ilvl w:val="0"/>
          <w:numId w:val="1000"/>
        </w:numPr>
      </w:pPr>
      <w:r>
        <w:t xml:space="preserve">Bisher:</w:t>
      </w:r>
    </w:p>
    <w:p>
      <w:pPr>
        <w:pStyle w:val="SourceCode"/>
        <w:numPr>
          <w:ilvl w:val="0"/>
          <w:numId w:val="1000"/>
        </w:numPr>
      </w:pPr>
      <w:r>
        <w:rPr>
          <w:rStyle w:val="VerbatimChar"/>
        </w:rPr>
        <w:t xml:space="preserve">Das nationale Zielbild in @sec-zielszenario beschreibt Erzeugung und Bedarf im Zieljahr 2040. Die **sektorale Allokation** legt fest, welche Anteile zentral erzeugter erneuerbarer Energie und welche Strombedarfe den einzelnen Sektoren zugeordnet werden. Zwei Ergebnisse sind für die PEQ-Kalibrierung erforderlich: (1) der dem Gebäudesektor zugeordnete Stromsaldo als nationaler Kalibrierungsmaßstab und (2) das **erneuerbare Mobilitätsbudget**, das später nutzungsbezogen auf Quartiere verteilt wird. Beide Ergebnisse stammen aus demselben Zuordnungsmodell; das Mobilitätsbudget darf nicht erst nachträglich unabhängig von der Sektorbilanz festgelegt werden.</w:t>
      </w:r>
    </w:p>
    <w:p>
      <w:pPr>
        <w:numPr>
          <w:ilvl w:val="0"/>
          <w:numId w:val="1000"/>
        </w:numPr>
      </w:pPr>
      <w:r>
        <w:t xml:space="preserve">Jetzt:</w:t>
      </w:r>
    </w:p>
    <w:p>
      <w:pPr>
        <w:pStyle w:val="SourceCode"/>
        <w:numPr>
          <w:ilvl w:val="0"/>
          <w:numId w:val="1000"/>
        </w:numPr>
      </w:pPr>
      <w:r>
        <w:rPr>
          <w:rStyle w:val="VerbatimChar"/>
        </w:rPr>
        <w:t xml:space="preserve">Die Allokation verteilt die Stromerzeugung und den Bedarf aus UBA Transition 2040 auf sektorale Verantwortungsbereiche. Sie liefert zwei verbundene Größen: den Zielsaldo für Gebäude einschließlich MIV und das aus zentraler Erzeugung zugeordnete Mobilitätsbudget. Die Rechnung ist in @sec-allokation-notebook dokumentiert.</w:t>
      </w:r>
    </w:p>
    <w:p>
      <w:pPr>
        <w:numPr>
          <w:ilvl w:val="0"/>
          <w:numId w:val="1011"/>
        </w:numPr>
      </w:pPr>
      <w:r>
        <w:rPr>
          <w:b/>
          <w:bCs/>
        </w:rPr>
        <w:t xml:space="preserve">Kapitel/03-allokation.qmd, Ausgangszeile 9: Umformulierung / Umgliederung.</w:t>
      </w:r>
    </w:p>
    <w:p>
      <w:pPr>
        <w:numPr>
          <w:ilvl w:val="0"/>
          <w:numId w:val="1000"/>
        </w:numPr>
      </w:pPr>
      <w:r>
        <w:t xml:space="preserve">Bisher:</w:t>
      </w:r>
    </w:p>
    <w:p>
      <w:pPr>
        <w:pStyle w:val="SourceCode"/>
        <w:numPr>
          <w:ilvl w:val="0"/>
          <w:numId w:val="1000"/>
        </w:numPr>
      </w:pPr>
      <w:r>
        <w:rPr>
          <w:rStyle w:val="VerbatimChar"/>
        </w:rPr>
        <w:t xml:space="preserve">## Zuordnungsprinzip und Bilanzgrenzen</w:t>
      </w:r>
    </w:p>
    <w:p>
      <w:pPr>
        <w:numPr>
          <w:ilvl w:val="0"/>
          <w:numId w:val="1000"/>
        </w:numPr>
      </w:pPr>
      <w:r>
        <w:t xml:space="preserve">Jetzt:</w:t>
      </w:r>
    </w:p>
    <w:p>
      <w:pPr>
        <w:pStyle w:val="SourceCode"/>
        <w:numPr>
          <w:ilvl w:val="0"/>
          <w:numId w:val="1000"/>
        </w:numPr>
      </w:pPr>
      <w:r>
        <w:rPr>
          <w:rStyle w:val="VerbatimChar"/>
        </w:rPr>
        <w:t xml:space="preserve">## Begriffe und Bilanzgrößen</w:t>
      </w:r>
    </w:p>
    <w:p>
      <w:pPr>
        <w:numPr>
          <w:ilvl w:val="0"/>
          <w:numId w:val="1011"/>
        </w:numPr>
      </w:pPr>
      <w:r>
        <w:rPr>
          <w:b/>
          <w:bCs/>
        </w:rPr>
        <w:t xml:space="preserve">Kapitel/03-allokation.qmd, Ausgangszeile 11: Umformulierung / Umgliederung.</w:t>
      </w:r>
    </w:p>
    <w:p>
      <w:pPr>
        <w:numPr>
          <w:ilvl w:val="0"/>
          <w:numId w:val="1000"/>
        </w:numPr>
      </w:pPr>
      <w:r>
        <w:t xml:space="preserve">Bisher:</w:t>
      </w:r>
    </w:p>
    <w:p>
      <w:pPr>
        <w:pStyle w:val="SourceCode"/>
        <w:numPr>
          <w:ilvl w:val="0"/>
          <w:numId w:val="1000"/>
        </w:numPr>
      </w:pPr>
      <w:r>
        <w:rPr>
          <w:rStyle w:val="VerbatimChar"/>
        </w:rPr>
        <w:t xml:space="preserve">Im Ausgangsmodell werden zentrale erneuerbare Energiequellen vorrangig für Industrie und öffentlichen Verkehr verwendet. Der verbleibende Anteil bildet die Grundlage für eine virtuelle Deckung des motorisierten Individualverkehrs (MIV). Gebäude übernehmen gleichzeitig die Verantwortung für ihren betrieblichen Bedarf, den ihnen zugerechneten MIV-Bedarf und den zugewiesenen lokalen erneuerbaren Erzeugungsbeitrag [@schneider2020lokal, Abschn. 3.1.4 und 5.1; @schneider2023context, Abschn. 6.1–6.2].</w:t>
      </w:r>
    </w:p>
    <w:p>
      <w:pPr>
        <w:numPr>
          <w:ilvl w:val="0"/>
          <w:numId w:val="1000"/>
        </w:numPr>
      </w:pPr>
      <w:r>
        <w:t xml:space="preserve">Jetzt:</w:t>
      </w:r>
    </w:p>
    <w:p>
      <w:pPr>
        <w:pStyle w:val="SourceCode"/>
        <w:numPr>
          <w:ilvl w:val="0"/>
          <w:numId w:val="1000"/>
        </w:numPr>
      </w:pPr>
      <w:r>
        <w:rPr>
          <w:rStyle w:val="VerbatimChar"/>
        </w:rPr>
        <w:t xml:space="preserve">| Begriff | Bedeutung im Modell |</w:t>
      </w:r>
      <w:r>
        <w:br/>
      </w:r>
      <w:r>
        <w:rPr>
          <w:rStyle w:val="VerbatimChar"/>
        </w:rPr>
        <w:t xml:space="preserve">|---|---|</w:t>
      </w:r>
      <w:r>
        <w:br/>
      </w:r>
      <w:r>
        <w:rPr>
          <w:rStyle w:val="VerbatimChar"/>
        </w:rPr>
        <w:t xml:space="preserve">| Zentraler Pool | Für die priorisierten Bedarfe angesetzte Nicht-PV-Stromerzeugung; „zentral“ bezeichnet die Allokation, nicht Anlagengröße oder Eigentum. |</w:t>
      </w:r>
      <w:r>
        <w:br/>
      </w:r>
      <w:r>
        <w:rPr>
          <w:rStyle w:val="VerbatimChar"/>
        </w:rPr>
        <w:t xml:space="preserve">| Budgetfähig | Nach der gewählten Zuordnungsregel für diesen Pool anrechenbar. Der Begriff beschreibt eine Modellentscheidung, keinen Herkunftsnachweis. |</w:t>
      </w:r>
      <w:r>
        <w:br/>
      </w:r>
      <w:r>
        <w:rPr>
          <w:rStyle w:val="VerbatimChar"/>
        </w:rPr>
        <w:t xml:space="preserve">| Gebäude-PV | Anteil der nationalen PV-Erzeugung, der dem Gebäudesektor zugeordnet wird. |</w:t>
      </w:r>
      <w:r>
        <w:br/>
      </w:r>
      <w:r>
        <w:rPr>
          <w:rStyle w:val="VerbatimChar"/>
        </w:rPr>
        <w:t xml:space="preserve">| Freiflächen-PV | Im Modell die gesamte PV außerhalb von Gebäuden; sie bleibt als eigener nationaler Pool ausgewiesen. |</w:t>
      </w:r>
      <w:r>
        <w:br/>
      </w:r>
      <w:r>
        <w:rPr>
          <w:rStyle w:val="VerbatimChar"/>
        </w:rPr>
        <w:t xml:space="preserve">| MIV-Anteil | Anteil des MIV am **elektrischen Energiebedarf** des Verkehrs; kein Wege- oder Personenkilometeranteil. |</w:t>
      </w:r>
      <w:r>
        <w:br/>
      </w:r>
      <w:r>
        <w:rPr>
          <w:rStyle w:val="VerbatimChar"/>
        </w:rPr>
        <w:t xml:space="preserve">| ÖPNV | Öffentlicher Personenverkehr; eigene Teilmenge des elektrischen Verkehrsbedarfs. Übriger Verkehr wird separat geführt. |</w:t>
      </w:r>
      <w:r>
        <w:br/>
      </w:r>
      <w:r>
        <w:rPr>
          <w:rStyle w:val="VerbatimChar"/>
        </w:rPr>
        <w:t xml:space="preserve">| MIV-Budget / Mobilitätsgutschrift | Dem MIV zugeteilte Deckung aus dem zentralen Pool in PJ Strom/a. Die nutzungsbezogene PE-Gutschrift ist in @sec-kontext-mobilitaet definiert. |</w:t>
      </w:r>
      <w:r>
        <w:br/>
      </w:r>
      <w:r>
        <w:rPr>
          <w:rStyle w:val="VerbatimChar"/>
        </w:rPr>
        <w:t xml:space="preserve">| Saldo | Zugeordnete Deckung minus Bedarf; positiv bedeutet Überschuss, negativ Deckungslücke. |</w:t>
      </w:r>
    </w:p>
    <w:p>
      <w:pPr>
        <w:numPr>
          <w:ilvl w:val="0"/>
          <w:numId w:val="1011"/>
        </w:numPr>
      </w:pPr>
      <w:r>
        <w:rPr>
          <w:b/>
          <w:bCs/>
        </w:rPr>
        <w:t xml:space="preserve">Kapitel/03-allokation.qmd, Ausgangszeile 13: Umformulierung / Umgliederung.</w:t>
      </w:r>
    </w:p>
    <w:p>
      <w:pPr>
        <w:numPr>
          <w:ilvl w:val="0"/>
          <w:numId w:val="1000"/>
        </w:numPr>
      </w:pPr>
      <w:r>
        <w:t xml:space="preserve">Bisher:</w:t>
      </w:r>
    </w:p>
    <w:p>
      <w:pPr>
        <w:pStyle w:val="SourceCode"/>
        <w:numPr>
          <w:ilvl w:val="0"/>
          <w:numId w:val="1000"/>
        </w:numPr>
      </w:pPr>
      <w:r>
        <w:rPr>
          <w:rStyle w:val="VerbatimChar"/>
        </w:rPr>
        <w:t xml:space="preserve">Diese Zuordnung ist eine **Bilanz- und Lastenverteilungsregel** und keine Aussage über physisch getrennte Stromnetze. Die hier beschriebene Neukalibrierung nutzt UBA Transition 2040 statt des historischen Referenzszenarios. Sämtliche Zuordnungen müssen deshalb anhand der neuen Strombilanz erneut vorgenommen und abgestimmt werden.</w:t>
      </w:r>
    </w:p>
    <w:p>
      <w:pPr>
        <w:numPr>
          <w:ilvl w:val="0"/>
          <w:numId w:val="1000"/>
        </w:numPr>
      </w:pPr>
      <w:r>
        <w:t xml:space="preserve">Jetzt:</w:t>
      </w:r>
    </w:p>
    <w:p>
      <w:pPr>
        <w:pStyle w:val="SourceCode"/>
        <w:numPr>
          <w:ilvl w:val="0"/>
          <w:numId w:val="1000"/>
        </w:numPr>
      </w:pPr>
      <w:r>
        <w:rPr>
          <w:rStyle w:val="VerbatimChar"/>
        </w:rPr>
        <w:t xml:space="preserve">: Glossar der sektoralen Allokation. {#tbl-allokation-glossar}</w:t>
      </w:r>
    </w:p>
    <w:p>
      <w:pPr>
        <w:numPr>
          <w:ilvl w:val="0"/>
          <w:numId w:val="1011"/>
        </w:numPr>
      </w:pPr>
      <w:r>
        <w:rPr>
          <w:b/>
          <w:bCs/>
        </w:rPr>
        <w:t xml:space="preserve">Kapitel/03-allokation.qmd, Ausgangszeile 15: Umformulierung / Umgliederung.</w:t>
      </w:r>
    </w:p>
    <w:p>
      <w:pPr>
        <w:numPr>
          <w:ilvl w:val="0"/>
          <w:numId w:val="1000"/>
        </w:numPr>
      </w:pPr>
      <w:r>
        <w:t xml:space="preserve">Bisher:</w:t>
      </w:r>
    </w:p>
    <w:p>
      <w:pPr>
        <w:pStyle w:val="SourceCode"/>
        <w:numPr>
          <w:ilvl w:val="0"/>
          <w:numId w:val="1000"/>
        </w:numPr>
      </w:pPr>
      <w:r>
        <w:rPr>
          <w:rStyle w:val="VerbatimChar"/>
        </w:rPr>
        <w:t xml:space="preserve">## Zentrale und dezentrale erneuerbare Erzeugung</w:t>
      </w:r>
    </w:p>
    <w:p>
      <w:pPr>
        <w:numPr>
          <w:ilvl w:val="0"/>
          <w:numId w:val="1000"/>
        </w:numPr>
      </w:pPr>
      <w:r>
        <w:t xml:space="preserve">Jetzt:</w:t>
      </w:r>
    </w:p>
    <w:p>
      <w:pPr>
        <w:pStyle w:val="SourceCode"/>
        <w:numPr>
          <w:ilvl w:val="0"/>
          <w:numId w:val="1000"/>
        </w:numPr>
      </w:pPr>
      <w:r>
        <w:rPr>
          <w:rStyle w:val="VerbatimChar"/>
        </w:rPr>
        <w:t xml:space="preserve">## Erzeugungszuordnung und Prioritäten</w:t>
      </w:r>
    </w:p>
    <w:p>
      <w:pPr>
        <w:numPr>
          <w:ilvl w:val="0"/>
          <w:numId w:val="1011"/>
        </w:numPr>
      </w:pPr>
      <w:r>
        <w:rPr>
          <w:b/>
          <w:bCs/>
        </w:rPr>
        <w:t xml:space="preserve">Kapitel/03-allokation.qmd, Ausgangszeile 17: Umformulierung / Umgliederung.</w:t>
      </w:r>
    </w:p>
    <w:p>
      <w:pPr>
        <w:numPr>
          <w:ilvl w:val="0"/>
          <w:numId w:val="1000"/>
        </w:numPr>
      </w:pPr>
      <w:r>
        <w:t xml:space="preserve">Bisher:</w:t>
      </w:r>
    </w:p>
    <w:p>
      <w:pPr>
        <w:pStyle w:val="SourceCode"/>
        <w:numPr>
          <w:ilvl w:val="0"/>
          <w:numId w:val="1000"/>
        </w:numPr>
      </w:pPr>
      <w:r>
        <w:rPr>
          <w:rStyle w:val="VerbatimChar"/>
        </w:rPr>
        <w:t xml:space="preserve">Für die Allokationslogik wird zunächst ein zentral verfügbarer, **nicht aus PV stammender** erneuerbarer Strompool abgegrenzt. Darunter fallen entsprechend den bilanzierten Positionen insbesondere Wasserkraft, Windkraft sowie verfügbare Stromerzeugung aus Rückverstromung und Speichern. Die konkrete technische Zuordnung folgt den UBA-Kategorien und ihren Systemgrenzen; die Bezeichnung „zentral“ ist hier eine **Modellkategorie**, keine Aussage über Eigentum oder Anlagengröße.</w:t>
      </w:r>
    </w:p>
    <w:p>
      <w:pPr>
        <w:numPr>
          <w:ilvl w:val="0"/>
          <w:numId w:val="1000"/>
        </w:numPr>
      </w:pPr>
      <w:r>
        <w:t xml:space="preserve">Jetzt:</w:t>
      </w:r>
    </w:p>
    <w:p>
      <w:pPr>
        <w:pStyle w:val="SourceCode"/>
        <w:numPr>
          <w:ilvl w:val="0"/>
          <w:numId w:val="1000"/>
        </w:numPr>
      </w:pPr>
      <w:r>
        <w:rPr>
          <w:rStyle w:val="VerbatimChar"/>
        </w:rPr>
        <w:t xml:space="preserve">Der Referenzfall ordnet die 149 PJ/a PV vollständig den Gebäuden zu. Freiflächen-PV bleibt in Varianten separat; sie wird nicht in den zentralen Nicht-PV-Pool umgebucht. Diese Regel macht sichtbar, wie sich die Gebäudeaufgabe mit der PV-Zuordnung verändert.</w:t>
      </w:r>
    </w:p>
    <w:p>
      <w:pPr>
        <w:numPr>
          <w:ilvl w:val="0"/>
          <w:numId w:val="1011"/>
        </w:numPr>
      </w:pPr>
      <w:r>
        <w:rPr>
          <w:b/>
          <w:bCs/>
        </w:rPr>
        <w:t xml:space="preserve">Kapitel/03-allokation.qmd, Ausgangszeile 19: Umformulierung / Umgliederung.</w:t>
      </w:r>
    </w:p>
    <w:p>
      <w:pPr>
        <w:numPr>
          <w:ilvl w:val="0"/>
          <w:numId w:val="1000"/>
        </w:numPr>
      </w:pPr>
      <w:r>
        <w:t xml:space="preserve">Bisher:</w:t>
      </w:r>
    </w:p>
    <w:p>
      <w:pPr>
        <w:pStyle w:val="SourceCode"/>
        <w:numPr>
          <w:ilvl w:val="0"/>
          <w:numId w:val="1000"/>
        </w:numPr>
      </w:pPr>
      <w:r>
        <w:rPr>
          <w:rStyle w:val="VerbatimChar"/>
        </w:rPr>
        <w:t xml:space="preserve">**PV-Strom wird getrennt geführt**, insbesondere Gebäude-PV und PV außerhalb von Gebäuden. Welche Energiemenge an Gebäude-PV dem Gebäudesektor zugerechnet wird und wie sonstige PV-Erzeugung verwendet wird, ist ausdrücklich festzulegen. PV außerhalb von Gebäuden wird nicht stillschweigend dem nicht-PV-Mobilitätsbudget zugeschlagen.</w:t>
      </w:r>
    </w:p>
    <w:p>
      <w:pPr>
        <w:numPr>
          <w:ilvl w:val="0"/>
          <w:numId w:val="1000"/>
        </w:numPr>
      </w:pPr>
      <w:r>
        <w:t xml:space="preserve">Jetzt:</w:t>
      </w:r>
    </w:p>
    <w:p>
      <w:pPr>
        <w:pStyle w:val="SourceCode"/>
        <w:numPr>
          <w:ilvl w:val="0"/>
          <w:numId w:val="1000"/>
        </w:numPr>
      </w:pPr>
      <w:r>
        <w:rPr>
          <w:rStyle w:val="VerbatimChar"/>
        </w:rPr>
        <w:t xml:space="preserve">Dem zentralen Pool werden Wasserkraft (173 PJ/a), Windkraft (105), Biomasse (21) und die normierte Position Geothermie/sonstige (4) zugeordnet: zusammen **303 PJ/a**. Wasserstoff-Rückverstromung (4 PJ/a) ist im Referenzfall wegen der nicht dokumentierten Herkunft nicht angerechnet; eine Variante zeigt die vollständige Anrechnung. Fossile Erzeugung (1 PJ/a) bleibt außerhalb des Pools [@uba2023transition, Tab. 16].</w:t>
      </w:r>
    </w:p>
    <w:p>
      <w:pPr>
        <w:numPr>
          <w:ilvl w:val="0"/>
          <w:numId w:val="1011"/>
        </w:numPr>
      </w:pPr>
      <w:r>
        <w:rPr>
          <w:b/>
          <w:bCs/>
        </w:rPr>
        <w:t xml:space="preserve">Kapitel/03-allokation.qmd, Ausgangszeile 21: Umformulierung / Umgliederung.</w:t>
      </w:r>
    </w:p>
    <w:p>
      <w:pPr>
        <w:numPr>
          <w:ilvl w:val="0"/>
          <w:numId w:val="1000"/>
        </w:numPr>
      </w:pPr>
      <w:r>
        <w:t xml:space="preserve">Bisher:</w:t>
      </w:r>
    </w:p>
    <w:p>
      <w:pPr>
        <w:pStyle w:val="SourceCode"/>
        <w:numPr>
          <w:ilvl w:val="0"/>
          <w:numId w:val="1000"/>
        </w:numPr>
      </w:pPr>
      <w:r>
        <w:rPr>
          <w:rStyle w:val="VerbatimChar"/>
        </w:rPr>
        <w:t xml:space="preserve">Die Verfügbarkeit des zentralen Pools ist konsistent mit Energiesektor-Eigenverbrauch, Speichern, Umwandlungsbedarfen, Transportverlusten und Stromimporten zu berechnen. Insbesondere sind Elektrolyse-/Methanisierungs-Strombedarfe und die daraus folgende Rückverstromung **nicht als zwei unabhängige zusätzliche Energiequellen** zu bilanzieren. Ein- und Ausspeicherungen sowie Verluste werden nur an einer festgelegten Stelle der Bilanz berücksichtigt.</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src="../Abbildungen/methodik/zentraler_pool.html" title="Herleitung des zentralen MIV-Budgets" style="width:100%;height:650px;border:0" loading="lazy"&gt;&lt;/iframe&gt;</w:t>
      </w:r>
      <w:r>
        <w:br/>
      </w:r>
      <w:r>
        <w:rPr>
          <w:rStyle w:val="VerbatimChar"/>
        </w:rPr>
        <w:t xml:space="preserve">```</w:t>
      </w:r>
      <w:r>
        <w:br/>
      </w:r>
      <w:r>
        <w:rPr>
          <w:rStyle w:val="VerbatimChar"/>
        </w:rPr>
        <w:t xml:space="preserve">[Grafik separat öffnen](../Abbildungen/methodik/zentraler_pool.html)</w:t>
      </w:r>
      <w:r>
        <w:br/>
      </w:r>
      <w:r>
        <w:rPr>
          <w:rStyle w:val="VerbatimChar"/>
        </w:rPr>
        <w:t xml:space="preserve">:::</w:t>
      </w:r>
    </w:p>
    <w:p>
      <w:pPr>
        <w:numPr>
          <w:ilvl w:val="0"/>
          <w:numId w:val="1011"/>
        </w:numPr>
      </w:pPr>
      <w:r>
        <w:rPr>
          <w:b/>
          <w:bCs/>
        </w:rPr>
        <w:t xml:space="preserve">Kapitel/03-allokation.qmd, Ausgangszeile 23: Umformulierung / Umgliederung.</w:t>
      </w:r>
    </w:p>
    <w:p>
      <w:pPr>
        <w:numPr>
          <w:ilvl w:val="0"/>
          <w:numId w:val="1000"/>
        </w:numPr>
      </w:pPr>
      <w:r>
        <w:t xml:space="preserve">Bisher:</w:t>
      </w:r>
    </w:p>
    <w:p>
      <w:pPr>
        <w:pStyle w:val="SourceCode"/>
        <w:numPr>
          <w:ilvl w:val="0"/>
          <w:numId w:val="1000"/>
        </w:numPr>
      </w:pPr>
      <w:r>
        <w:rPr>
          <w:rStyle w:val="VerbatimChar"/>
        </w:rPr>
        <w:t xml:space="preserve">| Modellgröße | Abgrenzung | Kalibrierungsstand |</w:t>
      </w:r>
    </w:p>
    <w:p>
      <w:pPr>
        <w:numPr>
          <w:ilvl w:val="0"/>
          <w:numId w:val="1000"/>
        </w:numPr>
      </w:pPr>
      <w:r>
        <w:t xml:space="preserve">Jetzt:</w:t>
      </w:r>
    </w:p>
    <w:p>
      <w:pPr>
        <w:pStyle w:val="SourceCode"/>
        <w:numPr>
          <w:ilvl w:val="0"/>
          <w:numId w:val="1000"/>
        </w:numPr>
      </w:pPr>
      <w:r>
        <w:br/>
      </w:r>
      <w:r>
        <w:rPr>
          <w:rStyle w:val="VerbatimChar"/>
        </w:rPr>
        <w:t xml:space="preserve">Die zentrale Erzeugung deckt zuerst Industrie, Landwirtschaft, Energiebranche, Umwandlung, Netzverluste und Nettoexport sowie ÖPNV und übrigen Verkehr. Bei 20 % ÖPNV und 80 % MIV an 90 PJ/a Verkehrsbedarf verbleiben **24 PJ/a für MIV**. Die Priorität folgt dem Allokationsansatz nach @schneider2020lokal und @schneider2023context; die Mengen stammen aus Transition 2040.</w:t>
      </w:r>
      <w:r>
        <w:br/>
      </w:r>
      <w:r>
        <w:br/>
      </w:r>
      <w:r>
        <w:rPr>
          <w:rStyle w:val="VerbatimChar"/>
        </w:rPr>
        <w:t xml:space="preserve">| Position | Ansatz im Referenzfall |</w:t>
      </w:r>
      <w:r>
        <w:br/>
      </w:r>
      <w:r>
        <w:rPr>
          <w:rStyle w:val="VerbatimChar"/>
        </w:rPr>
        <w:t xml:space="preserve">|---|---|</w:t>
      </w:r>
      <w:r>
        <w:br/>
      </w:r>
      <w:r>
        <w:rPr>
          <w:rStyle w:val="VerbatimChar"/>
        </w:rPr>
        <w:t xml:space="preserve">| Nicht-PV-Pool | Wasser, Wind, Biomasse, Geothermie/sonstige |</w:t>
      </w:r>
      <w:r>
        <w:br/>
      </w:r>
      <w:r>
        <w:rPr>
          <w:rStyle w:val="VerbatimChar"/>
        </w:rPr>
        <w:t xml:space="preserve">| PV | 100 % Gebäude, 0 % Freifläche |</w:t>
      </w:r>
      <w:r>
        <w:br/>
      </w:r>
      <w:r>
        <w:rPr>
          <w:rStyle w:val="VerbatimChar"/>
        </w:rPr>
        <w:t xml:space="preserve">| Verkehr | 80 % MIV, 20 % ÖPNV, 0 % übriger Verkehr |</w:t>
      </w:r>
      <w:r>
        <w:br/>
      </w:r>
      <w:r>
        <w:rPr>
          <w:rStyle w:val="VerbatimChar"/>
        </w:rPr>
        <w:t xml:space="preserve">| Systempositionen | Einmaliger Abzug von Energiebranche, Umwandlung, Verlusten und Nettoexport |</w:t>
      </w:r>
      <w:r>
        <w:br/>
      </w:r>
      <w:r>
        <w:rPr>
          <w:rStyle w:val="VerbatimChar"/>
        </w:rPr>
        <w:t xml:space="preserve">| H₂-Rückverstromung | 0 % anrechenbar; Vergleichsvariante mit 100 % |</w:t>
      </w:r>
      <w:r>
        <w:br/>
      </w:r>
      <w:r>
        <w:br/>
      </w:r>
      <w:r>
        <w:rPr>
          <w:rStyle w:val="VerbatimChar"/>
        </w:rPr>
        <w:t xml:space="preserve">: Zuordnungsregeln des Referenzfalls. Die PV- und Verkehrsanteile sind Modellannahmen. {#tbl-allokation-datenbedarf}</w:t>
      </w:r>
      <w:r>
        <w:br/>
      </w:r>
      <w:r>
        <w:br/>
      </w:r>
      <w:r>
        <w:rPr>
          <w:rStyle w:val="VerbatimChar"/>
        </w:rPr>
        <w:t xml:space="preserve">## Berechnung von Mobilitätsbudget und Gebäudesaldo {#sec-allokation-miv}</w:t>
      </w:r>
      <w:r>
        <w:br/>
      </w:r>
      <w:r>
        <w:br/>
      </w:r>
      <w:r>
        <w:rPr>
          <w:rStyle w:val="VerbatimChar"/>
        </w:rPr>
        <w:t xml:space="preserve">Für die Berechnung gelten folgende jährliche Stromgrößen:</w:t>
      </w:r>
      <w:r>
        <w:br/>
      </w:r>
      <w:r>
        <w:br/>
      </w:r>
      <w:r>
        <w:rPr>
          <w:rStyle w:val="VerbatimChar"/>
        </w:rPr>
        <w:t xml:space="preserve">| Symbol | Definition | Einheit |</w:t>
      </w:r>
    </w:p>
    <w:p>
      <w:pPr>
        <w:numPr>
          <w:ilvl w:val="0"/>
          <w:numId w:val="1011"/>
        </w:numPr>
      </w:pPr>
      <w:r>
        <w:rPr>
          <w:b/>
          <w:bCs/>
        </w:rPr>
        <w:t xml:space="preserve">Kapitel/03-allokation.qmd, Ausgangszeile 25: Umformulierung / Umgliederung.</w:t>
      </w:r>
    </w:p>
    <w:p>
      <w:pPr>
        <w:numPr>
          <w:ilvl w:val="0"/>
          <w:numId w:val="1000"/>
        </w:numPr>
      </w:pPr>
      <w:r>
        <w:t xml:space="preserve">Bisher:</w:t>
      </w:r>
    </w:p>
    <w:p>
      <w:pPr>
        <w:pStyle w:val="SourceCode"/>
        <w:numPr>
          <w:ilvl w:val="0"/>
          <w:numId w:val="1000"/>
        </w:numPr>
      </w:pPr>
      <w:r>
        <w:rPr>
          <w:rStyle w:val="VerbatimChar"/>
        </w:rPr>
        <w:t xml:space="preserve">| Erneuerbare Stromerzeugung ohne PV | Quellen und Stromerzeugung aus Rückverstromung/Speichern gemäß UBA-Bilanz | Technologieliste und Nettoabgrenzung festzulegen |</w:t>
      </w:r>
      <w:r>
        <w:br/>
      </w:r>
      <w:r>
        <w:rPr>
          <w:rStyle w:val="VerbatimChar"/>
        </w:rPr>
        <w:t xml:space="preserve">| Gebäude-PV | PV-Erzeugung auf beziehungsweise an Gebäuden | Anteil am nationalen PV-Ausbau festzulegen |</w:t>
      </w:r>
      <w:r>
        <w:br/>
      </w:r>
      <w:r>
        <w:rPr>
          <w:rStyle w:val="VerbatimChar"/>
        </w:rPr>
        <w:t xml:space="preserve">| Andere PV | Freiflächen-PV und weitere nicht dem Gebäude zugeordnete PV | Allokationsregel festzulegen |</w:t>
      </w:r>
      <w:r>
        <w:br/>
      </w:r>
      <w:r>
        <w:rPr>
          <w:rStyle w:val="VerbatimChar"/>
        </w:rPr>
        <w:t xml:space="preserve">| Netz-/Umwandlungspositionen | Verluste und energiewirtschaftliche Bedarfe, sofern nicht bereits im Nettowert enthalten | Abgleich mit Quelltabellen nötig |</w:t>
      </w:r>
      <w:r>
        <w:br/>
      </w:r>
      <w:r>
        <w:rPr>
          <w:rStyle w:val="VerbatimChar"/>
        </w:rPr>
        <w:t xml:space="preserve">| Importe, nicht erneuerbare Anteile | Gesonderte Bilanzpositionen, keine automatische erneuerbare MIV-Gutschrift | Behandlung zu dokumentieren |</w:t>
      </w:r>
    </w:p>
    <w:p>
      <w:pPr>
        <w:numPr>
          <w:ilvl w:val="0"/>
          <w:numId w:val="1000"/>
        </w:numPr>
      </w:pPr>
      <w:r>
        <w:t xml:space="preserve">Jetzt:</w:t>
      </w:r>
    </w:p>
    <w:p>
      <w:pPr>
        <w:pStyle w:val="SourceCode"/>
        <w:numPr>
          <w:ilvl w:val="0"/>
          <w:numId w:val="1000"/>
        </w:numPr>
      </w:pPr>
      <w:r>
        <w:rPr>
          <w:rStyle w:val="VerbatimChar"/>
        </w:rPr>
        <w:t xml:space="preserve">| $E_{\mathrm{Z}}$ | Angerechnete zentrale Erzeugung | PJ/a |</w:t>
      </w:r>
      <w:r>
        <w:br/>
      </w:r>
      <w:r>
        <w:rPr>
          <w:rStyle w:val="VerbatimChar"/>
        </w:rPr>
        <w:t xml:space="preserve">| $E_{\mathrm{V}}$ | Summe der priorisierten Bedarfe einschließlich ÖPNV, übrigen Verkehrs und Nettoexports | PJ/a |</w:t>
      </w:r>
      <w:r>
        <w:br/>
      </w:r>
      <w:r>
        <w:rPr>
          <w:rStyle w:val="VerbatimChar"/>
        </w:rPr>
        <w:t xml:space="preserve">| $E_{\mathrm{MIV}}$ | Elektrischer MIV-Bedarf | PJ/a |</w:t>
      </w:r>
      <w:r>
        <w:br/>
      </w:r>
      <w:r>
        <w:rPr>
          <w:rStyle w:val="VerbatimChar"/>
        </w:rPr>
        <w:t xml:space="preserve">| $G_{\mathrm{MIV}}$ | Zugeordnetes MIV-Budget | PJ/a |</w:t>
      </w:r>
      <w:r>
        <w:br/>
      </w:r>
      <w:r>
        <w:rPr>
          <w:rStyle w:val="VerbatimChar"/>
        </w:rPr>
        <w:t xml:space="preserve">| $E_{\mathrm{PV,Geb}}$ | Dem Gebäude zugeordnete PV-Erzeugung | PJ/a |</w:t>
      </w:r>
      <w:r>
        <w:br/>
      </w:r>
      <w:r>
        <w:rPr>
          <w:rStyle w:val="VerbatimChar"/>
        </w:rPr>
        <w:t xml:space="preserve">| $E_{\mathrm{Geb}}$ | Betriebsstrombedarf des Gebäudesektors | PJ/a |</w:t>
      </w:r>
      <w:r>
        <w:br/>
      </w:r>
      <w:r>
        <w:rPr>
          <w:rStyle w:val="VerbatimChar"/>
        </w:rPr>
        <w:t xml:space="preserve">| $B_{\mathrm{Geb,Ziel}}$ | Zielsaldo für Gebäude einschließlich MIV | PJ/a |</w:t>
      </w:r>
    </w:p>
    <w:p>
      <w:pPr>
        <w:numPr>
          <w:ilvl w:val="0"/>
          <w:numId w:val="1011"/>
        </w:numPr>
      </w:pPr>
      <w:r>
        <w:rPr>
          <w:b/>
          <w:bCs/>
        </w:rPr>
        <w:t xml:space="preserve">Kapitel/03-allokation.qmd, Ausgangszeile 31: Umformulierung / Umgliederung.</w:t>
      </w:r>
    </w:p>
    <w:p>
      <w:pPr>
        <w:numPr>
          <w:ilvl w:val="0"/>
          <w:numId w:val="1000"/>
        </w:numPr>
      </w:pPr>
      <w:r>
        <w:t xml:space="preserve">Bisher:</w:t>
      </w:r>
    </w:p>
    <w:p>
      <w:pPr>
        <w:pStyle w:val="SourceCode"/>
        <w:numPr>
          <w:ilvl w:val="0"/>
          <w:numId w:val="1000"/>
        </w:numPr>
      </w:pPr>
      <w:r>
        <w:rPr>
          <w:rStyle w:val="VerbatimChar"/>
        </w:rPr>
        <w:t xml:space="preserve">: Für die sektorale Allokation benötigte Strombilanzpositionen. Fehlende Zuordnungen sind **keine Nullwerte**. {#tbl-allokation-datenbedarf}</w:t>
      </w:r>
      <w:r>
        <w:br/>
      </w:r>
      <w:r>
        <w:br/>
      </w:r>
      <w:r>
        <w:rPr>
          <w:rStyle w:val="VerbatimChar"/>
        </w:rPr>
        <w:t xml:space="preserve">## Vorrangige Bedarfe: Industrie und öffentlicher Verkehr</w:t>
      </w:r>
      <w:r>
        <w:br/>
      </w:r>
      <w:r>
        <w:br/>
      </w:r>
      <w:r>
        <w:rPr>
          <w:rStyle w:val="VerbatimChar"/>
        </w:rPr>
        <w:t xml:space="preserve">Die Industrie wird auf Basis der entsprechenden nationalen Strombedarfsposition erfasst. Der Verkehrsbedarf von UBA Transition 2040 ist für die PEQ-Definition gesondert nach **öffentlichem Verkehr, motorisiertem Individualverkehr und übrigen Verkehrsbedarfen** aufzuschlüsseln. Soweit das UBA-Szenario die benötigte Unterteilung nicht unmittelbar liefert, ist eine belegte ergänzende Zuordnung erforderlich; historische MIV/ÖPNV-Anteile werden nicht ungeprüft übernommen.</w:t>
      </w:r>
      <w:r>
        <w:br/>
      </w:r>
      <w:r>
        <w:br/>
      </w:r>
      <w:r>
        <w:rPr>
          <w:rStyle w:val="VerbatimChar"/>
        </w:rPr>
        <w:t xml:space="preserve">Die Zuordnung weiterer Bedarfe, insbesondere des Energiesektors und anderer Endverbraucher, erfolgt ausdrücklich und ohne doppelte Belastung. Es ist zu dokumentieren, welche Positionen bereits von einer verfügbaren Nettoerzeugung abgezogen sind und welche als vorrangige externe Bedarfe zu berücksichtigen sind.</w:t>
      </w:r>
      <w:r>
        <w:br/>
      </w:r>
      <w:r>
        <w:br/>
      </w:r>
      <w:r>
        <w:rPr>
          <w:rStyle w:val="VerbatimChar"/>
        </w:rPr>
        <w:t xml:space="preserve">## Ermittlung des erneuerbaren MIV-Budgets {#sec-allokation-miv}</w:t>
      </w:r>
      <w:r>
        <w:br/>
      </w:r>
      <w:r>
        <w:br/>
      </w:r>
      <w:r>
        <w:rPr>
          <w:rStyle w:val="VerbatimChar"/>
        </w:rPr>
        <w:t xml:space="preserve">Das **nationale MIV-Budget entsteht innerhalb der sektoralen Allokation** als Differenz zwischen dem hierfür verfügbaren zentralen erneuerbaren Strompool und den vorrangig zugeordneten Strombedarfen. Schematisch gilt in **elektrischer Energie**:</w:t>
      </w:r>
    </w:p>
    <w:p>
      <w:pPr>
        <w:numPr>
          <w:ilvl w:val="0"/>
          <w:numId w:val="1000"/>
        </w:numPr>
      </w:pPr>
      <w:r>
        <w:t xml:space="preserve">Jetzt:</w:t>
      </w:r>
    </w:p>
    <w:p>
      <w:pPr>
        <w:pStyle w:val="SourceCode"/>
        <w:numPr>
          <w:ilvl w:val="0"/>
          <w:numId w:val="1000"/>
        </w:numPr>
      </w:pPr>
      <w:r>
        <w:rPr>
          <w:rStyle w:val="VerbatimChar"/>
        </w:rPr>
        <w:t xml:space="preserve">Das Budget ist auf den verfügbaren positiven Rest und den MIV-Bedarf begrenzt:</w:t>
      </w:r>
    </w:p>
    <w:p>
      <w:pPr>
        <w:numPr>
          <w:ilvl w:val="0"/>
          <w:numId w:val="1011"/>
        </w:numPr>
      </w:pPr>
      <w:r>
        <w:rPr>
          <w:b/>
          <w:bCs/>
        </w:rPr>
        <w:t xml:space="preserve">Kapitel/03-allokation.qmd, Ausgangszeile 44: Umformulierung / Umgliederung.</w:t>
      </w:r>
    </w:p>
    <w:p>
      <w:pPr>
        <w:numPr>
          <w:ilvl w:val="0"/>
          <w:numId w:val="1000"/>
        </w:numPr>
      </w:pPr>
      <w:r>
        <w:t xml:space="preserve">Bisher:</w:t>
      </w:r>
    </w:p>
    <w:p>
      <w:pPr>
        <w:pStyle w:val="SourceCode"/>
        <w:numPr>
          <w:ilvl w:val="0"/>
          <w:numId w:val="1000"/>
        </w:numPr>
      </w:pPr>
      <w:r>
        <w:rPr>
          <w:rStyle w:val="VerbatimChar"/>
        </w:rPr>
        <w:t xml:space="preserve">E_{\mathrm{MIV,Budget}}^{\mathrm{el}}</w:t>
      </w:r>
      <w:r>
        <w:br/>
      </w:r>
      <w:r>
        <w:rPr>
          <w:rStyle w:val="VerbatimChar"/>
        </w:rPr>
        <w:t xml:space="preserve">=E_{\mathrm{zentral,verf}}^{\mathrm{el}}</w:t>
      </w:r>
      <w:r>
        <w:br/>
      </w:r>
      <w:r>
        <w:rPr>
          <w:rStyle w:val="VerbatimChar"/>
        </w:rPr>
        <w:t xml:space="preserve">-E_{\mathrm{Industrie,zugeordnet}}^{\mathrm{el}}</w:t>
      </w:r>
      <w:r>
        <w:br/>
      </w:r>
      <w:r>
        <w:rPr>
          <w:rStyle w:val="VerbatimChar"/>
        </w:rPr>
        <w:t xml:space="preserve">-E_{\mathrm{ÖPNV,zugeordnet}}^{\mathrm{el}}</w:t>
      </w:r>
      <w:r>
        <w:br/>
      </w:r>
      <w:r>
        <w:rPr>
          <w:rStyle w:val="VerbatimChar"/>
        </w:rPr>
        <w:t xml:space="preserve">-E_{\mathrm{sonstige,zugeordnet}}^{\mathrm{el}}.</w:t>
      </w:r>
    </w:p>
    <w:p>
      <w:pPr>
        <w:numPr>
          <w:ilvl w:val="0"/>
          <w:numId w:val="1000"/>
        </w:numPr>
      </w:pPr>
      <w:r>
        <w:t xml:space="preserve">Jetzt:</w:t>
      </w:r>
    </w:p>
    <w:p>
      <w:pPr>
        <w:pStyle w:val="SourceCode"/>
        <w:numPr>
          <w:ilvl w:val="0"/>
          <w:numId w:val="1000"/>
        </w:numPr>
      </w:pPr>
      <w:r>
        <w:rPr>
          <w:rStyle w:val="VerbatimChar"/>
        </w:rPr>
        <w:t xml:space="preserve">G_{\mathrm{MIV}}=\min\left(E_{\mathrm{MIV}},\max(0,E_{\mathrm{Z}}-E_{\mathrm{V}})\right).</w:t>
      </w:r>
    </w:p>
    <w:p>
      <w:pPr>
        <w:numPr>
          <w:ilvl w:val="0"/>
          <w:numId w:val="1011"/>
        </w:numPr>
      </w:pPr>
      <w:r>
        <w:rPr>
          <w:b/>
          <w:bCs/>
        </w:rPr>
        <w:t xml:space="preserve">Kapitel/03-allokation.qmd, Ausgangszeile 51: Umformulierung / Umgliederung.</w:t>
      </w:r>
    </w:p>
    <w:p>
      <w:pPr>
        <w:numPr>
          <w:ilvl w:val="0"/>
          <w:numId w:val="1000"/>
        </w:numPr>
      </w:pPr>
      <w:r>
        <w:t xml:space="preserve">Bisher:</w:t>
      </w:r>
    </w:p>
    <w:p>
      <w:pPr>
        <w:pStyle w:val="SourceCode"/>
        <w:numPr>
          <w:ilvl w:val="0"/>
          <w:numId w:val="1000"/>
        </w:numPr>
      </w:pPr>
      <w:r>
        <w:rPr>
          <w:rStyle w:val="VerbatimChar"/>
        </w:rPr>
        <w:t xml:space="preserve">Die letzte Position enthält nur solche zusätzlichen Verwendungen, die nicht bereits bei der Nettoabgrenzung des zentralen Pools berücksichtigt wurden. Ergibt die Rechnung keinen positiven Rest, ist dies als **Allokationskonflikt beziehungsweise Fehlbetrag** sichtbar zu machen und nicht durch eine erfundene Gutschrift zu verdecken. Die Verwendung des Restes als MIV-Budget ist selbst eine dokumentierte Zuordnungsregel.</w:t>
      </w:r>
      <w:r>
        <w:br/>
      </w:r>
      <w:r>
        <w:br/>
      </w:r>
      <w:r>
        <w:rPr>
          <w:rStyle w:val="VerbatimChar"/>
        </w:rPr>
        <w:t xml:space="preserve">**Erst nach der Stromallokation** wird der ermittelte budgetfähige Stromanteil mit den einschlägigen Primärenergiefaktoren in eine PE-Größe überführt. Strommengen (PJ Strom/a) und Gutschriften (PJ PE/a) werden dabei nicht gleichgesetzt. Die weitere Verteilung auf Wohn-, Büro-, Bildungs- und andere Nutzflächen sowie die Gegenüberstellung mit dem standortabhängigen MIV-Bedarf erfolgt in @sec-kontext-mobilitaet.</w:t>
      </w:r>
      <w:r>
        <w:br/>
      </w:r>
      <w:r>
        <w:br/>
      </w:r>
      <w:r>
        <w:rPr>
          <w:rStyle w:val="VerbatimChar"/>
        </w:rPr>
        <w:t xml:space="preserve">## Gebäude-PV, zugeordneter Bedarf und Gebäudesektorsaldo</w:t>
      </w:r>
      <w:r>
        <w:br/>
      </w:r>
      <w:r>
        <w:br/>
      </w:r>
      <w:r>
        <w:rPr>
          <w:rStyle w:val="VerbatimChar"/>
        </w:rPr>
        <w:t xml:space="preserve">Die zweite Ausgangsgröße für die Neukalibrierung ist die Bilanz des Gebäudesektors. Ihr liegen die dem Gebäude zugewiesene PV-Erzeugung und die Gebäude- und Mobilitätsbedarfe zugrunde. Bei einer im Gebäudesektor geführten MIV-Bilanz wird die aus dem zentralen Pool finanzierte Stromdeckung **einmalig** berücksichtigt; dieselbe erneuerbare Energiemenge darf nicht zusätzlich in einem anderen sektoralen Saldo als verfügbarer Überschuss erscheinen.</w:t>
      </w:r>
      <w:r>
        <w:br/>
      </w:r>
      <w:r>
        <w:br/>
      </w:r>
      <w:r>
        <w:rPr>
          <w:rStyle w:val="VerbatimChar"/>
        </w:rPr>
        <w:t xml:space="preserve">Für die Dokumentation sind mindestens die folgenden Positionen nötig:</w:t>
      </w:r>
      <w:r>
        <w:br/>
      </w:r>
      <w:r>
        <w:br/>
      </w:r>
      <w:r>
        <w:rPr>
          <w:rStyle w:val="VerbatimChar"/>
        </w:rPr>
        <w:t xml:space="preserve">| Position | Beschreibung |</w:t>
      </w:r>
      <w:r>
        <w:br/>
      </w:r>
      <w:r>
        <w:rPr>
          <w:rStyle w:val="VerbatimChar"/>
        </w:rPr>
        <w:t xml:space="preserve">|---|---|</w:t>
      </w:r>
      <w:r>
        <w:br/>
      </w:r>
      <w:r>
        <w:rPr>
          <w:rStyle w:val="VerbatimChar"/>
        </w:rPr>
        <w:t xml:space="preserve">| \(E_{\mathrm{PV,Geb}}\) | Dem Gebäudesektor zugeordnete PV-Stromerzeugung |</w:t>
      </w:r>
      <w:r>
        <w:br/>
      </w:r>
      <w:r>
        <w:rPr>
          <w:rStyle w:val="VerbatimChar"/>
        </w:rPr>
        <w:t xml:space="preserve">| \(E_{\mathrm{Geb,Betrieb}}\) | Strombedarf für Betrieb und Nutzung der Gebäude |</w:t>
      </w:r>
      <w:r>
        <w:br/>
      </w:r>
      <w:r>
        <w:rPr>
          <w:rStyle w:val="VerbatimChar"/>
        </w:rPr>
        <w:t xml:space="preserve">| \(E_{\mathrm{MIV}}\) | Zu bilanzierender Strombedarf des individuellen motorisierten Verkehrs |</w:t>
      </w:r>
      <w:r>
        <w:br/>
      </w:r>
      <w:r>
        <w:rPr>
          <w:rStyle w:val="VerbatimChar"/>
        </w:rPr>
        <w:t xml:space="preserve">| \(E_{\mathrm{MIV,Budget}}\) | Einmalig zugeteilter zentraler Erneuerbaren-Anteil für MIV |</w:t>
      </w:r>
      <w:r>
        <w:br/>
      </w:r>
      <w:r>
        <w:rPr>
          <w:rStyle w:val="VerbatimChar"/>
        </w:rPr>
        <w:t xml:space="preserve">| \(B_{\mathrm{Geb,Ziel}}\) | Resultierender, konsistent abgegrenzter nationaler Gebäudesektorsaldo |</w:t>
      </w:r>
      <w:r>
        <w:br/>
      </w:r>
      <w:r>
        <w:br/>
      </w:r>
      <w:r>
        <w:rPr>
          <w:rStyle w:val="VerbatimChar"/>
        </w:rPr>
        <w:t xml:space="preserve">Das Vorzeichen eines Saldos wird als *Erzeugung beziehungsweise Deckung minus zugeordneter Bedarf* ausgewiesen. Eine schematische Darstellung – **nur bei gleicher Bilanzgrenze und ausschließlich elektrischen Größen** – lautet:</w:t>
      </w:r>
    </w:p>
    <w:p>
      <w:pPr>
        <w:numPr>
          <w:ilvl w:val="0"/>
          <w:numId w:val="1000"/>
        </w:numPr>
      </w:pPr>
      <w:r>
        <w:t xml:space="preserve">Jetzt:</w:t>
      </w:r>
    </w:p>
    <w:p>
      <w:pPr>
        <w:pStyle w:val="SourceCode"/>
        <w:numPr>
          <w:ilvl w:val="0"/>
          <w:numId w:val="1000"/>
        </w:numPr>
      </w:pPr>
      <w:r>
        <w:rPr>
          <w:rStyle w:val="VerbatimChar"/>
        </w:rPr>
        <w:t xml:space="preserve">Ein negativer Rest $E_{\mathrm{Z}}-E_{\mathrm{V}}$ wird als zentrale Unterdeckung ausgewiesen. Ein Rest oberhalb des MIV-Bedarfs bleibt unverteilt.</w:t>
      </w:r>
    </w:p>
    <w:p>
      <w:pPr>
        <w:numPr>
          <w:ilvl w:val="0"/>
          <w:numId w:val="1011"/>
        </w:numPr>
      </w:pPr>
      <w:r>
        <w:rPr>
          <w:b/>
          <w:bCs/>
        </w:rPr>
        <w:t xml:space="preserve">Kapitel/03-allokation.qmd, Ausgangszeile 72: Umformulierung / Umgliederung.</w:t>
      </w:r>
    </w:p>
    <w:p>
      <w:pPr>
        <w:numPr>
          <w:ilvl w:val="0"/>
          <w:numId w:val="1000"/>
        </w:numPr>
      </w:pPr>
      <w:r>
        <w:t xml:space="preserve">Bisher:</w:t>
      </w:r>
    </w:p>
    <w:p>
      <w:pPr>
        <w:pStyle w:val="SourceCode"/>
        <w:numPr>
          <w:ilvl w:val="0"/>
          <w:numId w:val="1000"/>
        </w:numPr>
      </w:pPr>
      <w:r>
        <w:rPr>
          <w:rStyle w:val="VerbatimChar"/>
        </w:rPr>
        <w:t xml:space="preserve">B_{\mathrm{Geb,Ziel}}^{\mathrm{el}}</w:t>
      </w:r>
      <w:r>
        <w:br/>
      </w:r>
      <w:r>
        <w:rPr>
          <w:rStyle w:val="VerbatimChar"/>
        </w:rPr>
        <w:t xml:space="preserve">=E_{\mathrm{PV,Geb}}^{\mathrm{el}}</w:t>
      </w:r>
      <w:r>
        <w:br/>
      </w:r>
      <w:r>
        <w:rPr>
          <w:rStyle w:val="VerbatimChar"/>
        </w:rPr>
        <w:t xml:space="preserve">+E_{\mathrm{MIV,Budget}}^{\mathrm{el}}</w:t>
      </w:r>
      <w:r>
        <w:br/>
      </w:r>
      <w:r>
        <w:rPr>
          <w:rStyle w:val="VerbatimChar"/>
        </w:rPr>
        <w:t xml:space="preserve">-E_{\mathrm{Geb,Betrieb}}^{\mathrm{el}}</w:t>
      </w:r>
      <w:r>
        <w:br/>
      </w:r>
      <w:r>
        <w:rPr>
          <w:rStyle w:val="VerbatimChar"/>
        </w:rPr>
        <w:t xml:space="preserve">-E_{\mathrm{MIV}}^{\mathrm{el}}.</w:t>
      </w:r>
    </w:p>
    <w:p>
      <w:pPr>
        <w:numPr>
          <w:ilvl w:val="0"/>
          <w:numId w:val="1000"/>
        </w:numPr>
      </w:pPr>
      <w:r>
        <w:t xml:space="preserve">Jetzt:</w:t>
      </w:r>
    </w:p>
    <w:p>
      <w:pPr>
        <w:pStyle w:val="SourceCode"/>
        <w:numPr>
          <w:ilvl w:val="0"/>
          <w:numId w:val="1000"/>
        </w:numPr>
      </w:pPr>
      <w:r>
        <w:rPr>
          <w:rStyle w:val="VerbatimChar"/>
        </w:rPr>
        <w:t xml:space="preserve">B_{\mathrm{Geb,Ziel}}=E_{\mathrm{PV,Geb}}+G_{\mathrm{MIV}}-E_{\mathrm{Geb}}-E_{\mathrm{MIV}}.</w:t>
      </w:r>
    </w:p>
    <w:p>
      <w:pPr>
        <w:numPr>
          <w:ilvl w:val="0"/>
          <w:numId w:val="1011"/>
        </w:numPr>
      </w:pPr>
      <w:r>
        <w:rPr>
          <w:b/>
          <w:bCs/>
        </w:rPr>
        <w:t xml:space="preserve">Kapitel/03-allokation.qmd, Ausgangszeile 79: Umformulierung / Umgliederung.</w:t>
      </w:r>
    </w:p>
    <w:p>
      <w:pPr>
        <w:numPr>
          <w:ilvl w:val="0"/>
          <w:numId w:val="1000"/>
        </w:numPr>
      </w:pPr>
      <w:r>
        <w:t xml:space="preserve">Bisher:</w:t>
      </w:r>
    </w:p>
    <w:p>
      <w:pPr>
        <w:pStyle w:val="SourceCode"/>
        <w:numPr>
          <w:ilvl w:val="0"/>
          <w:numId w:val="1000"/>
        </w:numPr>
      </w:pPr>
      <w:r>
        <w:rPr>
          <w:rStyle w:val="VerbatimChar"/>
        </w:rPr>
        <w:t xml:space="preserve">Ob weitere Strombedarfe oder Zuordnungen hinzukommen, ist am UBA-Sektormodell zu prüfen. Diese Gleichung wird im folgenden Rechenanhang für ausdrücklich gesetzte Annahmen ausgewertet. Der nationale Abgleich erfolgt zunächst auf elektrischer Endenergiebasis. Die spätere Bewertung mit heutigen Primärenergiefaktoren bleibt ein eigener Schritt; elektrische und primärenergetische Größen dürfen nicht unmittelbar gleichgesetzt werden.</w:t>
      </w:r>
    </w:p>
    <w:p>
      <w:pPr>
        <w:numPr>
          <w:ilvl w:val="0"/>
          <w:numId w:val="1000"/>
        </w:numPr>
      </w:pPr>
      <w:r>
        <w:t xml:space="preserve">Jetzt:</w:t>
      </w:r>
    </w:p>
    <w:p>
      <w:pPr>
        <w:pStyle w:val="SourceCode"/>
        <w:numPr>
          <w:ilvl w:val="0"/>
          <w:numId w:val="1000"/>
        </w:numPr>
      </w:pPr>
      <w:r>
        <w:rPr>
          <w:rStyle w:val="VerbatimChar"/>
        </w:rPr>
        <w:t xml:space="preserve">Im Referenzfall: $149+24-108-72=-7$ PJ/a. Ohne MIV beträgt der Gebäudesaldo $149-108=+41$ PJ/a. Das MIV-Budget von 24 PJ/a entspricht 6,667 TWh/a.</w:t>
      </w:r>
    </w:p>
    <w:p>
      <w:pPr>
        <w:numPr>
          <w:ilvl w:val="0"/>
          <w:numId w:val="1011"/>
        </w:numPr>
      </w:pPr>
      <w:r>
        <w:rPr>
          <w:b/>
          <w:bCs/>
        </w:rPr>
        <w:t xml:space="preserve">Kapitel/03-allokation.qmd, Ausgangszeile 81: Umformulierung / Umgliederung.</w:t>
      </w:r>
    </w:p>
    <w:p>
      <w:pPr>
        <w:numPr>
          <w:ilvl w:val="0"/>
          <w:numId w:val="1000"/>
        </w:numPr>
      </w:pPr>
      <w:r>
        <w:t xml:space="preserve">Bisher:</w:t>
      </w:r>
    </w:p>
    <w:p>
      <w:pPr>
        <w:pStyle w:val="SourceCode"/>
        <w:numPr>
          <w:ilvl w:val="0"/>
          <w:numId w:val="1000"/>
        </w:numPr>
      </w:pPr>
      <w:r>
        <w:rPr>
          <w:rStyle w:val="VerbatimChar"/>
        </w:rPr>
        <w:t xml:space="preserve">## Vorläufige quantitative Allokation {#sec-allokation-ergebnisse}</w:t>
      </w:r>
    </w:p>
    <w:p>
      <w:pPr>
        <w:numPr>
          <w:ilvl w:val="0"/>
          <w:numId w:val="1000"/>
        </w:numPr>
      </w:pPr>
      <w:r>
        <w:t xml:space="preserve">Jetzt:</w:t>
      </w:r>
    </w:p>
    <w:p>
      <w:pPr>
        <w:pStyle w:val="SourceCode"/>
        <w:numPr>
          <w:ilvl w:val="0"/>
          <w:numId w:val="1000"/>
        </w:numPr>
      </w:pPr>
      <w:r>
        <w:rPr>
          <w:rStyle w:val="VerbatimChar"/>
        </w:rPr>
        <w:t xml:space="preserve">## Quantitative Allokation und Stellschrauben {#sec-allokation-ergebnisse}</w:t>
      </w:r>
    </w:p>
    <w:p>
      <w:pPr>
        <w:numPr>
          <w:ilvl w:val="0"/>
          <w:numId w:val="1011"/>
        </w:numPr>
      </w:pPr>
      <w:r>
        <w:rPr>
          <w:b/>
          <w:bCs/>
        </w:rPr>
        <w:t xml:space="preserve">Kapitel/03-allokation.qmd, Ausgangszeile 83: Umformulierung / Umgliederung.</w:t>
      </w:r>
    </w:p>
    <w:p>
      <w:pPr>
        <w:numPr>
          <w:ilvl w:val="0"/>
          <w:numId w:val="1000"/>
        </w:numPr>
      </w:pPr>
      <w:r>
        <w:t xml:space="preserve">Bisher:</w:t>
      </w:r>
    </w:p>
    <w:p>
      <w:pPr>
        <w:pStyle w:val="SourceCode"/>
        <w:numPr>
          <w:ilvl w:val="0"/>
          <w:numId w:val="1000"/>
        </w:numPr>
      </w:pPr>
      <w:r>
        <w:rPr>
          <w:rStyle w:val="VerbatimChar"/>
        </w:rPr>
        <w:t xml:space="preserve">Der ausführbare Anhang @sec-allokation-notebook enthält die vollständigen Berechnungen, Parameter und Bilanzkontrollen. Grundlage sind REP-0880 Tabelle 15 (S. 60) und Tabelle 16 (S. 63). Das Modell arbeitet mit 457 PJ Stromerzeugung, 7 PJ Nettoexport und 452 PJ Bedarfskomponenten. Die publizierte Bedarfssumme beträgt 450 PJ; der Komponentenrest von −2 PJ wird erhalten [@uba2023transition].</w:t>
      </w:r>
    </w:p>
    <w:p>
      <w:pPr>
        <w:numPr>
          <w:ilvl w:val="0"/>
          <w:numId w:val="1000"/>
        </w:numPr>
      </w:pPr>
      <w:r>
        <w:t xml:space="preserve">Jetzt:</w:t>
      </w:r>
    </w:p>
    <w:p>
      <w:pPr>
        <w:pStyle w:val="SourceCode"/>
        <w:numPr>
          <w:ilvl w:val="0"/>
          <w:numId w:val="1000"/>
        </w:numPr>
      </w:pPr>
      <w:r>
        <w:rPr>
          <w:rStyle w:val="VerbatimChar"/>
        </w:rPr>
        <w:t xml:space="preserve">Die Rechnung verwendet 457 PJ/a Erzeugung, 7 PJ/a Nettoexport und 452 PJ/a Bedarfskomponenten. Der Rest von −2 PJ/a bleibt in der nationalen Zuordnungsbilanz erhalten. Die veröffentlichten Summen und ihre Rundungsreste stehen in @sec-szenariotabellen.</w:t>
      </w:r>
    </w:p>
    <w:p>
      <w:pPr>
        <w:numPr>
          <w:ilvl w:val="0"/>
          <w:numId w:val="1011"/>
        </w:numPr>
      </w:pPr>
      <w:r>
        <w:rPr>
          <w:b/>
          <w:bCs/>
        </w:rPr>
        <w:t xml:space="preserve">Kapitel/03-allokation.qmd, Ausgangszeile 85: Umformulierung / Umgliederung.</w:t>
      </w:r>
    </w:p>
    <w:p>
      <w:pPr>
        <w:numPr>
          <w:ilvl w:val="0"/>
          <w:numId w:val="1000"/>
        </w:numPr>
      </w:pPr>
      <w:r>
        <w:t xml:space="preserve">Bisher:</w:t>
      </w:r>
    </w:p>
    <w:p>
      <w:pPr>
        <w:pStyle w:val="SourceCode"/>
        <w:numPr>
          <w:ilvl w:val="0"/>
          <w:numId w:val="1000"/>
        </w:numPr>
      </w:pPr>
      <w:r>
        <w:rPr>
          <w:rStyle w:val="VerbatimChar"/>
        </w:rPr>
        <w:t xml:space="preserve">### Rechenannahmen und gemeinsamer nationaler Saldo</w:t>
      </w:r>
      <w:r>
        <w:br/>
      </w:r>
      <w:r>
        <w:br/>
      </w:r>
      <w:r>
        <w:rPr>
          <w:rStyle w:val="VerbatimChar"/>
        </w:rPr>
        <w:t xml:space="preserve">Das **vorläufige Rechenbeispiel** ordnet die gesamte PV-Erzeugung den Gebäuden zu und teilt den elektrischen Verkehrsbedarf in 80 % MIV und 20 % ÖPNV. Diese Anteile sind keine UBA-Ergebnisse oder bereits beschlossenen Vorgaben. Andere Verkehrsbedarfe bleiben als eigene parametrierbare Kategorie vorgesehen; ihr Nullanteil gilt nur im Beispiel.</w:t>
      </w:r>
      <w:r>
        <w:br/>
      </w:r>
      <w:r>
        <w:br/>
      </w:r>
      <w:r>
        <w:rPr>
          <w:rStyle w:val="VerbatimChar"/>
        </w:rPr>
        <w:t xml:space="preserve">Dem zentralen Pool werden Wasser (173 PJ), Wind (105 PJ), Biomasse (21 PJ) und vorläufig die gesamte normierte Position Geothermie/sonstige (4 PJ) zugeordnet. Die 4 PJ Wasserstoff-Rückverstromung bleiben mangels dokumentierter Herkunft zunächst außerhalb des budgetfähigen Pools; ihre volle Anrechnung wird als eigene Variante gezeigt. Die fossile Erzeugung von 1 PJ bleibt separat. Diese Zuordnung ist eine Rechenannahme, kein Herkunftsnachweis einzelner Strommengen.</w:t>
      </w:r>
      <w:r>
        <w:br/>
      </w:r>
      <w:r>
        <w:br/>
      </w:r>
      <w:r>
        <w:rPr>
          <w:rStyle w:val="VerbatimChar"/>
        </w:rPr>
        <w:t xml:space="preserve">| Rechenschritt im Beispiel | Elektrische Jahresenergie [PJ/a] |</w:t>
      </w:r>
      <w:r>
        <w:br/>
      </w:r>
      <w:r>
        <w:rPr>
          <w:rStyle w:val="VerbatimChar"/>
        </w:rPr>
        <w:t xml:space="preserve">|---|---:|</w:t>
      </w:r>
      <w:r>
        <w:br/>
      </w:r>
      <w:r>
        <w:rPr>
          <w:rStyle w:val="VerbatimChar"/>
        </w:rPr>
        <w:t xml:space="preserve">| Zentral budgetfähige Erzeugung | 303 |</w:t>
      </w:r>
      <w:r>
        <w:br/>
      </w:r>
      <w:r>
        <w:rPr>
          <w:rStyle w:val="VerbatimChar"/>
        </w:rPr>
        <w:t xml:space="preserve">| Industrie | −140 |</w:t>
      </w:r>
      <w:r>
        <w:br/>
      </w:r>
      <w:r>
        <w:rPr>
          <w:rStyle w:val="VerbatimChar"/>
        </w:rPr>
        <w:t xml:space="preserve">| Landwirtschaft | −4 |</w:t>
      </w:r>
      <w:r>
        <w:br/>
      </w:r>
      <w:r>
        <w:rPr>
          <w:rStyle w:val="VerbatimChar"/>
        </w:rPr>
        <w:t xml:space="preserve">| Verbrauch des Energiesektors | −34 |</w:t>
      </w:r>
      <w:r>
        <w:br/>
      </w:r>
      <w:r>
        <w:rPr>
          <w:rStyle w:val="VerbatimChar"/>
        </w:rPr>
        <w:t xml:space="preserve">| Umwandlungseinsatz | −57 |</w:t>
      </w:r>
      <w:r>
        <w:br/>
      </w:r>
      <w:r>
        <w:rPr>
          <w:rStyle w:val="VerbatimChar"/>
        </w:rPr>
        <w:t xml:space="preserve">| Transportverluste | −19 |</w:t>
      </w:r>
      <w:r>
        <w:br/>
      </w:r>
      <w:r>
        <w:rPr>
          <w:rStyle w:val="VerbatimChar"/>
        </w:rPr>
        <w:t xml:space="preserve">| Nettoexport | −7 |</w:t>
      </w:r>
      <w:r>
        <w:br/>
      </w:r>
      <w:r>
        <w:rPr>
          <w:rStyle w:val="VerbatimChar"/>
        </w:rPr>
        <w:t xml:space="preserve">| ÖPNV, hier 20 % von 90 PJ Verkehr | −18 |</w:t>
      </w:r>
      <w:r>
        <w:br/>
      </w:r>
      <w:r>
        <w:rPr>
          <w:rStyle w:val="VerbatimChar"/>
        </w:rPr>
        <w:t xml:space="preserve">| **Verbleibendes MIV-Budget** | **24** |</w:t>
      </w:r>
      <w:r>
        <w:br/>
      </w:r>
      <w:r>
        <w:br/>
      </w:r>
      <w:r>
        <w:rPr>
          <w:rStyle w:val="VerbatimChar"/>
        </w:rPr>
        <w:t xml:space="preserve">Die Systembedarfe und der Nettoexport werden in diesem Modell einmalig vorrangig aus dem zentralen Pool finanziert. Eine alternative Priorität wäre eine zusätzliche normative Entscheidung. Bei Anrechnung der Rückverstromung bleibt der Umwandlungseinsatz bestehen; er wird nicht zusätzlich als Erzeugung behandelt.</w:t>
      </w:r>
      <w:r>
        <w:br/>
      </w:r>
      <w:r>
        <w:br/>
      </w:r>
      <w:r>
        <w:rPr>
          <w:rStyle w:val="VerbatimChar"/>
        </w:rPr>
        <w:t xml:space="preserve">Bei 149 PJ Gebäude-PV und 108 PJ Betriebsstrombedarf beträgt der betriebliche Gebäudesaldo +41 PJ/a. Mit 72 PJ MIV-Bedarf und 24 PJ einmalig zugeordnetem MIV-Budget ergibt sich für die **erweiterte Bilanzgrenze Gebäude einschließlich MIV ein Zielsaldo von −7 PJ/a**. Das elektrische MIV-Budget entspricht **6,667 TWh/a**. Es ist noch keine Primärenergie- oder flächenbezogene Gutschrift.</w:t>
      </w:r>
      <w:r>
        <w:br/>
      </w:r>
      <w:r>
        <w:br/>
      </w:r>
      <w:r>
        <w:rPr>
          <w:rStyle w:val="VerbatimChar"/>
        </w:rPr>
        <w:t xml:space="preserve">### Stellschrauben und Grenzen</w:t>
      </w:r>
    </w:p>
    <w:p>
      <w:pPr>
        <w:numPr>
          <w:ilvl w:val="0"/>
          <w:numId w:val="1000"/>
        </w:numPr>
      </w:pPr>
      <w:r>
        <w:t xml:space="preserve">Jetzt:</w:t>
      </w:r>
    </w:p>
    <w:p>
      <w:pPr>
        <w:pStyle w:val="SourceCode"/>
        <w:numPr>
          <w:ilvl w:val="0"/>
          <w:numId w:val="1000"/>
        </w:numPr>
      </w:pPr>
      <w:r>
        <w:rPr>
          <w:rStyle w:val="VerbatimChar"/>
        </w:rPr>
        <w:t xml:space="preserve">Die folgenden Tabellen zeigen **Gesamtmenge und Teilmengen**. Alle Werte sind PJ Strom/a. PV-Anteile beziehen sich auf die nationale PV-Erzeugung; Verkehrsanteile auf den nationalen elektrischen Verkehrsbedarf. Die gewählten Anteile sind Varianten des Modells, keine von UBA veröffentlichten Aufteilungen.</w:t>
      </w:r>
    </w:p>
    <w:p>
      <w:pPr>
        <w:numPr>
          <w:ilvl w:val="0"/>
          <w:numId w:val="1011"/>
        </w:numPr>
      </w:pPr>
      <w:r>
        <w:rPr>
          <w:b/>
          <w:bCs/>
        </w:rPr>
        <w:t xml:space="preserve">Kapitel/03-allokation.qmd, Ausgangszeile 111: Umformulierung / Umgliederung.</w:t>
      </w:r>
    </w:p>
    <w:p>
      <w:pPr>
        <w:numPr>
          <w:ilvl w:val="0"/>
          <w:numId w:val="1000"/>
        </w:numPr>
      </w:pPr>
      <w:r>
        <w:t xml:space="preserve">Bisher:</w:t>
      </w:r>
    </w:p>
    <w:p>
      <w:pPr>
        <w:pStyle w:val="SourceCode"/>
        <w:numPr>
          <w:ilvl w:val="0"/>
          <w:numId w:val="1000"/>
        </w:numPr>
      </w:pPr>
      <w:r>
        <w:rPr>
          <w:rStyle w:val="VerbatimChar"/>
        </w:rPr>
        <w:t xml:space="preserve">![Auswirkung weniger expliziter Rechenvarianten auf elektrisches MIV-Budget und erweiterten Gebäudesektorsaldo. Der Fall mit 40 % MIV enthält einen ungedeckten zentralen Bedarf und ist keine geschlossene Deckungszuordnung.](../Berechnungen/sektorenmodell/outputs/allokation/allokation_varianten.png){#fig-allokation-varianten width="100%"}</w:t>
      </w:r>
      <w:r>
        <w:br/>
      </w:r>
      <w:r>
        <w:br/>
      </w:r>
      <w:r>
        <w:rPr>
          <w:rStyle w:val="VerbatimChar"/>
        </w:rPr>
        <w:t xml:space="preserve">Mit \(f\) als Anteil der PV außerhalb von Gebäuden, \(m\) als elektrischem MIV-Anteil und \(h\) als angerechnetem Anteil der 4 PJ Rückverstromung gilt für die oben gewählten übrigen Zuordnungen:</w:t>
      </w:r>
      <w:r>
        <w:br/>
      </w:r>
      <w:r>
        <w:br/>
      </w:r>
      <w:r>
        <w:rPr>
          <w:rStyle w:val="VerbatimChar"/>
        </w:rPr>
        <w:t xml:space="preserve">$$</w:t>
      </w:r>
      <w:r>
        <w:br/>
      </w:r>
      <w:r>
        <w:rPr>
          <w:rStyle w:val="VerbatimChar"/>
        </w:rPr>
        <w:t xml:space="preserve">E_{MIV,Budget}^{el}=90m-48+4h,\qquad B_{Geb,Ziel}^{el}=-7+4h-149f.</w:t>
      </w:r>
      <w:r>
        <w:br/>
      </w:r>
      <w:r>
        <w:rPr>
          <w:rStyle w:val="VerbatimChar"/>
        </w:rPr>
        <w:t xml:space="preserve">$$</w:t>
      </w:r>
      <w:r>
        <w:br/>
      </w:r>
      <w:r>
        <w:br/>
      </w:r>
      <w:r>
        <w:rPr>
          <w:rStyle w:val="VerbatimChar"/>
        </w:rPr>
        <w:t xml:space="preserve">Diese vereinfachten Beziehungen gelten nur, solange der zentrale Rest nicht negativ ist und das Budget den MIV-Bedarf nicht überschreitet. Der ausführbare Algorithmus weist bei einem negativen Rest einen Fehlbetrag aus und vergibt keine negative Gutschrift. Ein überschüssiger Rest oberhalb des MIV-Bedarfs bliebe unverteilt. Bei gedeckter Priorität heben sich Änderungen des MIV-Bedarfs und seiner zugeordneten Deckung im Gebäudesaldo auf; sie verändern dennoch das MIV-Budget.</w:t>
      </w:r>
      <w:r>
        <w:br/>
      </w:r>
      <w:r>
        <w:br/>
      </w:r>
      <w:r>
        <w:rPr>
          <w:rStyle w:val="VerbatimChar"/>
        </w:rPr>
        <w:t xml:space="preserve">PV außerhalb von Gebäuden bleibt in diesen Varianten ein **noch nicht zugeordneter Pool**. Ihr Betrag wird weder dem nicht-PV-Mobilitätsbudget zugeschlagen noch aus der nationalen Prüfung entfernt. Der Gebäudesaldo plus verbleibender zentraler Rest plus andere PV plus nicht budgetfähige Erzeugung entspricht in allen Fällen dem Quellenrest von −2 PJ. Die Abhängigkeit von \(f\) bedeutet somit nicht, dass andere PV national verloren geht, sondern dass ihre Zuteilung noch aussteht.</w:t>
      </w:r>
      <w:r>
        <w:br/>
      </w:r>
      <w:r>
        <w:br/>
      </w:r>
      <w:r>
        <w:rPr>
          <w:rStyle w:val="VerbatimChar"/>
        </w:rPr>
        <w:t xml:space="preserve">### Endenergiezuordnung und spätere Primärenergiebewertung</w:t>
      </w:r>
      <w:r>
        <w:br/>
      </w:r>
      <w:r>
        <w:br/>
      </w:r>
      <w:r>
        <w:rPr>
          <w:rStyle w:val="VerbatimChar"/>
        </w:rPr>
        <w:t xml:space="preserve">Die sektorale Zuordnung für 2040 erfolgt hier auf elektrischer Endenergiebasis. Eine nachgelagerte PE-Bewertung soll mit einem dokumentierten heutigen Konversionsfaktorensatz die Vergleichbarkeit mit heutigen Nachweisverfahren herstellen. Sie ist keine Prognose der Primärenergieintensität 2040. Ohne belegte Faktoren, Zeitgewichtung, Nutzungsanteile und Flächen wird aus dem elektrischen MIV-Budget keine neue spezifische PE-Gutschrift berechnet. Die historische Operationalisierung wird nicht durch dieses Rechenbeispiel ersetzt.</w:t>
      </w:r>
      <w:r>
        <w:br/>
      </w:r>
      <w:r>
        <w:br/>
      </w:r>
      <w:r>
        <w:rPr>
          <w:rStyle w:val="VerbatimChar"/>
        </w:rPr>
        <w:t xml:space="preserve">Die Bottom-up-Gebäudesektorrechnung liegt inzwischen auf Basis der aktualisierten Typologie-Excel vor (@sec-gebaeudebestand; @sec-gebaeudesektormodell). Der gelieferte Pool erreicht einen betrieblichen Stromsaldo von −59,25 PJ/a; unter derselben MIV-Zuordnung ergibt sich −107,25 PJ/a und damit ein Abstand von −100,25 PJ/a zum hier dargestellten Top-down-Beispiel. Die Festlegung der PEQ-Anteile, der PV-Ausstattung und der Dichtekalibrierung bleibt offen. Die Differenz ist kein Rundungsrest und wird nicht durch eine zusätzliche Gutschrift geschlossen.</w:t>
      </w:r>
      <w:r>
        <w:br/>
      </w:r>
      <w:r>
        <w:br/>
      </w:r>
      <w:r>
        <w:rPr>
          <w:rStyle w:val="VerbatimChar"/>
        </w:rPr>
        <w:t xml:space="preserve">## Bilanzschluss, Konsistenz und Freigabe der Kalibriergrundlage</w:t>
      </w:r>
      <w:r>
        <w:br/>
      </w:r>
      <w:r>
        <w:br/>
      </w:r>
      <w:r>
        <w:rPr>
          <w:rStyle w:val="VerbatimChar"/>
        </w:rPr>
        <w:t xml:space="preserve">Vor der Übernahme in @sec-kalibrierung sind sowohl die nationalen Stromsummen als auch die Zuordnungen zu schließen: Erzeugung und Bedarf laut Quelle, zugeordnete Mengen je Pool und Sektor, separat ausgewiesene Rest- und Verlustpositionen sowie Umrechnung in die für die Quartiersbewertung relevanten Größen. Die Summe der sektoralen Ansprüche darf verfügbare erneuerbare Ressourcen nicht mehrfach beanspruchen.</w:t>
      </w:r>
      <w:r>
        <w:br/>
      </w:r>
      <w:r>
        <w:br/>
      </w:r>
      <w:r>
        <w:rPr>
          <w:rStyle w:val="VerbatimChar"/>
        </w:rPr>
        <w:t xml:space="preserve">::: {.callout-important title="Noch abzustimmende Allokationsparameter"}</w:t>
      </w:r>
      <w:r>
        <w:br/>
      </w:r>
      <w:r>
        <w:rPr>
          <w:rStyle w:val="VerbatimChar"/>
        </w:rPr>
        <w:t xml:space="preserve">**Offen:** genaue Zuordnung der UBA-Technologien zur zentralen Nettoerzeugung; Anteil Gebäude-PV versus übrige PV; nachgewiesene Zerlegung des Verkehrs in MIV/ÖPNV/übrigen Verkehr; Behandlung von Umwandlungs- und Speicherpositionen; primärenergetische Umrechnung; schließlich der abgestimmte nationale Gebäudesektorsaldo und das MIV-Budget. Die vorläufigen Zahlen in @sec-allokation-ergebnisse sind ausdrücklich bedingte Rechenergebnisse; sie werden nicht als gültige PEQ-Gutschriften oder freigegebene Zielwerte ausgegeben.</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src="../Abbildungen/methodik/allokation_deckung.html" title="Bedarf und Deckung von Gebäude und MIV je Variante" style="width:100%;height:690px;border:0" loading="lazy"&gt;&lt;/iframe&gt;</w:t>
      </w:r>
      <w:r>
        <w:br/>
      </w:r>
      <w:r>
        <w:rPr>
          <w:rStyle w:val="VerbatimChar"/>
        </w:rPr>
        <w:t xml:space="preserve">```</w:t>
      </w:r>
      <w:r>
        <w:br/>
      </w:r>
      <w:r>
        <w:rPr>
          <w:rStyle w:val="VerbatimChar"/>
        </w:rPr>
        <w:t xml:space="preserve">[Grafik separat öffnen](../Abbildungen/methodik/allokation_deckung.html)</w:t>
      </w:r>
    </w:p>
    <w:p>
      <w:pPr>
        <w:numPr>
          <w:ilvl w:val="0"/>
          <w:numId w:val="1011"/>
        </w:numPr>
      </w:pPr>
      <w:r>
        <w:rPr>
          <w:b/>
          <w:bCs/>
        </w:rPr>
        <w:t xml:space="preserve">Kapitel/03-allokation.qmd, Ausgangszeile 137: Umformulierung / Umgliederung.</w:t>
      </w:r>
    </w:p>
    <w:p>
      <w:pPr>
        <w:numPr>
          <w:ilvl w:val="0"/>
          <w:numId w:val="1000"/>
        </w:numPr>
      </w:pPr>
      <w:r>
        <w:t xml:space="preserve">Bisher:</w:t>
      </w:r>
    </w:p>
    <w:p>
      <w:pPr>
        <w:pStyle w:val="SourceCode"/>
        <w:numPr>
          <w:ilvl w:val="0"/>
          <w:numId w:val="1000"/>
        </w:numPr>
      </w:pPr>
      <w:r>
        <w:rPr>
          <w:rStyle w:val="VerbatimChar"/>
        </w:rPr>
        <w:t xml:space="preserve">::: {.callout-note title="Historische Referenz – keine aktuelle Kalibrierung"}</w:t>
      </w:r>
      <w:r>
        <w:br/>
      </w:r>
      <w:r>
        <w:rPr>
          <w:rStyle w:val="VerbatimChar"/>
        </w:rPr>
        <w:t xml:space="preserve">Die Streicher-basierte Operationalisierung 2023 wies dem Gebäudesektor 114,8 PJ/a PV-Erzeugung und 137,6 PJ/a Strombedarf nach sektoraler Zuordnung zu; daraus ergab sich ein Saldo von rund −22,7 PJ/a [@schneider2023context, Tab. 6]. Diese Größen dienen ausschließlich der Nachvollziehbarkeit der ursprünglichen Methode und werden **nicht** auf UBA Transition 2040 übertragen.</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src="../Abbildungen/methodik/allokation_saldo.html" title="Saldo und zentrale Unterdeckung je Variante" style="width:100%;height:620px;border:0" loading="lazy"&gt;&lt;/iframe&gt;</w:t>
      </w:r>
      <w:r>
        <w:br/>
      </w:r>
      <w:r>
        <w:rPr>
          <w:rStyle w:val="VerbatimChar"/>
        </w:rPr>
        <w:t xml:space="preserve">```</w:t>
      </w:r>
      <w:r>
        <w:br/>
      </w:r>
      <w:r>
        <w:rPr>
          <w:rStyle w:val="VerbatimChar"/>
        </w:rPr>
        <w:t xml:space="preserve">[Grafik separat öffnen](../Abbildungen/methodik/allokation_saldo.html)</w:t>
      </w:r>
    </w:p>
    <w:p>
      <w:pPr>
        <w:numPr>
          <w:ilvl w:val="0"/>
          <w:numId w:val="1011"/>
        </w:numPr>
      </w:pPr>
      <w:r>
        <w:rPr>
          <w:b/>
          <w:bCs/>
        </w:rPr>
        <w:t xml:space="preserve">Kapitel/03-allokation.qmd, Ausgangszeile 140: Ergänzung.</w:t>
      </w:r>
    </w:p>
    <w:p>
      <w:pPr>
        <w:numPr>
          <w:ilvl w:val="0"/>
          <w:numId w:val="1000"/>
        </w:numPr>
      </w:pPr>
      <w:r>
        <w:t xml:space="preserve">Jetzt:</w:t>
      </w:r>
    </w:p>
    <w:p>
      <w:pPr>
        <w:pStyle w:val="SourceCode"/>
        <w:numPr>
          <w:ilvl w:val="0"/>
          <w:numId w:val="1000"/>
        </w:numPr>
      </w:pPr>
      <w:r>
        <w:br/>
      </w:r>
      <w:r>
        <w:br/>
      </w:r>
      <w:r>
        <w:rPr>
          <w:rStyle w:val="VerbatimChar"/>
        </w:rPr>
        <w:t xml:space="preserve">Je Variante stehen **Gebäudestrombedarf + MIV-Strombedarf** der Deckung aus **Gebäude-PV + Mobilitätsgutschrift** gegenüber. Das zweite Diagramm zeigt den resultierenden Saldo und einen etwaigen zentralen Fehlbetrag. Der positive Gebäudesaldo der 40-%-MIV-Variante ist daher zusammen mit der zentralen Unterdeckung von 12 PJ/a zu lesen.</w:t>
      </w:r>
      <w:r>
        <w:br/>
      </w:r>
      <w:r>
        <w:br/>
      </w:r>
      <w:r>
        <w:rPr>
          <w:rStyle w:val="VerbatimChar"/>
        </w:rPr>
        <w:t xml:space="preserve">Mit $f$ als Freiflächenanteil der PV, $m$ als MIV-Anteil am Verkehr und $h$ als angerechnetem Anteil der H₂-Rückverstromung ergibt sich bei gedeckter Priorität und nicht bindender Budgetobergrenze:</w:t>
      </w:r>
      <w:r>
        <w:br/>
      </w:r>
      <w:r>
        <w:br/>
      </w:r>
      <w:r>
        <w:rPr>
          <w:rStyle w:val="VerbatimChar"/>
        </w:rPr>
        <w:t xml:space="preserve">$$G_{\mathrm{MIV}}=90m-48+4h,\qquad B_{\mathrm{Geb,Ziel}}=-7+4h-149f.$$</w:t>
      </w:r>
      <w:r>
        <w:br/>
      </w:r>
      <w:r>
        <w:br/>
      </w:r>
      <w:r>
        <w:rPr>
          <w:rStyle w:val="VerbatimChar"/>
        </w:rPr>
        <w:t xml:space="preserve">Eine Änderung des MIV-Anteils verändert Bedarf und Budget im selben Umfang, solange diese Bedingungen gelten. Mehr Freiflächen-PV vermindert dagegen die dem Gebäude zugeordnete Deckung. Die nicht zugeordnete PV bleibt Bestandteil der nationalen Bilanz.</w:t>
      </w:r>
      <w:r>
        <w:br/>
      </w:r>
      <w:r>
        <w:br/>
      </w:r>
      <w:r>
        <w:rPr>
          <w:rStyle w:val="VerbatimChar"/>
        </w:rPr>
        <w:t xml:space="preserve">## Übergang zur Gebäude- und Quartiersbewertung</w:t>
      </w:r>
      <w:r>
        <w:br/>
      </w:r>
      <w:r>
        <w:br/>
      </w:r>
      <w:r>
        <w:rPr>
          <w:rStyle w:val="VerbatimChar"/>
        </w:rPr>
        <w:t xml:space="preserve">Der Gebäudepool erreicht −59,25 PJ/a im Betrieb und −107,25 PJ/a einschließlich derselben MIV-Zuordnung. Der Abstand zum Top-down-Ziel beträgt damit −100,25 PJ/a (@sec-gebaeudebestand). Er kennzeichnet Unterschiede in PV-Erzeugung und Gebäudebedarf der beiden Szenarien.</w:t>
      </w:r>
      <w:r>
        <w:br/>
      </w:r>
      <w:r>
        <w:br/>
      </w:r>
      <w:r>
        <w:rPr>
          <w:rStyle w:val="VerbatimChar"/>
        </w:rPr>
        <w:t xml:space="preserve">Die sektorale Kalibrierung erfolgt auf elektrischer Endenergiebasis. Für den Quartiersnachweis werden die Ergebnisse mit dem dokumentierten heutigen PE-Faktorensatz bewertet. Die nutzungsbezogene Verteilung des Mobilitätsbudgets steht in @sec-kontext-mobilitaet, die Dichte- und Typologiekalibrierung in @sec-kalibrierung. Der Entwurf dokumentiert die verwendeten Annahmen und ihren Ergebnisstand; eine normative Festlegung von PEQ-Flächenanteilen und neuer Dichtefunktion ist darin nicht enthalten.</w:t>
      </w:r>
    </w:p>
    <w:p>
      <w:pPr>
        <w:numPr>
          <w:ilvl w:val="0"/>
          <w:numId w:val="1011"/>
        </w:numPr>
      </w:pPr>
      <w:r>
        <w:rPr>
          <w:b/>
          <w:bCs/>
        </w:rPr>
        <w:t xml:space="preserve">Kapitel/03-gebaeudebestand.qmd, Ausgangszeile 7: Umformulierung / Umgliederung.</w:t>
      </w:r>
    </w:p>
    <w:p>
      <w:pPr>
        <w:numPr>
          <w:ilvl w:val="0"/>
          <w:numId w:val="1000"/>
        </w:numPr>
      </w:pPr>
      <w:r>
        <w:t xml:space="preserve">Bisher:</w:t>
      </w:r>
    </w:p>
    <w:p>
      <w:pPr>
        <w:pStyle w:val="SourceCode"/>
        <w:numPr>
          <w:ilvl w:val="0"/>
          <w:numId w:val="1000"/>
        </w:numPr>
      </w:pPr>
      <w:r>
        <w:rPr>
          <w:rStyle w:val="VerbatimChar"/>
        </w:rPr>
        <w:t xml:space="preserve">Das Gebäudesektormodell verknüpft die Flächenstruktur des Zieljahres 2040 mit den energetischen Kennwerten der Gebäudetypen und ihren Dichteverteilungen. Es bildet die Bottom-up-Seite zur sektoralen Allokation in @sec-allokation. Die erste Auswertung des gelieferten Pools ergibt **137,49 PJ/a Strombedarf**, **78,25 PJ/a PV-Erzeugung** und einen **betrieblichen Stromsaldo von −59,25 PJ/a**. Diese Zahlen beschreiben den gelieferten Szenariostand. Sie sind noch keine mit UBA Transition abgestimmten PEQ-Zielwerte.</w:t>
      </w:r>
    </w:p>
    <w:p>
      <w:pPr>
        <w:numPr>
          <w:ilvl w:val="0"/>
          <w:numId w:val="1000"/>
        </w:numPr>
      </w:pPr>
      <w:r>
        <w:t xml:space="preserve">Jetzt:</w:t>
      </w:r>
    </w:p>
    <w:p>
      <w:pPr>
        <w:pStyle w:val="SourceCode"/>
        <w:numPr>
          <w:ilvl w:val="0"/>
          <w:numId w:val="1000"/>
        </w:numPr>
      </w:pPr>
      <w:r>
        <w:rPr>
          <w:rStyle w:val="VerbatimChar"/>
        </w:rPr>
        <w:t xml:space="preserve">Das Gebäudesektormodell verknüpft die Flächenstruktur des Zieljahres 2040 mit den energetischen Kennwerten der Gebäudetypen und ihren Dichteverteilungen. Es bildet die Bottom-up-Seite zur sektoralen Allokation in @sec-allokation. Die Auswertung des Pools ergibt **137,49 PJ/a Strombedarf**, **78,25 PJ/a PV-Erzeugung** und einen **betrieblichen Stromsaldo von −59,25 PJ/a**. Diese Zahlen beschreiben den gelieferten Szenariostand. Der Abgleich mit UBA Transition zeigt den Szenarioabstand.</w:t>
      </w:r>
    </w:p>
    <w:p>
      <w:pPr>
        <w:numPr>
          <w:ilvl w:val="0"/>
          <w:numId w:val="1011"/>
        </w:numPr>
      </w:pPr>
      <w:r>
        <w:rPr>
          <w:b/>
          <w:bCs/>
        </w:rPr>
        <w:t xml:space="preserve">Kapitel/03-gebaeudebestand.qmd, Ausgangszeile 15: Umformulierung / Umgliederung.</w:t>
      </w:r>
    </w:p>
    <w:p>
      <w:pPr>
        <w:numPr>
          <w:ilvl w:val="0"/>
          <w:numId w:val="1000"/>
        </w:numPr>
      </w:pPr>
      <w:r>
        <w:t xml:space="preserve">Bisher:</w:t>
      </w:r>
    </w:p>
    <w:p>
      <w:pPr>
        <w:pStyle w:val="SourceCode"/>
        <w:numPr>
          <w:ilvl w:val="0"/>
          <w:numId w:val="1000"/>
        </w:numPr>
      </w:pPr>
      <w:r>
        <w:rPr>
          <w:rStyle w:val="VerbatimChar"/>
        </w:rPr>
        <w:t xml:space="preserve">Die nationale Flächensumme beträgt **1.126,579 Mio. m² BGF für 2040**, gegenüber **1.112,341 Mio. m² BGF** in der Quellspalte „heute“. Deren konkretes Bezugsjahr ist noch zu bestätigen. Sie wird deshalb nicht mit 2020 gleichgesetzt. Die Energiekennwerte beziehen sich laut Simulationsblatt auf **NGF**. Für diese erste Aggregation gilt die aus der bestehenden GFZ-Analyse übernommene einheitliche Modellannahme:</w:t>
      </w:r>
    </w:p>
    <w:p>
      <w:pPr>
        <w:numPr>
          <w:ilvl w:val="0"/>
          <w:numId w:val="1000"/>
        </w:numPr>
      </w:pPr>
      <w:r>
        <w:t xml:space="preserve">Jetzt:</w:t>
      </w:r>
    </w:p>
    <w:p>
      <w:pPr>
        <w:pStyle w:val="SourceCode"/>
        <w:numPr>
          <w:ilvl w:val="0"/>
          <w:numId w:val="1000"/>
        </w:numPr>
      </w:pPr>
      <w:r>
        <w:rPr>
          <w:rStyle w:val="VerbatimChar"/>
        </w:rPr>
        <w:t xml:space="preserve">Die nationale Flächensumme beträgt **1.126,579 Mio. m² BGF für 2040**, gegenüber **1.112,341 Mio. m² BGF** in der Quellspalte „heute“. Deren konkretes Bezugsjahr ist nicht bestätigt. Sie wird deshalb nicht mit 2020 gleichgesetzt. Die Energiekennwerte beziehen sich laut Simulationsblatt auf **NGF**. Für die Aggregation gilt die aus der bestehenden GFZ-Analyse übernommene einheitliche Modellannahme:</w:t>
      </w:r>
    </w:p>
    <w:p>
      <w:pPr>
        <w:numPr>
          <w:ilvl w:val="0"/>
          <w:numId w:val="1011"/>
        </w:numPr>
      </w:pPr>
      <w:r>
        <w:rPr>
          <w:b/>
          <w:bCs/>
        </w:rPr>
        <w:t xml:space="preserve">Kapitel/03-gebaeudebestand.qmd, Ausgangszeile 21: Umformulierung / Umgliederung.</w:t>
      </w:r>
    </w:p>
    <w:p>
      <w:pPr>
        <w:numPr>
          <w:ilvl w:val="0"/>
          <w:numId w:val="1000"/>
        </w:numPr>
      </w:pPr>
      <w:r>
        <w:t xml:space="preserve">Bisher:</w:t>
      </w:r>
    </w:p>
    <w:p>
      <w:pPr>
        <w:pStyle w:val="SourceCode"/>
        <w:numPr>
          <w:ilvl w:val="0"/>
          <w:numId w:val="1000"/>
        </w:numPr>
      </w:pPr>
      <w:r>
        <w:rPr>
          <w:rStyle w:val="VerbatimChar"/>
        </w:rPr>
        <w:t xml:space="preserve">Für 2040 folgen daraus 901,263 Mio. m² NGF. Eine typologiespezifische Umrechnung ist später möglich. Es erfolgt keine Skalierung auf die GFZ-Bestandsfläche von 1.058,935 Mio. m² BGF oder auf die separate Flächenannahme der THG-Allokation. Diese Größen haben unterschiedliche Grundlagen.</w:t>
      </w:r>
    </w:p>
    <w:p>
      <w:pPr>
        <w:numPr>
          <w:ilvl w:val="0"/>
          <w:numId w:val="1000"/>
        </w:numPr>
      </w:pPr>
      <w:r>
        <w:t xml:space="preserve">Jetzt:</w:t>
      </w:r>
    </w:p>
    <w:p>
      <w:pPr>
        <w:pStyle w:val="SourceCode"/>
        <w:numPr>
          <w:ilvl w:val="0"/>
          <w:numId w:val="1000"/>
        </w:numPr>
      </w:pPr>
      <w:r>
        <w:rPr>
          <w:rStyle w:val="VerbatimChar"/>
        </w:rPr>
        <w:t xml:space="preserve">Für 2040 folgen daraus 901,263 Mio. m² NGF. Der Flächenfaktor ist für alle Typen einheitlich. Es erfolgt keine Skalierung auf die GFZ-Bestandsfläche von 1.058,935 Mio. m² BGF oder auf die separate Flächenannahme der THG-Allokation. Diese Größen haben unterschiedliche Grundlagen.</w:t>
      </w:r>
    </w:p>
    <w:p>
      <w:pPr>
        <w:numPr>
          <w:ilvl w:val="0"/>
          <w:numId w:val="1011"/>
        </w:numPr>
      </w:pPr>
      <w:r>
        <w:rPr>
          <w:b/>
          <w:bCs/>
        </w:rPr>
        <w:t xml:space="preserve">Kapitel/03-gebaeudebestand.qmd, Ausgangszeile 41: Umformulierung / Umgliederung.</w:t>
      </w:r>
    </w:p>
    <w:p>
      <w:pPr>
        <w:numPr>
          <w:ilvl w:val="0"/>
          <w:numId w:val="1000"/>
        </w:numPr>
      </w:pPr>
      <w:r>
        <w:t xml:space="preserve">Bisher:</w:t>
      </w:r>
    </w:p>
    <w:p>
      <w:pPr>
        <w:pStyle w:val="SourceCode"/>
        <w:numPr>
          <w:ilvl w:val="0"/>
          <w:numId w:val="1000"/>
        </w:numPr>
      </w:pPr>
      <w:r>
        <w:rPr>
          <w:rStyle w:val="VerbatimChar"/>
        </w:rPr>
        <w:t xml:space="preserve">![Flächenverteilung nach Geometrie. „Heute“ bezeichnet die gleichnamige Quellspalte mit noch offenem Bezugsjahr.](../Berechnungen/gebaeudesektormodell/outputs/flaechen.png){#fig-gebaeude-flaechen width="100%"}</w:t>
      </w:r>
    </w:p>
    <w:p>
      <w:pPr>
        <w:numPr>
          <w:ilvl w:val="0"/>
          <w:numId w:val="1000"/>
        </w:numPr>
      </w:pPr>
      <w:r>
        <w:t xml:space="preserve">Jetzt:</w:t>
      </w:r>
    </w:p>
    <w:p>
      <w:pPr>
        <w:pStyle w:val="SourceCode"/>
        <w:numPr>
          <w:ilvl w:val="0"/>
          <w:numId w:val="1000"/>
        </w:numPr>
      </w:pPr>
      <w:r>
        <w:rPr>
          <w:rStyle w:val="VerbatimChar"/>
        </w:rPr>
        <w:t xml:space="preserve">![Flächenverteilung nach Geometrie. „Heute“ bezeichnet die gleichnamige Quellspalte mit nicht festgelegtem Bezugsjahr.](../Berechnungen/gebaeudesektormodell/outputs/flaechen.png){#fig-gebaeude-flaechen width="100%"}</w:t>
      </w:r>
    </w:p>
    <w:p>
      <w:pPr>
        <w:numPr>
          <w:ilvl w:val="0"/>
          <w:numId w:val="1011"/>
        </w:numPr>
      </w:pPr>
      <w:r>
        <w:rPr>
          <w:b/>
          <w:bCs/>
        </w:rPr>
        <w:t xml:space="preserve">Kapitel/03-gebaeudebestand.qmd, Ausgangszeile 43: Umformulierung / Umgliederung.</w:t>
      </w:r>
    </w:p>
    <w:p>
      <w:pPr>
        <w:numPr>
          <w:ilvl w:val="0"/>
          <w:numId w:val="1000"/>
        </w:numPr>
      </w:pPr>
      <w:r>
        <w:t xml:space="preserve">Bisher:</w:t>
      </w:r>
    </w:p>
    <w:p>
      <w:pPr>
        <w:pStyle w:val="SourceCode"/>
        <w:numPr>
          <w:ilvl w:val="0"/>
          <w:numId w:val="1000"/>
        </w:numPr>
      </w:pPr>
      <w:r>
        <w:rPr>
          <w:rStyle w:val="VerbatimChar"/>
        </w:rPr>
        <w:t xml:space="preserve">Die Neubaufläche ist nicht mit dem Nettoflächenzuwachs gleichzusetzen. Für einen nachvollziehbaren Entwicklungspfad fehlen noch die zeitliche Definition dieser Kategorien und eine Übergangsbilanz mit Abbruch, Ersatzneubau und Sanierung. Die Reinschrift enthält ein separates, zunächst leeres Feld für BGF 2020. Es wird nicht automatisch aus „heute“ gefüllt.</w:t>
      </w:r>
    </w:p>
    <w:p>
      <w:pPr>
        <w:numPr>
          <w:ilvl w:val="0"/>
          <w:numId w:val="1000"/>
        </w:numPr>
      </w:pPr>
      <w:r>
        <w:t xml:space="preserve">Jetzt:</w:t>
      </w:r>
    </w:p>
    <w:p>
      <w:pPr>
        <w:pStyle w:val="SourceCode"/>
        <w:numPr>
          <w:ilvl w:val="0"/>
          <w:numId w:val="1000"/>
        </w:numPr>
      </w:pPr>
      <w:r>
        <w:rPr>
          <w:rStyle w:val="VerbatimChar"/>
        </w:rPr>
        <w:t xml:space="preserve">Die Neubaufläche ist nicht mit dem Nettoflächenzuwachs gleichzusetzen. Für einen nachvollziehbaren Entwicklungspfad fehlen die zeitliche Definition dieser Kategorien und eine Übergangsbilanz mit Abbruch, Ersatzneubau und Sanierung. Die Reinschrift enthält ein separates, leeres Feld für BGF 2020. Es wird nicht automatisch aus „heute“ gefüllt.</w:t>
      </w:r>
    </w:p>
    <w:p>
      <w:pPr>
        <w:numPr>
          <w:ilvl w:val="0"/>
          <w:numId w:val="1011"/>
        </w:numPr>
      </w:pPr>
      <w:r>
        <w:rPr>
          <w:b/>
          <w:bCs/>
        </w:rPr>
        <w:t xml:space="preserve">Kapitel/03-gebaeudebestand.qmd, Ausgangszeile 46: Ergänzung.</w:t>
      </w:r>
    </w:p>
    <w:p>
      <w:pPr>
        <w:numPr>
          <w:ilvl w:val="0"/>
          <w:numId w:val="1000"/>
        </w:numPr>
      </w:pPr>
      <w:r>
        <w:t xml:space="preserve">Jetzt:</w:t>
      </w:r>
    </w:p>
    <w:p>
      <w:pPr>
        <w:pStyle w:val="SourceCode"/>
        <w:numPr>
          <w:ilvl w:val="0"/>
          <w:numId w:val="1000"/>
        </w:numPr>
      </w:pPr>
      <w:r>
        <w:br/>
      </w:r>
      <w:r>
        <w:rPr>
          <w:rStyle w:val="VerbatimChar"/>
        </w:rPr>
        <w:t xml:space="preserve">Die PV-Erzeugung wird **aus der Typen-Excel übernommen**: `PV_total_direct` plus `PV_to_Egrid` in `Strombed_estim`, gegengeprüft gegen `PV_total` in `Tabelle2`. Das Sektormodell simuliert keine eigenen PV-Flächen oder Erträge. Alle gelieferten Typen verwenden die Variante `PV30|noFlex`. Die nationale Erzeugung entsteht durch Multiplikation des spezifischen Ertrags mit der zugeordneten NGF; eine zusätzliche GFZ-bedingte Skalierung der PV findet nicht statt.</w:t>
      </w:r>
    </w:p>
    <w:p>
      <w:pPr>
        <w:numPr>
          <w:ilvl w:val="0"/>
          <w:numId w:val="1011"/>
        </w:numPr>
      </w:pPr>
      <w:r>
        <w:rPr>
          <w:b/>
          <w:bCs/>
        </w:rPr>
        <w:t xml:space="preserve">Kapitel/03-gebaeudebestand.qmd, Ausgangszeile 63: Umformulierung / Umgliederung.</w:t>
      </w:r>
    </w:p>
    <w:p>
      <w:pPr>
        <w:numPr>
          <w:ilvl w:val="0"/>
          <w:numId w:val="1000"/>
        </w:numPr>
      </w:pPr>
      <w:r>
        <w:t xml:space="preserve">Bisher:</w:t>
      </w:r>
    </w:p>
    <w:p>
      <w:pPr>
        <w:pStyle w:val="SourceCode"/>
        <w:numPr>
          <w:ilvl w:val="0"/>
          <w:numId w:val="1000"/>
        </w:numPr>
      </w:pPr>
      <w:r>
        <w:rPr>
          <w:rStyle w:val="VerbatimChar"/>
        </w:rPr>
        <w:t xml:space="preserve">Fernwärme-, Gas-, Biomasse- und Ölbedarfe werden eigenständig bilanziert. Geringer elektrischer Heizbedarf dieser Typen bedeutet nicht, dass ihre Wärmeversorgung energiefrei wäre. Die Sammelgröße `EUI_other` wird bei den als `Oel` gekennzeichneten Typen Öl zugeordnet; weitere Beträge blieben separat unter sonstiger thermischer Endenergie erhalten.</w:t>
      </w:r>
    </w:p>
    <w:p>
      <w:pPr>
        <w:numPr>
          <w:ilvl w:val="0"/>
          <w:numId w:val="1000"/>
        </w:numPr>
      </w:pPr>
      <w:r>
        <w:t xml:space="preserve">Jetzt:</w:t>
      </w:r>
    </w:p>
    <w:p>
      <w:pPr>
        <w:pStyle w:val="SourceCode"/>
        <w:numPr>
          <w:ilvl w:val="0"/>
          <w:numId w:val="1000"/>
        </w:numPr>
      </w:pPr>
      <w:r>
        <w:rPr>
          <w:rStyle w:val="VerbatimChar"/>
        </w:rPr>
        <w:t xml:space="preserve">Fernwärme-, Gas-, Biomasse- und Ölbedarfe werden eigenständig bilanziert. Die Sammelgröße `EUI_other` wird bei den als `Oel` gekennzeichneten Typen Öl zugeordnet; weitere Beträge blieben separat unter sonstiger thermischer Endenergie erhalten.</w:t>
      </w:r>
    </w:p>
    <w:p>
      <w:pPr>
        <w:numPr>
          <w:ilvl w:val="0"/>
          <w:numId w:val="1011"/>
        </w:numPr>
      </w:pPr>
      <w:r>
        <w:rPr>
          <w:b/>
          <w:bCs/>
        </w:rPr>
        <w:t xml:space="preserve">Kapitel/03-gebaeudebestand.qmd, Ausgangszeile 69: Umformulierung / Umgliederung.</w:t>
      </w:r>
    </w:p>
    <w:p>
      <w:pPr>
        <w:numPr>
          <w:ilvl w:val="0"/>
          <w:numId w:val="1000"/>
        </w:numPr>
      </w:pPr>
      <w:r>
        <w:t xml:space="preserve">Bisher:</w:t>
      </w:r>
    </w:p>
    <w:p>
      <w:pPr>
        <w:pStyle w:val="SourceCode"/>
        <w:numPr>
          <w:ilvl w:val="0"/>
          <w:numId w:val="1000"/>
        </w:numPr>
      </w:pPr>
      <w:r>
        <w:rPr>
          <w:rStyle w:val="VerbatimChar"/>
        </w:rPr>
        <w:t xml:space="preserve">Insbesondere die verbleibenden **76,67 PJ/a Gas** und **58,51 PJ/a Öl** zeigen, dass die gelieferte Flächen-/Versorgungsstruktur noch kein vollständig dekarbonisiertes Szenario darstellt. Diese Mengen werden weder als Strom behandelt noch aus der Bilanz entfernt. Die Anwendungsaufteilung der thermischen Energie steht in @sec-gebaeude-endenergie.</w:t>
      </w:r>
    </w:p>
    <w:p>
      <w:pPr>
        <w:numPr>
          <w:ilvl w:val="0"/>
          <w:numId w:val="1000"/>
        </w:numPr>
      </w:pPr>
      <w:r>
        <w:t xml:space="preserve">Jetzt:</w:t>
      </w:r>
    </w:p>
    <w:p>
      <w:pPr>
        <w:pStyle w:val="SourceCode"/>
        <w:numPr>
          <w:ilvl w:val="0"/>
          <w:numId w:val="1000"/>
        </w:numPr>
      </w:pPr>
      <w:r>
        <w:rPr>
          <w:rStyle w:val="VerbatimChar"/>
        </w:rPr>
        <w:t xml:space="preserve">Insbesondere die verbleibenden **76,67 PJ/a Gas** und **58,51 PJ/a Öl** zeigen, dass die gelieferte Flächen-/Versorgungsstruktur kein vollständig dekarbonisiertes Szenario darstellt. Diese Mengen werden weder als Strom behandelt noch aus der Bilanz entfernt. Die Anwendungsaufteilung der thermischen Energie steht in @sec-gebaeude-endenergie.</w:t>
      </w:r>
    </w:p>
    <w:p>
      <w:pPr>
        <w:numPr>
          <w:ilvl w:val="0"/>
          <w:numId w:val="1011"/>
        </w:numPr>
      </w:pPr>
      <w:r>
        <w:rPr>
          <w:b/>
          <w:bCs/>
        </w:rPr>
        <w:t xml:space="preserve">Kapitel/03-gebaeudebestand.qmd, Ausgangszeile 75: Umformulierung / Umgliederung.</w:t>
      </w:r>
    </w:p>
    <w:p>
      <w:pPr>
        <w:numPr>
          <w:ilvl w:val="0"/>
          <w:numId w:val="1000"/>
        </w:numPr>
      </w:pPr>
      <w:r>
        <w:t xml:space="preserve">Bisher:</w:t>
      </w:r>
    </w:p>
    <w:p>
      <w:pPr>
        <w:pStyle w:val="SourceCode"/>
        <w:numPr>
          <w:ilvl w:val="0"/>
          <w:numId w:val="1000"/>
        </w:numPr>
      </w:pPr>
      <w:r>
        <w:rPr>
          <w:rStyle w:val="VerbatimChar"/>
        </w:rPr>
        <w:t xml:space="preserve">Der PE-Saldo von **−409,36 PJ PE/a** ist ein Ergebnis des gelieferten Bewertungsstands. Die konkreten Konversionsfaktoren und ihr Bezugsjahr sind noch zu bestätigen. Effektive Faktoren unterscheiden sich zwischen Typen und zwischen Import und Export; eine einfache Multiplikation sämtlicher Stromflüsse mit einem Jahresmittel würde die gelieferten PEI nicht reproduzieren. Die sektorale Aufgabe 2040 bleibt auf Endenergiebasis definiert. Eine Bewertung mit heutigen Faktoren stellt die Vergleichbarkeit mit heutigen Nachweisverfahren her und ist keine Prognose der PE-Intensitäten 2040 (@sec-gebaeude-pe).</w:t>
      </w:r>
    </w:p>
    <w:p>
      <w:pPr>
        <w:numPr>
          <w:ilvl w:val="0"/>
          <w:numId w:val="1000"/>
        </w:numPr>
      </w:pPr>
      <w:r>
        <w:t xml:space="preserve">Jetzt:</w:t>
      </w:r>
    </w:p>
    <w:p>
      <w:pPr>
        <w:pStyle w:val="SourceCode"/>
        <w:numPr>
          <w:ilvl w:val="0"/>
          <w:numId w:val="1000"/>
        </w:numPr>
      </w:pPr>
      <w:r>
        <w:rPr>
          <w:rStyle w:val="VerbatimChar"/>
        </w:rPr>
        <w:t xml:space="preserve">Der PE-Saldo von **−409,36 PJ PE/a** ist ein Ergebnis des gelieferten Bewertungsstands. Die konkreten Konversionsfaktoren und ihr Bezugsjahr sind nicht bestätigt. Effektive Faktoren unterscheiden sich zwischen Typen und zwischen Import und Export; eine einfache Multiplikation sämtlicher Stromflüsse mit einem Jahresmittel würde die gelieferten PEI nicht reproduzieren. Die sektorale Aufgabe 2040 bleibt auf Endenergiebasis definiert. Eine Bewertung mit heutigen Faktoren stellt die Vergleichbarkeit mit heutigen Nachweisverfahren her und ist keine Prognose der PE-Intensitäten 2040 (@sec-gebaeude-pe).</w:t>
      </w:r>
    </w:p>
    <w:p>
      <w:pPr>
        <w:numPr>
          <w:ilvl w:val="0"/>
          <w:numId w:val="1011"/>
        </w:numPr>
      </w:pPr>
      <w:r>
        <w:rPr>
          <w:b/>
          <w:bCs/>
        </w:rPr>
        <w:t xml:space="preserve">Kapitel/03-gebaeudebestand.qmd, Ausgangszeile 81: Umformulierung / Umgliederung.</w:t>
      </w:r>
    </w:p>
    <w:p>
      <w:pPr>
        <w:numPr>
          <w:ilvl w:val="0"/>
          <w:numId w:val="1000"/>
        </w:numPr>
      </w:pPr>
      <w:r>
        <w:t xml:space="preserve">Bisher:</w:t>
      </w:r>
    </w:p>
    <w:p>
      <w:pPr>
        <w:pStyle w:val="SourceCode"/>
        <w:numPr>
          <w:ilvl w:val="0"/>
          <w:numId w:val="1000"/>
        </w:numPr>
      </w:pPr>
      <w:r>
        <w:rPr>
          <w:rStyle w:val="VerbatimChar"/>
        </w:rPr>
        <w:t xml:space="preserve">Die im GFZ-Modell zusammengefasste Kategorie „Ein- und Zweifamilienhäuser“ erhält die identischen Regeln der beiden entsprechenden Excel-Nutzungen nur einmal. Dadurch wird keine Referenzfläche doppelt gezählt. Aus den zugeordneten BGF-Mengen entstehen je Geometrie bedingte GFZ-Verteilungen. Unterschiedliche energetische Varianten derselben Geometrie übernehmen im ersten Modellstand dieselbe Verteilung.</w:t>
      </w:r>
    </w:p>
    <w:p>
      <w:pPr>
        <w:numPr>
          <w:ilvl w:val="0"/>
          <w:numId w:val="1000"/>
        </w:numPr>
      </w:pPr>
      <w:r>
        <w:t xml:space="preserve">Jetzt:</w:t>
      </w:r>
    </w:p>
    <w:p>
      <w:pPr>
        <w:pStyle w:val="SourceCode"/>
        <w:numPr>
          <w:ilvl w:val="0"/>
          <w:numId w:val="1000"/>
        </w:numPr>
      </w:pPr>
      <w:r>
        <w:rPr>
          <w:rStyle w:val="VerbatimChar"/>
        </w:rPr>
        <w:t xml:space="preserve">Die im GFZ-Modell zusammengefasste Kategorie „Ein- und Zweifamilienhäuser“ erhält die identischen Regeln der beiden entsprechenden Excel-Nutzungen nur einmal. Dadurch wird keine Referenzfläche doppelt gezählt. Aus den zugeordneten BGF-Mengen entstehen je Geometrie bedingte GFZ-Verteilungen. Unterschiedliche energetische Varianten derselben Geometrie übernehmen im Modell dieselbe Verteilung.</w:t>
      </w:r>
    </w:p>
    <w:p>
      <w:pPr>
        <w:numPr>
          <w:ilvl w:val="0"/>
          <w:numId w:val="1011"/>
        </w:numPr>
      </w:pPr>
      <w:r>
        <w:rPr>
          <w:b/>
          <w:bCs/>
        </w:rPr>
        <w:t xml:space="preserve">Kapitel/03-gebaeudebestand.qmd, Ausgangszeile 85: Umformulierung / Umgliederung.</w:t>
      </w:r>
    </w:p>
    <w:p>
      <w:pPr>
        <w:numPr>
          <w:ilvl w:val="0"/>
          <w:numId w:val="1000"/>
        </w:numPr>
      </w:pPr>
      <w:r>
        <w:t xml:space="preserve">Bisher:</w:t>
      </w:r>
    </w:p>
    <w:p>
      <w:pPr>
        <w:pStyle w:val="SourceCode"/>
        <w:numPr>
          <w:ilvl w:val="0"/>
          <w:numId w:val="1000"/>
        </w:numPr>
      </w:pPr>
      <w:r>
        <w:rPr>
          <w:rStyle w:val="VerbatimChar"/>
        </w:rPr>
        <w:t xml:space="preserve">Die Erwartungswerte in @tbl-gebaeude-typologien werden über sämtliche GFZ-Bins berechnet. Der Funktionswert am mittleren GFZ wäre wegen der Nichtlinearität nicht gleichwertig. Als vorläufige elektrische Referenz dient die historische Tabellenparametrisierung aus @schneider2023context, Gl. 7 und Tab. 5, mit 30,4, 26,4, Achsenverschiebung 0,15 und Begrenzung 62. Die gemischte EE-/PE-Beschriftung der Quellentabelle ist im Notebook dokumentiert; der Referenzansatz ist noch keine neu freigegebene Dichtefunktion.</w:t>
      </w:r>
    </w:p>
    <w:p>
      <w:pPr>
        <w:numPr>
          <w:ilvl w:val="0"/>
          <w:numId w:val="1000"/>
        </w:numPr>
      </w:pPr>
      <w:r>
        <w:t xml:space="preserve">Jetzt:</w:t>
      </w:r>
    </w:p>
    <w:p>
      <w:pPr>
        <w:pStyle w:val="SourceCode"/>
        <w:numPr>
          <w:ilvl w:val="0"/>
          <w:numId w:val="1000"/>
        </w:numPr>
      </w:pPr>
      <w:r>
        <w:rPr>
          <w:rStyle w:val="VerbatimChar"/>
        </w:rPr>
        <w:t xml:space="preserve">Die Erwartungswerte in @tbl-gebaeude-typologien werden über sämtliche GFZ-Bins berechnet. Der Funktionswert am mittleren GFZ wäre wegen der Nichtlinearität nicht gleichwertig. Als elektrische Referenz dient die historische Tabellenparametrisierung aus @schneider2023context, Gl. 7 und Tab. 5, mit 30,4, 26,4, Achsenverschiebung 0,15 und Begrenzung 62. Die gemischte EE-/PE-Beschriftung der Quellentabelle ist im Notebook dokumentiert; der Referenzansatz ist eine historische Referenz, keine normative Neufestlegung.</w:t>
      </w:r>
      <w:r>
        <w:br/>
      </w:r>
      <w:r>
        <w:br/>
      </w:r>
      <w:r>
        <w:rPr>
          <w:rStyle w:val="VerbatimChar"/>
        </w:rPr>
        <w:t xml:space="preserve">Der Erwartungswert $\mathbb{E}_k[c_D]$ ist der BGF-gewichtete Mittelwert des Dichtewerts über die GFZ-Verteilung von Typ $k$. Der Index $j$ bezeichnet einen GFZ-Bin, $s_{j|k}$ dessen Flächenanteil und $d_j$ seine GFZ. Der nationale virtuelle Beitrag lautet $C_D=\sum_k A_{BGF,k}\mathbb{E}_k[c_D]$. Positive Werte entlasten die Bewertungsbilanz, negative erhöhen die Anforderung.</w:t>
      </w:r>
    </w:p>
    <w:p>
      <w:pPr>
        <w:numPr>
          <w:ilvl w:val="0"/>
          <w:numId w:val="1011"/>
        </w:numPr>
      </w:pPr>
      <w:r>
        <w:rPr>
          <w:b/>
          <w:bCs/>
        </w:rPr>
        <w:t xml:space="preserve">Kapitel/03-gebaeudebestand.qmd, Ausgangszeile 89: Ergänzung.</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src="../Abbildungen/methodik/typen_deckung.html" title="Alle Gebäudetypen: Strombedarf, PV und virtueller Dichtewert" style="width:100%;height:850px;border:0" loading="lazy"&gt;&lt;/iframe&gt;</w:t>
      </w:r>
      <w:r>
        <w:br/>
      </w:r>
      <w:r>
        <w:rPr>
          <w:rStyle w:val="VerbatimChar"/>
        </w:rPr>
        <w:t xml:space="preserve">```</w:t>
      </w:r>
      <w:r>
        <w:br/>
      </w:r>
      <w:r>
        <w:rPr>
          <w:rStyle w:val="VerbatimChar"/>
        </w:rPr>
        <w:t xml:space="preserve">[Grafik separat öffnen](../Abbildungen/methodik/typen_deckung.html)</w:t>
      </w:r>
      <w:r>
        <w:br/>
      </w:r>
      <w:r>
        <w:rPr>
          <w:rStyle w:val="VerbatimChar"/>
        </w:rPr>
        <w:t xml:space="preserve">:::</w:t>
      </w:r>
      <w:r>
        <w:br/>
      </w:r>
      <w:r>
        <w:br/>
      </w:r>
      <w:r>
        <w:rPr>
          <w:rStyle w:val="VerbatimChar"/>
        </w:rPr>
        <w:t xml:space="preserve">Die Auswahl enthält alle 900 Typen, gegliedert nach Geometrie; der Achsenregler zeigt einen lesbaren Ausschnitt. Der Tooltip nennt Archetyp und nationale Fläche. Bedarf wird negativ, PV positiv und die virtuelle Dichtekorrektur schraffiert gezeigt. MFH_2G besitzt keine zugeordnete GFZ-Verteilung und keine nationale Fläche; sein Kontextwert bleibt leer.</w:t>
      </w:r>
      <w:r>
        <w:br/>
      </w:r>
    </w:p>
    <w:p>
      <w:pPr>
        <w:numPr>
          <w:ilvl w:val="0"/>
          <w:numId w:val="1011"/>
        </w:numPr>
      </w:pPr>
      <w:r>
        <w:rPr>
          <w:b/>
          <w:bCs/>
        </w:rPr>
        <w:t xml:space="preserve">Kapitel/03-gebaeudebestand.qmd, Ausgangszeile 91: Umformulierung / Umgliederung.</w:t>
      </w:r>
    </w:p>
    <w:p>
      <w:pPr>
        <w:numPr>
          <w:ilvl w:val="0"/>
          <w:numId w:val="1000"/>
        </w:numPr>
      </w:pPr>
      <w:r>
        <w:t xml:space="preserve">Bisher:</w:t>
      </w:r>
    </w:p>
    <w:p>
      <w:pPr>
        <w:pStyle w:val="SourceCode"/>
        <w:numPr>
          <w:ilvl w:val="0"/>
          <w:numId w:val="1000"/>
        </w:numPr>
      </w:pPr>
      <w:r>
        <w:rPr>
          <w:rStyle w:val="VerbatimChar"/>
        </w:rPr>
        <w:t xml:space="preserve">Für Typologie \(k\) und GFZ-Bin \(j\) gilt:</w:t>
      </w:r>
    </w:p>
    <w:p>
      <w:pPr>
        <w:numPr>
          <w:ilvl w:val="0"/>
          <w:numId w:val="1000"/>
        </w:numPr>
      </w:pPr>
      <w:r>
        <w:t xml:space="preserve">Jetzt:</w:t>
      </w:r>
    </w:p>
    <w:p>
      <w:pPr>
        <w:pStyle w:val="SourceCode"/>
        <w:numPr>
          <w:ilvl w:val="0"/>
          <w:numId w:val="1000"/>
        </w:numPr>
      </w:pPr>
      <w:r>
        <w:rPr>
          <w:rStyle w:val="VerbatimChar"/>
        </w:rPr>
        <w:t xml:space="preserve">Für Typologie $k$ und GFZ-Bin $j$ gilt:</w:t>
      </w:r>
    </w:p>
    <w:p>
      <w:pPr>
        <w:numPr>
          <w:ilvl w:val="0"/>
          <w:numId w:val="1011"/>
        </w:numPr>
      </w:pPr>
      <w:r>
        <w:rPr>
          <w:b/>
          <w:bCs/>
        </w:rPr>
        <w:t xml:space="preserve">Kapitel/03-gebaeudebestand.qmd, Ausgangszeile 101: Umformulierung / Umgliederung.</w:t>
      </w:r>
    </w:p>
    <w:p>
      <w:pPr>
        <w:numPr>
          <w:ilvl w:val="0"/>
          <w:numId w:val="1000"/>
        </w:numPr>
      </w:pPr>
      <w:r>
        <w:t xml:space="preserve">Bisher:</w:t>
      </w:r>
    </w:p>
    <w:p>
      <w:pPr>
        <w:pStyle w:val="SourceCode"/>
        <w:numPr>
          <w:ilvl w:val="0"/>
          <w:numId w:val="1000"/>
        </w:numPr>
      </w:pPr>
      <w:r>
        <w:rPr>
          <w:rStyle w:val="VerbatimChar"/>
        </w:rPr>
        <w:t xml:space="preserve">Der Abstand zum vorläufigen Top-down-Saldo beträgt **−100,25 PJ/a**. Er ergibt sich aus geringerer PV-Erzeugung und höherem Gebäudestrombedarf des gelieferten Pools. Werden auf beiden Seiten dieselben 24 PJ/a MIV-Budget und 72 PJ/a MIV-Bedarf angesetzt, bleibt diese Differenz unverändert. Sie ist ein Szenariounterschied und wird nicht durch nachträgliche Flächenskalierung oder eine neue Gutschrift geschlossen.</w:t>
      </w:r>
    </w:p>
    <w:p>
      <w:pPr>
        <w:numPr>
          <w:ilvl w:val="0"/>
          <w:numId w:val="1000"/>
        </w:numPr>
      </w:pPr>
      <w:r>
        <w:t xml:space="preserve">Jetzt:</w:t>
      </w:r>
    </w:p>
    <w:p>
      <w:pPr>
        <w:pStyle w:val="SourceCode"/>
        <w:numPr>
          <w:ilvl w:val="0"/>
          <w:numId w:val="1000"/>
        </w:numPr>
      </w:pPr>
      <w:r>
        <w:rPr>
          <w:rStyle w:val="VerbatimChar"/>
        </w:rPr>
        <w:t xml:space="preserve">::: {.content-visible when-format="html"}</w:t>
      </w:r>
      <w:r>
        <w:br/>
      </w:r>
      <w:r>
        <w:rPr>
          <w:rStyle w:val="VerbatimChar"/>
        </w:rPr>
        <w:t xml:space="preserve">```{=html}</w:t>
      </w:r>
      <w:r>
        <w:br/>
      </w:r>
      <w:r>
        <w:rPr>
          <w:rStyle w:val="VerbatimChar"/>
        </w:rPr>
        <w:t xml:space="preserve">&lt;iframe src="../Abbildungen/methodik/sektorvergleich.html" title="Sektorvergleich Top-down, Bottom-up und Dichte-Bewertung" style="width:100%;height:690px;border:0" loading="lazy"&gt;&lt;/iframe&gt;</w:t>
      </w:r>
      <w:r>
        <w:br/>
      </w:r>
      <w:r>
        <w:rPr>
          <w:rStyle w:val="VerbatimChar"/>
        </w:rPr>
        <w:t xml:space="preserve">```</w:t>
      </w:r>
      <w:r>
        <w:br/>
      </w:r>
      <w:r>
        <w:rPr>
          <w:rStyle w:val="VerbatimChar"/>
        </w:rPr>
        <w:t xml:space="preserve">[Grafik separat öffnen](../Abbildungen/methodik/sektorvergleich.html)</w:t>
      </w:r>
      <w:r>
        <w:br/>
      </w:r>
      <w:r>
        <w:rPr>
          <w:rStyle w:val="VerbatimChar"/>
        </w:rPr>
        <w:t xml:space="preserve">:::</w:t>
      </w:r>
    </w:p>
    <w:p>
      <w:pPr>
        <w:numPr>
          <w:ilvl w:val="0"/>
          <w:numId w:val="1011"/>
        </w:numPr>
      </w:pPr>
      <w:r>
        <w:rPr>
          <w:b/>
          <w:bCs/>
        </w:rPr>
        <w:t xml:space="preserve">Kapitel/03-gebaeudebestand.qmd, Ausgangszeile 103: Umformulierung / Umgliederung.</w:t>
      </w:r>
    </w:p>
    <w:p>
      <w:pPr>
        <w:numPr>
          <w:ilvl w:val="0"/>
          <w:numId w:val="1000"/>
        </w:numPr>
      </w:pPr>
      <w:r>
        <w:t xml:space="preserve">Bisher:</w:t>
      </w:r>
    </w:p>
    <w:p>
      <w:pPr>
        <w:pStyle w:val="SourceCode"/>
        <w:numPr>
          <w:ilvl w:val="0"/>
          <w:numId w:val="1000"/>
        </w:numPr>
      </w:pPr>
      <w:r>
        <w:rPr>
          <w:rStyle w:val="VerbatimChar"/>
        </w:rPr>
        <w:t xml:space="preserve">Für die Kalibrierung in @sec-kalibrierung fehlen noch die definierten PEQ-Flächenanteile, die abgestimmte Versorgung der übrigen Typen sowie alternative PV-/Flexibilitätsvarianten. Die gelieferte Typologiematrix und ihre Ergebnisse bilden nun eine prüfbare Grundlage für diese Entscheidungen. Die THG-Allokation erhält dadurch nicht automatisch eine neue Flächenbasis.</w:t>
      </w:r>
    </w:p>
    <w:p>
      <w:pPr>
        <w:numPr>
          <w:ilvl w:val="0"/>
          <w:numId w:val="1000"/>
        </w:numPr>
      </w:pPr>
      <w:r>
        <w:t xml:space="preserve">Jetzt:</w:t>
      </w:r>
    </w:p>
    <w:p>
      <w:pPr>
        <w:pStyle w:val="SourceCode"/>
        <w:numPr>
          <w:ilvl w:val="0"/>
          <w:numId w:val="1000"/>
        </w:numPr>
      </w:pPr>
      <w:r>
        <w:rPr>
          <w:rStyle w:val="VerbatimChar"/>
        </w:rPr>
        <w:t xml:space="preserve">Die dritte Vergleichsgruppe addiert die historische Dichtefunktion rechnerisch über **alle positiv gewichteten Typen**. Das ergibt einen virtuellen Beitrag von −57,81 PJ-Äquivalent/a: Der betriebliche Bewertungssaldo beträgt damit −117,06 PJ-Äquivalent/a und einschließlich derselben MIV-Zuordnung −165,06 PJ-Äquivalent/a. Die physischen Energieflüsse bleiben unverändert. Diese vollständige Anwendung ist ein transparenter Vergleichsfall; sie ersetzt keine Festlegung der PEQ-berechtigten Flächenanteile.</w:t>
      </w:r>
      <w:r>
        <w:br/>
      </w:r>
      <w:r>
        <w:br/>
      </w:r>
      <w:r>
        <w:br/>
      </w:r>
      <w:r>
        <w:rPr>
          <w:rStyle w:val="VerbatimChar"/>
        </w:rPr>
        <w:t xml:space="preserve">Der Abstand zum Top-down-Saldo beträgt **−100,25 PJ/a**. Er ergibt sich aus geringerer PV-Erzeugung und höherem Gebäudestrombedarf des gelieferten Pools. Werden auf beiden Seiten dieselben 24 PJ/a MIV-Budget und 72 PJ/a MIV-Bedarf angesetzt, bleibt diese Differenz unverändert. Sie ist ein Szenariounterschied und wird nicht durch nachträgliche Flächenskalierung oder eine neue Gutschrift geschlossen.</w:t>
      </w:r>
      <w:r>
        <w:br/>
      </w:r>
      <w:r>
        <w:br/>
      </w:r>
      <w:r>
        <w:rPr>
          <w:rStyle w:val="VerbatimChar"/>
        </w:rPr>
        <w:t xml:space="preserve">Für die Kalibrierung in @sec-kalibrierung fehlen die definierten PEQ-Flächenanteile, die abgestimmte Versorgung der übrigen Typen sowie alternative PV-/Flexibilitätsvarianten. Die gelieferte Typologiematrix und ihre Ergebnisse bilden die Grundlage für diese Entscheidungen. Die THG-Allokation erhält dadurch nicht automatisch eine neue Flächenbasis.</w:t>
      </w:r>
    </w:p>
    <w:p>
      <w:pPr>
        <w:numPr>
          <w:ilvl w:val="0"/>
          <w:numId w:val="1011"/>
        </w:numPr>
      </w:pPr>
      <w:r>
        <w:rPr>
          <w:b/>
          <w:bCs/>
        </w:rPr>
        <w:t xml:space="preserve">Kapitel/05-kontextfaktoren.qmd, Ausgangszeile 9: Umformulierung / Umgliederung.</w:t>
      </w:r>
    </w:p>
    <w:p>
      <w:pPr>
        <w:numPr>
          <w:ilvl w:val="0"/>
          <w:numId w:val="1000"/>
        </w:numPr>
      </w:pPr>
      <w:r>
        <w:t xml:space="preserve">Bisher:</w:t>
      </w:r>
    </w:p>
    <w:p>
      <w:pPr>
        <w:pStyle w:val="SourceCode"/>
        <w:numPr>
          <w:ilvl w:val="0"/>
          <w:numId w:val="1000"/>
        </w:numPr>
      </w:pPr>
      <w:r>
        <w:rPr>
          <w:rStyle w:val="VerbatimChar"/>
        </w:rPr>
        <w:t xml:space="preserve">Der Dichtefaktor verteilt die Anforderungen zwischen unterschiedlichen baulichen Dichten. Die Sanierungsanpassung wird künftig **nach energetischer Gebäudetypologie** festgelegt und im selben Modell abgestimmt. Eine allgemeine, von der Typologie unabhängige Pauschalgutschrift gehört nicht zur neuen Kalibrierung.</w:t>
      </w:r>
    </w:p>
    <w:p>
      <w:pPr>
        <w:numPr>
          <w:ilvl w:val="0"/>
          <w:numId w:val="1000"/>
        </w:numPr>
      </w:pPr>
      <w:r>
        <w:t xml:space="preserve">Jetzt:</w:t>
      </w:r>
    </w:p>
    <w:p>
      <w:pPr>
        <w:pStyle w:val="SourceCode"/>
        <w:numPr>
          <w:ilvl w:val="0"/>
          <w:numId w:val="1000"/>
        </w:numPr>
      </w:pPr>
      <w:r>
        <w:rPr>
          <w:rStyle w:val="VerbatimChar"/>
        </w:rPr>
        <w:t xml:space="preserve">Der Dichtefaktor verteilt die Anforderungen zwischen unterschiedlichen baulichen Dichten. Die Sanierungsanpassung wird **nach energetischer Gebäudetypologie** festgelegt und im selben Modell abgestimmt. Eine allgemeine, von der Typologie unabhängige Pauschalgutschrift gehört nicht zur neuen Kalibrierung.</w:t>
      </w:r>
    </w:p>
    <w:p>
      <w:pPr>
        <w:numPr>
          <w:ilvl w:val="0"/>
          <w:numId w:val="1011"/>
        </w:numPr>
      </w:pPr>
      <w:r>
        <w:rPr>
          <w:b/>
          <w:bCs/>
        </w:rPr>
        <w:t xml:space="preserve">Kapitel/05-kontextfaktoren.qmd, Ausgangszeile 13: Umformulierung / Umgliederung.</w:t>
      </w:r>
    </w:p>
    <w:p>
      <w:pPr>
        <w:numPr>
          <w:ilvl w:val="0"/>
          <w:numId w:val="1000"/>
        </w:numPr>
      </w:pPr>
      <w:r>
        <w:t xml:space="preserve">Bisher:</w:t>
      </w:r>
    </w:p>
    <w:p>
      <w:pPr>
        <w:pStyle w:val="SourceCode"/>
        <w:numPr>
          <w:ilvl w:val="0"/>
          <w:numId w:val="1000"/>
        </w:numPr>
      </w:pPr>
      <w:r>
        <w:rPr>
          <w:rStyle w:val="VerbatimChar"/>
        </w:rPr>
        <w:t xml:space="preserve">Für jede neue energetische Typologie \(k\) werden die relevanten jährlichen Bedarfe, Erzeugungsannahmen, Bewertungsgrenzen und Anforderungsparameter aus dem Gebäudeszenario beziehungsweise der Kalibrierung dokumentiert. Dabei ist zwischen zwei Rollen zu unterscheiden: **Nicht-PEQ-Klassen** gehen mit ihrem begründeten, szenariotypischen Bilanzbeitrag in die nationale Aggregation ein; für **PEQ-Klassen** wird die erforderliche Bilanzqualität als Zielwertfunktion bestimmt. Eine bestimmte PV-Ausstattung oder ein spezifischer Energiebedarf ist nicht automatisch bereits ein allgemein geltender PEQ-Grenzwert.</w:t>
      </w:r>
    </w:p>
    <w:p>
      <w:pPr>
        <w:numPr>
          <w:ilvl w:val="0"/>
          <w:numId w:val="1000"/>
        </w:numPr>
      </w:pPr>
      <w:r>
        <w:t xml:space="preserve">Jetzt:</w:t>
      </w:r>
    </w:p>
    <w:p>
      <w:pPr>
        <w:pStyle w:val="SourceCode"/>
        <w:numPr>
          <w:ilvl w:val="0"/>
          <w:numId w:val="1000"/>
        </w:numPr>
      </w:pPr>
      <w:r>
        <w:rPr>
          <w:rStyle w:val="VerbatimChar"/>
        </w:rPr>
        <w:t xml:space="preserve">Für jede neue energetische Typologie $k$ werden die relevanten jährlichen Bedarfe, Erzeugungsannahmen, Bewertungsgrenzen und Anforderungsparameter aus dem Gebäudeszenario beziehungsweise der Kalibrierung dokumentiert. Dabei ist zwischen zwei Rollen zu unterscheiden: **Nicht-PEQ-Klassen** gehen mit ihrem begründeten, szenariotypischen Bilanzbeitrag in die nationale Aggregation ein; für **PEQ-Klassen** wird die erforderliche Bilanzqualität als Zielwertfunktion bestimmt. Eine bestimmte PV-Ausstattung oder ein spezifischer Energiebedarf ist nicht automatisch bereits ein allgemein geltender PEQ-Grenzwert.</w:t>
      </w:r>
    </w:p>
    <w:p>
      <w:pPr>
        <w:numPr>
          <w:ilvl w:val="0"/>
          <w:numId w:val="1011"/>
        </w:numPr>
      </w:pPr>
      <w:r>
        <w:rPr>
          <w:b/>
          <w:bCs/>
        </w:rPr>
        <w:t xml:space="preserve">Kapitel/05-kontextfaktoren.qmd, Ausgangszeile 19: Umformulierung / Umgliederung.</w:t>
      </w:r>
    </w:p>
    <w:p>
      <w:pPr>
        <w:numPr>
          <w:ilvl w:val="0"/>
          <w:numId w:val="1000"/>
        </w:numPr>
      </w:pPr>
      <w:r>
        <w:t xml:space="preserve">Bisher:</w:t>
      </w:r>
    </w:p>
    <w:p>
      <w:pPr>
        <w:pStyle w:val="SourceCode"/>
        <w:numPr>
          <w:ilvl w:val="0"/>
          <w:numId w:val="1000"/>
        </w:numPr>
      </w:pPr>
      <w:r>
        <w:rPr>
          <w:rStyle w:val="VerbatimChar"/>
        </w:rPr>
        <w:t xml:space="preserve">| \(k\), \(A_{k,j}^{2040}\) | Gebäudetyp und Fläche nach GFZ-Klasse | Aus @sec-gebaeudebestand |</w:t>
      </w:r>
      <w:r>
        <w:br/>
      </w:r>
      <w:r>
        <w:rPr>
          <w:rStyle w:val="VerbatimChar"/>
        </w:rPr>
        <w:t xml:space="preserve">| \(e_k\), \(p_k\) | Typologiebezogener Energiebedarf und lokale Erzeugung | Gelieferte PV30/noFlex-Kennwerte in @sec-gebaeudesektormodell |</w:t>
      </w:r>
      <w:r>
        <w:br/>
      </w:r>
      <w:r>
        <w:rPr>
          <w:rStyle w:val="VerbatimChar"/>
        </w:rPr>
        <w:t xml:space="preserve">| \(b_{k,j}^{\mathrm{ref}}\) | Modellierter Referenzsaldo für Nicht-PEQ-Klassen | Aus Szenarioannahmen zu bestimmen |</w:t>
      </w:r>
      <w:r>
        <w:br/>
      </w:r>
      <w:r>
        <w:rPr>
          <w:rStyle w:val="VerbatimChar"/>
        </w:rPr>
        <w:t xml:space="preserve">| \(t_{k,j}^{\mathrm{PEQ}}\) | Zu kalibrierender Mindestbeitrag für PEQ-Klassen | Neu zu kalibrieren |</w:t>
      </w:r>
      <w:r>
        <w:br/>
      </w:r>
      <w:r>
        <w:rPr>
          <w:rStyle w:val="VerbatimChar"/>
        </w:rPr>
        <w:t xml:space="preserve">| \(c_{\mathrm{S},k}\) | **Typologiespezifische Sanierungsanpassung** für die jeweils berechtigte PEQ-Klasse | Neu zu kalibrieren |</w:t>
      </w:r>
      <w:r>
        <w:br/>
      </w:r>
      <w:r>
        <w:rPr>
          <w:rStyle w:val="VerbatimChar"/>
        </w:rPr>
        <w:t xml:space="preserve">| \(c_{\mathrm{D}}(d;\theta)\) | Dichteabhängige Zielwertkorrektur | Neu zu kalibrieren |</w:t>
      </w:r>
      <w:r>
        <w:br/>
      </w:r>
      <w:r>
        <w:rPr>
          <w:rStyle w:val="VerbatimChar"/>
        </w:rPr>
        <w:t xml:space="preserve">| \(\theta\) | Parameter der Lastenverteilung und gegebenenfalls weitere Nebenbedingungen | Gemeinsam festzulegen |</w:t>
      </w:r>
    </w:p>
    <w:p>
      <w:pPr>
        <w:numPr>
          <w:ilvl w:val="0"/>
          <w:numId w:val="1000"/>
        </w:numPr>
      </w:pPr>
      <w:r>
        <w:t xml:space="preserve">Jetzt:</w:t>
      </w:r>
    </w:p>
    <w:p>
      <w:pPr>
        <w:pStyle w:val="SourceCode"/>
        <w:numPr>
          <w:ilvl w:val="0"/>
          <w:numId w:val="1000"/>
        </w:numPr>
      </w:pPr>
      <w:r>
        <w:rPr>
          <w:rStyle w:val="VerbatimChar"/>
        </w:rPr>
        <w:t xml:space="preserve">| $k$, $A_{k,j}^{2040}$ | Gebäudetyp und Fläche nach GFZ-Klasse | Aus @sec-gebaeudebestand |</w:t>
      </w:r>
      <w:r>
        <w:br/>
      </w:r>
      <w:r>
        <w:rPr>
          <w:rStyle w:val="VerbatimChar"/>
        </w:rPr>
        <w:t xml:space="preserve">| $e_k$, $p_k$ | Typologiebezogener Energiebedarf und lokale Erzeugung | Gelieferte PV30/noFlex-Kennwerte in @sec-gebaeudesektormodell |</w:t>
      </w:r>
      <w:r>
        <w:br/>
      </w:r>
      <w:r>
        <w:rPr>
          <w:rStyle w:val="VerbatimChar"/>
        </w:rPr>
        <w:t xml:space="preserve">| $b_{k,j}^{\mathrm{ref}}$ | Modellierter Referenzsaldo für Nicht-PEQ-Klassen | Aus Szenarioannahmen zu bestimmen |</w:t>
      </w:r>
      <w:r>
        <w:br/>
      </w:r>
      <w:r>
        <w:rPr>
          <w:rStyle w:val="VerbatimChar"/>
        </w:rPr>
        <w:t xml:space="preserve">| $t_{k,j}^{\mathrm{PEQ}}$ | Zu kalibrierender Mindestbeitrag für PEQ-Klassen | Neu zu kalibrieren |</w:t>
      </w:r>
      <w:r>
        <w:br/>
      </w:r>
      <w:r>
        <w:rPr>
          <w:rStyle w:val="VerbatimChar"/>
        </w:rPr>
        <w:t xml:space="preserve">| $c_{\mathrm{S},k}$ | **Typologiespezifische Sanierungsanpassung** für die jeweils berechtigte PEQ-Klasse | Neu zu kalibrieren |</w:t>
      </w:r>
      <w:r>
        <w:br/>
      </w:r>
      <w:r>
        <w:rPr>
          <w:rStyle w:val="VerbatimChar"/>
        </w:rPr>
        <w:t xml:space="preserve">| $c_{\mathrm{D}}(d;\theta)$ | Dichteabhängige Zielwertkorrektur | Neu zu kalibrieren |</w:t>
      </w:r>
      <w:r>
        <w:br/>
      </w:r>
      <w:r>
        <w:rPr>
          <w:rStyle w:val="VerbatimChar"/>
        </w:rPr>
        <w:t xml:space="preserve">| $\theta$ | Parameter der Lastenverteilung und gegebenenfalls weitere Nebenbedingungen | Gemeinsam festzulegen |</w:t>
      </w:r>
    </w:p>
    <w:p>
      <w:pPr>
        <w:numPr>
          <w:ilvl w:val="0"/>
          <w:numId w:val="1011"/>
        </w:numPr>
      </w:pPr>
      <w:r>
        <w:rPr>
          <w:b/>
          <w:bCs/>
        </w:rPr>
        <w:t xml:space="preserve">Kapitel/05-kontextfaktoren.qmd, Ausgangszeile 35: Umformulierung / Umgliederung.</w:t>
      </w:r>
    </w:p>
    <w:p>
      <w:pPr>
        <w:numPr>
          <w:ilvl w:val="0"/>
          <w:numId w:val="1000"/>
        </w:numPr>
      </w:pPr>
      <w:r>
        <w:t xml:space="preserve">Bisher:</w:t>
      </w:r>
    </w:p>
    <w:p>
      <w:pPr>
        <w:pStyle w:val="SourceCode"/>
        <w:numPr>
          <w:ilvl w:val="0"/>
          <w:numId w:val="1000"/>
        </w:numPr>
      </w:pPr>
      <w:r>
        <w:rPr>
          <w:rStyle w:val="VerbatimChar"/>
        </w:rPr>
        <w:t xml:space="preserve">Sei \(A_G\) die Grundstücksfläche, \(A_B\) die Bruttogrundfläche und \(d=A_B/A_G\) die GFZ. Bei einem Erzeugungspotenzial \(p\) je Grundstücksfläche und einem Bedarf \(e\) je BGF ergibt sich schematisch:</w:t>
      </w:r>
    </w:p>
    <w:p>
      <w:pPr>
        <w:numPr>
          <w:ilvl w:val="0"/>
          <w:numId w:val="1000"/>
        </w:numPr>
      </w:pPr>
      <w:r>
        <w:t xml:space="preserve">Jetzt:</w:t>
      </w:r>
    </w:p>
    <w:p>
      <w:pPr>
        <w:pStyle w:val="SourceCode"/>
        <w:numPr>
          <w:ilvl w:val="0"/>
          <w:numId w:val="1000"/>
        </w:numPr>
      </w:pPr>
      <w:r>
        <w:rPr>
          <w:rStyle w:val="VerbatimChar"/>
        </w:rPr>
        <w:t xml:space="preserve">Sei $A_G$ die Grundstücksfläche, $A_B$ die Bruttogrundfläche und $d=A_B/A_G$ die GFZ. Bei einem Erzeugungspotenzial $p$ je Grundstücksfläche und einem Bedarf $e$ je BGF ergibt sich schematisch:</w:t>
      </w:r>
    </w:p>
    <w:p>
      <w:pPr>
        <w:numPr>
          <w:ilvl w:val="0"/>
          <w:numId w:val="1011"/>
        </w:numPr>
      </w:pPr>
      <w:r>
        <w:rPr>
          <w:b/>
          <w:bCs/>
        </w:rPr>
        <w:t xml:space="preserve">Kapitel/05-kontextfaktoren.qmd, Ausgangszeile 41: Umformulierung / Umgliederung.</w:t>
      </w:r>
    </w:p>
    <w:p>
      <w:pPr>
        <w:numPr>
          <w:ilvl w:val="0"/>
          <w:numId w:val="1000"/>
        </w:numPr>
      </w:pPr>
      <w:r>
        <w:t xml:space="preserve">Bisher:</w:t>
      </w:r>
    </w:p>
    <w:p>
      <w:pPr>
        <w:pStyle w:val="SourceCode"/>
        <w:numPr>
          <w:ilvl w:val="0"/>
          <w:numId w:val="1000"/>
        </w:numPr>
      </w:pPr>
      <w:r>
        <w:rPr>
          <w:rStyle w:val="VerbatimChar"/>
        </w:rPr>
        <w:t xml:space="preserve">Die Gleichung ist eine **physikalische Orientierung**, noch keine kalibrierte Anforderung. Eine Zielwertfunktion kann durch Parameter, eine Verschiebung der Dichteachse und eine Begrenzung der Gutschrift den Zusammenhang in eine Lastenverteilungsregel übersetzen. Die Parameter sind anhand der nationalen Gebäudeverteilung und Zielbilanz festzulegen [@schneider2023context, Gl. 7–8]. Gebäudeform, Verschattung, Dach- und Fassadennutzung bleiben Gegenstand der tatsächlichen Quartiersbilanz.</w:t>
      </w:r>
    </w:p>
    <w:p>
      <w:pPr>
        <w:numPr>
          <w:ilvl w:val="0"/>
          <w:numId w:val="1000"/>
        </w:numPr>
      </w:pPr>
      <w:r>
        <w:t xml:space="preserve">Jetzt:</w:t>
      </w:r>
    </w:p>
    <w:p>
      <w:pPr>
        <w:pStyle w:val="SourceCode"/>
        <w:numPr>
          <w:ilvl w:val="0"/>
          <w:numId w:val="1000"/>
        </w:numPr>
      </w:pPr>
      <w:r>
        <w:rPr>
          <w:rStyle w:val="VerbatimChar"/>
        </w:rPr>
        <w:t xml:space="preserve">Die Gleichung beschreibt den physikalischen Zusammenhang; die Anforderung folgt aus der nationalen Kalibrierung. Eine Zielwertfunktion kann durch Parameter, eine Verschiebung der Dichteachse und eine Begrenzung der Gutschrift den Zusammenhang in eine Lastenverteilungsregel übersetzen. Die Parameter sind anhand der nationalen Gebäudeverteilung und Zielbilanz festzulegen [@schneider2023context, Gl. 7–8]. Gebäudeform, Verschattung, Dach- und Fassadennutzung bleiben Gegenstand der tatsächlichen Quartiersbilanz.</w:t>
      </w:r>
    </w:p>
    <w:p>
      <w:pPr>
        <w:numPr>
          <w:ilvl w:val="0"/>
          <w:numId w:val="1011"/>
        </w:numPr>
      </w:pPr>
      <w:r>
        <w:rPr>
          <w:b/>
          <w:bCs/>
        </w:rPr>
        <w:t xml:space="preserve">Kapitel/05-kontextfaktoren.qmd, Ausgangszeile 47: Umformulierung / Umgliederung.</w:t>
      </w:r>
    </w:p>
    <w:p>
      <w:pPr>
        <w:numPr>
          <w:ilvl w:val="0"/>
          <w:numId w:val="1000"/>
        </w:numPr>
      </w:pPr>
      <w:r>
        <w:t xml:space="preserve">Bisher:</w:t>
      </w:r>
    </w:p>
    <w:p>
      <w:pPr>
        <w:pStyle w:val="SourceCode"/>
        <w:numPr>
          <w:ilvl w:val="0"/>
          <w:numId w:val="1000"/>
        </w:numPr>
      </w:pPr>
      <w:r>
        <w:rPr>
          <w:rStyle w:val="VerbatimChar"/>
        </w:rPr>
        <w:t xml:space="preserve">Bei der Neubestimmung der Funktion ist zwischen dem unveränderten **physikalisch errechneten Quartierssaldo** und den **virtuellen Zielwertkorrekturen** zu unterscheiden. Für eine PEQ-berechtigte Typologie \(k\) lautet die Bewertungsbedingung schematisch:</w:t>
      </w:r>
    </w:p>
    <w:p>
      <w:pPr>
        <w:numPr>
          <w:ilvl w:val="0"/>
          <w:numId w:val="1000"/>
        </w:numPr>
      </w:pPr>
      <w:r>
        <w:t xml:space="preserve">Jetzt:</w:t>
      </w:r>
    </w:p>
    <w:p>
      <w:pPr>
        <w:pStyle w:val="SourceCode"/>
        <w:numPr>
          <w:ilvl w:val="0"/>
          <w:numId w:val="1000"/>
        </w:numPr>
      </w:pPr>
      <w:r>
        <w:rPr>
          <w:rStyle w:val="VerbatimChar"/>
        </w:rPr>
        <w:t xml:space="preserve">Bei der Neubestimmung der Funktion ist zwischen dem unveränderten **physikalisch errechneten Quartierssaldo** und den **virtuellen Zielwertkorrekturen** zu unterscheiden. Für eine PEQ-berechtigte Typologie $k$ lautet die Bewertungsbedingung schematisch:</w:t>
      </w:r>
    </w:p>
    <w:p>
      <w:pPr>
        <w:numPr>
          <w:ilvl w:val="0"/>
          <w:numId w:val="1011"/>
        </w:numPr>
      </w:pPr>
      <w:r>
        <w:rPr>
          <w:b/>
          <w:bCs/>
        </w:rPr>
        <w:t xml:space="preserve">Kapitel/05-kontextfaktoren.qmd, Ausgangszeile 61: Umformulierung / Umgliederung.</w:t>
      </w:r>
    </w:p>
    <w:p>
      <w:pPr>
        <w:numPr>
          <w:ilvl w:val="0"/>
          <w:numId w:val="1000"/>
        </w:numPr>
      </w:pPr>
      <w:r>
        <w:t xml:space="preserve">Bisher:</w:t>
      </w:r>
    </w:p>
    <w:p>
      <w:pPr>
        <w:pStyle w:val="SourceCode"/>
        <w:numPr>
          <w:ilvl w:val="0"/>
          <w:numId w:val="1000"/>
        </w:numPr>
      </w:pPr>
      <w:r>
        <w:rPr>
          <w:rStyle w:val="VerbatimChar"/>
        </w:rPr>
        <w:t xml:space="preserve">Dabei ist \(t_{k,0}^{\mathrm{PE}}\) das einheitlich definierte Basiskriterium der betroffenen PEQ-Klasse; bei einem Nullmaßstab ist es null. Diese Gleichungen beschreiben die **Parameterstruktur**, nicht schon die endgültige Funktionsform. Vor einer Festlegung sind Dichteachsenverschiebung, Begrenzungen, Typologiezuordnung und Nebenbedingungen abzustimmen. Für Nicht-PEQ-Klassen werden stattdessen die prognostizierten Bilanzbeiträge dokumentiert. Mobilität wird nicht als frei wählbarer Kalibrierrest in die Dichtefunktion eingerechnet: Das nationale MIV-Budget entsteht in @sec-allokation und wird in @sec-kontext-mobilitaet verwendet.</w:t>
      </w:r>
    </w:p>
    <w:p>
      <w:pPr>
        <w:numPr>
          <w:ilvl w:val="0"/>
          <w:numId w:val="1000"/>
        </w:numPr>
      </w:pPr>
      <w:r>
        <w:t xml:space="preserve">Jetzt:</w:t>
      </w:r>
    </w:p>
    <w:p>
      <w:pPr>
        <w:pStyle w:val="SourceCode"/>
        <w:numPr>
          <w:ilvl w:val="0"/>
          <w:numId w:val="1000"/>
        </w:numPr>
      </w:pPr>
      <w:r>
        <w:rPr>
          <w:rStyle w:val="VerbatimChar"/>
        </w:rPr>
        <w:t xml:space="preserve">Dabei ist $t_{k,0}^{\mathrm{PE}}$ das einheitlich definierte Basiskriterium der betroffenen PEQ-Klasse; bei einem Nullmaßstab ist es null. Diese Gleichungen definieren die **Parameterstruktur** des Entwurfs. Vor einer Festlegung sind Dichteachsenverschiebung, Begrenzungen, Typologiezuordnung und Nebenbedingungen abzustimmen. Für Nicht-PEQ-Klassen werden stattdessen die prognostizierten Bilanzbeiträge dokumentiert. Mobilität wird nicht als frei wählbarer Kalibrierrest in die Dichtefunktion eingerechnet: Das nationale MIV-Budget entsteht in @sec-allokation und wird in @sec-kontext-mobilitaet verwendet.</w:t>
      </w:r>
    </w:p>
    <w:p>
      <w:pPr>
        <w:numPr>
          <w:ilvl w:val="0"/>
          <w:numId w:val="1011"/>
        </w:numPr>
      </w:pPr>
      <w:r>
        <w:rPr>
          <w:b/>
          <w:bCs/>
        </w:rPr>
        <w:t xml:space="preserve">Kapitel/05-kontextfaktoren.qmd, Ausgangszeile 63: Umformulierung / Umgliederung.</w:t>
      </w:r>
    </w:p>
    <w:p>
      <w:pPr>
        <w:numPr>
          <w:ilvl w:val="0"/>
          <w:numId w:val="1000"/>
        </w:numPr>
      </w:pPr>
      <w:r>
        <w:t xml:space="preserve">Bisher:</w:t>
      </w:r>
    </w:p>
    <w:p>
      <w:pPr>
        <w:pStyle w:val="SourceCode"/>
        <w:numPr>
          <w:ilvl w:val="0"/>
          <w:numId w:val="1000"/>
        </w:numPr>
      </w:pPr>
      <w:r>
        <w:rPr>
          <w:rStyle w:val="VerbatimChar"/>
        </w:rPr>
        <w:t xml:space="preserve">Für die Sanierungsanpassung gilt ausdrücklich: **kein einheitlicher Faktor für sämtliche sanierten Flächen**. Der Wert \(c_{\mathrm{S},k}\) hängt von der zugewiesenen Typologie ab und wird mit deren energetischen Annahmen und nationalem Flächenanteil gemeinsam kalibriert. Ob für bestimmte Klassen der Anpassungswert null ist und wie unterschiedliche Sanierungsintensitäten bewertet werden, ist anhand der neuen Excel-Klassen fachlich zu begründen.</w:t>
      </w:r>
    </w:p>
    <w:p>
      <w:pPr>
        <w:numPr>
          <w:ilvl w:val="0"/>
          <w:numId w:val="1000"/>
        </w:numPr>
      </w:pPr>
      <w:r>
        <w:t xml:space="preserve">Jetzt:</w:t>
      </w:r>
    </w:p>
    <w:p>
      <w:pPr>
        <w:pStyle w:val="SourceCode"/>
        <w:numPr>
          <w:ilvl w:val="0"/>
          <w:numId w:val="1000"/>
        </w:numPr>
      </w:pPr>
      <w:r>
        <w:rPr>
          <w:rStyle w:val="VerbatimChar"/>
        </w:rPr>
        <w:t xml:space="preserve">Für die Sanierungsanpassung gilt ausdrücklich: **kein einheitlicher Faktor für sämtliche sanierten Flächen**. Der Wert $c_{\mathrm{S},k}$ hängt von der zugewiesenen Typologie ab und wird mit deren energetischen Annahmen und nationalem Flächenanteil gemeinsam kalibriert. Ob für bestimmte Klassen der Anpassungswert null ist und wie unterschiedliche Sanierungsintensitäten bewertet werden, ist anhand der neuen Excel-Klassen fachlich zu begründen.</w:t>
      </w:r>
    </w:p>
    <w:p>
      <w:pPr>
        <w:numPr>
          <w:ilvl w:val="0"/>
          <w:numId w:val="1011"/>
        </w:numPr>
      </w:pPr>
      <w:r>
        <w:rPr>
          <w:b/>
          <w:bCs/>
        </w:rPr>
        <w:t xml:space="preserve">Kapitel/05-kontextfaktoren.qmd, Ausgangszeile 67: Umformulierung / Umgliederung.</w:t>
      </w:r>
    </w:p>
    <w:p>
      <w:pPr>
        <w:numPr>
          <w:ilvl w:val="0"/>
          <w:numId w:val="1000"/>
        </w:numPr>
      </w:pPr>
      <w:r>
        <w:t xml:space="preserve">Bisher:</w:t>
      </w:r>
    </w:p>
    <w:p>
      <w:pPr>
        <w:pStyle w:val="SourceCode"/>
        <w:numPr>
          <w:ilvl w:val="0"/>
          <w:numId w:val="1000"/>
        </w:numPr>
      </w:pPr>
      <w:r>
        <w:rPr>
          <w:rStyle w:val="VerbatimChar"/>
        </w:rPr>
        <w:t xml:space="preserve">Die Flächenverteilung nach Typologie \(k\) und Dichteklasse \(j\) wird aus @sec-gebaeudebestand übernommen. Ein konsistent auf **BGF** bezogener jährlicher nationaler Modellbeitrag lässt sich in den **fest vorgegebenen Beitrag der Nicht-PEQ-Klassen** und die **kalibrierten Beiträge der PEQ-Klassen** zerlegen:</w:t>
      </w:r>
    </w:p>
    <w:p>
      <w:pPr>
        <w:numPr>
          <w:ilvl w:val="0"/>
          <w:numId w:val="1000"/>
        </w:numPr>
      </w:pPr>
      <w:r>
        <w:t xml:space="preserve">Jetzt:</w:t>
      </w:r>
    </w:p>
    <w:p>
      <w:pPr>
        <w:pStyle w:val="SourceCode"/>
        <w:numPr>
          <w:ilvl w:val="0"/>
          <w:numId w:val="1000"/>
        </w:numPr>
      </w:pPr>
      <w:r>
        <w:rPr>
          <w:rStyle w:val="VerbatimChar"/>
        </w:rPr>
        <w:t xml:space="preserve">Die Flächenverteilung nach Typologie $k$ und Dichteklasse $j$ wird aus @sec-gebaeudebestand übernommen. Ein konsistent auf **BGF** bezogener jährlicher nationaler Modellbeitrag lässt sich in den **fest vorgegebenen Beitrag der Nicht-PEQ-Klassen** und die **kalibrierten Beiträge der PEQ-Klassen** zerlegen:</w:t>
      </w:r>
    </w:p>
    <w:p>
      <w:pPr>
        <w:numPr>
          <w:ilvl w:val="0"/>
          <w:numId w:val="1011"/>
        </w:numPr>
      </w:pPr>
      <w:r>
        <w:rPr>
          <w:b/>
          <w:bCs/>
        </w:rPr>
        <w:t xml:space="preserve">Kapitel/05-kontextfaktoren.qmd, Ausgangszeile 75: Umformulierung / Umgliederung.</w:t>
      </w:r>
    </w:p>
    <w:p>
      <w:pPr>
        <w:numPr>
          <w:ilvl w:val="0"/>
          <w:numId w:val="1000"/>
        </w:numPr>
      </w:pPr>
      <w:r>
        <w:t xml:space="preserve">Bisher:</w:t>
      </w:r>
    </w:p>
    <w:p>
      <w:pPr>
        <w:pStyle w:val="SourceCode"/>
        <w:numPr>
          <w:ilvl w:val="0"/>
          <w:numId w:val="1000"/>
        </w:numPr>
      </w:pPr>
      <w:r>
        <w:rPr>
          <w:rStyle w:val="VerbatimChar"/>
        </w:rPr>
        <w:t xml:space="preserve">Die Beiträge \(b_{k,j}^{\mathrm{ref}}\) und \(t_{k,j}^{\mathrm{PEQ}}\) müssen hier in derselben auf BGF bezogenen, national aggregierbaren Bilanzgröße ausgedrückt sein. Die Ziel- und Flächenbezüge sind vor der Aggregation zu harmonisieren: Ein PEQ-Zielwert in kWh PE/(m² NGF·a) kann nicht unmittelbar mit nationaler BGF multipliziert werden. Ebenso kann eine in PJ **elektrischer Energie** ausgewiesene nationale Sektorbilanz nicht ohne Definition und Umrechnung mit einem Primärenergiesaldo gleichgesetzt werden. Diese Umrechnung – einschließlich NGF/BGF und geeigneter PE-Gewichtung – gehört ausdrücklich zur Kalibrierrechnung und zu ihrer Dokumentation.</w:t>
      </w:r>
    </w:p>
    <w:p>
      <w:pPr>
        <w:numPr>
          <w:ilvl w:val="0"/>
          <w:numId w:val="1000"/>
        </w:numPr>
      </w:pPr>
      <w:r>
        <w:t xml:space="preserve">Jetzt:</w:t>
      </w:r>
    </w:p>
    <w:p>
      <w:pPr>
        <w:pStyle w:val="SourceCode"/>
        <w:numPr>
          <w:ilvl w:val="0"/>
          <w:numId w:val="1000"/>
        </w:numPr>
      </w:pPr>
      <w:r>
        <w:rPr>
          <w:rStyle w:val="VerbatimChar"/>
        </w:rPr>
        <w:t xml:space="preserve">Die Beiträge werden als jährliche elektrische Energie je BGF aggregiert. Für NGF-bezogene Kennwerte gilt der dokumentierte Flächenfaktor; die PE-Bewertung folgt getrennt in der Quartiersbilanz.</w:t>
      </w:r>
    </w:p>
    <w:p>
      <w:pPr>
        <w:numPr>
          <w:ilvl w:val="0"/>
          <w:numId w:val="1011"/>
        </w:numPr>
      </w:pPr>
      <w:r>
        <w:rPr>
          <w:b/>
          <w:bCs/>
        </w:rPr>
        <w:t xml:space="preserve">Kapitel/05-kontextfaktoren.qmd, Ausgangszeile 77: Umformulierung / Umgliederung.</w:t>
      </w:r>
    </w:p>
    <w:p>
      <w:pPr>
        <w:numPr>
          <w:ilvl w:val="0"/>
          <w:numId w:val="1000"/>
        </w:numPr>
      </w:pPr>
      <w:r>
        <w:t xml:space="preserve">Bisher:</w:t>
      </w:r>
    </w:p>
    <w:p>
      <w:pPr>
        <w:pStyle w:val="SourceCode"/>
        <w:numPr>
          <w:ilvl w:val="0"/>
          <w:numId w:val="1000"/>
        </w:numPr>
      </w:pPr>
      <w:r>
        <w:rPr>
          <w:rStyle w:val="VerbatimChar"/>
        </w:rPr>
        <w:t xml:space="preserve">Die Parameter \(\theta\) werden so gewählt, dass sich der nationale aggregierte Zielbeitrag und der aus @sec-allokation stammende, in dieselbe Bilanzgröße überführte Referenzsaldo innerhalb einer ausgewiesenen Toleranz entsprechen:</w:t>
      </w:r>
    </w:p>
    <w:p>
      <w:pPr>
        <w:numPr>
          <w:ilvl w:val="0"/>
          <w:numId w:val="1000"/>
        </w:numPr>
      </w:pPr>
      <w:r>
        <w:t xml:space="preserve">Jetzt:</w:t>
      </w:r>
    </w:p>
    <w:p>
      <w:pPr>
        <w:pStyle w:val="SourceCode"/>
        <w:numPr>
          <w:ilvl w:val="0"/>
          <w:numId w:val="1000"/>
        </w:numPr>
      </w:pPr>
      <w:r>
        <w:rPr>
          <w:rStyle w:val="VerbatimChar"/>
        </w:rPr>
        <w:t xml:space="preserve">Die Parameter $\theta$ werden so gewählt, dass sich der nationale aggregierte Zielbeitrag und der aus @sec-allokation stammende, in dieselbe Bilanzgröße überführte Referenzsaldo innerhalb einer ausgewiesenen Toleranz entsprechen:</w:t>
      </w:r>
    </w:p>
    <w:p>
      <w:pPr>
        <w:numPr>
          <w:ilvl w:val="0"/>
          <w:numId w:val="1011"/>
        </w:numPr>
      </w:pPr>
      <w:r>
        <w:rPr>
          <w:b/>
          <w:bCs/>
        </w:rPr>
        <w:t xml:space="preserve">Kapitel/05-kontextfaktoren.qmd, Ausgangszeile 86: Umformulierung / Umgliederung.</w:t>
      </w:r>
    </w:p>
    <w:p>
      <w:pPr>
        <w:numPr>
          <w:ilvl w:val="0"/>
          <w:numId w:val="1000"/>
        </w:numPr>
      </w:pPr>
      <w:r>
        <w:t xml:space="preserve">Bisher:</w:t>
      </w:r>
    </w:p>
    <w:p>
      <w:pPr>
        <w:pStyle w:val="SourceCode"/>
        <w:numPr>
          <w:ilvl w:val="0"/>
          <w:numId w:val="1000"/>
        </w:numPr>
      </w:pPr>
      <w:r>
        <w:rPr>
          <w:rStyle w:val="VerbatimChar"/>
        </w:rPr>
        <w:t xml:space="preserve">## Kalibrierergebnis und Qualitätssicherung</w:t>
      </w:r>
    </w:p>
    <w:p>
      <w:pPr>
        <w:numPr>
          <w:ilvl w:val="0"/>
          <w:numId w:val="1000"/>
        </w:numPr>
      </w:pPr>
      <w:r>
        <w:t xml:space="preserve">Jetzt:</w:t>
      </w:r>
    </w:p>
    <w:p>
      <w:pPr>
        <w:pStyle w:val="SourceCode"/>
        <w:numPr>
          <w:ilvl w:val="0"/>
          <w:numId w:val="1000"/>
        </w:numPr>
      </w:pPr>
      <w:r>
        <w:rPr>
          <w:rStyle w:val="VerbatimChar"/>
        </w:rPr>
        <w:t xml:space="preserve">## Kalibrierungsstand und Ergebnisvergleich</w:t>
      </w:r>
    </w:p>
    <w:p>
      <w:pPr>
        <w:numPr>
          <w:ilvl w:val="0"/>
          <w:numId w:val="1011"/>
        </w:numPr>
      </w:pPr>
      <w:r>
        <w:rPr>
          <w:b/>
          <w:bCs/>
        </w:rPr>
        <w:t xml:space="preserve">Kapitel/05-kontextfaktoren.qmd, Ausgangszeile 88: Umformulierung / Umgliederung.</w:t>
      </w:r>
    </w:p>
    <w:p>
      <w:pPr>
        <w:numPr>
          <w:ilvl w:val="0"/>
          <w:numId w:val="1000"/>
        </w:numPr>
      </w:pPr>
      <w:r>
        <w:t xml:space="preserve">Bisher:</w:t>
      </w:r>
    </w:p>
    <w:p>
      <w:pPr>
        <w:pStyle w:val="SourceCode"/>
        <w:numPr>
          <w:ilvl w:val="0"/>
          <w:numId w:val="1000"/>
        </w:numPr>
      </w:pPr>
      <w:r>
        <w:rPr>
          <w:rStyle w:val="VerbatimChar"/>
        </w:rPr>
        <w:t xml:space="preserve">Die Top-down-Seite ist als parametrierbare Rechnung in @sec-allokation-notebook umgesetzt. Unter den ausdrücklich vorläufigen Annahmen in @sec-allokation-ergebnisse ergeben sich 24 PJ/a elektrisches MIV-Budget und −7 PJ/a für den erweiterten Gebäudesektorsaldo einschließlich MIV. Die Bottom-up-Seite liegt nun in @sec-gebaeudesektormodell vor: 603 positiv gewichtete Typen, ihre GFZ-Verteilungen und die jeweiligen Erwartungswerte der vorläufigen historischen Dichtefunktion. Die Einzelzielzuordnung zu Dichteklassen ist mit 100 % bestätigt; bei zwei Zielklassen gelten die gelieferten Anteile.</w:t>
      </w:r>
    </w:p>
    <w:p>
      <w:pPr>
        <w:numPr>
          <w:ilvl w:val="0"/>
          <w:numId w:val="1000"/>
        </w:numPr>
      </w:pPr>
      <w:r>
        <w:t xml:space="preserve">Jetzt:</w:t>
      </w:r>
    </w:p>
    <w:p>
      <w:pPr>
        <w:pStyle w:val="SourceCode"/>
        <w:numPr>
          <w:ilvl w:val="0"/>
          <w:numId w:val="1000"/>
        </w:numPr>
      </w:pPr>
      <w:r>
        <w:rPr>
          <w:rStyle w:val="VerbatimChar"/>
        </w:rPr>
        <w:t xml:space="preserve">Unter den Annahmen des Referenzfalls ergeben sich 24 PJ/a elektrisches MIV-Budget und −7 PJ/a für den Gebäudesektorsaldo einschließlich MIV (@sec-allokation-ergebnisse). Die Bottom-up-Rechnung umfasst 603 positiv gewichtete Typen, ihre GFZ-Verteilungen und die Erwartungswerte der historischen Dichtefunktion (@sec-gebaeudesektormodell).</w:t>
      </w:r>
    </w:p>
    <w:p>
      <w:pPr>
        <w:numPr>
          <w:ilvl w:val="0"/>
          <w:numId w:val="1011"/>
        </w:numPr>
      </w:pPr>
      <w:r>
        <w:rPr>
          <w:b/>
          <w:bCs/>
        </w:rPr>
        <w:t xml:space="preserve">Kapitel/05-kontextfaktoren.qmd, Ausgangszeile 90: Umformulierung / Umgliederung.</w:t>
      </w:r>
    </w:p>
    <w:p>
      <w:pPr>
        <w:numPr>
          <w:ilvl w:val="0"/>
          <w:numId w:val="1000"/>
        </w:numPr>
      </w:pPr>
      <w:r>
        <w:t xml:space="preserve">Bisher:</w:t>
      </w:r>
    </w:p>
    <w:p>
      <w:pPr>
        <w:pStyle w:val="SourceCode"/>
        <w:numPr>
          <w:ilvl w:val="0"/>
          <w:numId w:val="1000"/>
        </w:numPr>
      </w:pPr>
      <w:r>
        <w:rPr>
          <w:rStyle w:val="VerbatimChar"/>
        </w:rPr>
        <w:t xml:space="preserve">Der physische Pool-Stromsaldo beträgt −59,25 PJ/a. Einschließlich derselben einmaligen MIV-Zuordnung ergibt sich −107,25 PJ/a, also −100,25 PJ/a gegenüber dem Top-down-Beispiel. Die virtuellen Dichte-Erwartungswerte werden dabei nicht als reale Deckung hinzuaddiert. Der Pool enthält nur PV30/noFlex sowie noch erhebliche Gas- und Ölmengen. Eine neue Zielwertfunktion lässt sich deshalb nicht allein durch Gleichsetzen dieses Pool-Ergebnisses mit dem nationalen Ziel bestimmen. PEQ-Flächenanteile, energetische Entwicklung der übrigen Typen und alternative PV-Ausstattungen sind zuerst festzulegen.</w:t>
      </w:r>
    </w:p>
    <w:p>
      <w:pPr>
        <w:numPr>
          <w:ilvl w:val="0"/>
          <w:numId w:val="1000"/>
        </w:numPr>
      </w:pPr>
      <w:r>
        <w:t xml:space="preserve">Jetzt:</w:t>
      </w:r>
    </w:p>
    <w:p>
      <w:pPr>
        <w:pStyle w:val="SourceCode"/>
        <w:numPr>
          <w:ilvl w:val="0"/>
          <w:numId w:val="1000"/>
        </w:numPr>
      </w:pPr>
      <w:r>
        <w:rPr>
          <w:rStyle w:val="VerbatimChar"/>
        </w:rPr>
        <w:t xml:space="preserve">Der physische Pool-Stromsaldo beträgt −59,25 PJ/a. Einschließlich derselben einmaligen MIV-Zuordnung ergibt sich −107,25 PJ/a, also −100,25 PJ/a gegenüber dem Top-down-Beispiel. Die virtuellen Dichte-Erwartungswerte werden dabei nicht als reale Deckung hinzuaddiert. Der Pool enthält nur PV30/noFlex sowie erhebliche Gas- und Ölmengen. Eine neue Zielwertfunktion lässt sich deshalb nicht allein durch Gleichsetzen dieses Pool-Ergebnisses mit dem nationalen Ziel bestimmen. PEQ-Flächenanteile, energetische Entwicklung der übrigen Typen und alternative PV-Ausstattungen sind zuerst festzulegen.</w:t>
      </w:r>
    </w:p>
    <w:p>
      <w:pPr>
        <w:numPr>
          <w:ilvl w:val="0"/>
          <w:numId w:val="1011"/>
        </w:numPr>
      </w:pPr>
      <w:r>
        <w:rPr>
          <w:b/>
          <w:bCs/>
        </w:rPr>
        <w:t xml:space="preserve">Kapitel/05-kontextfaktoren.qmd, Ausgangszeile 92: Umformulierung / Umgliederung.</w:t>
      </w:r>
    </w:p>
    <w:p>
      <w:pPr>
        <w:numPr>
          <w:ilvl w:val="0"/>
          <w:numId w:val="1000"/>
        </w:numPr>
      </w:pPr>
      <w:r>
        <w:t xml:space="preserve">Bisher:</w:t>
      </w:r>
    </w:p>
    <w:p>
      <w:pPr>
        <w:pStyle w:val="SourceCode"/>
        <w:numPr>
          <w:ilvl w:val="0"/>
          <w:numId w:val="1000"/>
        </w:numPr>
      </w:pPr>
      <w:r>
        <w:rPr>
          <w:rStyle w:val="VerbatimChar"/>
        </w:rPr>
        <w:t xml:space="preserve">::: {.callout-important title="Ergebnis der Neukalibrierung einzufügen"}</w:t>
      </w:r>
      <w:r>
        <w:br/>
      </w:r>
      <w:r>
        <w:rPr>
          <w:rStyle w:val="VerbatimChar"/>
        </w:rPr>
        <w:t xml:space="preserve">**Vorhanden:** gelieferte 2040-Typologie- und Flächenmatrix, flächengewichtete Energiebilanzen, GFZ-Zuordnung und elektrischer Abgleich. **Noch offen:** freigegebene PEQ-Anteile und Versorgungspfade, abgestimmter UBA-Gebäudesektorsaldo, Bestätigung der BGF-/NGF-Annahme und PE-Faktorversion, endgültige Dichtefunktion sowie typologische Sanierungsparameter. Die historische Referenzkurve wird nicht als neue Kalibrierung ausgegeben.</w:t>
      </w:r>
    </w:p>
    <w:p>
      <w:pPr>
        <w:numPr>
          <w:ilvl w:val="0"/>
          <w:numId w:val="1000"/>
        </w:numPr>
      </w:pPr>
      <w:r>
        <w:t xml:space="preserve">Jetzt:</w:t>
      </w:r>
    </w:p>
    <w:p>
      <w:pPr>
        <w:pStyle w:val="SourceCode"/>
        <w:numPr>
          <w:ilvl w:val="0"/>
          <w:numId w:val="1000"/>
        </w:numPr>
      </w:pPr>
      <w:r>
        <w:rPr>
          <w:rStyle w:val="VerbatimChar"/>
        </w:rPr>
        <w:t xml:space="preserve">::: {.callout-note title="Geltungsbereich des Entwurfs"}</w:t>
      </w:r>
      <w:r>
        <w:br/>
      </w:r>
      <w:r>
        <w:rPr>
          <w:rStyle w:val="VerbatimChar"/>
        </w:rPr>
        <w:t xml:space="preserve">Die 2040-Flächenmatrix, Energieaggregation und GFZ-Zuordnung sind berechnet. Die historische Dichtefunktion wird als Referenzansatz ausgewertet. PEQ-Flächenanteile, Versorgungspfade, PE-Faktorversion und typologische Sanierungswerte sind nicht normativ festgelegt. Der Ergebnisvergleich beschreibt diesen Parameterstand.</w:t>
      </w:r>
    </w:p>
    <w:p>
      <w:pPr>
        <w:numPr>
          <w:ilvl w:val="0"/>
          <w:numId w:val="1011"/>
        </w:numPr>
      </w:pPr>
      <w:r>
        <w:rPr>
          <w:b/>
          <w:bCs/>
        </w:rPr>
        <w:t xml:space="preserve">Kapitel/05-kontextfaktoren.qmd, Ausgangszeile 96: Umformulierung / Umgliederung.</w:t>
      </w:r>
    </w:p>
    <w:p>
      <w:pPr>
        <w:numPr>
          <w:ilvl w:val="0"/>
          <w:numId w:val="1000"/>
        </w:numPr>
      </w:pPr>
      <w:r>
        <w:t xml:space="preserve">Bisher:</w:t>
      </w:r>
    </w:p>
    <w:p>
      <w:pPr>
        <w:pStyle w:val="SourceCode"/>
        <w:numPr>
          <w:ilvl w:val="0"/>
          <w:numId w:val="1000"/>
        </w:numPr>
      </w:pPr>
      <w:r>
        <w:rPr>
          <w:rStyle w:val="VerbatimChar"/>
        </w:rPr>
        <w:t xml:space="preserve">Nach Einsetzen der Werte sollen mindestens dargestellt werden: die nationale Flächenverteilung der Klassen über die GFZ; die Bilanzbeiträge nach Typologie; die neue dichteabhängige Anforderung; der Beitrag der typologiespezifischen Sanierungsanpassungen; der aggregierte Modellwert und die Differenz zum Referenzsaldo. Die Parameter und verwendeten Quelldateiversionen sind reproduzierbar auszuweisen.</w:t>
      </w:r>
    </w:p>
    <w:p>
      <w:pPr>
        <w:numPr>
          <w:ilvl w:val="0"/>
          <w:numId w:val="1000"/>
        </w:numPr>
      </w:pPr>
      <w:r>
        <w:t xml:space="preserve">Jetzt:</w:t>
      </w:r>
    </w:p>
    <w:p>
      <w:pPr>
        <w:pStyle w:val="SourceCode"/>
        <w:numPr>
          <w:ilvl w:val="0"/>
          <w:numId w:val="1000"/>
        </w:numPr>
      </w:pPr>
      <w:r>
        <w:rPr>
          <w:rStyle w:val="VerbatimChar"/>
        </w:rPr>
        <w:t xml:space="preserve">Die Ergebnisdarstellung umfasst Flächen, Typenbeiträge, Dichtekorrektur und den Abstand zum Referenzsaldo (@sec-gebaeude-abgleich). Quelldateien und Parameter sind in den Rechenanhängen versioniert.</w:t>
      </w:r>
    </w:p>
    <w:p>
      <w:pPr>
        <w:numPr>
          <w:ilvl w:val="0"/>
          <w:numId w:val="1011"/>
        </w:numPr>
      </w:pPr>
      <w:r>
        <w:rPr>
          <w:b/>
          <w:bCs/>
        </w:rPr>
        <w:t xml:space="preserve">Kapitel/05-kontextfaktoren.qmd, Ausgangszeile 103: Umformulierung / Umgliederung.</w:t>
      </w:r>
    </w:p>
    <w:p>
      <w:pPr>
        <w:numPr>
          <w:ilvl w:val="0"/>
          <w:numId w:val="1000"/>
        </w:numPr>
      </w:pPr>
      <w:r>
        <w:t xml:space="preserve">Bisher:</w:t>
      </w:r>
    </w:p>
    <w:p>
      <w:pPr>
        <w:pStyle w:val="SourceCode"/>
        <w:numPr>
          <w:ilvl w:val="0"/>
          <w:numId w:val="1000"/>
        </w:numPr>
      </w:pPr>
      <w:r>
        <w:rPr>
          <w:rStyle w:val="VerbatimChar"/>
        </w:rPr>
        <w:t xml:space="preserve">Die ursprüngliche Kalibrierung verwendete fünf energetische Gebäudeklassen und eine spezifische Dichtefunktion [@schneider2023context]. Diese historische Lösung erläutert die Entstehung der Methode, ersetzt aber weder die neuen Typologien noch die hier durchzuführende Kalibrierung mit UBA Transition 2040.</w:t>
      </w:r>
    </w:p>
    <w:p>
      <w:pPr>
        <w:numPr>
          <w:ilvl w:val="0"/>
          <w:numId w:val="1000"/>
        </w:numPr>
      </w:pPr>
      <w:r>
        <w:t xml:space="preserve">Jetzt:</w:t>
      </w:r>
    </w:p>
    <w:p>
      <w:pPr>
        <w:pStyle w:val="SourceCode"/>
        <w:numPr>
          <w:ilvl w:val="0"/>
          <w:numId w:val="1000"/>
        </w:numPr>
      </w:pPr>
      <w:r>
        <w:rPr>
          <w:rStyle w:val="VerbatimChar"/>
        </w:rPr>
        <w:t xml:space="preserve">Die ursprüngliche Kalibrierung verwendete fünf energetische Gebäudeklassen und eine spezifische Dichtefunktion [@schneider2023context]. Diese historische Lösung erläutert die Entstehung der Methode, ersetzt aber weder die neuen Typologien noch die Kalibrierung mit UBA Transition 2040.</w:t>
      </w:r>
    </w:p>
    <w:p>
      <w:pPr>
        <w:numPr>
          <w:ilvl w:val="0"/>
          <w:numId w:val="1011"/>
        </w:numPr>
      </w:pPr>
      <w:r>
        <w:rPr>
          <w:b/>
          <w:bCs/>
        </w:rPr>
        <w:t xml:space="preserve">Kapitel/05-kontext-mobilitaet.qmd, Ausgangszeile 9: Umformulierung / Umgliederung.</w:t>
      </w:r>
    </w:p>
    <w:p>
      <w:pPr>
        <w:numPr>
          <w:ilvl w:val="0"/>
          <w:numId w:val="1000"/>
        </w:numPr>
      </w:pPr>
      <w:r>
        <w:t xml:space="preserve">Bisher:</w:t>
      </w:r>
    </w:p>
    <w:p>
      <w:pPr>
        <w:pStyle w:val="SourceCode"/>
        <w:numPr>
          <w:ilvl w:val="0"/>
          <w:numId w:val="1000"/>
        </w:numPr>
      </w:pPr>
      <w:r>
        <w:rPr>
          <w:rStyle w:val="VerbatimChar"/>
        </w:rPr>
        <w:t xml:space="preserve">::: {.callout-note title="Vorläufige quantitative Allokation"}</w:t>
      </w:r>
      <w:r>
        <w:br/>
      </w:r>
      <w:r>
        <w:rPr>
          <w:rStyle w:val="VerbatimChar"/>
        </w:rPr>
        <w:t xml:space="preserve">@sec-allokation-ergebnisse zeigt erstmals ein explizit parametriertes Transition-Rechenbeispiel: 24 PJ/a beziehungsweise 6,667 TWh/a elektrisches MIV-Budget bei den dort dokumentierten Annahmen. Die volle Anrechnung der Wasserstoff-Rückverstromung erhöht es im Vergleichsfall auf 28 PJ/a. Das sind nationale elektrische Zuteilungen, keine neuen nutzungsbezogenen PE-Gutschriften. Heutige PE-Faktoren, Verteilungsschlüssel und Ziel-Flächen sind dafür noch festzulegen. Die vollständige Rechnung steht in @sec-allokation-notebook.</w:t>
      </w:r>
    </w:p>
    <w:p>
      <w:pPr>
        <w:numPr>
          <w:ilvl w:val="0"/>
          <w:numId w:val="1000"/>
        </w:numPr>
      </w:pPr>
      <w:r>
        <w:t xml:space="preserve">Jetzt:</w:t>
      </w:r>
    </w:p>
    <w:p>
      <w:pPr>
        <w:pStyle w:val="SourceCode"/>
        <w:numPr>
          <w:ilvl w:val="0"/>
          <w:numId w:val="1000"/>
        </w:numPr>
      </w:pPr>
      <w:r>
        <w:rPr>
          <w:rStyle w:val="VerbatimChar"/>
        </w:rPr>
        <w:t xml:space="preserve">::: {.callout-note title="quantitative Allokation"}</w:t>
      </w:r>
      <w:r>
        <w:br/>
      </w:r>
      <w:r>
        <w:rPr>
          <w:rStyle w:val="VerbatimChar"/>
        </w:rPr>
        <w:t xml:space="preserve">@sec-allokation-ergebnisse zeigt den parametrierten Transition-Referenzfall: 24 PJ/a beziehungsweise 6,667 TWh/a elektrisches MIV-Budget bei den dort dokumentierten Annahmen. Die volle Anrechnung der Wasserstoff-Rückverstromung erhöht es im Vergleichsfall auf 28 PJ/a. Das sind nationale elektrische Zuteilungen, keine neuen nutzungsbezogenen PE-Gutschriften. PE-Faktoren, Verteilungsschlüssel und Ziel-Flächen sind dafür nicht gemeinsam festgelegt. Die vollständige Rechnung steht in @sec-allokation-notebook.</w:t>
      </w:r>
    </w:p>
    <w:p>
      <w:pPr>
        <w:numPr>
          <w:ilvl w:val="0"/>
          <w:numId w:val="1011"/>
        </w:numPr>
      </w:pPr>
      <w:r>
        <w:rPr>
          <w:b/>
          <w:bCs/>
        </w:rPr>
        <w:t xml:space="preserve">Kapitel/05-kontext-mobilitaet.qmd, Ausgangszeile 17: Umformulierung / Umgliederung.</w:t>
      </w:r>
    </w:p>
    <w:p>
      <w:pPr>
        <w:numPr>
          <w:ilvl w:val="0"/>
          <w:numId w:val="1000"/>
        </w:numPr>
      </w:pPr>
      <w:r>
        <w:t xml:space="preserve">Bisher:</w:t>
      </w:r>
    </w:p>
    <w:p>
      <w:pPr>
        <w:pStyle w:val="SourceCode"/>
        <w:numPr>
          <w:ilvl w:val="0"/>
          <w:numId w:val="1000"/>
        </w:numPr>
      </w:pPr>
      <w:r>
        <w:rPr>
          <w:rStyle w:val="VerbatimChar"/>
        </w:rPr>
        <w:t xml:space="preserve">Für Nutzung \(u\) gilt:</w:t>
      </w:r>
    </w:p>
    <w:p>
      <w:pPr>
        <w:numPr>
          <w:ilvl w:val="0"/>
          <w:numId w:val="1000"/>
        </w:numPr>
      </w:pPr>
      <w:r>
        <w:t xml:space="preserve">Jetzt:</w:t>
      </w:r>
    </w:p>
    <w:p>
      <w:pPr>
        <w:pStyle w:val="SourceCode"/>
        <w:numPr>
          <w:ilvl w:val="0"/>
          <w:numId w:val="1000"/>
        </w:numPr>
      </w:pPr>
      <w:r>
        <w:rPr>
          <w:rStyle w:val="VerbatimChar"/>
        </w:rPr>
        <w:t xml:space="preserve">Für Nutzung $u$ gilt:</w:t>
      </w:r>
    </w:p>
    <w:p>
      <w:pPr>
        <w:numPr>
          <w:ilvl w:val="0"/>
          <w:numId w:val="1011"/>
        </w:numPr>
      </w:pPr>
      <w:r>
        <w:rPr>
          <w:b/>
          <w:bCs/>
        </w:rPr>
        <w:t xml:space="preserve">Kapitel/05-kontext-mobilitaet.qmd, Ausgangszeile 26: Umformulierung / Umgliederung.</w:t>
      </w:r>
    </w:p>
    <w:p>
      <w:pPr>
        <w:numPr>
          <w:ilvl w:val="0"/>
          <w:numId w:val="1000"/>
        </w:numPr>
      </w:pPr>
      <w:r>
        <w:t xml:space="preserve">Bisher:</w:t>
      </w:r>
    </w:p>
    <w:p>
      <w:pPr>
        <w:pStyle w:val="SourceCode"/>
        <w:numPr>
          <w:ilvl w:val="0"/>
          <w:numId w:val="1000"/>
        </w:numPr>
      </w:pPr>
      <w:r>
        <w:rPr>
          <w:rStyle w:val="VerbatimChar"/>
        </w:rPr>
        <w:t xml:space="preserve">Dabei ist \(s_u\) der Anteil des nationalen Budgets, der dem von Nutzung \(u\) verursachten beziehungsweise ihr zugeordneten Zielverkehr zugerechnet wird. Die verwendeten nationalen NGF müssen dem Flächen- und Nutzungsstand des Kalibrierungsszenarios entsprechen. Es wird zwischen **Budgetverteilung je Nutzung** und **tatsächlicher Verkehrsvermeidung am Standort** unterschieden.</w:t>
      </w:r>
    </w:p>
    <w:p>
      <w:pPr>
        <w:numPr>
          <w:ilvl w:val="0"/>
          <w:numId w:val="1000"/>
        </w:numPr>
      </w:pPr>
      <w:r>
        <w:t xml:space="preserve">Jetzt:</w:t>
      </w:r>
    </w:p>
    <w:p>
      <w:pPr>
        <w:pStyle w:val="SourceCode"/>
        <w:numPr>
          <w:ilvl w:val="0"/>
          <w:numId w:val="1000"/>
        </w:numPr>
      </w:pPr>
      <w:r>
        <w:rPr>
          <w:rStyle w:val="VerbatimChar"/>
        </w:rPr>
        <w:t xml:space="preserve">Dabei ist $s_u$ der Anteil des nationalen Budgets, der dem von Nutzung $u$ verursachten beziehungsweise ihr zugeordneten Zielverkehr zugerechnet wird. Die verwendeten nationalen NGF müssen dem Flächen- und Nutzungsstand des Kalibrierungsszenarios entsprechen. Es wird zwischen **Budgetverteilung je Nutzung** und **tatsächlicher Verkehrsvermeidung am Standort** unterschieden.</w:t>
      </w:r>
    </w:p>
    <w:p>
      <w:pPr>
        <w:numPr>
          <w:ilvl w:val="0"/>
          <w:numId w:val="1011"/>
        </w:numPr>
      </w:pPr>
      <w:r>
        <w:rPr>
          <w:b/>
          <w:bCs/>
        </w:rPr>
        <w:t xml:space="preserve">Kapitel/05-kontext-mobilitaet.qmd, Ausgangszeile 28: Umformulierung / Umgliederung.</w:t>
      </w:r>
    </w:p>
    <w:p>
      <w:pPr>
        <w:numPr>
          <w:ilvl w:val="0"/>
          <w:numId w:val="1000"/>
        </w:numPr>
      </w:pPr>
      <w:r>
        <w:t xml:space="preserve">Bisher:</w:t>
      </w:r>
    </w:p>
    <w:p>
      <w:pPr>
        <w:pStyle w:val="SourceCode"/>
        <w:numPr>
          <w:ilvl w:val="0"/>
          <w:numId w:val="1000"/>
        </w:numPr>
      </w:pPr>
      <w:r>
        <w:rPr>
          <w:rStyle w:val="VerbatimChar"/>
        </w:rPr>
        <w:t xml:space="preserve">::: {.callout-important title="Neue Mobilitätsgutschriften noch zu berechnen"}</w:t>
      </w:r>
      <w:r>
        <w:br/>
      </w:r>
      <w:r>
        <w:rPr>
          <w:rStyle w:val="VerbatimChar"/>
        </w:rPr>
        <w:t xml:space="preserve">Einzutragen sind das aus @sec-allokation resultierende elektrische und primärenergetische MIV-Budget, die nutzungsbezogenen Zielverkehrsanteile, nationale NGF je Nutzung und die daraus abgeleiteten Gutschriften. Die historischen Werte aus 2023 sind **nicht** die neue Transition-2040-Kalibrierung.</w:t>
      </w:r>
    </w:p>
    <w:p>
      <w:pPr>
        <w:numPr>
          <w:ilvl w:val="0"/>
          <w:numId w:val="1000"/>
        </w:numPr>
      </w:pPr>
      <w:r>
        <w:t xml:space="preserve">Jetzt:</w:t>
      </w:r>
    </w:p>
    <w:p>
      <w:pPr>
        <w:pStyle w:val="SourceCode"/>
        <w:numPr>
          <w:ilvl w:val="0"/>
          <w:numId w:val="1000"/>
        </w:numPr>
      </w:pPr>
      <w:r>
        <w:rPr>
          <w:rStyle w:val="VerbatimChar"/>
        </w:rPr>
        <w:t xml:space="preserve">::: {.callout-note title="Parameterstand"}</w:t>
      </w:r>
      <w:r>
        <w:br/>
      </w:r>
      <w:r>
        <w:rPr>
          <w:rStyle w:val="VerbatimChar"/>
        </w:rPr>
        <w:t xml:space="preserve">Das nationale elektrische Budget ist berechnet. Nutzungsbezogene PE-Gutschriften sind für Transition nicht numerisch festgelegt, da Faktorensatz, Zielverkehrsanteile und Nutzflächen hierfür nicht gemeinsam bestimmt sind. Die historischen Werte dokumentieren den Bewertungsstand 2023.</w:t>
      </w:r>
    </w:p>
    <w:p>
      <w:pPr>
        <w:numPr>
          <w:ilvl w:val="0"/>
          <w:numId w:val="1011"/>
        </w:numPr>
      </w:pPr>
      <w:r>
        <w:rPr>
          <w:b/>
          <w:bCs/>
        </w:rPr>
        <w:t xml:space="preserve">Kapitel/05-kontext-sanierung.qmd, Ausgangszeile 11: Umformulierung / Umgliederung.</w:t>
      </w:r>
    </w:p>
    <w:p>
      <w:pPr>
        <w:numPr>
          <w:ilvl w:val="0"/>
          <w:numId w:val="1000"/>
        </w:numPr>
      </w:pPr>
      <w:r>
        <w:t xml:space="preserve">Bisher:</w:t>
      </w:r>
    </w:p>
    <w:p>
      <w:pPr>
        <w:pStyle w:val="SourceCode"/>
        <w:numPr>
          <w:ilvl w:val="0"/>
          <w:numId w:val="1000"/>
        </w:numPr>
      </w:pPr>
      <w:r>
        <w:rPr>
          <w:rStyle w:val="VerbatimChar"/>
        </w:rPr>
        <w:t xml:space="preserve">Die zu betrachtenden Typologien, ihre energetischen Zustände und die zugehörigen nationalen Flächenanteile werden in @sec-gebaeudebestand festgelegt. Für jede Typologie \(k\) ist zu dokumentieren, ob eine Sanierungsanpassung sachlich gerechtfertigt ist, welchen zulässigen Kontextwert \(c_{\mathrm{S},k}\) sie erhält und wie dieser Wert mit den modellierten typologischen Anforderungen zusammenhängt.</w:t>
      </w:r>
    </w:p>
    <w:p>
      <w:pPr>
        <w:numPr>
          <w:ilvl w:val="0"/>
          <w:numId w:val="1000"/>
        </w:numPr>
      </w:pPr>
      <w:r>
        <w:t xml:space="preserve">Jetzt:</w:t>
      </w:r>
    </w:p>
    <w:p>
      <w:pPr>
        <w:pStyle w:val="SourceCode"/>
        <w:numPr>
          <w:ilvl w:val="0"/>
          <w:numId w:val="1000"/>
        </w:numPr>
      </w:pPr>
      <w:r>
        <w:rPr>
          <w:rStyle w:val="VerbatimChar"/>
        </w:rPr>
        <w:t xml:space="preserve">Die zu betrachtenden Typologien, ihre energetischen Zustände und die zugehörigen nationalen Flächenanteile werden in @sec-gebaeudebestand festgelegt. Für jede Typologie $k$ ist zu dokumentieren, ob eine Sanierungsanpassung sachlich gerechtfertigt ist, welchen zulässigen Kontextwert $c_{\mathrm{S},k}$ sie erhält und wie dieser Wert mit den modellierten typologischen Anforderungen zusammenhängt.</w:t>
      </w:r>
    </w:p>
    <w:p>
      <w:pPr>
        <w:numPr>
          <w:ilvl w:val="0"/>
          <w:numId w:val="1011"/>
        </w:numPr>
      </w:pPr>
      <w:r>
        <w:rPr>
          <w:b/>
          <w:bCs/>
        </w:rPr>
        <w:t xml:space="preserve">Kapitel/05-kontext-sanierung.qmd, Ausgangszeile 29: Umformulierung / Umgliederung.</w:t>
      </w:r>
    </w:p>
    <w:p>
      <w:pPr>
        <w:numPr>
          <w:ilvl w:val="0"/>
          <w:numId w:val="1000"/>
        </w:numPr>
      </w:pPr>
      <w:r>
        <w:t xml:space="preserve">Bisher:</w:t>
      </w:r>
    </w:p>
    <w:p>
      <w:pPr>
        <w:pStyle w:val="SourceCode"/>
        <w:numPr>
          <w:ilvl w:val="0"/>
          <w:numId w:val="1000"/>
        </w:numPr>
      </w:pPr>
      <w:r>
        <w:rPr>
          <w:rStyle w:val="VerbatimChar"/>
        </w:rPr>
        <w:t xml:space="preserve">::: {.callout-important title="Typologiewerte nach Excel und Kalibrierung ergänzen"}</w:t>
      </w:r>
      <w:r>
        <w:br/>
      </w:r>
      <w:r>
        <w:rPr>
          <w:rStyle w:val="VerbatimChar"/>
        </w:rPr>
        <w:t xml:space="preserve">Hier ist die Tabelle der **neuen** Sanierungstypologien mit eindeutiger Definition, zulässigen Zuordnungsregeln und kalibrierten Werten \(c_{\mathrm{S},k}\) einzufügen. Solange sie nicht freigegeben ist, werden keine neuen numerischen Gutschriften angegeben.</w:t>
      </w:r>
    </w:p>
    <w:p>
      <w:pPr>
        <w:numPr>
          <w:ilvl w:val="0"/>
          <w:numId w:val="1000"/>
        </w:numPr>
      </w:pPr>
      <w:r>
        <w:t xml:space="preserve">Jetzt:</w:t>
      </w:r>
    </w:p>
    <w:p>
      <w:pPr>
        <w:pStyle w:val="SourceCode"/>
        <w:numPr>
          <w:ilvl w:val="0"/>
          <w:numId w:val="1000"/>
        </w:numPr>
      </w:pPr>
      <w:r>
        <w:rPr>
          <w:rStyle w:val="VerbatimChar"/>
        </w:rPr>
        <w:t xml:space="preserve">::: {.callout-note title="Parameterstand"}</w:t>
      </w:r>
      <w:r>
        <w:br/>
      </w:r>
      <w:r>
        <w:rPr>
          <w:rStyle w:val="VerbatimChar"/>
        </w:rPr>
        <w:t xml:space="preserve">Der Entwurf definiert die typologische Zuordnung und Aggregationsregel. Numerische Sanierungswerte je Typ sind nicht festgelegt. Die historische Pauschale ist ausschließlich als Vergleichsstand dokumentiert.</w:t>
      </w:r>
    </w:p>
    <w:p>
      <w:pPr>
        <w:numPr>
          <w:ilvl w:val="0"/>
          <w:numId w:val="1011"/>
        </w:numPr>
      </w:pPr>
      <w:r>
        <w:rPr>
          <w:b/>
          <w:bCs/>
        </w:rPr>
        <w:t xml:space="preserve">Kapitel/03-zielwert-thg.qmd, Ausgangszeile 6: Umformulierung / Umgliederung.</w:t>
      </w:r>
    </w:p>
    <w:p>
      <w:pPr>
        <w:numPr>
          <w:ilvl w:val="0"/>
          <w:numId w:val="1000"/>
        </w:numPr>
      </w:pPr>
      <w:r>
        <w:t xml:space="preserve">Bisher:</w:t>
      </w:r>
    </w:p>
    <w:p>
      <w:pPr>
        <w:pStyle w:val="SourceCode"/>
        <w:numPr>
          <w:ilvl w:val="0"/>
          <w:numId w:val="1000"/>
        </w:numPr>
      </w:pPr>
      <w:r>
        <w:rPr>
          <w:rStyle w:val="VerbatimChar"/>
        </w:rPr>
        <w:t xml:space="preserve">Die jährliche Primärenergiebilanz in @sec-allokation und das Treibhausgasbudget beantworten unterschiedliche Fragen. Der PE-Zielwert verteilt Energieaufgaben im Zielsystem. Der THG-Zielwert begrenzt die über den Bewertungszeitraum kumulierten Emissionen. Eine ausgeglichene Jahresenergiebilanz belegt deshalb noch keine Einhaltung des Klimabudgets.</w:t>
      </w:r>
    </w:p>
    <w:p>
      <w:pPr>
        <w:numPr>
          <w:ilvl w:val="0"/>
          <w:numId w:val="1000"/>
        </w:numPr>
      </w:pPr>
      <w:r>
        <w:t xml:space="preserve">Jetzt:</w:t>
      </w:r>
    </w:p>
    <w:p>
      <w:pPr>
        <w:pStyle w:val="SourceCode"/>
        <w:numPr>
          <w:ilvl w:val="0"/>
          <w:numId w:val="1000"/>
        </w:numPr>
      </w:pPr>
      <w:r>
        <w:rPr>
          <w:rStyle w:val="VerbatimChar"/>
        </w:rPr>
        <w:t xml:space="preserve">Der Energiezielwert beschreibt die jährliche Leistung im Zielsystem. Der THG-Zielwert begrenzt dagegen die kumulierten Emissionen aus Errichtung, Betrieb, Instandhaltung und MIV über 50 Jahre.</w:t>
      </w:r>
    </w:p>
    <w:p>
      <w:pPr>
        <w:numPr>
          <w:ilvl w:val="0"/>
          <w:numId w:val="1011"/>
        </w:numPr>
      </w:pPr>
      <w:r>
        <w:rPr>
          <w:b/>
          <w:bCs/>
        </w:rPr>
        <w:t xml:space="preserve">Kapitel/03-zielwert-thg.qmd, Ausgangszeile 13: Streichung.</w:t>
      </w:r>
    </w:p>
    <w:p>
      <w:pPr>
        <w:numPr>
          <w:ilvl w:val="0"/>
          <w:numId w:val="1000"/>
        </w:numPr>
      </w:pPr>
      <w:r>
        <w:t xml:space="preserve">Bisher:</w:t>
      </w:r>
    </w:p>
    <w:p>
      <w:pPr>
        <w:pStyle w:val="SourceCode"/>
        <w:numPr>
          <w:ilvl w:val="0"/>
          <w:numId w:val="1000"/>
        </w:numPr>
      </w:pPr>
      <w:r>
        <w:rPr>
          <w:rStyle w:val="VerbatimChar"/>
        </w:rPr>
        <w:t xml:space="preserve">Zusätzlich zur jährlichen Primärenergiebilanz begrenzt ein kumuliertes THG-Budget die bilanzierten Emissionen aus Errichtung, Nutzung, Instandhaltung und MIV über den definierten Zeitraum.</w:t>
      </w:r>
    </w:p>
    <w:p>
      <w:pPr>
        <w:numPr>
          <w:ilvl w:val="0"/>
          <w:numId w:val="1011"/>
        </w:numPr>
      </w:pPr>
      <w:r>
        <w:rPr>
          <w:b/>
          <w:bCs/>
        </w:rPr>
        <w:t xml:space="preserve">Kapitel/03-zielwert-thg.qmd, Ausgangszeile 19: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Mit nationalem Restbudget \(B_{\mathrm{AT}}\), Bevölkerung \(P\), jährlicher Senkenleistung je Person \(s\), Zeitraum \(T\), Sektoranteil \(\alpha\) und Bezugsfläche \(A_B\) gilt:</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Mit nationalem Restbudget $B_{\mathrm{AT}}$, Bevölkerung $P$, jährlicher Senkenleistung je Person $s$, Zeitraum $T$, Sektoranteil $\alpha$ und Bezugsfläche $A_B$ gilt:</w:t>
      </w:r>
      <w:r>
        <w:br/>
      </w:r>
      <w:r>
        <w:rPr>
          <w:rStyle w:val="VerbatimChar"/>
        </w:rPr>
        <w:t xml:space="preserve">~~~~</w:t>
      </w:r>
    </w:p>
    <w:p>
      <w:pPr>
        <w:pStyle w:val="Compact"/>
        <w:numPr>
          <w:ilvl w:val="0"/>
          <w:numId w:val="1012"/>
        </w:numPr>
      </w:pPr>
      <w:r>
        <w:rPr>
          <w:b/>
          <w:bCs/>
        </w:rPr>
        <w:t xml:space="preserve">Kapitel/03-zielwert-thg.qmd, Ausgangszeile 60: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Bestand 2025 und Zwischenjahre bis 2040 | noch zu ergänzen | noch zu ergänzen | Keine interpolierten Werte ohne harmonisierte Abgrenzung |</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Bestand 2025 und Zwischenjahre bis 2040 | nicht im Datensatz enthalten | nicht im Datensatz enthalten | Keine interpolierten Werte ohne harmonisierte Abgrenzung |</w:t>
      </w:r>
      <w:r>
        <w:br/>
      </w:r>
      <w:r>
        <w:rPr>
          <w:rStyle w:val="VerbatimChar"/>
        </w:rPr>
        <w:t xml:space="preserve">~~~~</w:t>
      </w:r>
    </w:p>
    <w:p>
      <w:pPr>
        <w:pStyle w:val="Compact"/>
        <w:numPr>
          <w:ilvl w:val="0"/>
          <w:numId w:val="1013"/>
        </w:numPr>
      </w:pPr>
      <w:r>
        <w:rPr>
          <w:b/>
          <w:bCs/>
        </w:rPr>
        <w:t xml:space="preserve">Kapitel/03-zielwert-thg.qmd, Ausgangszeile 62: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Vorliegende Flächenbezüge und noch offene Fortschreibung. {#tbl-thg-flaechenentwicklung}</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Flächenbezüge des Energie- und THG-Modells. {#tbl-thg-flaechenentwicklung}</w:t>
      </w:r>
      <w:r>
        <w:br/>
      </w:r>
      <w:r>
        <w:rPr>
          <w:rStyle w:val="VerbatimChar"/>
        </w:rPr>
        <w:t xml:space="preserve">~~~~</w:t>
      </w:r>
    </w:p>
    <w:p>
      <w:pPr>
        <w:pStyle w:val="Compact"/>
        <w:numPr>
          <w:ilvl w:val="0"/>
          <w:numId w:val="1014"/>
        </w:numPr>
      </w:pPr>
      <w:r>
        <w:rPr>
          <w:b/>
          <w:bCs/>
        </w:rPr>
        <w:t xml:space="preserve">Kapitel/03-zielwert-thg.qmd, Ausgangszeile 67: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Neubau und Erweiterung | Zusätzliche m² je Nutzung und Jahr | Typengewichteter Neubauanteil 2040 vorhanden; zeitliche Übergangsbilanz noch offen (@sec-gebaeude-flaechen) |</w:t>
      </w:r>
      <w:r>
        <w:br/>
      </w:r>
      <w:r>
        <w:rPr>
          <w:rStyle w:val="VerbatimChar"/>
        </w:rPr>
        <w:t xml:space="preserve">| Abbruch und Umnutzung | Abgänge und Nutzungsverschiebungen je Jahr | Noch zu ergänzen |</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Neubau und Erweiterung | Zusätzliche m² je Nutzung und Jahr | Typengewichteter Neubauanteil 2040 vorhanden; zeitliche Übergangsbilanz nicht festgelegt (@sec-gebaeude-flaechen) |</w:t>
      </w:r>
      <w:r>
        <w:br/>
      </w:r>
      <w:r>
        <w:rPr>
          <w:rStyle w:val="VerbatimChar"/>
        </w:rPr>
        <w:t xml:space="preserve">| Abbruch und Umnutzung | Abgänge und Nutzungsverschiebungen je Jahr | Nicht im Datensatz enthalten |</w:t>
      </w:r>
      <w:r>
        <w:br/>
      </w:r>
      <w:r>
        <w:rPr>
          <w:rStyle w:val="VerbatimChar"/>
        </w:rPr>
        <w:t xml:space="preserve">~~~~</w:t>
      </w:r>
    </w:p>
    <w:p>
      <w:pPr>
        <w:pStyle w:val="Compact"/>
        <w:numPr>
          <w:ilvl w:val="0"/>
          <w:numId w:val="1015"/>
        </w:numPr>
      </w:pPr>
      <w:r>
        <w:rPr>
          <w:b/>
          <w:bCs/>
        </w:rPr>
        <w:t xml:space="preserve">Kapitel/03-zielwert-thg.qmd, Ausgangszeile 72: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Struktur für die angekündigte Ergänzung der Gebäudesektor-Daten. {#tbl-thg-fortschreibung}</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Datenumfang der Gebäudeflächenentwicklung. {#tbl-thg-fortschreibung}</w:t>
      </w:r>
      <w:r>
        <w:br/>
      </w:r>
      <w:r>
        <w:rPr>
          <w:rStyle w:val="VerbatimChar"/>
        </w:rPr>
        <w:t xml:space="preserve">~~~~</w:t>
      </w:r>
    </w:p>
    <w:p>
      <w:pPr>
        <w:pStyle w:val="Compact"/>
        <w:numPr>
          <w:ilvl w:val="0"/>
          <w:numId w:val="1016"/>
        </w:numPr>
      </w:pPr>
      <w:r>
        <w:rPr>
          <w:b/>
          <w:bCs/>
        </w:rPr>
        <w:t xml:space="preserve">Kapitel/03-zielwert-thg.qmd, Ausgangszeile 88: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Für die Lebenszyklusbewertung werden zeitabhängige Emissionsfaktoren verwendet. Ihre Entwicklung bildet einen angenommenen Dekarbonisierungspfad ab und beeinflusst insbesondere die Bewertung zukünftiger Betriebsemissionen.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Für die Lebenszyklusbewertung werden zeitabhängige Emissionsfaktoren verwendet. Ihre Entwicklung bildet einen angenommenen Dekarbonisierungspfad ab und beeinflusst insbesondere die Bewertung der Betriebsemissionen im Szenariozeitraum.</w:t>
      </w:r>
      <w:r>
        <w:br/>
      </w:r>
      <w:r>
        <w:rPr>
          <w:rStyle w:val="VerbatimChar"/>
        </w:rPr>
        <w:t xml:space="preserve">~~~~</w:t>
      </w:r>
    </w:p>
    <w:p>
      <w:pPr>
        <w:pStyle w:val="Compact"/>
        <w:numPr>
          <w:ilvl w:val="0"/>
          <w:numId w:val="1017"/>
        </w:numPr>
      </w:pPr>
      <w:r>
        <w:rPr>
          <w:b/>
          <w:bCs/>
        </w:rPr>
        <w:t xml:space="preserve">Kapitel/03-zielwert-thg.qmd, Ausgangszeile 92: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Die in @fig-absenkpfade dargestellten Verläufe sind Szenarioannahmen und keine Prognose tatsächlich gemessener zukünftiger Emissionen.</w:t>
      </w:r>
      <w:r>
        <w:br/>
      </w:r>
      <w:r>
        <w:br/>
      </w:r>
      <w:r>
        <w:rPr>
          <w:rStyle w:val="VerbatimChar"/>
        </w:rPr>
        <w:t xml:space="preserve">Die bestehende Abbildung unterscheidet Netzstromvarianten, Fernwärmesysteme, Abwärme sowie fossile und biogene Brennstoffe. Ihre numerischen Zeitreihen sind hier noch nicht als versionierte Eingabetabelle verfügbar. Aus der Grafik werden deshalb keine scheinpräzisen Jahreswerte abgelesen. Die methodische Grundlage bilden @schneider2025declaration, Abschn. 2.4 und 2.6, sowie @schneider2026thesis, Abschn. 3.2.8.</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Die bestehende Abbildung unterscheidet Netzstromvarianten, Fernwärmesysteme, Abwärme sowie fossile und biogene Brennstoffe. Die numerischen Zeitreihen sind im Datensatz nicht enthalten; die Abbildung dokumentiert die Szenariopfade qualitativ. Die methodische Grundlage bilden @schneider2025declaration, Abschn. 2.4 und 2.6, sowie @schneider2026thesis, Abschn. 3.2.8.</w:t>
      </w:r>
      <w:r>
        <w:br/>
      </w:r>
      <w:r>
        <w:rPr>
          <w:rStyle w:val="VerbatimChar"/>
        </w:rPr>
        <w:t xml:space="preserve">~~~~</w:t>
      </w:r>
    </w:p>
    <w:p>
      <w:pPr>
        <w:pStyle w:val="Compact"/>
        <w:numPr>
          <w:ilvl w:val="0"/>
          <w:numId w:val="1018"/>
        </w:numPr>
      </w:pPr>
      <w:r>
        <w:rPr>
          <w:b/>
          <w:bCs/>
        </w:rPr>
        <w:t xml:space="preserve">Kapitel/03-zielwert-thg.qmd, Ausgangszeile 98: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Netzstrom und weitere Energieträger | Jahresverbrauch × zeitabhängiger THG-Faktor, über die Jahre summiert | Trägerspezifische Pfade in @fig-absenkpfade; numerische Stützwerte und Interpolation noch zu ergänzen |</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Netzstrom und weitere Energieträger | Jahresverbrauch × zeitabhängiger THG-Faktor, über die Jahre summiert | Trägerspezifische Pfade in @fig-absenkpfade; numerische Stützwerte und Interpolation nicht im Datensatz enthalten |</w:t>
      </w:r>
      <w:r>
        <w:br/>
      </w:r>
      <w:r>
        <w:rPr>
          <w:rStyle w:val="VerbatimChar"/>
        </w:rPr>
        <w:t xml:space="preserve">~~~~</w:t>
      </w:r>
    </w:p>
    <w:p>
      <w:pPr>
        <w:pStyle w:val="Compact"/>
        <w:numPr>
          <w:ilvl w:val="0"/>
          <w:numId w:val="1019"/>
        </w:numPr>
      </w:pPr>
      <w:r>
        <w:rPr>
          <w:b/>
          <w:bCs/>
        </w:rPr>
        <w:t xml:space="preserve">Kapitel/03-zielwert-thg.qmd, Ausgangszeile 102: Streichung.</w:t>
      </w:r>
    </w:p>
    <w:p>
      <w:pPr>
        <w:pStyle w:val="SourceCode"/>
      </w:pPr>
      <w:r>
        <w:rPr>
          <w:rStyle w:val="VerbatimChar"/>
        </w:rPr>
        <w:t xml:space="preserve">Bisher:</w:t>
      </w:r>
      <w:r>
        <w:br/>
      </w:r>
      <w:r>
        <w:br/>
      </w:r>
      <w:r>
        <w:rPr>
          <w:rStyle w:val="VerbatimChar"/>
        </w:rPr>
        <w:t xml:space="preserve">~~~~text</w:t>
      </w:r>
      <w:r>
        <w:br/>
      </w:r>
      <w:r>
        <w:br/>
      </w:r>
      <w:r>
        <w:rPr>
          <w:rStyle w:val="VerbatimChar"/>
        </w:rPr>
        <w:t xml:space="preserve">Ein sinkender Emissionsfaktor reduziert zukünftige Betriebsemissionen. Bereits entstandene Errichtungsemissionen werden dadurch nicht nachträglich gelöscht. Die tatsächlichen Jahresverbräuche, Maßnahmenzeitpunkte und Faktorenpfade müssen zusammen bilanziert werden. CO₂-Intensitäten allein sind außerdem nicht ohne dokumentierte Abgrenzung mit den hier verwendeten THG-Faktoren in CO₂e austauschbar.</w:t>
      </w:r>
      <w:r>
        <w:br/>
      </w:r>
      <w:r>
        <w:rPr>
          <w:rStyle w:val="VerbatimChar"/>
        </w:rPr>
        <w:t xml:space="preserve">~~~~</w:t>
      </w:r>
    </w:p>
    <w:p>
      <w:pPr>
        <w:pStyle w:val="Compact"/>
        <w:numPr>
          <w:ilvl w:val="0"/>
          <w:numId w:val="1020"/>
        </w:numPr>
      </w:pPr>
      <w:r>
        <w:rPr>
          <w:b/>
          <w:bCs/>
        </w:rPr>
        <w:t xml:space="preserve">Kapitel/04-bilanzregeln.qmd, Ausgangszeile 26: Streichung.</w:t>
      </w:r>
    </w:p>
    <w:p>
      <w:pPr>
        <w:pStyle w:val="SourceCode"/>
      </w:pPr>
      <w:r>
        <w:rPr>
          <w:rStyle w:val="VerbatimChar"/>
        </w:rPr>
        <w:t xml:space="preserve">Bisher:</w:t>
      </w:r>
      <w:r>
        <w:br/>
      </w:r>
      <w:r>
        <w:br/>
      </w:r>
      <w:r>
        <w:rPr>
          <w:rStyle w:val="VerbatimChar"/>
        </w:rPr>
        <w:t xml:space="preserve">~~~~text</w:t>
      </w:r>
      <w:r>
        <w:br/>
      </w:r>
      <w:r>
        <w:rPr>
          <w:rStyle w:val="VerbatimChar"/>
        </w:rPr>
        <w:t xml:space="preserve">Die Flächenbezüge sind **nicht austauschbar**: Ein spezifischer Wert in kWh PE/(m² NGF a) ist ohne Flächenumrechnung nicht mit einem Wert in kg CO₂e/m² BGF vergleichbar. Änderungen der Quartiersgrenze können gleichzeitig Bedarf, lokale Erzeugung, GFZ und verfügbare Budgets verändern. Varianten sind daher nur bei dokumentierter Abgrenzung sinnvoll vergleichbar.</w:t>
      </w:r>
      <w:r>
        <w:br/>
      </w:r>
      <w:r>
        <w:br/>
      </w:r>
      <w:r>
        <w:rPr>
          <w:rStyle w:val="VerbatimChar"/>
        </w:rPr>
        <w:t xml:space="preserve">::: {.callout-note title="Abbildung – Räumliche und funktionale Quartiersgrenze (Platzhalter)" appearance="minimal" icon=false}</w:t>
      </w:r>
      <w:r>
        <w:br/>
      </w:r>
      <w:r>
        <w:rPr>
          <w:rStyle w:val="VerbatimChar"/>
        </w:rPr>
        <w:t xml:space="preserve">Schematische Quartierszeichnung mit Umrandung des bewerteten Gebiets, konditionierten Gebäudeflächen, unbeheizten Bauteilen, gemeinschaftlicher Wärmeversorgung, lokaler PV und Netzschnittstellen. Beschriftung der verschiedenen Flächenbezüge (Grundstück, BGF, NGF). Außerhalb liegende Infrastruktur und Erzeugung getrennt kennzeichnen. **Ziel:** zeigen, dass die physische Quartiersgrenze nicht mit jeder sektoralen Bilanzgrenze identisch ist.</w:t>
      </w:r>
      <w:r>
        <w:br/>
      </w:r>
      <w:r>
        <w:br/>
      </w:r>
      <w:r>
        <w:rPr>
          <w:rStyle w:val="VerbatimChar"/>
        </w:rPr>
        <w:t xml:space="preserve">*Vorgesehene Grundlage:* Schneider (2026), Abschn. 3.2.2; grafisch neu aufbereiten.</w:t>
      </w:r>
      <w:r>
        <w:br/>
      </w:r>
      <w:r>
        <w:rPr>
          <w:rStyle w:val="VerbatimChar"/>
        </w:rPr>
        <w:t xml:space="preserve">:::</w:t>
      </w:r>
      <w:r>
        <w:br/>
      </w:r>
      <w:r>
        <w:rPr>
          <w:rStyle w:val="VerbatimChar"/>
        </w:rPr>
        <w:t xml:space="preserve">~~~~</w:t>
      </w:r>
    </w:p>
    <w:p>
      <w:pPr>
        <w:pStyle w:val="Compact"/>
        <w:numPr>
          <w:ilvl w:val="0"/>
          <w:numId w:val="1021"/>
        </w:numPr>
      </w:pPr>
      <w:r>
        <w:rPr>
          <w:b/>
          <w:bCs/>
        </w:rPr>
        <w:t xml:space="preserve">Kapitel/04-bilanzregeln.qmd, Ausgangszeile 54: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Das Quartiersmodell bestimmt zunächst die **physischen Energieflüsse** über ein Jahr: Bedarf der Anwendungen, lokale Erzeugung, direkten Eigenverbrauch, Lade- und Entladevorgänge, Speicherverluste sowie Bezug und Abgabe über die Quartiersgrenze. Ein Speicher stellt dabei keine zusätzliche Energiequelle dar; er verschiebt verfügbare Energie und verursacht Verluste.</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Das Quartiersmodell bestimmt zunächst die **physischen Energieflüsse** über ein Jahr: Bedarf der Anwendungen, lokale Erzeugung, direkten Eigenverbrauch, Lade- und Entladevorgänge, Speicherverluste sowie Bezug und Abgabe über die Quartiersgrenze.</w:t>
      </w:r>
      <w:r>
        <w:br/>
      </w:r>
      <w:r>
        <w:rPr>
          <w:rStyle w:val="VerbatimChar"/>
        </w:rPr>
        <w:t xml:space="preserve">~~~~</w:t>
      </w:r>
    </w:p>
    <w:p>
      <w:pPr>
        <w:pStyle w:val="Compact"/>
        <w:numPr>
          <w:ilvl w:val="0"/>
          <w:numId w:val="1022"/>
        </w:numPr>
      </w:pPr>
      <w:r>
        <w:rPr>
          <w:b/>
          <w:bCs/>
        </w:rPr>
        <w:t xml:space="preserve">Kapitel/04-bilanzregeln.qmd, Ausgangszeile 57: Streichung.</w:t>
      </w:r>
    </w:p>
    <w:p>
      <w:pPr>
        <w:pStyle w:val="SourceCode"/>
      </w:pPr>
      <w:r>
        <w:rPr>
          <w:rStyle w:val="VerbatimChar"/>
        </w:rPr>
        <w:t xml:space="preserve">Bisher:</w:t>
      </w:r>
      <w:r>
        <w:br/>
      </w:r>
      <w:r>
        <w:br/>
      </w:r>
      <w:r>
        <w:rPr>
          <w:rStyle w:val="VerbatimChar"/>
        </w:rPr>
        <w:t xml:space="preserve">~~~~text</w:t>
      </w:r>
      <w:r>
        <w:br/>
      </w:r>
      <w:r>
        <w:br/>
      </w:r>
      <w:r>
        <w:rPr>
          <w:rStyle w:val="VerbatimChar"/>
        </w:rPr>
        <w:t xml:space="preserve">Eine Kontextgutschrift ist daher weder zusätzlich erzeugte Energie noch eine tatsächliche Verringerung des Netzbezugs. Auch ein positiver **Bewertungssaldo** ist nicht mit elektrischer Autarkie gleichzusetzen. Die formale Kombination von Saldo und Kontextkomponenten wird in @sec-kontext angegeben.</w:t>
      </w:r>
      <w:r>
        <w:br/>
      </w:r>
      <w:r>
        <w:rPr>
          <w:rStyle w:val="VerbatimChar"/>
        </w:rPr>
        <w:t xml:space="preserve">~~~~</w:t>
      </w:r>
    </w:p>
    <w:p>
      <w:pPr>
        <w:pStyle w:val="Compact"/>
        <w:numPr>
          <w:ilvl w:val="0"/>
          <w:numId w:val="1023"/>
        </w:numPr>
      </w:pPr>
      <w:r>
        <w:rPr>
          <w:b/>
          <w:bCs/>
        </w:rPr>
        <w:t xml:space="preserve">Kapitel/04-bilanzregeln.qmd, Ausgangszeile 65: Streichung.</w:t>
      </w:r>
    </w:p>
    <w:p>
      <w:pPr>
        <w:pStyle w:val="SourceCode"/>
      </w:pPr>
      <w:r>
        <w:rPr>
          <w:rStyle w:val="VerbatimChar"/>
        </w:rPr>
        <w:t xml:space="preserve">Bisher:</w:t>
      </w:r>
      <w:r>
        <w:br/>
      </w:r>
      <w:r>
        <w:br/>
      </w:r>
      <w:r>
        <w:rPr>
          <w:rStyle w:val="VerbatimChar"/>
        </w:rPr>
        <w:t xml:space="preserve">~~~~text</w:t>
      </w:r>
      <w:r>
        <w:br/>
      </w:r>
      <w:r>
        <w:rPr>
          <w:rStyle w:val="VerbatimChar"/>
        </w:rPr>
        <w:t xml:space="preserve">::: {.callout-note title="Abbildung – Vom Energiefluss zur Bewertungsbilanz (Platzhalter)" appearance="minimal" icon=false}</w:t>
      </w:r>
      <w:r>
        <w:br/>
      </w:r>
      <w:r>
        <w:rPr>
          <w:rStyle w:val="VerbatimChar"/>
        </w:rPr>
        <w:t xml:space="preserve">Dreistufige Grafik: **(1)** physische Energieflüsse (PV, Anwendungen, Speicher, Netzbezug/-export), **(2)** zeitlich gewichteter Primärenergiesaldo, **(3)** Addition virtueller Kontextfaktoren zum bewerteten Endsaldo. Physische und virtuelle Größen grafisch deutlich unterscheiden. Optional eine interaktive HTML-Version mit Tooltip zu jeder Komponente und einem feststehenden, druckbaren Zustand für PDF/DOCX.</w:t>
      </w:r>
      <w:r>
        <w:br/>
      </w:r>
      <w:r>
        <w:br/>
      </w:r>
      <w:r>
        <w:rPr>
          <w:rStyle w:val="VerbatimChar"/>
        </w:rPr>
        <w:t xml:space="preserve">*Vorgesehene Grundlage:* Bilanzlogik nach Schneider et al. (2025) sowie @eq-kontextbilanz.</w:t>
      </w:r>
      <w:r>
        <w:br/>
      </w:r>
      <w:r>
        <w:rPr>
          <w:rStyle w:val="VerbatimChar"/>
        </w:rPr>
        <w:t xml:space="preserve">:::</w:t>
      </w:r>
      <w:r>
        <w:br/>
      </w:r>
      <w:r>
        <w:rPr>
          <w:rStyle w:val="VerbatimChar"/>
        </w:rPr>
        <w:t xml:space="preserve">~~~~</w:t>
      </w:r>
    </w:p>
    <w:p>
      <w:pPr>
        <w:pStyle w:val="Compact"/>
        <w:numPr>
          <w:ilvl w:val="0"/>
          <w:numId w:val="1024"/>
        </w:numPr>
      </w:pPr>
      <w:r>
        <w:rPr>
          <w:b/>
          <w:bCs/>
        </w:rPr>
        <w:t xml:space="preserve">Kapitel/04-bilanzregeln.qmd, Ausgangszeile 76: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In der THG-Bilanz wird außerdem die Fahrzeugherstellung in dem im Referenzverfahren vorgesehenen Umfang angesetzt. Daraus folgt keine vollständige Flotten-LCA aller künftigen Fahrzeugwechsel. Das nutzungsbezogene Mobilitätsbudget ist ebenfalls von realen Ladeleistungen, Anschlusskapazitäten und der tatsächlichen Anwesenheit von Fahrzeugen zu unterscheiden. Budgetzuordnung und Anwendung des Mobilitätskontextfaktors beschreibt @sec-kontext-mobilitaet; die stündliche Fahrzeugmodellierung ist in @schneider_annual_2025 beschrieben.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In der THG-Bilanz wird außerdem die Fahrzeugherstellung in dem im Referenzverfahren vorgesehenen Umfang angesetzt. Der Umfang der Fahrzeugherstellung folgt dem Referenzverfahren. Das nutzungsbezogene Mobilitätsbudget ist ebenfalls von realen Ladeleistungen, Anschlusskapazitäten und der tatsächlichen Anwesenheit von Fahrzeugen zu unterscheiden. Budgetzuordnung und Anwendung des Mobilitätskontextfaktors beschreibt @sec-kontext-mobilitaet; die stündliche Fahrzeugmodellierung ist in @schneider_annual_2025 beschrieben.</w:t>
      </w:r>
      <w:r>
        <w:br/>
      </w:r>
      <w:r>
        <w:rPr>
          <w:rStyle w:val="VerbatimChar"/>
        </w:rPr>
        <w:t xml:space="preserve">~~~~</w:t>
      </w:r>
    </w:p>
    <w:p>
      <w:pPr>
        <w:pStyle w:val="Compact"/>
        <w:numPr>
          <w:ilvl w:val="0"/>
          <w:numId w:val="1025"/>
        </w:numPr>
      </w:pPr>
      <w:r>
        <w:rPr>
          <w:b/>
          <w:bCs/>
        </w:rPr>
        <w:t xml:space="preserve">Kapitel/04-bilanzregeln.qmd, Ausgangszeile 78: Streichung.</w:t>
      </w:r>
    </w:p>
    <w:p>
      <w:pPr>
        <w:pStyle w:val="SourceCode"/>
      </w:pPr>
      <w:r>
        <w:rPr>
          <w:rStyle w:val="VerbatimChar"/>
        </w:rPr>
        <w:t xml:space="preserve">Bisher:</w:t>
      </w:r>
      <w:r>
        <w:br/>
      </w:r>
      <w:r>
        <w:br/>
      </w:r>
      <w:r>
        <w:rPr>
          <w:rStyle w:val="VerbatimChar"/>
        </w:rPr>
        <w:t xml:space="preserve">~~~~text</w:t>
      </w:r>
      <w:r>
        <w:br/>
      </w:r>
      <w:r>
        <w:rPr>
          <w:rStyle w:val="VerbatimChar"/>
        </w:rPr>
        <w:t xml:space="preserve">::: {.callout-note title="Abbildung – Zielverkehr und Ladeort (Platzhalter)" appearance="minimal" icon=false}</w:t>
      </w:r>
      <w:r>
        <w:br/>
      </w:r>
      <w:r>
        <w:rPr>
          <w:rStyle w:val="VerbatimChar"/>
        </w:rPr>
        <w:t xml:space="preserve">Vereinfachte Karte mit Wohn-, Arbeits- und Einkaufsquartier. Pfeile zeigen nach dem Zielverkehrsprinzip zugeordnete Fahrten; Ladepunkte zeigen davon getrennt die physischen Orte der Stromaufnahme. Ergänzend schematische Zuordnung zu Mobilitätsbedarf, Nutzungsgutschrift und Fahrzeugherstellung. **Ziel:** Doppelzählung von Fahrtenergie, Ladevorgang und Budgetgutschrift anschaulich vermeiden.</w:t>
      </w:r>
      <w:r>
        <w:br/>
      </w:r>
      <w:r>
        <w:br/>
      </w:r>
      <w:r>
        <w:rPr>
          <w:rStyle w:val="VerbatimChar"/>
        </w:rPr>
        <w:t xml:space="preserve">*Vorgesehene Grundlage:* Schneider et al. (2025), Abschn. 2.4.2.</w:t>
      </w:r>
      <w:r>
        <w:br/>
      </w:r>
      <w:r>
        <w:rPr>
          <w:rStyle w:val="VerbatimChar"/>
        </w:rPr>
        <w:t xml:space="preserve">:::</w:t>
      </w:r>
      <w:r>
        <w:br/>
      </w:r>
      <w:r>
        <w:br/>
      </w:r>
      <w:r>
        <w:rPr>
          <w:rStyle w:val="VerbatimChar"/>
        </w:rPr>
        <w:t xml:space="preserve">Die energetische Zuordnung von Mobilität und die tatsächlichen Ladevorgänge folgen unterschiedlichen Systemgrenzen. Fahrenergie wird dem Zielverkehr zugerechnet; geladen werden kann auch außerhalb des betrachteten Quartiers.</w:t>
      </w:r>
      <w:r>
        <w:br/>
      </w:r>
      <w:r>
        <w:rPr>
          <w:rStyle w:val="VerbatimChar"/>
        </w:rPr>
        <w:t xml:space="preserve">~~~~</w:t>
      </w:r>
    </w:p>
    <w:p>
      <w:pPr>
        <w:pStyle w:val="Compact"/>
        <w:numPr>
          <w:ilvl w:val="0"/>
          <w:numId w:val="1026"/>
        </w:numPr>
      </w:pPr>
      <w:r>
        <w:rPr>
          <w:b/>
          <w:bCs/>
        </w:rPr>
        <w:t xml:space="preserve">Kapitel/04-bilanzregeln.qmd, Ausgangszeile 125: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Dies ist eine **Bilanzierungskonvention**, keine Aussage, dass jeder Holzbau emissionsfrei wäre. Die gleiche Speicherwirkung darf nicht doppelt angesetzt werden, etwa wenn sie bereits in einem übernommenen LCA-Datensatz enthalten ist. Eine dynamische Bewertung von Speicherung, Nachwachsen und späterer Freisetzung wäre methodisch differenzierter, benötigt aber eine zum Budget konsistente Bewertung und ist nicht ohne Weiteres mit dem statischen GWP100-Kennwert vergleichbar [@schneider2025declaration, Abschn. 2.5.1].</w:t>
      </w:r>
      <w:r>
        <w:br/>
      </w:r>
      <w:r>
        <w:br/>
      </w:r>
      <w:r>
        <w:br/>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Die gleiche Speicherwirkung darf nicht doppelt angesetzt werden, etwa wenn sie bereits in einem übernommenen LCA-Datensatz enthalten ist. Eine dynamische Bewertung von Speicherung, Nachwachsen und späterer Freisetzung wäre methodisch differenzierter, benötigt aber eine zum Budget konsistente Bewertung und ist nicht ohne Weiteres mit dem statischen GWP100-Kennwert vergleichbar [@schneider2025declaration, Abschn. 2.5.1].</w:t>
      </w:r>
      <w:r>
        <w:br/>
      </w:r>
      <w:r>
        <w:rPr>
          <w:rStyle w:val="VerbatimChar"/>
        </w:rPr>
        <w:t xml:space="preserve">~~~~</w:t>
      </w:r>
    </w:p>
    <w:p>
      <w:pPr>
        <w:pStyle w:val="Compact"/>
        <w:numPr>
          <w:ilvl w:val="0"/>
          <w:numId w:val="1027"/>
        </w:numPr>
      </w:pPr>
      <w:r>
        <w:rPr>
          <w:b/>
          <w:bCs/>
        </w:rPr>
        <w:t xml:space="preserve">Kapitel/04-bilanzregeln.qmd, Ausgangszeile 138: Streichung.</w:t>
      </w:r>
    </w:p>
    <w:p>
      <w:pPr>
        <w:pStyle w:val="SourceCode"/>
      </w:pPr>
      <w:r>
        <w:rPr>
          <w:rStyle w:val="VerbatimChar"/>
        </w:rPr>
        <w:t xml:space="preserve">Bisher:</w:t>
      </w:r>
      <w:r>
        <w:br/>
      </w:r>
      <w:r>
        <w:br/>
      </w:r>
      <w:r>
        <w:rPr>
          <w:rStyle w:val="VerbatimChar"/>
        </w:rPr>
        <w:t xml:space="preserve">~~~~text</w:t>
      </w:r>
      <w:r>
        <w:br/>
      </w:r>
      <w:r>
        <w:rPr>
          <w:rStyle w:val="VerbatimChar"/>
        </w:rPr>
        <w:t xml:space="preserve">Die beiden Auflösungen erfüllen unterschiedliche Aufgaben: Die stündliche Simulation bildet beispielsweise Eigenverbrauch, Speicherverluste und Lastverschiebungen ab. Ein unveränderter Monatsfaktor bewertet dagegen zwei gleich große Netzstrommengen innerhalb desselben Monats identisch – selbst wenn sie zu unterschiedlichen Tageszeiten auftreten. Eine Flexibilitätsmaßnahme kann somit physisch sinnvoll sein, ohne allein über den Monatsfaktor einen zusätzlichen Bewertungsbonus zu erhalten.</w:t>
      </w:r>
      <w:r>
        <w:br/>
      </w:r>
      <w:r>
        <w:br/>
      </w:r>
      <w:r>
        <w:br/>
      </w:r>
      <w:r>
        <w:rPr>
          <w:rStyle w:val="VerbatimChar"/>
        </w:rPr>
        <w:t xml:space="preserve">::: {.callout-note title="Abbildung – Stundenflüsse und monatliche Bewertung (Platzhalter)" appearance="minimal" icon=false}</w:t>
      </w:r>
      <w:r>
        <w:br/>
      </w:r>
      <w:r>
        <w:rPr>
          <w:rStyle w:val="VerbatimChar"/>
        </w:rPr>
        <w:t xml:space="preserve">Gemeinsame Zeitachse für beispielhafte stündliche PV-Erzeugung, Strombedarf, Netzbezug und -export; darunter die zugeordneten monatlichen Primärenergiefaktoren. Eine Markierung erklärt, weshalb die **Simulation stündlich** ist, die **Gewichtung aber monatlich** erfolgt. Daten aus einer freigegebenen PEExcel-Beispielvariante, nicht aus einem erfundenen Referenzprojekt.</w:t>
      </w:r>
      <w:r>
        <w:br/>
      </w:r>
      <w:r>
        <w:br/>
      </w:r>
      <w:r>
        <w:rPr>
          <w:rStyle w:val="VerbatimChar"/>
        </w:rPr>
        <w:t xml:space="preserve">*Vorgesehene Umsetzung:* Plotly-Zeitreihen im HTML, SVG/PNG im PDF und DOCX.</w:t>
      </w:r>
      <w:r>
        <w:br/>
      </w:r>
      <w:r>
        <w:rPr>
          <w:rStyle w:val="VerbatimChar"/>
        </w:rPr>
        <w:t xml:space="preserve">:::</w:t>
      </w:r>
      <w:r>
        <w:br/>
      </w:r>
      <w:r>
        <w:br/>
      </w:r>
      <w:r>
        <w:rPr>
          <w:rStyle w:val="VerbatimChar"/>
        </w:rPr>
        <w:t xml:space="preserve">~~~~</w:t>
      </w:r>
    </w:p>
    <w:p>
      <w:pPr>
        <w:pStyle w:val="Compact"/>
        <w:numPr>
          <w:ilvl w:val="0"/>
          <w:numId w:val="1028"/>
        </w:numPr>
      </w:pPr>
      <w:r>
        <w:rPr>
          <w:b/>
          <w:bCs/>
        </w:rPr>
        <w:t xml:space="preserve">Kapitel/04-bilanzregeln.qmd, Ausgangszeile 154: Streichung.</w:t>
      </w:r>
    </w:p>
    <w:p>
      <w:pPr>
        <w:pStyle w:val="SourceCode"/>
      </w:pPr>
      <w:r>
        <w:rPr>
          <w:rStyle w:val="VerbatimChar"/>
        </w:rPr>
        <w:t xml:space="preserve">Bisher:</w:t>
      </w:r>
      <w:r>
        <w:br/>
      </w:r>
      <w:r>
        <w:br/>
      </w:r>
      <w:r>
        <w:rPr>
          <w:rStyle w:val="VerbatimChar"/>
        </w:rPr>
        <w:t xml:space="preserve">~~~~text</w:t>
      </w:r>
      <w:r>
        <w:br/>
      </w:r>
      <w:r>
        <w:rPr>
          <w:rStyle w:val="VerbatimChar"/>
        </w:rPr>
        <w:t xml:space="preserve">Drei Zeitangaben sind auseinanderzuhalten: **2040** als Bezugspunkt des österreichischen Klimaneutralitätsziels und der nationalen Allokation, **2025–2075** als Zeitraum der kumulierten Quartiersbewertung sowie **GWP100** als 100-jähriger Charakterisierungshorizont von Treibhausgasen. GWP100 bedeutet nicht, dass die Quartiersbilanz über 100 Jahre geführt wird. Die Budgetherleitung und die Bedeutung dieser Annahmen stehen in @sec-zielwert-thg.</w:t>
      </w:r>
      <w:r>
        <w:br/>
      </w:r>
      <w:r>
        <w:br/>
      </w:r>
      <w:r>
        <w:rPr>
          <w:rStyle w:val="VerbatimChar"/>
        </w:rPr>
        <w:t xml:space="preserve">~~~~</w:t>
      </w:r>
    </w:p>
    <w:p>
      <w:pPr>
        <w:pStyle w:val="Compact"/>
        <w:numPr>
          <w:ilvl w:val="0"/>
          <w:numId w:val="1029"/>
        </w:numPr>
      </w:pPr>
      <w:r>
        <w:rPr>
          <w:b/>
          <w:bCs/>
        </w:rPr>
        <w:t xml:space="preserve">Kapitel/08-fortschreibung.qmd, Ausgangszeile 4: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Methodenstand, Grenzen und Weiterentwicklung {#sec-fortschreibung}</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Methodenstand und Fortschreibung {#sec-fortschreibung}</w:t>
      </w:r>
      <w:r>
        <w:br/>
      </w:r>
      <w:r>
        <w:rPr>
          <w:rStyle w:val="VerbatimChar"/>
        </w:rPr>
        <w:t xml:space="preserve">~~~~</w:t>
      </w:r>
    </w:p>
    <w:p>
      <w:pPr>
        <w:pStyle w:val="Compact"/>
        <w:numPr>
          <w:ilvl w:val="0"/>
          <w:numId w:val="1030"/>
        </w:numPr>
      </w:pPr>
      <w:r>
        <w:rPr>
          <w:b/>
          <w:bCs/>
        </w:rPr>
        <w:t xml:space="preserve">Kapitel/08-fortschreibung.qmd, Ausgangszeile 6: Umformulierung / Umgliederung.</w:t>
      </w:r>
    </w:p>
    <w:p>
      <w:pPr>
        <w:pStyle w:val="SourceCode"/>
      </w:pPr>
      <w:r>
        <w:rPr>
          <w:rStyle w:val="VerbatimChar"/>
        </w:rPr>
        <w:t xml:space="preserve">Bisher:</w:t>
      </w:r>
      <w:r>
        <w:br/>
      </w:r>
      <w:r>
        <w:br/>
      </w:r>
      <w:r>
        <w:rPr>
          <w:rStyle w:val="VerbatimChar"/>
        </w:rPr>
        <w:t xml:space="preserve">~~~~text</w:t>
      </w:r>
      <w:r>
        <w:br/>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Einflussgrößen, Geltungsbereich und Regeln für die Fortschreibung</w:t>
      </w:r>
      <w:r>
        <w:br/>
      </w:r>
      <w:r>
        <w:rPr>
          <w:rStyle w:val="VerbatimChar"/>
        </w:rPr>
        <w:t xml:space="preserve">~~~~</w:t>
      </w:r>
    </w:p>
    <w:p>
      <w:pPr>
        <w:pStyle w:val="Compact"/>
        <w:numPr>
          <w:ilvl w:val="0"/>
          <w:numId w:val="1031"/>
        </w:numPr>
      </w:pPr>
      <w:r>
        <w:rPr>
          <w:b/>
          <w:bCs/>
        </w:rPr>
        <w:t xml:space="preserve">Kapitel/08-fortschreibung.qmd, Ausgangszeile 14: Streichung.</w:t>
      </w:r>
    </w:p>
    <w:p>
      <w:pPr>
        <w:pStyle w:val="SourceCode"/>
      </w:pPr>
      <w:r>
        <w:rPr>
          <w:rStyle w:val="VerbatimChar"/>
        </w:rPr>
        <w:t xml:space="preserve">Bisher:</w:t>
      </w:r>
      <w:r>
        <w:br/>
      </w:r>
      <w:r>
        <w:br/>
      </w:r>
      <w:r>
        <w:rPr>
          <w:rStyle w:val="VerbatimChar"/>
        </w:rPr>
        <w:t xml:space="preserve">~~~~text</w:t>
      </w:r>
      <w:r>
        <w:br/>
      </w:r>
      <w:r>
        <w:br/>
      </w:r>
      <w:r>
        <w:rPr>
          <w:rStyle w:val="VerbatimChar"/>
        </w:rPr>
        <w:t xml:space="preserve">Ebenso wenig ist eine positive Jahresbilanz ein Autarkienachweis. Ein Quartier kann erhebliche Mengen Strom oder Wärme beziehen und zu anderen Zeiten Energie abgeben. Für die technische Planung bleiben Anschlussleistungen und zeitliche Versorgungslücken relevant. Ein energetisch günstiges Konzept muss außerdem Komfort, Nutzbarkeit und andere Anforderungen an ein nachhaltiges Gebäude erfüllen.</w:t>
      </w:r>
      <w:r>
        <w:br/>
      </w:r>
      <w:r>
        <w:rPr>
          <w:rStyle w:val="VerbatimChar"/>
        </w:rPr>
        <w:t xml:space="preserve">~~~~</w:t>
      </w:r>
    </w:p>
    <w:p>
      <w:pPr>
        <w:pStyle w:val="Compact"/>
        <w:numPr>
          <w:ilvl w:val="0"/>
          <w:numId w:val="1032"/>
        </w:numPr>
      </w:pPr>
      <w:r>
        <w:rPr>
          <w:b/>
          <w:bCs/>
        </w:rPr>
        <w:t xml:space="preserve">Kapitel/08-fortschreibung.qmd, Ausgangszeile 31: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Wo die nächsten fachlichen Verbesserungen liegen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Einflussgrößen und Grenzen des Modells</w:t>
      </w:r>
      <w:r>
        <w:br/>
      </w:r>
      <w:r>
        <w:rPr>
          <w:rStyle w:val="VerbatimChar"/>
        </w:rPr>
        <w:t xml:space="preserve">~~~~</w:t>
      </w:r>
    </w:p>
    <w:p>
      <w:pPr>
        <w:pStyle w:val="Compact"/>
        <w:numPr>
          <w:ilvl w:val="0"/>
          <w:numId w:val="1033"/>
        </w:numPr>
      </w:pPr>
      <w:r>
        <w:rPr>
          <w:b/>
          <w:bCs/>
        </w:rPr>
        <w:t xml:space="preserve">Kapitel/08-fortschreibung.qmd, Ausgangszeile 45: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Eine Fortschreibung sollte deshalb zunächst dieselben Projektvarianten mit dem bisherigen und dem neuen Faktorsatz vergleichen. So wird sichtbar, ob ein Ergebnis durch die technische Maßnahme oder durch den geänderten Maßstab besser wird. Stündliche Faktoren sind damit ein möglicher nächster Schritt, keine Voraussetzung dafür, den bisherigen monatlichen Ansatz nachvollziehbar anzuwenden [@schneider2026thesis, Abschn. 3.2.3–3.2.4; @schneider2025declaration, Abschn. 2.6 und 4.2–4.3].</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Eine Fortschreibung sollte deshalb zunächst dieselben Projektvarianten mit dem bisherigen und dem neuen Faktorsatz vergleichen. So wird sichtbar, ob ein Ergebnis durch die technische Maßnahme oder durch den geänderten Maßstab besser wird. Der Referenzansatz verwendet monatliche Faktoren; stündliche Faktoren bilden eine gesonderte Bewertungsvariante [@schneider2026thesis, Abschn. 3.2.3–3.2.4; @schneider2025declaration, Abschn. 2.6 und 4.2–4.3].</w:t>
      </w:r>
      <w:r>
        <w:br/>
      </w:r>
      <w:r>
        <w:rPr>
          <w:rStyle w:val="VerbatimChar"/>
        </w:rPr>
        <w:t xml:space="preserve">~~~~</w:t>
      </w:r>
    </w:p>
    <w:p>
      <w:pPr>
        <w:pStyle w:val="Compact"/>
        <w:numPr>
          <w:ilvl w:val="0"/>
          <w:numId w:val="1034"/>
        </w:numPr>
      </w:pPr>
      <w:r>
        <w:rPr>
          <w:b/>
          <w:bCs/>
        </w:rPr>
        <w:t xml:space="preserve">Kapitel/08-fortschreibung.qmd, Ausgangszeile 57: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Die pauschale Sanierungsgutschrift lässt sich künftig nach tatsächlich unterschiedlichen Erschwernissen differenzieren. Dafür braucht es eine belastbare Datengrundlage und eine Regel, die in der Planung mit vertretbarem Aufwand nachweisbar ist. Eine kleinteilige Differenzierung wäre wenig hilfreich, wenn die erforderlichen Informationen erst spät oder nur mit unverhältnismäßigem Aufwand verfügbar sind.</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Der Entwurf differenziert die Sanierungsanpassung nach energetischer Typologie und baulichen Randbedingungen. Dafür braucht es eine belastbare Datengrundlage und eine Regel, die in der Planung mit vertretbarem Aufwand nachweisbar ist. Eine kleinteilige Differenzierung wäre wenig hilfreich, wenn die erforderlichen Informationen erst spät oder nur mit unverhältnismäßigem Aufwand verfügbar sind.</w:t>
      </w:r>
      <w:r>
        <w:br/>
      </w:r>
      <w:r>
        <w:rPr>
          <w:rStyle w:val="VerbatimChar"/>
        </w:rPr>
        <w:t xml:space="preserve">~~~~</w:t>
      </w:r>
    </w:p>
    <w:p>
      <w:pPr>
        <w:pStyle w:val="Compact"/>
        <w:numPr>
          <w:ilvl w:val="0"/>
          <w:numId w:val="1035"/>
        </w:numPr>
      </w:pPr>
      <w:r>
        <w:rPr>
          <w:b/>
          <w:bCs/>
        </w:rPr>
        <w:t xml:space="preserve">Kapitel/08-fortschreibung.qmd, Ausgangszeile 59: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Für Renovierungsfahrpläne sind außerdem die künftigen Herstellungsemissionen von Bauteilen relevant. Europäische Arbeiten zur Lebenszyklusbewertung liefern dafür Szenarien und Vergleichsgrundlagen. Die EU-Roadmap verbindet Gebäude- und Bestandsmodelle mit Maßnahmen an Materialproduktion, Materialeinsatz und Bautätigkeit [@leden2024roadmap]. Die INDICATE-Arbeiten zeigen ergänzend, wie nationale Ausgangswerte mit einheitlichen Erhebungsgrundlagen aufgebaut werden können und warum Unterschiede der Bilanzmethoden den Vergleich erschweren [@bpie2024benchmarks]. Daraus lassen sich Prüfaufgaben für die Fortschreibung ableiten; konkrete österreichische Materialpfade müssen gesondert ausgewählt und auf den PEQ-Bilanzumfang abgestimmt werden.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Für Renovierungsfahrpläne sind außerdem die Herstellungsemissionen zum Maßnahmenzeitpunkt von Bauteilen relevant. Europäische Arbeiten zur Lebenszyklusbewertung liefern dafür Szenarien und Vergleichsgrundlagen. Die EU-Roadmap verbindet Gebäude- und Bestandsmodelle mit Maßnahmen an Materialproduktion, Materialeinsatz und Bautätigkeit [@leden2024roadmap]. Die INDICATE-Arbeiten zeigen ergänzend, wie nationale Ausgangswerte mit einheitlichen Erhebungsgrundlagen aufgebaut werden können und warum Unterschiede der Bilanzmethoden den Vergleich erschweren [@bpie2024benchmarks]. Daraus lassen sich Prüfaufgaben für die Fortschreibung ableiten; konkrete österreichische Materialpfade müssen gesondert ausgewählt und auf den PEQ-Bilanzumfang abgestimmt werden.</w:t>
      </w:r>
      <w:r>
        <w:br/>
      </w:r>
      <w:r>
        <w:rPr>
          <w:rStyle w:val="VerbatimChar"/>
        </w:rPr>
        <w:t xml:space="preserve">~~~~</w:t>
      </w:r>
    </w:p>
    <w:p>
      <w:pPr>
        <w:pStyle w:val="Compact"/>
        <w:numPr>
          <w:ilvl w:val="0"/>
          <w:numId w:val="1036"/>
        </w:numPr>
      </w:pPr>
      <w:r>
        <w:rPr>
          <w:b/>
          <w:bCs/>
        </w:rPr>
        <w:t xml:space="preserve">Kapitel/08-fortschreibung.qmd, Ausgangszeile 70: Streichung.</w:t>
      </w:r>
    </w:p>
    <w:p>
      <w:pPr>
        <w:pStyle w:val="SourceCode"/>
      </w:pPr>
      <w:r>
        <w:rPr>
          <w:rStyle w:val="VerbatimChar"/>
        </w:rPr>
        <w:t xml:space="preserve">Bisher:</w:t>
      </w:r>
      <w:r>
        <w:br/>
      </w:r>
      <w:r>
        <w:br/>
      </w:r>
      <w:r>
        <w:rPr>
          <w:rStyle w:val="VerbatimChar"/>
        </w:rPr>
        <w:t xml:space="preserve">~~~~text</w:t>
      </w:r>
      <w:r>
        <w:br/>
      </w:r>
      <w:r>
        <w:br/>
      </w:r>
      <w:r>
        <w:rPr>
          <w:rStyle w:val="VerbatimChar"/>
        </w:rPr>
        <w:t xml:space="preserve">Für die Anwendung bleibt entscheidend, dass ein Ergebnis erklärbar ist: welche Maßnahmen wirken, welche Annahmen es tragen und welche Beiträge außerhalb des Projekts liegen. Genau diese Verbindung macht den Bericht als Grundlage für Entwurfsentscheidungen, fachliche Prüfung und Gespräche zwischen Bauherrschaften, Planung und Verwaltung nutzbar.</w:t>
      </w:r>
      <w:r>
        <w:br/>
      </w:r>
      <w:r>
        <w:rPr>
          <w:rStyle w:val="VerbatimChar"/>
        </w:rPr>
        <w:t xml:space="preserve">~~~~</w:t>
      </w:r>
    </w:p>
    <w:p>
      <w:pPr>
        <w:pStyle w:val="Compact"/>
        <w:numPr>
          <w:ilvl w:val="0"/>
          <w:numId w:val="1037"/>
        </w:numPr>
      </w:pPr>
      <w:r>
        <w:rPr>
          <w:b/>
          <w:bCs/>
        </w:rPr>
        <w:t xml:space="preserve">Kapitel/01-einführung.qmd, Ausgangszeile 13: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Ein künftig erneuerbares Energiesystem macht Energieeffizienz und Flexibilität auf Gebäudeebene nicht überflüssig – im Gegenteil: Nationale Energie- und Klimaszenarien setzen erhebliche Energieeinsparungen voraus. Damit die angestrebten Ausbau- und Klimaziele erreicht werden können, müssen Gebäude ihren Energiebedarf entsprechend reduzieren und zunehmend flexibel gestalten.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Ein erneuerbares Zielenergiesystem macht Energieeffizienz und Flexibilität auf Gebäudeebene nicht überflüssig – im Gegenteil: Nationale Energie- und Klimaszenarien setzen erhebliche Energieeinsparungen voraus. Damit die angestrebten Ausbau- und Klimaziele erreicht werden können, müssen Gebäude ihren Energiebedarf entsprechend reduzieren und zunehmend flexibel gestalten.</w:t>
      </w:r>
      <w:r>
        <w:br/>
      </w:r>
      <w:r>
        <w:rPr>
          <w:rStyle w:val="VerbatimChar"/>
        </w:rPr>
        <w:t xml:space="preserve">~~~~</w:t>
      </w:r>
    </w:p>
    <w:p>
      <w:pPr>
        <w:pStyle w:val="Compact"/>
        <w:numPr>
          <w:ilvl w:val="0"/>
          <w:numId w:val="1038"/>
        </w:numPr>
      </w:pPr>
      <w:r>
        <w:rPr>
          <w:b/>
          <w:bCs/>
        </w:rPr>
        <w:t xml:space="preserve">Kapitel/07-anwendung.qmd, Ausgangszeile 56: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 **PV-Vorhalteflächen:** planerisch gesicherte Dach- oder Fassadenflächen einschließlich Tragfähigkeit, Verschattung, Leitungsführung und künftiger Anschlussmöglichkeit.</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 **PV-Vorhalteflächen:** planerisch gesicherte Dach- oder Fassadenflächen einschließlich Tragfähigkeit, Verschattung, Leitungsführung und geplanter Anschlussmöglichkeit.</w:t>
      </w:r>
      <w:r>
        <w:br/>
      </w:r>
      <w:r>
        <w:rPr>
          <w:rStyle w:val="VerbatimChar"/>
        </w:rPr>
        <w:t xml:space="preserve">~~~~</w:t>
      </w:r>
    </w:p>
    <w:p>
      <w:pPr>
        <w:pStyle w:val="Compact"/>
        <w:numPr>
          <w:ilvl w:val="0"/>
          <w:numId w:val="1039"/>
        </w:numPr>
      </w:pPr>
      <w:r>
        <w:rPr>
          <w:b/>
          <w:bCs/>
        </w:rPr>
        <w:t xml:space="preserve">Kapitel/07-anwendung.qmd, Ausgangszeile 63: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Für die THG-Bewertung sind außerdem die Emissionen bis zur späteren Umsetzung und die zusätzlichen Herstellungsemissionen der Maßnahmen zu berücksichtigen. Ein zukünftiges gutes Ergebnis macht bereits entstandene Emissionen nicht rückgängig.</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Für die THG-Bewertung sind außerdem die Emissionen bis zur späteren Umsetzung und die zusätzlichen Herstellungsemissionen der Maßnahmen zu berücksichtigen. Ein gutes Ergebnis im Zieljahr macht bereits entstandene Emissionen nicht rückgängig.</w:t>
      </w:r>
      <w:r>
        <w:br/>
      </w:r>
      <w:r>
        <w:rPr>
          <w:rStyle w:val="VerbatimChar"/>
        </w:rPr>
        <w:t xml:space="preserve">~~~~</w:t>
      </w:r>
    </w:p>
    <w:p>
      <w:pPr>
        <w:pStyle w:val="Compact"/>
        <w:numPr>
          <w:ilvl w:val="0"/>
          <w:numId w:val="1040"/>
        </w:numPr>
      </w:pPr>
      <w:r>
        <w:rPr>
          <w:b/>
          <w:bCs/>
        </w:rPr>
        <w:t xml:space="preserve">Kapitel/07-praxisbeispiele.qmd, Ausgangszeile 17: Umformulierung / Umgliederung.</w:t>
      </w:r>
    </w:p>
    <w:p>
      <w:pPr>
        <w:pStyle w:val="SourceCode"/>
      </w:pPr>
      <w:r>
        <w:rPr>
          <w:rStyle w:val="VerbatimChar"/>
        </w:rPr>
        <w:t xml:space="preserve">Bisher:</w:t>
      </w:r>
      <w:r>
        <w:br/>
      </w:r>
      <w:r>
        <w:br/>
      </w:r>
      <w:r>
        <w:rPr>
          <w:rStyle w:val="VerbatimChar"/>
        </w:rPr>
        <w:t xml:space="preserve">~~~~text</w:t>
      </w:r>
      <w:r>
        <w:br/>
      </w:r>
      <w:r>
        <w:rPr>
          <w:rStyle w:val="VerbatimChar"/>
        </w:rPr>
        <w:t xml:space="preserve">Das Beispiel verdeutlicht die Wirkung des Dichtekontexts: Bei geringer baulicher Dichte wird ein zusätzlicher energetischer Beitrag verlangt. Im Fall von Am Bichl III konnte diese Anforderung durch die Ermöglichung zukünftig von energieflexiblem Heizen und Kühlen kompensiert werden.</w:t>
      </w:r>
      <w:r>
        <w:br/>
      </w:r>
      <w:r>
        <w:rPr>
          <w:rStyle w:val="VerbatimChar"/>
        </w:rPr>
        <w:t xml:space="preserve">~~~~</w:t>
      </w:r>
      <w:r>
        <w:br/>
      </w:r>
      <w:r>
        <w:br/>
      </w:r>
      <w:r>
        <w:rPr>
          <w:rStyle w:val="VerbatimChar"/>
        </w:rPr>
        <w:t xml:space="preserve">Jetzt:</w:t>
      </w:r>
      <w:r>
        <w:br/>
      </w:r>
      <w:r>
        <w:br/>
      </w:r>
      <w:r>
        <w:rPr>
          <w:rStyle w:val="VerbatimChar"/>
        </w:rPr>
        <w:t xml:space="preserve">~~~~text</w:t>
      </w:r>
      <w:r>
        <w:br/>
      </w:r>
      <w:r>
        <w:rPr>
          <w:rStyle w:val="VerbatimChar"/>
        </w:rPr>
        <w:t xml:space="preserve">Das Beispiel verdeutlicht die Wirkung des Dichtekontexts: Bei geringer baulicher Dichte wird ein zusätzlicher energetischer Beitrag verlangt. Im Fall von Am Bichl III konnte diese Anforderung durch die vorgesehene Flexibilität beim Heizen und Kühlen kompensiert werden.</w:t>
      </w:r>
      <w:r>
        <w:br/>
      </w:r>
      <w:r>
        <w:rPr>
          <w:rStyle w:val="VerbatimChar"/>
        </w:rPr>
        <w:t xml:space="preserve">~~~~</w:t>
      </w:r>
    </w:p>
    <w:bookmarkEnd w:id="556"/>
    <w:bookmarkStart w:id="557" w:name="prüfumfang"/>
    <w:p>
      <w:pPr>
        <w:pStyle w:val="Heading2"/>
      </w:pPr>
      <w:r>
        <w:t xml:space="preserve">H.4 Prüfumfang</w:t>
      </w:r>
    </w:p>
    <w:p>
      <w:pPr>
        <w:pStyle w:val="FirstParagraph"/>
      </w:pPr>
      <w:r>
        <w:t xml:space="preserve">Die ausgeführten Rechenanhänge prüfen PV-/Stromidentitäten, nationale Zuordnungsbilanz, GFZ-Gewichte und den neuen Bewertungssaldo. Die ergänzte Bilanzkontrolle lautet Deckung − Bedarf + Dichte = Bewertungssaldo. Die HTML-Prüfung umfasst Variablenrendering, Plotly-Auswahl und vollständige Book-Verweise.</w:t>
      </w:r>
    </w:p>
    <w:bookmarkEnd w:id="557"/>
    <w:bookmarkEnd w:id="5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
    <w:p>
      <w:pPr>
        <w:pStyle w:val="FootnoteText"/>
      </w:pPr>
      <w:r>
        <w:rPr>
          <w:rStyle w:val="FootnoteReference"/>
        </w:rPr>
        <w:footnoteRef/>
      </w:r>
      <w:r>
        <w:t xml:space="preserve"> </w:t>
      </w:r>
      <w:r>
        <w:rPr>
          <w:i/>
          <w:iCs/>
        </w:rPr>
        <w:t xml:space="preserve">Fertigstellungsdeklaration Am Bichl III</w:t>
      </w:r>
      <w:r>
        <w:t xml:space="preserve">, 19.08.2026, ergänzt am 04.09.2026; PEQ-Nachweistool v1.10. Abbildungen: Projekt- und Veranstaltungsunterlagen.</w:t>
      </w:r>
    </w:p>
  </w:footnote>
  <w:footnote w:id="76">
    <w:p>
      <w:pPr>
        <w:pStyle w:val="FootnoteText"/>
      </w:pPr>
      <w:r>
        <w:rPr>
          <w:rStyle w:val="FootnoteReference"/>
        </w:rPr>
        <w:footnoteRef/>
      </w:r>
      <w:r>
        <w:t xml:space="preserve"> </w:t>
      </w:r>
      <w:r>
        <w:t xml:space="preserve">198,4 kWp / 5.360 m² BGF ≈ 37 Wp/m² BGF.</w:t>
      </w:r>
    </w:p>
  </w:footnote>
  <w:footnote w:id="77">
    <w:p>
      <w:pPr>
        <w:pStyle w:val="FootnoteText"/>
      </w:pPr>
      <w:r>
        <w:rPr>
          <w:rStyle w:val="FootnoteReference"/>
        </w:rPr>
        <w:footnoteRef/>
      </w:r>
      <w:r>
        <w:t xml:space="preserve"> </w:t>
      </w:r>
      <w:r>
        <w:t xml:space="preserve">Heizwärmebedarf aus dem PEQ-Modell; Abweichungen zum Energieausweis können durch detaillierte Annahmen zu inneren Wärmegewinnen und solaren Einträgen entstehen.</w:t>
      </w:r>
    </w:p>
  </w:footnote>
  <w:footnote w:id="91">
    <w:p>
      <w:pPr>
        <w:pStyle w:val="FootnoteText"/>
      </w:pPr>
      <w:r>
        <w:rPr>
          <w:rStyle w:val="FootnoteReference"/>
        </w:rPr>
        <w:footnoteRef/>
      </w:r>
      <w:r>
        <w:t xml:space="preserve"> </w:t>
      </w:r>
      <w:r>
        <w:t xml:space="preserve">Die modellierte Flexibilitätsgutschrift umfasst netzdienlichen Bezug gemäß Lastprofilen und die thermische Trägheit im Heizfall. Die Winterwoche zeigt den simulierten Verlauf.</w:t>
      </w:r>
    </w:p>
  </w:footnote>
  <w:footnote w:id="93">
    <w:p>
      <w:pPr>
        <w:pStyle w:val="FootnoteText"/>
      </w:pPr>
      <w:r>
        <w:rPr>
          <w:rStyle w:val="FootnoteReference"/>
        </w:rPr>
        <w:footnoteRef/>
      </w:r>
      <w:r>
        <w:t xml:space="preserve"> </w:t>
      </w:r>
      <w:r>
        <w:t xml:space="preserve">Projekterfahrung: Simon Schneider, Oktober 2026.</w:t>
      </w:r>
    </w:p>
  </w:footnote>
  <w:footnote w:id="103">
    <w:p>
      <w:pPr>
        <w:pStyle w:val="FootnoteText"/>
      </w:pPr>
      <w:r>
        <w:rPr>
          <w:rStyle w:val="FootnoteReference"/>
        </w:rPr>
        <w:footnoteRef/>
      </w:r>
      <w:r>
        <w:t xml:space="preserve"> </w:t>
      </w:r>
      <w:r>
        <w:t xml:space="preserve">ÖSW:</w:t>
      </w:r>
      <w:r>
        <w:t xml:space="preserve"> </w:t>
      </w:r>
      <w:r>
        <w:rPr>
          <w:i/>
          <w:iCs/>
        </w:rPr>
        <w:t xml:space="preserve">Informationen zur klimafitten Sanierung der Rugierstraße 28</w:t>
      </w:r>
      <w:r>
        <w:t xml:space="preserve">, Februar 2024. Maßnahmen gemäß Projektkonzept; Fotos aus den bereitgestellten Projektunterlagen, April 2025.</w:t>
      </w:r>
    </w:p>
  </w:footnote>
  <w:footnote w:id="106">
    <w:p>
      <w:pPr>
        <w:pStyle w:val="FootnoteText"/>
      </w:pPr>
      <w:r>
        <w:rPr>
          <w:rStyle w:val="FootnoteReference"/>
        </w:rPr>
        <w:footnoteRef/>
      </w:r>
      <w:r>
        <w:t xml:space="preserve"> </w:t>
      </w:r>
      <w:r>
        <w:t xml:space="preserve">PEExcel-Projektexport</w:t>
      </w:r>
      <w:r>
        <w:t xml:space="preserve"> </w:t>
      </w:r>
      <w:r>
        <w:rPr>
          <w:i/>
          <w:iCs/>
        </w:rPr>
        <w:t xml:space="preserve">ka_Projekt_Rugierstrasse.xlsx</w:t>
      </w:r>
      <w:r>
        <w:t xml:space="preserve">. Ausgewählte Variante:</w:t>
      </w:r>
      <w:r>
        <w:t xml:space="preserve"> </w:t>
      </w:r>
      <w:r>
        <w:rPr>
          <w:rStyle w:val="VerbatimChar"/>
        </w:rPr>
        <w:t xml:space="preserve">RUGInnovation | Base_V2oPBlend-FassOW_Beta</w:t>
      </w:r>
      <w:r>
        <w:t xml:space="preserve">.</w:t>
      </w:r>
    </w:p>
  </w:footnote>
  <w:footnote w:id="116">
    <w:p>
      <w:pPr>
        <w:pStyle w:val="FootnoteText"/>
      </w:pPr>
      <w:r>
        <w:rPr>
          <w:rStyle w:val="FootnoteReference"/>
        </w:rPr>
        <w:footnoteRef/>
      </w:r>
      <w:r>
        <w:t xml:space="preserve"> </w:t>
      </w:r>
      <w:r>
        <w:t xml:space="preserve">Gespeicherte Ergebnisse der ausgewählten Variante; Grafiken mit</w:t>
      </w:r>
      <w:r>
        <w:t xml:space="preserve"> </w:t>
      </w:r>
      <w:r>
        <w:rPr>
          <w:rStyle w:val="VerbatimChar"/>
        </w:rPr>
        <w:t xml:space="preserve">pexl.reporting.materialize</w:t>
      </w:r>
      <w:r>
        <w:t xml:space="preserve"> </w:t>
      </w:r>
      <w:r>
        <w:t xml:space="preserve">und</w:t>
      </w:r>
      <w:r>
        <w:t xml:space="preserve"> </w:t>
      </w:r>
      <w:r>
        <w:rPr>
          <w:rStyle w:val="VerbatimChar"/>
        </w:rPr>
        <w:t xml:space="preserve">pexl.plot.plotly.render</w:t>
      </w:r>
      <w:r>
        <w:t xml:space="preserve">. Der Import-/Exportsaldo ergibt +1,87 gegenüber dem Zielwert; die separat gespeicherte Netzäquivalentbilanz der Primärenergiegrafik ergibt +1,95 kWhₚₑ,ges/(m² NGF·a). Die geringe Abweichung ist im Export enthalten.</w:t>
      </w:r>
    </w:p>
  </w:footnote>
  <w:footnote w:id="121">
    <w:p>
      <w:pPr>
        <w:pStyle w:val="FootnoteText"/>
      </w:pPr>
      <w:r>
        <w:rPr>
          <w:rStyle w:val="FootnoteReference"/>
        </w:rPr>
        <w:footnoteRef/>
      </w:r>
      <w:r>
        <w:t xml:space="preserve"> </w:t>
      </w:r>
      <w:r>
        <w:t xml:space="preserve">Gespeicherte Lebenszyklusergebnisse der ausgewählten Variante; Referenzbudget des dokumentierten Bewertungsstands: 320 kg CO₂e/m² BGF.</w:t>
      </w:r>
    </w:p>
  </w:footnote>
  <w:footnote w:id="199">
    <w:p>
      <w:pPr>
        <w:pStyle w:val="FootnoteText"/>
      </w:pPr>
      <w:r>
        <w:rPr>
          <w:rStyle w:val="FootnoteReference"/>
        </w:rPr>
        <w:footnoteRef/>
      </w:r>
      <w:r>
        <w:t xml:space="preserve"> </w:t>
      </w:r>
      <w:r>
        <w:t xml:space="preserve">Die Minderung beträgt nach Gesamtsummen 331 PJ/a und nach Sektorkomponenten 330 PJ/a. Für WEM/WAM 2025 folgt die Normierung Tabelle E in REP-0995; die Abweichung zu Tabelle 19 ist in</w:t>
      </w:r>
      <w:r>
        <w:t xml:space="preserve"> </w:t>
      </w:r>
      <w:hyperlink w:anchor="sec-szenariotabellen">
        <w:r>
          <w:rPr>
            <w:rStyle w:val="Hyperlink"/>
          </w:rPr>
          <w:t xml:space="preserve">Anhang A</w:t>
        </w:r>
      </w:hyperlink>
      <w:r>
        <w:t xml:space="preserve"> </w:t>
      </w:r>
      <w:r>
        <w:t xml:space="preserve">dokumentiert.</w:t>
      </w:r>
    </w:p>
  </w:footnote>
  <w:footnote w:id="211">
    <w:p>
      <w:pPr>
        <w:pStyle w:val="FootnoteText"/>
      </w:pPr>
      <w:r>
        <w:rPr>
          <w:rStyle w:val="FootnoteReference"/>
        </w:rPr>
        <w:footnoteRef/>
      </w:r>
      <w:r>
        <w:t xml:space="preserve"> </w:t>
      </w:r>
      <w:r>
        <w:t xml:space="preserve">Der Top-Down-Saldo</w:t>
      </w:r>
      <w:r>
        <w:t xml:space="preserve"> </w:t>
      </w:r>
      <m:oMath>
        <m:sSub>
          <m:e>
            <m:r>
              <m:t>P</m:t>
            </m:r>
          </m:e>
          <m:sub>
            <m:r>
              <m:t>B</m:t>
            </m:r>
          </m:sub>
        </m:sSub>
        <m:r>
          <m:rPr>
            <m:sty m:val="p"/>
          </m:rPr>
          <m:t>+</m:t>
        </m:r>
        <m:r>
          <m:t>R</m:t>
        </m:r>
        <m:r>
          <m:rPr>
            <m:sty m:val="p"/>
          </m:rPr>
          <m:t>−</m:t>
        </m:r>
        <m:sSub>
          <m:e>
            <m:r>
              <m:t>D</m:t>
            </m:r>
          </m:e>
          <m:sub>
            <m:r>
              <m:t>B</m:t>
            </m:r>
          </m:sub>
        </m:sSub>
        <m:r>
          <m:rPr>
            <m:sty m:val="p"/>
          </m:rPr>
          <m:t>−</m:t>
        </m:r>
        <m:sSub>
          <m:e>
            <m:r>
              <m:t>D</m:t>
            </m:r>
          </m:e>
          <m:sub>
            <m:r>
              <m:t>M</m:t>
            </m:r>
          </m:sub>
        </m:sSub>
      </m:oMath>
      <w:r>
        <w:t xml:space="preserve"> </w:t>
      </w:r>
      <w:r>
        <w:t xml:space="preserve">beträgt in der geschlossenen Modellbilanz null. Ein negatives</w:t>
      </w:r>
      <w:r>
        <w:t xml:space="preserve"> </w:t>
      </w:r>
      <m:oMath>
        <m:r>
          <m:t>R</m:t>
        </m:r>
      </m:oMath>
      <w:r>
        <w:t xml:space="preserve"> </w:t>
      </w:r>
      <w:r>
        <w:t xml:space="preserve">bezeichnet einen zentralen Fehlbetrag, der durch Gebäude-PV ausgeglichen wird; es ist keine negative Stromerzeugung. Ein abweichendes Bottom-Up-Gebäudeszenario kann weiterhin einen positiven oder negativen Saldo aufweisen.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101">
    <w:nsid w:val="A9941101"/>
    <w:multiLevelType w:val="multilevel"/>
    <w:lvl w:ilvl="0">
      <w:start w:val="101"/>
      <w:numFmt w:val="decimal"/>
      <w:lvlText w:val="%1."/>
      <w:lvlJc w:val="left"/>
      <w:pPr>
        <w:ind w:left="720" w:hanging="360"/>
      </w:pPr>
    </w:lvl>
    <w:lvl w:ilvl="1">
      <w:start w:val="101"/>
      <w:numFmt w:val="decimal"/>
      <w:lvlText w:val="%2."/>
      <w:lvlJc w:val="left"/>
      <w:pPr>
        <w:ind w:left="1440" w:hanging="360"/>
      </w:pPr>
    </w:lvl>
    <w:lvl w:ilvl="2">
      <w:start w:val="101"/>
      <w:numFmt w:val="decimal"/>
      <w:lvlText w:val="%3."/>
      <w:lvlJc w:val="left"/>
      <w:pPr>
        <w:ind w:left="2160" w:hanging="360"/>
      </w:pPr>
    </w:lvl>
    <w:lvl w:ilvl="3">
      <w:start w:val="101"/>
      <w:numFmt w:val="decimal"/>
      <w:lvlText w:val="%4."/>
      <w:lvlJc w:val="left"/>
      <w:pPr>
        <w:ind w:left="2880" w:hanging="360"/>
      </w:pPr>
    </w:lvl>
    <w:lvl w:ilvl="4">
      <w:start w:val="101"/>
      <w:numFmt w:val="decimal"/>
      <w:lvlText w:val="%5."/>
      <w:lvlJc w:val="left"/>
      <w:pPr>
        <w:ind w:left="3600" w:hanging="360"/>
      </w:pPr>
    </w:lvl>
    <w:lvl w:ilvl="5">
      <w:start w:val="101"/>
      <w:numFmt w:val="decimal"/>
      <w:lvlText w:val="%6."/>
      <w:lvlJc w:val="left"/>
      <w:pPr>
        <w:ind w:left="4320" w:hanging="360"/>
      </w:pPr>
    </w:lvl>
    <w:lvl w:ilvl="6">
      <w:start w:val="101"/>
      <w:numFmt w:val="decimal"/>
      <w:lvlText w:val="%7."/>
      <w:lvlJc w:val="left"/>
      <w:pPr>
        <w:ind w:left="5040" w:hanging="360"/>
      </w:pPr>
    </w:lvl>
    <w:lvl w:ilvl="7">
      <w:start w:val="101"/>
      <w:numFmt w:val="decimal"/>
      <w:lvlText w:val="%8."/>
      <w:lvlJc w:val="left"/>
      <w:pPr>
        <w:ind w:left="5760" w:hanging="360"/>
      </w:pPr>
    </w:lvl>
    <w:lvl w:ilvl="8">
      <w:start w:val="101"/>
      <w:numFmt w:val="decimal"/>
      <w:lvlText w:val="%9."/>
      <w:lvlJc w:val="left"/>
      <w:pPr>
        <w:ind w:left="6480" w:hanging="360"/>
      </w:pPr>
    </w:lvl>
  </w:abstractNum>
  <w:abstractNum w:abstractNumId="9941102">
    <w:nsid w:val="A9941102"/>
    <w:multiLevelType w:val="multilevel"/>
    <w:lvl w:ilvl="0">
      <w:start w:val="102"/>
      <w:numFmt w:val="decimal"/>
      <w:lvlText w:val="%1."/>
      <w:lvlJc w:val="left"/>
      <w:pPr>
        <w:ind w:left="720" w:hanging="360"/>
      </w:pPr>
    </w:lvl>
    <w:lvl w:ilvl="1">
      <w:start w:val="102"/>
      <w:numFmt w:val="decimal"/>
      <w:lvlText w:val="%2."/>
      <w:lvlJc w:val="left"/>
      <w:pPr>
        <w:ind w:left="1440" w:hanging="360"/>
      </w:pPr>
    </w:lvl>
    <w:lvl w:ilvl="2">
      <w:start w:val="102"/>
      <w:numFmt w:val="decimal"/>
      <w:lvlText w:val="%3."/>
      <w:lvlJc w:val="left"/>
      <w:pPr>
        <w:ind w:left="2160" w:hanging="360"/>
      </w:pPr>
    </w:lvl>
    <w:lvl w:ilvl="3">
      <w:start w:val="102"/>
      <w:numFmt w:val="decimal"/>
      <w:lvlText w:val="%4."/>
      <w:lvlJc w:val="left"/>
      <w:pPr>
        <w:ind w:left="2880" w:hanging="360"/>
      </w:pPr>
    </w:lvl>
    <w:lvl w:ilvl="4">
      <w:start w:val="102"/>
      <w:numFmt w:val="decimal"/>
      <w:lvlText w:val="%5."/>
      <w:lvlJc w:val="left"/>
      <w:pPr>
        <w:ind w:left="3600" w:hanging="360"/>
      </w:pPr>
    </w:lvl>
    <w:lvl w:ilvl="5">
      <w:start w:val="102"/>
      <w:numFmt w:val="decimal"/>
      <w:lvlText w:val="%6."/>
      <w:lvlJc w:val="left"/>
      <w:pPr>
        <w:ind w:left="4320" w:hanging="360"/>
      </w:pPr>
    </w:lvl>
    <w:lvl w:ilvl="6">
      <w:start w:val="102"/>
      <w:numFmt w:val="decimal"/>
      <w:lvlText w:val="%7."/>
      <w:lvlJc w:val="left"/>
      <w:pPr>
        <w:ind w:left="5040" w:hanging="360"/>
      </w:pPr>
    </w:lvl>
    <w:lvl w:ilvl="7">
      <w:start w:val="102"/>
      <w:numFmt w:val="decimal"/>
      <w:lvlText w:val="%8."/>
      <w:lvlJc w:val="left"/>
      <w:pPr>
        <w:ind w:left="5760" w:hanging="360"/>
      </w:pPr>
    </w:lvl>
    <w:lvl w:ilvl="8">
      <w:start w:val="102"/>
      <w:numFmt w:val="decimal"/>
      <w:lvlText w:val="%9."/>
      <w:lvlJc w:val="left"/>
      <w:pPr>
        <w:ind w:left="6480" w:hanging="360"/>
      </w:pPr>
    </w:lvl>
  </w:abstractNum>
  <w:abstractNum w:abstractNumId="9941103">
    <w:nsid w:val="A9941103"/>
    <w:multiLevelType w:val="multilevel"/>
    <w:lvl w:ilvl="0">
      <w:start w:val="103"/>
      <w:numFmt w:val="decimal"/>
      <w:lvlText w:val="%1."/>
      <w:lvlJc w:val="left"/>
      <w:pPr>
        <w:ind w:left="720" w:hanging="360"/>
      </w:pPr>
    </w:lvl>
    <w:lvl w:ilvl="1">
      <w:start w:val="103"/>
      <w:numFmt w:val="decimal"/>
      <w:lvlText w:val="%2."/>
      <w:lvlJc w:val="left"/>
      <w:pPr>
        <w:ind w:left="1440" w:hanging="360"/>
      </w:pPr>
    </w:lvl>
    <w:lvl w:ilvl="2">
      <w:start w:val="103"/>
      <w:numFmt w:val="decimal"/>
      <w:lvlText w:val="%3."/>
      <w:lvlJc w:val="left"/>
      <w:pPr>
        <w:ind w:left="2160" w:hanging="360"/>
      </w:pPr>
    </w:lvl>
    <w:lvl w:ilvl="3">
      <w:start w:val="103"/>
      <w:numFmt w:val="decimal"/>
      <w:lvlText w:val="%4."/>
      <w:lvlJc w:val="left"/>
      <w:pPr>
        <w:ind w:left="2880" w:hanging="360"/>
      </w:pPr>
    </w:lvl>
    <w:lvl w:ilvl="4">
      <w:start w:val="103"/>
      <w:numFmt w:val="decimal"/>
      <w:lvlText w:val="%5."/>
      <w:lvlJc w:val="left"/>
      <w:pPr>
        <w:ind w:left="3600" w:hanging="360"/>
      </w:pPr>
    </w:lvl>
    <w:lvl w:ilvl="5">
      <w:start w:val="103"/>
      <w:numFmt w:val="decimal"/>
      <w:lvlText w:val="%6."/>
      <w:lvlJc w:val="left"/>
      <w:pPr>
        <w:ind w:left="4320" w:hanging="360"/>
      </w:pPr>
    </w:lvl>
    <w:lvl w:ilvl="6">
      <w:start w:val="103"/>
      <w:numFmt w:val="decimal"/>
      <w:lvlText w:val="%7."/>
      <w:lvlJc w:val="left"/>
      <w:pPr>
        <w:ind w:left="5040" w:hanging="360"/>
      </w:pPr>
    </w:lvl>
    <w:lvl w:ilvl="7">
      <w:start w:val="103"/>
      <w:numFmt w:val="decimal"/>
      <w:lvlText w:val="%8."/>
      <w:lvlJc w:val="left"/>
      <w:pPr>
        <w:ind w:left="5760" w:hanging="360"/>
      </w:pPr>
    </w:lvl>
    <w:lvl w:ilvl="8">
      <w:start w:val="103"/>
      <w:numFmt w:val="decimal"/>
      <w:lvlText w:val="%9."/>
      <w:lvlJc w:val="left"/>
      <w:pPr>
        <w:ind w:left="6480" w:hanging="360"/>
      </w:pPr>
    </w:lvl>
  </w:abstractNum>
  <w:abstractNum w:abstractNumId="9941104">
    <w:nsid w:val="A9941104"/>
    <w:multiLevelType w:val="multilevel"/>
    <w:lvl w:ilvl="0">
      <w:start w:val="104"/>
      <w:numFmt w:val="decimal"/>
      <w:lvlText w:val="%1."/>
      <w:lvlJc w:val="left"/>
      <w:pPr>
        <w:ind w:left="720" w:hanging="360"/>
      </w:pPr>
    </w:lvl>
    <w:lvl w:ilvl="1">
      <w:start w:val="104"/>
      <w:numFmt w:val="decimal"/>
      <w:lvlText w:val="%2."/>
      <w:lvlJc w:val="left"/>
      <w:pPr>
        <w:ind w:left="1440" w:hanging="360"/>
      </w:pPr>
    </w:lvl>
    <w:lvl w:ilvl="2">
      <w:start w:val="104"/>
      <w:numFmt w:val="decimal"/>
      <w:lvlText w:val="%3."/>
      <w:lvlJc w:val="left"/>
      <w:pPr>
        <w:ind w:left="2160" w:hanging="360"/>
      </w:pPr>
    </w:lvl>
    <w:lvl w:ilvl="3">
      <w:start w:val="104"/>
      <w:numFmt w:val="decimal"/>
      <w:lvlText w:val="%4."/>
      <w:lvlJc w:val="left"/>
      <w:pPr>
        <w:ind w:left="2880" w:hanging="360"/>
      </w:pPr>
    </w:lvl>
    <w:lvl w:ilvl="4">
      <w:start w:val="104"/>
      <w:numFmt w:val="decimal"/>
      <w:lvlText w:val="%5."/>
      <w:lvlJc w:val="left"/>
      <w:pPr>
        <w:ind w:left="3600" w:hanging="360"/>
      </w:pPr>
    </w:lvl>
    <w:lvl w:ilvl="5">
      <w:start w:val="104"/>
      <w:numFmt w:val="decimal"/>
      <w:lvlText w:val="%6."/>
      <w:lvlJc w:val="left"/>
      <w:pPr>
        <w:ind w:left="4320" w:hanging="360"/>
      </w:pPr>
    </w:lvl>
    <w:lvl w:ilvl="6">
      <w:start w:val="104"/>
      <w:numFmt w:val="decimal"/>
      <w:lvlText w:val="%7."/>
      <w:lvlJc w:val="left"/>
      <w:pPr>
        <w:ind w:left="5040" w:hanging="360"/>
      </w:pPr>
    </w:lvl>
    <w:lvl w:ilvl="7">
      <w:start w:val="104"/>
      <w:numFmt w:val="decimal"/>
      <w:lvlText w:val="%8."/>
      <w:lvlJc w:val="left"/>
      <w:pPr>
        <w:ind w:left="5760" w:hanging="360"/>
      </w:pPr>
    </w:lvl>
    <w:lvl w:ilvl="8">
      <w:start w:val="104"/>
      <w:numFmt w:val="decimal"/>
      <w:lvlText w:val="%9."/>
      <w:lvlJc w:val="left"/>
      <w:pPr>
        <w:ind w:left="6480" w:hanging="360"/>
      </w:pPr>
    </w:lvl>
  </w:abstractNum>
  <w:abstractNum w:abstractNumId="9941105">
    <w:nsid w:val="A9941105"/>
    <w:multiLevelType w:val="multilevel"/>
    <w:lvl w:ilvl="0">
      <w:start w:val="105"/>
      <w:numFmt w:val="decimal"/>
      <w:lvlText w:val="%1."/>
      <w:lvlJc w:val="left"/>
      <w:pPr>
        <w:ind w:left="720" w:hanging="360"/>
      </w:pPr>
    </w:lvl>
    <w:lvl w:ilvl="1">
      <w:start w:val="105"/>
      <w:numFmt w:val="decimal"/>
      <w:lvlText w:val="%2."/>
      <w:lvlJc w:val="left"/>
      <w:pPr>
        <w:ind w:left="1440" w:hanging="360"/>
      </w:pPr>
    </w:lvl>
    <w:lvl w:ilvl="2">
      <w:start w:val="105"/>
      <w:numFmt w:val="decimal"/>
      <w:lvlText w:val="%3."/>
      <w:lvlJc w:val="left"/>
      <w:pPr>
        <w:ind w:left="2160" w:hanging="360"/>
      </w:pPr>
    </w:lvl>
    <w:lvl w:ilvl="3">
      <w:start w:val="105"/>
      <w:numFmt w:val="decimal"/>
      <w:lvlText w:val="%4."/>
      <w:lvlJc w:val="left"/>
      <w:pPr>
        <w:ind w:left="2880" w:hanging="360"/>
      </w:pPr>
    </w:lvl>
    <w:lvl w:ilvl="4">
      <w:start w:val="105"/>
      <w:numFmt w:val="decimal"/>
      <w:lvlText w:val="%5."/>
      <w:lvlJc w:val="left"/>
      <w:pPr>
        <w:ind w:left="3600" w:hanging="360"/>
      </w:pPr>
    </w:lvl>
    <w:lvl w:ilvl="5">
      <w:start w:val="105"/>
      <w:numFmt w:val="decimal"/>
      <w:lvlText w:val="%6."/>
      <w:lvlJc w:val="left"/>
      <w:pPr>
        <w:ind w:left="4320" w:hanging="360"/>
      </w:pPr>
    </w:lvl>
    <w:lvl w:ilvl="6">
      <w:start w:val="105"/>
      <w:numFmt w:val="decimal"/>
      <w:lvlText w:val="%7."/>
      <w:lvlJc w:val="left"/>
      <w:pPr>
        <w:ind w:left="5040" w:hanging="360"/>
      </w:pPr>
    </w:lvl>
    <w:lvl w:ilvl="7">
      <w:start w:val="105"/>
      <w:numFmt w:val="decimal"/>
      <w:lvlText w:val="%8."/>
      <w:lvlJc w:val="left"/>
      <w:pPr>
        <w:ind w:left="5760" w:hanging="360"/>
      </w:pPr>
    </w:lvl>
    <w:lvl w:ilvl="8">
      <w:start w:val="105"/>
      <w:numFmt w:val="decimal"/>
      <w:lvlText w:val="%9."/>
      <w:lvlJc w:val="left"/>
      <w:pPr>
        <w:ind w:left="6480" w:hanging="360"/>
      </w:pPr>
    </w:lvl>
  </w:abstractNum>
  <w:abstractNum w:abstractNumId="9941106">
    <w:nsid w:val="A9941106"/>
    <w:multiLevelType w:val="multilevel"/>
    <w:lvl w:ilvl="0">
      <w:start w:val="106"/>
      <w:numFmt w:val="decimal"/>
      <w:lvlText w:val="%1."/>
      <w:lvlJc w:val="left"/>
      <w:pPr>
        <w:ind w:left="720" w:hanging="360"/>
      </w:pPr>
    </w:lvl>
    <w:lvl w:ilvl="1">
      <w:start w:val="106"/>
      <w:numFmt w:val="decimal"/>
      <w:lvlText w:val="%2."/>
      <w:lvlJc w:val="left"/>
      <w:pPr>
        <w:ind w:left="1440" w:hanging="360"/>
      </w:pPr>
    </w:lvl>
    <w:lvl w:ilvl="2">
      <w:start w:val="106"/>
      <w:numFmt w:val="decimal"/>
      <w:lvlText w:val="%3."/>
      <w:lvlJc w:val="left"/>
      <w:pPr>
        <w:ind w:left="2160" w:hanging="360"/>
      </w:pPr>
    </w:lvl>
    <w:lvl w:ilvl="3">
      <w:start w:val="106"/>
      <w:numFmt w:val="decimal"/>
      <w:lvlText w:val="%4."/>
      <w:lvlJc w:val="left"/>
      <w:pPr>
        <w:ind w:left="2880" w:hanging="360"/>
      </w:pPr>
    </w:lvl>
    <w:lvl w:ilvl="4">
      <w:start w:val="106"/>
      <w:numFmt w:val="decimal"/>
      <w:lvlText w:val="%5."/>
      <w:lvlJc w:val="left"/>
      <w:pPr>
        <w:ind w:left="3600" w:hanging="360"/>
      </w:pPr>
    </w:lvl>
    <w:lvl w:ilvl="5">
      <w:start w:val="106"/>
      <w:numFmt w:val="decimal"/>
      <w:lvlText w:val="%6."/>
      <w:lvlJc w:val="left"/>
      <w:pPr>
        <w:ind w:left="4320" w:hanging="360"/>
      </w:pPr>
    </w:lvl>
    <w:lvl w:ilvl="6">
      <w:start w:val="106"/>
      <w:numFmt w:val="decimal"/>
      <w:lvlText w:val="%7."/>
      <w:lvlJc w:val="left"/>
      <w:pPr>
        <w:ind w:left="5040" w:hanging="360"/>
      </w:pPr>
    </w:lvl>
    <w:lvl w:ilvl="7">
      <w:start w:val="106"/>
      <w:numFmt w:val="decimal"/>
      <w:lvlText w:val="%8."/>
      <w:lvlJc w:val="left"/>
      <w:pPr>
        <w:ind w:left="5760" w:hanging="360"/>
      </w:pPr>
    </w:lvl>
    <w:lvl w:ilvl="8">
      <w:start w:val="106"/>
      <w:numFmt w:val="decimal"/>
      <w:lvlText w:val="%9."/>
      <w:lvlJc w:val="left"/>
      <w:pPr>
        <w:ind w:left="6480" w:hanging="360"/>
      </w:pPr>
    </w:lvl>
  </w:abstractNum>
  <w:abstractNum w:abstractNumId="9941107">
    <w:nsid w:val="A9941107"/>
    <w:multiLevelType w:val="multilevel"/>
    <w:lvl w:ilvl="0">
      <w:start w:val="107"/>
      <w:numFmt w:val="decimal"/>
      <w:lvlText w:val="%1."/>
      <w:lvlJc w:val="left"/>
      <w:pPr>
        <w:ind w:left="720" w:hanging="360"/>
      </w:pPr>
    </w:lvl>
    <w:lvl w:ilvl="1">
      <w:start w:val="107"/>
      <w:numFmt w:val="decimal"/>
      <w:lvlText w:val="%2."/>
      <w:lvlJc w:val="left"/>
      <w:pPr>
        <w:ind w:left="1440" w:hanging="360"/>
      </w:pPr>
    </w:lvl>
    <w:lvl w:ilvl="2">
      <w:start w:val="107"/>
      <w:numFmt w:val="decimal"/>
      <w:lvlText w:val="%3."/>
      <w:lvlJc w:val="left"/>
      <w:pPr>
        <w:ind w:left="2160" w:hanging="360"/>
      </w:pPr>
    </w:lvl>
    <w:lvl w:ilvl="3">
      <w:start w:val="107"/>
      <w:numFmt w:val="decimal"/>
      <w:lvlText w:val="%4."/>
      <w:lvlJc w:val="left"/>
      <w:pPr>
        <w:ind w:left="2880" w:hanging="360"/>
      </w:pPr>
    </w:lvl>
    <w:lvl w:ilvl="4">
      <w:start w:val="107"/>
      <w:numFmt w:val="decimal"/>
      <w:lvlText w:val="%5."/>
      <w:lvlJc w:val="left"/>
      <w:pPr>
        <w:ind w:left="3600" w:hanging="360"/>
      </w:pPr>
    </w:lvl>
    <w:lvl w:ilvl="5">
      <w:start w:val="107"/>
      <w:numFmt w:val="decimal"/>
      <w:lvlText w:val="%6."/>
      <w:lvlJc w:val="left"/>
      <w:pPr>
        <w:ind w:left="4320" w:hanging="360"/>
      </w:pPr>
    </w:lvl>
    <w:lvl w:ilvl="6">
      <w:start w:val="107"/>
      <w:numFmt w:val="decimal"/>
      <w:lvlText w:val="%7."/>
      <w:lvlJc w:val="left"/>
      <w:pPr>
        <w:ind w:left="5040" w:hanging="360"/>
      </w:pPr>
    </w:lvl>
    <w:lvl w:ilvl="7">
      <w:start w:val="107"/>
      <w:numFmt w:val="decimal"/>
      <w:lvlText w:val="%8."/>
      <w:lvlJc w:val="left"/>
      <w:pPr>
        <w:ind w:left="5760" w:hanging="360"/>
      </w:pPr>
    </w:lvl>
    <w:lvl w:ilvl="8">
      <w:start w:val="107"/>
      <w:numFmt w:val="decimal"/>
      <w:lvlText w:val="%9."/>
      <w:lvlJc w:val="left"/>
      <w:pPr>
        <w:ind w:left="6480" w:hanging="360"/>
      </w:pPr>
    </w:lvl>
  </w:abstractNum>
  <w:abstractNum w:abstractNumId="9941108">
    <w:nsid w:val="A9941108"/>
    <w:multiLevelType w:val="multilevel"/>
    <w:lvl w:ilvl="0">
      <w:start w:val="108"/>
      <w:numFmt w:val="decimal"/>
      <w:lvlText w:val="%1."/>
      <w:lvlJc w:val="left"/>
      <w:pPr>
        <w:ind w:left="720" w:hanging="360"/>
      </w:pPr>
    </w:lvl>
    <w:lvl w:ilvl="1">
      <w:start w:val="108"/>
      <w:numFmt w:val="decimal"/>
      <w:lvlText w:val="%2."/>
      <w:lvlJc w:val="left"/>
      <w:pPr>
        <w:ind w:left="1440" w:hanging="360"/>
      </w:pPr>
    </w:lvl>
    <w:lvl w:ilvl="2">
      <w:start w:val="108"/>
      <w:numFmt w:val="decimal"/>
      <w:lvlText w:val="%3."/>
      <w:lvlJc w:val="left"/>
      <w:pPr>
        <w:ind w:left="2160" w:hanging="360"/>
      </w:pPr>
    </w:lvl>
    <w:lvl w:ilvl="3">
      <w:start w:val="108"/>
      <w:numFmt w:val="decimal"/>
      <w:lvlText w:val="%4."/>
      <w:lvlJc w:val="left"/>
      <w:pPr>
        <w:ind w:left="2880" w:hanging="360"/>
      </w:pPr>
    </w:lvl>
    <w:lvl w:ilvl="4">
      <w:start w:val="108"/>
      <w:numFmt w:val="decimal"/>
      <w:lvlText w:val="%5."/>
      <w:lvlJc w:val="left"/>
      <w:pPr>
        <w:ind w:left="3600" w:hanging="360"/>
      </w:pPr>
    </w:lvl>
    <w:lvl w:ilvl="5">
      <w:start w:val="108"/>
      <w:numFmt w:val="decimal"/>
      <w:lvlText w:val="%6."/>
      <w:lvlJc w:val="left"/>
      <w:pPr>
        <w:ind w:left="4320" w:hanging="360"/>
      </w:pPr>
    </w:lvl>
    <w:lvl w:ilvl="6">
      <w:start w:val="108"/>
      <w:numFmt w:val="decimal"/>
      <w:lvlText w:val="%7."/>
      <w:lvlJc w:val="left"/>
      <w:pPr>
        <w:ind w:left="5040" w:hanging="360"/>
      </w:pPr>
    </w:lvl>
    <w:lvl w:ilvl="7">
      <w:start w:val="108"/>
      <w:numFmt w:val="decimal"/>
      <w:lvlText w:val="%8."/>
      <w:lvlJc w:val="left"/>
      <w:pPr>
        <w:ind w:left="5760" w:hanging="360"/>
      </w:pPr>
    </w:lvl>
    <w:lvl w:ilvl="8">
      <w:start w:val="108"/>
      <w:numFmt w:val="decimal"/>
      <w:lvlText w:val="%9."/>
      <w:lvlJc w:val="left"/>
      <w:pPr>
        <w:ind w:left="6480" w:hanging="360"/>
      </w:pPr>
    </w:lvl>
  </w:abstractNum>
  <w:abstractNum w:abstractNumId="9941109">
    <w:nsid w:val="A9941109"/>
    <w:multiLevelType w:val="multilevel"/>
    <w:lvl w:ilvl="0">
      <w:start w:val="109"/>
      <w:numFmt w:val="decimal"/>
      <w:lvlText w:val="%1."/>
      <w:lvlJc w:val="left"/>
      <w:pPr>
        <w:ind w:left="720" w:hanging="360"/>
      </w:pPr>
    </w:lvl>
    <w:lvl w:ilvl="1">
      <w:start w:val="109"/>
      <w:numFmt w:val="decimal"/>
      <w:lvlText w:val="%2."/>
      <w:lvlJc w:val="left"/>
      <w:pPr>
        <w:ind w:left="1440" w:hanging="360"/>
      </w:pPr>
    </w:lvl>
    <w:lvl w:ilvl="2">
      <w:start w:val="109"/>
      <w:numFmt w:val="decimal"/>
      <w:lvlText w:val="%3."/>
      <w:lvlJc w:val="left"/>
      <w:pPr>
        <w:ind w:left="2160" w:hanging="360"/>
      </w:pPr>
    </w:lvl>
    <w:lvl w:ilvl="3">
      <w:start w:val="109"/>
      <w:numFmt w:val="decimal"/>
      <w:lvlText w:val="%4."/>
      <w:lvlJc w:val="left"/>
      <w:pPr>
        <w:ind w:left="2880" w:hanging="360"/>
      </w:pPr>
    </w:lvl>
    <w:lvl w:ilvl="4">
      <w:start w:val="109"/>
      <w:numFmt w:val="decimal"/>
      <w:lvlText w:val="%5."/>
      <w:lvlJc w:val="left"/>
      <w:pPr>
        <w:ind w:left="3600" w:hanging="360"/>
      </w:pPr>
    </w:lvl>
    <w:lvl w:ilvl="5">
      <w:start w:val="109"/>
      <w:numFmt w:val="decimal"/>
      <w:lvlText w:val="%6."/>
      <w:lvlJc w:val="left"/>
      <w:pPr>
        <w:ind w:left="4320" w:hanging="360"/>
      </w:pPr>
    </w:lvl>
    <w:lvl w:ilvl="6">
      <w:start w:val="109"/>
      <w:numFmt w:val="decimal"/>
      <w:lvlText w:val="%7."/>
      <w:lvlJc w:val="left"/>
      <w:pPr>
        <w:ind w:left="5040" w:hanging="360"/>
      </w:pPr>
    </w:lvl>
    <w:lvl w:ilvl="7">
      <w:start w:val="109"/>
      <w:numFmt w:val="decimal"/>
      <w:lvlText w:val="%8."/>
      <w:lvlJc w:val="left"/>
      <w:pPr>
        <w:ind w:left="5760" w:hanging="360"/>
      </w:pPr>
    </w:lvl>
    <w:lvl w:ilvl="8">
      <w:start w:val="109"/>
      <w:numFmt w:val="decimal"/>
      <w:lvlText w:val="%9."/>
      <w:lvlJc w:val="left"/>
      <w:pPr>
        <w:ind w:left="6480" w:hanging="360"/>
      </w:pPr>
    </w:lvl>
  </w:abstractNum>
  <w:abstractNum w:abstractNumId="9941110">
    <w:nsid w:val="A9941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1111">
    <w:nsid w:val="A9941111"/>
    <w:multiLevelType w:val="multilevel"/>
    <w:lvl w:ilvl="0">
      <w:start w:val="111"/>
      <w:numFmt w:val="decimal"/>
      <w:lvlText w:val="%1."/>
      <w:lvlJc w:val="left"/>
      <w:pPr>
        <w:ind w:left="720" w:hanging="360"/>
      </w:pPr>
    </w:lvl>
    <w:lvl w:ilvl="1">
      <w:start w:val="111"/>
      <w:numFmt w:val="decimal"/>
      <w:lvlText w:val="%2."/>
      <w:lvlJc w:val="left"/>
      <w:pPr>
        <w:ind w:left="1440" w:hanging="360"/>
      </w:pPr>
    </w:lvl>
    <w:lvl w:ilvl="2">
      <w:start w:val="111"/>
      <w:numFmt w:val="decimal"/>
      <w:lvlText w:val="%3."/>
      <w:lvlJc w:val="left"/>
      <w:pPr>
        <w:ind w:left="2160" w:hanging="360"/>
      </w:pPr>
    </w:lvl>
    <w:lvl w:ilvl="3">
      <w:start w:val="111"/>
      <w:numFmt w:val="decimal"/>
      <w:lvlText w:val="%4."/>
      <w:lvlJc w:val="left"/>
      <w:pPr>
        <w:ind w:left="2880" w:hanging="360"/>
      </w:pPr>
    </w:lvl>
    <w:lvl w:ilvl="4">
      <w:start w:val="111"/>
      <w:numFmt w:val="decimal"/>
      <w:lvlText w:val="%5."/>
      <w:lvlJc w:val="left"/>
      <w:pPr>
        <w:ind w:left="3600" w:hanging="360"/>
      </w:pPr>
    </w:lvl>
    <w:lvl w:ilvl="5">
      <w:start w:val="111"/>
      <w:numFmt w:val="decimal"/>
      <w:lvlText w:val="%6."/>
      <w:lvlJc w:val="left"/>
      <w:pPr>
        <w:ind w:left="4320" w:hanging="360"/>
      </w:pPr>
    </w:lvl>
    <w:lvl w:ilvl="6">
      <w:start w:val="111"/>
      <w:numFmt w:val="decimal"/>
      <w:lvlText w:val="%7."/>
      <w:lvlJc w:val="left"/>
      <w:pPr>
        <w:ind w:left="5040" w:hanging="360"/>
      </w:pPr>
    </w:lvl>
    <w:lvl w:ilvl="7">
      <w:start w:val="111"/>
      <w:numFmt w:val="decimal"/>
      <w:lvlText w:val="%8."/>
      <w:lvlJc w:val="left"/>
      <w:pPr>
        <w:ind w:left="5760" w:hanging="360"/>
      </w:pPr>
    </w:lvl>
    <w:lvl w:ilvl="8">
      <w:start w:val="111"/>
      <w:numFmt w:val="decimal"/>
      <w:lvlText w:val="%9."/>
      <w:lvlJc w:val="left"/>
      <w:pPr>
        <w:ind w:left="6480" w:hanging="360"/>
      </w:pPr>
    </w:lvl>
  </w:abstractNum>
  <w:abstractNum w:abstractNumId="9941112">
    <w:nsid w:val="A9941112"/>
    <w:multiLevelType w:val="multilevel"/>
    <w:lvl w:ilvl="0">
      <w:start w:val="112"/>
      <w:numFmt w:val="decimal"/>
      <w:lvlText w:val="%1."/>
      <w:lvlJc w:val="left"/>
      <w:pPr>
        <w:ind w:left="720" w:hanging="360"/>
      </w:pPr>
    </w:lvl>
    <w:lvl w:ilvl="1">
      <w:start w:val="112"/>
      <w:numFmt w:val="decimal"/>
      <w:lvlText w:val="%2."/>
      <w:lvlJc w:val="left"/>
      <w:pPr>
        <w:ind w:left="1440" w:hanging="360"/>
      </w:pPr>
    </w:lvl>
    <w:lvl w:ilvl="2">
      <w:start w:val="112"/>
      <w:numFmt w:val="decimal"/>
      <w:lvlText w:val="%3."/>
      <w:lvlJc w:val="left"/>
      <w:pPr>
        <w:ind w:left="2160" w:hanging="360"/>
      </w:pPr>
    </w:lvl>
    <w:lvl w:ilvl="3">
      <w:start w:val="112"/>
      <w:numFmt w:val="decimal"/>
      <w:lvlText w:val="%4."/>
      <w:lvlJc w:val="left"/>
      <w:pPr>
        <w:ind w:left="2880" w:hanging="360"/>
      </w:pPr>
    </w:lvl>
    <w:lvl w:ilvl="4">
      <w:start w:val="112"/>
      <w:numFmt w:val="decimal"/>
      <w:lvlText w:val="%5."/>
      <w:lvlJc w:val="left"/>
      <w:pPr>
        <w:ind w:left="3600" w:hanging="360"/>
      </w:pPr>
    </w:lvl>
    <w:lvl w:ilvl="5">
      <w:start w:val="112"/>
      <w:numFmt w:val="decimal"/>
      <w:lvlText w:val="%6."/>
      <w:lvlJc w:val="left"/>
      <w:pPr>
        <w:ind w:left="4320" w:hanging="360"/>
      </w:pPr>
    </w:lvl>
    <w:lvl w:ilvl="6">
      <w:start w:val="112"/>
      <w:numFmt w:val="decimal"/>
      <w:lvlText w:val="%7."/>
      <w:lvlJc w:val="left"/>
      <w:pPr>
        <w:ind w:left="5040" w:hanging="360"/>
      </w:pPr>
    </w:lvl>
    <w:lvl w:ilvl="7">
      <w:start w:val="112"/>
      <w:numFmt w:val="decimal"/>
      <w:lvlText w:val="%8."/>
      <w:lvlJc w:val="left"/>
      <w:pPr>
        <w:ind w:left="5760" w:hanging="360"/>
      </w:pPr>
    </w:lvl>
    <w:lvl w:ilvl="8">
      <w:start w:val="112"/>
      <w:numFmt w:val="decimal"/>
      <w:lvlText w:val="%9."/>
      <w:lvlJc w:val="left"/>
      <w:pPr>
        <w:ind w:left="6480" w:hanging="360"/>
      </w:pPr>
    </w:lvl>
  </w:abstractNum>
  <w:abstractNum w:abstractNumId="9941113">
    <w:nsid w:val="A9941113"/>
    <w:multiLevelType w:val="multilevel"/>
    <w:lvl w:ilvl="0">
      <w:start w:val="113"/>
      <w:numFmt w:val="decimal"/>
      <w:lvlText w:val="%1."/>
      <w:lvlJc w:val="left"/>
      <w:pPr>
        <w:ind w:left="720" w:hanging="360"/>
      </w:pPr>
    </w:lvl>
    <w:lvl w:ilvl="1">
      <w:start w:val="113"/>
      <w:numFmt w:val="decimal"/>
      <w:lvlText w:val="%2."/>
      <w:lvlJc w:val="left"/>
      <w:pPr>
        <w:ind w:left="1440" w:hanging="360"/>
      </w:pPr>
    </w:lvl>
    <w:lvl w:ilvl="2">
      <w:start w:val="113"/>
      <w:numFmt w:val="decimal"/>
      <w:lvlText w:val="%3."/>
      <w:lvlJc w:val="left"/>
      <w:pPr>
        <w:ind w:left="2160" w:hanging="360"/>
      </w:pPr>
    </w:lvl>
    <w:lvl w:ilvl="3">
      <w:start w:val="113"/>
      <w:numFmt w:val="decimal"/>
      <w:lvlText w:val="%4."/>
      <w:lvlJc w:val="left"/>
      <w:pPr>
        <w:ind w:left="2880" w:hanging="360"/>
      </w:pPr>
    </w:lvl>
    <w:lvl w:ilvl="4">
      <w:start w:val="113"/>
      <w:numFmt w:val="decimal"/>
      <w:lvlText w:val="%5."/>
      <w:lvlJc w:val="left"/>
      <w:pPr>
        <w:ind w:left="3600" w:hanging="360"/>
      </w:pPr>
    </w:lvl>
    <w:lvl w:ilvl="5">
      <w:start w:val="113"/>
      <w:numFmt w:val="decimal"/>
      <w:lvlText w:val="%6."/>
      <w:lvlJc w:val="left"/>
      <w:pPr>
        <w:ind w:left="4320" w:hanging="360"/>
      </w:pPr>
    </w:lvl>
    <w:lvl w:ilvl="6">
      <w:start w:val="113"/>
      <w:numFmt w:val="decimal"/>
      <w:lvlText w:val="%7."/>
      <w:lvlJc w:val="left"/>
      <w:pPr>
        <w:ind w:left="5040" w:hanging="360"/>
      </w:pPr>
    </w:lvl>
    <w:lvl w:ilvl="7">
      <w:start w:val="113"/>
      <w:numFmt w:val="decimal"/>
      <w:lvlText w:val="%8."/>
      <w:lvlJc w:val="left"/>
      <w:pPr>
        <w:ind w:left="5760" w:hanging="360"/>
      </w:pPr>
    </w:lvl>
    <w:lvl w:ilvl="8">
      <w:start w:val="113"/>
      <w:numFmt w:val="decimal"/>
      <w:lvlText w:val="%9."/>
      <w:lvlJc w:val="left"/>
      <w:pPr>
        <w:ind w:left="6480" w:hanging="360"/>
      </w:pPr>
    </w:lvl>
  </w:abstractNum>
  <w:abstractNum w:abstractNumId="9941114">
    <w:nsid w:val="A9941114"/>
    <w:multiLevelType w:val="multilevel"/>
    <w:lvl w:ilvl="0">
      <w:start w:val="114"/>
      <w:numFmt w:val="decimal"/>
      <w:lvlText w:val="%1."/>
      <w:lvlJc w:val="left"/>
      <w:pPr>
        <w:ind w:left="720" w:hanging="360"/>
      </w:pPr>
    </w:lvl>
    <w:lvl w:ilvl="1">
      <w:start w:val="114"/>
      <w:numFmt w:val="decimal"/>
      <w:lvlText w:val="%2."/>
      <w:lvlJc w:val="left"/>
      <w:pPr>
        <w:ind w:left="1440" w:hanging="360"/>
      </w:pPr>
    </w:lvl>
    <w:lvl w:ilvl="2">
      <w:start w:val="114"/>
      <w:numFmt w:val="decimal"/>
      <w:lvlText w:val="%3."/>
      <w:lvlJc w:val="left"/>
      <w:pPr>
        <w:ind w:left="2160" w:hanging="360"/>
      </w:pPr>
    </w:lvl>
    <w:lvl w:ilvl="3">
      <w:start w:val="114"/>
      <w:numFmt w:val="decimal"/>
      <w:lvlText w:val="%4."/>
      <w:lvlJc w:val="left"/>
      <w:pPr>
        <w:ind w:left="2880" w:hanging="360"/>
      </w:pPr>
    </w:lvl>
    <w:lvl w:ilvl="4">
      <w:start w:val="114"/>
      <w:numFmt w:val="decimal"/>
      <w:lvlText w:val="%5."/>
      <w:lvlJc w:val="left"/>
      <w:pPr>
        <w:ind w:left="3600" w:hanging="360"/>
      </w:pPr>
    </w:lvl>
    <w:lvl w:ilvl="5">
      <w:start w:val="114"/>
      <w:numFmt w:val="decimal"/>
      <w:lvlText w:val="%6."/>
      <w:lvlJc w:val="left"/>
      <w:pPr>
        <w:ind w:left="4320" w:hanging="360"/>
      </w:pPr>
    </w:lvl>
    <w:lvl w:ilvl="6">
      <w:start w:val="114"/>
      <w:numFmt w:val="decimal"/>
      <w:lvlText w:val="%7."/>
      <w:lvlJc w:val="left"/>
      <w:pPr>
        <w:ind w:left="5040" w:hanging="360"/>
      </w:pPr>
    </w:lvl>
    <w:lvl w:ilvl="7">
      <w:start w:val="114"/>
      <w:numFmt w:val="decimal"/>
      <w:lvlText w:val="%8."/>
      <w:lvlJc w:val="left"/>
      <w:pPr>
        <w:ind w:left="5760" w:hanging="360"/>
      </w:pPr>
    </w:lvl>
    <w:lvl w:ilvl="8">
      <w:start w:val="114"/>
      <w:numFmt w:val="decimal"/>
      <w:lvlText w:val="%9."/>
      <w:lvlJc w:val="left"/>
      <w:pPr>
        <w:ind w:left="6480" w:hanging="360"/>
      </w:pPr>
    </w:lvl>
  </w:abstractNum>
  <w:abstractNum w:abstractNumId="9941115">
    <w:nsid w:val="A9941115"/>
    <w:multiLevelType w:val="multilevel"/>
    <w:lvl w:ilvl="0">
      <w:start w:val="115"/>
      <w:numFmt w:val="decimal"/>
      <w:lvlText w:val="%1."/>
      <w:lvlJc w:val="left"/>
      <w:pPr>
        <w:ind w:left="720" w:hanging="360"/>
      </w:pPr>
    </w:lvl>
    <w:lvl w:ilvl="1">
      <w:start w:val="115"/>
      <w:numFmt w:val="decimal"/>
      <w:lvlText w:val="%2."/>
      <w:lvlJc w:val="left"/>
      <w:pPr>
        <w:ind w:left="1440" w:hanging="360"/>
      </w:pPr>
    </w:lvl>
    <w:lvl w:ilvl="2">
      <w:start w:val="115"/>
      <w:numFmt w:val="decimal"/>
      <w:lvlText w:val="%3."/>
      <w:lvlJc w:val="left"/>
      <w:pPr>
        <w:ind w:left="2160" w:hanging="360"/>
      </w:pPr>
    </w:lvl>
    <w:lvl w:ilvl="3">
      <w:start w:val="115"/>
      <w:numFmt w:val="decimal"/>
      <w:lvlText w:val="%4."/>
      <w:lvlJc w:val="left"/>
      <w:pPr>
        <w:ind w:left="2880" w:hanging="360"/>
      </w:pPr>
    </w:lvl>
    <w:lvl w:ilvl="4">
      <w:start w:val="115"/>
      <w:numFmt w:val="decimal"/>
      <w:lvlText w:val="%5."/>
      <w:lvlJc w:val="left"/>
      <w:pPr>
        <w:ind w:left="3600" w:hanging="360"/>
      </w:pPr>
    </w:lvl>
    <w:lvl w:ilvl="5">
      <w:start w:val="115"/>
      <w:numFmt w:val="decimal"/>
      <w:lvlText w:val="%6."/>
      <w:lvlJc w:val="left"/>
      <w:pPr>
        <w:ind w:left="4320" w:hanging="360"/>
      </w:pPr>
    </w:lvl>
    <w:lvl w:ilvl="6">
      <w:start w:val="115"/>
      <w:numFmt w:val="decimal"/>
      <w:lvlText w:val="%7."/>
      <w:lvlJc w:val="left"/>
      <w:pPr>
        <w:ind w:left="5040" w:hanging="360"/>
      </w:pPr>
    </w:lvl>
    <w:lvl w:ilvl="7">
      <w:start w:val="115"/>
      <w:numFmt w:val="decimal"/>
      <w:lvlText w:val="%8."/>
      <w:lvlJc w:val="left"/>
      <w:pPr>
        <w:ind w:left="5760" w:hanging="360"/>
      </w:pPr>
    </w:lvl>
    <w:lvl w:ilvl="8">
      <w:start w:val="115"/>
      <w:numFmt w:val="decimal"/>
      <w:lvlText w:val="%9."/>
      <w:lvlJc w:val="left"/>
      <w:pPr>
        <w:ind w:left="6480" w:hanging="360"/>
      </w:pPr>
    </w:lvl>
  </w:abstractNum>
  <w:abstractNum w:abstractNumId="9941116">
    <w:nsid w:val="A9941116"/>
    <w:multiLevelType w:val="multilevel"/>
    <w:lvl w:ilvl="0">
      <w:start w:val="116"/>
      <w:numFmt w:val="decimal"/>
      <w:lvlText w:val="%1."/>
      <w:lvlJc w:val="left"/>
      <w:pPr>
        <w:ind w:left="720" w:hanging="360"/>
      </w:pPr>
    </w:lvl>
    <w:lvl w:ilvl="1">
      <w:start w:val="116"/>
      <w:numFmt w:val="decimal"/>
      <w:lvlText w:val="%2."/>
      <w:lvlJc w:val="left"/>
      <w:pPr>
        <w:ind w:left="1440" w:hanging="360"/>
      </w:pPr>
    </w:lvl>
    <w:lvl w:ilvl="2">
      <w:start w:val="116"/>
      <w:numFmt w:val="decimal"/>
      <w:lvlText w:val="%3."/>
      <w:lvlJc w:val="left"/>
      <w:pPr>
        <w:ind w:left="2160" w:hanging="360"/>
      </w:pPr>
    </w:lvl>
    <w:lvl w:ilvl="3">
      <w:start w:val="116"/>
      <w:numFmt w:val="decimal"/>
      <w:lvlText w:val="%4."/>
      <w:lvlJc w:val="left"/>
      <w:pPr>
        <w:ind w:left="2880" w:hanging="360"/>
      </w:pPr>
    </w:lvl>
    <w:lvl w:ilvl="4">
      <w:start w:val="116"/>
      <w:numFmt w:val="decimal"/>
      <w:lvlText w:val="%5."/>
      <w:lvlJc w:val="left"/>
      <w:pPr>
        <w:ind w:left="3600" w:hanging="360"/>
      </w:pPr>
    </w:lvl>
    <w:lvl w:ilvl="5">
      <w:start w:val="116"/>
      <w:numFmt w:val="decimal"/>
      <w:lvlText w:val="%6."/>
      <w:lvlJc w:val="left"/>
      <w:pPr>
        <w:ind w:left="4320" w:hanging="360"/>
      </w:pPr>
    </w:lvl>
    <w:lvl w:ilvl="6">
      <w:start w:val="116"/>
      <w:numFmt w:val="decimal"/>
      <w:lvlText w:val="%7."/>
      <w:lvlJc w:val="left"/>
      <w:pPr>
        <w:ind w:left="5040" w:hanging="360"/>
      </w:pPr>
    </w:lvl>
    <w:lvl w:ilvl="7">
      <w:start w:val="116"/>
      <w:numFmt w:val="decimal"/>
      <w:lvlText w:val="%8."/>
      <w:lvlJc w:val="left"/>
      <w:pPr>
        <w:ind w:left="5760" w:hanging="360"/>
      </w:pPr>
    </w:lvl>
    <w:lvl w:ilvl="8">
      <w:start w:val="116"/>
      <w:numFmt w:val="decimal"/>
      <w:lvlText w:val="%9."/>
      <w:lvlJc w:val="left"/>
      <w:pPr>
        <w:ind w:left="6480" w:hanging="360"/>
      </w:pPr>
    </w:lvl>
  </w:abstractNum>
  <w:abstractNum w:abstractNumId="9941117">
    <w:nsid w:val="A9941117"/>
    <w:multiLevelType w:val="multilevel"/>
    <w:lvl w:ilvl="0">
      <w:start w:val="117"/>
      <w:numFmt w:val="decimal"/>
      <w:lvlText w:val="%1."/>
      <w:lvlJc w:val="left"/>
      <w:pPr>
        <w:ind w:left="720" w:hanging="360"/>
      </w:pPr>
    </w:lvl>
    <w:lvl w:ilvl="1">
      <w:start w:val="117"/>
      <w:numFmt w:val="decimal"/>
      <w:lvlText w:val="%2."/>
      <w:lvlJc w:val="left"/>
      <w:pPr>
        <w:ind w:left="1440" w:hanging="360"/>
      </w:pPr>
    </w:lvl>
    <w:lvl w:ilvl="2">
      <w:start w:val="117"/>
      <w:numFmt w:val="decimal"/>
      <w:lvlText w:val="%3."/>
      <w:lvlJc w:val="left"/>
      <w:pPr>
        <w:ind w:left="2160" w:hanging="360"/>
      </w:pPr>
    </w:lvl>
    <w:lvl w:ilvl="3">
      <w:start w:val="117"/>
      <w:numFmt w:val="decimal"/>
      <w:lvlText w:val="%4."/>
      <w:lvlJc w:val="left"/>
      <w:pPr>
        <w:ind w:left="2880" w:hanging="360"/>
      </w:pPr>
    </w:lvl>
    <w:lvl w:ilvl="4">
      <w:start w:val="117"/>
      <w:numFmt w:val="decimal"/>
      <w:lvlText w:val="%5."/>
      <w:lvlJc w:val="left"/>
      <w:pPr>
        <w:ind w:left="3600" w:hanging="360"/>
      </w:pPr>
    </w:lvl>
    <w:lvl w:ilvl="5">
      <w:start w:val="117"/>
      <w:numFmt w:val="decimal"/>
      <w:lvlText w:val="%6."/>
      <w:lvlJc w:val="left"/>
      <w:pPr>
        <w:ind w:left="4320" w:hanging="360"/>
      </w:pPr>
    </w:lvl>
    <w:lvl w:ilvl="6">
      <w:start w:val="117"/>
      <w:numFmt w:val="decimal"/>
      <w:lvlText w:val="%7."/>
      <w:lvlJc w:val="left"/>
      <w:pPr>
        <w:ind w:left="5040" w:hanging="360"/>
      </w:pPr>
    </w:lvl>
    <w:lvl w:ilvl="7">
      <w:start w:val="117"/>
      <w:numFmt w:val="decimal"/>
      <w:lvlText w:val="%8."/>
      <w:lvlJc w:val="left"/>
      <w:pPr>
        <w:ind w:left="5760" w:hanging="360"/>
      </w:pPr>
    </w:lvl>
    <w:lvl w:ilvl="8">
      <w:start w:val="117"/>
      <w:numFmt w:val="decimal"/>
      <w:lvlText w:val="%9."/>
      <w:lvlJc w:val="left"/>
      <w:pPr>
        <w:ind w:left="6480" w:hanging="360"/>
      </w:pPr>
    </w:lvl>
  </w:abstractNum>
  <w:abstractNum w:abstractNumId="9941118">
    <w:nsid w:val="A9941118"/>
    <w:multiLevelType w:val="multilevel"/>
    <w:lvl w:ilvl="0">
      <w:start w:val="118"/>
      <w:numFmt w:val="decimal"/>
      <w:lvlText w:val="%1."/>
      <w:lvlJc w:val="left"/>
      <w:pPr>
        <w:ind w:left="720" w:hanging="360"/>
      </w:pPr>
    </w:lvl>
    <w:lvl w:ilvl="1">
      <w:start w:val="118"/>
      <w:numFmt w:val="decimal"/>
      <w:lvlText w:val="%2."/>
      <w:lvlJc w:val="left"/>
      <w:pPr>
        <w:ind w:left="1440" w:hanging="360"/>
      </w:pPr>
    </w:lvl>
    <w:lvl w:ilvl="2">
      <w:start w:val="118"/>
      <w:numFmt w:val="decimal"/>
      <w:lvlText w:val="%3."/>
      <w:lvlJc w:val="left"/>
      <w:pPr>
        <w:ind w:left="2160" w:hanging="360"/>
      </w:pPr>
    </w:lvl>
    <w:lvl w:ilvl="3">
      <w:start w:val="118"/>
      <w:numFmt w:val="decimal"/>
      <w:lvlText w:val="%4."/>
      <w:lvlJc w:val="left"/>
      <w:pPr>
        <w:ind w:left="2880" w:hanging="360"/>
      </w:pPr>
    </w:lvl>
    <w:lvl w:ilvl="4">
      <w:start w:val="118"/>
      <w:numFmt w:val="decimal"/>
      <w:lvlText w:val="%5."/>
      <w:lvlJc w:val="left"/>
      <w:pPr>
        <w:ind w:left="3600" w:hanging="360"/>
      </w:pPr>
    </w:lvl>
    <w:lvl w:ilvl="5">
      <w:start w:val="118"/>
      <w:numFmt w:val="decimal"/>
      <w:lvlText w:val="%6."/>
      <w:lvlJc w:val="left"/>
      <w:pPr>
        <w:ind w:left="4320" w:hanging="360"/>
      </w:pPr>
    </w:lvl>
    <w:lvl w:ilvl="6">
      <w:start w:val="118"/>
      <w:numFmt w:val="decimal"/>
      <w:lvlText w:val="%7."/>
      <w:lvlJc w:val="left"/>
      <w:pPr>
        <w:ind w:left="5040" w:hanging="360"/>
      </w:pPr>
    </w:lvl>
    <w:lvl w:ilvl="7">
      <w:start w:val="118"/>
      <w:numFmt w:val="decimal"/>
      <w:lvlText w:val="%8."/>
      <w:lvlJc w:val="left"/>
      <w:pPr>
        <w:ind w:left="5760" w:hanging="360"/>
      </w:pPr>
    </w:lvl>
    <w:lvl w:ilvl="8">
      <w:start w:val="118"/>
      <w:numFmt w:val="decimal"/>
      <w:lvlText w:val="%9."/>
      <w:lvlJc w:val="left"/>
      <w:pPr>
        <w:ind w:left="6480" w:hanging="360"/>
      </w:pPr>
    </w:lvl>
  </w:abstractNum>
  <w:abstractNum w:abstractNumId="9941119">
    <w:nsid w:val="A9941119"/>
    <w:multiLevelType w:val="multilevel"/>
    <w:lvl w:ilvl="0">
      <w:start w:val="119"/>
      <w:numFmt w:val="decimal"/>
      <w:lvlText w:val="%1."/>
      <w:lvlJc w:val="left"/>
      <w:pPr>
        <w:ind w:left="720" w:hanging="360"/>
      </w:pPr>
    </w:lvl>
    <w:lvl w:ilvl="1">
      <w:start w:val="119"/>
      <w:numFmt w:val="decimal"/>
      <w:lvlText w:val="%2."/>
      <w:lvlJc w:val="left"/>
      <w:pPr>
        <w:ind w:left="1440" w:hanging="360"/>
      </w:pPr>
    </w:lvl>
    <w:lvl w:ilvl="2">
      <w:start w:val="119"/>
      <w:numFmt w:val="decimal"/>
      <w:lvlText w:val="%3."/>
      <w:lvlJc w:val="left"/>
      <w:pPr>
        <w:ind w:left="2160" w:hanging="360"/>
      </w:pPr>
    </w:lvl>
    <w:lvl w:ilvl="3">
      <w:start w:val="119"/>
      <w:numFmt w:val="decimal"/>
      <w:lvlText w:val="%4."/>
      <w:lvlJc w:val="left"/>
      <w:pPr>
        <w:ind w:left="2880" w:hanging="360"/>
      </w:pPr>
    </w:lvl>
    <w:lvl w:ilvl="4">
      <w:start w:val="119"/>
      <w:numFmt w:val="decimal"/>
      <w:lvlText w:val="%5."/>
      <w:lvlJc w:val="left"/>
      <w:pPr>
        <w:ind w:left="3600" w:hanging="360"/>
      </w:pPr>
    </w:lvl>
    <w:lvl w:ilvl="5">
      <w:start w:val="119"/>
      <w:numFmt w:val="decimal"/>
      <w:lvlText w:val="%6."/>
      <w:lvlJc w:val="left"/>
      <w:pPr>
        <w:ind w:left="4320" w:hanging="360"/>
      </w:pPr>
    </w:lvl>
    <w:lvl w:ilvl="6">
      <w:start w:val="119"/>
      <w:numFmt w:val="decimal"/>
      <w:lvlText w:val="%7."/>
      <w:lvlJc w:val="left"/>
      <w:pPr>
        <w:ind w:left="5040" w:hanging="360"/>
      </w:pPr>
    </w:lvl>
    <w:lvl w:ilvl="7">
      <w:start w:val="119"/>
      <w:numFmt w:val="decimal"/>
      <w:lvlText w:val="%8."/>
      <w:lvlJc w:val="left"/>
      <w:pPr>
        <w:ind w:left="5760" w:hanging="360"/>
      </w:pPr>
    </w:lvl>
    <w:lvl w:ilvl="8">
      <w:start w:val="119"/>
      <w:numFmt w:val="decimal"/>
      <w:lvlText w:val="%9."/>
      <w:lvlJc w:val="left"/>
      <w:pPr>
        <w:ind w:left="6480" w:hanging="360"/>
      </w:pPr>
    </w:lvl>
  </w:abstractNum>
  <w:abstractNum w:abstractNumId="9941120">
    <w:nsid w:val="A9941120"/>
    <w:multiLevelType w:val="multilevel"/>
    <w:lvl w:ilvl="0">
      <w:start w:val="120"/>
      <w:numFmt w:val="decimal"/>
      <w:lvlText w:val="%1."/>
      <w:lvlJc w:val="left"/>
      <w:pPr>
        <w:ind w:left="720" w:hanging="360"/>
      </w:pPr>
    </w:lvl>
    <w:lvl w:ilvl="1">
      <w:start w:val="120"/>
      <w:numFmt w:val="decimal"/>
      <w:lvlText w:val="%2."/>
      <w:lvlJc w:val="left"/>
      <w:pPr>
        <w:ind w:left="1440" w:hanging="360"/>
      </w:pPr>
    </w:lvl>
    <w:lvl w:ilvl="2">
      <w:start w:val="120"/>
      <w:numFmt w:val="decimal"/>
      <w:lvlText w:val="%3."/>
      <w:lvlJc w:val="left"/>
      <w:pPr>
        <w:ind w:left="2160" w:hanging="360"/>
      </w:pPr>
    </w:lvl>
    <w:lvl w:ilvl="3">
      <w:start w:val="120"/>
      <w:numFmt w:val="decimal"/>
      <w:lvlText w:val="%4."/>
      <w:lvlJc w:val="left"/>
      <w:pPr>
        <w:ind w:left="2880" w:hanging="360"/>
      </w:pPr>
    </w:lvl>
    <w:lvl w:ilvl="4">
      <w:start w:val="120"/>
      <w:numFmt w:val="decimal"/>
      <w:lvlText w:val="%5."/>
      <w:lvlJc w:val="left"/>
      <w:pPr>
        <w:ind w:left="3600" w:hanging="360"/>
      </w:pPr>
    </w:lvl>
    <w:lvl w:ilvl="5">
      <w:start w:val="120"/>
      <w:numFmt w:val="decimal"/>
      <w:lvlText w:val="%6."/>
      <w:lvlJc w:val="left"/>
      <w:pPr>
        <w:ind w:left="4320" w:hanging="360"/>
      </w:pPr>
    </w:lvl>
    <w:lvl w:ilvl="6">
      <w:start w:val="120"/>
      <w:numFmt w:val="decimal"/>
      <w:lvlText w:val="%7."/>
      <w:lvlJc w:val="left"/>
      <w:pPr>
        <w:ind w:left="5040" w:hanging="360"/>
      </w:pPr>
    </w:lvl>
    <w:lvl w:ilvl="7">
      <w:start w:val="120"/>
      <w:numFmt w:val="decimal"/>
      <w:lvlText w:val="%8."/>
      <w:lvlJc w:val="left"/>
      <w:pPr>
        <w:ind w:left="5760" w:hanging="360"/>
      </w:pPr>
    </w:lvl>
    <w:lvl w:ilvl="8">
      <w:start w:val="120"/>
      <w:numFmt w:val="decimal"/>
      <w:lvlText w:val="%9."/>
      <w:lvlJc w:val="left"/>
      <w:pPr>
        <w:ind w:left="6480" w:hanging="360"/>
      </w:pPr>
    </w:lvl>
  </w:abstractNum>
  <w:abstractNum w:abstractNumId="9941121">
    <w:nsid w:val="A9941121"/>
    <w:multiLevelType w:val="multilevel"/>
    <w:lvl w:ilvl="0">
      <w:start w:val="121"/>
      <w:numFmt w:val="decimal"/>
      <w:lvlText w:val="%1."/>
      <w:lvlJc w:val="left"/>
      <w:pPr>
        <w:ind w:left="720" w:hanging="360"/>
      </w:pPr>
    </w:lvl>
    <w:lvl w:ilvl="1">
      <w:start w:val="121"/>
      <w:numFmt w:val="decimal"/>
      <w:lvlText w:val="%2."/>
      <w:lvlJc w:val="left"/>
      <w:pPr>
        <w:ind w:left="1440" w:hanging="360"/>
      </w:pPr>
    </w:lvl>
    <w:lvl w:ilvl="2">
      <w:start w:val="121"/>
      <w:numFmt w:val="decimal"/>
      <w:lvlText w:val="%3."/>
      <w:lvlJc w:val="left"/>
      <w:pPr>
        <w:ind w:left="2160" w:hanging="360"/>
      </w:pPr>
    </w:lvl>
    <w:lvl w:ilvl="3">
      <w:start w:val="121"/>
      <w:numFmt w:val="decimal"/>
      <w:lvlText w:val="%4."/>
      <w:lvlJc w:val="left"/>
      <w:pPr>
        <w:ind w:left="2880" w:hanging="360"/>
      </w:pPr>
    </w:lvl>
    <w:lvl w:ilvl="4">
      <w:start w:val="121"/>
      <w:numFmt w:val="decimal"/>
      <w:lvlText w:val="%5."/>
      <w:lvlJc w:val="left"/>
      <w:pPr>
        <w:ind w:left="3600" w:hanging="360"/>
      </w:pPr>
    </w:lvl>
    <w:lvl w:ilvl="5">
      <w:start w:val="121"/>
      <w:numFmt w:val="decimal"/>
      <w:lvlText w:val="%6."/>
      <w:lvlJc w:val="left"/>
      <w:pPr>
        <w:ind w:left="4320" w:hanging="360"/>
      </w:pPr>
    </w:lvl>
    <w:lvl w:ilvl="6">
      <w:start w:val="121"/>
      <w:numFmt w:val="decimal"/>
      <w:lvlText w:val="%7."/>
      <w:lvlJc w:val="left"/>
      <w:pPr>
        <w:ind w:left="5040" w:hanging="360"/>
      </w:pPr>
    </w:lvl>
    <w:lvl w:ilvl="7">
      <w:start w:val="121"/>
      <w:numFmt w:val="decimal"/>
      <w:lvlText w:val="%8."/>
      <w:lvlJc w:val="left"/>
      <w:pPr>
        <w:ind w:left="5760" w:hanging="360"/>
      </w:pPr>
    </w:lvl>
    <w:lvl w:ilvl="8">
      <w:start w:val="121"/>
      <w:numFmt w:val="decimal"/>
      <w:lvlText w:val="%9."/>
      <w:lvlJc w:val="left"/>
      <w:pPr>
        <w:ind w:left="6480" w:hanging="360"/>
      </w:pPr>
    </w:lvl>
  </w:abstractNum>
  <w:abstractNum w:abstractNumId="9941122">
    <w:nsid w:val="A9941122"/>
    <w:multiLevelType w:val="multilevel"/>
    <w:lvl w:ilvl="0">
      <w:start w:val="122"/>
      <w:numFmt w:val="decimal"/>
      <w:lvlText w:val="%1."/>
      <w:lvlJc w:val="left"/>
      <w:pPr>
        <w:ind w:left="720" w:hanging="360"/>
      </w:pPr>
    </w:lvl>
    <w:lvl w:ilvl="1">
      <w:start w:val="122"/>
      <w:numFmt w:val="decimal"/>
      <w:lvlText w:val="%2."/>
      <w:lvlJc w:val="left"/>
      <w:pPr>
        <w:ind w:left="1440" w:hanging="360"/>
      </w:pPr>
    </w:lvl>
    <w:lvl w:ilvl="2">
      <w:start w:val="122"/>
      <w:numFmt w:val="decimal"/>
      <w:lvlText w:val="%3."/>
      <w:lvlJc w:val="left"/>
      <w:pPr>
        <w:ind w:left="2160" w:hanging="360"/>
      </w:pPr>
    </w:lvl>
    <w:lvl w:ilvl="3">
      <w:start w:val="122"/>
      <w:numFmt w:val="decimal"/>
      <w:lvlText w:val="%4."/>
      <w:lvlJc w:val="left"/>
      <w:pPr>
        <w:ind w:left="2880" w:hanging="360"/>
      </w:pPr>
    </w:lvl>
    <w:lvl w:ilvl="4">
      <w:start w:val="122"/>
      <w:numFmt w:val="decimal"/>
      <w:lvlText w:val="%5."/>
      <w:lvlJc w:val="left"/>
      <w:pPr>
        <w:ind w:left="3600" w:hanging="360"/>
      </w:pPr>
    </w:lvl>
    <w:lvl w:ilvl="5">
      <w:start w:val="122"/>
      <w:numFmt w:val="decimal"/>
      <w:lvlText w:val="%6."/>
      <w:lvlJc w:val="left"/>
      <w:pPr>
        <w:ind w:left="4320" w:hanging="360"/>
      </w:pPr>
    </w:lvl>
    <w:lvl w:ilvl="6">
      <w:start w:val="122"/>
      <w:numFmt w:val="decimal"/>
      <w:lvlText w:val="%7."/>
      <w:lvlJc w:val="left"/>
      <w:pPr>
        <w:ind w:left="5040" w:hanging="360"/>
      </w:pPr>
    </w:lvl>
    <w:lvl w:ilvl="7">
      <w:start w:val="122"/>
      <w:numFmt w:val="decimal"/>
      <w:lvlText w:val="%8."/>
      <w:lvlJc w:val="left"/>
      <w:pPr>
        <w:ind w:left="5760" w:hanging="360"/>
      </w:pPr>
    </w:lvl>
    <w:lvl w:ilvl="8">
      <w:start w:val="122"/>
      <w:numFmt w:val="decimal"/>
      <w:lvlText w:val="%9."/>
      <w:lvlJc w:val="left"/>
      <w:pPr>
        <w:ind w:left="6480" w:hanging="360"/>
      </w:pPr>
    </w:lvl>
  </w:abstractNum>
  <w:abstractNum w:abstractNumId="9941123">
    <w:nsid w:val="A9941123"/>
    <w:multiLevelType w:val="multilevel"/>
    <w:lvl w:ilvl="0">
      <w:start w:val="123"/>
      <w:numFmt w:val="decimal"/>
      <w:lvlText w:val="%1."/>
      <w:lvlJc w:val="left"/>
      <w:pPr>
        <w:ind w:left="720" w:hanging="360"/>
      </w:pPr>
    </w:lvl>
    <w:lvl w:ilvl="1">
      <w:start w:val="123"/>
      <w:numFmt w:val="decimal"/>
      <w:lvlText w:val="%2."/>
      <w:lvlJc w:val="left"/>
      <w:pPr>
        <w:ind w:left="1440" w:hanging="360"/>
      </w:pPr>
    </w:lvl>
    <w:lvl w:ilvl="2">
      <w:start w:val="123"/>
      <w:numFmt w:val="decimal"/>
      <w:lvlText w:val="%3."/>
      <w:lvlJc w:val="left"/>
      <w:pPr>
        <w:ind w:left="2160" w:hanging="360"/>
      </w:pPr>
    </w:lvl>
    <w:lvl w:ilvl="3">
      <w:start w:val="123"/>
      <w:numFmt w:val="decimal"/>
      <w:lvlText w:val="%4."/>
      <w:lvlJc w:val="left"/>
      <w:pPr>
        <w:ind w:left="2880" w:hanging="360"/>
      </w:pPr>
    </w:lvl>
    <w:lvl w:ilvl="4">
      <w:start w:val="123"/>
      <w:numFmt w:val="decimal"/>
      <w:lvlText w:val="%5."/>
      <w:lvlJc w:val="left"/>
      <w:pPr>
        <w:ind w:left="3600" w:hanging="360"/>
      </w:pPr>
    </w:lvl>
    <w:lvl w:ilvl="5">
      <w:start w:val="123"/>
      <w:numFmt w:val="decimal"/>
      <w:lvlText w:val="%6."/>
      <w:lvlJc w:val="left"/>
      <w:pPr>
        <w:ind w:left="4320" w:hanging="360"/>
      </w:pPr>
    </w:lvl>
    <w:lvl w:ilvl="6">
      <w:start w:val="123"/>
      <w:numFmt w:val="decimal"/>
      <w:lvlText w:val="%7."/>
      <w:lvlJc w:val="left"/>
      <w:pPr>
        <w:ind w:left="5040" w:hanging="360"/>
      </w:pPr>
    </w:lvl>
    <w:lvl w:ilvl="7">
      <w:start w:val="123"/>
      <w:numFmt w:val="decimal"/>
      <w:lvlText w:val="%8."/>
      <w:lvlJc w:val="left"/>
      <w:pPr>
        <w:ind w:left="5760" w:hanging="360"/>
      </w:pPr>
    </w:lvl>
    <w:lvl w:ilvl="8">
      <w:start w:val="123"/>
      <w:numFmt w:val="decimal"/>
      <w:lvlText w:val="%9."/>
      <w:lvlJc w:val="left"/>
      <w:pPr>
        <w:ind w:left="6480" w:hanging="360"/>
      </w:pPr>
    </w:lvl>
  </w:abstractNum>
  <w:abstractNum w:abstractNumId="9941124">
    <w:nsid w:val="A9941124"/>
    <w:multiLevelType w:val="multilevel"/>
    <w:lvl w:ilvl="0">
      <w:start w:val="124"/>
      <w:numFmt w:val="decimal"/>
      <w:lvlText w:val="%1."/>
      <w:lvlJc w:val="left"/>
      <w:pPr>
        <w:ind w:left="720" w:hanging="360"/>
      </w:pPr>
    </w:lvl>
    <w:lvl w:ilvl="1">
      <w:start w:val="124"/>
      <w:numFmt w:val="decimal"/>
      <w:lvlText w:val="%2."/>
      <w:lvlJc w:val="left"/>
      <w:pPr>
        <w:ind w:left="1440" w:hanging="360"/>
      </w:pPr>
    </w:lvl>
    <w:lvl w:ilvl="2">
      <w:start w:val="124"/>
      <w:numFmt w:val="decimal"/>
      <w:lvlText w:val="%3."/>
      <w:lvlJc w:val="left"/>
      <w:pPr>
        <w:ind w:left="2160" w:hanging="360"/>
      </w:pPr>
    </w:lvl>
    <w:lvl w:ilvl="3">
      <w:start w:val="124"/>
      <w:numFmt w:val="decimal"/>
      <w:lvlText w:val="%4."/>
      <w:lvlJc w:val="left"/>
      <w:pPr>
        <w:ind w:left="2880" w:hanging="360"/>
      </w:pPr>
    </w:lvl>
    <w:lvl w:ilvl="4">
      <w:start w:val="124"/>
      <w:numFmt w:val="decimal"/>
      <w:lvlText w:val="%5."/>
      <w:lvlJc w:val="left"/>
      <w:pPr>
        <w:ind w:left="3600" w:hanging="360"/>
      </w:pPr>
    </w:lvl>
    <w:lvl w:ilvl="5">
      <w:start w:val="124"/>
      <w:numFmt w:val="decimal"/>
      <w:lvlText w:val="%6."/>
      <w:lvlJc w:val="left"/>
      <w:pPr>
        <w:ind w:left="4320" w:hanging="360"/>
      </w:pPr>
    </w:lvl>
    <w:lvl w:ilvl="6">
      <w:start w:val="124"/>
      <w:numFmt w:val="decimal"/>
      <w:lvlText w:val="%7."/>
      <w:lvlJc w:val="left"/>
      <w:pPr>
        <w:ind w:left="5040" w:hanging="360"/>
      </w:pPr>
    </w:lvl>
    <w:lvl w:ilvl="7">
      <w:start w:val="124"/>
      <w:numFmt w:val="decimal"/>
      <w:lvlText w:val="%8."/>
      <w:lvlJc w:val="left"/>
      <w:pPr>
        <w:ind w:left="5760" w:hanging="360"/>
      </w:pPr>
    </w:lvl>
    <w:lvl w:ilvl="8">
      <w:start w:val="124"/>
      <w:numFmt w:val="decimal"/>
      <w:lvlText w:val="%9."/>
      <w:lvlJc w:val="left"/>
      <w:pPr>
        <w:ind w:left="6480" w:hanging="360"/>
      </w:pPr>
    </w:lvl>
  </w:abstractNum>
  <w:abstractNum w:abstractNumId="9941125">
    <w:nsid w:val="A9941125"/>
    <w:multiLevelType w:val="multilevel"/>
    <w:lvl w:ilvl="0">
      <w:start w:val="125"/>
      <w:numFmt w:val="decimal"/>
      <w:lvlText w:val="%1."/>
      <w:lvlJc w:val="left"/>
      <w:pPr>
        <w:ind w:left="720" w:hanging="360"/>
      </w:pPr>
    </w:lvl>
    <w:lvl w:ilvl="1">
      <w:start w:val="125"/>
      <w:numFmt w:val="decimal"/>
      <w:lvlText w:val="%2."/>
      <w:lvlJc w:val="left"/>
      <w:pPr>
        <w:ind w:left="1440" w:hanging="360"/>
      </w:pPr>
    </w:lvl>
    <w:lvl w:ilvl="2">
      <w:start w:val="125"/>
      <w:numFmt w:val="decimal"/>
      <w:lvlText w:val="%3."/>
      <w:lvlJc w:val="left"/>
      <w:pPr>
        <w:ind w:left="2160" w:hanging="360"/>
      </w:pPr>
    </w:lvl>
    <w:lvl w:ilvl="3">
      <w:start w:val="125"/>
      <w:numFmt w:val="decimal"/>
      <w:lvlText w:val="%4."/>
      <w:lvlJc w:val="left"/>
      <w:pPr>
        <w:ind w:left="2880" w:hanging="360"/>
      </w:pPr>
    </w:lvl>
    <w:lvl w:ilvl="4">
      <w:start w:val="125"/>
      <w:numFmt w:val="decimal"/>
      <w:lvlText w:val="%5."/>
      <w:lvlJc w:val="left"/>
      <w:pPr>
        <w:ind w:left="3600" w:hanging="360"/>
      </w:pPr>
    </w:lvl>
    <w:lvl w:ilvl="5">
      <w:start w:val="125"/>
      <w:numFmt w:val="decimal"/>
      <w:lvlText w:val="%6."/>
      <w:lvlJc w:val="left"/>
      <w:pPr>
        <w:ind w:left="4320" w:hanging="360"/>
      </w:pPr>
    </w:lvl>
    <w:lvl w:ilvl="6">
      <w:start w:val="125"/>
      <w:numFmt w:val="decimal"/>
      <w:lvlText w:val="%7."/>
      <w:lvlJc w:val="left"/>
      <w:pPr>
        <w:ind w:left="5040" w:hanging="360"/>
      </w:pPr>
    </w:lvl>
    <w:lvl w:ilvl="7">
      <w:start w:val="125"/>
      <w:numFmt w:val="decimal"/>
      <w:lvlText w:val="%8."/>
      <w:lvlJc w:val="left"/>
      <w:pPr>
        <w:ind w:left="5760" w:hanging="360"/>
      </w:pPr>
    </w:lvl>
    <w:lvl w:ilvl="8">
      <w:start w:val="125"/>
      <w:numFmt w:val="decimal"/>
      <w:lvlText w:val="%9."/>
      <w:lvlJc w:val="left"/>
      <w:pPr>
        <w:ind w:left="6480" w:hanging="360"/>
      </w:pPr>
    </w:lvl>
  </w:abstractNum>
  <w:abstractNum w:abstractNumId="9941126">
    <w:nsid w:val="A9941126"/>
    <w:multiLevelType w:val="multilevel"/>
    <w:lvl w:ilvl="0">
      <w:start w:val="126"/>
      <w:numFmt w:val="decimal"/>
      <w:lvlText w:val="%1."/>
      <w:lvlJc w:val="left"/>
      <w:pPr>
        <w:ind w:left="720" w:hanging="360"/>
      </w:pPr>
    </w:lvl>
    <w:lvl w:ilvl="1">
      <w:start w:val="126"/>
      <w:numFmt w:val="decimal"/>
      <w:lvlText w:val="%2."/>
      <w:lvlJc w:val="left"/>
      <w:pPr>
        <w:ind w:left="1440" w:hanging="360"/>
      </w:pPr>
    </w:lvl>
    <w:lvl w:ilvl="2">
      <w:start w:val="126"/>
      <w:numFmt w:val="decimal"/>
      <w:lvlText w:val="%3."/>
      <w:lvlJc w:val="left"/>
      <w:pPr>
        <w:ind w:left="2160" w:hanging="360"/>
      </w:pPr>
    </w:lvl>
    <w:lvl w:ilvl="3">
      <w:start w:val="126"/>
      <w:numFmt w:val="decimal"/>
      <w:lvlText w:val="%4."/>
      <w:lvlJc w:val="left"/>
      <w:pPr>
        <w:ind w:left="2880" w:hanging="360"/>
      </w:pPr>
    </w:lvl>
    <w:lvl w:ilvl="4">
      <w:start w:val="126"/>
      <w:numFmt w:val="decimal"/>
      <w:lvlText w:val="%5."/>
      <w:lvlJc w:val="left"/>
      <w:pPr>
        <w:ind w:left="3600" w:hanging="360"/>
      </w:pPr>
    </w:lvl>
    <w:lvl w:ilvl="5">
      <w:start w:val="126"/>
      <w:numFmt w:val="decimal"/>
      <w:lvlText w:val="%6."/>
      <w:lvlJc w:val="left"/>
      <w:pPr>
        <w:ind w:left="4320" w:hanging="360"/>
      </w:pPr>
    </w:lvl>
    <w:lvl w:ilvl="6">
      <w:start w:val="126"/>
      <w:numFmt w:val="decimal"/>
      <w:lvlText w:val="%7."/>
      <w:lvlJc w:val="left"/>
      <w:pPr>
        <w:ind w:left="5040" w:hanging="360"/>
      </w:pPr>
    </w:lvl>
    <w:lvl w:ilvl="7">
      <w:start w:val="126"/>
      <w:numFmt w:val="decimal"/>
      <w:lvlText w:val="%8."/>
      <w:lvlJc w:val="left"/>
      <w:pPr>
        <w:ind w:left="5760" w:hanging="360"/>
      </w:pPr>
    </w:lvl>
    <w:lvl w:ilvl="8">
      <w:start w:val="126"/>
      <w:numFmt w:val="decimal"/>
      <w:lvlText w:val="%9."/>
      <w:lvlJc w:val="left"/>
      <w:pPr>
        <w:ind w:left="6480" w:hanging="360"/>
      </w:pPr>
    </w:lvl>
  </w:abstractNum>
  <w:abstractNum w:abstractNumId="9941127">
    <w:nsid w:val="A9941127"/>
    <w:multiLevelType w:val="multilevel"/>
    <w:lvl w:ilvl="0">
      <w:start w:val="127"/>
      <w:numFmt w:val="decimal"/>
      <w:lvlText w:val="%1."/>
      <w:lvlJc w:val="left"/>
      <w:pPr>
        <w:ind w:left="720" w:hanging="360"/>
      </w:pPr>
    </w:lvl>
    <w:lvl w:ilvl="1">
      <w:start w:val="127"/>
      <w:numFmt w:val="decimal"/>
      <w:lvlText w:val="%2."/>
      <w:lvlJc w:val="left"/>
      <w:pPr>
        <w:ind w:left="1440" w:hanging="360"/>
      </w:pPr>
    </w:lvl>
    <w:lvl w:ilvl="2">
      <w:start w:val="127"/>
      <w:numFmt w:val="decimal"/>
      <w:lvlText w:val="%3."/>
      <w:lvlJc w:val="left"/>
      <w:pPr>
        <w:ind w:left="2160" w:hanging="360"/>
      </w:pPr>
    </w:lvl>
    <w:lvl w:ilvl="3">
      <w:start w:val="127"/>
      <w:numFmt w:val="decimal"/>
      <w:lvlText w:val="%4."/>
      <w:lvlJc w:val="left"/>
      <w:pPr>
        <w:ind w:left="2880" w:hanging="360"/>
      </w:pPr>
    </w:lvl>
    <w:lvl w:ilvl="4">
      <w:start w:val="127"/>
      <w:numFmt w:val="decimal"/>
      <w:lvlText w:val="%5."/>
      <w:lvlJc w:val="left"/>
      <w:pPr>
        <w:ind w:left="3600" w:hanging="360"/>
      </w:pPr>
    </w:lvl>
    <w:lvl w:ilvl="5">
      <w:start w:val="127"/>
      <w:numFmt w:val="decimal"/>
      <w:lvlText w:val="%6."/>
      <w:lvlJc w:val="left"/>
      <w:pPr>
        <w:ind w:left="4320" w:hanging="360"/>
      </w:pPr>
    </w:lvl>
    <w:lvl w:ilvl="6">
      <w:start w:val="127"/>
      <w:numFmt w:val="decimal"/>
      <w:lvlText w:val="%7."/>
      <w:lvlJc w:val="left"/>
      <w:pPr>
        <w:ind w:left="5040" w:hanging="360"/>
      </w:pPr>
    </w:lvl>
    <w:lvl w:ilvl="7">
      <w:start w:val="127"/>
      <w:numFmt w:val="decimal"/>
      <w:lvlText w:val="%8."/>
      <w:lvlJc w:val="left"/>
      <w:pPr>
        <w:ind w:left="5760" w:hanging="360"/>
      </w:pPr>
    </w:lvl>
    <w:lvl w:ilvl="8">
      <w:start w:val="127"/>
      <w:numFmt w:val="decimal"/>
      <w:lvlText w:val="%9."/>
      <w:lvlJc w:val="left"/>
      <w:pPr>
        <w:ind w:left="6480" w:hanging="360"/>
      </w:pPr>
    </w:lvl>
  </w:abstractNum>
  <w:abstractNum w:abstractNumId="9941128">
    <w:nsid w:val="A9941128"/>
    <w:multiLevelType w:val="multilevel"/>
    <w:lvl w:ilvl="0">
      <w:start w:val="128"/>
      <w:numFmt w:val="decimal"/>
      <w:lvlText w:val="%1."/>
      <w:lvlJc w:val="left"/>
      <w:pPr>
        <w:ind w:left="720" w:hanging="360"/>
      </w:pPr>
    </w:lvl>
    <w:lvl w:ilvl="1">
      <w:start w:val="128"/>
      <w:numFmt w:val="decimal"/>
      <w:lvlText w:val="%2."/>
      <w:lvlJc w:val="left"/>
      <w:pPr>
        <w:ind w:left="1440" w:hanging="360"/>
      </w:pPr>
    </w:lvl>
    <w:lvl w:ilvl="2">
      <w:start w:val="128"/>
      <w:numFmt w:val="decimal"/>
      <w:lvlText w:val="%3."/>
      <w:lvlJc w:val="left"/>
      <w:pPr>
        <w:ind w:left="2160" w:hanging="360"/>
      </w:pPr>
    </w:lvl>
    <w:lvl w:ilvl="3">
      <w:start w:val="128"/>
      <w:numFmt w:val="decimal"/>
      <w:lvlText w:val="%4."/>
      <w:lvlJc w:val="left"/>
      <w:pPr>
        <w:ind w:left="2880" w:hanging="360"/>
      </w:pPr>
    </w:lvl>
    <w:lvl w:ilvl="4">
      <w:start w:val="128"/>
      <w:numFmt w:val="decimal"/>
      <w:lvlText w:val="%5."/>
      <w:lvlJc w:val="left"/>
      <w:pPr>
        <w:ind w:left="3600" w:hanging="360"/>
      </w:pPr>
    </w:lvl>
    <w:lvl w:ilvl="5">
      <w:start w:val="128"/>
      <w:numFmt w:val="decimal"/>
      <w:lvlText w:val="%6."/>
      <w:lvlJc w:val="left"/>
      <w:pPr>
        <w:ind w:left="4320" w:hanging="360"/>
      </w:pPr>
    </w:lvl>
    <w:lvl w:ilvl="6">
      <w:start w:val="128"/>
      <w:numFmt w:val="decimal"/>
      <w:lvlText w:val="%7."/>
      <w:lvlJc w:val="left"/>
      <w:pPr>
        <w:ind w:left="5040" w:hanging="360"/>
      </w:pPr>
    </w:lvl>
    <w:lvl w:ilvl="7">
      <w:start w:val="128"/>
      <w:numFmt w:val="decimal"/>
      <w:lvlText w:val="%8."/>
      <w:lvlJc w:val="left"/>
      <w:pPr>
        <w:ind w:left="5760" w:hanging="360"/>
      </w:pPr>
    </w:lvl>
    <w:lvl w:ilvl="8">
      <w:start w:val="128"/>
      <w:numFmt w:val="decimal"/>
      <w:lvlText w:val="%9."/>
      <w:lvlJc w:val="left"/>
      <w:pPr>
        <w:ind w:left="6480" w:hanging="360"/>
      </w:pPr>
    </w:lvl>
  </w:abstractNum>
  <w:abstractNum w:abstractNumId="9941129">
    <w:nsid w:val="A9941129"/>
    <w:multiLevelType w:val="multilevel"/>
    <w:lvl w:ilvl="0">
      <w:start w:val="129"/>
      <w:numFmt w:val="decimal"/>
      <w:lvlText w:val="%1."/>
      <w:lvlJc w:val="left"/>
      <w:pPr>
        <w:ind w:left="720" w:hanging="360"/>
      </w:pPr>
    </w:lvl>
    <w:lvl w:ilvl="1">
      <w:start w:val="129"/>
      <w:numFmt w:val="decimal"/>
      <w:lvlText w:val="%2."/>
      <w:lvlJc w:val="left"/>
      <w:pPr>
        <w:ind w:left="1440" w:hanging="360"/>
      </w:pPr>
    </w:lvl>
    <w:lvl w:ilvl="2">
      <w:start w:val="129"/>
      <w:numFmt w:val="decimal"/>
      <w:lvlText w:val="%3."/>
      <w:lvlJc w:val="left"/>
      <w:pPr>
        <w:ind w:left="2160" w:hanging="360"/>
      </w:pPr>
    </w:lvl>
    <w:lvl w:ilvl="3">
      <w:start w:val="129"/>
      <w:numFmt w:val="decimal"/>
      <w:lvlText w:val="%4."/>
      <w:lvlJc w:val="left"/>
      <w:pPr>
        <w:ind w:left="2880" w:hanging="360"/>
      </w:pPr>
    </w:lvl>
    <w:lvl w:ilvl="4">
      <w:start w:val="129"/>
      <w:numFmt w:val="decimal"/>
      <w:lvlText w:val="%5."/>
      <w:lvlJc w:val="left"/>
      <w:pPr>
        <w:ind w:left="3600" w:hanging="360"/>
      </w:pPr>
    </w:lvl>
    <w:lvl w:ilvl="5">
      <w:start w:val="129"/>
      <w:numFmt w:val="decimal"/>
      <w:lvlText w:val="%6."/>
      <w:lvlJc w:val="left"/>
      <w:pPr>
        <w:ind w:left="4320" w:hanging="360"/>
      </w:pPr>
    </w:lvl>
    <w:lvl w:ilvl="6">
      <w:start w:val="129"/>
      <w:numFmt w:val="decimal"/>
      <w:lvlText w:val="%7."/>
      <w:lvlJc w:val="left"/>
      <w:pPr>
        <w:ind w:left="5040" w:hanging="360"/>
      </w:pPr>
    </w:lvl>
    <w:lvl w:ilvl="7">
      <w:start w:val="129"/>
      <w:numFmt w:val="decimal"/>
      <w:lvlText w:val="%8."/>
      <w:lvlJc w:val="left"/>
      <w:pPr>
        <w:ind w:left="5760" w:hanging="360"/>
      </w:pPr>
    </w:lvl>
    <w:lvl w:ilvl="8">
      <w:start w:val="12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13">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14">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15">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16">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17">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18">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9">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20">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21">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22">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23">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24">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25">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26">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27">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28">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9">
    <w:abstractNumId w:val="9941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030">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31">
    <w:abstractNumId w:val="9941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032">
    <w:abstractNumId w:val="9941121"/>
    <w:lvlOverride w:ilvl="0">
      <w:startOverride w:val="121"/>
    </w:lvlOverride>
    <w:lvlOverride w:ilvl="1">
      <w:startOverride w:val="121"/>
    </w:lvlOverride>
    <w:lvlOverride w:ilvl="2">
      <w:startOverride w:val="121"/>
    </w:lvlOverride>
    <w:lvlOverride w:ilvl="3">
      <w:startOverride w:val="121"/>
    </w:lvlOverride>
    <w:lvlOverride w:ilvl="4">
      <w:startOverride w:val="121"/>
    </w:lvlOverride>
    <w:lvlOverride w:ilvl="5">
      <w:startOverride w:val="121"/>
    </w:lvlOverride>
    <w:lvlOverride w:ilvl="6">
      <w:startOverride w:val="121"/>
    </w:lvlOverride>
    <w:lvlOverride w:ilvl="7">
      <w:startOverride w:val="121"/>
    </w:lvlOverride>
    <w:lvlOverride w:ilvl="8">
      <w:startOverride w:val="121"/>
    </w:lvlOverride>
  </w:num>
  <w:num w:numId="1033">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034">
    <w:abstractNumId w:val="9941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035">
    <w:abstractNumId w:val="9941124"/>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1036">
    <w:abstractNumId w:val="9941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037">
    <w:abstractNumId w:val="9941126"/>
    <w:lvlOverride w:ilvl="0">
      <w:startOverride w:val="126"/>
    </w:lvlOverride>
    <w:lvlOverride w:ilvl="1">
      <w:startOverride w:val="126"/>
    </w:lvlOverride>
    <w:lvlOverride w:ilvl="2">
      <w:startOverride w:val="126"/>
    </w:lvlOverride>
    <w:lvlOverride w:ilvl="3">
      <w:startOverride w:val="126"/>
    </w:lvlOverride>
    <w:lvlOverride w:ilvl="4">
      <w:startOverride w:val="126"/>
    </w:lvlOverride>
    <w:lvlOverride w:ilvl="5">
      <w:startOverride w:val="126"/>
    </w:lvlOverride>
    <w:lvlOverride w:ilvl="6">
      <w:startOverride w:val="126"/>
    </w:lvlOverride>
    <w:lvlOverride w:ilvl="7">
      <w:startOverride w:val="126"/>
    </w:lvlOverride>
    <w:lvlOverride w:ilvl="8">
      <w:startOverride w:val="126"/>
    </w:lvlOverride>
  </w:num>
  <w:num w:numId="1038">
    <w:abstractNumId w:val="9941127"/>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1039">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040">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1" Target="media/rId421.svg" /><Relationship Type="http://schemas.openxmlformats.org/officeDocument/2006/relationships/image" Id="rId12" Target="media/rId12.jpg" /><Relationship Type="http://schemas.openxmlformats.org/officeDocument/2006/relationships/image" Id="rId513" Target="media/rId513.png" /><Relationship Type="http://schemas.openxmlformats.org/officeDocument/2006/relationships/image" Id="rId517" Target="media/rId517.png" /><Relationship Type="http://schemas.openxmlformats.org/officeDocument/2006/relationships/image" Id="rId522" Target="media/rId522.png" /><Relationship Type="http://schemas.openxmlformats.org/officeDocument/2006/relationships/image" Id="rId528" Target="media/rId528.png" /><Relationship Type="http://schemas.openxmlformats.org/officeDocument/2006/relationships/image" Id="rId477" Target="media/rId477.png" /><Relationship Type="http://schemas.openxmlformats.org/officeDocument/2006/relationships/image" Id="rId471" Target="media/rId471.png" /><Relationship Type="http://schemas.openxmlformats.org/officeDocument/2006/relationships/image" Id="rId486" Target="media/rId486.png" /><Relationship Type="http://schemas.openxmlformats.org/officeDocument/2006/relationships/image" Id="rId482" Target="media/rId482.png" /><Relationship Type="http://schemas.openxmlformats.org/officeDocument/2006/relationships/image" Id="rId454" Target="media/rId454.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91" Target="media/rId491.png" /><Relationship Type="http://schemas.openxmlformats.org/officeDocument/2006/relationships/image" Id="rId449" Target="media/rId449.png" /><Relationship Type="http://schemas.openxmlformats.org/officeDocument/2006/relationships/image" Id="rId324" Target="media/rId324.png" /><Relationship Type="http://schemas.openxmlformats.org/officeDocument/2006/relationships/image" Id="rId28" Target="media/rId28.png" /><Relationship Type="http://schemas.openxmlformats.org/officeDocument/2006/relationships/image" Id="rId160" Target="media/rId160.png" /><Relationship Type="http://schemas.openxmlformats.org/officeDocument/2006/relationships/image" Id="rId315" Target="media/rId315.svg" /><Relationship Type="http://schemas.openxmlformats.org/officeDocument/2006/relationships/image" Id="rId54" Target="media/rId54.svg" /><Relationship Type="http://schemas.openxmlformats.org/officeDocument/2006/relationships/image" Id="rId335" Target="media/rId335.svg" /><Relationship Type="http://schemas.openxmlformats.org/officeDocument/2006/relationships/image" Id="rId341" Target="media/rId341.svg" /><Relationship Type="http://schemas.openxmlformats.org/officeDocument/2006/relationships/image" Id="rId153" Target="media/rId153.svg" /><Relationship Type="http://schemas.openxmlformats.org/officeDocument/2006/relationships/image" Id="rId259" Target="media/rId259.png" /><Relationship Type="http://schemas.openxmlformats.org/officeDocument/2006/relationships/image" Id="rId254" Target="media/rId254.png" /><Relationship Type="http://schemas.openxmlformats.org/officeDocument/2006/relationships/image" Id="rId362" Target="media/rId362.svg" /><Relationship Type="http://schemas.openxmlformats.org/officeDocument/2006/relationships/image" Id="rId357" Target="media/rId357.svg" /><Relationship Type="http://schemas.openxmlformats.org/officeDocument/2006/relationships/image" Id="rId330" Target="media/rId330.svg" /><Relationship Type="http://schemas.openxmlformats.org/officeDocument/2006/relationships/image" Id="rId166" Target="media/rId166.svg" /><Relationship Type="http://schemas.openxmlformats.org/officeDocument/2006/relationships/image" Id="rId348" Target="media/rId348.png" /><Relationship Type="http://schemas.openxmlformats.org/officeDocument/2006/relationships/image" Id="rId38" Target="media/rId38.svg" /><Relationship Type="http://schemas.openxmlformats.org/officeDocument/2006/relationships/image" Id="rId64" Target="media/rId64.jpg" /><Relationship Type="http://schemas.openxmlformats.org/officeDocument/2006/relationships/image" Id="rId82" Target="media/rId82.svg" /><Relationship Type="http://schemas.openxmlformats.org/officeDocument/2006/relationships/image" Id="rId78" Target="media/rId78.svg" /><Relationship Type="http://schemas.openxmlformats.org/officeDocument/2006/relationships/image" Id="rId71" Target="media/rId71.png" /><Relationship Type="http://schemas.openxmlformats.org/officeDocument/2006/relationships/image" Id="rId87" Target="media/rId87.png" /><Relationship Type="http://schemas.openxmlformats.org/officeDocument/2006/relationships/image" Id="rId112" Target="media/rId112.jpg" /><Relationship Type="http://schemas.openxmlformats.org/officeDocument/2006/relationships/image" Id="rId122" Target="media/rId122.svg" /><Relationship Type="http://schemas.openxmlformats.org/officeDocument/2006/relationships/image" Id="rId108" Target="media/rId108.svg" /><Relationship Type="http://schemas.openxmlformats.org/officeDocument/2006/relationships/image" Id="rId117" Target="media/rId117.svg" /><Relationship Type="http://schemas.openxmlformats.org/officeDocument/2006/relationships/image" Id="rId100" Target="media/rId100.jpg" /><Relationship Type="http://schemas.openxmlformats.org/officeDocument/2006/relationships/image" Id="rId174" Target="media/rId174.svg" /><Relationship Type="http://schemas.openxmlformats.org/officeDocument/2006/relationships/image" Id="rId97" Target="media/rId97.svg" /><Relationship Type="http://schemas.openxmlformats.org/officeDocument/2006/relationships/image" Id="rId61" Target="media/rId61.svg" /><Relationship Type="http://schemas.openxmlformats.org/officeDocument/2006/relationships/image" Id="rId139" Target="media/rId139.svg" /><Relationship Type="http://schemas.openxmlformats.org/officeDocument/2006/relationships/image" Id="rId144" Target="media/rId144.svg" /><Relationship Type="http://schemas.openxmlformats.org/officeDocument/2006/relationships/image" Id="rId200" Target="media/rId200.png" /><Relationship Type="http://schemas.openxmlformats.org/officeDocument/2006/relationships/image" Id="rId284" Target="media/rId284.png" /><Relationship Type="http://schemas.openxmlformats.org/officeDocument/2006/relationships/image" Id="rId288" Target="media/rId288.svg" /><Relationship Type="http://schemas.openxmlformats.org/officeDocument/2006/relationships/image" Id="rId237" Target="media/rId237.png" /><Relationship Type="http://schemas.openxmlformats.org/officeDocument/2006/relationships/image" Id="rId225" Target="media/rId225.png" /><Relationship Type="http://schemas.openxmlformats.org/officeDocument/2006/relationships/image" Id="rId243" Target="media/rId243.png" /><Relationship Type="http://schemas.openxmlformats.org/officeDocument/2006/relationships/image" Id="rId231" Target="media/rId231.png" /><Relationship Type="http://schemas.openxmlformats.org/officeDocument/2006/relationships/image" Id="rId183" Target="media/rId183.png" /><Relationship Type="http://schemas.openxmlformats.org/officeDocument/2006/relationships/image" Id="rId424" Target="media/rId424.png" /><Relationship Type="http://schemas.openxmlformats.org/officeDocument/2006/relationships/hyperlink" Id="rId216" Target="../Abbildungen/methodik/allokation_deckung.html" TargetMode="External" /><Relationship Type="http://schemas.openxmlformats.org/officeDocument/2006/relationships/hyperlink" Id="rId196" Target="../Abbildungen/methodik/strombedarf.html" TargetMode="External" /><Relationship Type="http://schemas.openxmlformats.org/officeDocument/2006/relationships/hyperlink" Id="rId194" Target="../Abbildungen/methodik/stromerzeugung.html" TargetMode="External" /><Relationship Type="http://schemas.openxmlformats.org/officeDocument/2006/relationships/hyperlink" Id="rId213" Target="../Abbildungen/methodik/zentraler_pool.html" TargetMode="External" /><Relationship Type="http://schemas.openxmlformats.org/officeDocument/2006/relationships/hyperlink" Id="rId58" Target="02-standard.qmd" TargetMode="External" /><Relationship Type="http://schemas.openxmlformats.org/officeDocument/2006/relationships/hyperlink" Id="rId132" Target="05-kontext-mobilitaet.qmd" TargetMode="External" /><Relationship Type="http://schemas.openxmlformats.org/officeDocument/2006/relationships/hyperlink" Id="rId105" Target="05-kontext-sanierung.qmd" TargetMode="External" /><Relationship Type="http://schemas.openxmlformats.org/officeDocument/2006/relationships/hyperlink" Id="rId34" Target="07-am-bichl.qmd" TargetMode="External" /><Relationship Type="http://schemas.openxmlformats.org/officeDocument/2006/relationships/hyperlink" Id="rId68" Target="07-anwendung.qmd" TargetMode="External" /><Relationship Type="http://schemas.openxmlformats.org/officeDocument/2006/relationships/hyperlink" Id="rId53" Target="07-campo-breitenlee.qmd" TargetMode="External" /><Relationship Type="http://schemas.openxmlformats.org/officeDocument/2006/relationships/hyperlink" Id="rId180" Target="07-ergebnisse.qmd" TargetMode="External" /><Relationship Type="http://schemas.openxmlformats.org/officeDocument/2006/relationships/hyperlink" Id="rId35" Target="07-praxisbeispiele.qmd" TargetMode="External" /><Relationship Type="http://schemas.openxmlformats.org/officeDocument/2006/relationships/hyperlink" Id="rId36" Target="07-renovierungsfahrplan.qmd" TargetMode="External" /><Relationship Type="http://schemas.openxmlformats.org/officeDocument/2006/relationships/hyperlink" Id="rId52" Target="07-ruginnovation.qmd" TargetMode="External" /><Relationship Type="http://schemas.openxmlformats.org/officeDocument/2006/relationships/hyperlink" Id="rId9" Target="Kapitel/01-einf&#252;hrung.qmd" TargetMode="External" /><Relationship Type="http://schemas.openxmlformats.org/officeDocument/2006/relationships/hyperlink" Id="rId21" Target="Kapitel/02-standard.qmd" TargetMode="External" /><Relationship Type="http://schemas.openxmlformats.org/officeDocument/2006/relationships/hyperlink" Id="rId26" Target="Kapitel/03-methodik.qmd" TargetMode="External" /><Relationship Type="http://schemas.openxmlformats.org/officeDocument/2006/relationships/hyperlink" Id="rId11" Target="Kapitel/07-am-bichl.qmd" TargetMode="External" /><Relationship Type="http://schemas.openxmlformats.org/officeDocument/2006/relationships/hyperlink" Id="rId23" Target="Kapitel/07-anwendung.qmd" TargetMode="External" /><Relationship Type="http://schemas.openxmlformats.org/officeDocument/2006/relationships/hyperlink" Id="rId18" Target="Kapitel/07-campo-breitenlee.qmd" TargetMode="External" /><Relationship Type="http://schemas.openxmlformats.org/officeDocument/2006/relationships/hyperlink" Id="rId24" Target="Kapitel/07-einstieg.qmd" TargetMode="External" /><Relationship Type="http://schemas.openxmlformats.org/officeDocument/2006/relationships/hyperlink" Id="rId16" Target="Kapitel/07-ruginnovation.qmd" TargetMode="External" /><Relationship Type="http://schemas.openxmlformats.org/officeDocument/2006/relationships/hyperlink" Id="rId31" Target="about.qmd" TargetMode="External" /><Relationship Type="http://schemas.openxmlformats.org/officeDocument/2006/relationships/hyperlink" Id="rId396" Target="https://doi.org/10.1109/EEEIC/ICPSEurope64998.2025.11169136" TargetMode="External" /><Relationship Type="http://schemas.openxmlformats.org/officeDocument/2006/relationships/hyperlink" Id="rId393" Target="https://doi.org/10.2779/849252" TargetMode="External" /><Relationship Type="http://schemas.openxmlformats.org/officeDocument/2006/relationships/hyperlink" Id="rId402" Target="https://doi.org/10.3390/buildings13051210" TargetMode="External" /><Relationship Type="http://schemas.openxmlformats.org/officeDocument/2006/relationships/hyperlink" Id="rId398" Target="https://doi.org/10.3390/designs9060123" TargetMode="External" /><Relationship Type="http://schemas.openxmlformats.org/officeDocument/2006/relationships/hyperlink" Id="rId404" Target="https://nachhaltigwirtschaften.at/resources/sdz_pdf/schriftenreihe-2020-11-zukunftsquartier.pdf" TargetMode="External" /><Relationship Type="http://schemas.openxmlformats.org/officeDocument/2006/relationships/hyperlink" Id="rId391" Target="https://nachhaltigwirtschaften.at/resources/sdz_pdf/schriftenreihe-2020-26-smart-city-mikroquartiere.pdf" TargetMode="External" /><Relationship Type="http://schemas.openxmlformats.org/officeDocument/2006/relationships/hyperlink" Id="rId27" Target="https://simonschaluppe.github.io/peexcel/" TargetMode="External" /><Relationship Type="http://schemas.openxmlformats.org/officeDocument/2006/relationships/hyperlink" Id="rId387" Target="https://www.bpie.eu/publication/how-to-establish-whole-life-carbon-benchmarks-insights-and-lessons-learned-from-emerging-approaches-in-ireland-czechia-and-spain/" TargetMode="External" /><Relationship Type="http://schemas.openxmlformats.org/officeDocument/2006/relationships/hyperlink" Id="rId389" Target="https://www.cencenelec.eu/news-events/news/2026/en-in-the-spotlight/2026-04-17-en-15978-2026/" TargetMode="External" /><Relationship Type="http://schemas.openxmlformats.org/officeDocument/2006/relationships/hyperlink" Id="rId411" Target="https://www.umweltbundesamt.at/fileadmin/site/publikationen/rep0880.pdf" TargetMode="External" /><Relationship Type="http://schemas.openxmlformats.org/officeDocument/2006/relationships/hyperlink" Id="rId407" Target="https://www.umweltbundesamt.at/fileadmin/site/publikationen/rep0882.pdf" TargetMode="External" /><Relationship Type="http://schemas.openxmlformats.org/officeDocument/2006/relationships/hyperlink" Id="rId409" Target="https://www.umweltbundesamt.at/fileadmin/site/publikationen/rep0882_bfz.pdf" TargetMode="External" /><Relationship Type="http://schemas.openxmlformats.org/officeDocument/2006/relationships/hyperlink" Id="rId413" Target="https://www.umweltbundesamt.at/fileadmin/site/publikationen/rep0995.pdf" TargetMode="External" /></Relationships>
</file>

<file path=word/_rels/footnotes.xml.rels><?xml version="1.0" encoding="UTF-8"?><Relationships xmlns="http://schemas.openxmlformats.org/package/2006/relationships"><Relationship Type="http://schemas.openxmlformats.org/officeDocument/2006/relationships/hyperlink" Id="rId216" Target="../Abbildungen/methodik/allokation_deckung.html" TargetMode="External" /><Relationship Type="http://schemas.openxmlformats.org/officeDocument/2006/relationships/hyperlink" Id="rId196" Target="../Abbildungen/methodik/strombedarf.html" TargetMode="External" /><Relationship Type="http://schemas.openxmlformats.org/officeDocument/2006/relationships/hyperlink" Id="rId194" Target="../Abbildungen/methodik/stromerzeugung.html" TargetMode="External" /><Relationship Type="http://schemas.openxmlformats.org/officeDocument/2006/relationships/hyperlink" Id="rId213" Target="../Abbildungen/methodik/zentraler_pool.html" TargetMode="External" /><Relationship Type="http://schemas.openxmlformats.org/officeDocument/2006/relationships/hyperlink" Id="rId58" Target="02-standard.qmd" TargetMode="External" /><Relationship Type="http://schemas.openxmlformats.org/officeDocument/2006/relationships/hyperlink" Id="rId132" Target="05-kontext-mobilitaet.qmd" TargetMode="External" /><Relationship Type="http://schemas.openxmlformats.org/officeDocument/2006/relationships/hyperlink" Id="rId105" Target="05-kontext-sanierung.qmd" TargetMode="External" /><Relationship Type="http://schemas.openxmlformats.org/officeDocument/2006/relationships/hyperlink" Id="rId34" Target="07-am-bichl.qmd" TargetMode="External" /><Relationship Type="http://schemas.openxmlformats.org/officeDocument/2006/relationships/hyperlink" Id="rId68" Target="07-anwendung.qmd" TargetMode="External" /><Relationship Type="http://schemas.openxmlformats.org/officeDocument/2006/relationships/hyperlink" Id="rId53" Target="07-campo-breitenlee.qmd" TargetMode="External" /><Relationship Type="http://schemas.openxmlformats.org/officeDocument/2006/relationships/hyperlink" Id="rId180" Target="07-ergebnisse.qmd" TargetMode="External" /><Relationship Type="http://schemas.openxmlformats.org/officeDocument/2006/relationships/hyperlink" Id="rId35" Target="07-praxisbeispiele.qmd" TargetMode="External" /><Relationship Type="http://schemas.openxmlformats.org/officeDocument/2006/relationships/hyperlink" Id="rId36" Target="07-renovierungsfahrplan.qmd" TargetMode="External" /><Relationship Type="http://schemas.openxmlformats.org/officeDocument/2006/relationships/hyperlink" Id="rId52" Target="07-ruginnovation.qmd" TargetMode="External" /><Relationship Type="http://schemas.openxmlformats.org/officeDocument/2006/relationships/hyperlink" Id="rId9" Target="Kapitel/01-einf&#252;hrung.qmd" TargetMode="External" /><Relationship Type="http://schemas.openxmlformats.org/officeDocument/2006/relationships/hyperlink" Id="rId21" Target="Kapitel/02-standard.qmd" TargetMode="External" /><Relationship Type="http://schemas.openxmlformats.org/officeDocument/2006/relationships/hyperlink" Id="rId26" Target="Kapitel/03-methodik.qmd" TargetMode="External" /><Relationship Type="http://schemas.openxmlformats.org/officeDocument/2006/relationships/hyperlink" Id="rId11" Target="Kapitel/07-am-bichl.qmd" TargetMode="External" /><Relationship Type="http://schemas.openxmlformats.org/officeDocument/2006/relationships/hyperlink" Id="rId23" Target="Kapitel/07-anwendung.qmd" TargetMode="External" /><Relationship Type="http://schemas.openxmlformats.org/officeDocument/2006/relationships/hyperlink" Id="rId18" Target="Kapitel/07-campo-breitenlee.qmd" TargetMode="External" /><Relationship Type="http://schemas.openxmlformats.org/officeDocument/2006/relationships/hyperlink" Id="rId24" Target="Kapitel/07-einstieg.qmd" TargetMode="External" /><Relationship Type="http://schemas.openxmlformats.org/officeDocument/2006/relationships/hyperlink" Id="rId16" Target="Kapitel/07-ruginnovation.qmd" TargetMode="External" /><Relationship Type="http://schemas.openxmlformats.org/officeDocument/2006/relationships/hyperlink" Id="rId31" Target="about.qmd" TargetMode="External" /><Relationship Type="http://schemas.openxmlformats.org/officeDocument/2006/relationships/hyperlink" Id="rId396" Target="https://doi.org/10.1109/EEEIC/ICPSEurope64998.2025.11169136" TargetMode="External" /><Relationship Type="http://schemas.openxmlformats.org/officeDocument/2006/relationships/hyperlink" Id="rId393" Target="https://doi.org/10.2779/849252" TargetMode="External" /><Relationship Type="http://schemas.openxmlformats.org/officeDocument/2006/relationships/hyperlink" Id="rId402" Target="https://doi.org/10.3390/buildings13051210" TargetMode="External" /><Relationship Type="http://schemas.openxmlformats.org/officeDocument/2006/relationships/hyperlink" Id="rId398" Target="https://doi.org/10.3390/designs9060123" TargetMode="External" /><Relationship Type="http://schemas.openxmlformats.org/officeDocument/2006/relationships/hyperlink" Id="rId404" Target="https://nachhaltigwirtschaften.at/resources/sdz_pdf/schriftenreihe-2020-11-zukunftsquartier.pdf" TargetMode="External" /><Relationship Type="http://schemas.openxmlformats.org/officeDocument/2006/relationships/hyperlink" Id="rId391" Target="https://nachhaltigwirtschaften.at/resources/sdz_pdf/schriftenreihe-2020-26-smart-city-mikroquartiere.pdf" TargetMode="External" /><Relationship Type="http://schemas.openxmlformats.org/officeDocument/2006/relationships/hyperlink" Id="rId27" Target="https://simonschaluppe.github.io/peexcel/" TargetMode="External" /><Relationship Type="http://schemas.openxmlformats.org/officeDocument/2006/relationships/hyperlink" Id="rId387" Target="https://www.bpie.eu/publication/how-to-establish-whole-life-carbon-benchmarks-insights-and-lessons-learned-from-emerging-approaches-in-ireland-czechia-and-spain/" TargetMode="External" /><Relationship Type="http://schemas.openxmlformats.org/officeDocument/2006/relationships/hyperlink" Id="rId389" Target="https://www.cencenelec.eu/news-events/news/2026/en-in-the-spotlight/2026-04-17-en-15978-2026/" TargetMode="External" /><Relationship Type="http://schemas.openxmlformats.org/officeDocument/2006/relationships/hyperlink" Id="rId411" Target="https://www.umweltbundesamt.at/fileadmin/site/publikationen/rep0880.pdf" TargetMode="External" /><Relationship Type="http://schemas.openxmlformats.org/officeDocument/2006/relationships/hyperlink" Id="rId407" Target="https://www.umweltbundesamt.at/fileadmin/site/publikationen/rep0882.pdf" TargetMode="External" /><Relationship Type="http://schemas.openxmlformats.org/officeDocument/2006/relationships/hyperlink" Id="rId409" Target="https://www.umweltbundesamt.at/fileadmin/site/publikationen/rep0882_bfz.pdf" TargetMode="External" /><Relationship Type="http://schemas.openxmlformats.org/officeDocument/2006/relationships/hyperlink" Id="rId413" Target="https://www.umweltbundesamt.at/fileadmin/site/publikationen/rep099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Klimaneutrale Plus-Energie-Quartiere</dc:title>
  <dc:creator/>
  <dc:language>de</dc:language>
  <cp:keywords/>
  <dcterms:created xsi:type="dcterms:W3CDTF">2026-10-30T12:19:46Z</dcterms:created>
  <dcterms:modified xsi:type="dcterms:W3CDTF">2026-10-30T12:19:46Z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comments">
    <vt:lpwstr/>
  </property>
  <property fmtid="{D5CDD505-2E9C-101B-9397-08002B2CF9AE}" pid="7" name="crossref">
    <vt:lpwstr/>
  </property>
  <property fmtid="{D5CDD505-2E9C-101B-9397-08002B2CF9AE}" pid="8" name="date">
    <vt:lpwstr>2026-10-14</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Wissenschaftliche Grundlagen des klimaaktiv Standards – Arbeitsfassung</vt:lpwstr>
  </property>
  <property fmtid="{D5CDD505-2E9C-101B-9397-08002B2CF9AE}" pid="14" name="template-partials">
    <vt:lpwstr/>
  </property>
  <property fmtid="{D5CDD505-2E9C-101B-9397-08002B2CF9AE}" pid="15" name="toc-title">
    <vt:lpwstr>Inhaltsverzeichnis</vt:lpwstr>
  </property>
</Properties>
</file>