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B29C0" w14:textId="77777777" w:rsidR="004E4CC2" w:rsidRDefault="00000000">
      <w:pPr>
        <w:pStyle w:val="Titel"/>
      </w:pPr>
      <w:r>
        <w:t>Klimaneutrale Plus-Energie-Quartiere</w:t>
      </w:r>
    </w:p>
    <w:p w14:paraId="250DA855" w14:textId="77777777" w:rsidR="004E4CC2" w:rsidRDefault="00000000">
      <w:pPr>
        <w:pStyle w:val="Untertitel"/>
      </w:pPr>
      <w:r>
        <w:t xml:space="preserve">Wissenschaftliche Grundlagen </w:t>
      </w:r>
      <w:proofErr w:type="gramStart"/>
      <w:r>
        <w:t>des klimaaktiv Standards</w:t>
      </w:r>
      <w:proofErr w:type="gramEnd"/>
      <w:r>
        <w:t xml:space="preserve"> – Arbeitsfassung</w:t>
      </w:r>
    </w:p>
    <w:p w14:paraId="17FF88D7" w14:textId="77777777" w:rsidR="004E4CC2" w:rsidRDefault="00000000">
      <w:pPr>
        <w:pStyle w:val="Datum"/>
      </w:pPr>
      <w:r>
        <w:t>2026-10-14</w:t>
      </w:r>
    </w:p>
    <w:sdt>
      <w:sdtPr>
        <w:rPr>
          <w:rFonts w:asciiTheme="minorHAnsi" w:eastAsiaTheme="minorEastAsia" w:hAnsiTheme="minorHAnsi" w:cstheme="minorBidi"/>
          <w:color w:val="auto"/>
          <w:sz w:val="24"/>
          <w:szCs w:val="24"/>
        </w:rPr>
        <w:id w:val="50281426"/>
        <w:docPartObj>
          <w:docPartGallery w:val="Table of Contents"/>
          <w:docPartUnique/>
        </w:docPartObj>
      </w:sdtPr>
      <w:sdtContent>
        <w:p w14:paraId="41317047" w14:textId="77777777" w:rsidR="004E4CC2" w:rsidRDefault="00000000">
          <w:pPr>
            <w:pStyle w:val="Inhaltsverzeichnisberschrift"/>
          </w:pPr>
          <w:r>
            <w:t>Inhaltsverzeichnis</w:t>
          </w:r>
        </w:p>
        <w:p w14:paraId="2E7C7304" w14:textId="211B6034" w:rsidR="00CA132B" w:rsidRDefault="00000000">
          <w:pPr>
            <w:pStyle w:val="Verzeichnis1"/>
            <w:tabs>
              <w:tab w:val="right" w:leader="dot" w:pos="9396"/>
            </w:tabs>
            <w:rPr>
              <w:noProof/>
            </w:rPr>
          </w:pPr>
          <w:r>
            <w:fldChar w:fldCharType="begin"/>
          </w:r>
          <w:r>
            <w:instrText>TOC \o "1-3" \h \z \u</w:instrText>
          </w:r>
          <w:r>
            <w:fldChar w:fldCharType="separate"/>
          </w:r>
          <w:hyperlink w:anchor="_Toc243681220" w:history="1">
            <w:r w:rsidR="00CA132B" w:rsidRPr="00EB2153">
              <w:rPr>
                <w:rStyle w:val="Hyperlink"/>
                <w:noProof/>
              </w:rPr>
              <w:t>Kurzfassung</w:t>
            </w:r>
            <w:r w:rsidR="00CA132B">
              <w:rPr>
                <w:noProof/>
                <w:webHidden/>
              </w:rPr>
              <w:tab/>
            </w:r>
            <w:r w:rsidR="00CA132B">
              <w:rPr>
                <w:noProof/>
                <w:webHidden/>
              </w:rPr>
              <w:fldChar w:fldCharType="begin"/>
            </w:r>
            <w:r w:rsidR="00CA132B">
              <w:rPr>
                <w:noProof/>
                <w:webHidden/>
              </w:rPr>
              <w:instrText xml:space="preserve"> PAGEREF _Toc243681220 \h </w:instrText>
            </w:r>
            <w:r w:rsidR="00CA132B">
              <w:rPr>
                <w:noProof/>
                <w:webHidden/>
              </w:rPr>
            </w:r>
            <w:r w:rsidR="00CA132B">
              <w:rPr>
                <w:noProof/>
                <w:webHidden/>
              </w:rPr>
              <w:fldChar w:fldCharType="separate"/>
            </w:r>
            <w:r w:rsidR="00CA132B">
              <w:rPr>
                <w:noProof/>
                <w:webHidden/>
              </w:rPr>
              <w:t>6</w:t>
            </w:r>
            <w:r w:rsidR="00CA132B">
              <w:rPr>
                <w:noProof/>
                <w:webHidden/>
              </w:rPr>
              <w:fldChar w:fldCharType="end"/>
            </w:r>
          </w:hyperlink>
        </w:p>
        <w:p w14:paraId="77552F59" w14:textId="53ACEAA5" w:rsidR="00CA132B" w:rsidRDefault="00CA132B">
          <w:pPr>
            <w:pStyle w:val="Verzeichnis2"/>
            <w:tabs>
              <w:tab w:val="right" w:leader="dot" w:pos="9396"/>
            </w:tabs>
            <w:rPr>
              <w:noProof/>
            </w:rPr>
          </w:pPr>
          <w:hyperlink w:anchor="_Toc243681221" w:history="1">
            <w:r w:rsidRPr="00EB2153">
              <w:rPr>
                <w:rStyle w:val="Hyperlink"/>
                <w:noProof/>
              </w:rPr>
              <w:t>Was wird bewertet?</w:t>
            </w:r>
            <w:r>
              <w:rPr>
                <w:noProof/>
                <w:webHidden/>
              </w:rPr>
              <w:tab/>
            </w:r>
            <w:r>
              <w:rPr>
                <w:noProof/>
                <w:webHidden/>
              </w:rPr>
              <w:fldChar w:fldCharType="begin"/>
            </w:r>
            <w:r>
              <w:rPr>
                <w:noProof/>
                <w:webHidden/>
              </w:rPr>
              <w:instrText xml:space="preserve"> PAGEREF _Toc243681221 \h </w:instrText>
            </w:r>
            <w:r>
              <w:rPr>
                <w:noProof/>
                <w:webHidden/>
              </w:rPr>
            </w:r>
            <w:r>
              <w:rPr>
                <w:noProof/>
                <w:webHidden/>
              </w:rPr>
              <w:fldChar w:fldCharType="separate"/>
            </w:r>
            <w:r>
              <w:rPr>
                <w:noProof/>
                <w:webHidden/>
              </w:rPr>
              <w:t>7</w:t>
            </w:r>
            <w:r>
              <w:rPr>
                <w:noProof/>
                <w:webHidden/>
              </w:rPr>
              <w:fldChar w:fldCharType="end"/>
            </w:r>
          </w:hyperlink>
        </w:p>
        <w:p w14:paraId="1A0673CD" w14:textId="7BD5BA96" w:rsidR="00CA132B" w:rsidRDefault="00CA132B">
          <w:pPr>
            <w:pStyle w:val="Verzeichnis2"/>
            <w:tabs>
              <w:tab w:val="right" w:leader="dot" w:pos="9396"/>
            </w:tabs>
            <w:rPr>
              <w:noProof/>
            </w:rPr>
          </w:pPr>
          <w:hyperlink w:anchor="_Toc243681222" w:history="1">
            <w:r w:rsidRPr="00EB2153">
              <w:rPr>
                <w:rStyle w:val="Hyperlink"/>
                <w:noProof/>
              </w:rPr>
              <w:t>Wie werden die Anforderungen hergeleitet?</w:t>
            </w:r>
            <w:r>
              <w:rPr>
                <w:noProof/>
                <w:webHidden/>
              </w:rPr>
              <w:tab/>
            </w:r>
            <w:r>
              <w:rPr>
                <w:noProof/>
                <w:webHidden/>
              </w:rPr>
              <w:fldChar w:fldCharType="begin"/>
            </w:r>
            <w:r>
              <w:rPr>
                <w:noProof/>
                <w:webHidden/>
              </w:rPr>
              <w:instrText xml:space="preserve"> PAGEREF _Toc243681222 \h </w:instrText>
            </w:r>
            <w:r>
              <w:rPr>
                <w:noProof/>
                <w:webHidden/>
              </w:rPr>
            </w:r>
            <w:r>
              <w:rPr>
                <w:noProof/>
                <w:webHidden/>
              </w:rPr>
              <w:fldChar w:fldCharType="separate"/>
            </w:r>
            <w:r>
              <w:rPr>
                <w:noProof/>
                <w:webHidden/>
              </w:rPr>
              <w:t>7</w:t>
            </w:r>
            <w:r>
              <w:rPr>
                <w:noProof/>
                <w:webHidden/>
              </w:rPr>
              <w:fldChar w:fldCharType="end"/>
            </w:r>
          </w:hyperlink>
        </w:p>
        <w:p w14:paraId="04954CBA" w14:textId="045970A9" w:rsidR="00CA132B" w:rsidRDefault="00CA132B">
          <w:pPr>
            <w:pStyle w:val="Verzeichnis2"/>
            <w:tabs>
              <w:tab w:val="right" w:leader="dot" w:pos="9396"/>
            </w:tabs>
            <w:rPr>
              <w:noProof/>
            </w:rPr>
          </w:pPr>
          <w:hyperlink w:anchor="_Toc243681223" w:history="1">
            <w:r w:rsidRPr="00EB2153">
              <w:rPr>
                <w:rStyle w:val="Hyperlink"/>
                <w:noProof/>
              </w:rPr>
              <w:t>Anwendung und wissenschaftliche Grundlage</w:t>
            </w:r>
            <w:r>
              <w:rPr>
                <w:noProof/>
                <w:webHidden/>
              </w:rPr>
              <w:tab/>
            </w:r>
            <w:r>
              <w:rPr>
                <w:noProof/>
                <w:webHidden/>
              </w:rPr>
              <w:fldChar w:fldCharType="begin"/>
            </w:r>
            <w:r>
              <w:rPr>
                <w:noProof/>
                <w:webHidden/>
              </w:rPr>
              <w:instrText xml:space="preserve"> PAGEREF _Toc243681223 \h </w:instrText>
            </w:r>
            <w:r>
              <w:rPr>
                <w:noProof/>
                <w:webHidden/>
              </w:rPr>
            </w:r>
            <w:r>
              <w:rPr>
                <w:noProof/>
                <w:webHidden/>
              </w:rPr>
              <w:fldChar w:fldCharType="separate"/>
            </w:r>
            <w:r>
              <w:rPr>
                <w:noProof/>
                <w:webHidden/>
              </w:rPr>
              <w:t>7</w:t>
            </w:r>
            <w:r>
              <w:rPr>
                <w:noProof/>
                <w:webHidden/>
              </w:rPr>
              <w:fldChar w:fldCharType="end"/>
            </w:r>
          </w:hyperlink>
        </w:p>
        <w:p w14:paraId="6EAD3975" w14:textId="1CC31218" w:rsidR="00CA132B" w:rsidRDefault="00CA132B">
          <w:pPr>
            <w:pStyle w:val="Verzeichnis1"/>
            <w:tabs>
              <w:tab w:val="right" w:leader="dot" w:pos="9396"/>
            </w:tabs>
            <w:rPr>
              <w:noProof/>
            </w:rPr>
          </w:pPr>
          <w:hyperlink w:anchor="_Toc243681224" w:history="1">
            <w:r w:rsidRPr="00EB2153">
              <w:rPr>
                <w:rStyle w:val="Hyperlink"/>
                <w:noProof/>
              </w:rPr>
              <w:t>1. Noch ein Standard?</w:t>
            </w:r>
            <w:r>
              <w:rPr>
                <w:noProof/>
                <w:webHidden/>
              </w:rPr>
              <w:tab/>
            </w:r>
            <w:r>
              <w:rPr>
                <w:noProof/>
                <w:webHidden/>
              </w:rPr>
              <w:fldChar w:fldCharType="begin"/>
            </w:r>
            <w:r>
              <w:rPr>
                <w:noProof/>
                <w:webHidden/>
              </w:rPr>
              <w:instrText xml:space="preserve"> PAGEREF _Toc243681224 \h </w:instrText>
            </w:r>
            <w:r>
              <w:rPr>
                <w:noProof/>
                <w:webHidden/>
              </w:rPr>
            </w:r>
            <w:r>
              <w:rPr>
                <w:noProof/>
                <w:webHidden/>
              </w:rPr>
              <w:fldChar w:fldCharType="separate"/>
            </w:r>
            <w:r>
              <w:rPr>
                <w:noProof/>
                <w:webHidden/>
              </w:rPr>
              <w:t>7</w:t>
            </w:r>
            <w:r>
              <w:rPr>
                <w:noProof/>
                <w:webHidden/>
              </w:rPr>
              <w:fldChar w:fldCharType="end"/>
            </w:r>
          </w:hyperlink>
        </w:p>
        <w:p w14:paraId="06823F0F" w14:textId="65393120" w:rsidR="00CA132B" w:rsidRDefault="00CA132B">
          <w:pPr>
            <w:pStyle w:val="Verzeichnis2"/>
            <w:tabs>
              <w:tab w:val="right" w:leader="dot" w:pos="9396"/>
            </w:tabs>
            <w:rPr>
              <w:noProof/>
            </w:rPr>
          </w:pPr>
          <w:hyperlink w:anchor="_Toc243681225" w:history="1">
            <w:r w:rsidRPr="00EB2153">
              <w:rPr>
                <w:rStyle w:val="Hyperlink"/>
                <w:noProof/>
              </w:rPr>
              <w:t>1.1 Herausforderungen des klimaneutralen Bauens</w:t>
            </w:r>
            <w:r>
              <w:rPr>
                <w:noProof/>
                <w:webHidden/>
              </w:rPr>
              <w:tab/>
            </w:r>
            <w:r>
              <w:rPr>
                <w:noProof/>
                <w:webHidden/>
              </w:rPr>
              <w:fldChar w:fldCharType="begin"/>
            </w:r>
            <w:r>
              <w:rPr>
                <w:noProof/>
                <w:webHidden/>
              </w:rPr>
              <w:instrText xml:space="preserve"> PAGEREF _Toc243681225 \h </w:instrText>
            </w:r>
            <w:r>
              <w:rPr>
                <w:noProof/>
                <w:webHidden/>
              </w:rPr>
            </w:r>
            <w:r>
              <w:rPr>
                <w:noProof/>
                <w:webHidden/>
              </w:rPr>
              <w:fldChar w:fldCharType="separate"/>
            </w:r>
            <w:r>
              <w:rPr>
                <w:noProof/>
                <w:webHidden/>
              </w:rPr>
              <w:t>8</w:t>
            </w:r>
            <w:r>
              <w:rPr>
                <w:noProof/>
                <w:webHidden/>
              </w:rPr>
              <w:fldChar w:fldCharType="end"/>
            </w:r>
          </w:hyperlink>
        </w:p>
        <w:p w14:paraId="4DB9D82C" w14:textId="51E91E98" w:rsidR="00CA132B" w:rsidRDefault="00CA132B">
          <w:pPr>
            <w:pStyle w:val="Verzeichnis2"/>
            <w:tabs>
              <w:tab w:val="right" w:leader="dot" w:pos="9396"/>
            </w:tabs>
            <w:rPr>
              <w:noProof/>
            </w:rPr>
          </w:pPr>
          <w:hyperlink w:anchor="_Toc243681226" w:history="1">
            <w:r w:rsidRPr="00EB2153">
              <w:rPr>
                <w:rStyle w:val="Hyperlink"/>
                <w:noProof/>
              </w:rPr>
              <w:t>1.2 Vom Nachhaltigkeitskriterium zum quantitativen Klimaziel</w:t>
            </w:r>
            <w:r>
              <w:rPr>
                <w:noProof/>
                <w:webHidden/>
              </w:rPr>
              <w:tab/>
            </w:r>
            <w:r>
              <w:rPr>
                <w:noProof/>
                <w:webHidden/>
              </w:rPr>
              <w:fldChar w:fldCharType="begin"/>
            </w:r>
            <w:r>
              <w:rPr>
                <w:noProof/>
                <w:webHidden/>
              </w:rPr>
              <w:instrText xml:space="preserve"> PAGEREF _Toc243681226 \h </w:instrText>
            </w:r>
            <w:r>
              <w:rPr>
                <w:noProof/>
                <w:webHidden/>
              </w:rPr>
            </w:r>
            <w:r>
              <w:rPr>
                <w:noProof/>
                <w:webHidden/>
              </w:rPr>
              <w:fldChar w:fldCharType="separate"/>
            </w:r>
            <w:r>
              <w:rPr>
                <w:noProof/>
                <w:webHidden/>
              </w:rPr>
              <w:t>8</w:t>
            </w:r>
            <w:r>
              <w:rPr>
                <w:noProof/>
                <w:webHidden/>
              </w:rPr>
              <w:fldChar w:fldCharType="end"/>
            </w:r>
          </w:hyperlink>
        </w:p>
        <w:p w14:paraId="6DA6F2E3" w14:textId="0E2EFAF6" w:rsidR="00CA132B" w:rsidRDefault="00CA132B">
          <w:pPr>
            <w:pStyle w:val="Verzeichnis1"/>
            <w:tabs>
              <w:tab w:val="right" w:leader="dot" w:pos="9396"/>
            </w:tabs>
            <w:rPr>
              <w:noProof/>
            </w:rPr>
          </w:pPr>
          <w:hyperlink w:anchor="_Toc243681227" w:history="1">
            <w:r w:rsidRPr="00EB2153">
              <w:rPr>
                <w:rStyle w:val="Hyperlink"/>
                <w:noProof/>
              </w:rPr>
              <w:t>2. Der Standard</w:t>
            </w:r>
            <w:r>
              <w:rPr>
                <w:noProof/>
                <w:webHidden/>
              </w:rPr>
              <w:tab/>
            </w:r>
            <w:r>
              <w:rPr>
                <w:noProof/>
                <w:webHidden/>
              </w:rPr>
              <w:fldChar w:fldCharType="begin"/>
            </w:r>
            <w:r>
              <w:rPr>
                <w:noProof/>
                <w:webHidden/>
              </w:rPr>
              <w:instrText xml:space="preserve"> PAGEREF _Toc243681227 \h </w:instrText>
            </w:r>
            <w:r>
              <w:rPr>
                <w:noProof/>
                <w:webHidden/>
              </w:rPr>
            </w:r>
            <w:r>
              <w:rPr>
                <w:noProof/>
                <w:webHidden/>
              </w:rPr>
              <w:fldChar w:fldCharType="separate"/>
            </w:r>
            <w:r>
              <w:rPr>
                <w:noProof/>
                <w:webHidden/>
              </w:rPr>
              <w:t>9</w:t>
            </w:r>
            <w:r>
              <w:rPr>
                <w:noProof/>
                <w:webHidden/>
              </w:rPr>
              <w:fldChar w:fldCharType="end"/>
            </w:r>
          </w:hyperlink>
        </w:p>
        <w:p w14:paraId="38C0E5AD" w14:textId="2F254897" w:rsidR="00CA132B" w:rsidRDefault="00CA132B">
          <w:pPr>
            <w:pStyle w:val="Verzeichnis2"/>
            <w:tabs>
              <w:tab w:val="right" w:leader="dot" w:pos="9396"/>
            </w:tabs>
            <w:rPr>
              <w:noProof/>
            </w:rPr>
          </w:pPr>
          <w:hyperlink w:anchor="_Toc243681228" w:history="1">
            <w:r w:rsidRPr="00EB2153">
              <w:rPr>
                <w:rStyle w:val="Hyperlink"/>
                <w:noProof/>
              </w:rPr>
              <w:t>2.1 Ziel und Bewertungsanspruch</w:t>
            </w:r>
            <w:r>
              <w:rPr>
                <w:noProof/>
                <w:webHidden/>
              </w:rPr>
              <w:tab/>
            </w:r>
            <w:r>
              <w:rPr>
                <w:noProof/>
                <w:webHidden/>
              </w:rPr>
              <w:fldChar w:fldCharType="begin"/>
            </w:r>
            <w:r>
              <w:rPr>
                <w:noProof/>
                <w:webHidden/>
              </w:rPr>
              <w:instrText xml:space="preserve"> PAGEREF _Toc243681228 \h </w:instrText>
            </w:r>
            <w:r>
              <w:rPr>
                <w:noProof/>
                <w:webHidden/>
              </w:rPr>
            </w:r>
            <w:r>
              <w:rPr>
                <w:noProof/>
                <w:webHidden/>
              </w:rPr>
              <w:fldChar w:fldCharType="separate"/>
            </w:r>
            <w:r>
              <w:rPr>
                <w:noProof/>
                <w:webHidden/>
              </w:rPr>
              <w:t>9</w:t>
            </w:r>
            <w:r>
              <w:rPr>
                <w:noProof/>
                <w:webHidden/>
              </w:rPr>
              <w:fldChar w:fldCharType="end"/>
            </w:r>
          </w:hyperlink>
        </w:p>
        <w:p w14:paraId="5B37F763" w14:textId="7BD9AC40" w:rsidR="00CA132B" w:rsidRDefault="00CA132B">
          <w:pPr>
            <w:pStyle w:val="Verzeichnis2"/>
            <w:tabs>
              <w:tab w:val="right" w:leader="dot" w:pos="9396"/>
            </w:tabs>
            <w:rPr>
              <w:noProof/>
            </w:rPr>
          </w:pPr>
          <w:hyperlink w:anchor="_Toc243681229" w:history="1">
            <w:r w:rsidRPr="00EB2153">
              <w:rPr>
                <w:rStyle w:val="Hyperlink"/>
                <w:noProof/>
              </w:rPr>
              <w:t>2.2 Die drei Qualitätsstufen</w:t>
            </w:r>
            <w:r>
              <w:rPr>
                <w:noProof/>
                <w:webHidden/>
              </w:rPr>
              <w:tab/>
            </w:r>
            <w:r>
              <w:rPr>
                <w:noProof/>
                <w:webHidden/>
              </w:rPr>
              <w:fldChar w:fldCharType="begin"/>
            </w:r>
            <w:r>
              <w:rPr>
                <w:noProof/>
                <w:webHidden/>
              </w:rPr>
              <w:instrText xml:space="preserve"> PAGEREF _Toc243681229 \h </w:instrText>
            </w:r>
            <w:r>
              <w:rPr>
                <w:noProof/>
                <w:webHidden/>
              </w:rPr>
            </w:r>
            <w:r>
              <w:rPr>
                <w:noProof/>
                <w:webHidden/>
              </w:rPr>
              <w:fldChar w:fldCharType="separate"/>
            </w:r>
            <w:r>
              <w:rPr>
                <w:noProof/>
                <w:webHidden/>
              </w:rPr>
              <w:t>10</w:t>
            </w:r>
            <w:r>
              <w:rPr>
                <w:noProof/>
                <w:webHidden/>
              </w:rPr>
              <w:fldChar w:fldCharType="end"/>
            </w:r>
          </w:hyperlink>
        </w:p>
        <w:p w14:paraId="0D1A6D21" w14:textId="0FEF39EE" w:rsidR="00CA132B" w:rsidRDefault="00CA132B">
          <w:pPr>
            <w:pStyle w:val="Verzeichnis2"/>
            <w:tabs>
              <w:tab w:val="right" w:leader="dot" w:pos="9396"/>
            </w:tabs>
            <w:rPr>
              <w:noProof/>
            </w:rPr>
          </w:pPr>
          <w:hyperlink w:anchor="_Toc243681230" w:history="1">
            <w:r w:rsidRPr="00EB2153">
              <w:rPr>
                <w:rStyle w:val="Hyperlink"/>
                <w:noProof/>
              </w:rPr>
              <w:t>2.3 Bewertungsgrößen und Erfüllungskriterien</w:t>
            </w:r>
            <w:r>
              <w:rPr>
                <w:noProof/>
                <w:webHidden/>
              </w:rPr>
              <w:tab/>
            </w:r>
            <w:r>
              <w:rPr>
                <w:noProof/>
                <w:webHidden/>
              </w:rPr>
              <w:fldChar w:fldCharType="begin"/>
            </w:r>
            <w:r>
              <w:rPr>
                <w:noProof/>
                <w:webHidden/>
              </w:rPr>
              <w:instrText xml:space="preserve"> PAGEREF _Toc243681230 \h </w:instrText>
            </w:r>
            <w:r>
              <w:rPr>
                <w:noProof/>
                <w:webHidden/>
              </w:rPr>
            </w:r>
            <w:r>
              <w:rPr>
                <w:noProof/>
                <w:webHidden/>
              </w:rPr>
              <w:fldChar w:fldCharType="separate"/>
            </w:r>
            <w:r>
              <w:rPr>
                <w:noProof/>
                <w:webHidden/>
              </w:rPr>
              <w:t>11</w:t>
            </w:r>
            <w:r>
              <w:rPr>
                <w:noProof/>
                <w:webHidden/>
              </w:rPr>
              <w:fldChar w:fldCharType="end"/>
            </w:r>
          </w:hyperlink>
        </w:p>
        <w:p w14:paraId="49D94E80" w14:textId="50317618" w:rsidR="00CA132B" w:rsidRDefault="00CA132B">
          <w:pPr>
            <w:pStyle w:val="Verzeichnis2"/>
            <w:tabs>
              <w:tab w:val="right" w:leader="dot" w:pos="9396"/>
            </w:tabs>
            <w:rPr>
              <w:noProof/>
            </w:rPr>
          </w:pPr>
          <w:hyperlink w:anchor="_Toc243681231" w:history="1">
            <w:r w:rsidRPr="00EB2153">
              <w:rPr>
                <w:rStyle w:val="Hyperlink"/>
                <w:noProof/>
              </w:rPr>
              <w:t>2.4 Kontextabhängige Anforderungen</w:t>
            </w:r>
            <w:r>
              <w:rPr>
                <w:noProof/>
                <w:webHidden/>
              </w:rPr>
              <w:tab/>
            </w:r>
            <w:r>
              <w:rPr>
                <w:noProof/>
                <w:webHidden/>
              </w:rPr>
              <w:fldChar w:fldCharType="begin"/>
            </w:r>
            <w:r>
              <w:rPr>
                <w:noProof/>
                <w:webHidden/>
              </w:rPr>
              <w:instrText xml:space="preserve"> PAGEREF _Toc243681231 \h </w:instrText>
            </w:r>
            <w:r>
              <w:rPr>
                <w:noProof/>
                <w:webHidden/>
              </w:rPr>
            </w:r>
            <w:r>
              <w:rPr>
                <w:noProof/>
                <w:webHidden/>
              </w:rPr>
              <w:fldChar w:fldCharType="separate"/>
            </w:r>
            <w:r>
              <w:rPr>
                <w:noProof/>
                <w:webHidden/>
              </w:rPr>
              <w:t>11</w:t>
            </w:r>
            <w:r>
              <w:rPr>
                <w:noProof/>
                <w:webHidden/>
              </w:rPr>
              <w:fldChar w:fldCharType="end"/>
            </w:r>
          </w:hyperlink>
        </w:p>
        <w:p w14:paraId="30A5513A" w14:textId="641B4537" w:rsidR="00CA132B" w:rsidRDefault="00CA132B">
          <w:pPr>
            <w:pStyle w:val="Verzeichnis2"/>
            <w:tabs>
              <w:tab w:val="right" w:leader="dot" w:pos="9396"/>
            </w:tabs>
            <w:rPr>
              <w:noProof/>
            </w:rPr>
          </w:pPr>
          <w:hyperlink w:anchor="_Toc243681232" w:history="1">
            <w:r w:rsidRPr="00EB2153">
              <w:rPr>
                <w:rStyle w:val="Hyperlink"/>
                <w:noProof/>
              </w:rPr>
              <w:t>2.5 Bedeutung und Grenzen der Bewertung</w:t>
            </w:r>
            <w:r>
              <w:rPr>
                <w:noProof/>
                <w:webHidden/>
              </w:rPr>
              <w:tab/>
            </w:r>
            <w:r>
              <w:rPr>
                <w:noProof/>
                <w:webHidden/>
              </w:rPr>
              <w:fldChar w:fldCharType="begin"/>
            </w:r>
            <w:r>
              <w:rPr>
                <w:noProof/>
                <w:webHidden/>
              </w:rPr>
              <w:instrText xml:space="preserve"> PAGEREF _Toc243681232 \h </w:instrText>
            </w:r>
            <w:r>
              <w:rPr>
                <w:noProof/>
                <w:webHidden/>
              </w:rPr>
            </w:r>
            <w:r>
              <w:rPr>
                <w:noProof/>
                <w:webHidden/>
              </w:rPr>
              <w:fldChar w:fldCharType="separate"/>
            </w:r>
            <w:r>
              <w:rPr>
                <w:noProof/>
                <w:webHidden/>
              </w:rPr>
              <w:t>12</w:t>
            </w:r>
            <w:r>
              <w:rPr>
                <w:noProof/>
                <w:webHidden/>
              </w:rPr>
              <w:fldChar w:fldCharType="end"/>
            </w:r>
          </w:hyperlink>
        </w:p>
        <w:p w14:paraId="5129F7E9" w14:textId="4EEF3488" w:rsidR="00CA132B" w:rsidRDefault="00CA132B">
          <w:pPr>
            <w:pStyle w:val="Verzeichnis1"/>
            <w:tabs>
              <w:tab w:val="right" w:leader="dot" w:pos="9396"/>
            </w:tabs>
            <w:rPr>
              <w:noProof/>
            </w:rPr>
          </w:pPr>
          <w:hyperlink w:anchor="_Toc243681233" w:history="1">
            <w:r w:rsidRPr="00EB2153">
              <w:rPr>
                <w:rStyle w:val="Hyperlink"/>
                <w:noProof/>
              </w:rPr>
              <w:t>3. Von nationalen Zielpfaden zur Quartiersbilanz</w:t>
            </w:r>
            <w:r>
              <w:rPr>
                <w:noProof/>
                <w:webHidden/>
              </w:rPr>
              <w:tab/>
            </w:r>
            <w:r>
              <w:rPr>
                <w:noProof/>
                <w:webHidden/>
              </w:rPr>
              <w:fldChar w:fldCharType="begin"/>
            </w:r>
            <w:r>
              <w:rPr>
                <w:noProof/>
                <w:webHidden/>
              </w:rPr>
              <w:instrText xml:space="preserve"> PAGEREF _Toc243681233 \h </w:instrText>
            </w:r>
            <w:r>
              <w:rPr>
                <w:noProof/>
                <w:webHidden/>
              </w:rPr>
            </w:r>
            <w:r>
              <w:rPr>
                <w:noProof/>
                <w:webHidden/>
              </w:rPr>
              <w:fldChar w:fldCharType="separate"/>
            </w:r>
            <w:r>
              <w:rPr>
                <w:noProof/>
                <w:webHidden/>
              </w:rPr>
              <w:t>12</w:t>
            </w:r>
            <w:r>
              <w:rPr>
                <w:noProof/>
                <w:webHidden/>
              </w:rPr>
              <w:fldChar w:fldCharType="end"/>
            </w:r>
          </w:hyperlink>
        </w:p>
        <w:p w14:paraId="52187751" w14:textId="43E7E804" w:rsidR="00CA132B" w:rsidRDefault="00CA132B">
          <w:pPr>
            <w:pStyle w:val="Verzeichnis2"/>
            <w:tabs>
              <w:tab w:val="right" w:leader="dot" w:pos="9396"/>
            </w:tabs>
            <w:rPr>
              <w:noProof/>
            </w:rPr>
          </w:pPr>
          <w:hyperlink w:anchor="_Toc243681234" w:history="1">
            <w:r w:rsidRPr="00EB2153">
              <w:rPr>
                <w:rStyle w:val="Hyperlink"/>
                <w:noProof/>
              </w:rPr>
              <w:t>3.1 Vom nationalen Szenario zur Kalibrierung</w:t>
            </w:r>
            <w:r>
              <w:rPr>
                <w:noProof/>
                <w:webHidden/>
              </w:rPr>
              <w:tab/>
            </w:r>
            <w:r>
              <w:rPr>
                <w:noProof/>
                <w:webHidden/>
              </w:rPr>
              <w:fldChar w:fldCharType="begin"/>
            </w:r>
            <w:r>
              <w:rPr>
                <w:noProof/>
                <w:webHidden/>
              </w:rPr>
              <w:instrText xml:space="preserve"> PAGEREF _Toc243681234 \h </w:instrText>
            </w:r>
            <w:r>
              <w:rPr>
                <w:noProof/>
                <w:webHidden/>
              </w:rPr>
            </w:r>
            <w:r>
              <w:rPr>
                <w:noProof/>
                <w:webHidden/>
              </w:rPr>
              <w:fldChar w:fldCharType="separate"/>
            </w:r>
            <w:r>
              <w:rPr>
                <w:noProof/>
                <w:webHidden/>
              </w:rPr>
              <w:t>14</w:t>
            </w:r>
            <w:r>
              <w:rPr>
                <w:noProof/>
                <w:webHidden/>
              </w:rPr>
              <w:fldChar w:fldCharType="end"/>
            </w:r>
          </w:hyperlink>
        </w:p>
        <w:p w14:paraId="0FA637D2" w14:textId="0D951BFB" w:rsidR="00CA132B" w:rsidRDefault="00CA132B">
          <w:pPr>
            <w:pStyle w:val="Verzeichnis2"/>
            <w:tabs>
              <w:tab w:val="right" w:leader="dot" w:pos="9396"/>
            </w:tabs>
            <w:rPr>
              <w:noProof/>
            </w:rPr>
          </w:pPr>
          <w:hyperlink w:anchor="_Toc243681235" w:history="1">
            <w:r w:rsidRPr="00EB2153">
              <w:rPr>
                <w:rStyle w:val="Hyperlink"/>
                <w:noProof/>
              </w:rPr>
              <w:t>3.2 Bilanzziel und virtuelle Kontextwerte</w:t>
            </w:r>
            <w:r>
              <w:rPr>
                <w:noProof/>
                <w:webHidden/>
              </w:rPr>
              <w:tab/>
            </w:r>
            <w:r>
              <w:rPr>
                <w:noProof/>
                <w:webHidden/>
              </w:rPr>
              <w:fldChar w:fldCharType="begin"/>
            </w:r>
            <w:r>
              <w:rPr>
                <w:noProof/>
                <w:webHidden/>
              </w:rPr>
              <w:instrText xml:space="preserve"> PAGEREF _Toc243681235 \h </w:instrText>
            </w:r>
            <w:r>
              <w:rPr>
                <w:noProof/>
                <w:webHidden/>
              </w:rPr>
            </w:r>
            <w:r>
              <w:rPr>
                <w:noProof/>
                <w:webHidden/>
              </w:rPr>
              <w:fldChar w:fldCharType="separate"/>
            </w:r>
            <w:r>
              <w:rPr>
                <w:noProof/>
                <w:webHidden/>
              </w:rPr>
              <w:t>15</w:t>
            </w:r>
            <w:r>
              <w:rPr>
                <w:noProof/>
                <w:webHidden/>
              </w:rPr>
              <w:fldChar w:fldCharType="end"/>
            </w:r>
          </w:hyperlink>
        </w:p>
        <w:p w14:paraId="76B81B26" w14:textId="5A792F1B" w:rsidR="00CA132B" w:rsidRDefault="00CA132B">
          <w:pPr>
            <w:pStyle w:val="Verzeichnis1"/>
            <w:tabs>
              <w:tab w:val="right" w:leader="dot" w:pos="9396"/>
            </w:tabs>
            <w:rPr>
              <w:noProof/>
            </w:rPr>
          </w:pPr>
          <w:hyperlink w:anchor="_Toc243681236" w:history="1">
            <w:r w:rsidRPr="00EB2153">
              <w:rPr>
                <w:rStyle w:val="Hyperlink"/>
                <w:noProof/>
              </w:rPr>
              <w:t>4. Nationales Zielszenario 2040</w:t>
            </w:r>
            <w:r>
              <w:rPr>
                <w:noProof/>
                <w:webHidden/>
              </w:rPr>
              <w:tab/>
            </w:r>
            <w:r>
              <w:rPr>
                <w:noProof/>
                <w:webHidden/>
              </w:rPr>
              <w:fldChar w:fldCharType="begin"/>
            </w:r>
            <w:r>
              <w:rPr>
                <w:noProof/>
                <w:webHidden/>
              </w:rPr>
              <w:instrText xml:space="preserve"> PAGEREF _Toc243681236 \h </w:instrText>
            </w:r>
            <w:r>
              <w:rPr>
                <w:noProof/>
                <w:webHidden/>
              </w:rPr>
            </w:r>
            <w:r>
              <w:rPr>
                <w:noProof/>
                <w:webHidden/>
              </w:rPr>
              <w:fldChar w:fldCharType="separate"/>
            </w:r>
            <w:r>
              <w:rPr>
                <w:noProof/>
                <w:webHidden/>
              </w:rPr>
              <w:t>16</w:t>
            </w:r>
            <w:r>
              <w:rPr>
                <w:noProof/>
                <w:webHidden/>
              </w:rPr>
              <w:fldChar w:fldCharType="end"/>
            </w:r>
          </w:hyperlink>
        </w:p>
        <w:p w14:paraId="0FF672EC" w14:textId="0598590A" w:rsidR="00CA132B" w:rsidRDefault="00CA132B">
          <w:pPr>
            <w:pStyle w:val="Verzeichnis2"/>
            <w:tabs>
              <w:tab w:val="right" w:leader="dot" w:pos="9396"/>
            </w:tabs>
            <w:rPr>
              <w:noProof/>
            </w:rPr>
          </w:pPr>
          <w:hyperlink w:anchor="_Toc243681237" w:history="1">
            <w:r w:rsidRPr="00EB2153">
              <w:rPr>
                <w:rStyle w:val="Hyperlink"/>
                <w:noProof/>
              </w:rPr>
              <w:t>4.1 Stromerzeugung und Strombedarf</w:t>
            </w:r>
            <w:r>
              <w:rPr>
                <w:noProof/>
                <w:webHidden/>
              </w:rPr>
              <w:tab/>
            </w:r>
            <w:r>
              <w:rPr>
                <w:noProof/>
                <w:webHidden/>
              </w:rPr>
              <w:fldChar w:fldCharType="begin"/>
            </w:r>
            <w:r>
              <w:rPr>
                <w:noProof/>
                <w:webHidden/>
              </w:rPr>
              <w:instrText xml:space="preserve"> PAGEREF _Toc243681237 \h </w:instrText>
            </w:r>
            <w:r>
              <w:rPr>
                <w:noProof/>
                <w:webHidden/>
              </w:rPr>
            </w:r>
            <w:r>
              <w:rPr>
                <w:noProof/>
                <w:webHidden/>
              </w:rPr>
              <w:fldChar w:fldCharType="separate"/>
            </w:r>
            <w:r>
              <w:rPr>
                <w:noProof/>
                <w:webHidden/>
              </w:rPr>
              <w:t>16</w:t>
            </w:r>
            <w:r>
              <w:rPr>
                <w:noProof/>
                <w:webHidden/>
              </w:rPr>
              <w:fldChar w:fldCharType="end"/>
            </w:r>
          </w:hyperlink>
        </w:p>
        <w:p w14:paraId="7CA393C9" w14:textId="4FA5B146" w:rsidR="00CA132B" w:rsidRDefault="00CA132B">
          <w:pPr>
            <w:pStyle w:val="Verzeichnis2"/>
            <w:tabs>
              <w:tab w:val="right" w:leader="dot" w:pos="9396"/>
            </w:tabs>
            <w:rPr>
              <w:noProof/>
            </w:rPr>
          </w:pPr>
          <w:hyperlink w:anchor="_Toc243681238" w:history="1">
            <w:r w:rsidRPr="00EB2153">
              <w:rPr>
                <w:rStyle w:val="Hyperlink"/>
                <w:noProof/>
              </w:rPr>
              <w:t>4.2 Bilanzreste und Datengrundlage</w:t>
            </w:r>
            <w:r>
              <w:rPr>
                <w:noProof/>
                <w:webHidden/>
              </w:rPr>
              <w:tab/>
            </w:r>
            <w:r>
              <w:rPr>
                <w:noProof/>
                <w:webHidden/>
              </w:rPr>
              <w:fldChar w:fldCharType="begin"/>
            </w:r>
            <w:r>
              <w:rPr>
                <w:noProof/>
                <w:webHidden/>
              </w:rPr>
              <w:instrText xml:space="preserve"> PAGEREF _Toc243681238 \h </w:instrText>
            </w:r>
            <w:r>
              <w:rPr>
                <w:noProof/>
                <w:webHidden/>
              </w:rPr>
            </w:r>
            <w:r>
              <w:rPr>
                <w:noProof/>
                <w:webHidden/>
              </w:rPr>
              <w:fldChar w:fldCharType="separate"/>
            </w:r>
            <w:r>
              <w:rPr>
                <w:noProof/>
                <w:webHidden/>
              </w:rPr>
              <w:t>16</w:t>
            </w:r>
            <w:r>
              <w:rPr>
                <w:noProof/>
                <w:webHidden/>
              </w:rPr>
              <w:fldChar w:fldCharType="end"/>
            </w:r>
          </w:hyperlink>
        </w:p>
        <w:p w14:paraId="2A696DDF" w14:textId="58209BA1" w:rsidR="00CA132B" w:rsidRDefault="00CA132B">
          <w:pPr>
            <w:pStyle w:val="Verzeichnis2"/>
            <w:tabs>
              <w:tab w:val="right" w:leader="dot" w:pos="9396"/>
            </w:tabs>
            <w:rPr>
              <w:noProof/>
            </w:rPr>
          </w:pPr>
          <w:hyperlink w:anchor="_Toc243681239" w:history="1">
            <w:r w:rsidRPr="00EB2153">
              <w:rPr>
                <w:rStyle w:val="Hyperlink"/>
                <w:noProof/>
              </w:rPr>
              <w:t>4.3 Entwicklung von 2020 bis 2040</w:t>
            </w:r>
            <w:r>
              <w:rPr>
                <w:noProof/>
                <w:webHidden/>
              </w:rPr>
              <w:tab/>
            </w:r>
            <w:r>
              <w:rPr>
                <w:noProof/>
                <w:webHidden/>
              </w:rPr>
              <w:fldChar w:fldCharType="begin"/>
            </w:r>
            <w:r>
              <w:rPr>
                <w:noProof/>
                <w:webHidden/>
              </w:rPr>
              <w:instrText xml:space="preserve"> PAGEREF _Toc243681239 \h </w:instrText>
            </w:r>
            <w:r>
              <w:rPr>
                <w:noProof/>
                <w:webHidden/>
              </w:rPr>
            </w:r>
            <w:r>
              <w:rPr>
                <w:noProof/>
                <w:webHidden/>
              </w:rPr>
              <w:fldChar w:fldCharType="separate"/>
            </w:r>
            <w:r>
              <w:rPr>
                <w:noProof/>
                <w:webHidden/>
              </w:rPr>
              <w:t>16</w:t>
            </w:r>
            <w:r>
              <w:rPr>
                <w:noProof/>
                <w:webHidden/>
              </w:rPr>
              <w:fldChar w:fldCharType="end"/>
            </w:r>
          </w:hyperlink>
        </w:p>
        <w:p w14:paraId="29A8D490" w14:textId="607B8CDB" w:rsidR="00CA132B" w:rsidRDefault="00CA132B">
          <w:pPr>
            <w:pStyle w:val="Verzeichnis2"/>
            <w:tabs>
              <w:tab w:val="right" w:leader="dot" w:pos="9396"/>
            </w:tabs>
            <w:rPr>
              <w:noProof/>
            </w:rPr>
          </w:pPr>
          <w:hyperlink w:anchor="_Toc243681240" w:history="1">
            <w:r w:rsidRPr="00EB2153">
              <w:rPr>
                <w:rStyle w:val="Hyperlink"/>
                <w:noProof/>
              </w:rPr>
              <w:t>4.4 Übergang zur Allokation</w:t>
            </w:r>
            <w:r>
              <w:rPr>
                <w:noProof/>
                <w:webHidden/>
              </w:rPr>
              <w:tab/>
            </w:r>
            <w:r>
              <w:rPr>
                <w:noProof/>
                <w:webHidden/>
              </w:rPr>
              <w:fldChar w:fldCharType="begin"/>
            </w:r>
            <w:r>
              <w:rPr>
                <w:noProof/>
                <w:webHidden/>
              </w:rPr>
              <w:instrText xml:space="preserve"> PAGEREF _Toc243681240 \h </w:instrText>
            </w:r>
            <w:r>
              <w:rPr>
                <w:noProof/>
                <w:webHidden/>
              </w:rPr>
            </w:r>
            <w:r>
              <w:rPr>
                <w:noProof/>
                <w:webHidden/>
              </w:rPr>
              <w:fldChar w:fldCharType="separate"/>
            </w:r>
            <w:r>
              <w:rPr>
                <w:noProof/>
                <w:webHidden/>
              </w:rPr>
              <w:t>17</w:t>
            </w:r>
            <w:r>
              <w:rPr>
                <w:noProof/>
                <w:webHidden/>
              </w:rPr>
              <w:fldChar w:fldCharType="end"/>
            </w:r>
          </w:hyperlink>
        </w:p>
        <w:p w14:paraId="4CEF55E7" w14:textId="2E359CEF" w:rsidR="00CA132B" w:rsidRDefault="00CA132B">
          <w:pPr>
            <w:pStyle w:val="Verzeichnis1"/>
            <w:tabs>
              <w:tab w:val="right" w:leader="dot" w:pos="9396"/>
            </w:tabs>
            <w:rPr>
              <w:noProof/>
            </w:rPr>
          </w:pPr>
          <w:hyperlink w:anchor="_Toc243681241" w:history="1">
            <w:r w:rsidRPr="00EB2153">
              <w:rPr>
                <w:rStyle w:val="Hyperlink"/>
                <w:noProof/>
              </w:rPr>
              <w:t>5. Sektorale Energieallokation</w:t>
            </w:r>
            <w:r>
              <w:rPr>
                <w:noProof/>
                <w:webHidden/>
              </w:rPr>
              <w:tab/>
            </w:r>
            <w:r>
              <w:rPr>
                <w:noProof/>
                <w:webHidden/>
              </w:rPr>
              <w:fldChar w:fldCharType="begin"/>
            </w:r>
            <w:r>
              <w:rPr>
                <w:noProof/>
                <w:webHidden/>
              </w:rPr>
              <w:instrText xml:space="preserve"> PAGEREF _Toc243681241 \h </w:instrText>
            </w:r>
            <w:r>
              <w:rPr>
                <w:noProof/>
                <w:webHidden/>
              </w:rPr>
            </w:r>
            <w:r>
              <w:rPr>
                <w:noProof/>
                <w:webHidden/>
              </w:rPr>
              <w:fldChar w:fldCharType="separate"/>
            </w:r>
            <w:r>
              <w:rPr>
                <w:noProof/>
                <w:webHidden/>
              </w:rPr>
              <w:t>17</w:t>
            </w:r>
            <w:r>
              <w:rPr>
                <w:noProof/>
                <w:webHidden/>
              </w:rPr>
              <w:fldChar w:fldCharType="end"/>
            </w:r>
          </w:hyperlink>
        </w:p>
        <w:p w14:paraId="14BF6499" w14:textId="73879E1E" w:rsidR="00CA132B" w:rsidRDefault="00CA132B">
          <w:pPr>
            <w:pStyle w:val="Verzeichnis2"/>
            <w:tabs>
              <w:tab w:val="right" w:leader="dot" w:pos="9396"/>
            </w:tabs>
            <w:rPr>
              <w:noProof/>
            </w:rPr>
          </w:pPr>
          <w:hyperlink w:anchor="_Toc243681242" w:history="1">
            <w:r w:rsidRPr="00EB2153">
              <w:rPr>
                <w:rStyle w:val="Hyperlink"/>
                <w:noProof/>
              </w:rPr>
              <w:t>5.1 Begriffe und Bilanzgrößen</w:t>
            </w:r>
            <w:r>
              <w:rPr>
                <w:noProof/>
                <w:webHidden/>
              </w:rPr>
              <w:tab/>
            </w:r>
            <w:r>
              <w:rPr>
                <w:noProof/>
                <w:webHidden/>
              </w:rPr>
              <w:fldChar w:fldCharType="begin"/>
            </w:r>
            <w:r>
              <w:rPr>
                <w:noProof/>
                <w:webHidden/>
              </w:rPr>
              <w:instrText xml:space="preserve"> PAGEREF _Toc243681242 \h </w:instrText>
            </w:r>
            <w:r>
              <w:rPr>
                <w:noProof/>
                <w:webHidden/>
              </w:rPr>
            </w:r>
            <w:r>
              <w:rPr>
                <w:noProof/>
                <w:webHidden/>
              </w:rPr>
              <w:fldChar w:fldCharType="separate"/>
            </w:r>
            <w:r>
              <w:rPr>
                <w:noProof/>
                <w:webHidden/>
              </w:rPr>
              <w:t>18</w:t>
            </w:r>
            <w:r>
              <w:rPr>
                <w:noProof/>
                <w:webHidden/>
              </w:rPr>
              <w:fldChar w:fldCharType="end"/>
            </w:r>
          </w:hyperlink>
        </w:p>
        <w:p w14:paraId="0D8307B8" w14:textId="41699C8E" w:rsidR="00CA132B" w:rsidRDefault="00CA132B">
          <w:pPr>
            <w:pStyle w:val="Verzeichnis2"/>
            <w:tabs>
              <w:tab w:val="right" w:leader="dot" w:pos="9396"/>
            </w:tabs>
            <w:rPr>
              <w:noProof/>
            </w:rPr>
          </w:pPr>
          <w:hyperlink w:anchor="_Toc243681243" w:history="1">
            <w:r w:rsidRPr="00EB2153">
              <w:rPr>
                <w:rStyle w:val="Hyperlink"/>
                <w:noProof/>
              </w:rPr>
              <w:t>5.2 Erzeugungszuordnung und Prioritäten</w:t>
            </w:r>
            <w:r>
              <w:rPr>
                <w:noProof/>
                <w:webHidden/>
              </w:rPr>
              <w:tab/>
            </w:r>
            <w:r>
              <w:rPr>
                <w:noProof/>
                <w:webHidden/>
              </w:rPr>
              <w:fldChar w:fldCharType="begin"/>
            </w:r>
            <w:r>
              <w:rPr>
                <w:noProof/>
                <w:webHidden/>
              </w:rPr>
              <w:instrText xml:space="preserve"> PAGEREF _Toc243681243 \h </w:instrText>
            </w:r>
            <w:r>
              <w:rPr>
                <w:noProof/>
                <w:webHidden/>
              </w:rPr>
            </w:r>
            <w:r>
              <w:rPr>
                <w:noProof/>
                <w:webHidden/>
              </w:rPr>
              <w:fldChar w:fldCharType="separate"/>
            </w:r>
            <w:r>
              <w:rPr>
                <w:noProof/>
                <w:webHidden/>
              </w:rPr>
              <w:t>18</w:t>
            </w:r>
            <w:r>
              <w:rPr>
                <w:noProof/>
                <w:webHidden/>
              </w:rPr>
              <w:fldChar w:fldCharType="end"/>
            </w:r>
          </w:hyperlink>
        </w:p>
        <w:p w14:paraId="76CBD1EA" w14:textId="3CA3A140" w:rsidR="00CA132B" w:rsidRDefault="00CA132B">
          <w:pPr>
            <w:pStyle w:val="Verzeichnis2"/>
            <w:tabs>
              <w:tab w:val="right" w:leader="dot" w:pos="9396"/>
            </w:tabs>
            <w:rPr>
              <w:noProof/>
            </w:rPr>
          </w:pPr>
          <w:hyperlink w:anchor="_Toc243681244" w:history="1">
            <w:r w:rsidRPr="00EB2153">
              <w:rPr>
                <w:rStyle w:val="Hyperlink"/>
                <w:noProof/>
              </w:rPr>
              <w:t>5.3 Berechnung von Mobilitätsbudget und Gebäudesaldo</w:t>
            </w:r>
            <w:r>
              <w:rPr>
                <w:noProof/>
                <w:webHidden/>
              </w:rPr>
              <w:tab/>
            </w:r>
            <w:r>
              <w:rPr>
                <w:noProof/>
                <w:webHidden/>
              </w:rPr>
              <w:fldChar w:fldCharType="begin"/>
            </w:r>
            <w:r>
              <w:rPr>
                <w:noProof/>
                <w:webHidden/>
              </w:rPr>
              <w:instrText xml:space="preserve"> PAGEREF _Toc243681244 \h </w:instrText>
            </w:r>
            <w:r>
              <w:rPr>
                <w:noProof/>
                <w:webHidden/>
              </w:rPr>
            </w:r>
            <w:r>
              <w:rPr>
                <w:noProof/>
                <w:webHidden/>
              </w:rPr>
              <w:fldChar w:fldCharType="separate"/>
            </w:r>
            <w:r>
              <w:rPr>
                <w:noProof/>
                <w:webHidden/>
              </w:rPr>
              <w:t>19</w:t>
            </w:r>
            <w:r>
              <w:rPr>
                <w:noProof/>
                <w:webHidden/>
              </w:rPr>
              <w:fldChar w:fldCharType="end"/>
            </w:r>
          </w:hyperlink>
        </w:p>
        <w:p w14:paraId="0441076E" w14:textId="4CC48306" w:rsidR="00CA132B" w:rsidRDefault="00CA132B">
          <w:pPr>
            <w:pStyle w:val="Verzeichnis2"/>
            <w:tabs>
              <w:tab w:val="right" w:leader="dot" w:pos="9396"/>
            </w:tabs>
            <w:rPr>
              <w:noProof/>
            </w:rPr>
          </w:pPr>
          <w:hyperlink w:anchor="_Toc243681245" w:history="1">
            <w:r w:rsidRPr="00EB2153">
              <w:rPr>
                <w:rStyle w:val="Hyperlink"/>
                <w:noProof/>
              </w:rPr>
              <w:t>5.4 Quantitative Allokation und Stellschrauben</w:t>
            </w:r>
            <w:r>
              <w:rPr>
                <w:noProof/>
                <w:webHidden/>
              </w:rPr>
              <w:tab/>
            </w:r>
            <w:r>
              <w:rPr>
                <w:noProof/>
                <w:webHidden/>
              </w:rPr>
              <w:fldChar w:fldCharType="begin"/>
            </w:r>
            <w:r>
              <w:rPr>
                <w:noProof/>
                <w:webHidden/>
              </w:rPr>
              <w:instrText xml:space="preserve"> PAGEREF _Toc243681245 \h </w:instrText>
            </w:r>
            <w:r>
              <w:rPr>
                <w:noProof/>
                <w:webHidden/>
              </w:rPr>
            </w:r>
            <w:r>
              <w:rPr>
                <w:noProof/>
                <w:webHidden/>
              </w:rPr>
              <w:fldChar w:fldCharType="separate"/>
            </w:r>
            <w:r>
              <w:rPr>
                <w:noProof/>
                <w:webHidden/>
              </w:rPr>
              <w:t>20</w:t>
            </w:r>
            <w:r>
              <w:rPr>
                <w:noProof/>
                <w:webHidden/>
              </w:rPr>
              <w:fldChar w:fldCharType="end"/>
            </w:r>
          </w:hyperlink>
        </w:p>
        <w:p w14:paraId="4DC6BF88" w14:textId="11CD69A5" w:rsidR="00CA132B" w:rsidRDefault="00CA132B">
          <w:pPr>
            <w:pStyle w:val="Verzeichnis2"/>
            <w:tabs>
              <w:tab w:val="right" w:leader="dot" w:pos="9396"/>
            </w:tabs>
            <w:rPr>
              <w:noProof/>
            </w:rPr>
          </w:pPr>
          <w:hyperlink w:anchor="_Toc243681246" w:history="1">
            <w:r w:rsidRPr="00EB2153">
              <w:rPr>
                <w:rStyle w:val="Hyperlink"/>
                <w:noProof/>
              </w:rPr>
              <w:t>5.5 Übergang zur Gebäude- und Quartiersbewertung</w:t>
            </w:r>
            <w:r>
              <w:rPr>
                <w:noProof/>
                <w:webHidden/>
              </w:rPr>
              <w:tab/>
            </w:r>
            <w:r>
              <w:rPr>
                <w:noProof/>
                <w:webHidden/>
              </w:rPr>
              <w:fldChar w:fldCharType="begin"/>
            </w:r>
            <w:r>
              <w:rPr>
                <w:noProof/>
                <w:webHidden/>
              </w:rPr>
              <w:instrText xml:space="preserve"> PAGEREF _Toc243681246 \h </w:instrText>
            </w:r>
            <w:r>
              <w:rPr>
                <w:noProof/>
                <w:webHidden/>
              </w:rPr>
            </w:r>
            <w:r>
              <w:rPr>
                <w:noProof/>
                <w:webHidden/>
              </w:rPr>
              <w:fldChar w:fldCharType="separate"/>
            </w:r>
            <w:r>
              <w:rPr>
                <w:noProof/>
                <w:webHidden/>
              </w:rPr>
              <w:t>21</w:t>
            </w:r>
            <w:r>
              <w:rPr>
                <w:noProof/>
                <w:webHidden/>
              </w:rPr>
              <w:fldChar w:fldCharType="end"/>
            </w:r>
          </w:hyperlink>
        </w:p>
        <w:p w14:paraId="5CAEA390" w14:textId="0147BB2A" w:rsidR="00CA132B" w:rsidRDefault="00CA132B">
          <w:pPr>
            <w:pStyle w:val="Verzeichnis1"/>
            <w:tabs>
              <w:tab w:val="right" w:leader="dot" w:pos="9396"/>
            </w:tabs>
            <w:rPr>
              <w:noProof/>
            </w:rPr>
          </w:pPr>
          <w:hyperlink w:anchor="_Toc243681247" w:history="1">
            <w:r w:rsidRPr="00EB2153">
              <w:rPr>
                <w:rStyle w:val="Hyperlink"/>
                <w:noProof/>
              </w:rPr>
              <w:t>6. Gebäudebestand und Entwicklungsszenario 2040</w:t>
            </w:r>
            <w:r>
              <w:rPr>
                <w:noProof/>
                <w:webHidden/>
              </w:rPr>
              <w:tab/>
            </w:r>
            <w:r>
              <w:rPr>
                <w:noProof/>
                <w:webHidden/>
              </w:rPr>
              <w:fldChar w:fldCharType="begin"/>
            </w:r>
            <w:r>
              <w:rPr>
                <w:noProof/>
                <w:webHidden/>
              </w:rPr>
              <w:instrText xml:space="preserve"> PAGEREF _Toc243681247 \h </w:instrText>
            </w:r>
            <w:r>
              <w:rPr>
                <w:noProof/>
                <w:webHidden/>
              </w:rPr>
            </w:r>
            <w:r>
              <w:rPr>
                <w:noProof/>
                <w:webHidden/>
              </w:rPr>
              <w:fldChar w:fldCharType="separate"/>
            </w:r>
            <w:r>
              <w:rPr>
                <w:noProof/>
                <w:webHidden/>
              </w:rPr>
              <w:t>22</w:t>
            </w:r>
            <w:r>
              <w:rPr>
                <w:noProof/>
                <w:webHidden/>
              </w:rPr>
              <w:fldChar w:fldCharType="end"/>
            </w:r>
          </w:hyperlink>
        </w:p>
        <w:p w14:paraId="32C5BF61" w14:textId="3BEAF094" w:rsidR="00CA132B" w:rsidRDefault="00CA132B">
          <w:pPr>
            <w:pStyle w:val="Verzeichnis2"/>
            <w:tabs>
              <w:tab w:val="right" w:leader="dot" w:pos="9396"/>
            </w:tabs>
            <w:rPr>
              <w:noProof/>
            </w:rPr>
          </w:pPr>
          <w:hyperlink w:anchor="_Toc243681248" w:history="1">
            <w:r w:rsidRPr="00EB2153">
              <w:rPr>
                <w:rStyle w:val="Hyperlink"/>
                <w:noProof/>
              </w:rPr>
              <w:t>6.1 Datenbasis, Flächenbegriffe und Bezugsjahre</w:t>
            </w:r>
            <w:r>
              <w:rPr>
                <w:noProof/>
                <w:webHidden/>
              </w:rPr>
              <w:tab/>
            </w:r>
            <w:r>
              <w:rPr>
                <w:noProof/>
                <w:webHidden/>
              </w:rPr>
              <w:fldChar w:fldCharType="begin"/>
            </w:r>
            <w:r>
              <w:rPr>
                <w:noProof/>
                <w:webHidden/>
              </w:rPr>
              <w:instrText xml:space="preserve"> PAGEREF _Toc243681248 \h </w:instrText>
            </w:r>
            <w:r>
              <w:rPr>
                <w:noProof/>
                <w:webHidden/>
              </w:rPr>
            </w:r>
            <w:r>
              <w:rPr>
                <w:noProof/>
                <w:webHidden/>
              </w:rPr>
              <w:fldChar w:fldCharType="separate"/>
            </w:r>
            <w:r>
              <w:rPr>
                <w:noProof/>
                <w:webHidden/>
              </w:rPr>
              <w:t>22</w:t>
            </w:r>
            <w:r>
              <w:rPr>
                <w:noProof/>
                <w:webHidden/>
              </w:rPr>
              <w:fldChar w:fldCharType="end"/>
            </w:r>
          </w:hyperlink>
        </w:p>
        <w:p w14:paraId="674BAD93" w14:textId="36018457" w:rsidR="00CA132B" w:rsidRDefault="00CA132B">
          <w:pPr>
            <w:pStyle w:val="Verzeichnis2"/>
            <w:tabs>
              <w:tab w:val="right" w:leader="dot" w:pos="9396"/>
            </w:tabs>
            <w:rPr>
              <w:noProof/>
            </w:rPr>
          </w:pPr>
          <w:hyperlink w:anchor="_Toc243681249" w:history="1">
            <w:r w:rsidRPr="00EB2153">
              <w:rPr>
                <w:rStyle w:val="Hyperlink"/>
                <w:noProof/>
              </w:rPr>
              <w:t>6.2 Energetische Gebäudetypologien 2040</w:t>
            </w:r>
            <w:r>
              <w:rPr>
                <w:noProof/>
                <w:webHidden/>
              </w:rPr>
              <w:tab/>
            </w:r>
            <w:r>
              <w:rPr>
                <w:noProof/>
                <w:webHidden/>
              </w:rPr>
              <w:fldChar w:fldCharType="begin"/>
            </w:r>
            <w:r>
              <w:rPr>
                <w:noProof/>
                <w:webHidden/>
              </w:rPr>
              <w:instrText xml:space="preserve"> PAGEREF _Toc243681249 \h </w:instrText>
            </w:r>
            <w:r>
              <w:rPr>
                <w:noProof/>
                <w:webHidden/>
              </w:rPr>
            </w:r>
            <w:r>
              <w:rPr>
                <w:noProof/>
                <w:webHidden/>
              </w:rPr>
              <w:fldChar w:fldCharType="separate"/>
            </w:r>
            <w:r>
              <w:rPr>
                <w:noProof/>
                <w:webHidden/>
              </w:rPr>
              <w:t>23</w:t>
            </w:r>
            <w:r>
              <w:rPr>
                <w:noProof/>
                <w:webHidden/>
              </w:rPr>
              <w:fldChar w:fldCharType="end"/>
            </w:r>
          </w:hyperlink>
        </w:p>
        <w:p w14:paraId="5D4EC93A" w14:textId="49414B99" w:rsidR="00CA132B" w:rsidRDefault="00CA132B">
          <w:pPr>
            <w:pStyle w:val="Verzeichnis2"/>
            <w:tabs>
              <w:tab w:val="right" w:leader="dot" w:pos="9396"/>
            </w:tabs>
            <w:rPr>
              <w:noProof/>
            </w:rPr>
          </w:pPr>
          <w:hyperlink w:anchor="_Toc243681250" w:history="1">
            <w:r w:rsidRPr="00EB2153">
              <w:rPr>
                <w:rStyle w:val="Hyperlink"/>
                <w:noProof/>
              </w:rPr>
              <w:t>6.3 Flächenentwicklung vom Bestand zum Zieljahr</w:t>
            </w:r>
            <w:r>
              <w:rPr>
                <w:noProof/>
                <w:webHidden/>
              </w:rPr>
              <w:tab/>
            </w:r>
            <w:r>
              <w:rPr>
                <w:noProof/>
                <w:webHidden/>
              </w:rPr>
              <w:fldChar w:fldCharType="begin"/>
            </w:r>
            <w:r>
              <w:rPr>
                <w:noProof/>
                <w:webHidden/>
              </w:rPr>
              <w:instrText xml:space="preserve"> PAGEREF _Toc243681250 \h </w:instrText>
            </w:r>
            <w:r>
              <w:rPr>
                <w:noProof/>
                <w:webHidden/>
              </w:rPr>
            </w:r>
            <w:r>
              <w:rPr>
                <w:noProof/>
                <w:webHidden/>
              </w:rPr>
              <w:fldChar w:fldCharType="separate"/>
            </w:r>
            <w:r>
              <w:rPr>
                <w:noProof/>
                <w:webHidden/>
              </w:rPr>
              <w:t>24</w:t>
            </w:r>
            <w:r>
              <w:rPr>
                <w:noProof/>
                <w:webHidden/>
              </w:rPr>
              <w:fldChar w:fldCharType="end"/>
            </w:r>
          </w:hyperlink>
        </w:p>
        <w:p w14:paraId="328A9455" w14:textId="7700CF9B" w:rsidR="00CA132B" w:rsidRDefault="00CA132B">
          <w:pPr>
            <w:pStyle w:val="Verzeichnis2"/>
            <w:tabs>
              <w:tab w:val="right" w:leader="dot" w:pos="9396"/>
            </w:tabs>
            <w:rPr>
              <w:noProof/>
            </w:rPr>
          </w:pPr>
          <w:hyperlink w:anchor="_Toc243681251" w:history="1">
            <w:r w:rsidRPr="00EB2153">
              <w:rPr>
                <w:rStyle w:val="Hyperlink"/>
                <w:noProof/>
              </w:rPr>
              <w:t>6.4 Energetische Performance, Strombedarf und PV</w:t>
            </w:r>
            <w:r>
              <w:rPr>
                <w:noProof/>
                <w:webHidden/>
              </w:rPr>
              <w:tab/>
            </w:r>
            <w:r>
              <w:rPr>
                <w:noProof/>
                <w:webHidden/>
              </w:rPr>
              <w:fldChar w:fldCharType="begin"/>
            </w:r>
            <w:r>
              <w:rPr>
                <w:noProof/>
                <w:webHidden/>
              </w:rPr>
              <w:instrText xml:space="preserve"> PAGEREF _Toc243681251 \h </w:instrText>
            </w:r>
            <w:r>
              <w:rPr>
                <w:noProof/>
                <w:webHidden/>
              </w:rPr>
            </w:r>
            <w:r>
              <w:rPr>
                <w:noProof/>
                <w:webHidden/>
              </w:rPr>
              <w:fldChar w:fldCharType="separate"/>
            </w:r>
            <w:r>
              <w:rPr>
                <w:noProof/>
                <w:webHidden/>
              </w:rPr>
              <w:t>24</w:t>
            </w:r>
            <w:r>
              <w:rPr>
                <w:noProof/>
                <w:webHidden/>
              </w:rPr>
              <w:fldChar w:fldCharType="end"/>
            </w:r>
          </w:hyperlink>
        </w:p>
        <w:p w14:paraId="096947B1" w14:textId="514F8CDA" w:rsidR="00CA132B" w:rsidRDefault="00CA132B">
          <w:pPr>
            <w:pStyle w:val="Verzeichnis2"/>
            <w:tabs>
              <w:tab w:val="right" w:leader="dot" w:pos="9396"/>
            </w:tabs>
            <w:rPr>
              <w:noProof/>
            </w:rPr>
          </w:pPr>
          <w:hyperlink w:anchor="_Toc243681252" w:history="1">
            <w:r w:rsidRPr="00EB2153">
              <w:rPr>
                <w:rStyle w:val="Hyperlink"/>
                <w:noProof/>
              </w:rPr>
              <w:t>6.5 Endenergie und Primärenergie</w:t>
            </w:r>
            <w:r>
              <w:rPr>
                <w:noProof/>
                <w:webHidden/>
              </w:rPr>
              <w:tab/>
            </w:r>
            <w:r>
              <w:rPr>
                <w:noProof/>
                <w:webHidden/>
              </w:rPr>
              <w:fldChar w:fldCharType="begin"/>
            </w:r>
            <w:r>
              <w:rPr>
                <w:noProof/>
                <w:webHidden/>
              </w:rPr>
              <w:instrText xml:space="preserve"> PAGEREF _Toc243681252 \h </w:instrText>
            </w:r>
            <w:r>
              <w:rPr>
                <w:noProof/>
                <w:webHidden/>
              </w:rPr>
            </w:r>
            <w:r>
              <w:rPr>
                <w:noProof/>
                <w:webHidden/>
              </w:rPr>
              <w:fldChar w:fldCharType="separate"/>
            </w:r>
            <w:r>
              <w:rPr>
                <w:noProof/>
                <w:webHidden/>
              </w:rPr>
              <w:t>26</w:t>
            </w:r>
            <w:r>
              <w:rPr>
                <w:noProof/>
                <w:webHidden/>
              </w:rPr>
              <w:fldChar w:fldCharType="end"/>
            </w:r>
          </w:hyperlink>
        </w:p>
        <w:p w14:paraId="26EFF75E" w14:textId="459BC01C" w:rsidR="00CA132B" w:rsidRDefault="00CA132B">
          <w:pPr>
            <w:pStyle w:val="Verzeichnis2"/>
            <w:tabs>
              <w:tab w:val="right" w:leader="dot" w:pos="9396"/>
            </w:tabs>
            <w:rPr>
              <w:noProof/>
            </w:rPr>
          </w:pPr>
          <w:hyperlink w:anchor="_Toc243681253" w:history="1">
            <w:r w:rsidRPr="00EB2153">
              <w:rPr>
                <w:rStyle w:val="Hyperlink"/>
                <w:noProof/>
              </w:rPr>
              <w:t>6.6 GFZ-Verteilung des österreichischen Gebäudebestands</w:t>
            </w:r>
            <w:r>
              <w:rPr>
                <w:noProof/>
                <w:webHidden/>
              </w:rPr>
              <w:tab/>
            </w:r>
            <w:r>
              <w:rPr>
                <w:noProof/>
                <w:webHidden/>
              </w:rPr>
              <w:fldChar w:fldCharType="begin"/>
            </w:r>
            <w:r>
              <w:rPr>
                <w:noProof/>
                <w:webHidden/>
              </w:rPr>
              <w:instrText xml:space="preserve"> PAGEREF _Toc243681253 \h </w:instrText>
            </w:r>
            <w:r>
              <w:rPr>
                <w:noProof/>
                <w:webHidden/>
              </w:rPr>
            </w:r>
            <w:r>
              <w:rPr>
                <w:noProof/>
                <w:webHidden/>
              </w:rPr>
              <w:fldChar w:fldCharType="separate"/>
            </w:r>
            <w:r>
              <w:rPr>
                <w:noProof/>
                <w:webHidden/>
              </w:rPr>
              <w:t>27</w:t>
            </w:r>
            <w:r>
              <w:rPr>
                <w:noProof/>
                <w:webHidden/>
              </w:rPr>
              <w:fldChar w:fldCharType="end"/>
            </w:r>
          </w:hyperlink>
        </w:p>
        <w:p w14:paraId="5EF18F1D" w14:textId="5B8666F8" w:rsidR="00CA132B" w:rsidRDefault="00CA132B">
          <w:pPr>
            <w:pStyle w:val="Verzeichnis2"/>
            <w:tabs>
              <w:tab w:val="right" w:leader="dot" w:pos="9396"/>
            </w:tabs>
            <w:rPr>
              <w:noProof/>
            </w:rPr>
          </w:pPr>
          <w:hyperlink w:anchor="_Toc243681254" w:history="1">
            <w:r w:rsidRPr="00EB2153">
              <w:rPr>
                <w:rStyle w:val="Hyperlink"/>
                <w:noProof/>
              </w:rPr>
              <w:t>6.7 Gemeinsame Typologie-Dichte-Matrix und sektoraler Abgleich</w:t>
            </w:r>
            <w:r>
              <w:rPr>
                <w:noProof/>
                <w:webHidden/>
              </w:rPr>
              <w:tab/>
            </w:r>
            <w:r>
              <w:rPr>
                <w:noProof/>
                <w:webHidden/>
              </w:rPr>
              <w:fldChar w:fldCharType="begin"/>
            </w:r>
            <w:r>
              <w:rPr>
                <w:noProof/>
                <w:webHidden/>
              </w:rPr>
              <w:instrText xml:space="preserve"> PAGEREF _Toc243681254 \h </w:instrText>
            </w:r>
            <w:r>
              <w:rPr>
                <w:noProof/>
                <w:webHidden/>
              </w:rPr>
            </w:r>
            <w:r>
              <w:rPr>
                <w:noProof/>
                <w:webHidden/>
              </w:rPr>
              <w:fldChar w:fldCharType="separate"/>
            </w:r>
            <w:r>
              <w:rPr>
                <w:noProof/>
                <w:webHidden/>
              </w:rPr>
              <w:t>28</w:t>
            </w:r>
            <w:r>
              <w:rPr>
                <w:noProof/>
                <w:webHidden/>
              </w:rPr>
              <w:fldChar w:fldCharType="end"/>
            </w:r>
          </w:hyperlink>
        </w:p>
        <w:p w14:paraId="740C2DB0" w14:textId="19769CEE" w:rsidR="00CA132B" w:rsidRDefault="00CA132B">
          <w:pPr>
            <w:pStyle w:val="Verzeichnis1"/>
            <w:tabs>
              <w:tab w:val="right" w:leader="dot" w:pos="9396"/>
            </w:tabs>
            <w:rPr>
              <w:noProof/>
            </w:rPr>
          </w:pPr>
          <w:hyperlink w:anchor="_Toc243681255" w:history="1">
            <w:r w:rsidRPr="00EB2153">
              <w:rPr>
                <w:rStyle w:val="Hyperlink"/>
                <w:noProof/>
              </w:rPr>
              <w:t>7. Kalibrierung der PEQ-Energieanforderungen</w:t>
            </w:r>
            <w:r>
              <w:rPr>
                <w:noProof/>
                <w:webHidden/>
              </w:rPr>
              <w:tab/>
            </w:r>
            <w:r>
              <w:rPr>
                <w:noProof/>
                <w:webHidden/>
              </w:rPr>
              <w:fldChar w:fldCharType="begin"/>
            </w:r>
            <w:r>
              <w:rPr>
                <w:noProof/>
                <w:webHidden/>
              </w:rPr>
              <w:instrText xml:space="preserve"> PAGEREF _Toc243681255 \h </w:instrText>
            </w:r>
            <w:r>
              <w:rPr>
                <w:noProof/>
                <w:webHidden/>
              </w:rPr>
            </w:r>
            <w:r>
              <w:rPr>
                <w:noProof/>
                <w:webHidden/>
              </w:rPr>
              <w:fldChar w:fldCharType="separate"/>
            </w:r>
            <w:r>
              <w:rPr>
                <w:noProof/>
                <w:webHidden/>
              </w:rPr>
              <w:t>29</w:t>
            </w:r>
            <w:r>
              <w:rPr>
                <w:noProof/>
                <w:webHidden/>
              </w:rPr>
              <w:fldChar w:fldCharType="end"/>
            </w:r>
          </w:hyperlink>
        </w:p>
        <w:p w14:paraId="1241B732" w14:textId="217A78B5" w:rsidR="00CA132B" w:rsidRDefault="00CA132B">
          <w:pPr>
            <w:pStyle w:val="Verzeichnis2"/>
            <w:tabs>
              <w:tab w:val="right" w:leader="dot" w:pos="9396"/>
            </w:tabs>
            <w:rPr>
              <w:noProof/>
            </w:rPr>
          </w:pPr>
          <w:hyperlink w:anchor="_Toc243681256" w:history="1">
            <w:r w:rsidRPr="00EB2153">
              <w:rPr>
                <w:rStyle w:val="Hyperlink"/>
                <w:noProof/>
              </w:rPr>
              <w:t>7.1 Bilanzfunktionen der Gebäudetypologien</w:t>
            </w:r>
            <w:r>
              <w:rPr>
                <w:noProof/>
                <w:webHidden/>
              </w:rPr>
              <w:tab/>
            </w:r>
            <w:r>
              <w:rPr>
                <w:noProof/>
                <w:webHidden/>
              </w:rPr>
              <w:fldChar w:fldCharType="begin"/>
            </w:r>
            <w:r>
              <w:rPr>
                <w:noProof/>
                <w:webHidden/>
              </w:rPr>
              <w:instrText xml:space="preserve"> PAGEREF _Toc243681256 \h </w:instrText>
            </w:r>
            <w:r>
              <w:rPr>
                <w:noProof/>
                <w:webHidden/>
              </w:rPr>
            </w:r>
            <w:r>
              <w:rPr>
                <w:noProof/>
                <w:webHidden/>
              </w:rPr>
              <w:fldChar w:fldCharType="separate"/>
            </w:r>
            <w:r>
              <w:rPr>
                <w:noProof/>
                <w:webHidden/>
              </w:rPr>
              <w:t>30</w:t>
            </w:r>
            <w:r>
              <w:rPr>
                <w:noProof/>
                <w:webHidden/>
              </w:rPr>
              <w:fldChar w:fldCharType="end"/>
            </w:r>
          </w:hyperlink>
        </w:p>
        <w:p w14:paraId="7E1DAF2F" w14:textId="2273907F" w:rsidR="00CA132B" w:rsidRDefault="00CA132B">
          <w:pPr>
            <w:pStyle w:val="Verzeichnis2"/>
            <w:tabs>
              <w:tab w:val="right" w:leader="dot" w:pos="9396"/>
            </w:tabs>
            <w:rPr>
              <w:noProof/>
            </w:rPr>
          </w:pPr>
          <w:hyperlink w:anchor="_Toc243681257" w:history="1">
            <w:r w:rsidRPr="00EB2153">
              <w:rPr>
                <w:rStyle w:val="Hyperlink"/>
                <w:noProof/>
              </w:rPr>
              <w:t>7.2 Kontextfaktor Dichte: Begründung und physikalisches Prinzip</w:t>
            </w:r>
            <w:r>
              <w:rPr>
                <w:noProof/>
                <w:webHidden/>
              </w:rPr>
              <w:tab/>
            </w:r>
            <w:r>
              <w:rPr>
                <w:noProof/>
                <w:webHidden/>
              </w:rPr>
              <w:fldChar w:fldCharType="begin"/>
            </w:r>
            <w:r>
              <w:rPr>
                <w:noProof/>
                <w:webHidden/>
              </w:rPr>
              <w:instrText xml:space="preserve"> PAGEREF _Toc243681257 \h </w:instrText>
            </w:r>
            <w:r>
              <w:rPr>
                <w:noProof/>
                <w:webHidden/>
              </w:rPr>
            </w:r>
            <w:r>
              <w:rPr>
                <w:noProof/>
                <w:webHidden/>
              </w:rPr>
              <w:fldChar w:fldCharType="separate"/>
            </w:r>
            <w:r>
              <w:rPr>
                <w:noProof/>
                <w:webHidden/>
              </w:rPr>
              <w:t>31</w:t>
            </w:r>
            <w:r>
              <w:rPr>
                <w:noProof/>
                <w:webHidden/>
              </w:rPr>
              <w:fldChar w:fldCharType="end"/>
            </w:r>
          </w:hyperlink>
        </w:p>
        <w:p w14:paraId="53D69CDA" w14:textId="7E0E22F0" w:rsidR="00CA132B" w:rsidRDefault="00CA132B">
          <w:pPr>
            <w:pStyle w:val="Verzeichnis2"/>
            <w:tabs>
              <w:tab w:val="right" w:leader="dot" w:pos="9396"/>
            </w:tabs>
            <w:rPr>
              <w:noProof/>
            </w:rPr>
          </w:pPr>
          <w:hyperlink w:anchor="_Toc243681258" w:history="1">
            <w:r w:rsidRPr="00EB2153">
              <w:rPr>
                <w:rStyle w:val="Hyperlink"/>
                <w:noProof/>
              </w:rPr>
              <w:t>7.3 Parametrisierung der Zielwert- und Gutschriftenfunktion</w:t>
            </w:r>
            <w:r>
              <w:rPr>
                <w:noProof/>
                <w:webHidden/>
              </w:rPr>
              <w:tab/>
            </w:r>
            <w:r>
              <w:rPr>
                <w:noProof/>
                <w:webHidden/>
              </w:rPr>
              <w:fldChar w:fldCharType="begin"/>
            </w:r>
            <w:r>
              <w:rPr>
                <w:noProof/>
                <w:webHidden/>
              </w:rPr>
              <w:instrText xml:space="preserve"> PAGEREF _Toc243681258 \h </w:instrText>
            </w:r>
            <w:r>
              <w:rPr>
                <w:noProof/>
                <w:webHidden/>
              </w:rPr>
            </w:r>
            <w:r>
              <w:rPr>
                <w:noProof/>
                <w:webHidden/>
              </w:rPr>
              <w:fldChar w:fldCharType="separate"/>
            </w:r>
            <w:r>
              <w:rPr>
                <w:noProof/>
                <w:webHidden/>
              </w:rPr>
              <w:t>32</w:t>
            </w:r>
            <w:r>
              <w:rPr>
                <w:noProof/>
                <w:webHidden/>
              </w:rPr>
              <w:fldChar w:fldCharType="end"/>
            </w:r>
          </w:hyperlink>
        </w:p>
        <w:p w14:paraId="6B4C3DEB" w14:textId="07ADF079" w:rsidR="00CA132B" w:rsidRDefault="00CA132B">
          <w:pPr>
            <w:pStyle w:val="Verzeichnis2"/>
            <w:tabs>
              <w:tab w:val="right" w:leader="dot" w:pos="9396"/>
            </w:tabs>
            <w:rPr>
              <w:noProof/>
            </w:rPr>
          </w:pPr>
          <w:hyperlink w:anchor="_Toc243681259" w:history="1">
            <w:r w:rsidRPr="00EB2153">
              <w:rPr>
                <w:rStyle w:val="Hyperlink"/>
                <w:noProof/>
              </w:rPr>
              <w:t>7.4 Nationale Aggregation und Kalibrierbedingung</w:t>
            </w:r>
            <w:r>
              <w:rPr>
                <w:noProof/>
                <w:webHidden/>
              </w:rPr>
              <w:tab/>
            </w:r>
            <w:r>
              <w:rPr>
                <w:noProof/>
                <w:webHidden/>
              </w:rPr>
              <w:fldChar w:fldCharType="begin"/>
            </w:r>
            <w:r>
              <w:rPr>
                <w:noProof/>
                <w:webHidden/>
              </w:rPr>
              <w:instrText xml:space="preserve"> PAGEREF _Toc243681259 \h </w:instrText>
            </w:r>
            <w:r>
              <w:rPr>
                <w:noProof/>
                <w:webHidden/>
              </w:rPr>
            </w:r>
            <w:r>
              <w:rPr>
                <w:noProof/>
                <w:webHidden/>
              </w:rPr>
              <w:fldChar w:fldCharType="separate"/>
            </w:r>
            <w:r>
              <w:rPr>
                <w:noProof/>
                <w:webHidden/>
              </w:rPr>
              <w:t>33</w:t>
            </w:r>
            <w:r>
              <w:rPr>
                <w:noProof/>
                <w:webHidden/>
              </w:rPr>
              <w:fldChar w:fldCharType="end"/>
            </w:r>
          </w:hyperlink>
        </w:p>
        <w:p w14:paraId="66F061B2" w14:textId="0CC6ECF2" w:rsidR="00CA132B" w:rsidRDefault="00CA132B">
          <w:pPr>
            <w:pStyle w:val="Verzeichnis2"/>
            <w:tabs>
              <w:tab w:val="right" w:leader="dot" w:pos="9396"/>
            </w:tabs>
            <w:rPr>
              <w:noProof/>
            </w:rPr>
          </w:pPr>
          <w:hyperlink w:anchor="_Toc243681260" w:history="1">
            <w:r w:rsidRPr="00EB2153">
              <w:rPr>
                <w:rStyle w:val="Hyperlink"/>
                <w:noProof/>
              </w:rPr>
              <w:t>7.5 Kalibrierungsstand und Ergebnisvergleich</w:t>
            </w:r>
            <w:r>
              <w:rPr>
                <w:noProof/>
                <w:webHidden/>
              </w:rPr>
              <w:tab/>
            </w:r>
            <w:r>
              <w:rPr>
                <w:noProof/>
                <w:webHidden/>
              </w:rPr>
              <w:fldChar w:fldCharType="begin"/>
            </w:r>
            <w:r>
              <w:rPr>
                <w:noProof/>
                <w:webHidden/>
              </w:rPr>
              <w:instrText xml:space="preserve"> PAGEREF _Toc243681260 \h </w:instrText>
            </w:r>
            <w:r>
              <w:rPr>
                <w:noProof/>
                <w:webHidden/>
              </w:rPr>
            </w:r>
            <w:r>
              <w:rPr>
                <w:noProof/>
                <w:webHidden/>
              </w:rPr>
              <w:fldChar w:fldCharType="separate"/>
            </w:r>
            <w:r>
              <w:rPr>
                <w:noProof/>
                <w:webHidden/>
              </w:rPr>
              <w:t>33</w:t>
            </w:r>
            <w:r>
              <w:rPr>
                <w:noProof/>
                <w:webHidden/>
              </w:rPr>
              <w:fldChar w:fldCharType="end"/>
            </w:r>
          </w:hyperlink>
        </w:p>
        <w:p w14:paraId="2EE0D749" w14:textId="3906547C" w:rsidR="00CA132B" w:rsidRDefault="00CA132B">
          <w:pPr>
            <w:pStyle w:val="Verzeichnis2"/>
            <w:tabs>
              <w:tab w:val="right" w:leader="dot" w:pos="9396"/>
            </w:tabs>
            <w:rPr>
              <w:noProof/>
            </w:rPr>
          </w:pPr>
          <w:hyperlink w:anchor="_Toc243681261" w:history="1">
            <w:r w:rsidRPr="00EB2153">
              <w:rPr>
                <w:rStyle w:val="Hyperlink"/>
                <w:noProof/>
              </w:rPr>
              <w:t>7.6 Sensitivitäten und normative Entscheidungen</w:t>
            </w:r>
            <w:r>
              <w:rPr>
                <w:noProof/>
                <w:webHidden/>
              </w:rPr>
              <w:tab/>
            </w:r>
            <w:r>
              <w:rPr>
                <w:noProof/>
                <w:webHidden/>
              </w:rPr>
              <w:fldChar w:fldCharType="begin"/>
            </w:r>
            <w:r>
              <w:rPr>
                <w:noProof/>
                <w:webHidden/>
              </w:rPr>
              <w:instrText xml:space="preserve"> PAGEREF _Toc243681261 \h </w:instrText>
            </w:r>
            <w:r>
              <w:rPr>
                <w:noProof/>
                <w:webHidden/>
              </w:rPr>
            </w:r>
            <w:r>
              <w:rPr>
                <w:noProof/>
                <w:webHidden/>
              </w:rPr>
              <w:fldChar w:fldCharType="separate"/>
            </w:r>
            <w:r>
              <w:rPr>
                <w:noProof/>
                <w:webHidden/>
              </w:rPr>
              <w:t>34</w:t>
            </w:r>
            <w:r>
              <w:rPr>
                <w:noProof/>
                <w:webHidden/>
              </w:rPr>
              <w:fldChar w:fldCharType="end"/>
            </w:r>
          </w:hyperlink>
        </w:p>
        <w:p w14:paraId="02AFDB66" w14:textId="3B601D5D" w:rsidR="00CA132B" w:rsidRDefault="00CA132B">
          <w:pPr>
            <w:pStyle w:val="Verzeichnis1"/>
            <w:tabs>
              <w:tab w:val="right" w:leader="dot" w:pos="9396"/>
            </w:tabs>
            <w:rPr>
              <w:noProof/>
            </w:rPr>
          </w:pPr>
          <w:hyperlink w:anchor="_Toc243681262" w:history="1">
            <w:r w:rsidRPr="00EB2153">
              <w:rPr>
                <w:rStyle w:val="Hyperlink"/>
                <w:noProof/>
              </w:rPr>
              <w:t>8. Kontextfaktor Mobilität</w:t>
            </w:r>
            <w:r>
              <w:rPr>
                <w:noProof/>
                <w:webHidden/>
              </w:rPr>
              <w:tab/>
            </w:r>
            <w:r>
              <w:rPr>
                <w:noProof/>
                <w:webHidden/>
              </w:rPr>
              <w:fldChar w:fldCharType="begin"/>
            </w:r>
            <w:r>
              <w:rPr>
                <w:noProof/>
                <w:webHidden/>
              </w:rPr>
              <w:instrText xml:space="preserve"> PAGEREF _Toc243681262 \h </w:instrText>
            </w:r>
            <w:r>
              <w:rPr>
                <w:noProof/>
                <w:webHidden/>
              </w:rPr>
            </w:r>
            <w:r>
              <w:rPr>
                <w:noProof/>
                <w:webHidden/>
              </w:rPr>
              <w:fldChar w:fldCharType="separate"/>
            </w:r>
            <w:r>
              <w:rPr>
                <w:noProof/>
                <w:webHidden/>
              </w:rPr>
              <w:t>34</w:t>
            </w:r>
            <w:r>
              <w:rPr>
                <w:noProof/>
                <w:webHidden/>
              </w:rPr>
              <w:fldChar w:fldCharType="end"/>
            </w:r>
          </w:hyperlink>
        </w:p>
        <w:p w14:paraId="2F807D4C" w14:textId="261C8436" w:rsidR="00CA132B" w:rsidRDefault="00CA132B">
          <w:pPr>
            <w:pStyle w:val="Verzeichnis2"/>
            <w:tabs>
              <w:tab w:val="right" w:leader="dot" w:pos="9396"/>
            </w:tabs>
            <w:rPr>
              <w:noProof/>
            </w:rPr>
          </w:pPr>
          <w:hyperlink w:anchor="_Toc243681263" w:history="1">
            <w:r w:rsidRPr="00EB2153">
              <w:rPr>
                <w:rStyle w:val="Hyperlink"/>
                <w:noProof/>
              </w:rPr>
              <w:t>8.1 Vom nationalen MIV-Budget zur Nutzung</w:t>
            </w:r>
            <w:r>
              <w:rPr>
                <w:noProof/>
                <w:webHidden/>
              </w:rPr>
              <w:tab/>
            </w:r>
            <w:r>
              <w:rPr>
                <w:noProof/>
                <w:webHidden/>
              </w:rPr>
              <w:fldChar w:fldCharType="begin"/>
            </w:r>
            <w:r>
              <w:rPr>
                <w:noProof/>
                <w:webHidden/>
              </w:rPr>
              <w:instrText xml:space="preserve"> PAGEREF _Toc243681263 \h </w:instrText>
            </w:r>
            <w:r>
              <w:rPr>
                <w:noProof/>
                <w:webHidden/>
              </w:rPr>
            </w:r>
            <w:r>
              <w:rPr>
                <w:noProof/>
                <w:webHidden/>
              </w:rPr>
              <w:fldChar w:fldCharType="separate"/>
            </w:r>
            <w:r>
              <w:rPr>
                <w:noProof/>
                <w:webHidden/>
              </w:rPr>
              <w:t>35</w:t>
            </w:r>
            <w:r>
              <w:rPr>
                <w:noProof/>
                <w:webHidden/>
              </w:rPr>
              <w:fldChar w:fldCharType="end"/>
            </w:r>
          </w:hyperlink>
        </w:p>
        <w:p w14:paraId="6F538AA6" w14:textId="7FCB340A" w:rsidR="00CA132B" w:rsidRDefault="00CA132B">
          <w:pPr>
            <w:pStyle w:val="Verzeichnis2"/>
            <w:tabs>
              <w:tab w:val="right" w:leader="dot" w:pos="9396"/>
            </w:tabs>
            <w:rPr>
              <w:noProof/>
            </w:rPr>
          </w:pPr>
          <w:hyperlink w:anchor="_Toc243681264" w:history="1">
            <w:r w:rsidRPr="00EB2153">
              <w:rPr>
                <w:rStyle w:val="Hyperlink"/>
                <w:noProof/>
              </w:rPr>
              <w:t>8.2 Gemischt genutzte Quartiere</w:t>
            </w:r>
            <w:r>
              <w:rPr>
                <w:noProof/>
                <w:webHidden/>
              </w:rPr>
              <w:tab/>
            </w:r>
            <w:r>
              <w:rPr>
                <w:noProof/>
                <w:webHidden/>
              </w:rPr>
              <w:fldChar w:fldCharType="begin"/>
            </w:r>
            <w:r>
              <w:rPr>
                <w:noProof/>
                <w:webHidden/>
              </w:rPr>
              <w:instrText xml:space="preserve"> PAGEREF _Toc243681264 \h </w:instrText>
            </w:r>
            <w:r>
              <w:rPr>
                <w:noProof/>
                <w:webHidden/>
              </w:rPr>
            </w:r>
            <w:r>
              <w:rPr>
                <w:noProof/>
                <w:webHidden/>
              </w:rPr>
              <w:fldChar w:fldCharType="separate"/>
            </w:r>
            <w:r>
              <w:rPr>
                <w:noProof/>
                <w:webHidden/>
              </w:rPr>
              <w:t>35</w:t>
            </w:r>
            <w:r>
              <w:rPr>
                <w:noProof/>
                <w:webHidden/>
              </w:rPr>
              <w:fldChar w:fldCharType="end"/>
            </w:r>
          </w:hyperlink>
        </w:p>
        <w:p w14:paraId="72FB026E" w14:textId="3DD91EE3" w:rsidR="00CA132B" w:rsidRDefault="00CA132B">
          <w:pPr>
            <w:pStyle w:val="Verzeichnis2"/>
            <w:tabs>
              <w:tab w:val="right" w:leader="dot" w:pos="9396"/>
            </w:tabs>
            <w:rPr>
              <w:noProof/>
            </w:rPr>
          </w:pPr>
          <w:hyperlink w:anchor="_Toc243681265" w:history="1">
            <w:r w:rsidRPr="00EB2153">
              <w:rPr>
                <w:rStyle w:val="Hyperlink"/>
                <w:noProof/>
              </w:rPr>
              <w:t>8.3 Standortabhängiger MIV-Bedarf: Mobilitätsregionen und Verkehrsleistung</w:t>
            </w:r>
            <w:r>
              <w:rPr>
                <w:noProof/>
                <w:webHidden/>
              </w:rPr>
              <w:tab/>
            </w:r>
            <w:r>
              <w:rPr>
                <w:noProof/>
                <w:webHidden/>
              </w:rPr>
              <w:fldChar w:fldCharType="begin"/>
            </w:r>
            <w:r>
              <w:rPr>
                <w:noProof/>
                <w:webHidden/>
              </w:rPr>
              <w:instrText xml:space="preserve"> PAGEREF _Toc243681265 \h </w:instrText>
            </w:r>
            <w:r>
              <w:rPr>
                <w:noProof/>
                <w:webHidden/>
              </w:rPr>
            </w:r>
            <w:r>
              <w:rPr>
                <w:noProof/>
                <w:webHidden/>
              </w:rPr>
              <w:fldChar w:fldCharType="separate"/>
            </w:r>
            <w:r>
              <w:rPr>
                <w:noProof/>
                <w:webHidden/>
              </w:rPr>
              <w:t>36</w:t>
            </w:r>
            <w:r>
              <w:rPr>
                <w:noProof/>
                <w:webHidden/>
              </w:rPr>
              <w:fldChar w:fldCharType="end"/>
            </w:r>
          </w:hyperlink>
        </w:p>
        <w:p w14:paraId="2299272E" w14:textId="2BAC21C7" w:rsidR="00CA132B" w:rsidRDefault="00CA132B">
          <w:pPr>
            <w:pStyle w:val="Verzeichnis2"/>
            <w:tabs>
              <w:tab w:val="right" w:leader="dot" w:pos="9396"/>
            </w:tabs>
            <w:rPr>
              <w:noProof/>
            </w:rPr>
          </w:pPr>
          <w:hyperlink w:anchor="_Toc243681266" w:history="1">
            <w:r w:rsidRPr="00EB2153">
              <w:rPr>
                <w:rStyle w:val="Hyperlink"/>
                <w:noProof/>
              </w:rPr>
              <w:t>8.4 Abgrenzung von Zielverkehr, Strombedarf und Ladeprofilen</w:t>
            </w:r>
            <w:r>
              <w:rPr>
                <w:noProof/>
                <w:webHidden/>
              </w:rPr>
              <w:tab/>
            </w:r>
            <w:r>
              <w:rPr>
                <w:noProof/>
                <w:webHidden/>
              </w:rPr>
              <w:fldChar w:fldCharType="begin"/>
            </w:r>
            <w:r>
              <w:rPr>
                <w:noProof/>
                <w:webHidden/>
              </w:rPr>
              <w:instrText xml:space="preserve"> PAGEREF _Toc243681266 \h </w:instrText>
            </w:r>
            <w:r>
              <w:rPr>
                <w:noProof/>
                <w:webHidden/>
              </w:rPr>
            </w:r>
            <w:r>
              <w:rPr>
                <w:noProof/>
                <w:webHidden/>
              </w:rPr>
              <w:fldChar w:fldCharType="separate"/>
            </w:r>
            <w:r>
              <w:rPr>
                <w:noProof/>
                <w:webHidden/>
              </w:rPr>
              <w:t>37</w:t>
            </w:r>
            <w:r>
              <w:rPr>
                <w:noProof/>
                <w:webHidden/>
              </w:rPr>
              <w:fldChar w:fldCharType="end"/>
            </w:r>
          </w:hyperlink>
        </w:p>
        <w:p w14:paraId="6880D4DE" w14:textId="4B417EAC" w:rsidR="00CA132B" w:rsidRDefault="00CA132B">
          <w:pPr>
            <w:pStyle w:val="Verzeichnis2"/>
            <w:tabs>
              <w:tab w:val="right" w:leader="dot" w:pos="9396"/>
            </w:tabs>
            <w:rPr>
              <w:noProof/>
            </w:rPr>
          </w:pPr>
          <w:hyperlink w:anchor="_Toc243681267" w:history="1">
            <w:r w:rsidRPr="00EB2153">
              <w:rPr>
                <w:rStyle w:val="Hyperlink"/>
                <w:noProof/>
              </w:rPr>
              <w:t>8.5 Dokumentation und Aktualisierung</w:t>
            </w:r>
            <w:r>
              <w:rPr>
                <w:noProof/>
                <w:webHidden/>
              </w:rPr>
              <w:tab/>
            </w:r>
            <w:r>
              <w:rPr>
                <w:noProof/>
                <w:webHidden/>
              </w:rPr>
              <w:fldChar w:fldCharType="begin"/>
            </w:r>
            <w:r>
              <w:rPr>
                <w:noProof/>
                <w:webHidden/>
              </w:rPr>
              <w:instrText xml:space="preserve"> PAGEREF _Toc243681267 \h </w:instrText>
            </w:r>
            <w:r>
              <w:rPr>
                <w:noProof/>
                <w:webHidden/>
              </w:rPr>
            </w:r>
            <w:r>
              <w:rPr>
                <w:noProof/>
                <w:webHidden/>
              </w:rPr>
              <w:fldChar w:fldCharType="separate"/>
            </w:r>
            <w:r>
              <w:rPr>
                <w:noProof/>
                <w:webHidden/>
              </w:rPr>
              <w:t>37</w:t>
            </w:r>
            <w:r>
              <w:rPr>
                <w:noProof/>
                <w:webHidden/>
              </w:rPr>
              <w:fldChar w:fldCharType="end"/>
            </w:r>
          </w:hyperlink>
        </w:p>
        <w:p w14:paraId="31733B97" w14:textId="263F30BB" w:rsidR="00CA132B" w:rsidRDefault="00CA132B">
          <w:pPr>
            <w:pStyle w:val="Verzeichnis1"/>
            <w:tabs>
              <w:tab w:val="right" w:leader="dot" w:pos="9396"/>
            </w:tabs>
            <w:rPr>
              <w:noProof/>
            </w:rPr>
          </w:pPr>
          <w:hyperlink w:anchor="_Toc243681268" w:history="1">
            <w:r w:rsidRPr="00EB2153">
              <w:rPr>
                <w:rStyle w:val="Hyperlink"/>
                <w:noProof/>
              </w:rPr>
              <w:t>9. Kontextfaktor Sanierung</w:t>
            </w:r>
            <w:r>
              <w:rPr>
                <w:noProof/>
                <w:webHidden/>
              </w:rPr>
              <w:tab/>
            </w:r>
            <w:r>
              <w:rPr>
                <w:noProof/>
                <w:webHidden/>
              </w:rPr>
              <w:fldChar w:fldCharType="begin"/>
            </w:r>
            <w:r>
              <w:rPr>
                <w:noProof/>
                <w:webHidden/>
              </w:rPr>
              <w:instrText xml:space="preserve"> PAGEREF _Toc243681268 \h </w:instrText>
            </w:r>
            <w:r>
              <w:rPr>
                <w:noProof/>
                <w:webHidden/>
              </w:rPr>
            </w:r>
            <w:r>
              <w:rPr>
                <w:noProof/>
                <w:webHidden/>
              </w:rPr>
              <w:fldChar w:fldCharType="separate"/>
            </w:r>
            <w:r>
              <w:rPr>
                <w:noProof/>
                <w:webHidden/>
              </w:rPr>
              <w:t>38</w:t>
            </w:r>
            <w:r>
              <w:rPr>
                <w:noProof/>
                <w:webHidden/>
              </w:rPr>
              <w:fldChar w:fldCharType="end"/>
            </w:r>
          </w:hyperlink>
        </w:p>
        <w:p w14:paraId="2CC1DBC2" w14:textId="06ABE1CE" w:rsidR="00CA132B" w:rsidRDefault="00CA132B">
          <w:pPr>
            <w:pStyle w:val="Verzeichnis2"/>
            <w:tabs>
              <w:tab w:val="right" w:leader="dot" w:pos="9396"/>
            </w:tabs>
            <w:rPr>
              <w:noProof/>
            </w:rPr>
          </w:pPr>
          <w:hyperlink w:anchor="_Toc243681269" w:history="1">
            <w:r w:rsidRPr="00EB2153">
              <w:rPr>
                <w:rStyle w:val="Hyperlink"/>
                <w:noProof/>
              </w:rPr>
              <w:t>9.1 Ableitung aus den neuen Gebäudetypologien</w:t>
            </w:r>
            <w:r>
              <w:rPr>
                <w:noProof/>
                <w:webHidden/>
              </w:rPr>
              <w:tab/>
            </w:r>
            <w:r>
              <w:rPr>
                <w:noProof/>
                <w:webHidden/>
              </w:rPr>
              <w:fldChar w:fldCharType="begin"/>
            </w:r>
            <w:r>
              <w:rPr>
                <w:noProof/>
                <w:webHidden/>
              </w:rPr>
              <w:instrText xml:space="preserve"> PAGEREF _Toc243681269 \h </w:instrText>
            </w:r>
            <w:r>
              <w:rPr>
                <w:noProof/>
                <w:webHidden/>
              </w:rPr>
            </w:r>
            <w:r>
              <w:rPr>
                <w:noProof/>
                <w:webHidden/>
              </w:rPr>
              <w:fldChar w:fldCharType="separate"/>
            </w:r>
            <w:r>
              <w:rPr>
                <w:noProof/>
                <w:webHidden/>
              </w:rPr>
              <w:t>38</w:t>
            </w:r>
            <w:r>
              <w:rPr>
                <w:noProof/>
                <w:webHidden/>
              </w:rPr>
              <w:fldChar w:fldCharType="end"/>
            </w:r>
          </w:hyperlink>
        </w:p>
        <w:p w14:paraId="24187B64" w14:textId="743ECF7F" w:rsidR="00CA132B" w:rsidRDefault="00CA132B">
          <w:pPr>
            <w:pStyle w:val="Verzeichnis2"/>
            <w:tabs>
              <w:tab w:val="right" w:leader="dot" w:pos="9396"/>
            </w:tabs>
            <w:rPr>
              <w:noProof/>
            </w:rPr>
          </w:pPr>
          <w:hyperlink w:anchor="_Toc243681270" w:history="1">
            <w:r w:rsidRPr="00EB2153">
              <w:rPr>
                <w:rStyle w:val="Hyperlink"/>
                <w:noProof/>
              </w:rPr>
              <w:t>9.2 Anwendung auf gemischte Quartiere</w:t>
            </w:r>
            <w:r>
              <w:rPr>
                <w:noProof/>
                <w:webHidden/>
              </w:rPr>
              <w:tab/>
            </w:r>
            <w:r>
              <w:rPr>
                <w:noProof/>
                <w:webHidden/>
              </w:rPr>
              <w:fldChar w:fldCharType="begin"/>
            </w:r>
            <w:r>
              <w:rPr>
                <w:noProof/>
                <w:webHidden/>
              </w:rPr>
              <w:instrText xml:space="preserve"> PAGEREF _Toc243681270 \h </w:instrText>
            </w:r>
            <w:r>
              <w:rPr>
                <w:noProof/>
                <w:webHidden/>
              </w:rPr>
            </w:r>
            <w:r>
              <w:rPr>
                <w:noProof/>
                <w:webHidden/>
              </w:rPr>
              <w:fldChar w:fldCharType="separate"/>
            </w:r>
            <w:r>
              <w:rPr>
                <w:noProof/>
                <w:webHidden/>
              </w:rPr>
              <w:t>38</w:t>
            </w:r>
            <w:r>
              <w:rPr>
                <w:noProof/>
                <w:webHidden/>
              </w:rPr>
              <w:fldChar w:fldCharType="end"/>
            </w:r>
          </w:hyperlink>
        </w:p>
        <w:p w14:paraId="5A4283F8" w14:textId="4B2774E7" w:rsidR="00CA132B" w:rsidRDefault="00CA132B">
          <w:pPr>
            <w:pStyle w:val="Verzeichnis1"/>
            <w:tabs>
              <w:tab w:val="right" w:leader="dot" w:pos="9396"/>
            </w:tabs>
            <w:rPr>
              <w:noProof/>
            </w:rPr>
          </w:pPr>
          <w:hyperlink w:anchor="_Toc243681271" w:history="1">
            <w:r w:rsidRPr="00EB2153">
              <w:rPr>
                <w:rStyle w:val="Hyperlink"/>
                <w:noProof/>
              </w:rPr>
              <w:t>10. Zielwert THG</w:t>
            </w:r>
            <w:r>
              <w:rPr>
                <w:noProof/>
                <w:webHidden/>
              </w:rPr>
              <w:tab/>
            </w:r>
            <w:r>
              <w:rPr>
                <w:noProof/>
                <w:webHidden/>
              </w:rPr>
              <w:fldChar w:fldCharType="begin"/>
            </w:r>
            <w:r>
              <w:rPr>
                <w:noProof/>
                <w:webHidden/>
              </w:rPr>
              <w:instrText xml:space="preserve"> PAGEREF _Toc243681271 \h </w:instrText>
            </w:r>
            <w:r>
              <w:rPr>
                <w:noProof/>
                <w:webHidden/>
              </w:rPr>
            </w:r>
            <w:r>
              <w:rPr>
                <w:noProof/>
                <w:webHidden/>
              </w:rPr>
              <w:fldChar w:fldCharType="separate"/>
            </w:r>
            <w:r>
              <w:rPr>
                <w:noProof/>
                <w:webHidden/>
              </w:rPr>
              <w:t>39</w:t>
            </w:r>
            <w:r>
              <w:rPr>
                <w:noProof/>
                <w:webHidden/>
              </w:rPr>
              <w:fldChar w:fldCharType="end"/>
            </w:r>
          </w:hyperlink>
        </w:p>
        <w:p w14:paraId="44CD965D" w14:textId="35FDCFA8" w:rsidR="00CA132B" w:rsidRDefault="00CA132B">
          <w:pPr>
            <w:pStyle w:val="Verzeichnis2"/>
            <w:tabs>
              <w:tab w:val="right" w:leader="dot" w:pos="9396"/>
            </w:tabs>
            <w:rPr>
              <w:noProof/>
            </w:rPr>
          </w:pPr>
          <w:hyperlink w:anchor="_Toc243681272" w:history="1">
            <w:r w:rsidRPr="00EB2153">
              <w:rPr>
                <w:rStyle w:val="Hyperlink"/>
                <w:noProof/>
              </w:rPr>
              <w:t>10.1 Wie entstehen 320 kg CO₂e je Quadratmeter?</w:t>
            </w:r>
            <w:r>
              <w:rPr>
                <w:noProof/>
                <w:webHidden/>
              </w:rPr>
              <w:tab/>
            </w:r>
            <w:r>
              <w:rPr>
                <w:noProof/>
                <w:webHidden/>
              </w:rPr>
              <w:fldChar w:fldCharType="begin"/>
            </w:r>
            <w:r>
              <w:rPr>
                <w:noProof/>
                <w:webHidden/>
              </w:rPr>
              <w:instrText xml:space="preserve"> PAGEREF _Toc243681272 \h </w:instrText>
            </w:r>
            <w:r>
              <w:rPr>
                <w:noProof/>
                <w:webHidden/>
              </w:rPr>
            </w:r>
            <w:r>
              <w:rPr>
                <w:noProof/>
                <w:webHidden/>
              </w:rPr>
              <w:fldChar w:fldCharType="separate"/>
            </w:r>
            <w:r>
              <w:rPr>
                <w:noProof/>
                <w:webHidden/>
              </w:rPr>
              <w:t>39</w:t>
            </w:r>
            <w:r>
              <w:rPr>
                <w:noProof/>
                <w:webHidden/>
              </w:rPr>
              <w:fldChar w:fldCharType="end"/>
            </w:r>
          </w:hyperlink>
        </w:p>
        <w:p w14:paraId="1E0E3C63" w14:textId="547E4BDD" w:rsidR="00CA132B" w:rsidRDefault="00CA132B">
          <w:pPr>
            <w:pStyle w:val="Verzeichnis3"/>
            <w:tabs>
              <w:tab w:val="right" w:leader="dot" w:pos="9396"/>
            </w:tabs>
            <w:rPr>
              <w:noProof/>
            </w:rPr>
          </w:pPr>
          <w:hyperlink w:anchor="_Toc243681273" w:history="1">
            <w:r w:rsidRPr="00EB2153">
              <w:rPr>
                <w:rStyle w:val="Hyperlink"/>
                <w:noProof/>
              </w:rPr>
              <w:t>10.1.1 Nationale Grundlage und sektorale Verteilung</w:t>
            </w:r>
            <w:r>
              <w:rPr>
                <w:noProof/>
                <w:webHidden/>
              </w:rPr>
              <w:tab/>
            </w:r>
            <w:r>
              <w:rPr>
                <w:noProof/>
                <w:webHidden/>
              </w:rPr>
              <w:fldChar w:fldCharType="begin"/>
            </w:r>
            <w:r>
              <w:rPr>
                <w:noProof/>
                <w:webHidden/>
              </w:rPr>
              <w:instrText xml:space="preserve"> PAGEREF _Toc243681273 \h </w:instrText>
            </w:r>
            <w:r>
              <w:rPr>
                <w:noProof/>
                <w:webHidden/>
              </w:rPr>
            </w:r>
            <w:r>
              <w:rPr>
                <w:noProof/>
                <w:webHidden/>
              </w:rPr>
              <w:fldChar w:fldCharType="separate"/>
            </w:r>
            <w:r>
              <w:rPr>
                <w:noProof/>
                <w:webHidden/>
              </w:rPr>
              <w:t>39</w:t>
            </w:r>
            <w:r>
              <w:rPr>
                <w:noProof/>
                <w:webHidden/>
              </w:rPr>
              <w:fldChar w:fldCharType="end"/>
            </w:r>
          </w:hyperlink>
        </w:p>
        <w:p w14:paraId="232F6A33" w14:textId="57FFAE14" w:rsidR="00CA132B" w:rsidRDefault="00CA132B">
          <w:pPr>
            <w:pStyle w:val="Verzeichnis2"/>
            <w:tabs>
              <w:tab w:val="right" w:leader="dot" w:pos="9396"/>
            </w:tabs>
            <w:rPr>
              <w:noProof/>
            </w:rPr>
          </w:pPr>
          <w:hyperlink w:anchor="_Toc243681274" w:history="1">
            <w:r w:rsidRPr="00EB2153">
              <w:rPr>
                <w:rStyle w:val="Hyperlink"/>
                <w:noProof/>
              </w:rPr>
              <w:t>10.2 Gebäudesektor: Bezugsflächen und Entwicklung</w:t>
            </w:r>
            <w:r>
              <w:rPr>
                <w:noProof/>
                <w:webHidden/>
              </w:rPr>
              <w:tab/>
            </w:r>
            <w:r>
              <w:rPr>
                <w:noProof/>
                <w:webHidden/>
              </w:rPr>
              <w:fldChar w:fldCharType="begin"/>
            </w:r>
            <w:r>
              <w:rPr>
                <w:noProof/>
                <w:webHidden/>
              </w:rPr>
              <w:instrText xml:space="preserve"> PAGEREF _Toc243681274 \h </w:instrText>
            </w:r>
            <w:r>
              <w:rPr>
                <w:noProof/>
                <w:webHidden/>
              </w:rPr>
            </w:r>
            <w:r>
              <w:rPr>
                <w:noProof/>
                <w:webHidden/>
              </w:rPr>
              <w:fldChar w:fldCharType="separate"/>
            </w:r>
            <w:r>
              <w:rPr>
                <w:noProof/>
                <w:webHidden/>
              </w:rPr>
              <w:t>41</w:t>
            </w:r>
            <w:r>
              <w:rPr>
                <w:noProof/>
                <w:webHidden/>
              </w:rPr>
              <w:fldChar w:fldCharType="end"/>
            </w:r>
          </w:hyperlink>
        </w:p>
        <w:p w14:paraId="6D09DDE6" w14:textId="7A210F3E" w:rsidR="00CA132B" w:rsidRDefault="00CA132B">
          <w:pPr>
            <w:pStyle w:val="Verzeichnis2"/>
            <w:tabs>
              <w:tab w:val="right" w:leader="dot" w:pos="9396"/>
            </w:tabs>
            <w:rPr>
              <w:noProof/>
            </w:rPr>
          </w:pPr>
          <w:hyperlink w:anchor="_Toc243681275" w:history="1">
            <w:r w:rsidRPr="00EB2153">
              <w:rPr>
                <w:rStyle w:val="Hyperlink"/>
                <w:noProof/>
              </w:rPr>
              <w:t>10.3 Drei Zeitbegriffe</w:t>
            </w:r>
            <w:r>
              <w:rPr>
                <w:noProof/>
                <w:webHidden/>
              </w:rPr>
              <w:tab/>
            </w:r>
            <w:r>
              <w:rPr>
                <w:noProof/>
                <w:webHidden/>
              </w:rPr>
              <w:fldChar w:fldCharType="begin"/>
            </w:r>
            <w:r>
              <w:rPr>
                <w:noProof/>
                <w:webHidden/>
              </w:rPr>
              <w:instrText xml:space="preserve"> PAGEREF _Toc243681275 \h </w:instrText>
            </w:r>
            <w:r>
              <w:rPr>
                <w:noProof/>
                <w:webHidden/>
              </w:rPr>
            </w:r>
            <w:r>
              <w:rPr>
                <w:noProof/>
                <w:webHidden/>
              </w:rPr>
              <w:fldChar w:fldCharType="separate"/>
            </w:r>
            <w:r>
              <w:rPr>
                <w:noProof/>
                <w:webHidden/>
              </w:rPr>
              <w:t>42</w:t>
            </w:r>
            <w:r>
              <w:rPr>
                <w:noProof/>
                <w:webHidden/>
              </w:rPr>
              <w:fldChar w:fldCharType="end"/>
            </w:r>
          </w:hyperlink>
        </w:p>
        <w:p w14:paraId="2E92A350" w14:textId="3AB62364" w:rsidR="00CA132B" w:rsidRDefault="00CA132B">
          <w:pPr>
            <w:pStyle w:val="Verzeichnis2"/>
            <w:tabs>
              <w:tab w:val="right" w:leader="dot" w:pos="9396"/>
            </w:tabs>
            <w:rPr>
              <w:noProof/>
            </w:rPr>
          </w:pPr>
          <w:hyperlink w:anchor="_Toc243681276" w:history="1">
            <w:r w:rsidRPr="00EB2153">
              <w:rPr>
                <w:rStyle w:val="Hyperlink"/>
                <w:noProof/>
              </w:rPr>
              <w:t>10.4 Absenkpfade und kumuliertes THG-Budget</w:t>
            </w:r>
            <w:r>
              <w:rPr>
                <w:noProof/>
                <w:webHidden/>
              </w:rPr>
              <w:tab/>
            </w:r>
            <w:r>
              <w:rPr>
                <w:noProof/>
                <w:webHidden/>
              </w:rPr>
              <w:fldChar w:fldCharType="begin"/>
            </w:r>
            <w:r>
              <w:rPr>
                <w:noProof/>
                <w:webHidden/>
              </w:rPr>
              <w:instrText xml:space="preserve"> PAGEREF _Toc243681276 \h </w:instrText>
            </w:r>
            <w:r>
              <w:rPr>
                <w:noProof/>
                <w:webHidden/>
              </w:rPr>
            </w:r>
            <w:r>
              <w:rPr>
                <w:noProof/>
                <w:webHidden/>
              </w:rPr>
              <w:fldChar w:fldCharType="separate"/>
            </w:r>
            <w:r>
              <w:rPr>
                <w:noProof/>
                <w:webHidden/>
              </w:rPr>
              <w:t>43</w:t>
            </w:r>
            <w:r>
              <w:rPr>
                <w:noProof/>
                <w:webHidden/>
              </w:rPr>
              <w:fldChar w:fldCharType="end"/>
            </w:r>
          </w:hyperlink>
        </w:p>
        <w:p w14:paraId="4A8FF71F" w14:textId="405FC3BD" w:rsidR="00CA132B" w:rsidRDefault="00CA132B">
          <w:pPr>
            <w:pStyle w:val="Verzeichnis2"/>
            <w:tabs>
              <w:tab w:val="right" w:leader="dot" w:pos="9396"/>
            </w:tabs>
            <w:rPr>
              <w:noProof/>
            </w:rPr>
          </w:pPr>
          <w:hyperlink w:anchor="_Toc243681277" w:history="1">
            <w:r w:rsidRPr="00EB2153">
              <w:rPr>
                <w:rStyle w:val="Hyperlink"/>
                <w:noProof/>
              </w:rPr>
              <w:t>10.5 Rekalibrierung: Welche Stellgrößen ändern sich?</w:t>
            </w:r>
            <w:r>
              <w:rPr>
                <w:noProof/>
                <w:webHidden/>
              </w:rPr>
              <w:tab/>
            </w:r>
            <w:r>
              <w:rPr>
                <w:noProof/>
                <w:webHidden/>
              </w:rPr>
              <w:fldChar w:fldCharType="begin"/>
            </w:r>
            <w:r>
              <w:rPr>
                <w:noProof/>
                <w:webHidden/>
              </w:rPr>
              <w:instrText xml:space="preserve"> PAGEREF _Toc243681277 \h </w:instrText>
            </w:r>
            <w:r>
              <w:rPr>
                <w:noProof/>
                <w:webHidden/>
              </w:rPr>
            </w:r>
            <w:r>
              <w:rPr>
                <w:noProof/>
                <w:webHidden/>
              </w:rPr>
              <w:fldChar w:fldCharType="separate"/>
            </w:r>
            <w:r>
              <w:rPr>
                <w:noProof/>
                <w:webHidden/>
              </w:rPr>
              <w:t>44</w:t>
            </w:r>
            <w:r>
              <w:rPr>
                <w:noProof/>
                <w:webHidden/>
              </w:rPr>
              <w:fldChar w:fldCharType="end"/>
            </w:r>
          </w:hyperlink>
        </w:p>
        <w:p w14:paraId="10084FE8" w14:textId="4F59E777" w:rsidR="00CA132B" w:rsidRDefault="00CA132B">
          <w:pPr>
            <w:pStyle w:val="Verzeichnis3"/>
            <w:tabs>
              <w:tab w:val="right" w:leader="dot" w:pos="9396"/>
            </w:tabs>
            <w:rPr>
              <w:noProof/>
            </w:rPr>
          </w:pPr>
          <w:hyperlink w:anchor="_Toc243681278" w:history="1">
            <w:r w:rsidRPr="00EB2153">
              <w:rPr>
                <w:rStyle w:val="Hyperlink"/>
                <w:noProof/>
              </w:rPr>
              <w:t>10.5.1 PV-Errichtung und sektorale Konsistenz</w:t>
            </w:r>
            <w:r>
              <w:rPr>
                <w:noProof/>
                <w:webHidden/>
              </w:rPr>
              <w:tab/>
            </w:r>
            <w:r>
              <w:rPr>
                <w:noProof/>
                <w:webHidden/>
              </w:rPr>
              <w:fldChar w:fldCharType="begin"/>
            </w:r>
            <w:r>
              <w:rPr>
                <w:noProof/>
                <w:webHidden/>
              </w:rPr>
              <w:instrText xml:space="preserve"> PAGEREF _Toc243681278 \h </w:instrText>
            </w:r>
            <w:r>
              <w:rPr>
                <w:noProof/>
                <w:webHidden/>
              </w:rPr>
            </w:r>
            <w:r>
              <w:rPr>
                <w:noProof/>
                <w:webHidden/>
              </w:rPr>
              <w:fldChar w:fldCharType="separate"/>
            </w:r>
            <w:r>
              <w:rPr>
                <w:noProof/>
                <w:webHidden/>
              </w:rPr>
              <w:t>44</w:t>
            </w:r>
            <w:r>
              <w:rPr>
                <w:noProof/>
                <w:webHidden/>
              </w:rPr>
              <w:fldChar w:fldCharType="end"/>
            </w:r>
          </w:hyperlink>
        </w:p>
        <w:p w14:paraId="29EE437C" w14:textId="0C52D38E" w:rsidR="00CA132B" w:rsidRDefault="00CA132B">
          <w:pPr>
            <w:pStyle w:val="Verzeichnis2"/>
            <w:tabs>
              <w:tab w:val="right" w:leader="dot" w:pos="9396"/>
            </w:tabs>
            <w:rPr>
              <w:noProof/>
            </w:rPr>
          </w:pPr>
          <w:hyperlink w:anchor="_Toc243681279" w:history="1">
            <w:r w:rsidRPr="00EB2153">
              <w:rPr>
                <w:rStyle w:val="Hyperlink"/>
                <w:noProof/>
              </w:rPr>
              <w:t>10.6 Folgerungen für Planung und Verwaltung</w:t>
            </w:r>
            <w:r>
              <w:rPr>
                <w:noProof/>
                <w:webHidden/>
              </w:rPr>
              <w:tab/>
            </w:r>
            <w:r>
              <w:rPr>
                <w:noProof/>
                <w:webHidden/>
              </w:rPr>
              <w:fldChar w:fldCharType="begin"/>
            </w:r>
            <w:r>
              <w:rPr>
                <w:noProof/>
                <w:webHidden/>
              </w:rPr>
              <w:instrText xml:space="preserve"> PAGEREF _Toc243681279 \h </w:instrText>
            </w:r>
            <w:r>
              <w:rPr>
                <w:noProof/>
                <w:webHidden/>
              </w:rPr>
            </w:r>
            <w:r>
              <w:rPr>
                <w:noProof/>
                <w:webHidden/>
              </w:rPr>
              <w:fldChar w:fldCharType="separate"/>
            </w:r>
            <w:r>
              <w:rPr>
                <w:noProof/>
                <w:webHidden/>
              </w:rPr>
              <w:t>45</w:t>
            </w:r>
            <w:r>
              <w:rPr>
                <w:noProof/>
                <w:webHidden/>
              </w:rPr>
              <w:fldChar w:fldCharType="end"/>
            </w:r>
          </w:hyperlink>
        </w:p>
        <w:p w14:paraId="349FBB79" w14:textId="429D444B" w:rsidR="00CA132B" w:rsidRDefault="00CA132B">
          <w:pPr>
            <w:pStyle w:val="Verzeichnis1"/>
            <w:tabs>
              <w:tab w:val="right" w:leader="dot" w:pos="9396"/>
            </w:tabs>
            <w:rPr>
              <w:noProof/>
            </w:rPr>
          </w:pPr>
          <w:hyperlink w:anchor="_Toc243681280" w:history="1">
            <w:r w:rsidRPr="00EB2153">
              <w:rPr>
                <w:rStyle w:val="Hyperlink"/>
                <w:noProof/>
              </w:rPr>
              <w:t>11. Systemgrenze des Quartiers</w:t>
            </w:r>
            <w:r>
              <w:rPr>
                <w:noProof/>
                <w:webHidden/>
              </w:rPr>
              <w:tab/>
            </w:r>
            <w:r>
              <w:rPr>
                <w:noProof/>
                <w:webHidden/>
              </w:rPr>
              <w:fldChar w:fldCharType="begin"/>
            </w:r>
            <w:r>
              <w:rPr>
                <w:noProof/>
                <w:webHidden/>
              </w:rPr>
              <w:instrText xml:space="preserve"> PAGEREF _Toc243681280 \h </w:instrText>
            </w:r>
            <w:r>
              <w:rPr>
                <w:noProof/>
                <w:webHidden/>
              </w:rPr>
            </w:r>
            <w:r>
              <w:rPr>
                <w:noProof/>
                <w:webHidden/>
              </w:rPr>
              <w:fldChar w:fldCharType="separate"/>
            </w:r>
            <w:r>
              <w:rPr>
                <w:noProof/>
                <w:webHidden/>
              </w:rPr>
              <w:t>45</w:t>
            </w:r>
            <w:r>
              <w:rPr>
                <w:noProof/>
                <w:webHidden/>
              </w:rPr>
              <w:fldChar w:fldCharType="end"/>
            </w:r>
          </w:hyperlink>
        </w:p>
        <w:p w14:paraId="6EE7D91C" w14:textId="2B16DA99" w:rsidR="00CA132B" w:rsidRDefault="00CA132B">
          <w:pPr>
            <w:pStyle w:val="Verzeichnis2"/>
            <w:tabs>
              <w:tab w:val="right" w:leader="dot" w:pos="9396"/>
            </w:tabs>
            <w:rPr>
              <w:noProof/>
            </w:rPr>
          </w:pPr>
          <w:hyperlink w:anchor="_Toc243681281" w:history="1">
            <w:r w:rsidRPr="00EB2153">
              <w:rPr>
                <w:rStyle w:val="Hyperlink"/>
                <w:noProof/>
              </w:rPr>
              <w:t>11.1 Räumliche Systemgrenze: Was gehört zum Quartier?</w:t>
            </w:r>
            <w:r>
              <w:rPr>
                <w:noProof/>
                <w:webHidden/>
              </w:rPr>
              <w:tab/>
            </w:r>
            <w:r>
              <w:rPr>
                <w:noProof/>
                <w:webHidden/>
              </w:rPr>
              <w:fldChar w:fldCharType="begin"/>
            </w:r>
            <w:r>
              <w:rPr>
                <w:noProof/>
                <w:webHidden/>
              </w:rPr>
              <w:instrText xml:space="preserve"> PAGEREF _Toc243681281 \h </w:instrText>
            </w:r>
            <w:r>
              <w:rPr>
                <w:noProof/>
                <w:webHidden/>
              </w:rPr>
            </w:r>
            <w:r>
              <w:rPr>
                <w:noProof/>
                <w:webHidden/>
              </w:rPr>
              <w:fldChar w:fldCharType="separate"/>
            </w:r>
            <w:r>
              <w:rPr>
                <w:noProof/>
                <w:webHidden/>
              </w:rPr>
              <w:t>45</w:t>
            </w:r>
            <w:r>
              <w:rPr>
                <w:noProof/>
                <w:webHidden/>
              </w:rPr>
              <w:fldChar w:fldCharType="end"/>
            </w:r>
          </w:hyperlink>
        </w:p>
        <w:p w14:paraId="4F81044D" w14:textId="1C566647" w:rsidR="00CA132B" w:rsidRDefault="00CA132B">
          <w:pPr>
            <w:pStyle w:val="Verzeichnis2"/>
            <w:tabs>
              <w:tab w:val="right" w:leader="dot" w:pos="9396"/>
            </w:tabs>
            <w:rPr>
              <w:noProof/>
            </w:rPr>
          </w:pPr>
          <w:hyperlink w:anchor="_Toc243681282" w:history="1">
            <w:r w:rsidRPr="00EB2153">
              <w:rPr>
                <w:rStyle w:val="Hyperlink"/>
                <w:noProof/>
              </w:rPr>
              <w:t>11.2 Funktionale Bilanzgrenze: Welche Nutzungen und Prozesse zählen?</w:t>
            </w:r>
            <w:r>
              <w:rPr>
                <w:noProof/>
                <w:webHidden/>
              </w:rPr>
              <w:tab/>
            </w:r>
            <w:r>
              <w:rPr>
                <w:noProof/>
                <w:webHidden/>
              </w:rPr>
              <w:fldChar w:fldCharType="begin"/>
            </w:r>
            <w:r>
              <w:rPr>
                <w:noProof/>
                <w:webHidden/>
              </w:rPr>
              <w:instrText xml:space="preserve"> PAGEREF _Toc243681282 \h </w:instrText>
            </w:r>
            <w:r>
              <w:rPr>
                <w:noProof/>
                <w:webHidden/>
              </w:rPr>
            </w:r>
            <w:r>
              <w:rPr>
                <w:noProof/>
                <w:webHidden/>
              </w:rPr>
              <w:fldChar w:fldCharType="separate"/>
            </w:r>
            <w:r>
              <w:rPr>
                <w:noProof/>
                <w:webHidden/>
              </w:rPr>
              <w:t>46</w:t>
            </w:r>
            <w:r>
              <w:rPr>
                <w:noProof/>
                <w:webHidden/>
              </w:rPr>
              <w:fldChar w:fldCharType="end"/>
            </w:r>
          </w:hyperlink>
        </w:p>
        <w:p w14:paraId="238EE500" w14:textId="0D914EE1" w:rsidR="00CA132B" w:rsidRDefault="00CA132B">
          <w:pPr>
            <w:pStyle w:val="Verzeichnis2"/>
            <w:tabs>
              <w:tab w:val="right" w:leader="dot" w:pos="9396"/>
            </w:tabs>
            <w:rPr>
              <w:noProof/>
            </w:rPr>
          </w:pPr>
          <w:hyperlink w:anchor="_Toc243681283" w:history="1">
            <w:r w:rsidRPr="00EB2153">
              <w:rPr>
                <w:rStyle w:val="Hyperlink"/>
                <w:noProof/>
              </w:rPr>
              <w:t>11.3 Primärenergiebilanz: Physische Flüsse und Bewertung trennen</w:t>
            </w:r>
            <w:r>
              <w:rPr>
                <w:noProof/>
                <w:webHidden/>
              </w:rPr>
              <w:tab/>
            </w:r>
            <w:r>
              <w:rPr>
                <w:noProof/>
                <w:webHidden/>
              </w:rPr>
              <w:fldChar w:fldCharType="begin"/>
            </w:r>
            <w:r>
              <w:rPr>
                <w:noProof/>
                <w:webHidden/>
              </w:rPr>
              <w:instrText xml:space="preserve"> PAGEREF _Toc243681283 \h </w:instrText>
            </w:r>
            <w:r>
              <w:rPr>
                <w:noProof/>
                <w:webHidden/>
              </w:rPr>
            </w:r>
            <w:r>
              <w:rPr>
                <w:noProof/>
                <w:webHidden/>
              </w:rPr>
              <w:fldChar w:fldCharType="separate"/>
            </w:r>
            <w:r>
              <w:rPr>
                <w:noProof/>
                <w:webHidden/>
              </w:rPr>
              <w:t>47</w:t>
            </w:r>
            <w:r>
              <w:rPr>
                <w:noProof/>
                <w:webHidden/>
              </w:rPr>
              <w:fldChar w:fldCharType="end"/>
            </w:r>
          </w:hyperlink>
        </w:p>
        <w:p w14:paraId="3BF40179" w14:textId="7E4C6EFA" w:rsidR="00CA132B" w:rsidRDefault="00CA132B">
          <w:pPr>
            <w:pStyle w:val="Verzeichnis2"/>
            <w:tabs>
              <w:tab w:val="right" w:leader="dot" w:pos="9396"/>
            </w:tabs>
            <w:rPr>
              <w:noProof/>
            </w:rPr>
          </w:pPr>
          <w:hyperlink w:anchor="_Toc243681284" w:history="1">
            <w:r w:rsidRPr="00EB2153">
              <w:rPr>
                <w:rStyle w:val="Hyperlink"/>
                <w:noProof/>
              </w:rPr>
              <w:t>11.4 Mobilität: Zugeordnete Fahrten sind nicht gleich lokale Ladevorgänge</w:t>
            </w:r>
            <w:r>
              <w:rPr>
                <w:noProof/>
                <w:webHidden/>
              </w:rPr>
              <w:tab/>
            </w:r>
            <w:r>
              <w:rPr>
                <w:noProof/>
                <w:webHidden/>
              </w:rPr>
              <w:fldChar w:fldCharType="begin"/>
            </w:r>
            <w:r>
              <w:rPr>
                <w:noProof/>
                <w:webHidden/>
              </w:rPr>
              <w:instrText xml:space="preserve"> PAGEREF _Toc243681284 \h </w:instrText>
            </w:r>
            <w:r>
              <w:rPr>
                <w:noProof/>
                <w:webHidden/>
              </w:rPr>
            </w:r>
            <w:r>
              <w:rPr>
                <w:noProof/>
                <w:webHidden/>
              </w:rPr>
              <w:fldChar w:fldCharType="separate"/>
            </w:r>
            <w:r>
              <w:rPr>
                <w:noProof/>
                <w:webHidden/>
              </w:rPr>
              <w:t>47</w:t>
            </w:r>
            <w:r>
              <w:rPr>
                <w:noProof/>
                <w:webHidden/>
              </w:rPr>
              <w:fldChar w:fldCharType="end"/>
            </w:r>
          </w:hyperlink>
        </w:p>
        <w:p w14:paraId="1AE95BF2" w14:textId="22D2561A" w:rsidR="00CA132B" w:rsidRDefault="00CA132B">
          <w:pPr>
            <w:pStyle w:val="Verzeichnis2"/>
            <w:tabs>
              <w:tab w:val="right" w:leader="dot" w:pos="9396"/>
            </w:tabs>
            <w:rPr>
              <w:noProof/>
            </w:rPr>
          </w:pPr>
          <w:hyperlink w:anchor="_Toc243681285" w:history="1">
            <w:r w:rsidRPr="00EB2153">
              <w:rPr>
                <w:rStyle w:val="Hyperlink"/>
                <w:noProof/>
              </w:rPr>
              <w:t>11.5 Lebenszyklus-Treibhausgasbilanz: Welche Module werden berücksichtigt?</w:t>
            </w:r>
            <w:r>
              <w:rPr>
                <w:noProof/>
                <w:webHidden/>
              </w:rPr>
              <w:tab/>
            </w:r>
            <w:r>
              <w:rPr>
                <w:noProof/>
                <w:webHidden/>
              </w:rPr>
              <w:fldChar w:fldCharType="begin"/>
            </w:r>
            <w:r>
              <w:rPr>
                <w:noProof/>
                <w:webHidden/>
              </w:rPr>
              <w:instrText xml:space="preserve"> PAGEREF _Toc243681285 \h </w:instrText>
            </w:r>
            <w:r>
              <w:rPr>
                <w:noProof/>
                <w:webHidden/>
              </w:rPr>
            </w:r>
            <w:r>
              <w:rPr>
                <w:noProof/>
                <w:webHidden/>
              </w:rPr>
              <w:fldChar w:fldCharType="separate"/>
            </w:r>
            <w:r>
              <w:rPr>
                <w:noProof/>
                <w:webHidden/>
              </w:rPr>
              <w:t>48</w:t>
            </w:r>
            <w:r>
              <w:rPr>
                <w:noProof/>
                <w:webHidden/>
              </w:rPr>
              <w:fldChar w:fldCharType="end"/>
            </w:r>
          </w:hyperlink>
        </w:p>
        <w:p w14:paraId="0579165A" w14:textId="3419EE80" w:rsidR="00CA132B" w:rsidRDefault="00CA132B">
          <w:pPr>
            <w:pStyle w:val="Verzeichnis3"/>
            <w:tabs>
              <w:tab w:val="right" w:leader="dot" w:pos="9396"/>
            </w:tabs>
            <w:rPr>
              <w:noProof/>
            </w:rPr>
          </w:pPr>
          <w:hyperlink w:anchor="_Toc243681286" w:history="1">
            <w:r w:rsidRPr="00EB2153">
              <w:rPr>
                <w:rStyle w:val="Hyperlink"/>
                <w:noProof/>
              </w:rPr>
              <w:t>11.5.1 Photovoltaik, Eigenverbrauch und Netzeinspeisung</w:t>
            </w:r>
            <w:r>
              <w:rPr>
                <w:noProof/>
                <w:webHidden/>
              </w:rPr>
              <w:tab/>
            </w:r>
            <w:r>
              <w:rPr>
                <w:noProof/>
                <w:webHidden/>
              </w:rPr>
              <w:fldChar w:fldCharType="begin"/>
            </w:r>
            <w:r>
              <w:rPr>
                <w:noProof/>
                <w:webHidden/>
              </w:rPr>
              <w:instrText xml:space="preserve"> PAGEREF _Toc243681286 \h </w:instrText>
            </w:r>
            <w:r>
              <w:rPr>
                <w:noProof/>
                <w:webHidden/>
              </w:rPr>
            </w:r>
            <w:r>
              <w:rPr>
                <w:noProof/>
                <w:webHidden/>
              </w:rPr>
              <w:fldChar w:fldCharType="separate"/>
            </w:r>
            <w:r>
              <w:rPr>
                <w:noProof/>
                <w:webHidden/>
              </w:rPr>
              <w:t>50</w:t>
            </w:r>
            <w:r>
              <w:rPr>
                <w:noProof/>
                <w:webHidden/>
              </w:rPr>
              <w:fldChar w:fldCharType="end"/>
            </w:r>
          </w:hyperlink>
        </w:p>
        <w:p w14:paraId="115B4075" w14:textId="52108E8A" w:rsidR="00CA132B" w:rsidRDefault="00CA132B">
          <w:pPr>
            <w:pStyle w:val="Verzeichnis3"/>
            <w:tabs>
              <w:tab w:val="right" w:leader="dot" w:pos="9396"/>
            </w:tabs>
            <w:rPr>
              <w:noProof/>
            </w:rPr>
          </w:pPr>
          <w:hyperlink w:anchor="_Toc243681287" w:history="1">
            <w:r w:rsidRPr="00EB2153">
              <w:rPr>
                <w:rStyle w:val="Hyperlink"/>
                <w:noProof/>
              </w:rPr>
              <w:t>11.5.2 Biogener Kohlenstoff</w:t>
            </w:r>
            <w:r>
              <w:rPr>
                <w:noProof/>
                <w:webHidden/>
              </w:rPr>
              <w:tab/>
            </w:r>
            <w:r>
              <w:rPr>
                <w:noProof/>
                <w:webHidden/>
              </w:rPr>
              <w:fldChar w:fldCharType="begin"/>
            </w:r>
            <w:r>
              <w:rPr>
                <w:noProof/>
                <w:webHidden/>
              </w:rPr>
              <w:instrText xml:space="preserve"> PAGEREF _Toc243681287 \h </w:instrText>
            </w:r>
            <w:r>
              <w:rPr>
                <w:noProof/>
                <w:webHidden/>
              </w:rPr>
            </w:r>
            <w:r>
              <w:rPr>
                <w:noProof/>
                <w:webHidden/>
              </w:rPr>
              <w:fldChar w:fldCharType="separate"/>
            </w:r>
            <w:r>
              <w:rPr>
                <w:noProof/>
                <w:webHidden/>
              </w:rPr>
              <w:t>51</w:t>
            </w:r>
            <w:r>
              <w:rPr>
                <w:noProof/>
                <w:webHidden/>
              </w:rPr>
              <w:fldChar w:fldCharType="end"/>
            </w:r>
          </w:hyperlink>
        </w:p>
        <w:p w14:paraId="74C48019" w14:textId="0D9E0456" w:rsidR="00CA132B" w:rsidRDefault="00CA132B">
          <w:pPr>
            <w:pStyle w:val="Verzeichnis2"/>
            <w:tabs>
              <w:tab w:val="right" w:leader="dot" w:pos="9396"/>
            </w:tabs>
            <w:rPr>
              <w:noProof/>
            </w:rPr>
          </w:pPr>
          <w:hyperlink w:anchor="_Toc243681288" w:history="1">
            <w:r w:rsidRPr="00EB2153">
              <w:rPr>
                <w:rStyle w:val="Hyperlink"/>
                <w:noProof/>
              </w:rPr>
              <w:t>11.6 Zeitliche Bilanzierung und Emissionsentwicklung</w:t>
            </w:r>
            <w:r>
              <w:rPr>
                <w:noProof/>
                <w:webHidden/>
              </w:rPr>
              <w:tab/>
            </w:r>
            <w:r>
              <w:rPr>
                <w:noProof/>
                <w:webHidden/>
              </w:rPr>
              <w:fldChar w:fldCharType="begin"/>
            </w:r>
            <w:r>
              <w:rPr>
                <w:noProof/>
                <w:webHidden/>
              </w:rPr>
              <w:instrText xml:space="preserve"> PAGEREF _Toc243681288 \h </w:instrText>
            </w:r>
            <w:r>
              <w:rPr>
                <w:noProof/>
                <w:webHidden/>
              </w:rPr>
            </w:r>
            <w:r>
              <w:rPr>
                <w:noProof/>
                <w:webHidden/>
              </w:rPr>
              <w:fldChar w:fldCharType="separate"/>
            </w:r>
            <w:r>
              <w:rPr>
                <w:noProof/>
                <w:webHidden/>
              </w:rPr>
              <w:t>51</w:t>
            </w:r>
            <w:r>
              <w:rPr>
                <w:noProof/>
                <w:webHidden/>
              </w:rPr>
              <w:fldChar w:fldCharType="end"/>
            </w:r>
          </w:hyperlink>
        </w:p>
        <w:p w14:paraId="317336BE" w14:textId="145E564C" w:rsidR="00CA132B" w:rsidRDefault="00CA132B">
          <w:pPr>
            <w:pStyle w:val="Verzeichnis3"/>
            <w:tabs>
              <w:tab w:val="right" w:leader="dot" w:pos="9396"/>
            </w:tabs>
            <w:rPr>
              <w:noProof/>
            </w:rPr>
          </w:pPr>
          <w:hyperlink w:anchor="_Toc243681289" w:history="1">
            <w:r w:rsidRPr="00EB2153">
              <w:rPr>
                <w:rStyle w:val="Hyperlink"/>
                <w:noProof/>
              </w:rPr>
              <w:t>11.6.1 Stündliche Energiesimulation, monatliche Bewertungsfaktoren</w:t>
            </w:r>
            <w:r>
              <w:rPr>
                <w:noProof/>
                <w:webHidden/>
              </w:rPr>
              <w:tab/>
            </w:r>
            <w:r>
              <w:rPr>
                <w:noProof/>
                <w:webHidden/>
              </w:rPr>
              <w:fldChar w:fldCharType="begin"/>
            </w:r>
            <w:r>
              <w:rPr>
                <w:noProof/>
                <w:webHidden/>
              </w:rPr>
              <w:instrText xml:space="preserve"> PAGEREF _Toc243681289 \h </w:instrText>
            </w:r>
            <w:r>
              <w:rPr>
                <w:noProof/>
                <w:webHidden/>
              </w:rPr>
            </w:r>
            <w:r>
              <w:rPr>
                <w:noProof/>
                <w:webHidden/>
              </w:rPr>
              <w:fldChar w:fldCharType="separate"/>
            </w:r>
            <w:r>
              <w:rPr>
                <w:noProof/>
                <w:webHidden/>
              </w:rPr>
              <w:t>51</w:t>
            </w:r>
            <w:r>
              <w:rPr>
                <w:noProof/>
                <w:webHidden/>
              </w:rPr>
              <w:fldChar w:fldCharType="end"/>
            </w:r>
          </w:hyperlink>
        </w:p>
        <w:p w14:paraId="2C07F403" w14:textId="54540F75" w:rsidR="00CA132B" w:rsidRDefault="00CA132B">
          <w:pPr>
            <w:pStyle w:val="Verzeichnis3"/>
            <w:tabs>
              <w:tab w:val="right" w:leader="dot" w:pos="9396"/>
            </w:tabs>
            <w:rPr>
              <w:noProof/>
            </w:rPr>
          </w:pPr>
          <w:hyperlink w:anchor="_Toc243681290" w:history="1">
            <w:r w:rsidRPr="00EB2153">
              <w:rPr>
                <w:rStyle w:val="Hyperlink"/>
                <w:noProof/>
              </w:rPr>
              <w:t>11.6.2 Bewertungszeitraum der Treibhausgasbilanz</w:t>
            </w:r>
            <w:r>
              <w:rPr>
                <w:noProof/>
                <w:webHidden/>
              </w:rPr>
              <w:tab/>
            </w:r>
            <w:r>
              <w:rPr>
                <w:noProof/>
                <w:webHidden/>
              </w:rPr>
              <w:fldChar w:fldCharType="begin"/>
            </w:r>
            <w:r>
              <w:rPr>
                <w:noProof/>
                <w:webHidden/>
              </w:rPr>
              <w:instrText xml:space="preserve"> PAGEREF _Toc243681290 \h </w:instrText>
            </w:r>
            <w:r>
              <w:rPr>
                <w:noProof/>
                <w:webHidden/>
              </w:rPr>
            </w:r>
            <w:r>
              <w:rPr>
                <w:noProof/>
                <w:webHidden/>
              </w:rPr>
              <w:fldChar w:fldCharType="separate"/>
            </w:r>
            <w:r>
              <w:rPr>
                <w:noProof/>
                <w:webHidden/>
              </w:rPr>
              <w:t>52</w:t>
            </w:r>
            <w:r>
              <w:rPr>
                <w:noProof/>
                <w:webHidden/>
              </w:rPr>
              <w:fldChar w:fldCharType="end"/>
            </w:r>
          </w:hyperlink>
        </w:p>
        <w:p w14:paraId="4828DA86" w14:textId="712F3232" w:rsidR="00CA132B" w:rsidRDefault="00CA132B">
          <w:pPr>
            <w:pStyle w:val="Verzeichnis2"/>
            <w:tabs>
              <w:tab w:val="right" w:leader="dot" w:pos="9396"/>
            </w:tabs>
            <w:rPr>
              <w:noProof/>
            </w:rPr>
          </w:pPr>
          <w:hyperlink w:anchor="_Toc243681291" w:history="1">
            <w:r w:rsidRPr="00EB2153">
              <w:rPr>
                <w:rStyle w:val="Hyperlink"/>
                <w:noProof/>
              </w:rPr>
              <w:t>11.7 Konsequenzen für die Nachweisführung</w:t>
            </w:r>
            <w:r>
              <w:rPr>
                <w:noProof/>
                <w:webHidden/>
              </w:rPr>
              <w:tab/>
            </w:r>
            <w:r>
              <w:rPr>
                <w:noProof/>
                <w:webHidden/>
              </w:rPr>
              <w:fldChar w:fldCharType="begin"/>
            </w:r>
            <w:r>
              <w:rPr>
                <w:noProof/>
                <w:webHidden/>
              </w:rPr>
              <w:instrText xml:space="preserve"> PAGEREF _Toc243681291 \h </w:instrText>
            </w:r>
            <w:r>
              <w:rPr>
                <w:noProof/>
                <w:webHidden/>
              </w:rPr>
            </w:r>
            <w:r>
              <w:rPr>
                <w:noProof/>
                <w:webHidden/>
              </w:rPr>
              <w:fldChar w:fldCharType="separate"/>
            </w:r>
            <w:r>
              <w:rPr>
                <w:noProof/>
                <w:webHidden/>
              </w:rPr>
              <w:t>52</w:t>
            </w:r>
            <w:r>
              <w:rPr>
                <w:noProof/>
                <w:webHidden/>
              </w:rPr>
              <w:fldChar w:fldCharType="end"/>
            </w:r>
          </w:hyperlink>
        </w:p>
        <w:p w14:paraId="625432CD" w14:textId="0027B0AD" w:rsidR="00CA132B" w:rsidRDefault="00CA132B">
          <w:pPr>
            <w:pStyle w:val="Verzeichnis1"/>
            <w:tabs>
              <w:tab w:val="right" w:leader="dot" w:pos="9396"/>
            </w:tabs>
            <w:rPr>
              <w:noProof/>
            </w:rPr>
          </w:pPr>
          <w:hyperlink w:anchor="_Toc243681292" w:history="1">
            <w:r w:rsidRPr="00EB2153">
              <w:rPr>
                <w:rStyle w:val="Hyperlink"/>
                <w:noProof/>
              </w:rPr>
              <w:t>12. Methodenstand und Fortschreibung</w:t>
            </w:r>
            <w:r>
              <w:rPr>
                <w:noProof/>
                <w:webHidden/>
              </w:rPr>
              <w:tab/>
            </w:r>
            <w:r>
              <w:rPr>
                <w:noProof/>
                <w:webHidden/>
              </w:rPr>
              <w:fldChar w:fldCharType="begin"/>
            </w:r>
            <w:r>
              <w:rPr>
                <w:noProof/>
                <w:webHidden/>
              </w:rPr>
              <w:instrText xml:space="preserve"> PAGEREF _Toc243681292 \h </w:instrText>
            </w:r>
            <w:r>
              <w:rPr>
                <w:noProof/>
                <w:webHidden/>
              </w:rPr>
            </w:r>
            <w:r>
              <w:rPr>
                <w:noProof/>
                <w:webHidden/>
              </w:rPr>
              <w:fldChar w:fldCharType="separate"/>
            </w:r>
            <w:r>
              <w:rPr>
                <w:noProof/>
                <w:webHidden/>
              </w:rPr>
              <w:t>53</w:t>
            </w:r>
            <w:r>
              <w:rPr>
                <w:noProof/>
                <w:webHidden/>
              </w:rPr>
              <w:fldChar w:fldCharType="end"/>
            </w:r>
          </w:hyperlink>
        </w:p>
        <w:p w14:paraId="532DC06F" w14:textId="6EE97E1C" w:rsidR="00CA132B" w:rsidRDefault="00CA132B">
          <w:pPr>
            <w:pStyle w:val="Verzeichnis2"/>
            <w:tabs>
              <w:tab w:val="right" w:leader="dot" w:pos="9396"/>
            </w:tabs>
            <w:rPr>
              <w:noProof/>
            </w:rPr>
          </w:pPr>
          <w:hyperlink w:anchor="_Toc243681293" w:history="1">
            <w:r w:rsidRPr="00EB2153">
              <w:rPr>
                <w:rStyle w:val="Hyperlink"/>
                <w:noProof/>
              </w:rPr>
              <w:t>12.1 Was ein positives Ergebnis aussagt</w:t>
            </w:r>
            <w:r>
              <w:rPr>
                <w:noProof/>
                <w:webHidden/>
              </w:rPr>
              <w:tab/>
            </w:r>
            <w:r>
              <w:rPr>
                <w:noProof/>
                <w:webHidden/>
              </w:rPr>
              <w:fldChar w:fldCharType="begin"/>
            </w:r>
            <w:r>
              <w:rPr>
                <w:noProof/>
                <w:webHidden/>
              </w:rPr>
              <w:instrText xml:space="preserve"> PAGEREF _Toc243681293 \h </w:instrText>
            </w:r>
            <w:r>
              <w:rPr>
                <w:noProof/>
                <w:webHidden/>
              </w:rPr>
            </w:r>
            <w:r>
              <w:rPr>
                <w:noProof/>
                <w:webHidden/>
              </w:rPr>
              <w:fldChar w:fldCharType="separate"/>
            </w:r>
            <w:r>
              <w:rPr>
                <w:noProof/>
                <w:webHidden/>
              </w:rPr>
              <w:t>53</w:t>
            </w:r>
            <w:r>
              <w:rPr>
                <w:noProof/>
                <w:webHidden/>
              </w:rPr>
              <w:fldChar w:fldCharType="end"/>
            </w:r>
          </w:hyperlink>
        </w:p>
        <w:p w14:paraId="1D3C33A0" w14:textId="74A45140" w:rsidR="00CA132B" w:rsidRDefault="00CA132B">
          <w:pPr>
            <w:pStyle w:val="Verzeichnis2"/>
            <w:tabs>
              <w:tab w:val="right" w:leader="dot" w:pos="9396"/>
            </w:tabs>
            <w:rPr>
              <w:noProof/>
            </w:rPr>
          </w:pPr>
          <w:hyperlink w:anchor="_Toc243681294" w:history="1">
            <w:r w:rsidRPr="00EB2153">
              <w:rPr>
                <w:rStyle w:val="Hyperlink"/>
                <w:noProof/>
              </w:rPr>
              <w:t>12.2 Drei Arten von Änderungen</w:t>
            </w:r>
            <w:r>
              <w:rPr>
                <w:noProof/>
                <w:webHidden/>
              </w:rPr>
              <w:tab/>
            </w:r>
            <w:r>
              <w:rPr>
                <w:noProof/>
                <w:webHidden/>
              </w:rPr>
              <w:fldChar w:fldCharType="begin"/>
            </w:r>
            <w:r>
              <w:rPr>
                <w:noProof/>
                <w:webHidden/>
              </w:rPr>
              <w:instrText xml:space="preserve"> PAGEREF _Toc243681294 \h </w:instrText>
            </w:r>
            <w:r>
              <w:rPr>
                <w:noProof/>
                <w:webHidden/>
              </w:rPr>
            </w:r>
            <w:r>
              <w:rPr>
                <w:noProof/>
                <w:webHidden/>
              </w:rPr>
              <w:fldChar w:fldCharType="separate"/>
            </w:r>
            <w:r>
              <w:rPr>
                <w:noProof/>
                <w:webHidden/>
              </w:rPr>
              <w:t>53</w:t>
            </w:r>
            <w:r>
              <w:rPr>
                <w:noProof/>
                <w:webHidden/>
              </w:rPr>
              <w:fldChar w:fldCharType="end"/>
            </w:r>
          </w:hyperlink>
        </w:p>
        <w:p w14:paraId="299537AD" w14:textId="2073C921" w:rsidR="00CA132B" w:rsidRDefault="00CA132B">
          <w:pPr>
            <w:pStyle w:val="Verzeichnis2"/>
            <w:tabs>
              <w:tab w:val="right" w:leader="dot" w:pos="9396"/>
            </w:tabs>
            <w:rPr>
              <w:noProof/>
            </w:rPr>
          </w:pPr>
          <w:hyperlink w:anchor="_Toc243681295" w:history="1">
            <w:r w:rsidRPr="00EB2153">
              <w:rPr>
                <w:rStyle w:val="Hyperlink"/>
                <w:noProof/>
              </w:rPr>
              <w:t>12.3 Einflussgrößen und Grenzen des Modells</w:t>
            </w:r>
            <w:r>
              <w:rPr>
                <w:noProof/>
                <w:webHidden/>
              </w:rPr>
              <w:tab/>
            </w:r>
            <w:r>
              <w:rPr>
                <w:noProof/>
                <w:webHidden/>
              </w:rPr>
              <w:fldChar w:fldCharType="begin"/>
            </w:r>
            <w:r>
              <w:rPr>
                <w:noProof/>
                <w:webHidden/>
              </w:rPr>
              <w:instrText xml:space="preserve"> PAGEREF _Toc243681295 \h </w:instrText>
            </w:r>
            <w:r>
              <w:rPr>
                <w:noProof/>
                <w:webHidden/>
              </w:rPr>
            </w:r>
            <w:r>
              <w:rPr>
                <w:noProof/>
                <w:webHidden/>
              </w:rPr>
              <w:fldChar w:fldCharType="separate"/>
            </w:r>
            <w:r>
              <w:rPr>
                <w:noProof/>
                <w:webHidden/>
              </w:rPr>
              <w:t>54</w:t>
            </w:r>
            <w:r>
              <w:rPr>
                <w:noProof/>
                <w:webHidden/>
              </w:rPr>
              <w:fldChar w:fldCharType="end"/>
            </w:r>
          </w:hyperlink>
        </w:p>
        <w:p w14:paraId="5C85A450" w14:textId="7E27F3D2" w:rsidR="00CA132B" w:rsidRDefault="00CA132B">
          <w:pPr>
            <w:pStyle w:val="Verzeichnis3"/>
            <w:tabs>
              <w:tab w:val="right" w:leader="dot" w:pos="9396"/>
            </w:tabs>
            <w:rPr>
              <w:noProof/>
            </w:rPr>
          </w:pPr>
          <w:hyperlink w:anchor="_Toc243681296" w:history="1">
            <w:r w:rsidRPr="00EB2153">
              <w:rPr>
                <w:rStyle w:val="Hyperlink"/>
                <w:noProof/>
              </w:rPr>
              <w:t>12.3.1 Gebäudebestand und Dichte</w:t>
            </w:r>
            <w:r>
              <w:rPr>
                <w:noProof/>
                <w:webHidden/>
              </w:rPr>
              <w:tab/>
            </w:r>
            <w:r>
              <w:rPr>
                <w:noProof/>
                <w:webHidden/>
              </w:rPr>
              <w:fldChar w:fldCharType="begin"/>
            </w:r>
            <w:r>
              <w:rPr>
                <w:noProof/>
                <w:webHidden/>
              </w:rPr>
              <w:instrText xml:space="preserve"> PAGEREF _Toc243681296 \h </w:instrText>
            </w:r>
            <w:r>
              <w:rPr>
                <w:noProof/>
                <w:webHidden/>
              </w:rPr>
            </w:r>
            <w:r>
              <w:rPr>
                <w:noProof/>
                <w:webHidden/>
              </w:rPr>
              <w:fldChar w:fldCharType="separate"/>
            </w:r>
            <w:r>
              <w:rPr>
                <w:noProof/>
                <w:webHidden/>
              </w:rPr>
              <w:t>54</w:t>
            </w:r>
            <w:r>
              <w:rPr>
                <w:noProof/>
                <w:webHidden/>
              </w:rPr>
              <w:fldChar w:fldCharType="end"/>
            </w:r>
          </w:hyperlink>
        </w:p>
        <w:p w14:paraId="0DFD814F" w14:textId="69DC98F9" w:rsidR="00CA132B" w:rsidRDefault="00CA132B">
          <w:pPr>
            <w:pStyle w:val="Verzeichnis3"/>
            <w:tabs>
              <w:tab w:val="right" w:leader="dot" w:pos="9396"/>
            </w:tabs>
            <w:rPr>
              <w:noProof/>
            </w:rPr>
          </w:pPr>
          <w:hyperlink w:anchor="_Toc243681297" w:history="1">
            <w:r w:rsidRPr="00EB2153">
              <w:rPr>
                <w:rStyle w:val="Hyperlink"/>
                <w:noProof/>
              </w:rPr>
              <w:t>12.3.2 Mobilität und zeitliche Bewertungsfaktoren</w:t>
            </w:r>
            <w:r>
              <w:rPr>
                <w:noProof/>
                <w:webHidden/>
              </w:rPr>
              <w:tab/>
            </w:r>
            <w:r>
              <w:rPr>
                <w:noProof/>
                <w:webHidden/>
              </w:rPr>
              <w:fldChar w:fldCharType="begin"/>
            </w:r>
            <w:r>
              <w:rPr>
                <w:noProof/>
                <w:webHidden/>
              </w:rPr>
              <w:instrText xml:space="preserve"> PAGEREF _Toc243681297 \h </w:instrText>
            </w:r>
            <w:r>
              <w:rPr>
                <w:noProof/>
                <w:webHidden/>
              </w:rPr>
            </w:r>
            <w:r>
              <w:rPr>
                <w:noProof/>
                <w:webHidden/>
              </w:rPr>
              <w:fldChar w:fldCharType="separate"/>
            </w:r>
            <w:r>
              <w:rPr>
                <w:noProof/>
                <w:webHidden/>
              </w:rPr>
              <w:t>54</w:t>
            </w:r>
            <w:r>
              <w:rPr>
                <w:noProof/>
                <w:webHidden/>
              </w:rPr>
              <w:fldChar w:fldCharType="end"/>
            </w:r>
          </w:hyperlink>
        </w:p>
        <w:p w14:paraId="51566AEC" w14:textId="54D2C2EC" w:rsidR="00CA132B" w:rsidRDefault="00CA132B">
          <w:pPr>
            <w:pStyle w:val="Verzeichnis3"/>
            <w:tabs>
              <w:tab w:val="right" w:leader="dot" w:pos="9396"/>
            </w:tabs>
            <w:rPr>
              <w:noProof/>
            </w:rPr>
          </w:pPr>
          <w:hyperlink w:anchor="_Toc243681298" w:history="1">
            <w:r w:rsidRPr="00EB2153">
              <w:rPr>
                <w:rStyle w:val="Hyperlink"/>
                <w:noProof/>
              </w:rPr>
              <w:t>12.3.3 THG-Budget, PV und Senken</w:t>
            </w:r>
            <w:r>
              <w:rPr>
                <w:noProof/>
                <w:webHidden/>
              </w:rPr>
              <w:tab/>
            </w:r>
            <w:r>
              <w:rPr>
                <w:noProof/>
                <w:webHidden/>
              </w:rPr>
              <w:fldChar w:fldCharType="begin"/>
            </w:r>
            <w:r>
              <w:rPr>
                <w:noProof/>
                <w:webHidden/>
              </w:rPr>
              <w:instrText xml:space="preserve"> PAGEREF _Toc243681298 \h </w:instrText>
            </w:r>
            <w:r>
              <w:rPr>
                <w:noProof/>
                <w:webHidden/>
              </w:rPr>
            </w:r>
            <w:r>
              <w:rPr>
                <w:noProof/>
                <w:webHidden/>
              </w:rPr>
              <w:fldChar w:fldCharType="separate"/>
            </w:r>
            <w:r>
              <w:rPr>
                <w:noProof/>
                <w:webHidden/>
              </w:rPr>
              <w:t>54</w:t>
            </w:r>
            <w:r>
              <w:rPr>
                <w:noProof/>
                <w:webHidden/>
              </w:rPr>
              <w:fldChar w:fldCharType="end"/>
            </w:r>
          </w:hyperlink>
        </w:p>
        <w:p w14:paraId="7B50B48D" w14:textId="1556FCA3" w:rsidR="00CA132B" w:rsidRDefault="00CA132B">
          <w:pPr>
            <w:pStyle w:val="Verzeichnis3"/>
            <w:tabs>
              <w:tab w:val="right" w:leader="dot" w:pos="9396"/>
            </w:tabs>
            <w:rPr>
              <w:noProof/>
            </w:rPr>
          </w:pPr>
          <w:hyperlink w:anchor="_Toc243681299" w:history="1">
            <w:r w:rsidRPr="00EB2153">
              <w:rPr>
                <w:rStyle w:val="Hyperlink"/>
                <w:noProof/>
              </w:rPr>
              <w:t>12.3.4 Sanierung und bauliche Absenkpfade</w:t>
            </w:r>
            <w:r>
              <w:rPr>
                <w:noProof/>
                <w:webHidden/>
              </w:rPr>
              <w:tab/>
            </w:r>
            <w:r>
              <w:rPr>
                <w:noProof/>
                <w:webHidden/>
              </w:rPr>
              <w:fldChar w:fldCharType="begin"/>
            </w:r>
            <w:r>
              <w:rPr>
                <w:noProof/>
                <w:webHidden/>
              </w:rPr>
              <w:instrText xml:space="preserve"> PAGEREF _Toc243681299 \h </w:instrText>
            </w:r>
            <w:r>
              <w:rPr>
                <w:noProof/>
                <w:webHidden/>
              </w:rPr>
            </w:r>
            <w:r>
              <w:rPr>
                <w:noProof/>
                <w:webHidden/>
              </w:rPr>
              <w:fldChar w:fldCharType="separate"/>
            </w:r>
            <w:r>
              <w:rPr>
                <w:noProof/>
                <w:webHidden/>
              </w:rPr>
              <w:t>55</w:t>
            </w:r>
            <w:r>
              <w:rPr>
                <w:noProof/>
                <w:webHidden/>
              </w:rPr>
              <w:fldChar w:fldCharType="end"/>
            </w:r>
          </w:hyperlink>
        </w:p>
        <w:p w14:paraId="622B76BD" w14:textId="78936A45" w:rsidR="00CA132B" w:rsidRDefault="00CA132B">
          <w:pPr>
            <w:pStyle w:val="Verzeichnis2"/>
            <w:tabs>
              <w:tab w:val="right" w:leader="dot" w:pos="9396"/>
            </w:tabs>
            <w:rPr>
              <w:noProof/>
            </w:rPr>
          </w:pPr>
          <w:hyperlink w:anchor="_Toc243681300" w:history="1">
            <w:r w:rsidRPr="00EB2153">
              <w:rPr>
                <w:rStyle w:val="Hyperlink"/>
                <w:noProof/>
              </w:rPr>
              <w:t>12.4 Kommunale Allokation als zusätzliche Ebene</w:t>
            </w:r>
            <w:r>
              <w:rPr>
                <w:noProof/>
                <w:webHidden/>
              </w:rPr>
              <w:tab/>
            </w:r>
            <w:r>
              <w:rPr>
                <w:noProof/>
                <w:webHidden/>
              </w:rPr>
              <w:fldChar w:fldCharType="begin"/>
            </w:r>
            <w:r>
              <w:rPr>
                <w:noProof/>
                <w:webHidden/>
              </w:rPr>
              <w:instrText xml:space="preserve"> PAGEREF _Toc243681300 \h </w:instrText>
            </w:r>
            <w:r>
              <w:rPr>
                <w:noProof/>
                <w:webHidden/>
              </w:rPr>
            </w:r>
            <w:r>
              <w:rPr>
                <w:noProof/>
                <w:webHidden/>
              </w:rPr>
              <w:fldChar w:fldCharType="separate"/>
            </w:r>
            <w:r>
              <w:rPr>
                <w:noProof/>
                <w:webHidden/>
              </w:rPr>
              <w:t>55</w:t>
            </w:r>
            <w:r>
              <w:rPr>
                <w:noProof/>
                <w:webHidden/>
              </w:rPr>
              <w:fldChar w:fldCharType="end"/>
            </w:r>
          </w:hyperlink>
        </w:p>
        <w:p w14:paraId="387711B1" w14:textId="00176245" w:rsidR="00CA132B" w:rsidRDefault="00CA132B">
          <w:pPr>
            <w:pStyle w:val="Verzeichnis2"/>
            <w:tabs>
              <w:tab w:val="right" w:leader="dot" w:pos="9396"/>
            </w:tabs>
            <w:rPr>
              <w:noProof/>
            </w:rPr>
          </w:pPr>
          <w:hyperlink w:anchor="_Toc243681301" w:history="1">
            <w:r w:rsidRPr="00EB2153">
              <w:rPr>
                <w:rStyle w:val="Hyperlink"/>
                <w:noProof/>
              </w:rPr>
              <w:t>12.5 Lernen aus Planung und Betrieb</w:t>
            </w:r>
            <w:r>
              <w:rPr>
                <w:noProof/>
                <w:webHidden/>
              </w:rPr>
              <w:tab/>
            </w:r>
            <w:r>
              <w:rPr>
                <w:noProof/>
                <w:webHidden/>
              </w:rPr>
              <w:fldChar w:fldCharType="begin"/>
            </w:r>
            <w:r>
              <w:rPr>
                <w:noProof/>
                <w:webHidden/>
              </w:rPr>
              <w:instrText xml:space="preserve"> PAGEREF _Toc243681301 \h </w:instrText>
            </w:r>
            <w:r>
              <w:rPr>
                <w:noProof/>
                <w:webHidden/>
              </w:rPr>
            </w:r>
            <w:r>
              <w:rPr>
                <w:noProof/>
                <w:webHidden/>
              </w:rPr>
              <w:fldChar w:fldCharType="separate"/>
            </w:r>
            <w:r>
              <w:rPr>
                <w:noProof/>
                <w:webHidden/>
              </w:rPr>
              <w:t>56</w:t>
            </w:r>
            <w:r>
              <w:rPr>
                <w:noProof/>
                <w:webHidden/>
              </w:rPr>
              <w:fldChar w:fldCharType="end"/>
            </w:r>
          </w:hyperlink>
        </w:p>
        <w:p w14:paraId="4AEE95C2" w14:textId="503F6ADA" w:rsidR="00CA132B" w:rsidRDefault="00CA132B">
          <w:pPr>
            <w:pStyle w:val="Verzeichnis1"/>
            <w:tabs>
              <w:tab w:val="right" w:leader="dot" w:pos="9396"/>
            </w:tabs>
            <w:rPr>
              <w:noProof/>
            </w:rPr>
          </w:pPr>
          <w:hyperlink w:anchor="_Toc243681302" w:history="1">
            <w:r w:rsidRPr="00EB2153">
              <w:rPr>
                <w:rStyle w:val="Hyperlink"/>
                <w:noProof/>
              </w:rPr>
              <w:t>13. Deklaration von Bauprojekten</w:t>
            </w:r>
            <w:r>
              <w:rPr>
                <w:noProof/>
                <w:webHidden/>
              </w:rPr>
              <w:tab/>
            </w:r>
            <w:r>
              <w:rPr>
                <w:noProof/>
                <w:webHidden/>
              </w:rPr>
              <w:fldChar w:fldCharType="begin"/>
            </w:r>
            <w:r>
              <w:rPr>
                <w:noProof/>
                <w:webHidden/>
              </w:rPr>
              <w:instrText xml:space="preserve"> PAGEREF _Toc243681302 \h </w:instrText>
            </w:r>
            <w:r>
              <w:rPr>
                <w:noProof/>
                <w:webHidden/>
              </w:rPr>
            </w:r>
            <w:r>
              <w:rPr>
                <w:noProof/>
                <w:webHidden/>
              </w:rPr>
              <w:fldChar w:fldCharType="separate"/>
            </w:r>
            <w:r>
              <w:rPr>
                <w:noProof/>
                <w:webHidden/>
              </w:rPr>
              <w:t>56</w:t>
            </w:r>
            <w:r>
              <w:rPr>
                <w:noProof/>
                <w:webHidden/>
              </w:rPr>
              <w:fldChar w:fldCharType="end"/>
            </w:r>
          </w:hyperlink>
        </w:p>
        <w:p w14:paraId="3DF400E1" w14:textId="2689C89F" w:rsidR="00CA132B" w:rsidRDefault="00CA132B">
          <w:pPr>
            <w:pStyle w:val="Verzeichnis2"/>
            <w:tabs>
              <w:tab w:val="right" w:leader="dot" w:pos="9396"/>
            </w:tabs>
            <w:rPr>
              <w:noProof/>
            </w:rPr>
          </w:pPr>
          <w:hyperlink w:anchor="_Toc243681303" w:history="1">
            <w:r w:rsidRPr="00EB2153">
              <w:rPr>
                <w:rStyle w:val="Hyperlink"/>
                <w:noProof/>
              </w:rPr>
              <w:t>13.1 Drei Deklarationsphasen</w:t>
            </w:r>
            <w:r>
              <w:rPr>
                <w:noProof/>
                <w:webHidden/>
              </w:rPr>
              <w:tab/>
            </w:r>
            <w:r>
              <w:rPr>
                <w:noProof/>
                <w:webHidden/>
              </w:rPr>
              <w:fldChar w:fldCharType="begin"/>
            </w:r>
            <w:r>
              <w:rPr>
                <w:noProof/>
                <w:webHidden/>
              </w:rPr>
              <w:instrText xml:space="preserve"> PAGEREF _Toc243681303 \h </w:instrText>
            </w:r>
            <w:r>
              <w:rPr>
                <w:noProof/>
                <w:webHidden/>
              </w:rPr>
            </w:r>
            <w:r>
              <w:rPr>
                <w:noProof/>
                <w:webHidden/>
              </w:rPr>
              <w:fldChar w:fldCharType="separate"/>
            </w:r>
            <w:r>
              <w:rPr>
                <w:noProof/>
                <w:webHidden/>
              </w:rPr>
              <w:t>56</w:t>
            </w:r>
            <w:r>
              <w:rPr>
                <w:noProof/>
                <w:webHidden/>
              </w:rPr>
              <w:fldChar w:fldCharType="end"/>
            </w:r>
          </w:hyperlink>
        </w:p>
        <w:p w14:paraId="54D28391" w14:textId="1B8AABAA" w:rsidR="00CA132B" w:rsidRDefault="00CA132B">
          <w:pPr>
            <w:pStyle w:val="Verzeichnis3"/>
            <w:tabs>
              <w:tab w:val="right" w:leader="dot" w:pos="9396"/>
            </w:tabs>
            <w:rPr>
              <w:noProof/>
            </w:rPr>
          </w:pPr>
          <w:hyperlink w:anchor="_Toc243681304" w:history="1">
            <w:r w:rsidRPr="00EB2153">
              <w:rPr>
                <w:rStyle w:val="Hyperlink"/>
                <w:noProof/>
              </w:rPr>
              <w:t xml:space="preserve">13.1.1 </w:t>
            </w:r>
            <w:r w:rsidRPr="00EB2153">
              <w:rPr>
                <w:rStyle w:val="Hyperlink"/>
                <w:rFonts w:ascii="Segoe UI Emoji" w:hAnsi="Segoe UI Emoji" w:cs="Segoe UI Emoji"/>
                <w:noProof/>
              </w:rPr>
              <w:t>📐</w:t>
            </w:r>
            <w:r w:rsidRPr="00EB2153">
              <w:rPr>
                <w:rStyle w:val="Hyperlink"/>
                <w:noProof/>
              </w:rPr>
              <w:t xml:space="preserve"> Planungsdeklaration – Potenziale und Varianten nachweisen</w:t>
            </w:r>
            <w:r>
              <w:rPr>
                <w:noProof/>
                <w:webHidden/>
              </w:rPr>
              <w:tab/>
            </w:r>
            <w:r>
              <w:rPr>
                <w:noProof/>
                <w:webHidden/>
              </w:rPr>
              <w:fldChar w:fldCharType="begin"/>
            </w:r>
            <w:r>
              <w:rPr>
                <w:noProof/>
                <w:webHidden/>
              </w:rPr>
              <w:instrText xml:space="preserve"> PAGEREF _Toc243681304 \h </w:instrText>
            </w:r>
            <w:r>
              <w:rPr>
                <w:noProof/>
                <w:webHidden/>
              </w:rPr>
            </w:r>
            <w:r>
              <w:rPr>
                <w:noProof/>
                <w:webHidden/>
              </w:rPr>
              <w:fldChar w:fldCharType="separate"/>
            </w:r>
            <w:r>
              <w:rPr>
                <w:noProof/>
                <w:webHidden/>
              </w:rPr>
              <w:t>56</w:t>
            </w:r>
            <w:r>
              <w:rPr>
                <w:noProof/>
                <w:webHidden/>
              </w:rPr>
              <w:fldChar w:fldCharType="end"/>
            </w:r>
          </w:hyperlink>
        </w:p>
        <w:p w14:paraId="2B0E249F" w14:textId="38C6FFB3" w:rsidR="00CA132B" w:rsidRDefault="00CA132B">
          <w:pPr>
            <w:pStyle w:val="Verzeichnis3"/>
            <w:tabs>
              <w:tab w:val="right" w:leader="dot" w:pos="9396"/>
            </w:tabs>
            <w:rPr>
              <w:noProof/>
            </w:rPr>
          </w:pPr>
          <w:hyperlink w:anchor="_Toc243681305" w:history="1">
            <w:r w:rsidRPr="00EB2153">
              <w:rPr>
                <w:rStyle w:val="Hyperlink"/>
                <w:noProof/>
              </w:rPr>
              <w:t xml:space="preserve">13.1.2 </w:t>
            </w:r>
            <w:r w:rsidRPr="00EB2153">
              <w:rPr>
                <w:rStyle w:val="Hyperlink"/>
                <w:rFonts w:ascii="Segoe UI Emoji" w:hAnsi="Segoe UI Emoji" w:cs="Segoe UI Emoji"/>
                <w:noProof/>
              </w:rPr>
              <w:t>🏗️</w:t>
            </w:r>
            <w:r w:rsidRPr="00EB2153">
              <w:rPr>
                <w:rStyle w:val="Hyperlink"/>
                <w:noProof/>
              </w:rPr>
              <w:t xml:space="preserve"> Fertigstellungsdeklaration – Umsetzung überprüfen</w:t>
            </w:r>
            <w:r>
              <w:rPr>
                <w:noProof/>
                <w:webHidden/>
              </w:rPr>
              <w:tab/>
            </w:r>
            <w:r>
              <w:rPr>
                <w:noProof/>
                <w:webHidden/>
              </w:rPr>
              <w:fldChar w:fldCharType="begin"/>
            </w:r>
            <w:r>
              <w:rPr>
                <w:noProof/>
                <w:webHidden/>
              </w:rPr>
              <w:instrText xml:space="preserve"> PAGEREF _Toc243681305 \h </w:instrText>
            </w:r>
            <w:r>
              <w:rPr>
                <w:noProof/>
                <w:webHidden/>
              </w:rPr>
            </w:r>
            <w:r>
              <w:rPr>
                <w:noProof/>
                <w:webHidden/>
              </w:rPr>
              <w:fldChar w:fldCharType="separate"/>
            </w:r>
            <w:r>
              <w:rPr>
                <w:noProof/>
                <w:webHidden/>
              </w:rPr>
              <w:t>57</w:t>
            </w:r>
            <w:r>
              <w:rPr>
                <w:noProof/>
                <w:webHidden/>
              </w:rPr>
              <w:fldChar w:fldCharType="end"/>
            </w:r>
          </w:hyperlink>
        </w:p>
        <w:p w14:paraId="589FC486" w14:textId="1CDA1B3A" w:rsidR="00CA132B" w:rsidRDefault="00CA132B">
          <w:pPr>
            <w:pStyle w:val="Verzeichnis3"/>
            <w:tabs>
              <w:tab w:val="right" w:leader="dot" w:pos="9396"/>
            </w:tabs>
            <w:rPr>
              <w:noProof/>
            </w:rPr>
          </w:pPr>
          <w:hyperlink w:anchor="_Toc243681306" w:history="1">
            <w:r w:rsidRPr="00EB2153">
              <w:rPr>
                <w:rStyle w:val="Hyperlink"/>
                <w:noProof/>
              </w:rPr>
              <w:t xml:space="preserve">13.1.3 </w:t>
            </w:r>
            <w:r w:rsidRPr="00EB2153">
              <w:rPr>
                <w:rStyle w:val="Hyperlink"/>
                <w:rFonts w:ascii="Segoe UI Emoji" w:hAnsi="Segoe UI Emoji" w:cs="Segoe UI Emoji"/>
                <w:noProof/>
              </w:rPr>
              <w:t>🔍</w:t>
            </w:r>
            <w:r w:rsidRPr="00EB2153">
              <w:rPr>
                <w:rStyle w:val="Hyperlink"/>
                <w:noProof/>
              </w:rPr>
              <w:t xml:space="preserve"> Betriebs- bzw. Monitoringdeklaration – Wirkung im Betrieb belegen</w:t>
            </w:r>
            <w:r>
              <w:rPr>
                <w:noProof/>
                <w:webHidden/>
              </w:rPr>
              <w:tab/>
            </w:r>
            <w:r>
              <w:rPr>
                <w:noProof/>
                <w:webHidden/>
              </w:rPr>
              <w:fldChar w:fldCharType="begin"/>
            </w:r>
            <w:r>
              <w:rPr>
                <w:noProof/>
                <w:webHidden/>
              </w:rPr>
              <w:instrText xml:space="preserve"> PAGEREF _Toc243681306 \h </w:instrText>
            </w:r>
            <w:r>
              <w:rPr>
                <w:noProof/>
                <w:webHidden/>
              </w:rPr>
            </w:r>
            <w:r>
              <w:rPr>
                <w:noProof/>
                <w:webHidden/>
              </w:rPr>
              <w:fldChar w:fldCharType="separate"/>
            </w:r>
            <w:r>
              <w:rPr>
                <w:noProof/>
                <w:webHidden/>
              </w:rPr>
              <w:t>57</w:t>
            </w:r>
            <w:r>
              <w:rPr>
                <w:noProof/>
                <w:webHidden/>
              </w:rPr>
              <w:fldChar w:fldCharType="end"/>
            </w:r>
          </w:hyperlink>
        </w:p>
        <w:p w14:paraId="04431D94" w14:textId="72886109" w:rsidR="00CA132B" w:rsidRDefault="00CA132B">
          <w:pPr>
            <w:pStyle w:val="Verzeichnis2"/>
            <w:tabs>
              <w:tab w:val="right" w:leader="dot" w:pos="9396"/>
            </w:tabs>
            <w:rPr>
              <w:noProof/>
            </w:rPr>
          </w:pPr>
          <w:hyperlink w:anchor="_Toc243681307" w:history="1">
            <w:r w:rsidRPr="00EB2153">
              <w:rPr>
                <w:rStyle w:val="Hyperlink"/>
                <w:noProof/>
              </w:rPr>
              <w:t xml:space="preserve">13.2 </w:t>
            </w:r>
            <w:r w:rsidRPr="00EB2153">
              <w:rPr>
                <w:rStyle w:val="Hyperlink"/>
                <w:rFonts w:ascii="Segoe UI Emoji" w:hAnsi="Segoe UI Emoji" w:cs="Segoe UI Emoji"/>
                <w:noProof/>
              </w:rPr>
              <w:t>🧭</w:t>
            </w:r>
            <w:r w:rsidRPr="00EB2153">
              <w:rPr>
                <w:rStyle w:val="Hyperlink"/>
                <w:noProof/>
              </w:rPr>
              <w:t xml:space="preserve"> „Auf dem Weg“ – Zielerreichung in Etappen</w:t>
            </w:r>
            <w:r>
              <w:rPr>
                <w:noProof/>
                <w:webHidden/>
              </w:rPr>
              <w:tab/>
            </w:r>
            <w:r>
              <w:rPr>
                <w:noProof/>
                <w:webHidden/>
              </w:rPr>
              <w:fldChar w:fldCharType="begin"/>
            </w:r>
            <w:r>
              <w:rPr>
                <w:noProof/>
                <w:webHidden/>
              </w:rPr>
              <w:instrText xml:space="preserve"> PAGEREF _Toc243681307 \h </w:instrText>
            </w:r>
            <w:r>
              <w:rPr>
                <w:noProof/>
                <w:webHidden/>
              </w:rPr>
            </w:r>
            <w:r>
              <w:rPr>
                <w:noProof/>
                <w:webHidden/>
              </w:rPr>
              <w:fldChar w:fldCharType="separate"/>
            </w:r>
            <w:r>
              <w:rPr>
                <w:noProof/>
                <w:webHidden/>
              </w:rPr>
              <w:t>58</w:t>
            </w:r>
            <w:r>
              <w:rPr>
                <w:noProof/>
                <w:webHidden/>
              </w:rPr>
              <w:fldChar w:fldCharType="end"/>
            </w:r>
          </w:hyperlink>
        </w:p>
        <w:p w14:paraId="1DD26287" w14:textId="0A1A4A48" w:rsidR="00CA132B" w:rsidRDefault="00CA132B">
          <w:pPr>
            <w:pStyle w:val="Verzeichnis2"/>
            <w:tabs>
              <w:tab w:val="right" w:leader="dot" w:pos="9396"/>
            </w:tabs>
            <w:rPr>
              <w:noProof/>
            </w:rPr>
          </w:pPr>
          <w:hyperlink w:anchor="_Toc243681308" w:history="1">
            <w:r w:rsidRPr="00EB2153">
              <w:rPr>
                <w:rStyle w:val="Hyperlink"/>
                <w:noProof/>
              </w:rPr>
              <w:t>13.3 Ablauf der Nachweisführung</w:t>
            </w:r>
            <w:r>
              <w:rPr>
                <w:noProof/>
                <w:webHidden/>
              </w:rPr>
              <w:tab/>
            </w:r>
            <w:r>
              <w:rPr>
                <w:noProof/>
                <w:webHidden/>
              </w:rPr>
              <w:fldChar w:fldCharType="begin"/>
            </w:r>
            <w:r>
              <w:rPr>
                <w:noProof/>
                <w:webHidden/>
              </w:rPr>
              <w:instrText xml:space="preserve"> PAGEREF _Toc243681308 \h </w:instrText>
            </w:r>
            <w:r>
              <w:rPr>
                <w:noProof/>
                <w:webHidden/>
              </w:rPr>
            </w:r>
            <w:r>
              <w:rPr>
                <w:noProof/>
                <w:webHidden/>
              </w:rPr>
              <w:fldChar w:fldCharType="separate"/>
            </w:r>
            <w:r>
              <w:rPr>
                <w:noProof/>
                <w:webHidden/>
              </w:rPr>
              <w:t>59</w:t>
            </w:r>
            <w:r>
              <w:rPr>
                <w:noProof/>
                <w:webHidden/>
              </w:rPr>
              <w:fldChar w:fldCharType="end"/>
            </w:r>
          </w:hyperlink>
        </w:p>
        <w:p w14:paraId="2B1A8B84" w14:textId="7A1A7732" w:rsidR="00CA132B" w:rsidRDefault="00CA132B">
          <w:pPr>
            <w:pStyle w:val="Verzeichnis3"/>
            <w:tabs>
              <w:tab w:val="right" w:leader="dot" w:pos="9396"/>
            </w:tabs>
            <w:rPr>
              <w:noProof/>
            </w:rPr>
          </w:pPr>
          <w:hyperlink w:anchor="_Toc243681309" w:history="1">
            <w:r w:rsidRPr="00EB2153">
              <w:rPr>
                <w:rStyle w:val="Hyperlink"/>
                <w:noProof/>
              </w:rPr>
              <w:t>13.3.1 Schritt 1 – Mindestanforderungen und Aussichten prüfen</w:t>
            </w:r>
            <w:r>
              <w:rPr>
                <w:noProof/>
                <w:webHidden/>
              </w:rPr>
              <w:tab/>
            </w:r>
            <w:r>
              <w:rPr>
                <w:noProof/>
                <w:webHidden/>
              </w:rPr>
              <w:fldChar w:fldCharType="begin"/>
            </w:r>
            <w:r>
              <w:rPr>
                <w:noProof/>
                <w:webHidden/>
              </w:rPr>
              <w:instrText xml:space="preserve"> PAGEREF _Toc243681309 \h </w:instrText>
            </w:r>
            <w:r>
              <w:rPr>
                <w:noProof/>
                <w:webHidden/>
              </w:rPr>
            </w:r>
            <w:r>
              <w:rPr>
                <w:noProof/>
                <w:webHidden/>
              </w:rPr>
              <w:fldChar w:fldCharType="separate"/>
            </w:r>
            <w:r>
              <w:rPr>
                <w:noProof/>
                <w:webHidden/>
              </w:rPr>
              <w:t>59</w:t>
            </w:r>
            <w:r>
              <w:rPr>
                <w:noProof/>
                <w:webHidden/>
              </w:rPr>
              <w:fldChar w:fldCharType="end"/>
            </w:r>
          </w:hyperlink>
        </w:p>
        <w:p w14:paraId="346722D1" w14:textId="2DC09E73" w:rsidR="00CA132B" w:rsidRDefault="00CA132B">
          <w:pPr>
            <w:pStyle w:val="Verzeichnis3"/>
            <w:tabs>
              <w:tab w:val="right" w:leader="dot" w:pos="9396"/>
            </w:tabs>
            <w:rPr>
              <w:noProof/>
            </w:rPr>
          </w:pPr>
          <w:hyperlink w:anchor="_Toc243681310" w:history="1">
            <w:r w:rsidRPr="00EB2153">
              <w:rPr>
                <w:rStyle w:val="Hyperlink"/>
                <w:noProof/>
              </w:rPr>
              <w:t>13.3.2 Schritt 2 – Kompetenzpartner:in auswählen</w:t>
            </w:r>
            <w:r>
              <w:rPr>
                <w:noProof/>
                <w:webHidden/>
              </w:rPr>
              <w:tab/>
            </w:r>
            <w:r>
              <w:rPr>
                <w:noProof/>
                <w:webHidden/>
              </w:rPr>
              <w:fldChar w:fldCharType="begin"/>
            </w:r>
            <w:r>
              <w:rPr>
                <w:noProof/>
                <w:webHidden/>
              </w:rPr>
              <w:instrText xml:space="preserve"> PAGEREF _Toc243681310 \h </w:instrText>
            </w:r>
            <w:r>
              <w:rPr>
                <w:noProof/>
                <w:webHidden/>
              </w:rPr>
            </w:r>
            <w:r>
              <w:rPr>
                <w:noProof/>
                <w:webHidden/>
              </w:rPr>
              <w:fldChar w:fldCharType="separate"/>
            </w:r>
            <w:r>
              <w:rPr>
                <w:noProof/>
                <w:webHidden/>
              </w:rPr>
              <w:t>59</w:t>
            </w:r>
            <w:r>
              <w:rPr>
                <w:noProof/>
                <w:webHidden/>
              </w:rPr>
              <w:fldChar w:fldCharType="end"/>
            </w:r>
          </w:hyperlink>
        </w:p>
        <w:p w14:paraId="73AF79EC" w14:textId="6BF5F1E4" w:rsidR="00CA132B" w:rsidRDefault="00CA132B">
          <w:pPr>
            <w:pStyle w:val="Verzeichnis3"/>
            <w:tabs>
              <w:tab w:val="right" w:leader="dot" w:pos="9396"/>
            </w:tabs>
            <w:rPr>
              <w:noProof/>
            </w:rPr>
          </w:pPr>
          <w:hyperlink w:anchor="_Toc243681311" w:history="1">
            <w:r w:rsidRPr="00EB2153">
              <w:rPr>
                <w:rStyle w:val="Hyperlink"/>
                <w:noProof/>
              </w:rPr>
              <w:t>13.3.3 Schritt 3 – Einreichung und Qualitätssicherung</w:t>
            </w:r>
            <w:r>
              <w:rPr>
                <w:noProof/>
                <w:webHidden/>
              </w:rPr>
              <w:tab/>
            </w:r>
            <w:r>
              <w:rPr>
                <w:noProof/>
                <w:webHidden/>
              </w:rPr>
              <w:fldChar w:fldCharType="begin"/>
            </w:r>
            <w:r>
              <w:rPr>
                <w:noProof/>
                <w:webHidden/>
              </w:rPr>
              <w:instrText xml:space="preserve"> PAGEREF _Toc243681311 \h </w:instrText>
            </w:r>
            <w:r>
              <w:rPr>
                <w:noProof/>
                <w:webHidden/>
              </w:rPr>
            </w:r>
            <w:r>
              <w:rPr>
                <w:noProof/>
                <w:webHidden/>
              </w:rPr>
              <w:fldChar w:fldCharType="separate"/>
            </w:r>
            <w:r>
              <w:rPr>
                <w:noProof/>
                <w:webHidden/>
              </w:rPr>
              <w:t>60</w:t>
            </w:r>
            <w:r>
              <w:rPr>
                <w:noProof/>
                <w:webHidden/>
              </w:rPr>
              <w:fldChar w:fldCharType="end"/>
            </w:r>
          </w:hyperlink>
        </w:p>
        <w:p w14:paraId="2DE5564F" w14:textId="20214D86" w:rsidR="00CA132B" w:rsidRDefault="00CA132B">
          <w:pPr>
            <w:pStyle w:val="Verzeichnis2"/>
            <w:tabs>
              <w:tab w:val="right" w:leader="dot" w:pos="9396"/>
            </w:tabs>
            <w:rPr>
              <w:noProof/>
            </w:rPr>
          </w:pPr>
          <w:hyperlink w:anchor="_Toc243681312" w:history="1">
            <w:r w:rsidRPr="00EB2153">
              <w:rPr>
                <w:rStyle w:val="Hyperlink"/>
                <w:noProof/>
              </w:rPr>
              <w:t>13.4 Akteure und Zuständigkeiten</w:t>
            </w:r>
            <w:r>
              <w:rPr>
                <w:noProof/>
                <w:webHidden/>
              </w:rPr>
              <w:tab/>
            </w:r>
            <w:r>
              <w:rPr>
                <w:noProof/>
                <w:webHidden/>
              </w:rPr>
              <w:fldChar w:fldCharType="begin"/>
            </w:r>
            <w:r>
              <w:rPr>
                <w:noProof/>
                <w:webHidden/>
              </w:rPr>
              <w:instrText xml:space="preserve"> PAGEREF _Toc243681312 \h </w:instrText>
            </w:r>
            <w:r>
              <w:rPr>
                <w:noProof/>
                <w:webHidden/>
              </w:rPr>
            </w:r>
            <w:r>
              <w:rPr>
                <w:noProof/>
                <w:webHidden/>
              </w:rPr>
              <w:fldChar w:fldCharType="separate"/>
            </w:r>
            <w:r>
              <w:rPr>
                <w:noProof/>
                <w:webHidden/>
              </w:rPr>
              <w:t>60</w:t>
            </w:r>
            <w:r>
              <w:rPr>
                <w:noProof/>
                <w:webHidden/>
              </w:rPr>
              <w:fldChar w:fldCharType="end"/>
            </w:r>
          </w:hyperlink>
        </w:p>
        <w:p w14:paraId="522CED0A" w14:textId="17030932" w:rsidR="00CA132B" w:rsidRDefault="00CA132B">
          <w:pPr>
            <w:pStyle w:val="Verzeichnis2"/>
            <w:tabs>
              <w:tab w:val="right" w:leader="dot" w:pos="9396"/>
            </w:tabs>
            <w:rPr>
              <w:noProof/>
            </w:rPr>
          </w:pPr>
          <w:hyperlink w:anchor="_Toc243681313" w:history="1">
            <w:r w:rsidRPr="00EB2153">
              <w:rPr>
                <w:rStyle w:val="Hyperlink"/>
                <w:noProof/>
              </w:rPr>
              <w:t>13.5 Anforderungen an Datenqualität und Nachvollziehbarkeit</w:t>
            </w:r>
            <w:r>
              <w:rPr>
                <w:noProof/>
                <w:webHidden/>
              </w:rPr>
              <w:tab/>
            </w:r>
            <w:r>
              <w:rPr>
                <w:noProof/>
                <w:webHidden/>
              </w:rPr>
              <w:fldChar w:fldCharType="begin"/>
            </w:r>
            <w:r>
              <w:rPr>
                <w:noProof/>
                <w:webHidden/>
              </w:rPr>
              <w:instrText xml:space="preserve"> PAGEREF _Toc243681313 \h </w:instrText>
            </w:r>
            <w:r>
              <w:rPr>
                <w:noProof/>
                <w:webHidden/>
              </w:rPr>
            </w:r>
            <w:r>
              <w:rPr>
                <w:noProof/>
                <w:webHidden/>
              </w:rPr>
              <w:fldChar w:fldCharType="separate"/>
            </w:r>
            <w:r>
              <w:rPr>
                <w:noProof/>
                <w:webHidden/>
              </w:rPr>
              <w:t>61</w:t>
            </w:r>
            <w:r>
              <w:rPr>
                <w:noProof/>
                <w:webHidden/>
              </w:rPr>
              <w:fldChar w:fldCharType="end"/>
            </w:r>
          </w:hyperlink>
        </w:p>
        <w:p w14:paraId="208E7865" w14:textId="7A90F7AA" w:rsidR="00CA132B" w:rsidRDefault="00CA132B">
          <w:pPr>
            <w:pStyle w:val="Verzeichnis2"/>
            <w:tabs>
              <w:tab w:val="right" w:leader="dot" w:pos="9396"/>
            </w:tabs>
            <w:rPr>
              <w:noProof/>
            </w:rPr>
          </w:pPr>
          <w:hyperlink w:anchor="_Toc243681314" w:history="1">
            <w:r w:rsidRPr="00EB2153">
              <w:rPr>
                <w:rStyle w:val="Hyperlink"/>
                <w:noProof/>
              </w:rPr>
              <w:t>13.6  PEExcel als Nachweiswerkzeug</w:t>
            </w:r>
            <w:r>
              <w:rPr>
                <w:noProof/>
                <w:webHidden/>
              </w:rPr>
              <w:tab/>
            </w:r>
            <w:r>
              <w:rPr>
                <w:noProof/>
                <w:webHidden/>
              </w:rPr>
              <w:fldChar w:fldCharType="begin"/>
            </w:r>
            <w:r>
              <w:rPr>
                <w:noProof/>
                <w:webHidden/>
              </w:rPr>
              <w:instrText xml:space="preserve"> PAGEREF _Toc243681314 \h </w:instrText>
            </w:r>
            <w:r>
              <w:rPr>
                <w:noProof/>
                <w:webHidden/>
              </w:rPr>
            </w:r>
            <w:r>
              <w:rPr>
                <w:noProof/>
                <w:webHidden/>
              </w:rPr>
              <w:fldChar w:fldCharType="separate"/>
            </w:r>
            <w:r>
              <w:rPr>
                <w:noProof/>
                <w:webHidden/>
              </w:rPr>
              <w:t>61</w:t>
            </w:r>
            <w:r>
              <w:rPr>
                <w:noProof/>
                <w:webHidden/>
              </w:rPr>
              <w:fldChar w:fldCharType="end"/>
            </w:r>
          </w:hyperlink>
        </w:p>
        <w:p w14:paraId="14AD736A" w14:textId="38154149" w:rsidR="00CA132B" w:rsidRDefault="00CA132B">
          <w:pPr>
            <w:pStyle w:val="Verzeichnis1"/>
            <w:tabs>
              <w:tab w:val="right" w:leader="dot" w:pos="9396"/>
            </w:tabs>
            <w:rPr>
              <w:noProof/>
            </w:rPr>
          </w:pPr>
          <w:hyperlink w:anchor="_Toc243681315" w:history="1">
            <w:r w:rsidRPr="00EB2153">
              <w:rPr>
                <w:rStyle w:val="Hyperlink"/>
                <w:noProof/>
              </w:rPr>
              <w:t>14. Ergebnisse verstehen</w:t>
            </w:r>
            <w:r>
              <w:rPr>
                <w:noProof/>
                <w:webHidden/>
              </w:rPr>
              <w:tab/>
            </w:r>
            <w:r>
              <w:rPr>
                <w:noProof/>
                <w:webHidden/>
              </w:rPr>
              <w:fldChar w:fldCharType="begin"/>
            </w:r>
            <w:r>
              <w:rPr>
                <w:noProof/>
                <w:webHidden/>
              </w:rPr>
              <w:instrText xml:space="preserve"> PAGEREF _Toc243681315 \h </w:instrText>
            </w:r>
            <w:r>
              <w:rPr>
                <w:noProof/>
                <w:webHidden/>
              </w:rPr>
            </w:r>
            <w:r>
              <w:rPr>
                <w:noProof/>
                <w:webHidden/>
              </w:rPr>
              <w:fldChar w:fldCharType="separate"/>
            </w:r>
            <w:r>
              <w:rPr>
                <w:noProof/>
                <w:webHidden/>
              </w:rPr>
              <w:t>61</w:t>
            </w:r>
            <w:r>
              <w:rPr>
                <w:noProof/>
                <w:webHidden/>
              </w:rPr>
              <w:fldChar w:fldCharType="end"/>
            </w:r>
          </w:hyperlink>
        </w:p>
        <w:p w14:paraId="5D31703D" w14:textId="33C12216" w:rsidR="00CA132B" w:rsidRDefault="00CA132B">
          <w:pPr>
            <w:pStyle w:val="Verzeichnis2"/>
            <w:tabs>
              <w:tab w:val="right" w:leader="dot" w:pos="9396"/>
            </w:tabs>
            <w:rPr>
              <w:noProof/>
            </w:rPr>
          </w:pPr>
          <w:hyperlink w:anchor="_Toc243681316" w:history="1">
            <w:r w:rsidRPr="00EB2153">
              <w:rPr>
                <w:rStyle w:val="Hyperlink"/>
                <w:noProof/>
              </w:rPr>
              <w:t>14.1 Primärenergiebilanz</w:t>
            </w:r>
            <w:r>
              <w:rPr>
                <w:noProof/>
                <w:webHidden/>
              </w:rPr>
              <w:tab/>
            </w:r>
            <w:r>
              <w:rPr>
                <w:noProof/>
                <w:webHidden/>
              </w:rPr>
              <w:fldChar w:fldCharType="begin"/>
            </w:r>
            <w:r>
              <w:rPr>
                <w:noProof/>
                <w:webHidden/>
              </w:rPr>
              <w:instrText xml:space="preserve"> PAGEREF _Toc243681316 \h </w:instrText>
            </w:r>
            <w:r>
              <w:rPr>
                <w:noProof/>
                <w:webHidden/>
              </w:rPr>
            </w:r>
            <w:r>
              <w:rPr>
                <w:noProof/>
                <w:webHidden/>
              </w:rPr>
              <w:fldChar w:fldCharType="separate"/>
            </w:r>
            <w:r>
              <w:rPr>
                <w:noProof/>
                <w:webHidden/>
              </w:rPr>
              <w:t>62</w:t>
            </w:r>
            <w:r>
              <w:rPr>
                <w:noProof/>
                <w:webHidden/>
              </w:rPr>
              <w:fldChar w:fldCharType="end"/>
            </w:r>
          </w:hyperlink>
        </w:p>
        <w:p w14:paraId="4CABBFFB" w14:textId="6A4ED6AE" w:rsidR="00CA132B" w:rsidRDefault="00CA132B">
          <w:pPr>
            <w:pStyle w:val="Verzeichnis2"/>
            <w:tabs>
              <w:tab w:val="right" w:leader="dot" w:pos="9396"/>
            </w:tabs>
            <w:rPr>
              <w:noProof/>
            </w:rPr>
          </w:pPr>
          <w:hyperlink w:anchor="_Toc243681317" w:history="1">
            <w:r w:rsidRPr="00EB2153">
              <w:rPr>
                <w:rStyle w:val="Hyperlink"/>
                <w:noProof/>
              </w:rPr>
              <w:t>14.2 Treibhausgasbudget und zeitlicher Verlauf</w:t>
            </w:r>
            <w:r>
              <w:rPr>
                <w:noProof/>
                <w:webHidden/>
              </w:rPr>
              <w:tab/>
            </w:r>
            <w:r>
              <w:rPr>
                <w:noProof/>
                <w:webHidden/>
              </w:rPr>
              <w:fldChar w:fldCharType="begin"/>
            </w:r>
            <w:r>
              <w:rPr>
                <w:noProof/>
                <w:webHidden/>
              </w:rPr>
              <w:instrText xml:space="preserve"> PAGEREF _Toc243681317 \h </w:instrText>
            </w:r>
            <w:r>
              <w:rPr>
                <w:noProof/>
                <w:webHidden/>
              </w:rPr>
            </w:r>
            <w:r>
              <w:rPr>
                <w:noProof/>
                <w:webHidden/>
              </w:rPr>
              <w:fldChar w:fldCharType="separate"/>
            </w:r>
            <w:r>
              <w:rPr>
                <w:noProof/>
                <w:webHidden/>
              </w:rPr>
              <w:t>63</w:t>
            </w:r>
            <w:r>
              <w:rPr>
                <w:noProof/>
                <w:webHidden/>
              </w:rPr>
              <w:fldChar w:fldCharType="end"/>
            </w:r>
          </w:hyperlink>
        </w:p>
        <w:p w14:paraId="73F0E8A1" w14:textId="19CB4F47" w:rsidR="00CA132B" w:rsidRDefault="00CA132B">
          <w:pPr>
            <w:pStyle w:val="Verzeichnis1"/>
            <w:tabs>
              <w:tab w:val="right" w:leader="dot" w:pos="9396"/>
            </w:tabs>
            <w:rPr>
              <w:noProof/>
            </w:rPr>
          </w:pPr>
          <w:hyperlink w:anchor="_Toc243681318" w:history="1">
            <w:r w:rsidRPr="00EB2153">
              <w:rPr>
                <w:rStyle w:val="Hyperlink"/>
                <w:noProof/>
              </w:rPr>
              <w:t>15. Praxisbeispiele</w:t>
            </w:r>
            <w:r>
              <w:rPr>
                <w:noProof/>
                <w:webHidden/>
              </w:rPr>
              <w:tab/>
            </w:r>
            <w:r>
              <w:rPr>
                <w:noProof/>
                <w:webHidden/>
              </w:rPr>
              <w:fldChar w:fldCharType="begin"/>
            </w:r>
            <w:r>
              <w:rPr>
                <w:noProof/>
                <w:webHidden/>
              </w:rPr>
              <w:instrText xml:space="preserve"> PAGEREF _Toc243681318 \h </w:instrText>
            </w:r>
            <w:r>
              <w:rPr>
                <w:noProof/>
                <w:webHidden/>
              </w:rPr>
            </w:r>
            <w:r>
              <w:rPr>
                <w:noProof/>
                <w:webHidden/>
              </w:rPr>
              <w:fldChar w:fldCharType="separate"/>
            </w:r>
            <w:r>
              <w:rPr>
                <w:noProof/>
                <w:webHidden/>
              </w:rPr>
              <w:t>64</w:t>
            </w:r>
            <w:r>
              <w:rPr>
                <w:noProof/>
                <w:webHidden/>
              </w:rPr>
              <w:fldChar w:fldCharType="end"/>
            </w:r>
          </w:hyperlink>
        </w:p>
        <w:p w14:paraId="7C1970A1" w14:textId="3874DC71" w:rsidR="00CA132B" w:rsidRDefault="00CA132B">
          <w:pPr>
            <w:pStyle w:val="Verzeichnis2"/>
            <w:tabs>
              <w:tab w:val="right" w:leader="dot" w:pos="9396"/>
            </w:tabs>
            <w:rPr>
              <w:noProof/>
            </w:rPr>
          </w:pPr>
          <w:hyperlink w:anchor="_Toc243681319" w:history="1">
            <w:r w:rsidRPr="00EB2153">
              <w:rPr>
                <w:rStyle w:val="Hyperlink"/>
                <w:noProof/>
              </w:rPr>
              <w:t>15.1 Am Bichl III – Dichte als zusätzliche Anforderung</w:t>
            </w:r>
            <w:r>
              <w:rPr>
                <w:noProof/>
                <w:webHidden/>
              </w:rPr>
              <w:tab/>
            </w:r>
            <w:r>
              <w:rPr>
                <w:noProof/>
                <w:webHidden/>
              </w:rPr>
              <w:fldChar w:fldCharType="begin"/>
            </w:r>
            <w:r>
              <w:rPr>
                <w:noProof/>
                <w:webHidden/>
              </w:rPr>
              <w:instrText xml:space="preserve"> PAGEREF _Toc243681319 \h </w:instrText>
            </w:r>
            <w:r>
              <w:rPr>
                <w:noProof/>
                <w:webHidden/>
              </w:rPr>
            </w:r>
            <w:r>
              <w:rPr>
                <w:noProof/>
                <w:webHidden/>
              </w:rPr>
              <w:fldChar w:fldCharType="separate"/>
            </w:r>
            <w:r>
              <w:rPr>
                <w:noProof/>
                <w:webHidden/>
              </w:rPr>
              <w:t>65</w:t>
            </w:r>
            <w:r>
              <w:rPr>
                <w:noProof/>
                <w:webHidden/>
              </w:rPr>
              <w:fldChar w:fldCharType="end"/>
            </w:r>
          </w:hyperlink>
        </w:p>
        <w:p w14:paraId="7702D256" w14:textId="1C2B7F8A" w:rsidR="00CA132B" w:rsidRDefault="00CA132B">
          <w:pPr>
            <w:pStyle w:val="Verzeichnis2"/>
            <w:tabs>
              <w:tab w:val="right" w:leader="dot" w:pos="9396"/>
            </w:tabs>
            <w:rPr>
              <w:noProof/>
            </w:rPr>
          </w:pPr>
          <w:hyperlink w:anchor="_Toc243681320" w:history="1">
            <w:r w:rsidRPr="00EB2153">
              <w:rPr>
                <w:rStyle w:val="Hyperlink"/>
                <w:noProof/>
              </w:rPr>
              <w:t>15.2 RUGInnovation – Sanierung und integrierte Energieversorgung</w:t>
            </w:r>
            <w:r>
              <w:rPr>
                <w:noProof/>
                <w:webHidden/>
              </w:rPr>
              <w:tab/>
            </w:r>
            <w:r>
              <w:rPr>
                <w:noProof/>
                <w:webHidden/>
              </w:rPr>
              <w:fldChar w:fldCharType="begin"/>
            </w:r>
            <w:r>
              <w:rPr>
                <w:noProof/>
                <w:webHidden/>
              </w:rPr>
              <w:instrText xml:space="preserve"> PAGEREF _Toc243681320 \h </w:instrText>
            </w:r>
            <w:r>
              <w:rPr>
                <w:noProof/>
                <w:webHidden/>
              </w:rPr>
            </w:r>
            <w:r>
              <w:rPr>
                <w:noProof/>
                <w:webHidden/>
              </w:rPr>
              <w:fldChar w:fldCharType="separate"/>
            </w:r>
            <w:r>
              <w:rPr>
                <w:noProof/>
                <w:webHidden/>
              </w:rPr>
              <w:t>65</w:t>
            </w:r>
            <w:r>
              <w:rPr>
                <w:noProof/>
                <w:webHidden/>
              </w:rPr>
              <w:fldChar w:fldCharType="end"/>
            </w:r>
          </w:hyperlink>
        </w:p>
        <w:p w14:paraId="424C2534" w14:textId="6B067321" w:rsidR="00CA132B" w:rsidRDefault="00CA132B">
          <w:pPr>
            <w:pStyle w:val="Verzeichnis1"/>
            <w:tabs>
              <w:tab w:val="right" w:leader="dot" w:pos="9396"/>
            </w:tabs>
            <w:rPr>
              <w:noProof/>
            </w:rPr>
          </w:pPr>
          <w:hyperlink w:anchor="_Toc243681321" w:history="1">
            <w:r w:rsidRPr="00EB2153">
              <w:rPr>
                <w:rStyle w:val="Hyperlink"/>
                <w:noProof/>
              </w:rPr>
              <w:t>16. Sanierungsfahrpläne und Entwicklungspfade</w:t>
            </w:r>
            <w:r>
              <w:rPr>
                <w:noProof/>
                <w:webHidden/>
              </w:rPr>
              <w:tab/>
            </w:r>
            <w:r>
              <w:rPr>
                <w:noProof/>
                <w:webHidden/>
              </w:rPr>
              <w:fldChar w:fldCharType="begin"/>
            </w:r>
            <w:r>
              <w:rPr>
                <w:noProof/>
                <w:webHidden/>
              </w:rPr>
              <w:instrText xml:space="preserve"> PAGEREF _Toc243681321 \h </w:instrText>
            </w:r>
            <w:r>
              <w:rPr>
                <w:noProof/>
                <w:webHidden/>
              </w:rPr>
            </w:r>
            <w:r>
              <w:rPr>
                <w:noProof/>
                <w:webHidden/>
              </w:rPr>
              <w:fldChar w:fldCharType="separate"/>
            </w:r>
            <w:r>
              <w:rPr>
                <w:noProof/>
                <w:webHidden/>
              </w:rPr>
              <w:t>65</w:t>
            </w:r>
            <w:r>
              <w:rPr>
                <w:noProof/>
                <w:webHidden/>
              </w:rPr>
              <w:fldChar w:fldCharType="end"/>
            </w:r>
          </w:hyperlink>
        </w:p>
        <w:p w14:paraId="7E3C0E62" w14:textId="2F51C305" w:rsidR="00CA132B" w:rsidRDefault="00CA132B">
          <w:pPr>
            <w:pStyle w:val="Verzeichnis2"/>
            <w:tabs>
              <w:tab w:val="right" w:leader="dot" w:pos="9396"/>
            </w:tabs>
            <w:rPr>
              <w:noProof/>
            </w:rPr>
          </w:pPr>
          <w:hyperlink w:anchor="_Toc243681322" w:history="1">
            <w:r w:rsidRPr="00EB2153">
              <w:rPr>
                <w:rStyle w:val="Hyperlink"/>
                <w:noProof/>
              </w:rPr>
              <w:t>16.1 Maßnahmenfolge als Planungsentscheidung</w:t>
            </w:r>
            <w:r>
              <w:rPr>
                <w:noProof/>
                <w:webHidden/>
              </w:rPr>
              <w:tab/>
            </w:r>
            <w:r>
              <w:rPr>
                <w:noProof/>
                <w:webHidden/>
              </w:rPr>
              <w:fldChar w:fldCharType="begin"/>
            </w:r>
            <w:r>
              <w:rPr>
                <w:noProof/>
                <w:webHidden/>
              </w:rPr>
              <w:instrText xml:space="preserve"> PAGEREF _Toc243681322 \h </w:instrText>
            </w:r>
            <w:r>
              <w:rPr>
                <w:noProof/>
                <w:webHidden/>
              </w:rPr>
            </w:r>
            <w:r>
              <w:rPr>
                <w:noProof/>
                <w:webHidden/>
              </w:rPr>
              <w:fldChar w:fldCharType="separate"/>
            </w:r>
            <w:r>
              <w:rPr>
                <w:noProof/>
                <w:webHidden/>
              </w:rPr>
              <w:t>66</w:t>
            </w:r>
            <w:r>
              <w:rPr>
                <w:noProof/>
                <w:webHidden/>
              </w:rPr>
              <w:fldChar w:fldCharType="end"/>
            </w:r>
          </w:hyperlink>
        </w:p>
        <w:p w14:paraId="6100C547" w14:textId="71E21223" w:rsidR="00CA132B" w:rsidRDefault="00CA132B">
          <w:pPr>
            <w:pStyle w:val="Verzeichnis2"/>
            <w:tabs>
              <w:tab w:val="right" w:leader="dot" w:pos="9396"/>
            </w:tabs>
            <w:rPr>
              <w:noProof/>
            </w:rPr>
          </w:pPr>
          <w:hyperlink w:anchor="_Toc243681323" w:history="1">
            <w:r w:rsidRPr="00EB2153">
              <w:rPr>
                <w:rStyle w:val="Hyperlink"/>
                <w:noProof/>
              </w:rPr>
              <w:t>16.2 Emissionen entstehen zu unterschiedlichen Zeitpunkten</w:t>
            </w:r>
            <w:r>
              <w:rPr>
                <w:noProof/>
                <w:webHidden/>
              </w:rPr>
              <w:tab/>
            </w:r>
            <w:r>
              <w:rPr>
                <w:noProof/>
                <w:webHidden/>
              </w:rPr>
              <w:fldChar w:fldCharType="begin"/>
            </w:r>
            <w:r>
              <w:rPr>
                <w:noProof/>
                <w:webHidden/>
              </w:rPr>
              <w:instrText xml:space="preserve"> PAGEREF _Toc243681323 \h </w:instrText>
            </w:r>
            <w:r>
              <w:rPr>
                <w:noProof/>
                <w:webHidden/>
              </w:rPr>
            </w:r>
            <w:r>
              <w:rPr>
                <w:noProof/>
                <w:webHidden/>
              </w:rPr>
              <w:fldChar w:fldCharType="separate"/>
            </w:r>
            <w:r>
              <w:rPr>
                <w:noProof/>
                <w:webHidden/>
              </w:rPr>
              <w:t>66</w:t>
            </w:r>
            <w:r>
              <w:rPr>
                <w:noProof/>
                <w:webHidden/>
              </w:rPr>
              <w:fldChar w:fldCharType="end"/>
            </w:r>
          </w:hyperlink>
        </w:p>
        <w:p w14:paraId="759D2269" w14:textId="627BD766" w:rsidR="00CA132B" w:rsidRDefault="00CA132B">
          <w:pPr>
            <w:pStyle w:val="Verzeichnis2"/>
            <w:tabs>
              <w:tab w:val="right" w:leader="dot" w:pos="9396"/>
            </w:tabs>
            <w:rPr>
              <w:noProof/>
            </w:rPr>
          </w:pPr>
          <w:hyperlink w:anchor="_Toc243681324" w:history="1">
            <w:r w:rsidRPr="00EB2153">
              <w:rPr>
                <w:rStyle w:val="Hyperlink"/>
                <w:noProof/>
              </w:rPr>
              <w:t>16.3 Welche Annahmen sind besonders kritisch?</w:t>
            </w:r>
            <w:r>
              <w:rPr>
                <w:noProof/>
                <w:webHidden/>
              </w:rPr>
              <w:tab/>
            </w:r>
            <w:r>
              <w:rPr>
                <w:noProof/>
                <w:webHidden/>
              </w:rPr>
              <w:fldChar w:fldCharType="begin"/>
            </w:r>
            <w:r>
              <w:rPr>
                <w:noProof/>
                <w:webHidden/>
              </w:rPr>
              <w:instrText xml:space="preserve"> PAGEREF _Toc243681324 \h </w:instrText>
            </w:r>
            <w:r>
              <w:rPr>
                <w:noProof/>
                <w:webHidden/>
              </w:rPr>
            </w:r>
            <w:r>
              <w:rPr>
                <w:noProof/>
                <w:webHidden/>
              </w:rPr>
              <w:fldChar w:fldCharType="separate"/>
            </w:r>
            <w:r>
              <w:rPr>
                <w:noProof/>
                <w:webHidden/>
              </w:rPr>
              <w:t>66</w:t>
            </w:r>
            <w:r>
              <w:rPr>
                <w:noProof/>
                <w:webHidden/>
              </w:rPr>
              <w:fldChar w:fldCharType="end"/>
            </w:r>
          </w:hyperlink>
        </w:p>
        <w:p w14:paraId="283E0C62" w14:textId="4B396E10" w:rsidR="00CA132B" w:rsidRDefault="00CA132B">
          <w:pPr>
            <w:pStyle w:val="Verzeichnis1"/>
            <w:tabs>
              <w:tab w:val="right" w:leader="dot" w:pos="9396"/>
            </w:tabs>
            <w:rPr>
              <w:noProof/>
            </w:rPr>
          </w:pPr>
          <w:hyperlink w:anchor="_Toc243681325" w:history="1">
            <w:r w:rsidRPr="00EB2153">
              <w:rPr>
                <w:rStyle w:val="Hyperlink"/>
                <w:noProof/>
              </w:rPr>
              <w:t>Literatur</w:t>
            </w:r>
            <w:r>
              <w:rPr>
                <w:noProof/>
                <w:webHidden/>
              </w:rPr>
              <w:tab/>
            </w:r>
            <w:r>
              <w:rPr>
                <w:noProof/>
                <w:webHidden/>
              </w:rPr>
              <w:fldChar w:fldCharType="begin"/>
            </w:r>
            <w:r>
              <w:rPr>
                <w:noProof/>
                <w:webHidden/>
              </w:rPr>
              <w:instrText xml:space="preserve"> PAGEREF _Toc243681325 \h </w:instrText>
            </w:r>
            <w:r>
              <w:rPr>
                <w:noProof/>
                <w:webHidden/>
              </w:rPr>
            </w:r>
            <w:r>
              <w:rPr>
                <w:noProof/>
                <w:webHidden/>
              </w:rPr>
              <w:fldChar w:fldCharType="separate"/>
            </w:r>
            <w:r>
              <w:rPr>
                <w:noProof/>
                <w:webHidden/>
              </w:rPr>
              <w:t>67</w:t>
            </w:r>
            <w:r>
              <w:rPr>
                <w:noProof/>
                <w:webHidden/>
              </w:rPr>
              <w:fldChar w:fldCharType="end"/>
            </w:r>
          </w:hyperlink>
        </w:p>
        <w:p w14:paraId="6F6DD75A" w14:textId="3A4605A0" w:rsidR="00CA132B" w:rsidRDefault="00CA132B">
          <w:pPr>
            <w:pStyle w:val="Verzeichnis1"/>
            <w:tabs>
              <w:tab w:val="right" w:leader="dot" w:pos="9396"/>
            </w:tabs>
            <w:rPr>
              <w:noProof/>
            </w:rPr>
          </w:pPr>
          <w:hyperlink w:anchor="_Toc243681326" w:history="1">
            <w:r w:rsidRPr="00EB2153">
              <w:rPr>
                <w:rStyle w:val="Hyperlink"/>
                <w:noProof/>
              </w:rPr>
              <w:t>Über diesen Bericht</w:t>
            </w:r>
            <w:r>
              <w:rPr>
                <w:noProof/>
                <w:webHidden/>
              </w:rPr>
              <w:tab/>
            </w:r>
            <w:r>
              <w:rPr>
                <w:noProof/>
                <w:webHidden/>
              </w:rPr>
              <w:fldChar w:fldCharType="begin"/>
            </w:r>
            <w:r>
              <w:rPr>
                <w:noProof/>
                <w:webHidden/>
              </w:rPr>
              <w:instrText xml:space="preserve"> PAGEREF _Toc243681326 \h </w:instrText>
            </w:r>
            <w:r>
              <w:rPr>
                <w:noProof/>
                <w:webHidden/>
              </w:rPr>
            </w:r>
            <w:r>
              <w:rPr>
                <w:noProof/>
                <w:webHidden/>
              </w:rPr>
              <w:fldChar w:fldCharType="separate"/>
            </w:r>
            <w:r>
              <w:rPr>
                <w:noProof/>
                <w:webHidden/>
              </w:rPr>
              <w:t>69</w:t>
            </w:r>
            <w:r>
              <w:rPr>
                <w:noProof/>
                <w:webHidden/>
              </w:rPr>
              <w:fldChar w:fldCharType="end"/>
            </w:r>
          </w:hyperlink>
        </w:p>
        <w:p w14:paraId="63EB8A09" w14:textId="1DAEDC79" w:rsidR="00CA132B" w:rsidRDefault="00CA132B">
          <w:pPr>
            <w:pStyle w:val="Verzeichnis2"/>
            <w:tabs>
              <w:tab w:val="right" w:leader="dot" w:pos="9396"/>
            </w:tabs>
            <w:rPr>
              <w:noProof/>
            </w:rPr>
          </w:pPr>
          <w:hyperlink w:anchor="_Toc243681327" w:history="1">
            <w:r w:rsidRPr="00EB2153">
              <w:rPr>
                <w:rStyle w:val="Hyperlink"/>
                <w:noProof/>
              </w:rPr>
              <w:t>Ziel des Hintergrundberichts</w:t>
            </w:r>
            <w:r>
              <w:rPr>
                <w:noProof/>
                <w:webHidden/>
              </w:rPr>
              <w:tab/>
            </w:r>
            <w:r>
              <w:rPr>
                <w:noProof/>
                <w:webHidden/>
              </w:rPr>
              <w:fldChar w:fldCharType="begin"/>
            </w:r>
            <w:r>
              <w:rPr>
                <w:noProof/>
                <w:webHidden/>
              </w:rPr>
              <w:instrText xml:space="preserve"> PAGEREF _Toc243681327 \h </w:instrText>
            </w:r>
            <w:r>
              <w:rPr>
                <w:noProof/>
                <w:webHidden/>
              </w:rPr>
            </w:r>
            <w:r>
              <w:rPr>
                <w:noProof/>
                <w:webHidden/>
              </w:rPr>
              <w:fldChar w:fldCharType="separate"/>
            </w:r>
            <w:r>
              <w:rPr>
                <w:noProof/>
                <w:webHidden/>
              </w:rPr>
              <w:t>69</w:t>
            </w:r>
            <w:r>
              <w:rPr>
                <w:noProof/>
                <w:webHidden/>
              </w:rPr>
              <w:fldChar w:fldCharType="end"/>
            </w:r>
          </w:hyperlink>
        </w:p>
        <w:p w14:paraId="5E1B5C4D" w14:textId="150FC0B4" w:rsidR="00CA132B" w:rsidRDefault="00CA132B">
          <w:pPr>
            <w:pStyle w:val="Verzeichnis3"/>
            <w:tabs>
              <w:tab w:val="right" w:leader="dot" w:pos="9396"/>
            </w:tabs>
            <w:rPr>
              <w:noProof/>
            </w:rPr>
          </w:pPr>
          <w:hyperlink w:anchor="_Toc243681328" w:history="1">
            <w:r w:rsidRPr="00EB2153">
              <w:rPr>
                <w:rStyle w:val="Hyperlink"/>
                <w:noProof/>
              </w:rPr>
              <w:t>Zielgruppe</w:t>
            </w:r>
            <w:r>
              <w:rPr>
                <w:noProof/>
                <w:webHidden/>
              </w:rPr>
              <w:tab/>
            </w:r>
            <w:r>
              <w:rPr>
                <w:noProof/>
                <w:webHidden/>
              </w:rPr>
              <w:fldChar w:fldCharType="begin"/>
            </w:r>
            <w:r>
              <w:rPr>
                <w:noProof/>
                <w:webHidden/>
              </w:rPr>
              <w:instrText xml:space="preserve"> PAGEREF _Toc243681328 \h </w:instrText>
            </w:r>
            <w:r>
              <w:rPr>
                <w:noProof/>
                <w:webHidden/>
              </w:rPr>
            </w:r>
            <w:r>
              <w:rPr>
                <w:noProof/>
                <w:webHidden/>
              </w:rPr>
              <w:fldChar w:fldCharType="separate"/>
            </w:r>
            <w:r>
              <w:rPr>
                <w:noProof/>
                <w:webHidden/>
              </w:rPr>
              <w:t>69</w:t>
            </w:r>
            <w:r>
              <w:rPr>
                <w:noProof/>
                <w:webHidden/>
              </w:rPr>
              <w:fldChar w:fldCharType="end"/>
            </w:r>
          </w:hyperlink>
        </w:p>
        <w:p w14:paraId="5AB0D86D" w14:textId="48D83451" w:rsidR="00CA132B" w:rsidRDefault="00CA132B">
          <w:pPr>
            <w:pStyle w:val="Verzeichnis2"/>
            <w:tabs>
              <w:tab w:val="right" w:leader="dot" w:pos="9396"/>
            </w:tabs>
            <w:rPr>
              <w:noProof/>
            </w:rPr>
          </w:pPr>
          <w:hyperlink w:anchor="_Toc243681329" w:history="1">
            <w:r w:rsidRPr="00EB2153">
              <w:rPr>
                <w:rStyle w:val="Hyperlink"/>
                <w:noProof/>
              </w:rPr>
              <w:t>Entstehung und wissenschaftliche Grundlagen</w:t>
            </w:r>
            <w:r>
              <w:rPr>
                <w:noProof/>
                <w:webHidden/>
              </w:rPr>
              <w:tab/>
            </w:r>
            <w:r>
              <w:rPr>
                <w:noProof/>
                <w:webHidden/>
              </w:rPr>
              <w:fldChar w:fldCharType="begin"/>
            </w:r>
            <w:r>
              <w:rPr>
                <w:noProof/>
                <w:webHidden/>
              </w:rPr>
              <w:instrText xml:space="preserve"> PAGEREF _Toc243681329 \h </w:instrText>
            </w:r>
            <w:r>
              <w:rPr>
                <w:noProof/>
                <w:webHidden/>
              </w:rPr>
            </w:r>
            <w:r>
              <w:rPr>
                <w:noProof/>
                <w:webHidden/>
              </w:rPr>
              <w:fldChar w:fldCharType="separate"/>
            </w:r>
            <w:r>
              <w:rPr>
                <w:noProof/>
                <w:webHidden/>
              </w:rPr>
              <w:t>69</w:t>
            </w:r>
            <w:r>
              <w:rPr>
                <w:noProof/>
                <w:webHidden/>
              </w:rPr>
              <w:fldChar w:fldCharType="end"/>
            </w:r>
          </w:hyperlink>
        </w:p>
        <w:p w14:paraId="4D6BC15D" w14:textId="453F7AFA" w:rsidR="00CA132B" w:rsidRDefault="00CA132B">
          <w:pPr>
            <w:pStyle w:val="Verzeichnis2"/>
            <w:tabs>
              <w:tab w:val="right" w:leader="dot" w:pos="9396"/>
            </w:tabs>
            <w:rPr>
              <w:noProof/>
            </w:rPr>
          </w:pPr>
          <w:hyperlink w:anchor="_Toc243681330" w:history="1">
            <w:r w:rsidRPr="00EB2153">
              <w:rPr>
                <w:rStyle w:val="Hyperlink"/>
                <w:noProof/>
              </w:rPr>
              <w:t>Methodenstand und Versionierung</w:t>
            </w:r>
            <w:r>
              <w:rPr>
                <w:noProof/>
                <w:webHidden/>
              </w:rPr>
              <w:tab/>
            </w:r>
            <w:r>
              <w:rPr>
                <w:noProof/>
                <w:webHidden/>
              </w:rPr>
              <w:fldChar w:fldCharType="begin"/>
            </w:r>
            <w:r>
              <w:rPr>
                <w:noProof/>
                <w:webHidden/>
              </w:rPr>
              <w:instrText xml:space="preserve"> PAGEREF _Toc243681330 \h </w:instrText>
            </w:r>
            <w:r>
              <w:rPr>
                <w:noProof/>
                <w:webHidden/>
              </w:rPr>
            </w:r>
            <w:r>
              <w:rPr>
                <w:noProof/>
                <w:webHidden/>
              </w:rPr>
              <w:fldChar w:fldCharType="separate"/>
            </w:r>
            <w:r>
              <w:rPr>
                <w:noProof/>
                <w:webHidden/>
              </w:rPr>
              <w:t>70</w:t>
            </w:r>
            <w:r>
              <w:rPr>
                <w:noProof/>
                <w:webHidden/>
              </w:rPr>
              <w:fldChar w:fldCharType="end"/>
            </w:r>
          </w:hyperlink>
        </w:p>
        <w:p w14:paraId="39E5D89D" w14:textId="382468D3" w:rsidR="00CA132B" w:rsidRDefault="00CA132B">
          <w:pPr>
            <w:pStyle w:val="Verzeichnis2"/>
            <w:tabs>
              <w:tab w:val="right" w:leader="dot" w:pos="9396"/>
            </w:tabs>
            <w:rPr>
              <w:noProof/>
            </w:rPr>
          </w:pPr>
          <w:hyperlink w:anchor="_Toc243681331" w:history="1">
            <w:r w:rsidRPr="00EB2153">
              <w:rPr>
                <w:rStyle w:val="Hyperlink"/>
                <w:noProof/>
              </w:rPr>
              <w:t>Autor:innen und Mitwirkende</w:t>
            </w:r>
            <w:r>
              <w:rPr>
                <w:noProof/>
                <w:webHidden/>
              </w:rPr>
              <w:tab/>
            </w:r>
            <w:r>
              <w:rPr>
                <w:noProof/>
                <w:webHidden/>
              </w:rPr>
              <w:fldChar w:fldCharType="begin"/>
            </w:r>
            <w:r>
              <w:rPr>
                <w:noProof/>
                <w:webHidden/>
              </w:rPr>
              <w:instrText xml:space="preserve"> PAGEREF _Toc243681331 \h </w:instrText>
            </w:r>
            <w:r>
              <w:rPr>
                <w:noProof/>
                <w:webHidden/>
              </w:rPr>
            </w:r>
            <w:r>
              <w:rPr>
                <w:noProof/>
                <w:webHidden/>
              </w:rPr>
              <w:fldChar w:fldCharType="separate"/>
            </w:r>
            <w:r>
              <w:rPr>
                <w:noProof/>
                <w:webHidden/>
              </w:rPr>
              <w:t>70</w:t>
            </w:r>
            <w:r>
              <w:rPr>
                <w:noProof/>
                <w:webHidden/>
              </w:rPr>
              <w:fldChar w:fldCharType="end"/>
            </w:r>
          </w:hyperlink>
        </w:p>
        <w:p w14:paraId="41B3D1FB" w14:textId="1EA653C7" w:rsidR="00CA132B" w:rsidRDefault="00CA132B">
          <w:pPr>
            <w:pStyle w:val="Verzeichnis2"/>
            <w:tabs>
              <w:tab w:val="right" w:leader="dot" w:pos="9396"/>
            </w:tabs>
            <w:rPr>
              <w:noProof/>
            </w:rPr>
          </w:pPr>
          <w:hyperlink w:anchor="_Toc243681332" w:history="1">
            <w:r w:rsidRPr="00EB2153">
              <w:rPr>
                <w:rStyle w:val="Hyperlink"/>
                <w:noProof/>
              </w:rPr>
              <w:t>Zitierempfehlung</w:t>
            </w:r>
            <w:r>
              <w:rPr>
                <w:noProof/>
                <w:webHidden/>
              </w:rPr>
              <w:tab/>
            </w:r>
            <w:r>
              <w:rPr>
                <w:noProof/>
                <w:webHidden/>
              </w:rPr>
              <w:fldChar w:fldCharType="begin"/>
            </w:r>
            <w:r>
              <w:rPr>
                <w:noProof/>
                <w:webHidden/>
              </w:rPr>
              <w:instrText xml:space="preserve"> PAGEREF _Toc243681332 \h </w:instrText>
            </w:r>
            <w:r>
              <w:rPr>
                <w:noProof/>
                <w:webHidden/>
              </w:rPr>
            </w:r>
            <w:r>
              <w:rPr>
                <w:noProof/>
                <w:webHidden/>
              </w:rPr>
              <w:fldChar w:fldCharType="separate"/>
            </w:r>
            <w:r>
              <w:rPr>
                <w:noProof/>
                <w:webHidden/>
              </w:rPr>
              <w:t>71</w:t>
            </w:r>
            <w:r>
              <w:rPr>
                <w:noProof/>
                <w:webHidden/>
              </w:rPr>
              <w:fldChar w:fldCharType="end"/>
            </w:r>
          </w:hyperlink>
        </w:p>
        <w:p w14:paraId="2A8B66F2" w14:textId="17129B5F" w:rsidR="00CA132B" w:rsidRDefault="00CA132B">
          <w:pPr>
            <w:pStyle w:val="Verzeichnis2"/>
            <w:tabs>
              <w:tab w:val="right" w:leader="dot" w:pos="9396"/>
            </w:tabs>
            <w:rPr>
              <w:noProof/>
            </w:rPr>
          </w:pPr>
          <w:hyperlink w:anchor="_Toc243681333" w:history="1">
            <w:r w:rsidRPr="00EB2153">
              <w:rPr>
                <w:rStyle w:val="Hyperlink"/>
                <w:noProof/>
              </w:rPr>
              <w:t>Quellen und Geltungsbereich</w:t>
            </w:r>
            <w:r>
              <w:rPr>
                <w:noProof/>
                <w:webHidden/>
              </w:rPr>
              <w:tab/>
            </w:r>
            <w:r>
              <w:rPr>
                <w:noProof/>
                <w:webHidden/>
              </w:rPr>
              <w:fldChar w:fldCharType="begin"/>
            </w:r>
            <w:r>
              <w:rPr>
                <w:noProof/>
                <w:webHidden/>
              </w:rPr>
              <w:instrText xml:space="preserve"> PAGEREF _Toc243681333 \h </w:instrText>
            </w:r>
            <w:r>
              <w:rPr>
                <w:noProof/>
                <w:webHidden/>
              </w:rPr>
            </w:r>
            <w:r>
              <w:rPr>
                <w:noProof/>
                <w:webHidden/>
              </w:rPr>
              <w:fldChar w:fldCharType="separate"/>
            </w:r>
            <w:r>
              <w:rPr>
                <w:noProof/>
                <w:webHidden/>
              </w:rPr>
              <w:t>71</w:t>
            </w:r>
            <w:r>
              <w:rPr>
                <w:noProof/>
                <w:webHidden/>
              </w:rPr>
              <w:fldChar w:fldCharType="end"/>
            </w:r>
          </w:hyperlink>
        </w:p>
        <w:p w14:paraId="40F926CF" w14:textId="75DE9AC8" w:rsidR="00CA132B" w:rsidRDefault="00CA132B">
          <w:pPr>
            <w:pStyle w:val="Verzeichnis1"/>
            <w:tabs>
              <w:tab w:val="right" w:leader="dot" w:pos="9396"/>
            </w:tabs>
            <w:rPr>
              <w:noProof/>
            </w:rPr>
          </w:pPr>
          <w:hyperlink w:anchor="_Toc243681334" w:history="1">
            <w:r w:rsidRPr="00EB2153">
              <w:rPr>
                <w:rStyle w:val="Hyperlink"/>
                <w:noProof/>
              </w:rPr>
              <w:t>Appendix A — Nationale Energie- und Stromtabellen</w:t>
            </w:r>
            <w:r>
              <w:rPr>
                <w:noProof/>
                <w:webHidden/>
              </w:rPr>
              <w:tab/>
            </w:r>
            <w:r>
              <w:rPr>
                <w:noProof/>
                <w:webHidden/>
              </w:rPr>
              <w:fldChar w:fldCharType="begin"/>
            </w:r>
            <w:r>
              <w:rPr>
                <w:noProof/>
                <w:webHidden/>
              </w:rPr>
              <w:instrText xml:space="preserve"> PAGEREF _Toc243681334 \h </w:instrText>
            </w:r>
            <w:r>
              <w:rPr>
                <w:noProof/>
                <w:webHidden/>
              </w:rPr>
            </w:r>
            <w:r>
              <w:rPr>
                <w:noProof/>
                <w:webHidden/>
              </w:rPr>
              <w:fldChar w:fldCharType="separate"/>
            </w:r>
            <w:r>
              <w:rPr>
                <w:noProof/>
                <w:webHidden/>
              </w:rPr>
              <w:t>71</w:t>
            </w:r>
            <w:r>
              <w:rPr>
                <w:noProof/>
                <w:webHidden/>
              </w:rPr>
              <w:fldChar w:fldCharType="end"/>
            </w:r>
          </w:hyperlink>
        </w:p>
        <w:p w14:paraId="3152A552" w14:textId="22B41B73" w:rsidR="00CA132B" w:rsidRDefault="00CA132B">
          <w:pPr>
            <w:pStyle w:val="Verzeichnis2"/>
            <w:tabs>
              <w:tab w:val="right" w:leader="dot" w:pos="9396"/>
            </w:tabs>
            <w:rPr>
              <w:noProof/>
            </w:rPr>
          </w:pPr>
          <w:hyperlink w:anchor="_Toc243681335" w:history="1">
            <w:r w:rsidRPr="00EB2153">
              <w:rPr>
                <w:rStyle w:val="Hyperlink"/>
                <w:noProof/>
              </w:rPr>
              <w:t>A.1 Stromerzeugung, Strombedarf und Bilanzreste</w:t>
            </w:r>
            <w:r>
              <w:rPr>
                <w:noProof/>
                <w:webHidden/>
              </w:rPr>
              <w:tab/>
            </w:r>
            <w:r>
              <w:rPr>
                <w:noProof/>
                <w:webHidden/>
              </w:rPr>
              <w:fldChar w:fldCharType="begin"/>
            </w:r>
            <w:r>
              <w:rPr>
                <w:noProof/>
                <w:webHidden/>
              </w:rPr>
              <w:instrText xml:space="preserve"> PAGEREF _Toc243681335 \h </w:instrText>
            </w:r>
            <w:r>
              <w:rPr>
                <w:noProof/>
                <w:webHidden/>
              </w:rPr>
            </w:r>
            <w:r>
              <w:rPr>
                <w:noProof/>
                <w:webHidden/>
              </w:rPr>
              <w:fldChar w:fldCharType="separate"/>
            </w:r>
            <w:r>
              <w:rPr>
                <w:noProof/>
                <w:webHidden/>
              </w:rPr>
              <w:t>71</w:t>
            </w:r>
            <w:r>
              <w:rPr>
                <w:noProof/>
                <w:webHidden/>
              </w:rPr>
              <w:fldChar w:fldCharType="end"/>
            </w:r>
          </w:hyperlink>
        </w:p>
        <w:p w14:paraId="4A9D17A0" w14:textId="4460C2EC" w:rsidR="00CA132B" w:rsidRDefault="00CA132B">
          <w:pPr>
            <w:pStyle w:val="Verzeichnis2"/>
            <w:tabs>
              <w:tab w:val="right" w:leader="dot" w:pos="9396"/>
            </w:tabs>
            <w:rPr>
              <w:noProof/>
            </w:rPr>
          </w:pPr>
          <w:hyperlink w:anchor="_Toc243681336" w:history="1">
            <w:r w:rsidRPr="00EB2153">
              <w:rPr>
                <w:rStyle w:val="Hyperlink"/>
                <w:noProof/>
              </w:rPr>
              <w:t>A.2 Endenergie nach Sektoren</w:t>
            </w:r>
            <w:r>
              <w:rPr>
                <w:noProof/>
                <w:webHidden/>
              </w:rPr>
              <w:tab/>
            </w:r>
            <w:r>
              <w:rPr>
                <w:noProof/>
                <w:webHidden/>
              </w:rPr>
              <w:fldChar w:fldCharType="begin"/>
            </w:r>
            <w:r>
              <w:rPr>
                <w:noProof/>
                <w:webHidden/>
              </w:rPr>
              <w:instrText xml:space="preserve"> PAGEREF _Toc243681336 \h </w:instrText>
            </w:r>
            <w:r>
              <w:rPr>
                <w:noProof/>
                <w:webHidden/>
              </w:rPr>
            </w:r>
            <w:r>
              <w:rPr>
                <w:noProof/>
                <w:webHidden/>
              </w:rPr>
              <w:fldChar w:fldCharType="separate"/>
            </w:r>
            <w:r>
              <w:rPr>
                <w:noProof/>
                <w:webHidden/>
              </w:rPr>
              <w:t>73</w:t>
            </w:r>
            <w:r>
              <w:rPr>
                <w:noProof/>
                <w:webHidden/>
              </w:rPr>
              <w:fldChar w:fldCharType="end"/>
            </w:r>
          </w:hyperlink>
        </w:p>
        <w:p w14:paraId="07A030FE" w14:textId="7F7C37A9" w:rsidR="00CA132B" w:rsidRDefault="00CA132B">
          <w:pPr>
            <w:pStyle w:val="Verzeichnis1"/>
            <w:tabs>
              <w:tab w:val="right" w:leader="dot" w:pos="9396"/>
            </w:tabs>
            <w:rPr>
              <w:noProof/>
            </w:rPr>
          </w:pPr>
          <w:hyperlink w:anchor="_Toc243681337" w:history="1">
            <w:r w:rsidRPr="00EB2153">
              <w:rPr>
                <w:rStyle w:val="Hyperlink"/>
                <w:noProof/>
              </w:rPr>
              <w:t>Appendix B — Annahmen der Zielwertberechnung</w:t>
            </w:r>
            <w:r>
              <w:rPr>
                <w:noProof/>
                <w:webHidden/>
              </w:rPr>
              <w:tab/>
            </w:r>
            <w:r>
              <w:rPr>
                <w:noProof/>
                <w:webHidden/>
              </w:rPr>
              <w:fldChar w:fldCharType="begin"/>
            </w:r>
            <w:r>
              <w:rPr>
                <w:noProof/>
                <w:webHidden/>
              </w:rPr>
              <w:instrText xml:space="preserve"> PAGEREF _Toc243681337 \h </w:instrText>
            </w:r>
            <w:r>
              <w:rPr>
                <w:noProof/>
                <w:webHidden/>
              </w:rPr>
            </w:r>
            <w:r>
              <w:rPr>
                <w:noProof/>
                <w:webHidden/>
              </w:rPr>
              <w:fldChar w:fldCharType="separate"/>
            </w:r>
            <w:r>
              <w:rPr>
                <w:noProof/>
                <w:webHidden/>
              </w:rPr>
              <w:t>74</w:t>
            </w:r>
            <w:r>
              <w:rPr>
                <w:noProof/>
                <w:webHidden/>
              </w:rPr>
              <w:fldChar w:fldCharType="end"/>
            </w:r>
          </w:hyperlink>
        </w:p>
        <w:p w14:paraId="278427EA" w14:textId="7C33EFF7" w:rsidR="00CA132B" w:rsidRDefault="00CA132B">
          <w:pPr>
            <w:pStyle w:val="Verzeichnis2"/>
            <w:tabs>
              <w:tab w:val="right" w:leader="dot" w:pos="9396"/>
            </w:tabs>
            <w:rPr>
              <w:noProof/>
            </w:rPr>
          </w:pPr>
          <w:hyperlink w:anchor="_Toc243681338" w:history="1">
            <w:r w:rsidRPr="00EB2153">
              <w:rPr>
                <w:rStyle w:val="Hyperlink"/>
                <w:noProof/>
              </w:rPr>
              <w:t>B.1 Zeit-, Flächen- und Bewertungsbezüge</w:t>
            </w:r>
            <w:r>
              <w:rPr>
                <w:noProof/>
                <w:webHidden/>
              </w:rPr>
              <w:tab/>
            </w:r>
            <w:r>
              <w:rPr>
                <w:noProof/>
                <w:webHidden/>
              </w:rPr>
              <w:fldChar w:fldCharType="begin"/>
            </w:r>
            <w:r>
              <w:rPr>
                <w:noProof/>
                <w:webHidden/>
              </w:rPr>
              <w:instrText xml:space="preserve"> PAGEREF _Toc243681338 \h </w:instrText>
            </w:r>
            <w:r>
              <w:rPr>
                <w:noProof/>
                <w:webHidden/>
              </w:rPr>
            </w:r>
            <w:r>
              <w:rPr>
                <w:noProof/>
                <w:webHidden/>
              </w:rPr>
              <w:fldChar w:fldCharType="separate"/>
            </w:r>
            <w:r>
              <w:rPr>
                <w:noProof/>
                <w:webHidden/>
              </w:rPr>
              <w:t>74</w:t>
            </w:r>
            <w:r>
              <w:rPr>
                <w:noProof/>
                <w:webHidden/>
              </w:rPr>
              <w:fldChar w:fldCharType="end"/>
            </w:r>
          </w:hyperlink>
        </w:p>
        <w:p w14:paraId="13FBF2DC" w14:textId="17BF2CB6" w:rsidR="00CA132B" w:rsidRDefault="00CA132B">
          <w:pPr>
            <w:pStyle w:val="Verzeichnis2"/>
            <w:tabs>
              <w:tab w:val="right" w:leader="dot" w:pos="9396"/>
            </w:tabs>
            <w:rPr>
              <w:noProof/>
            </w:rPr>
          </w:pPr>
          <w:hyperlink w:anchor="_Toc243681339" w:history="1">
            <w:r w:rsidRPr="00EB2153">
              <w:rPr>
                <w:rStyle w:val="Hyperlink"/>
                <w:noProof/>
              </w:rPr>
              <w:t>B.2 Energiebilanzen der Zukunftsszenarien</w:t>
            </w:r>
            <w:r>
              <w:rPr>
                <w:noProof/>
                <w:webHidden/>
              </w:rPr>
              <w:tab/>
            </w:r>
            <w:r>
              <w:rPr>
                <w:noProof/>
                <w:webHidden/>
              </w:rPr>
              <w:fldChar w:fldCharType="begin"/>
            </w:r>
            <w:r>
              <w:rPr>
                <w:noProof/>
                <w:webHidden/>
              </w:rPr>
              <w:instrText xml:space="preserve"> PAGEREF _Toc243681339 \h </w:instrText>
            </w:r>
            <w:r>
              <w:rPr>
                <w:noProof/>
                <w:webHidden/>
              </w:rPr>
            </w:r>
            <w:r>
              <w:rPr>
                <w:noProof/>
                <w:webHidden/>
              </w:rPr>
              <w:fldChar w:fldCharType="separate"/>
            </w:r>
            <w:r>
              <w:rPr>
                <w:noProof/>
                <w:webHidden/>
              </w:rPr>
              <w:t>75</w:t>
            </w:r>
            <w:r>
              <w:rPr>
                <w:noProof/>
                <w:webHidden/>
              </w:rPr>
              <w:fldChar w:fldCharType="end"/>
            </w:r>
          </w:hyperlink>
        </w:p>
        <w:p w14:paraId="43A093E6" w14:textId="0764F52A" w:rsidR="00CA132B" w:rsidRDefault="00CA132B">
          <w:pPr>
            <w:pStyle w:val="Verzeichnis2"/>
            <w:tabs>
              <w:tab w:val="right" w:leader="dot" w:pos="9396"/>
            </w:tabs>
            <w:rPr>
              <w:noProof/>
            </w:rPr>
          </w:pPr>
          <w:hyperlink w:anchor="_Toc243681340" w:history="1">
            <w:r w:rsidRPr="00EB2153">
              <w:rPr>
                <w:rStyle w:val="Hyperlink"/>
                <w:noProof/>
              </w:rPr>
              <w:t>B.3 Gebäudebestand und Dichteallokation</w:t>
            </w:r>
            <w:r>
              <w:rPr>
                <w:noProof/>
                <w:webHidden/>
              </w:rPr>
              <w:tab/>
            </w:r>
            <w:r>
              <w:rPr>
                <w:noProof/>
                <w:webHidden/>
              </w:rPr>
              <w:fldChar w:fldCharType="begin"/>
            </w:r>
            <w:r>
              <w:rPr>
                <w:noProof/>
                <w:webHidden/>
              </w:rPr>
              <w:instrText xml:space="preserve"> PAGEREF _Toc243681340 \h </w:instrText>
            </w:r>
            <w:r>
              <w:rPr>
                <w:noProof/>
                <w:webHidden/>
              </w:rPr>
            </w:r>
            <w:r>
              <w:rPr>
                <w:noProof/>
                <w:webHidden/>
              </w:rPr>
              <w:fldChar w:fldCharType="separate"/>
            </w:r>
            <w:r>
              <w:rPr>
                <w:noProof/>
                <w:webHidden/>
              </w:rPr>
              <w:t>76</w:t>
            </w:r>
            <w:r>
              <w:rPr>
                <w:noProof/>
                <w:webHidden/>
              </w:rPr>
              <w:fldChar w:fldCharType="end"/>
            </w:r>
          </w:hyperlink>
        </w:p>
        <w:p w14:paraId="0256BE51" w14:textId="67ABC127" w:rsidR="00CA132B" w:rsidRDefault="00CA132B">
          <w:pPr>
            <w:pStyle w:val="Verzeichnis2"/>
            <w:tabs>
              <w:tab w:val="right" w:leader="dot" w:pos="9396"/>
            </w:tabs>
            <w:rPr>
              <w:noProof/>
            </w:rPr>
          </w:pPr>
          <w:hyperlink w:anchor="_Toc243681341" w:history="1">
            <w:r w:rsidRPr="00EB2153">
              <w:rPr>
                <w:rStyle w:val="Hyperlink"/>
                <w:noProof/>
              </w:rPr>
              <w:t>B.4 Mobilitätsallokation und Sanierung</w:t>
            </w:r>
            <w:r>
              <w:rPr>
                <w:noProof/>
                <w:webHidden/>
              </w:rPr>
              <w:tab/>
            </w:r>
            <w:r>
              <w:rPr>
                <w:noProof/>
                <w:webHidden/>
              </w:rPr>
              <w:fldChar w:fldCharType="begin"/>
            </w:r>
            <w:r>
              <w:rPr>
                <w:noProof/>
                <w:webHidden/>
              </w:rPr>
              <w:instrText xml:space="preserve"> PAGEREF _Toc243681341 \h </w:instrText>
            </w:r>
            <w:r>
              <w:rPr>
                <w:noProof/>
                <w:webHidden/>
              </w:rPr>
            </w:r>
            <w:r>
              <w:rPr>
                <w:noProof/>
                <w:webHidden/>
              </w:rPr>
              <w:fldChar w:fldCharType="separate"/>
            </w:r>
            <w:r>
              <w:rPr>
                <w:noProof/>
                <w:webHidden/>
              </w:rPr>
              <w:t>77</w:t>
            </w:r>
            <w:r>
              <w:rPr>
                <w:noProof/>
                <w:webHidden/>
              </w:rPr>
              <w:fldChar w:fldCharType="end"/>
            </w:r>
          </w:hyperlink>
        </w:p>
        <w:p w14:paraId="54CFE225" w14:textId="6CD72C26" w:rsidR="00CA132B" w:rsidRDefault="00CA132B">
          <w:pPr>
            <w:pStyle w:val="Verzeichnis2"/>
            <w:tabs>
              <w:tab w:val="right" w:leader="dot" w:pos="9396"/>
            </w:tabs>
            <w:rPr>
              <w:noProof/>
            </w:rPr>
          </w:pPr>
          <w:hyperlink w:anchor="_Toc243681342" w:history="1">
            <w:r w:rsidRPr="00EB2153">
              <w:rPr>
                <w:rStyle w:val="Hyperlink"/>
                <w:noProof/>
              </w:rPr>
              <w:t>B.5 THG-Budget und Senkenannahmen</w:t>
            </w:r>
            <w:r>
              <w:rPr>
                <w:noProof/>
                <w:webHidden/>
              </w:rPr>
              <w:tab/>
            </w:r>
            <w:r>
              <w:rPr>
                <w:noProof/>
                <w:webHidden/>
              </w:rPr>
              <w:fldChar w:fldCharType="begin"/>
            </w:r>
            <w:r>
              <w:rPr>
                <w:noProof/>
                <w:webHidden/>
              </w:rPr>
              <w:instrText xml:space="preserve"> PAGEREF _Toc243681342 \h </w:instrText>
            </w:r>
            <w:r>
              <w:rPr>
                <w:noProof/>
                <w:webHidden/>
              </w:rPr>
            </w:r>
            <w:r>
              <w:rPr>
                <w:noProof/>
                <w:webHidden/>
              </w:rPr>
              <w:fldChar w:fldCharType="separate"/>
            </w:r>
            <w:r>
              <w:rPr>
                <w:noProof/>
                <w:webHidden/>
              </w:rPr>
              <w:t>78</w:t>
            </w:r>
            <w:r>
              <w:rPr>
                <w:noProof/>
                <w:webHidden/>
              </w:rPr>
              <w:fldChar w:fldCharType="end"/>
            </w:r>
          </w:hyperlink>
        </w:p>
        <w:p w14:paraId="4623928A" w14:textId="5BFC111C" w:rsidR="00CA132B" w:rsidRDefault="00CA132B">
          <w:pPr>
            <w:pStyle w:val="Verzeichnis2"/>
            <w:tabs>
              <w:tab w:val="right" w:leader="dot" w:pos="9396"/>
            </w:tabs>
            <w:rPr>
              <w:noProof/>
            </w:rPr>
          </w:pPr>
          <w:hyperlink w:anchor="_Toc243681343" w:history="1">
            <w:r w:rsidRPr="00EB2153">
              <w:rPr>
                <w:rStyle w:val="Hyperlink"/>
                <w:noProof/>
              </w:rPr>
              <w:t>B.6 THG-Absenkpfade und sektorale Abgrenzung</w:t>
            </w:r>
            <w:r>
              <w:rPr>
                <w:noProof/>
                <w:webHidden/>
              </w:rPr>
              <w:tab/>
            </w:r>
            <w:r>
              <w:rPr>
                <w:noProof/>
                <w:webHidden/>
              </w:rPr>
              <w:fldChar w:fldCharType="begin"/>
            </w:r>
            <w:r>
              <w:rPr>
                <w:noProof/>
                <w:webHidden/>
              </w:rPr>
              <w:instrText xml:space="preserve"> PAGEREF _Toc243681343 \h </w:instrText>
            </w:r>
            <w:r>
              <w:rPr>
                <w:noProof/>
                <w:webHidden/>
              </w:rPr>
            </w:r>
            <w:r>
              <w:rPr>
                <w:noProof/>
                <w:webHidden/>
              </w:rPr>
              <w:fldChar w:fldCharType="separate"/>
            </w:r>
            <w:r>
              <w:rPr>
                <w:noProof/>
                <w:webHidden/>
              </w:rPr>
              <w:t>78</w:t>
            </w:r>
            <w:r>
              <w:rPr>
                <w:noProof/>
                <w:webHidden/>
              </w:rPr>
              <w:fldChar w:fldCharType="end"/>
            </w:r>
          </w:hyperlink>
        </w:p>
        <w:p w14:paraId="5DB99498" w14:textId="7AA7C0CC" w:rsidR="00CA132B" w:rsidRDefault="00CA132B">
          <w:pPr>
            <w:pStyle w:val="Verzeichnis1"/>
            <w:tabs>
              <w:tab w:val="right" w:leader="dot" w:pos="9396"/>
            </w:tabs>
            <w:rPr>
              <w:noProof/>
            </w:rPr>
          </w:pPr>
          <w:hyperlink w:anchor="_Toc243681344" w:history="1">
            <w:r w:rsidRPr="00EB2153">
              <w:rPr>
                <w:rStyle w:val="Hyperlink"/>
                <w:noProof/>
              </w:rPr>
              <w:t>Appendix C — Ableitung der GFZ-Dichteverteilung des österreichischen Gebäudebestands 2021</w:t>
            </w:r>
            <w:r>
              <w:rPr>
                <w:noProof/>
                <w:webHidden/>
              </w:rPr>
              <w:tab/>
            </w:r>
            <w:r>
              <w:rPr>
                <w:noProof/>
                <w:webHidden/>
              </w:rPr>
              <w:fldChar w:fldCharType="begin"/>
            </w:r>
            <w:r>
              <w:rPr>
                <w:noProof/>
                <w:webHidden/>
              </w:rPr>
              <w:instrText xml:space="preserve"> PAGEREF _Toc243681344 \h </w:instrText>
            </w:r>
            <w:r>
              <w:rPr>
                <w:noProof/>
                <w:webHidden/>
              </w:rPr>
            </w:r>
            <w:r>
              <w:rPr>
                <w:noProof/>
                <w:webHidden/>
              </w:rPr>
              <w:fldChar w:fldCharType="separate"/>
            </w:r>
            <w:r>
              <w:rPr>
                <w:noProof/>
                <w:webHidden/>
              </w:rPr>
              <w:t>80</w:t>
            </w:r>
            <w:r>
              <w:rPr>
                <w:noProof/>
                <w:webHidden/>
              </w:rPr>
              <w:fldChar w:fldCharType="end"/>
            </w:r>
          </w:hyperlink>
        </w:p>
        <w:p w14:paraId="33866A9B" w14:textId="598A07BD" w:rsidR="00CA132B" w:rsidRDefault="00CA132B">
          <w:pPr>
            <w:pStyle w:val="Verzeichnis1"/>
            <w:tabs>
              <w:tab w:val="right" w:leader="dot" w:pos="9396"/>
            </w:tabs>
            <w:rPr>
              <w:noProof/>
            </w:rPr>
          </w:pPr>
          <w:hyperlink w:anchor="_Toc243681345" w:history="1">
            <w:r w:rsidRPr="00EB2153">
              <w:rPr>
                <w:rStyle w:val="Hyperlink"/>
                <w:noProof/>
              </w:rPr>
              <w:t>Appendix C — Berechnung der österreichischen GFZ-Verteilung</w:t>
            </w:r>
            <w:r>
              <w:rPr>
                <w:noProof/>
                <w:webHidden/>
              </w:rPr>
              <w:tab/>
            </w:r>
            <w:r>
              <w:rPr>
                <w:noProof/>
                <w:webHidden/>
              </w:rPr>
              <w:fldChar w:fldCharType="begin"/>
            </w:r>
            <w:r>
              <w:rPr>
                <w:noProof/>
                <w:webHidden/>
              </w:rPr>
              <w:instrText xml:space="preserve"> PAGEREF _Toc243681345 \h </w:instrText>
            </w:r>
            <w:r>
              <w:rPr>
                <w:noProof/>
                <w:webHidden/>
              </w:rPr>
            </w:r>
            <w:r>
              <w:rPr>
                <w:noProof/>
                <w:webHidden/>
              </w:rPr>
              <w:fldChar w:fldCharType="separate"/>
            </w:r>
            <w:r>
              <w:rPr>
                <w:noProof/>
                <w:webHidden/>
              </w:rPr>
              <w:t>80</w:t>
            </w:r>
            <w:r>
              <w:rPr>
                <w:noProof/>
                <w:webHidden/>
              </w:rPr>
              <w:fldChar w:fldCharType="end"/>
            </w:r>
          </w:hyperlink>
        </w:p>
        <w:p w14:paraId="46B4788D" w14:textId="03191BD3" w:rsidR="00CA132B" w:rsidRDefault="00CA132B">
          <w:pPr>
            <w:pStyle w:val="Verzeichnis2"/>
            <w:tabs>
              <w:tab w:val="right" w:leader="dot" w:pos="9396"/>
            </w:tabs>
            <w:rPr>
              <w:noProof/>
            </w:rPr>
          </w:pPr>
          <w:hyperlink w:anchor="_Toc243681346" w:history="1">
            <w:r w:rsidRPr="00EB2153">
              <w:rPr>
                <w:rStyle w:val="Hyperlink"/>
                <w:noProof/>
              </w:rPr>
              <w:t>C.1 1. Quellen, Definitionen und Modellparameter</w:t>
            </w:r>
            <w:r>
              <w:rPr>
                <w:noProof/>
                <w:webHidden/>
              </w:rPr>
              <w:tab/>
            </w:r>
            <w:r>
              <w:rPr>
                <w:noProof/>
                <w:webHidden/>
              </w:rPr>
              <w:fldChar w:fldCharType="begin"/>
            </w:r>
            <w:r>
              <w:rPr>
                <w:noProof/>
                <w:webHidden/>
              </w:rPr>
              <w:instrText xml:space="preserve"> PAGEREF _Toc243681346 \h </w:instrText>
            </w:r>
            <w:r>
              <w:rPr>
                <w:noProof/>
                <w:webHidden/>
              </w:rPr>
            </w:r>
            <w:r>
              <w:rPr>
                <w:noProof/>
                <w:webHidden/>
              </w:rPr>
              <w:fldChar w:fldCharType="separate"/>
            </w:r>
            <w:r>
              <w:rPr>
                <w:noProof/>
                <w:webHidden/>
              </w:rPr>
              <w:t>80</w:t>
            </w:r>
            <w:r>
              <w:rPr>
                <w:noProof/>
                <w:webHidden/>
              </w:rPr>
              <w:fldChar w:fldCharType="end"/>
            </w:r>
          </w:hyperlink>
        </w:p>
        <w:p w14:paraId="14819490" w14:textId="28424017" w:rsidR="00CA132B" w:rsidRDefault="00CA132B">
          <w:pPr>
            <w:pStyle w:val="Verzeichnis2"/>
            <w:tabs>
              <w:tab w:val="right" w:leader="dot" w:pos="9396"/>
            </w:tabs>
            <w:rPr>
              <w:noProof/>
            </w:rPr>
          </w:pPr>
          <w:hyperlink w:anchor="_Toc243681347" w:history="1">
            <w:r w:rsidRPr="00EB2153">
              <w:rPr>
                <w:rStyle w:val="Hyperlink"/>
                <w:noProof/>
              </w:rPr>
              <w:t>C.2 2. Eingangsdaten und Plausibilisierung der Einzelgebäude</w:t>
            </w:r>
            <w:r>
              <w:rPr>
                <w:noProof/>
                <w:webHidden/>
              </w:rPr>
              <w:tab/>
            </w:r>
            <w:r>
              <w:rPr>
                <w:noProof/>
                <w:webHidden/>
              </w:rPr>
              <w:fldChar w:fldCharType="begin"/>
            </w:r>
            <w:r>
              <w:rPr>
                <w:noProof/>
                <w:webHidden/>
              </w:rPr>
              <w:instrText xml:space="preserve"> PAGEREF _Toc243681347 \h </w:instrText>
            </w:r>
            <w:r>
              <w:rPr>
                <w:noProof/>
                <w:webHidden/>
              </w:rPr>
            </w:r>
            <w:r>
              <w:rPr>
                <w:noProof/>
                <w:webHidden/>
              </w:rPr>
              <w:fldChar w:fldCharType="separate"/>
            </w:r>
            <w:r>
              <w:rPr>
                <w:noProof/>
                <w:webHidden/>
              </w:rPr>
              <w:t>83</w:t>
            </w:r>
            <w:r>
              <w:rPr>
                <w:noProof/>
                <w:webHidden/>
              </w:rPr>
              <w:fldChar w:fldCharType="end"/>
            </w:r>
          </w:hyperlink>
        </w:p>
        <w:p w14:paraId="4A2D1BE6" w14:textId="1EC60046" w:rsidR="00CA132B" w:rsidRDefault="00CA132B">
          <w:pPr>
            <w:pStyle w:val="Verzeichnis3"/>
            <w:tabs>
              <w:tab w:val="right" w:leader="dot" w:pos="9396"/>
            </w:tabs>
            <w:rPr>
              <w:noProof/>
            </w:rPr>
          </w:pPr>
          <w:hyperlink w:anchor="_Toc243681348" w:history="1">
            <w:r w:rsidRPr="00EB2153">
              <w:rPr>
                <w:rStyle w:val="Hyperlink"/>
                <w:noProof/>
              </w:rPr>
              <w:t>C.2.1 Deskriptive Auswertung der Referenzstichproben</w:t>
            </w:r>
            <w:r>
              <w:rPr>
                <w:noProof/>
                <w:webHidden/>
              </w:rPr>
              <w:tab/>
            </w:r>
            <w:r>
              <w:rPr>
                <w:noProof/>
                <w:webHidden/>
              </w:rPr>
              <w:fldChar w:fldCharType="begin"/>
            </w:r>
            <w:r>
              <w:rPr>
                <w:noProof/>
                <w:webHidden/>
              </w:rPr>
              <w:instrText xml:space="preserve"> PAGEREF _Toc243681348 \h </w:instrText>
            </w:r>
            <w:r>
              <w:rPr>
                <w:noProof/>
                <w:webHidden/>
              </w:rPr>
            </w:r>
            <w:r>
              <w:rPr>
                <w:noProof/>
                <w:webHidden/>
              </w:rPr>
              <w:fldChar w:fldCharType="separate"/>
            </w:r>
            <w:r>
              <w:rPr>
                <w:noProof/>
                <w:webHidden/>
              </w:rPr>
              <w:t>84</w:t>
            </w:r>
            <w:r>
              <w:rPr>
                <w:noProof/>
                <w:webHidden/>
              </w:rPr>
              <w:fldChar w:fldCharType="end"/>
            </w:r>
          </w:hyperlink>
        </w:p>
        <w:p w14:paraId="3F941A40" w14:textId="3AF8888A" w:rsidR="00CA132B" w:rsidRDefault="00CA132B">
          <w:pPr>
            <w:pStyle w:val="Verzeichnis2"/>
            <w:tabs>
              <w:tab w:val="right" w:leader="dot" w:pos="9396"/>
            </w:tabs>
            <w:rPr>
              <w:noProof/>
            </w:rPr>
          </w:pPr>
          <w:hyperlink w:anchor="_Toc243681349" w:history="1">
            <w:r w:rsidRPr="00EB2153">
              <w:rPr>
                <w:rStyle w:val="Hyperlink"/>
                <w:noProof/>
              </w:rPr>
              <w:t>C.3 3. Statistische Bestandsdaten 2021: Herkunft, Flächen und Struktur</w:t>
            </w:r>
            <w:r>
              <w:rPr>
                <w:noProof/>
                <w:webHidden/>
              </w:rPr>
              <w:tab/>
            </w:r>
            <w:r>
              <w:rPr>
                <w:noProof/>
                <w:webHidden/>
              </w:rPr>
              <w:fldChar w:fldCharType="begin"/>
            </w:r>
            <w:r>
              <w:rPr>
                <w:noProof/>
                <w:webHidden/>
              </w:rPr>
              <w:instrText xml:space="preserve"> PAGEREF _Toc243681349 \h </w:instrText>
            </w:r>
            <w:r>
              <w:rPr>
                <w:noProof/>
                <w:webHidden/>
              </w:rPr>
            </w:r>
            <w:r>
              <w:rPr>
                <w:noProof/>
                <w:webHidden/>
              </w:rPr>
              <w:fldChar w:fldCharType="separate"/>
            </w:r>
            <w:r>
              <w:rPr>
                <w:noProof/>
                <w:webHidden/>
              </w:rPr>
              <w:t>107</w:t>
            </w:r>
            <w:r>
              <w:rPr>
                <w:noProof/>
                <w:webHidden/>
              </w:rPr>
              <w:fldChar w:fldCharType="end"/>
            </w:r>
          </w:hyperlink>
        </w:p>
        <w:p w14:paraId="2FBFDEF8" w14:textId="32BE2C14" w:rsidR="00CA132B" w:rsidRDefault="00CA132B">
          <w:pPr>
            <w:pStyle w:val="Verzeichnis3"/>
            <w:tabs>
              <w:tab w:val="right" w:leader="dot" w:pos="9396"/>
            </w:tabs>
            <w:rPr>
              <w:noProof/>
            </w:rPr>
          </w:pPr>
          <w:hyperlink w:anchor="_Toc243681350" w:history="1">
            <w:r w:rsidRPr="00EB2153">
              <w:rPr>
                <w:rStyle w:val="Hyperlink"/>
                <w:noProof/>
              </w:rPr>
              <w:t>C.3.1 Deskriptive Statistik des nationalen Bestandsmodells</w:t>
            </w:r>
            <w:r>
              <w:rPr>
                <w:noProof/>
                <w:webHidden/>
              </w:rPr>
              <w:tab/>
            </w:r>
            <w:r>
              <w:rPr>
                <w:noProof/>
                <w:webHidden/>
              </w:rPr>
              <w:fldChar w:fldCharType="begin"/>
            </w:r>
            <w:r>
              <w:rPr>
                <w:noProof/>
                <w:webHidden/>
              </w:rPr>
              <w:instrText xml:space="preserve"> PAGEREF _Toc243681350 \h </w:instrText>
            </w:r>
            <w:r>
              <w:rPr>
                <w:noProof/>
                <w:webHidden/>
              </w:rPr>
            </w:r>
            <w:r>
              <w:rPr>
                <w:noProof/>
                <w:webHidden/>
              </w:rPr>
              <w:fldChar w:fldCharType="separate"/>
            </w:r>
            <w:r>
              <w:rPr>
                <w:noProof/>
                <w:webHidden/>
              </w:rPr>
              <w:t>108</w:t>
            </w:r>
            <w:r>
              <w:rPr>
                <w:noProof/>
                <w:webHidden/>
              </w:rPr>
              <w:fldChar w:fldCharType="end"/>
            </w:r>
          </w:hyperlink>
        </w:p>
        <w:p w14:paraId="6ED9A223" w14:textId="58C761A8" w:rsidR="00CA132B" w:rsidRDefault="00CA132B">
          <w:pPr>
            <w:pStyle w:val="Verzeichnis2"/>
            <w:tabs>
              <w:tab w:val="right" w:leader="dot" w:pos="9396"/>
            </w:tabs>
            <w:rPr>
              <w:noProof/>
            </w:rPr>
          </w:pPr>
          <w:hyperlink w:anchor="_Toc243681351" w:history="1">
            <w:r w:rsidRPr="00EB2153">
              <w:rPr>
                <w:rStyle w:val="Hyperlink"/>
                <w:noProof/>
              </w:rPr>
              <w:t>C.4 4. Bestimmung der verfügbaren Referenzgruppen</w:t>
            </w:r>
            <w:r>
              <w:rPr>
                <w:noProof/>
                <w:webHidden/>
              </w:rPr>
              <w:tab/>
            </w:r>
            <w:r>
              <w:rPr>
                <w:noProof/>
                <w:webHidden/>
              </w:rPr>
              <w:fldChar w:fldCharType="begin"/>
            </w:r>
            <w:r>
              <w:rPr>
                <w:noProof/>
                <w:webHidden/>
              </w:rPr>
              <w:instrText xml:space="preserve"> PAGEREF _Toc243681351 \h </w:instrText>
            </w:r>
            <w:r>
              <w:rPr>
                <w:noProof/>
                <w:webHidden/>
              </w:rPr>
            </w:r>
            <w:r>
              <w:rPr>
                <w:noProof/>
                <w:webHidden/>
              </w:rPr>
              <w:fldChar w:fldCharType="separate"/>
            </w:r>
            <w:r>
              <w:rPr>
                <w:noProof/>
                <w:webHidden/>
              </w:rPr>
              <w:t>112</w:t>
            </w:r>
            <w:r>
              <w:rPr>
                <w:noProof/>
                <w:webHidden/>
              </w:rPr>
              <w:fldChar w:fldCharType="end"/>
            </w:r>
          </w:hyperlink>
        </w:p>
        <w:p w14:paraId="2E2E14F3" w14:textId="643B45F9" w:rsidR="00CA132B" w:rsidRDefault="00CA132B">
          <w:pPr>
            <w:pStyle w:val="Verzeichnis2"/>
            <w:tabs>
              <w:tab w:val="right" w:leader="dot" w:pos="9396"/>
            </w:tabs>
            <w:rPr>
              <w:noProof/>
            </w:rPr>
          </w:pPr>
          <w:hyperlink w:anchor="_Toc243681352" w:history="1">
            <w:r w:rsidRPr="00EB2153">
              <w:rPr>
                <w:rStyle w:val="Hyperlink"/>
                <w:noProof/>
              </w:rPr>
              <w:t>C.5 5. BGF-gewichtete Kerndichteschätzung auf dem GFZ-Raster</w:t>
            </w:r>
            <w:r>
              <w:rPr>
                <w:noProof/>
                <w:webHidden/>
              </w:rPr>
              <w:tab/>
            </w:r>
            <w:r>
              <w:rPr>
                <w:noProof/>
                <w:webHidden/>
              </w:rPr>
              <w:fldChar w:fldCharType="begin"/>
            </w:r>
            <w:r>
              <w:rPr>
                <w:noProof/>
                <w:webHidden/>
              </w:rPr>
              <w:instrText xml:space="preserve"> PAGEREF _Toc243681352 \h </w:instrText>
            </w:r>
            <w:r>
              <w:rPr>
                <w:noProof/>
                <w:webHidden/>
              </w:rPr>
            </w:r>
            <w:r>
              <w:rPr>
                <w:noProof/>
                <w:webHidden/>
              </w:rPr>
              <w:fldChar w:fldCharType="separate"/>
            </w:r>
            <w:r>
              <w:rPr>
                <w:noProof/>
                <w:webHidden/>
              </w:rPr>
              <w:t>118</w:t>
            </w:r>
            <w:r>
              <w:rPr>
                <w:noProof/>
                <w:webHidden/>
              </w:rPr>
              <w:fldChar w:fldCharType="end"/>
            </w:r>
          </w:hyperlink>
        </w:p>
        <w:p w14:paraId="38E6680C" w14:textId="617CFC72" w:rsidR="00CA132B" w:rsidRDefault="00CA132B">
          <w:pPr>
            <w:pStyle w:val="Verzeichnis2"/>
            <w:tabs>
              <w:tab w:val="right" w:leader="dot" w:pos="9396"/>
            </w:tabs>
            <w:rPr>
              <w:noProof/>
            </w:rPr>
          </w:pPr>
          <w:hyperlink w:anchor="_Toc243681353" w:history="1">
            <w:r w:rsidRPr="00EB2153">
              <w:rPr>
                <w:rStyle w:val="Hyperlink"/>
                <w:noProof/>
              </w:rPr>
              <w:t>C.6 6. Hochrechnung: statistische BGF × Dichtemasse</w:t>
            </w:r>
            <w:r>
              <w:rPr>
                <w:noProof/>
                <w:webHidden/>
              </w:rPr>
              <w:tab/>
            </w:r>
            <w:r>
              <w:rPr>
                <w:noProof/>
                <w:webHidden/>
              </w:rPr>
              <w:fldChar w:fldCharType="begin"/>
            </w:r>
            <w:r>
              <w:rPr>
                <w:noProof/>
                <w:webHidden/>
              </w:rPr>
              <w:instrText xml:space="preserve"> PAGEREF _Toc243681353 \h </w:instrText>
            </w:r>
            <w:r>
              <w:rPr>
                <w:noProof/>
                <w:webHidden/>
              </w:rPr>
            </w:r>
            <w:r>
              <w:rPr>
                <w:noProof/>
                <w:webHidden/>
              </w:rPr>
              <w:fldChar w:fldCharType="separate"/>
            </w:r>
            <w:r>
              <w:rPr>
                <w:noProof/>
                <w:webHidden/>
              </w:rPr>
              <w:t>120</w:t>
            </w:r>
            <w:r>
              <w:rPr>
                <w:noProof/>
                <w:webHidden/>
              </w:rPr>
              <w:fldChar w:fldCharType="end"/>
            </w:r>
          </w:hyperlink>
        </w:p>
        <w:p w14:paraId="7A326FEB" w14:textId="40CE4289" w:rsidR="00CA132B" w:rsidRDefault="00CA132B">
          <w:pPr>
            <w:pStyle w:val="Verzeichnis2"/>
            <w:tabs>
              <w:tab w:val="right" w:leader="dot" w:pos="9396"/>
            </w:tabs>
            <w:rPr>
              <w:noProof/>
            </w:rPr>
          </w:pPr>
          <w:hyperlink w:anchor="_Toc243681354" w:history="1">
            <w:r w:rsidRPr="00EB2153">
              <w:rPr>
                <w:rStyle w:val="Hyperlink"/>
                <w:noProof/>
              </w:rPr>
              <w:t>C.7 7. Kontrollrechnungen und Abdeckung</w:t>
            </w:r>
            <w:r>
              <w:rPr>
                <w:noProof/>
                <w:webHidden/>
              </w:rPr>
              <w:tab/>
            </w:r>
            <w:r>
              <w:rPr>
                <w:noProof/>
                <w:webHidden/>
              </w:rPr>
              <w:fldChar w:fldCharType="begin"/>
            </w:r>
            <w:r>
              <w:rPr>
                <w:noProof/>
                <w:webHidden/>
              </w:rPr>
              <w:instrText xml:space="preserve"> PAGEREF _Toc243681354 \h </w:instrText>
            </w:r>
            <w:r>
              <w:rPr>
                <w:noProof/>
                <w:webHidden/>
              </w:rPr>
            </w:r>
            <w:r>
              <w:rPr>
                <w:noProof/>
                <w:webHidden/>
              </w:rPr>
              <w:fldChar w:fldCharType="separate"/>
            </w:r>
            <w:r>
              <w:rPr>
                <w:noProof/>
                <w:webHidden/>
              </w:rPr>
              <w:t>121</w:t>
            </w:r>
            <w:r>
              <w:rPr>
                <w:noProof/>
                <w:webHidden/>
              </w:rPr>
              <w:fldChar w:fldCharType="end"/>
            </w:r>
          </w:hyperlink>
        </w:p>
        <w:p w14:paraId="7BFC8939" w14:textId="5367298C" w:rsidR="00CA132B" w:rsidRDefault="00CA132B">
          <w:pPr>
            <w:pStyle w:val="Verzeichnis2"/>
            <w:tabs>
              <w:tab w:val="right" w:leader="dot" w:pos="9396"/>
            </w:tabs>
            <w:rPr>
              <w:noProof/>
            </w:rPr>
          </w:pPr>
          <w:hyperlink w:anchor="_Toc243681355" w:history="1">
            <w:r w:rsidRPr="00EB2153">
              <w:rPr>
                <w:rStyle w:val="Hyperlink"/>
                <w:noProof/>
              </w:rPr>
              <w:t>C.8 8. Modellierte österreichische GFZ-Verteilung</w:t>
            </w:r>
            <w:r>
              <w:rPr>
                <w:noProof/>
                <w:webHidden/>
              </w:rPr>
              <w:tab/>
            </w:r>
            <w:r>
              <w:rPr>
                <w:noProof/>
                <w:webHidden/>
              </w:rPr>
              <w:fldChar w:fldCharType="begin"/>
            </w:r>
            <w:r>
              <w:rPr>
                <w:noProof/>
                <w:webHidden/>
              </w:rPr>
              <w:instrText xml:space="preserve"> PAGEREF _Toc243681355 \h </w:instrText>
            </w:r>
            <w:r>
              <w:rPr>
                <w:noProof/>
                <w:webHidden/>
              </w:rPr>
            </w:r>
            <w:r>
              <w:rPr>
                <w:noProof/>
                <w:webHidden/>
              </w:rPr>
              <w:fldChar w:fldCharType="separate"/>
            </w:r>
            <w:r>
              <w:rPr>
                <w:noProof/>
                <w:webHidden/>
              </w:rPr>
              <w:t>123</w:t>
            </w:r>
            <w:r>
              <w:rPr>
                <w:noProof/>
                <w:webHidden/>
              </w:rPr>
              <w:fldChar w:fldCharType="end"/>
            </w:r>
          </w:hyperlink>
        </w:p>
        <w:p w14:paraId="22293D7B" w14:textId="39758AF5" w:rsidR="00CA132B" w:rsidRDefault="00CA132B">
          <w:pPr>
            <w:pStyle w:val="Verzeichnis3"/>
            <w:tabs>
              <w:tab w:val="right" w:leader="dot" w:pos="9396"/>
            </w:tabs>
            <w:rPr>
              <w:noProof/>
            </w:rPr>
          </w:pPr>
          <w:hyperlink w:anchor="_Toc243681356" w:history="1">
            <w:r w:rsidRPr="00EB2153">
              <w:rPr>
                <w:rStyle w:val="Hyperlink"/>
                <w:noProof/>
              </w:rPr>
              <w:t>C.8.1 Kerndichteprofile nach Geschossklasse und Hauptnutzung</w:t>
            </w:r>
            <w:r>
              <w:rPr>
                <w:noProof/>
                <w:webHidden/>
              </w:rPr>
              <w:tab/>
            </w:r>
            <w:r>
              <w:rPr>
                <w:noProof/>
                <w:webHidden/>
              </w:rPr>
              <w:fldChar w:fldCharType="begin"/>
            </w:r>
            <w:r>
              <w:rPr>
                <w:noProof/>
                <w:webHidden/>
              </w:rPr>
              <w:instrText xml:space="preserve"> PAGEREF _Toc243681356 \h </w:instrText>
            </w:r>
            <w:r>
              <w:rPr>
                <w:noProof/>
                <w:webHidden/>
              </w:rPr>
            </w:r>
            <w:r>
              <w:rPr>
                <w:noProof/>
                <w:webHidden/>
              </w:rPr>
              <w:fldChar w:fldCharType="separate"/>
            </w:r>
            <w:r>
              <w:rPr>
                <w:noProof/>
                <w:webHidden/>
              </w:rPr>
              <w:t>124</w:t>
            </w:r>
            <w:r>
              <w:rPr>
                <w:noProof/>
                <w:webHidden/>
              </w:rPr>
              <w:fldChar w:fldCharType="end"/>
            </w:r>
          </w:hyperlink>
        </w:p>
        <w:p w14:paraId="23284F35" w14:textId="303E6B37" w:rsidR="00CA132B" w:rsidRDefault="00CA132B">
          <w:pPr>
            <w:pStyle w:val="Verzeichnis3"/>
            <w:tabs>
              <w:tab w:val="right" w:leader="dot" w:pos="9396"/>
            </w:tabs>
            <w:rPr>
              <w:noProof/>
            </w:rPr>
          </w:pPr>
          <w:hyperlink w:anchor="_Toc243681357" w:history="1">
            <w:r w:rsidRPr="00EB2153">
              <w:rPr>
                <w:rStyle w:val="Hyperlink"/>
                <w:noProof/>
              </w:rPr>
              <w:t>C.8.2 Ländervergleich</w:t>
            </w:r>
            <w:r>
              <w:rPr>
                <w:noProof/>
                <w:webHidden/>
              </w:rPr>
              <w:tab/>
            </w:r>
            <w:r>
              <w:rPr>
                <w:noProof/>
                <w:webHidden/>
              </w:rPr>
              <w:fldChar w:fldCharType="begin"/>
            </w:r>
            <w:r>
              <w:rPr>
                <w:noProof/>
                <w:webHidden/>
              </w:rPr>
              <w:instrText xml:space="preserve"> PAGEREF _Toc243681357 \h </w:instrText>
            </w:r>
            <w:r>
              <w:rPr>
                <w:noProof/>
                <w:webHidden/>
              </w:rPr>
            </w:r>
            <w:r>
              <w:rPr>
                <w:noProof/>
                <w:webHidden/>
              </w:rPr>
              <w:fldChar w:fldCharType="separate"/>
            </w:r>
            <w:r>
              <w:rPr>
                <w:noProof/>
                <w:webHidden/>
              </w:rPr>
              <w:t>126</w:t>
            </w:r>
            <w:r>
              <w:rPr>
                <w:noProof/>
                <w:webHidden/>
              </w:rPr>
              <w:fldChar w:fldCharType="end"/>
            </w:r>
          </w:hyperlink>
        </w:p>
        <w:p w14:paraId="5C736E95" w14:textId="597DDECB" w:rsidR="00CA132B" w:rsidRDefault="00CA132B">
          <w:pPr>
            <w:pStyle w:val="Verzeichnis2"/>
            <w:tabs>
              <w:tab w:val="right" w:leader="dot" w:pos="9396"/>
            </w:tabs>
            <w:rPr>
              <w:noProof/>
            </w:rPr>
          </w:pPr>
          <w:hyperlink w:anchor="_Toc243681358" w:history="1">
            <w:r w:rsidRPr="00EB2153">
              <w:rPr>
                <w:rStyle w:val="Hyperlink"/>
                <w:noProof/>
              </w:rPr>
              <w:t>C.9 9. Export und Reproduzierbarkeit</w:t>
            </w:r>
            <w:r>
              <w:rPr>
                <w:noProof/>
                <w:webHidden/>
              </w:rPr>
              <w:tab/>
            </w:r>
            <w:r>
              <w:rPr>
                <w:noProof/>
                <w:webHidden/>
              </w:rPr>
              <w:fldChar w:fldCharType="begin"/>
            </w:r>
            <w:r>
              <w:rPr>
                <w:noProof/>
                <w:webHidden/>
              </w:rPr>
              <w:instrText xml:space="preserve"> PAGEREF _Toc243681358 \h </w:instrText>
            </w:r>
            <w:r>
              <w:rPr>
                <w:noProof/>
                <w:webHidden/>
              </w:rPr>
            </w:r>
            <w:r>
              <w:rPr>
                <w:noProof/>
                <w:webHidden/>
              </w:rPr>
              <w:fldChar w:fldCharType="separate"/>
            </w:r>
            <w:r>
              <w:rPr>
                <w:noProof/>
                <w:webHidden/>
              </w:rPr>
              <w:t>127</w:t>
            </w:r>
            <w:r>
              <w:rPr>
                <w:noProof/>
                <w:webHidden/>
              </w:rPr>
              <w:fldChar w:fldCharType="end"/>
            </w:r>
          </w:hyperlink>
        </w:p>
        <w:p w14:paraId="53662B29" w14:textId="3BE647BB" w:rsidR="00CA132B" w:rsidRDefault="00CA132B">
          <w:pPr>
            <w:pStyle w:val="Verzeichnis2"/>
            <w:tabs>
              <w:tab w:val="right" w:leader="dot" w:pos="9396"/>
            </w:tabs>
            <w:rPr>
              <w:noProof/>
            </w:rPr>
          </w:pPr>
          <w:hyperlink w:anchor="_Toc243681359" w:history="1">
            <w:r w:rsidRPr="00EB2153">
              <w:rPr>
                <w:rStyle w:val="Hyperlink"/>
                <w:noProof/>
              </w:rPr>
              <w:t>C.10 10. Methodische Einordnung und Einschränkungen</w:t>
            </w:r>
            <w:r>
              <w:rPr>
                <w:noProof/>
                <w:webHidden/>
              </w:rPr>
              <w:tab/>
            </w:r>
            <w:r>
              <w:rPr>
                <w:noProof/>
                <w:webHidden/>
              </w:rPr>
              <w:fldChar w:fldCharType="begin"/>
            </w:r>
            <w:r>
              <w:rPr>
                <w:noProof/>
                <w:webHidden/>
              </w:rPr>
              <w:instrText xml:space="preserve"> PAGEREF _Toc243681359 \h </w:instrText>
            </w:r>
            <w:r>
              <w:rPr>
                <w:noProof/>
                <w:webHidden/>
              </w:rPr>
            </w:r>
            <w:r>
              <w:rPr>
                <w:noProof/>
                <w:webHidden/>
              </w:rPr>
              <w:fldChar w:fldCharType="separate"/>
            </w:r>
            <w:r>
              <w:rPr>
                <w:noProof/>
                <w:webHidden/>
              </w:rPr>
              <w:t>128</w:t>
            </w:r>
            <w:r>
              <w:rPr>
                <w:noProof/>
                <w:webHidden/>
              </w:rPr>
              <w:fldChar w:fldCharType="end"/>
            </w:r>
          </w:hyperlink>
        </w:p>
        <w:p w14:paraId="1192A65A" w14:textId="0AC6DD17" w:rsidR="00CA132B" w:rsidRDefault="00CA132B">
          <w:pPr>
            <w:pStyle w:val="Verzeichnis1"/>
            <w:tabs>
              <w:tab w:val="right" w:leader="dot" w:pos="9396"/>
            </w:tabs>
            <w:rPr>
              <w:noProof/>
            </w:rPr>
          </w:pPr>
          <w:hyperlink w:anchor="_Toc243681360" w:history="1">
            <w:r w:rsidRPr="00EB2153">
              <w:rPr>
                <w:rStyle w:val="Hyperlink"/>
                <w:noProof/>
              </w:rPr>
              <w:t>Appendix D — Sektorale Energieallokation – Transition 2040</w:t>
            </w:r>
            <w:r>
              <w:rPr>
                <w:noProof/>
                <w:webHidden/>
              </w:rPr>
              <w:tab/>
            </w:r>
            <w:r>
              <w:rPr>
                <w:noProof/>
                <w:webHidden/>
              </w:rPr>
              <w:fldChar w:fldCharType="begin"/>
            </w:r>
            <w:r>
              <w:rPr>
                <w:noProof/>
                <w:webHidden/>
              </w:rPr>
              <w:instrText xml:space="preserve"> PAGEREF _Toc243681360 \h </w:instrText>
            </w:r>
            <w:r>
              <w:rPr>
                <w:noProof/>
                <w:webHidden/>
              </w:rPr>
            </w:r>
            <w:r>
              <w:rPr>
                <w:noProof/>
                <w:webHidden/>
              </w:rPr>
              <w:fldChar w:fldCharType="separate"/>
            </w:r>
            <w:r>
              <w:rPr>
                <w:noProof/>
                <w:webHidden/>
              </w:rPr>
              <w:t>128</w:t>
            </w:r>
            <w:r>
              <w:rPr>
                <w:noProof/>
                <w:webHidden/>
              </w:rPr>
              <w:fldChar w:fldCharType="end"/>
            </w:r>
          </w:hyperlink>
        </w:p>
        <w:p w14:paraId="42049819" w14:textId="0297D33E" w:rsidR="00CA132B" w:rsidRDefault="00CA132B">
          <w:pPr>
            <w:pStyle w:val="Verzeichnis1"/>
            <w:tabs>
              <w:tab w:val="right" w:leader="dot" w:pos="9396"/>
            </w:tabs>
            <w:rPr>
              <w:noProof/>
            </w:rPr>
          </w:pPr>
          <w:hyperlink w:anchor="_Toc243681361" w:history="1">
            <w:r w:rsidRPr="00EB2153">
              <w:rPr>
                <w:rStyle w:val="Hyperlink"/>
                <w:noProof/>
              </w:rPr>
              <w:t>Appendix D — Quantitative sektorale Allokation</w:t>
            </w:r>
            <w:r>
              <w:rPr>
                <w:noProof/>
                <w:webHidden/>
              </w:rPr>
              <w:tab/>
            </w:r>
            <w:r>
              <w:rPr>
                <w:noProof/>
                <w:webHidden/>
              </w:rPr>
              <w:fldChar w:fldCharType="begin"/>
            </w:r>
            <w:r>
              <w:rPr>
                <w:noProof/>
                <w:webHidden/>
              </w:rPr>
              <w:instrText xml:space="preserve"> PAGEREF _Toc243681361 \h </w:instrText>
            </w:r>
            <w:r>
              <w:rPr>
                <w:noProof/>
                <w:webHidden/>
              </w:rPr>
            </w:r>
            <w:r>
              <w:rPr>
                <w:noProof/>
                <w:webHidden/>
              </w:rPr>
              <w:fldChar w:fldCharType="separate"/>
            </w:r>
            <w:r>
              <w:rPr>
                <w:noProof/>
                <w:webHidden/>
              </w:rPr>
              <w:t>128</w:t>
            </w:r>
            <w:r>
              <w:rPr>
                <w:noProof/>
                <w:webHidden/>
              </w:rPr>
              <w:fldChar w:fldCharType="end"/>
            </w:r>
          </w:hyperlink>
        </w:p>
        <w:p w14:paraId="454BC2E9" w14:textId="4035DFA5" w:rsidR="00CA132B" w:rsidRDefault="00CA132B">
          <w:pPr>
            <w:pStyle w:val="Verzeichnis2"/>
            <w:tabs>
              <w:tab w:val="right" w:leader="dot" w:pos="9396"/>
            </w:tabs>
            <w:rPr>
              <w:noProof/>
            </w:rPr>
          </w:pPr>
          <w:hyperlink w:anchor="_Toc243681362" w:history="1">
            <w:r w:rsidRPr="00EB2153">
              <w:rPr>
                <w:rStyle w:val="Hyperlink"/>
                <w:noProof/>
              </w:rPr>
              <w:t>D.1 1. Bilanzgrenze und Einheiten</w:t>
            </w:r>
            <w:r>
              <w:rPr>
                <w:noProof/>
                <w:webHidden/>
              </w:rPr>
              <w:tab/>
            </w:r>
            <w:r>
              <w:rPr>
                <w:noProof/>
                <w:webHidden/>
              </w:rPr>
              <w:fldChar w:fldCharType="begin"/>
            </w:r>
            <w:r>
              <w:rPr>
                <w:noProof/>
                <w:webHidden/>
              </w:rPr>
              <w:instrText xml:space="preserve"> PAGEREF _Toc243681362 \h </w:instrText>
            </w:r>
            <w:r>
              <w:rPr>
                <w:noProof/>
                <w:webHidden/>
              </w:rPr>
            </w:r>
            <w:r>
              <w:rPr>
                <w:noProof/>
                <w:webHidden/>
              </w:rPr>
              <w:fldChar w:fldCharType="separate"/>
            </w:r>
            <w:r>
              <w:rPr>
                <w:noProof/>
                <w:webHidden/>
              </w:rPr>
              <w:t>129</w:t>
            </w:r>
            <w:r>
              <w:rPr>
                <w:noProof/>
                <w:webHidden/>
              </w:rPr>
              <w:fldChar w:fldCharType="end"/>
            </w:r>
          </w:hyperlink>
        </w:p>
        <w:p w14:paraId="06813798" w14:textId="1A8FBF7B" w:rsidR="00CA132B" w:rsidRDefault="00CA132B">
          <w:pPr>
            <w:pStyle w:val="Verzeichnis2"/>
            <w:tabs>
              <w:tab w:val="right" w:leader="dot" w:pos="9396"/>
            </w:tabs>
            <w:rPr>
              <w:noProof/>
            </w:rPr>
          </w:pPr>
          <w:hyperlink w:anchor="_Toc243681363" w:history="1">
            <w:r w:rsidRPr="00EB2153">
              <w:rPr>
                <w:rStyle w:val="Hyperlink"/>
                <w:noProof/>
              </w:rPr>
              <w:t>D.2 2. Quellbilanz vor Allokation</w:t>
            </w:r>
            <w:r>
              <w:rPr>
                <w:noProof/>
                <w:webHidden/>
              </w:rPr>
              <w:tab/>
            </w:r>
            <w:r>
              <w:rPr>
                <w:noProof/>
                <w:webHidden/>
              </w:rPr>
              <w:fldChar w:fldCharType="begin"/>
            </w:r>
            <w:r>
              <w:rPr>
                <w:noProof/>
                <w:webHidden/>
              </w:rPr>
              <w:instrText xml:space="preserve"> PAGEREF _Toc243681363 \h </w:instrText>
            </w:r>
            <w:r>
              <w:rPr>
                <w:noProof/>
                <w:webHidden/>
              </w:rPr>
            </w:r>
            <w:r>
              <w:rPr>
                <w:noProof/>
                <w:webHidden/>
              </w:rPr>
              <w:fldChar w:fldCharType="separate"/>
            </w:r>
            <w:r>
              <w:rPr>
                <w:noProof/>
                <w:webHidden/>
              </w:rPr>
              <w:t>130</w:t>
            </w:r>
            <w:r>
              <w:rPr>
                <w:noProof/>
                <w:webHidden/>
              </w:rPr>
              <w:fldChar w:fldCharType="end"/>
            </w:r>
          </w:hyperlink>
        </w:p>
        <w:p w14:paraId="263E789E" w14:textId="11903916" w:rsidR="00CA132B" w:rsidRDefault="00CA132B">
          <w:pPr>
            <w:pStyle w:val="Verzeichnis2"/>
            <w:tabs>
              <w:tab w:val="right" w:leader="dot" w:pos="9396"/>
            </w:tabs>
            <w:rPr>
              <w:noProof/>
            </w:rPr>
          </w:pPr>
          <w:hyperlink w:anchor="_Toc243681364" w:history="1">
            <w:r w:rsidRPr="00EB2153">
              <w:rPr>
                <w:rStyle w:val="Hyperlink"/>
                <w:noProof/>
              </w:rPr>
              <w:t>D.3 3. Sichtbare Stellschrauben und Referenzannahmen</w:t>
            </w:r>
            <w:r>
              <w:rPr>
                <w:noProof/>
                <w:webHidden/>
              </w:rPr>
              <w:tab/>
            </w:r>
            <w:r>
              <w:rPr>
                <w:noProof/>
                <w:webHidden/>
              </w:rPr>
              <w:fldChar w:fldCharType="begin"/>
            </w:r>
            <w:r>
              <w:rPr>
                <w:noProof/>
                <w:webHidden/>
              </w:rPr>
              <w:instrText xml:space="preserve"> PAGEREF _Toc243681364 \h </w:instrText>
            </w:r>
            <w:r>
              <w:rPr>
                <w:noProof/>
                <w:webHidden/>
              </w:rPr>
            </w:r>
            <w:r>
              <w:rPr>
                <w:noProof/>
                <w:webHidden/>
              </w:rPr>
              <w:fldChar w:fldCharType="separate"/>
            </w:r>
            <w:r>
              <w:rPr>
                <w:noProof/>
                <w:webHidden/>
              </w:rPr>
              <w:t>131</w:t>
            </w:r>
            <w:r>
              <w:rPr>
                <w:noProof/>
                <w:webHidden/>
              </w:rPr>
              <w:fldChar w:fldCharType="end"/>
            </w:r>
          </w:hyperlink>
        </w:p>
        <w:p w14:paraId="45A61A4B" w14:textId="1ADAF41D" w:rsidR="00CA132B" w:rsidRDefault="00CA132B">
          <w:pPr>
            <w:pStyle w:val="Verzeichnis2"/>
            <w:tabs>
              <w:tab w:val="right" w:leader="dot" w:pos="9396"/>
            </w:tabs>
            <w:rPr>
              <w:noProof/>
            </w:rPr>
          </w:pPr>
          <w:hyperlink w:anchor="_Toc243681365" w:history="1">
            <w:r w:rsidRPr="00EB2153">
              <w:rPr>
                <w:rStyle w:val="Hyperlink"/>
                <w:noProof/>
              </w:rPr>
              <w:t>D.4 4. Zentraler Pool und MIV-Budget</w:t>
            </w:r>
            <w:r>
              <w:rPr>
                <w:noProof/>
                <w:webHidden/>
              </w:rPr>
              <w:tab/>
            </w:r>
            <w:r>
              <w:rPr>
                <w:noProof/>
                <w:webHidden/>
              </w:rPr>
              <w:fldChar w:fldCharType="begin"/>
            </w:r>
            <w:r>
              <w:rPr>
                <w:noProof/>
                <w:webHidden/>
              </w:rPr>
              <w:instrText xml:space="preserve"> PAGEREF _Toc243681365 \h </w:instrText>
            </w:r>
            <w:r>
              <w:rPr>
                <w:noProof/>
                <w:webHidden/>
              </w:rPr>
            </w:r>
            <w:r>
              <w:rPr>
                <w:noProof/>
                <w:webHidden/>
              </w:rPr>
              <w:fldChar w:fldCharType="separate"/>
            </w:r>
            <w:r>
              <w:rPr>
                <w:noProof/>
                <w:webHidden/>
              </w:rPr>
              <w:t>132</w:t>
            </w:r>
            <w:r>
              <w:rPr>
                <w:noProof/>
                <w:webHidden/>
              </w:rPr>
              <w:fldChar w:fldCharType="end"/>
            </w:r>
          </w:hyperlink>
        </w:p>
        <w:p w14:paraId="104B815F" w14:textId="42199D7C" w:rsidR="00CA132B" w:rsidRDefault="00CA132B">
          <w:pPr>
            <w:pStyle w:val="Verzeichnis2"/>
            <w:tabs>
              <w:tab w:val="right" w:leader="dot" w:pos="9396"/>
            </w:tabs>
            <w:rPr>
              <w:noProof/>
            </w:rPr>
          </w:pPr>
          <w:hyperlink w:anchor="_Toc243681366" w:history="1">
            <w:r w:rsidRPr="00EB2153">
              <w:rPr>
                <w:rStyle w:val="Hyperlink"/>
                <w:noProof/>
              </w:rPr>
              <w:t>D.5 5. Gebäudesektorsaldo und vollständige Zuordnungsprüfung</w:t>
            </w:r>
            <w:r>
              <w:rPr>
                <w:noProof/>
                <w:webHidden/>
              </w:rPr>
              <w:tab/>
            </w:r>
            <w:r>
              <w:rPr>
                <w:noProof/>
                <w:webHidden/>
              </w:rPr>
              <w:fldChar w:fldCharType="begin"/>
            </w:r>
            <w:r>
              <w:rPr>
                <w:noProof/>
                <w:webHidden/>
              </w:rPr>
              <w:instrText xml:space="preserve"> PAGEREF _Toc243681366 \h </w:instrText>
            </w:r>
            <w:r>
              <w:rPr>
                <w:noProof/>
                <w:webHidden/>
              </w:rPr>
            </w:r>
            <w:r>
              <w:rPr>
                <w:noProof/>
                <w:webHidden/>
              </w:rPr>
              <w:fldChar w:fldCharType="separate"/>
            </w:r>
            <w:r>
              <w:rPr>
                <w:noProof/>
                <w:webHidden/>
              </w:rPr>
              <w:t>132</w:t>
            </w:r>
            <w:r>
              <w:rPr>
                <w:noProof/>
                <w:webHidden/>
              </w:rPr>
              <w:fldChar w:fldCharType="end"/>
            </w:r>
          </w:hyperlink>
        </w:p>
        <w:p w14:paraId="3BAECFFC" w14:textId="0FF36829" w:rsidR="00CA132B" w:rsidRDefault="00CA132B">
          <w:pPr>
            <w:pStyle w:val="Verzeichnis2"/>
            <w:tabs>
              <w:tab w:val="right" w:leader="dot" w:pos="9396"/>
            </w:tabs>
            <w:rPr>
              <w:noProof/>
            </w:rPr>
          </w:pPr>
          <w:hyperlink w:anchor="_Toc243681367" w:history="1">
            <w:r w:rsidRPr="00EB2153">
              <w:rPr>
                <w:rStyle w:val="Hyperlink"/>
                <w:noProof/>
              </w:rPr>
              <w:t>D.6 Varianten: Gesamtmengen, Teilmengen und Saldo</w:t>
            </w:r>
            <w:r>
              <w:rPr>
                <w:noProof/>
                <w:webHidden/>
              </w:rPr>
              <w:tab/>
            </w:r>
            <w:r>
              <w:rPr>
                <w:noProof/>
                <w:webHidden/>
              </w:rPr>
              <w:fldChar w:fldCharType="begin"/>
            </w:r>
            <w:r>
              <w:rPr>
                <w:noProof/>
                <w:webHidden/>
              </w:rPr>
              <w:instrText xml:space="preserve"> PAGEREF _Toc243681367 \h </w:instrText>
            </w:r>
            <w:r>
              <w:rPr>
                <w:noProof/>
                <w:webHidden/>
              </w:rPr>
            </w:r>
            <w:r>
              <w:rPr>
                <w:noProof/>
                <w:webHidden/>
              </w:rPr>
              <w:fldChar w:fldCharType="separate"/>
            </w:r>
            <w:r>
              <w:rPr>
                <w:noProof/>
                <w:webHidden/>
              </w:rPr>
              <w:t>134</w:t>
            </w:r>
            <w:r>
              <w:rPr>
                <w:noProof/>
                <w:webHidden/>
              </w:rPr>
              <w:fldChar w:fldCharType="end"/>
            </w:r>
          </w:hyperlink>
        </w:p>
        <w:p w14:paraId="3C6DD269" w14:textId="0F8926F2" w:rsidR="00CA132B" w:rsidRDefault="00CA132B">
          <w:pPr>
            <w:pStyle w:val="Verzeichnis2"/>
            <w:tabs>
              <w:tab w:val="right" w:leader="dot" w:pos="9396"/>
            </w:tabs>
            <w:rPr>
              <w:noProof/>
            </w:rPr>
          </w:pPr>
          <w:hyperlink w:anchor="_Toc243681368" w:history="1">
            <w:r w:rsidRPr="00EB2153">
              <w:rPr>
                <w:rStyle w:val="Hyperlink"/>
                <w:noProof/>
              </w:rPr>
              <w:t>D.7 7. Primärenergie und nutzungsbezogene Gutschrift</w:t>
            </w:r>
            <w:r>
              <w:rPr>
                <w:noProof/>
                <w:webHidden/>
              </w:rPr>
              <w:tab/>
            </w:r>
            <w:r>
              <w:rPr>
                <w:noProof/>
                <w:webHidden/>
              </w:rPr>
              <w:fldChar w:fldCharType="begin"/>
            </w:r>
            <w:r>
              <w:rPr>
                <w:noProof/>
                <w:webHidden/>
              </w:rPr>
              <w:instrText xml:space="preserve"> PAGEREF _Toc243681368 \h </w:instrText>
            </w:r>
            <w:r>
              <w:rPr>
                <w:noProof/>
                <w:webHidden/>
              </w:rPr>
            </w:r>
            <w:r>
              <w:rPr>
                <w:noProof/>
                <w:webHidden/>
              </w:rPr>
              <w:fldChar w:fldCharType="separate"/>
            </w:r>
            <w:r>
              <w:rPr>
                <w:noProof/>
                <w:webHidden/>
              </w:rPr>
              <w:t>136</w:t>
            </w:r>
            <w:r>
              <w:rPr>
                <w:noProof/>
                <w:webHidden/>
              </w:rPr>
              <w:fldChar w:fldCharType="end"/>
            </w:r>
          </w:hyperlink>
        </w:p>
        <w:p w14:paraId="5C2DD425" w14:textId="0E2420D0" w:rsidR="00CA132B" w:rsidRDefault="00CA132B">
          <w:pPr>
            <w:pStyle w:val="Verzeichnis2"/>
            <w:tabs>
              <w:tab w:val="right" w:leader="dot" w:pos="9396"/>
            </w:tabs>
            <w:rPr>
              <w:noProof/>
            </w:rPr>
          </w:pPr>
          <w:hyperlink w:anchor="_Toc243681369" w:history="1">
            <w:r w:rsidRPr="00EB2153">
              <w:rPr>
                <w:rStyle w:val="Hyperlink"/>
                <w:noProof/>
              </w:rPr>
              <w:t>D.8 8. Kontrollen, Ausgaben und nächste Entscheidungen</w:t>
            </w:r>
            <w:r>
              <w:rPr>
                <w:noProof/>
                <w:webHidden/>
              </w:rPr>
              <w:tab/>
            </w:r>
            <w:r>
              <w:rPr>
                <w:noProof/>
                <w:webHidden/>
              </w:rPr>
              <w:fldChar w:fldCharType="begin"/>
            </w:r>
            <w:r>
              <w:rPr>
                <w:noProof/>
                <w:webHidden/>
              </w:rPr>
              <w:instrText xml:space="preserve"> PAGEREF _Toc243681369 \h </w:instrText>
            </w:r>
            <w:r>
              <w:rPr>
                <w:noProof/>
                <w:webHidden/>
              </w:rPr>
            </w:r>
            <w:r>
              <w:rPr>
                <w:noProof/>
                <w:webHidden/>
              </w:rPr>
              <w:fldChar w:fldCharType="separate"/>
            </w:r>
            <w:r>
              <w:rPr>
                <w:noProof/>
                <w:webHidden/>
              </w:rPr>
              <w:t>137</w:t>
            </w:r>
            <w:r>
              <w:rPr>
                <w:noProof/>
                <w:webHidden/>
              </w:rPr>
              <w:fldChar w:fldCharType="end"/>
            </w:r>
          </w:hyperlink>
        </w:p>
        <w:p w14:paraId="65306CA6" w14:textId="25E9D3B7" w:rsidR="00CA132B" w:rsidRDefault="00CA132B">
          <w:pPr>
            <w:pStyle w:val="Verzeichnis1"/>
            <w:tabs>
              <w:tab w:val="right" w:leader="dot" w:pos="9396"/>
            </w:tabs>
            <w:rPr>
              <w:noProof/>
            </w:rPr>
          </w:pPr>
          <w:hyperlink w:anchor="_Toc243681370" w:history="1">
            <w:r w:rsidRPr="00EB2153">
              <w:rPr>
                <w:rStyle w:val="Hyperlink"/>
                <w:noProof/>
              </w:rPr>
              <w:t>Appendix E — Gebäudesektormodell Österreich 2040</w:t>
            </w:r>
            <w:r>
              <w:rPr>
                <w:noProof/>
                <w:webHidden/>
              </w:rPr>
              <w:tab/>
            </w:r>
            <w:r>
              <w:rPr>
                <w:noProof/>
                <w:webHidden/>
              </w:rPr>
              <w:fldChar w:fldCharType="begin"/>
            </w:r>
            <w:r>
              <w:rPr>
                <w:noProof/>
                <w:webHidden/>
              </w:rPr>
              <w:instrText xml:space="preserve"> PAGEREF _Toc243681370 \h </w:instrText>
            </w:r>
            <w:r>
              <w:rPr>
                <w:noProof/>
                <w:webHidden/>
              </w:rPr>
            </w:r>
            <w:r>
              <w:rPr>
                <w:noProof/>
                <w:webHidden/>
              </w:rPr>
              <w:fldChar w:fldCharType="separate"/>
            </w:r>
            <w:r>
              <w:rPr>
                <w:noProof/>
                <w:webHidden/>
              </w:rPr>
              <w:t>138</w:t>
            </w:r>
            <w:r>
              <w:rPr>
                <w:noProof/>
                <w:webHidden/>
              </w:rPr>
              <w:fldChar w:fldCharType="end"/>
            </w:r>
          </w:hyperlink>
        </w:p>
        <w:p w14:paraId="0DC51B03" w14:textId="450379E5" w:rsidR="00CA132B" w:rsidRDefault="00CA132B">
          <w:pPr>
            <w:pStyle w:val="Verzeichnis1"/>
            <w:tabs>
              <w:tab w:val="right" w:leader="dot" w:pos="9396"/>
            </w:tabs>
            <w:rPr>
              <w:noProof/>
            </w:rPr>
          </w:pPr>
          <w:hyperlink w:anchor="_Toc243681371" w:history="1">
            <w:r w:rsidRPr="00EB2153">
              <w:rPr>
                <w:rStyle w:val="Hyperlink"/>
                <w:noProof/>
              </w:rPr>
              <w:t>Appendix E — Gebäudesektormodell: Daten, Rechnung und Grenzen</w:t>
            </w:r>
            <w:r>
              <w:rPr>
                <w:noProof/>
                <w:webHidden/>
              </w:rPr>
              <w:tab/>
            </w:r>
            <w:r>
              <w:rPr>
                <w:noProof/>
                <w:webHidden/>
              </w:rPr>
              <w:fldChar w:fldCharType="begin"/>
            </w:r>
            <w:r>
              <w:rPr>
                <w:noProof/>
                <w:webHidden/>
              </w:rPr>
              <w:instrText xml:space="preserve"> PAGEREF _Toc243681371 \h </w:instrText>
            </w:r>
            <w:r>
              <w:rPr>
                <w:noProof/>
                <w:webHidden/>
              </w:rPr>
            </w:r>
            <w:r>
              <w:rPr>
                <w:noProof/>
                <w:webHidden/>
              </w:rPr>
              <w:fldChar w:fldCharType="separate"/>
            </w:r>
            <w:r>
              <w:rPr>
                <w:noProof/>
                <w:webHidden/>
              </w:rPr>
              <w:t>138</w:t>
            </w:r>
            <w:r>
              <w:rPr>
                <w:noProof/>
                <w:webHidden/>
              </w:rPr>
              <w:fldChar w:fldCharType="end"/>
            </w:r>
          </w:hyperlink>
        </w:p>
        <w:p w14:paraId="5DA9FB7C" w14:textId="7FC1C5AF" w:rsidR="00CA132B" w:rsidRDefault="00CA132B">
          <w:pPr>
            <w:pStyle w:val="Verzeichnis2"/>
            <w:tabs>
              <w:tab w:val="right" w:leader="dot" w:pos="9396"/>
            </w:tabs>
            <w:rPr>
              <w:noProof/>
            </w:rPr>
          </w:pPr>
          <w:hyperlink w:anchor="_Toc243681372" w:history="1">
            <w:r w:rsidRPr="00EB2153">
              <w:rPr>
                <w:rStyle w:val="Hyperlink"/>
                <w:noProof/>
              </w:rPr>
              <w:t>E.1 1. Modellrolle und Bilanzgrenzen</w:t>
            </w:r>
            <w:r>
              <w:rPr>
                <w:noProof/>
                <w:webHidden/>
              </w:rPr>
              <w:tab/>
            </w:r>
            <w:r>
              <w:rPr>
                <w:noProof/>
                <w:webHidden/>
              </w:rPr>
              <w:fldChar w:fldCharType="begin"/>
            </w:r>
            <w:r>
              <w:rPr>
                <w:noProof/>
                <w:webHidden/>
              </w:rPr>
              <w:instrText xml:space="preserve"> PAGEREF _Toc243681372 \h </w:instrText>
            </w:r>
            <w:r>
              <w:rPr>
                <w:noProof/>
                <w:webHidden/>
              </w:rPr>
            </w:r>
            <w:r>
              <w:rPr>
                <w:noProof/>
                <w:webHidden/>
              </w:rPr>
              <w:fldChar w:fldCharType="separate"/>
            </w:r>
            <w:r>
              <w:rPr>
                <w:noProof/>
                <w:webHidden/>
              </w:rPr>
              <w:t>138</w:t>
            </w:r>
            <w:r>
              <w:rPr>
                <w:noProof/>
                <w:webHidden/>
              </w:rPr>
              <w:fldChar w:fldCharType="end"/>
            </w:r>
          </w:hyperlink>
        </w:p>
        <w:p w14:paraId="5D21A321" w14:textId="2083E7ED" w:rsidR="00CA132B" w:rsidRDefault="00CA132B">
          <w:pPr>
            <w:pStyle w:val="Verzeichnis2"/>
            <w:tabs>
              <w:tab w:val="right" w:leader="dot" w:pos="9396"/>
            </w:tabs>
            <w:rPr>
              <w:noProof/>
            </w:rPr>
          </w:pPr>
          <w:hyperlink w:anchor="_Toc243681373" w:history="1">
            <w:r w:rsidRPr="00EB2153">
              <w:rPr>
                <w:rStyle w:val="Hyperlink"/>
                <w:noProof/>
              </w:rPr>
              <w:t>E.2 2. Datenprüfung, Schlüssel und Typologisierung</w:t>
            </w:r>
            <w:r>
              <w:rPr>
                <w:noProof/>
                <w:webHidden/>
              </w:rPr>
              <w:tab/>
            </w:r>
            <w:r>
              <w:rPr>
                <w:noProof/>
                <w:webHidden/>
              </w:rPr>
              <w:fldChar w:fldCharType="begin"/>
            </w:r>
            <w:r>
              <w:rPr>
                <w:noProof/>
                <w:webHidden/>
              </w:rPr>
              <w:instrText xml:space="preserve"> PAGEREF _Toc243681373 \h </w:instrText>
            </w:r>
            <w:r>
              <w:rPr>
                <w:noProof/>
                <w:webHidden/>
              </w:rPr>
            </w:r>
            <w:r>
              <w:rPr>
                <w:noProof/>
                <w:webHidden/>
              </w:rPr>
              <w:fldChar w:fldCharType="separate"/>
            </w:r>
            <w:r>
              <w:rPr>
                <w:noProof/>
                <w:webHidden/>
              </w:rPr>
              <w:t>139</w:t>
            </w:r>
            <w:r>
              <w:rPr>
                <w:noProof/>
                <w:webHidden/>
              </w:rPr>
              <w:fldChar w:fldCharType="end"/>
            </w:r>
          </w:hyperlink>
        </w:p>
        <w:p w14:paraId="6E7C1615" w14:textId="67BAFE40" w:rsidR="00CA132B" w:rsidRDefault="00CA132B">
          <w:pPr>
            <w:pStyle w:val="Verzeichnis2"/>
            <w:tabs>
              <w:tab w:val="right" w:leader="dot" w:pos="9396"/>
            </w:tabs>
            <w:rPr>
              <w:noProof/>
            </w:rPr>
          </w:pPr>
          <w:hyperlink w:anchor="_Toc243681374" w:history="1">
            <w:r w:rsidRPr="00EB2153">
              <w:rPr>
                <w:rStyle w:val="Hyperlink"/>
                <w:noProof/>
              </w:rPr>
              <w:t>E.3 3. Flächenbilanz und Fortschreibung</w:t>
            </w:r>
            <w:r>
              <w:rPr>
                <w:noProof/>
                <w:webHidden/>
              </w:rPr>
              <w:tab/>
            </w:r>
            <w:r>
              <w:rPr>
                <w:noProof/>
                <w:webHidden/>
              </w:rPr>
              <w:fldChar w:fldCharType="begin"/>
            </w:r>
            <w:r>
              <w:rPr>
                <w:noProof/>
                <w:webHidden/>
              </w:rPr>
              <w:instrText xml:space="preserve"> PAGEREF _Toc243681374 \h </w:instrText>
            </w:r>
            <w:r>
              <w:rPr>
                <w:noProof/>
                <w:webHidden/>
              </w:rPr>
            </w:r>
            <w:r>
              <w:rPr>
                <w:noProof/>
                <w:webHidden/>
              </w:rPr>
              <w:fldChar w:fldCharType="separate"/>
            </w:r>
            <w:r>
              <w:rPr>
                <w:noProof/>
                <w:webHidden/>
              </w:rPr>
              <w:t>142</w:t>
            </w:r>
            <w:r>
              <w:rPr>
                <w:noProof/>
                <w:webHidden/>
              </w:rPr>
              <w:fldChar w:fldCharType="end"/>
            </w:r>
          </w:hyperlink>
        </w:p>
        <w:p w14:paraId="29680F74" w14:textId="4C5410FD" w:rsidR="00CA132B" w:rsidRDefault="00CA132B">
          <w:pPr>
            <w:pStyle w:val="Verzeichnis2"/>
            <w:tabs>
              <w:tab w:val="right" w:leader="dot" w:pos="9396"/>
            </w:tabs>
            <w:rPr>
              <w:noProof/>
            </w:rPr>
          </w:pPr>
          <w:hyperlink w:anchor="_Toc243681375" w:history="1">
            <w:r w:rsidRPr="00EB2153">
              <w:rPr>
                <w:rStyle w:val="Hyperlink"/>
                <w:noProof/>
              </w:rPr>
              <w:t>E.4 4. Strombedarf, Erzeugung und Stromsaldo</w:t>
            </w:r>
            <w:r>
              <w:rPr>
                <w:noProof/>
                <w:webHidden/>
              </w:rPr>
              <w:tab/>
            </w:r>
            <w:r>
              <w:rPr>
                <w:noProof/>
                <w:webHidden/>
              </w:rPr>
              <w:fldChar w:fldCharType="begin"/>
            </w:r>
            <w:r>
              <w:rPr>
                <w:noProof/>
                <w:webHidden/>
              </w:rPr>
              <w:instrText xml:space="preserve"> PAGEREF _Toc243681375 \h </w:instrText>
            </w:r>
            <w:r>
              <w:rPr>
                <w:noProof/>
                <w:webHidden/>
              </w:rPr>
            </w:r>
            <w:r>
              <w:rPr>
                <w:noProof/>
                <w:webHidden/>
              </w:rPr>
              <w:fldChar w:fldCharType="separate"/>
            </w:r>
            <w:r>
              <w:rPr>
                <w:noProof/>
                <w:webHidden/>
              </w:rPr>
              <w:t>144</w:t>
            </w:r>
            <w:r>
              <w:rPr>
                <w:noProof/>
                <w:webHidden/>
              </w:rPr>
              <w:fldChar w:fldCharType="end"/>
            </w:r>
          </w:hyperlink>
        </w:p>
        <w:p w14:paraId="1825974E" w14:textId="71E74F3B" w:rsidR="00CA132B" w:rsidRDefault="00CA132B">
          <w:pPr>
            <w:pStyle w:val="Verzeichnis3"/>
            <w:tabs>
              <w:tab w:val="right" w:leader="dot" w:pos="9396"/>
            </w:tabs>
            <w:rPr>
              <w:noProof/>
            </w:rPr>
          </w:pPr>
          <w:hyperlink w:anchor="_Toc243681376" w:history="1">
            <w:r w:rsidRPr="00EB2153">
              <w:rPr>
                <w:rStyle w:val="Hyperlink"/>
                <w:noProof/>
              </w:rPr>
              <w:t>E.4.1 Herkunft der PV-Erzeugung</w:t>
            </w:r>
            <w:r>
              <w:rPr>
                <w:noProof/>
                <w:webHidden/>
              </w:rPr>
              <w:tab/>
            </w:r>
            <w:r>
              <w:rPr>
                <w:noProof/>
                <w:webHidden/>
              </w:rPr>
              <w:fldChar w:fldCharType="begin"/>
            </w:r>
            <w:r>
              <w:rPr>
                <w:noProof/>
                <w:webHidden/>
              </w:rPr>
              <w:instrText xml:space="preserve"> PAGEREF _Toc243681376 \h </w:instrText>
            </w:r>
            <w:r>
              <w:rPr>
                <w:noProof/>
                <w:webHidden/>
              </w:rPr>
            </w:r>
            <w:r>
              <w:rPr>
                <w:noProof/>
                <w:webHidden/>
              </w:rPr>
              <w:fldChar w:fldCharType="separate"/>
            </w:r>
            <w:r>
              <w:rPr>
                <w:noProof/>
                <w:webHidden/>
              </w:rPr>
              <w:t>145</w:t>
            </w:r>
            <w:r>
              <w:rPr>
                <w:noProof/>
                <w:webHidden/>
              </w:rPr>
              <w:fldChar w:fldCharType="end"/>
            </w:r>
          </w:hyperlink>
        </w:p>
        <w:p w14:paraId="752A4DB8" w14:textId="54A96411" w:rsidR="00CA132B" w:rsidRDefault="00CA132B">
          <w:pPr>
            <w:pStyle w:val="Verzeichnis2"/>
            <w:tabs>
              <w:tab w:val="right" w:leader="dot" w:pos="9396"/>
            </w:tabs>
            <w:rPr>
              <w:noProof/>
            </w:rPr>
          </w:pPr>
          <w:hyperlink w:anchor="_Toc243681377" w:history="1">
            <w:r w:rsidRPr="00EB2153">
              <w:rPr>
                <w:rStyle w:val="Hyperlink"/>
                <w:noProof/>
              </w:rPr>
              <w:t>E.5 5. Endenergiebilanz nach Energieträgern und Anwendungen</w:t>
            </w:r>
            <w:r>
              <w:rPr>
                <w:noProof/>
                <w:webHidden/>
              </w:rPr>
              <w:tab/>
            </w:r>
            <w:r>
              <w:rPr>
                <w:noProof/>
                <w:webHidden/>
              </w:rPr>
              <w:fldChar w:fldCharType="begin"/>
            </w:r>
            <w:r>
              <w:rPr>
                <w:noProof/>
                <w:webHidden/>
              </w:rPr>
              <w:instrText xml:space="preserve"> PAGEREF _Toc243681377 \h </w:instrText>
            </w:r>
            <w:r>
              <w:rPr>
                <w:noProof/>
                <w:webHidden/>
              </w:rPr>
            </w:r>
            <w:r>
              <w:rPr>
                <w:noProof/>
                <w:webHidden/>
              </w:rPr>
              <w:fldChar w:fldCharType="separate"/>
            </w:r>
            <w:r>
              <w:rPr>
                <w:noProof/>
                <w:webHidden/>
              </w:rPr>
              <w:t>147</w:t>
            </w:r>
            <w:r>
              <w:rPr>
                <w:noProof/>
                <w:webHidden/>
              </w:rPr>
              <w:fldChar w:fldCharType="end"/>
            </w:r>
          </w:hyperlink>
        </w:p>
        <w:p w14:paraId="72F4897F" w14:textId="5B2A2DCF" w:rsidR="00CA132B" w:rsidRDefault="00CA132B">
          <w:pPr>
            <w:pStyle w:val="Verzeichnis2"/>
            <w:tabs>
              <w:tab w:val="right" w:leader="dot" w:pos="9396"/>
            </w:tabs>
            <w:rPr>
              <w:noProof/>
            </w:rPr>
          </w:pPr>
          <w:hyperlink w:anchor="_Toc243681378" w:history="1">
            <w:r w:rsidRPr="00EB2153">
              <w:rPr>
                <w:rStyle w:val="Hyperlink"/>
                <w:noProof/>
              </w:rPr>
              <w:t>E.6 6. Primärenergie: gelieferter Bewertungsstand</w:t>
            </w:r>
            <w:r>
              <w:rPr>
                <w:noProof/>
                <w:webHidden/>
              </w:rPr>
              <w:tab/>
            </w:r>
            <w:r>
              <w:rPr>
                <w:noProof/>
                <w:webHidden/>
              </w:rPr>
              <w:fldChar w:fldCharType="begin"/>
            </w:r>
            <w:r>
              <w:rPr>
                <w:noProof/>
                <w:webHidden/>
              </w:rPr>
              <w:instrText xml:space="preserve"> PAGEREF _Toc243681378 \h </w:instrText>
            </w:r>
            <w:r>
              <w:rPr>
                <w:noProof/>
                <w:webHidden/>
              </w:rPr>
            </w:r>
            <w:r>
              <w:rPr>
                <w:noProof/>
                <w:webHidden/>
              </w:rPr>
              <w:fldChar w:fldCharType="separate"/>
            </w:r>
            <w:r>
              <w:rPr>
                <w:noProof/>
                <w:webHidden/>
              </w:rPr>
              <w:t>149</w:t>
            </w:r>
            <w:r>
              <w:rPr>
                <w:noProof/>
                <w:webHidden/>
              </w:rPr>
              <w:fldChar w:fldCharType="end"/>
            </w:r>
          </w:hyperlink>
        </w:p>
        <w:p w14:paraId="2A4BBE81" w14:textId="468B9EFC" w:rsidR="00CA132B" w:rsidRDefault="00CA132B">
          <w:pPr>
            <w:pStyle w:val="Verzeichnis2"/>
            <w:tabs>
              <w:tab w:val="right" w:leader="dot" w:pos="9396"/>
            </w:tabs>
            <w:rPr>
              <w:noProof/>
            </w:rPr>
          </w:pPr>
          <w:hyperlink w:anchor="_Toc243681379" w:history="1">
            <w:r w:rsidRPr="00EB2153">
              <w:rPr>
                <w:rStyle w:val="Hyperlink"/>
                <w:noProof/>
              </w:rPr>
              <w:t>E.7 7. GFZ-Zuordnung, Flächengewichtung und Dichte-Erwartungswert</w:t>
            </w:r>
            <w:r>
              <w:rPr>
                <w:noProof/>
                <w:webHidden/>
              </w:rPr>
              <w:tab/>
            </w:r>
            <w:r>
              <w:rPr>
                <w:noProof/>
                <w:webHidden/>
              </w:rPr>
              <w:fldChar w:fldCharType="begin"/>
            </w:r>
            <w:r>
              <w:rPr>
                <w:noProof/>
                <w:webHidden/>
              </w:rPr>
              <w:instrText xml:space="preserve"> PAGEREF _Toc243681379 \h </w:instrText>
            </w:r>
            <w:r>
              <w:rPr>
                <w:noProof/>
                <w:webHidden/>
              </w:rPr>
            </w:r>
            <w:r>
              <w:rPr>
                <w:noProof/>
                <w:webHidden/>
              </w:rPr>
              <w:fldChar w:fldCharType="separate"/>
            </w:r>
            <w:r>
              <w:rPr>
                <w:noProof/>
                <w:webHidden/>
              </w:rPr>
              <w:t>150</w:t>
            </w:r>
            <w:r>
              <w:rPr>
                <w:noProof/>
                <w:webHidden/>
              </w:rPr>
              <w:fldChar w:fldCharType="end"/>
            </w:r>
          </w:hyperlink>
        </w:p>
        <w:p w14:paraId="36D82DF6" w14:textId="5A98AD0C" w:rsidR="00CA132B" w:rsidRDefault="00CA132B">
          <w:pPr>
            <w:pStyle w:val="Verzeichnis3"/>
            <w:tabs>
              <w:tab w:val="right" w:leader="dot" w:pos="9396"/>
            </w:tabs>
            <w:rPr>
              <w:noProof/>
            </w:rPr>
          </w:pPr>
          <w:hyperlink w:anchor="_Toc243681380" w:history="1">
            <w:r w:rsidRPr="00EB2153">
              <w:rPr>
                <w:rStyle w:val="Hyperlink"/>
                <w:noProof/>
              </w:rPr>
              <w:t>E.7.1 Was bedeutet der Erwartungswert?</w:t>
            </w:r>
            <w:r>
              <w:rPr>
                <w:noProof/>
                <w:webHidden/>
              </w:rPr>
              <w:tab/>
            </w:r>
            <w:r>
              <w:rPr>
                <w:noProof/>
                <w:webHidden/>
              </w:rPr>
              <w:fldChar w:fldCharType="begin"/>
            </w:r>
            <w:r>
              <w:rPr>
                <w:noProof/>
                <w:webHidden/>
              </w:rPr>
              <w:instrText xml:space="preserve"> PAGEREF _Toc243681380 \h </w:instrText>
            </w:r>
            <w:r>
              <w:rPr>
                <w:noProof/>
                <w:webHidden/>
              </w:rPr>
            </w:r>
            <w:r>
              <w:rPr>
                <w:noProof/>
                <w:webHidden/>
              </w:rPr>
              <w:fldChar w:fldCharType="separate"/>
            </w:r>
            <w:r>
              <w:rPr>
                <w:noProof/>
                <w:webHidden/>
              </w:rPr>
              <w:t>151</w:t>
            </w:r>
            <w:r>
              <w:rPr>
                <w:noProof/>
                <w:webHidden/>
              </w:rPr>
              <w:fldChar w:fldCharType="end"/>
            </w:r>
          </w:hyperlink>
        </w:p>
        <w:p w14:paraId="1E67FAB4" w14:textId="0AD6FFDB" w:rsidR="00CA132B" w:rsidRDefault="00CA132B">
          <w:pPr>
            <w:pStyle w:val="Verzeichnis3"/>
            <w:tabs>
              <w:tab w:val="right" w:leader="dot" w:pos="9396"/>
            </w:tabs>
            <w:rPr>
              <w:noProof/>
            </w:rPr>
          </w:pPr>
          <w:hyperlink w:anchor="_Toc243681381" w:history="1">
            <w:r w:rsidRPr="00EB2153">
              <w:rPr>
                <w:rStyle w:val="Hyperlink"/>
                <w:noProof/>
              </w:rPr>
              <w:t>E.7.2 Anwendung im Vergleichsfall</w:t>
            </w:r>
            <w:r>
              <w:rPr>
                <w:noProof/>
                <w:webHidden/>
              </w:rPr>
              <w:tab/>
            </w:r>
            <w:r>
              <w:rPr>
                <w:noProof/>
                <w:webHidden/>
              </w:rPr>
              <w:fldChar w:fldCharType="begin"/>
            </w:r>
            <w:r>
              <w:rPr>
                <w:noProof/>
                <w:webHidden/>
              </w:rPr>
              <w:instrText xml:space="preserve"> PAGEREF _Toc243681381 \h </w:instrText>
            </w:r>
            <w:r>
              <w:rPr>
                <w:noProof/>
                <w:webHidden/>
              </w:rPr>
            </w:r>
            <w:r>
              <w:rPr>
                <w:noProof/>
                <w:webHidden/>
              </w:rPr>
              <w:fldChar w:fldCharType="separate"/>
            </w:r>
            <w:r>
              <w:rPr>
                <w:noProof/>
                <w:webHidden/>
              </w:rPr>
              <w:t>152</w:t>
            </w:r>
            <w:r>
              <w:rPr>
                <w:noProof/>
                <w:webHidden/>
              </w:rPr>
              <w:fldChar w:fldCharType="end"/>
            </w:r>
          </w:hyperlink>
        </w:p>
        <w:p w14:paraId="1609980C" w14:textId="3A04F757" w:rsidR="00CA132B" w:rsidRDefault="00CA132B">
          <w:pPr>
            <w:pStyle w:val="Verzeichnis2"/>
            <w:tabs>
              <w:tab w:val="right" w:leader="dot" w:pos="9396"/>
            </w:tabs>
            <w:rPr>
              <w:noProof/>
            </w:rPr>
          </w:pPr>
          <w:hyperlink w:anchor="_Toc243681382" w:history="1">
            <w:r w:rsidRPr="00EB2153">
              <w:rPr>
                <w:rStyle w:val="Hyperlink"/>
                <w:noProof/>
              </w:rPr>
              <w:t>E.8 8. Abgleich mit der sektoralen Allokation und Grenzen</w:t>
            </w:r>
            <w:r>
              <w:rPr>
                <w:noProof/>
                <w:webHidden/>
              </w:rPr>
              <w:tab/>
            </w:r>
            <w:r>
              <w:rPr>
                <w:noProof/>
                <w:webHidden/>
              </w:rPr>
              <w:fldChar w:fldCharType="begin"/>
            </w:r>
            <w:r>
              <w:rPr>
                <w:noProof/>
                <w:webHidden/>
              </w:rPr>
              <w:instrText xml:space="preserve"> PAGEREF _Toc243681382 \h </w:instrText>
            </w:r>
            <w:r>
              <w:rPr>
                <w:noProof/>
                <w:webHidden/>
              </w:rPr>
            </w:r>
            <w:r>
              <w:rPr>
                <w:noProof/>
                <w:webHidden/>
              </w:rPr>
              <w:fldChar w:fldCharType="separate"/>
            </w:r>
            <w:r>
              <w:rPr>
                <w:noProof/>
                <w:webHidden/>
              </w:rPr>
              <w:t>155</w:t>
            </w:r>
            <w:r>
              <w:rPr>
                <w:noProof/>
                <w:webHidden/>
              </w:rPr>
              <w:fldChar w:fldCharType="end"/>
            </w:r>
          </w:hyperlink>
        </w:p>
        <w:p w14:paraId="091AB0DF" w14:textId="4A6764E2" w:rsidR="00CA132B" w:rsidRDefault="00CA132B">
          <w:pPr>
            <w:pStyle w:val="Verzeichnis2"/>
            <w:tabs>
              <w:tab w:val="right" w:leader="dot" w:pos="9396"/>
            </w:tabs>
            <w:rPr>
              <w:noProof/>
            </w:rPr>
          </w:pPr>
          <w:hyperlink w:anchor="_Toc243681383" w:history="1">
            <w:r w:rsidRPr="00EB2153">
              <w:rPr>
                <w:rStyle w:val="Hyperlink"/>
                <w:noProof/>
              </w:rPr>
              <w:t>E.9 9. Ergebnisexport und Bilanzkontrollen</w:t>
            </w:r>
            <w:r>
              <w:rPr>
                <w:noProof/>
                <w:webHidden/>
              </w:rPr>
              <w:tab/>
            </w:r>
            <w:r>
              <w:rPr>
                <w:noProof/>
                <w:webHidden/>
              </w:rPr>
              <w:fldChar w:fldCharType="begin"/>
            </w:r>
            <w:r>
              <w:rPr>
                <w:noProof/>
                <w:webHidden/>
              </w:rPr>
              <w:instrText xml:space="preserve"> PAGEREF _Toc243681383 \h </w:instrText>
            </w:r>
            <w:r>
              <w:rPr>
                <w:noProof/>
                <w:webHidden/>
              </w:rPr>
            </w:r>
            <w:r>
              <w:rPr>
                <w:noProof/>
                <w:webHidden/>
              </w:rPr>
              <w:fldChar w:fldCharType="separate"/>
            </w:r>
            <w:r>
              <w:rPr>
                <w:noProof/>
                <w:webHidden/>
              </w:rPr>
              <w:t>157</w:t>
            </w:r>
            <w:r>
              <w:rPr>
                <w:noProof/>
                <w:webHidden/>
              </w:rPr>
              <w:fldChar w:fldCharType="end"/>
            </w:r>
          </w:hyperlink>
        </w:p>
        <w:p w14:paraId="60000A71" w14:textId="44F07E42" w:rsidR="00CA132B" w:rsidRDefault="00CA132B">
          <w:pPr>
            <w:pStyle w:val="Verzeichnis1"/>
            <w:tabs>
              <w:tab w:val="right" w:leader="dot" w:pos="9396"/>
            </w:tabs>
            <w:rPr>
              <w:noProof/>
            </w:rPr>
          </w:pPr>
          <w:hyperlink w:anchor="_Toc243681384" w:history="1">
            <w:r w:rsidRPr="00EB2153">
              <w:rPr>
                <w:rStyle w:val="Hyperlink"/>
                <w:noProof/>
              </w:rPr>
              <w:t>Appendix F — Annahmen der Quartiersbilanzierung</w:t>
            </w:r>
            <w:r>
              <w:rPr>
                <w:noProof/>
                <w:webHidden/>
              </w:rPr>
              <w:tab/>
            </w:r>
            <w:r>
              <w:rPr>
                <w:noProof/>
                <w:webHidden/>
              </w:rPr>
              <w:fldChar w:fldCharType="begin"/>
            </w:r>
            <w:r>
              <w:rPr>
                <w:noProof/>
                <w:webHidden/>
              </w:rPr>
              <w:instrText xml:space="preserve"> PAGEREF _Toc243681384 \h </w:instrText>
            </w:r>
            <w:r>
              <w:rPr>
                <w:noProof/>
                <w:webHidden/>
              </w:rPr>
            </w:r>
            <w:r>
              <w:rPr>
                <w:noProof/>
                <w:webHidden/>
              </w:rPr>
              <w:fldChar w:fldCharType="separate"/>
            </w:r>
            <w:r>
              <w:rPr>
                <w:noProof/>
                <w:webHidden/>
              </w:rPr>
              <w:t>159</w:t>
            </w:r>
            <w:r>
              <w:rPr>
                <w:noProof/>
                <w:webHidden/>
              </w:rPr>
              <w:fldChar w:fldCharType="end"/>
            </w:r>
          </w:hyperlink>
        </w:p>
        <w:p w14:paraId="7C9D6A10" w14:textId="0421A5E9" w:rsidR="00CA132B" w:rsidRDefault="00CA132B">
          <w:pPr>
            <w:pStyle w:val="Verzeichnis2"/>
            <w:tabs>
              <w:tab w:val="right" w:leader="dot" w:pos="9396"/>
            </w:tabs>
            <w:rPr>
              <w:noProof/>
            </w:rPr>
          </w:pPr>
          <w:hyperlink w:anchor="_Toc243681385" w:history="1">
            <w:r w:rsidRPr="00EB2153">
              <w:rPr>
                <w:rStyle w:val="Hyperlink"/>
                <w:noProof/>
              </w:rPr>
              <w:t>F.1 Nutzerstrom und Warmwasserwärmebedarf</w:t>
            </w:r>
            <w:r>
              <w:rPr>
                <w:noProof/>
                <w:webHidden/>
              </w:rPr>
              <w:tab/>
            </w:r>
            <w:r>
              <w:rPr>
                <w:noProof/>
                <w:webHidden/>
              </w:rPr>
              <w:fldChar w:fldCharType="begin"/>
            </w:r>
            <w:r>
              <w:rPr>
                <w:noProof/>
                <w:webHidden/>
              </w:rPr>
              <w:instrText xml:space="preserve"> PAGEREF _Toc243681385 \h </w:instrText>
            </w:r>
            <w:r>
              <w:rPr>
                <w:noProof/>
                <w:webHidden/>
              </w:rPr>
            </w:r>
            <w:r>
              <w:rPr>
                <w:noProof/>
                <w:webHidden/>
              </w:rPr>
              <w:fldChar w:fldCharType="separate"/>
            </w:r>
            <w:r>
              <w:rPr>
                <w:noProof/>
                <w:webHidden/>
              </w:rPr>
              <w:t>160</w:t>
            </w:r>
            <w:r>
              <w:rPr>
                <w:noProof/>
                <w:webHidden/>
              </w:rPr>
              <w:fldChar w:fldCharType="end"/>
            </w:r>
          </w:hyperlink>
        </w:p>
        <w:p w14:paraId="3DFADFEC" w14:textId="3BE83720" w:rsidR="00CA132B" w:rsidRDefault="00CA132B">
          <w:pPr>
            <w:pStyle w:val="Verzeichnis2"/>
            <w:tabs>
              <w:tab w:val="right" w:leader="dot" w:pos="9396"/>
            </w:tabs>
            <w:rPr>
              <w:noProof/>
            </w:rPr>
          </w:pPr>
          <w:hyperlink w:anchor="_Toc243681386" w:history="1">
            <w:r w:rsidRPr="00EB2153">
              <w:rPr>
                <w:rStyle w:val="Hyperlink"/>
                <w:noProof/>
              </w:rPr>
              <w:t>F.2 Allgemeinstrom, Beleuchtung und innere Wärmegewinne</w:t>
            </w:r>
            <w:r>
              <w:rPr>
                <w:noProof/>
                <w:webHidden/>
              </w:rPr>
              <w:tab/>
            </w:r>
            <w:r>
              <w:rPr>
                <w:noProof/>
                <w:webHidden/>
              </w:rPr>
              <w:fldChar w:fldCharType="begin"/>
            </w:r>
            <w:r>
              <w:rPr>
                <w:noProof/>
                <w:webHidden/>
              </w:rPr>
              <w:instrText xml:space="preserve"> PAGEREF _Toc243681386 \h </w:instrText>
            </w:r>
            <w:r>
              <w:rPr>
                <w:noProof/>
                <w:webHidden/>
              </w:rPr>
            </w:r>
            <w:r>
              <w:rPr>
                <w:noProof/>
                <w:webHidden/>
              </w:rPr>
              <w:fldChar w:fldCharType="separate"/>
            </w:r>
            <w:r>
              <w:rPr>
                <w:noProof/>
                <w:webHidden/>
              </w:rPr>
              <w:t>161</w:t>
            </w:r>
            <w:r>
              <w:rPr>
                <w:noProof/>
                <w:webHidden/>
              </w:rPr>
              <w:fldChar w:fldCharType="end"/>
            </w:r>
          </w:hyperlink>
        </w:p>
        <w:p w14:paraId="5C6D412A" w14:textId="11A34A87" w:rsidR="00CA132B" w:rsidRDefault="00CA132B">
          <w:pPr>
            <w:pStyle w:val="Verzeichnis2"/>
            <w:tabs>
              <w:tab w:val="right" w:leader="dot" w:pos="9396"/>
            </w:tabs>
            <w:rPr>
              <w:noProof/>
            </w:rPr>
          </w:pPr>
          <w:hyperlink w:anchor="_Toc243681387" w:history="1">
            <w:r w:rsidRPr="00EB2153">
              <w:rPr>
                <w:rStyle w:val="Hyperlink"/>
                <w:noProof/>
              </w:rPr>
              <w:t>F.3 Belegung, Komfort und thermische Randbedingungen</w:t>
            </w:r>
            <w:r>
              <w:rPr>
                <w:noProof/>
                <w:webHidden/>
              </w:rPr>
              <w:tab/>
            </w:r>
            <w:r>
              <w:rPr>
                <w:noProof/>
                <w:webHidden/>
              </w:rPr>
              <w:fldChar w:fldCharType="begin"/>
            </w:r>
            <w:r>
              <w:rPr>
                <w:noProof/>
                <w:webHidden/>
              </w:rPr>
              <w:instrText xml:space="preserve"> PAGEREF _Toc243681387 \h </w:instrText>
            </w:r>
            <w:r>
              <w:rPr>
                <w:noProof/>
                <w:webHidden/>
              </w:rPr>
            </w:r>
            <w:r>
              <w:rPr>
                <w:noProof/>
                <w:webHidden/>
              </w:rPr>
              <w:fldChar w:fldCharType="separate"/>
            </w:r>
            <w:r>
              <w:rPr>
                <w:noProof/>
                <w:webHidden/>
              </w:rPr>
              <w:t>162</w:t>
            </w:r>
            <w:r>
              <w:rPr>
                <w:noProof/>
                <w:webHidden/>
              </w:rPr>
              <w:fldChar w:fldCharType="end"/>
            </w:r>
          </w:hyperlink>
        </w:p>
        <w:p w14:paraId="6669DFB1" w14:textId="763C903E" w:rsidR="00CA132B" w:rsidRDefault="00CA132B">
          <w:pPr>
            <w:pStyle w:val="Verzeichnis2"/>
            <w:tabs>
              <w:tab w:val="right" w:leader="dot" w:pos="9396"/>
            </w:tabs>
            <w:rPr>
              <w:noProof/>
            </w:rPr>
          </w:pPr>
          <w:hyperlink w:anchor="_Toc243681388" w:history="1">
            <w:r w:rsidRPr="00EB2153">
              <w:rPr>
                <w:rStyle w:val="Hyperlink"/>
                <w:noProof/>
              </w:rPr>
              <w:t>F.4 Mobilitätsannahmen</w:t>
            </w:r>
            <w:r>
              <w:rPr>
                <w:noProof/>
                <w:webHidden/>
              </w:rPr>
              <w:tab/>
            </w:r>
            <w:r>
              <w:rPr>
                <w:noProof/>
                <w:webHidden/>
              </w:rPr>
              <w:fldChar w:fldCharType="begin"/>
            </w:r>
            <w:r>
              <w:rPr>
                <w:noProof/>
                <w:webHidden/>
              </w:rPr>
              <w:instrText xml:space="preserve"> PAGEREF _Toc243681388 \h </w:instrText>
            </w:r>
            <w:r>
              <w:rPr>
                <w:noProof/>
                <w:webHidden/>
              </w:rPr>
            </w:r>
            <w:r>
              <w:rPr>
                <w:noProof/>
                <w:webHidden/>
              </w:rPr>
              <w:fldChar w:fldCharType="separate"/>
            </w:r>
            <w:r>
              <w:rPr>
                <w:noProof/>
                <w:webHidden/>
              </w:rPr>
              <w:t>163</w:t>
            </w:r>
            <w:r>
              <w:rPr>
                <w:noProof/>
                <w:webHidden/>
              </w:rPr>
              <w:fldChar w:fldCharType="end"/>
            </w:r>
          </w:hyperlink>
        </w:p>
        <w:p w14:paraId="06B777AD" w14:textId="3E4595DE" w:rsidR="00CA132B" w:rsidRDefault="00CA132B">
          <w:pPr>
            <w:pStyle w:val="Verzeichnis2"/>
            <w:tabs>
              <w:tab w:val="right" w:leader="dot" w:pos="9396"/>
            </w:tabs>
            <w:rPr>
              <w:noProof/>
            </w:rPr>
          </w:pPr>
          <w:hyperlink w:anchor="_Toc243681389" w:history="1">
            <w:r w:rsidRPr="00EB2153">
              <w:rPr>
                <w:rStyle w:val="Hyperlink"/>
                <w:noProof/>
              </w:rPr>
              <w:t>F.5 Klima, Energiesignale und Bewertung</w:t>
            </w:r>
            <w:r>
              <w:rPr>
                <w:noProof/>
                <w:webHidden/>
              </w:rPr>
              <w:tab/>
            </w:r>
            <w:r>
              <w:rPr>
                <w:noProof/>
                <w:webHidden/>
              </w:rPr>
              <w:fldChar w:fldCharType="begin"/>
            </w:r>
            <w:r>
              <w:rPr>
                <w:noProof/>
                <w:webHidden/>
              </w:rPr>
              <w:instrText xml:space="preserve"> PAGEREF _Toc243681389 \h </w:instrText>
            </w:r>
            <w:r>
              <w:rPr>
                <w:noProof/>
                <w:webHidden/>
              </w:rPr>
            </w:r>
            <w:r>
              <w:rPr>
                <w:noProof/>
                <w:webHidden/>
              </w:rPr>
              <w:fldChar w:fldCharType="separate"/>
            </w:r>
            <w:r>
              <w:rPr>
                <w:noProof/>
                <w:webHidden/>
              </w:rPr>
              <w:t>164</w:t>
            </w:r>
            <w:r>
              <w:rPr>
                <w:noProof/>
                <w:webHidden/>
              </w:rPr>
              <w:fldChar w:fldCharType="end"/>
            </w:r>
          </w:hyperlink>
        </w:p>
        <w:p w14:paraId="4776CA51" w14:textId="41F49036" w:rsidR="00CA132B" w:rsidRDefault="00CA132B">
          <w:pPr>
            <w:pStyle w:val="Verzeichnis2"/>
            <w:tabs>
              <w:tab w:val="right" w:leader="dot" w:pos="9396"/>
            </w:tabs>
            <w:rPr>
              <w:noProof/>
            </w:rPr>
          </w:pPr>
          <w:hyperlink w:anchor="_Toc243681390" w:history="1">
            <w:r w:rsidRPr="00EB2153">
              <w:rPr>
                <w:rStyle w:val="Hyperlink"/>
                <w:noProof/>
              </w:rPr>
              <w:t>F.6 Projektspezifische Technik und Lebenszyklus</w:t>
            </w:r>
            <w:r>
              <w:rPr>
                <w:noProof/>
                <w:webHidden/>
              </w:rPr>
              <w:tab/>
            </w:r>
            <w:r>
              <w:rPr>
                <w:noProof/>
                <w:webHidden/>
              </w:rPr>
              <w:fldChar w:fldCharType="begin"/>
            </w:r>
            <w:r>
              <w:rPr>
                <w:noProof/>
                <w:webHidden/>
              </w:rPr>
              <w:instrText xml:space="preserve"> PAGEREF _Toc243681390 \h </w:instrText>
            </w:r>
            <w:r>
              <w:rPr>
                <w:noProof/>
                <w:webHidden/>
              </w:rPr>
            </w:r>
            <w:r>
              <w:rPr>
                <w:noProof/>
                <w:webHidden/>
              </w:rPr>
              <w:fldChar w:fldCharType="separate"/>
            </w:r>
            <w:r>
              <w:rPr>
                <w:noProof/>
                <w:webHidden/>
              </w:rPr>
              <w:t>165</w:t>
            </w:r>
            <w:r>
              <w:rPr>
                <w:noProof/>
                <w:webHidden/>
              </w:rPr>
              <w:fldChar w:fldCharType="end"/>
            </w:r>
          </w:hyperlink>
        </w:p>
        <w:p w14:paraId="333C4E2F" w14:textId="5561D0D6" w:rsidR="00CA132B" w:rsidRDefault="00CA132B">
          <w:pPr>
            <w:pStyle w:val="Verzeichnis1"/>
            <w:tabs>
              <w:tab w:val="right" w:leader="dot" w:pos="9396"/>
            </w:tabs>
            <w:rPr>
              <w:noProof/>
            </w:rPr>
          </w:pPr>
          <w:hyperlink w:anchor="_Toc243681391" w:history="1">
            <w:r w:rsidRPr="00EB2153">
              <w:rPr>
                <w:rStyle w:val="Hyperlink"/>
                <w:noProof/>
              </w:rPr>
              <w:t>Appendix G — Internes Szenario- und Kalibrierungsdashboard</w:t>
            </w:r>
            <w:r>
              <w:rPr>
                <w:noProof/>
                <w:webHidden/>
              </w:rPr>
              <w:tab/>
            </w:r>
            <w:r>
              <w:rPr>
                <w:noProof/>
                <w:webHidden/>
              </w:rPr>
              <w:fldChar w:fldCharType="begin"/>
            </w:r>
            <w:r>
              <w:rPr>
                <w:noProof/>
                <w:webHidden/>
              </w:rPr>
              <w:instrText xml:space="preserve"> PAGEREF _Toc243681391 \h </w:instrText>
            </w:r>
            <w:r>
              <w:rPr>
                <w:noProof/>
                <w:webHidden/>
              </w:rPr>
            </w:r>
            <w:r>
              <w:rPr>
                <w:noProof/>
                <w:webHidden/>
              </w:rPr>
              <w:fldChar w:fldCharType="separate"/>
            </w:r>
            <w:r>
              <w:rPr>
                <w:noProof/>
                <w:webHidden/>
              </w:rPr>
              <w:t>166</w:t>
            </w:r>
            <w:r>
              <w:rPr>
                <w:noProof/>
                <w:webHidden/>
              </w:rPr>
              <w:fldChar w:fldCharType="end"/>
            </w:r>
          </w:hyperlink>
        </w:p>
        <w:p w14:paraId="2B9022DD" w14:textId="19DD44D3" w:rsidR="00CA132B" w:rsidRDefault="00CA132B">
          <w:pPr>
            <w:pStyle w:val="Verzeichnis1"/>
            <w:tabs>
              <w:tab w:val="right" w:leader="dot" w:pos="9396"/>
            </w:tabs>
            <w:rPr>
              <w:noProof/>
            </w:rPr>
          </w:pPr>
          <w:hyperlink w:anchor="_Toc243681392" w:history="1">
            <w:r w:rsidRPr="00EB2153">
              <w:rPr>
                <w:rStyle w:val="Hyperlink"/>
                <w:noProof/>
              </w:rPr>
              <w:t>Appendix G — Interner Arbeitsstand</w:t>
            </w:r>
            <w:r>
              <w:rPr>
                <w:noProof/>
                <w:webHidden/>
              </w:rPr>
              <w:tab/>
            </w:r>
            <w:r>
              <w:rPr>
                <w:noProof/>
                <w:webHidden/>
              </w:rPr>
              <w:fldChar w:fldCharType="begin"/>
            </w:r>
            <w:r>
              <w:rPr>
                <w:noProof/>
                <w:webHidden/>
              </w:rPr>
              <w:instrText xml:space="preserve"> PAGEREF _Toc243681392 \h </w:instrText>
            </w:r>
            <w:r>
              <w:rPr>
                <w:noProof/>
                <w:webHidden/>
              </w:rPr>
            </w:r>
            <w:r>
              <w:rPr>
                <w:noProof/>
                <w:webHidden/>
              </w:rPr>
              <w:fldChar w:fldCharType="separate"/>
            </w:r>
            <w:r>
              <w:rPr>
                <w:noProof/>
                <w:webHidden/>
              </w:rPr>
              <w:t>166</w:t>
            </w:r>
            <w:r>
              <w:rPr>
                <w:noProof/>
                <w:webHidden/>
              </w:rPr>
              <w:fldChar w:fldCharType="end"/>
            </w:r>
          </w:hyperlink>
        </w:p>
        <w:p w14:paraId="53963E31" w14:textId="750C48BC" w:rsidR="00CA132B" w:rsidRDefault="00CA132B">
          <w:pPr>
            <w:pStyle w:val="Verzeichnis2"/>
            <w:tabs>
              <w:tab w:val="right" w:leader="dot" w:pos="9396"/>
            </w:tabs>
            <w:rPr>
              <w:noProof/>
            </w:rPr>
          </w:pPr>
          <w:hyperlink w:anchor="_Toc243681393" w:history="1">
            <w:r w:rsidRPr="00EB2153">
              <w:rPr>
                <w:rStyle w:val="Hyperlink"/>
                <w:noProof/>
              </w:rPr>
              <w:t>G.1 Eingaben, Abdeckung und Herkunft</w:t>
            </w:r>
            <w:r>
              <w:rPr>
                <w:noProof/>
                <w:webHidden/>
              </w:rPr>
              <w:tab/>
            </w:r>
            <w:r>
              <w:rPr>
                <w:noProof/>
                <w:webHidden/>
              </w:rPr>
              <w:fldChar w:fldCharType="begin"/>
            </w:r>
            <w:r>
              <w:rPr>
                <w:noProof/>
                <w:webHidden/>
              </w:rPr>
              <w:instrText xml:space="preserve"> PAGEREF _Toc243681393 \h </w:instrText>
            </w:r>
            <w:r>
              <w:rPr>
                <w:noProof/>
                <w:webHidden/>
              </w:rPr>
            </w:r>
            <w:r>
              <w:rPr>
                <w:noProof/>
                <w:webHidden/>
              </w:rPr>
              <w:fldChar w:fldCharType="separate"/>
            </w:r>
            <w:r>
              <w:rPr>
                <w:noProof/>
                <w:webHidden/>
              </w:rPr>
              <w:t>167</w:t>
            </w:r>
            <w:r>
              <w:rPr>
                <w:noProof/>
                <w:webHidden/>
              </w:rPr>
              <w:fldChar w:fldCharType="end"/>
            </w:r>
          </w:hyperlink>
        </w:p>
        <w:p w14:paraId="45DCC9B3" w14:textId="42F9C063" w:rsidR="00CA132B" w:rsidRDefault="00CA132B">
          <w:pPr>
            <w:pStyle w:val="Verzeichnis2"/>
            <w:tabs>
              <w:tab w:val="right" w:leader="dot" w:pos="9396"/>
            </w:tabs>
            <w:rPr>
              <w:noProof/>
            </w:rPr>
          </w:pPr>
          <w:hyperlink w:anchor="_Toc243681394" w:history="1">
            <w:r w:rsidRPr="00EB2153">
              <w:rPr>
                <w:rStyle w:val="Hyperlink"/>
                <w:noProof/>
              </w:rPr>
              <w:t>G.2 Dichtezuordnung und Erwartungswert</w:t>
            </w:r>
            <w:r>
              <w:rPr>
                <w:noProof/>
                <w:webHidden/>
              </w:rPr>
              <w:tab/>
            </w:r>
            <w:r>
              <w:rPr>
                <w:noProof/>
                <w:webHidden/>
              </w:rPr>
              <w:fldChar w:fldCharType="begin"/>
            </w:r>
            <w:r>
              <w:rPr>
                <w:noProof/>
                <w:webHidden/>
              </w:rPr>
              <w:instrText xml:space="preserve"> PAGEREF _Toc243681394 \h </w:instrText>
            </w:r>
            <w:r>
              <w:rPr>
                <w:noProof/>
                <w:webHidden/>
              </w:rPr>
            </w:r>
            <w:r>
              <w:rPr>
                <w:noProof/>
                <w:webHidden/>
              </w:rPr>
              <w:fldChar w:fldCharType="separate"/>
            </w:r>
            <w:r>
              <w:rPr>
                <w:noProof/>
                <w:webHidden/>
              </w:rPr>
              <w:t>169</w:t>
            </w:r>
            <w:r>
              <w:rPr>
                <w:noProof/>
                <w:webHidden/>
              </w:rPr>
              <w:fldChar w:fldCharType="end"/>
            </w:r>
          </w:hyperlink>
        </w:p>
        <w:p w14:paraId="4232A115" w14:textId="471D99C0" w:rsidR="00CA132B" w:rsidRDefault="00CA132B">
          <w:pPr>
            <w:pStyle w:val="Verzeichnis2"/>
            <w:tabs>
              <w:tab w:val="right" w:leader="dot" w:pos="9396"/>
            </w:tabs>
            <w:rPr>
              <w:noProof/>
            </w:rPr>
          </w:pPr>
          <w:hyperlink w:anchor="_Toc243681395" w:history="1">
            <w:r w:rsidRPr="00EB2153">
              <w:rPr>
                <w:rStyle w:val="Hyperlink"/>
                <w:noProof/>
              </w:rPr>
              <w:t>G.3 Rechenmodell und Bilanzkontrollen</w:t>
            </w:r>
            <w:r>
              <w:rPr>
                <w:noProof/>
                <w:webHidden/>
              </w:rPr>
              <w:tab/>
            </w:r>
            <w:r>
              <w:rPr>
                <w:noProof/>
                <w:webHidden/>
              </w:rPr>
              <w:fldChar w:fldCharType="begin"/>
            </w:r>
            <w:r>
              <w:rPr>
                <w:noProof/>
                <w:webHidden/>
              </w:rPr>
              <w:instrText xml:space="preserve"> PAGEREF _Toc243681395 \h </w:instrText>
            </w:r>
            <w:r>
              <w:rPr>
                <w:noProof/>
                <w:webHidden/>
              </w:rPr>
            </w:r>
            <w:r>
              <w:rPr>
                <w:noProof/>
                <w:webHidden/>
              </w:rPr>
              <w:fldChar w:fldCharType="separate"/>
            </w:r>
            <w:r>
              <w:rPr>
                <w:noProof/>
                <w:webHidden/>
              </w:rPr>
              <w:t>171</w:t>
            </w:r>
            <w:r>
              <w:rPr>
                <w:noProof/>
                <w:webHidden/>
              </w:rPr>
              <w:fldChar w:fldCharType="end"/>
            </w:r>
          </w:hyperlink>
        </w:p>
        <w:p w14:paraId="2B5A804A" w14:textId="00BA8EC1" w:rsidR="00CA132B" w:rsidRDefault="00CA132B">
          <w:pPr>
            <w:pStyle w:val="Verzeichnis2"/>
            <w:tabs>
              <w:tab w:val="right" w:leader="dot" w:pos="9396"/>
            </w:tabs>
            <w:rPr>
              <w:noProof/>
            </w:rPr>
          </w:pPr>
          <w:hyperlink w:anchor="_Toc243681396" w:history="1">
            <w:r w:rsidRPr="00EB2153">
              <w:rPr>
                <w:rStyle w:val="Hyperlink"/>
                <w:noProof/>
              </w:rPr>
              <w:t>G.4 Dashboard: verändern, vergleichen, sichern</w:t>
            </w:r>
            <w:r>
              <w:rPr>
                <w:noProof/>
                <w:webHidden/>
              </w:rPr>
              <w:tab/>
            </w:r>
            <w:r>
              <w:rPr>
                <w:noProof/>
                <w:webHidden/>
              </w:rPr>
              <w:fldChar w:fldCharType="begin"/>
            </w:r>
            <w:r>
              <w:rPr>
                <w:noProof/>
                <w:webHidden/>
              </w:rPr>
              <w:instrText xml:space="preserve"> PAGEREF _Toc243681396 \h </w:instrText>
            </w:r>
            <w:r>
              <w:rPr>
                <w:noProof/>
                <w:webHidden/>
              </w:rPr>
            </w:r>
            <w:r>
              <w:rPr>
                <w:noProof/>
                <w:webHidden/>
              </w:rPr>
              <w:fldChar w:fldCharType="separate"/>
            </w:r>
            <w:r>
              <w:rPr>
                <w:noProof/>
                <w:webHidden/>
              </w:rPr>
              <w:t>172</w:t>
            </w:r>
            <w:r>
              <w:rPr>
                <w:noProof/>
                <w:webHidden/>
              </w:rPr>
              <w:fldChar w:fldCharType="end"/>
            </w:r>
          </w:hyperlink>
        </w:p>
        <w:p w14:paraId="49F872AB" w14:textId="673CC73E" w:rsidR="00CA132B" w:rsidRDefault="00CA132B">
          <w:pPr>
            <w:pStyle w:val="Verzeichnis1"/>
            <w:tabs>
              <w:tab w:val="right" w:leader="dot" w:pos="9396"/>
            </w:tabs>
            <w:rPr>
              <w:noProof/>
            </w:rPr>
          </w:pPr>
          <w:hyperlink w:anchor="_Toc243681397" w:history="1">
            <w:r w:rsidRPr="00EB2153">
              <w:rPr>
                <w:rStyle w:val="Hyperlink"/>
                <w:noProof/>
              </w:rPr>
              <w:t>Appendix H — Review der Methodik: Verständlichkeit und Gliederung</w:t>
            </w:r>
            <w:r>
              <w:rPr>
                <w:noProof/>
                <w:webHidden/>
              </w:rPr>
              <w:tab/>
            </w:r>
            <w:r>
              <w:rPr>
                <w:noProof/>
                <w:webHidden/>
              </w:rPr>
              <w:fldChar w:fldCharType="begin"/>
            </w:r>
            <w:r>
              <w:rPr>
                <w:noProof/>
                <w:webHidden/>
              </w:rPr>
              <w:instrText xml:space="preserve"> PAGEREF _Toc243681397 \h </w:instrText>
            </w:r>
            <w:r>
              <w:rPr>
                <w:noProof/>
                <w:webHidden/>
              </w:rPr>
            </w:r>
            <w:r>
              <w:rPr>
                <w:noProof/>
                <w:webHidden/>
              </w:rPr>
              <w:fldChar w:fldCharType="separate"/>
            </w:r>
            <w:r>
              <w:rPr>
                <w:noProof/>
                <w:webHidden/>
              </w:rPr>
              <w:t>173</w:t>
            </w:r>
            <w:r>
              <w:rPr>
                <w:noProof/>
                <w:webHidden/>
              </w:rPr>
              <w:fldChar w:fldCharType="end"/>
            </w:r>
          </w:hyperlink>
        </w:p>
        <w:p w14:paraId="5B53F784" w14:textId="229B3EED" w:rsidR="00CA132B" w:rsidRDefault="00CA132B">
          <w:pPr>
            <w:pStyle w:val="Verzeichnis2"/>
            <w:tabs>
              <w:tab w:val="right" w:leader="dot" w:pos="9396"/>
            </w:tabs>
            <w:rPr>
              <w:noProof/>
            </w:rPr>
          </w:pPr>
          <w:hyperlink w:anchor="_Toc243681398" w:history="1">
            <w:r w:rsidRPr="00EB2153">
              <w:rPr>
                <w:rStyle w:val="Hyperlink"/>
                <w:noProof/>
              </w:rPr>
              <w:t>H.1 Nummerierte Änderungen</w:t>
            </w:r>
            <w:r>
              <w:rPr>
                <w:noProof/>
                <w:webHidden/>
              </w:rPr>
              <w:tab/>
            </w:r>
            <w:r>
              <w:rPr>
                <w:noProof/>
                <w:webHidden/>
              </w:rPr>
              <w:fldChar w:fldCharType="begin"/>
            </w:r>
            <w:r>
              <w:rPr>
                <w:noProof/>
                <w:webHidden/>
              </w:rPr>
              <w:instrText xml:space="preserve"> PAGEREF _Toc243681398 \h </w:instrText>
            </w:r>
            <w:r>
              <w:rPr>
                <w:noProof/>
                <w:webHidden/>
              </w:rPr>
            </w:r>
            <w:r>
              <w:rPr>
                <w:noProof/>
                <w:webHidden/>
              </w:rPr>
              <w:fldChar w:fldCharType="separate"/>
            </w:r>
            <w:r>
              <w:rPr>
                <w:noProof/>
                <w:webHidden/>
              </w:rPr>
              <w:t>173</w:t>
            </w:r>
            <w:r>
              <w:rPr>
                <w:noProof/>
                <w:webHidden/>
              </w:rPr>
              <w:fldChar w:fldCharType="end"/>
            </w:r>
          </w:hyperlink>
        </w:p>
        <w:p w14:paraId="3F4B6449" w14:textId="30632C17" w:rsidR="00CA132B" w:rsidRDefault="00CA132B">
          <w:pPr>
            <w:pStyle w:val="Verzeichnis2"/>
            <w:tabs>
              <w:tab w:val="right" w:leader="dot" w:pos="9396"/>
            </w:tabs>
            <w:rPr>
              <w:noProof/>
            </w:rPr>
          </w:pPr>
          <w:hyperlink w:anchor="_Toc243681399" w:history="1">
            <w:r w:rsidRPr="00EB2153">
              <w:rPr>
                <w:rStyle w:val="Hyperlink"/>
                <w:noProof/>
              </w:rPr>
              <w:t>H.2 Wortlautvergleich der geänderten Kapitel</w:t>
            </w:r>
            <w:r>
              <w:rPr>
                <w:noProof/>
                <w:webHidden/>
              </w:rPr>
              <w:tab/>
            </w:r>
            <w:r>
              <w:rPr>
                <w:noProof/>
                <w:webHidden/>
              </w:rPr>
              <w:fldChar w:fldCharType="begin"/>
            </w:r>
            <w:r>
              <w:rPr>
                <w:noProof/>
                <w:webHidden/>
              </w:rPr>
              <w:instrText xml:space="preserve"> PAGEREF _Toc243681399 \h </w:instrText>
            </w:r>
            <w:r>
              <w:rPr>
                <w:noProof/>
                <w:webHidden/>
              </w:rPr>
            </w:r>
            <w:r>
              <w:rPr>
                <w:noProof/>
                <w:webHidden/>
              </w:rPr>
              <w:fldChar w:fldCharType="separate"/>
            </w:r>
            <w:r>
              <w:rPr>
                <w:noProof/>
                <w:webHidden/>
              </w:rPr>
              <w:t>175</w:t>
            </w:r>
            <w:r>
              <w:rPr>
                <w:noProof/>
                <w:webHidden/>
              </w:rPr>
              <w:fldChar w:fldCharType="end"/>
            </w:r>
          </w:hyperlink>
        </w:p>
        <w:p w14:paraId="4A531C7C" w14:textId="630F09F1" w:rsidR="00CA132B" w:rsidRDefault="00CA132B">
          <w:pPr>
            <w:pStyle w:val="Verzeichnis2"/>
            <w:tabs>
              <w:tab w:val="right" w:leader="dot" w:pos="9396"/>
            </w:tabs>
            <w:rPr>
              <w:noProof/>
            </w:rPr>
          </w:pPr>
          <w:hyperlink w:anchor="_Toc243681400" w:history="1">
            <w:r w:rsidRPr="00EB2153">
              <w:rPr>
                <w:rStyle w:val="Hyperlink"/>
                <w:noProof/>
              </w:rPr>
              <w:t>H.3 Nationale Elektrizitätsbilanz 2040</w:t>
            </w:r>
            <w:r>
              <w:rPr>
                <w:noProof/>
                <w:webHidden/>
              </w:rPr>
              <w:tab/>
            </w:r>
            <w:r>
              <w:rPr>
                <w:noProof/>
                <w:webHidden/>
              </w:rPr>
              <w:fldChar w:fldCharType="begin"/>
            </w:r>
            <w:r>
              <w:rPr>
                <w:noProof/>
                <w:webHidden/>
              </w:rPr>
              <w:instrText xml:space="preserve"> PAGEREF _Toc243681400 \h </w:instrText>
            </w:r>
            <w:r>
              <w:rPr>
                <w:noProof/>
                <w:webHidden/>
              </w:rPr>
            </w:r>
            <w:r>
              <w:rPr>
                <w:noProof/>
                <w:webHidden/>
              </w:rPr>
              <w:fldChar w:fldCharType="separate"/>
            </w:r>
            <w:r>
              <w:rPr>
                <w:noProof/>
                <w:webHidden/>
              </w:rPr>
              <w:t>178</w:t>
            </w:r>
            <w:r>
              <w:rPr>
                <w:noProof/>
                <w:webHidden/>
              </w:rPr>
              <w:fldChar w:fldCharType="end"/>
            </w:r>
          </w:hyperlink>
        </w:p>
        <w:p w14:paraId="7178A453" w14:textId="582AD830" w:rsidR="00CA132B" w:rsidRDefault="00CA132B">
          <w:pPr>
            <w:pStyle w:val="Verzeichnis2"/>
            <w:tabs>
              <w:tab w:val="right" w:leader="dot" w:pos="9396"/>
            </w:tabs>
            <w:rPr>
              <w:noProof/>
            </w:rPr>
          </w:pPr>
          <w:hyperlink w:anchor="_Toc243681401" w:history="1">
            <w:r w:rsidRPr="00EB2153">
              <w:rPr>
                <w:rStyle w:val="Hyperlink"/>
                <w:noProof/>
              </w:rPr>
              <w:t>H.4 Prüfumfang</w:t>
            </w:r>
            <w:r>
              <w:rPr>
                <w:noProof/>
                <w:webHidden/>
              </w:rPr>
              <w:tab/>
            </w:r>
            <w:r>
              <w:rPr>
                <w:noProof/>
                <w:webHidden/>
              </w:rPr>
              <w:fldChar w:fldCharType="begin"/>
            </w:r>
            <w:r>
              <w:rPr>
                <w:noProof/>
                <w:webHidden/>
              </w:rPr>
              <w:instrText xml:space="preserve"> PAGEREF _Toc243681401 \h </w:instrText>
            </w:r>
            <w:r>
              <w:rPr>
                <w:noProof/>
                <w:webHidden/>
              </w:rPr>
            </w:r>
            <w:r>
              <w:rPr>
                <w:noProof/>
                <w:webHidden/>
              </w:rPr>
              <w:fldChar w:fldCharType="separate"/>
            </w:r>
            <w:r>
              <w:rPr>
                <w:noProof/>
                <w:webHidden/>
              </w:rPr>
              <w:t>224</w:t>
            </w:r>
            <w:r>
              <w:rPr>
                <w:noProof/>
                <w:webHidden/>
              </w:rPr>
              <w:fldChar w:fldCharType="end"/>
            </w:r>
          </w:hyperlink>
        </w:p>
        <w:p w14:paraId="20AD3B45" w14:textId="3C44F7D8" w:rsidR="004E4CC2" w:rsidRDefault="00000000">
          <w:r>
            <w:fldChar w:fldCharType="end"/>
          </w:r>
        </w:p>
      </w:sdtContent>
    </w:sdt>
    <w:p w14:paraId="30C799FD" w14:textId="77777777" w:rsidR="004E4CC2" w:rsidRDefault="00000000">
      <w:pPr>
        <w:pStyle w:val="berschrift1"/>
      </w:pPr>
      <w:bookmarkStart w:id="0" w:name="kurzfassung"/>
      <w:bookmarkStart w:id="1" w:name="_Toc243681220"/>
      <w:r>
        <w:t>Kurzfassung</w:t>
      </w:r>
      <w:bookmarkEnd w:id="1"/>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528"/>
        <w:gridCol w:w="3873"/>
      </w:tblGrid>
      <w:tr w:rsidR="004E4CC2" w14:paraId="6A077CB1" w14:textId="77777777" w:rsidTr="004E4CC2">
        <w:trPr>
          <w:cantSplit/>
        </w:trPr>
        <w:tc>
          <w:tcPr>
            <w:tcW w:w="0" w:type="auto"/>
            <w:tcMar>
              <w:left w:w="144" w:type="dxa"/>
              <w:right w:w="144" w:type="dxa"/>
            </w:tcMar>
          </w:tcPr>
          <w:p w14:paraId="746B432B" w14:textId="77777777" w:rsidR="004E4CC2" w:rsidRDefault="00000000">
            <w:pPr>
              <w:pStyle w:val="FirstParagraph"/>
              <w:spacing w:before="0" w:after="8"/>
              <w:jc w:val="center"/>
            </w:pPr>
            <w:r>
              <w:rPr>
                <w:noProof/>
              </w:rPr>
              <w:drawing>
                <wp:inline distT="0" distB="0" distL="0" distR="0" wp14:anchorId="421B3DFF" wp14:editId="2A2648C3">
                  <wp:extent cx="152400" cy="1524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schneids\AppData\Local\Programs\Quarto\share\formats\docx\note.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1FCB4AB" w14:textId="77777777" w:rsidR="004E4CC2" w:rsidRDefault="004E4CC2">
            <w:pPr>
              <w:pStyle w:val="Textkrper"/>
              <w:spacing w:before="16" w:after="64"/>
            </w:pPr>
          </w:p>
          <w:p w14:paraId="66ABDB43" w14:textId="77777777" w:rsidR="004E4CC2" w:rsidRDefault="00000000">
            <w:pPr>
              <w:pStyle w:val="Textkrper"/>
              <w:spacing w:before="16" w:after="16"/>
            </w:pPr>
            <w:r>
              <w:t>Arbeitsfassung vom 19. Oktober 2026</w:t>
            </w:r>
          </w:p>
        </w:tc>
      </w:tr>
    </w:tbl>
    <w:p w14:paraId="3C478CF5" w14:textId="77777777" w:rsidR="004E4CC2" w:rsidRDefault="00000000">
      <w:pPr>
        <w:pStyle w:val="Textkrper"/>
      </w:pPr>
      <w:r>
        <w:rPr>
          <w:b/>
          <w:bCs/>
        </w:rPr>
        <w:t>Was heißt klimaneutral bauen – und wie viel ist genug?</w:t>
      </w:r>
    </w:p>
    <w:p w14:paraId="1FF77A1C" w14:textId="77777777" w:rsidR="004E4CC2" w:rsidRDefault="00000000">
      <w:pPr>
        <w:pStyle w:val="Textkrper"/>
      </w:pPr>
      <w:r>
        <w:t xml:space="preserve">Der klimaaktiv Standard für Plus-Energie-Quartiere übersetzt übergeordnete Energie- und Klimaziele in </w:t>
      </w:r>
      <w:r>
        <w:rPr>
          <w:b/>
          <w:bCs/>
        </w:rPr>
        <w:t>quantitative, überprüfbare Anforderungen an konkrete Bau- und Sanierungsvorhaben</w:t>
      </w:r>
      <w:r>
        <w:t>. Er berücksichtigt dabei nicht nur die Energieeffizienz der Gebäude, sondern auch erneuerbare Energieerzeugung, bauliche Dichte, Mobilität und Treibhausgasemissionen über den Lebenszyklus.</w:t>
      </w:r>
    </w:p>
    <w:p w14:paraId="7414353F" w14:textId="77777777" w:rsidR="004E4CC2" w:rsidRDefault="00000000">
      <w:pPr>
        <w:pStyle w:val="berschrift2"/>
      </w:pPr>
      <w:bookmarkStart w:id="2" w:name="was-wird-bewertet"/>
      <w:bookmarkStart w:id="3" w:name="_Toc243681221"/>
      <w:r>
        <w:lastRenderedPageBreak/>
        <w:t>Was wird bewertet?</w:t>
      </w:r>
      <w:bookmarkEnd w:id="3"/>
    </w:p>
    <w:p w14:paraId="464BB11D" w14:textId="77777777" w:rsidR="004E4CC2" w:rsidRDefault="00000000">
      <w:pPr>
        <w:pStyle w:val="FirstParagraph"/>
      </w:pPr>
      <w:r>
        <w:t xml:space="preserve">Der Standard verwendet zwei zentrale Bewertungsgrößen: eine </w:t>
      </w:r>
      <w:r>
        <w:rPr>
          <w:b/>
          <w:bCs/>
        </w:rPr>
        <w:t>zeitlich gewichtete Primärenergiebilanz</w:t>
      </w:r>
      <w:r>
        <w:t xml:space="preserve"> und ein </w:t>
      </w:r>
      <w:r>
        <w:rPr>
          <w:b/>
          <w:bCs/>
        </w:rPr>
        <w:t>kumuliertes Treibhausgasbudget</w:t>
      </w:r>
      <w:r>
        <w:t>. Daraus ergeben sich drei aufeinander aufbauende Qualitätsstufen:</w:t>
      </w:r>
    </w:p>
    <w:p w14:paraId="60D68FDB" w14:textId="77777777" w:rsidR="004E4CC2" w:rsidRDefault="00000000">
      <w:pPr>
        <w:pStyle w:val="Compact"/>
        <w:numPr>
          <w:ilvl w:val="0"/>
          <w:numId w:val="2"/>
        </w:numPr>
      </w:pPr>
      <w:r>
        <w:rPr>
          <w:b/>
          <w:bCs/>
        </w:rPr>
        <w:t>Plus-Energie-Quartier:</w:t>
      </w:r>
      <w:r>
        <w:t xml:space="preserve"> Positive Primärenergiebilanz im Gebäudebetrieb.</w:t>
      </w:r>
    </w:p>
    <w:p w14:paraId="2259BB19" w14:textId="77777777" w:rsidR="004E4CC2" w:rsidRDefault="00000000">
      <w:pPr>
        <w:pStyle w:val="Compact"/>
        <w:numPr>
          <w:ilvl w:val="0"/>
          <w:numId w:val="2"/>
        </w:numPr>
      </w:pPr>
      <w:r>
        <w:rPr>
          <w:b/>
          <w:bCs/>
        </w:rPr>
        <w:t>Plus-Energie-Quartier mit Mobilität:</w:t>
      </w:r>
      <w:r>
        <w:t xml:space="preserve"> Zusätzlich wird die motorisierte Individualmobilität berücksichtigt.</w:t>
      </w:r>
    </w:p>
    <w:p w14:paraId="676B6F31" w14:textId="77777777" w:rsidR="004E4CC2" w:rsidRDefault="00000000">
      <w:pPr>
        <w:pStyle w:val="Compact"/>
        <w:numPr>
          <w:ilvl w:val="0"/>
          <w:numId w:val="2"/>
        </w:numPr>
      </w:pPr>
      <w:r>
        <w:rPr>
          <w:b/>
          <w:bCs/>
        </w:rPr>
        <w:t>Klimaneutrales Plus-Energie-Quartier:</w:t>
      </w:r>
      <w:r>
        <w:t xml:space="preserve"> Zusätzlich wird ein Lebenszyklus-THG-Budget von </w:t>
      </w:r>
      <w:r>
        <w:rPr>
          <w:b/>
          <w:bCs/>
        </w:rPr>
        <w:t>320 kg CO₂e/m² BGF</w:t>
      </w:r>
      <w:r>
        <w:t xml:space="preserve"> eingehalten.</w:t>
      </w:r>
    </w:p>
    <w:p w14:paraId="1F95A516" w14:textId="77777777" w:rsidR="004E4CC2" w:rsidRDefault="00000000">
      <w:pPr>
        <w:pStyle w:val="FirstParagraph"/>
      </w:pPr>
      <w:r>
        <w:t xml:space="preserve">Die Bilanzierungsregeln werden in </w:t>
      </w:r>
      <w:hyperlink w:anchor="sec-bilanzregeln">
        <w:r>
          <w:rPr>
            <w:rStyle w:val="Hyperlink"/>
          </w:rPr>
          <w:t>Kapitel 11</w:t>
        </w:r>
      </w:hyperlink>
      <w:r>
        <w:t xml:space="preserve"> erläutert.</w:t>
      </w:r>
    </w:p>
    <w:p w14:paraId="4AEB0140" w14:textId="77777777" w:rsidR="004E4CC2" w:rsidRDefault="00000000">
      <w:pPr>
        <w:pStyle w:val="berschrift2"/>
      </w:pPr>
      <w:bookmarkStart w:id="4" w:name="wie-werden-die-anforderungen-hergeleitet"/>
      <w:bookmarkStart w:id="5" w:name="_Toc243681222"/>
      <w:bookmarkEnd w:id="2"/>
      <w:r>
        <w:t>Wie werden die Anforderungen hergeleitet?</w:t>
      </w:r>
      <w:bookmarkEnd w:id="5"/>
    </w:p>
    <w:p w14:paraId="349BE04C" w14:textId="77777777" w:rsidR="004E4CC2" w:rsidRDefault="00000000">
      <w:pPr>
        <w:pStyle w:val="FirstParagraph"/>
      </w:pPr>
      <w:r>
        <w:t>Der Bewertungsansatz verbindet zwei Perspektiven:</w:t>
      </w:r>
    </w:p>
    <w:p w14:paraId="5AF89A9A" w14:textId="77777777" w:rsidR="004E4CC2" w:rsidRDefault="00000000">
      <w:pPr>
        <w:pStyle w:val="Textkrper"/>
      </w:pPr>
      <w:r>
        <w:rPr>
          <w:b/>
          <w:bCs/>
        </w:rPr>
        <w:t>Top-down:</w:t>
      </w:r>
      <w:r>
        <w:t xml:space="preserve"> Nationale Energie- und Klimaziele werden auf Sektoren und Quartierstypologien übertragen. Die Methodik führt vom allgemeinen Prinzip über das sektorale Energiezielbild und die Kontextfaktoren bis zum THG-Budget und zur Quartiersbilanz (</w:t>
      </w:r>
      <w:hyperlink w:anchor="sec-methodik">
        <w:r>
          <w:rPr>
            <w:rStyle w:val="Hyperlink"/>
          </w:rPr>
          <w:t>Kapitel 3</w:t>
        </w:r>
      </w:hyperlink>
      <w:r>
        <w:t>).</w:t>
      </w:r>
    </w:p>
    <w:p w14:paraId="0E4FDB5E" w14:textId="77777777" w:rsidR="004E4CC2" w:rsidRDefault="00000000">
      <w:pPr>
        <w:pStyle w:val="Textkrper"/>
      </w:pPr>
      <w:r>
        <w:rPr>
          <w:b/>
          <w:bCs/>
        </w:rPr>
        <w:t>Bottom-up:</w:t>
      </w:r>
      <w:r>
        <w:t xml:space="preserve"> Gebäude, Energieversorgung, Mobilität und Lebenszyklusemissionen werden für das konkrete Quartier bilanziert. Eine stündliche Simulation berücksichtigt dabei insbesondere Photovoltaik, Speicher und Energieflexibilität.</w:t>
      </w:r>
    </w:p>
    <w:p w14:paraId="289F5B53" w14:textId="77777777" w:rsidR="004E4CC2" w:rsidRDefault="00000000">
      <w:pPr>
        <w:pStyle w:val="Textkrper"/>
      </w:pPr>
      <w:r>
        <w:rPr>
          <w:b/>
          <w:bCs/>
        </w:rPr>
        <w:t>Kontextfaktoren</w:t>
      </w:r>
      <w:r>
        <w:t xml:space="preserve"> für Dichte, Mobilität und Sanierung ermöglichen eine differenzierte Verteilung der Anforderungen. Ihre Gutschriften und Lastschriften verändern den Bewertungsmaßstab, nicht die tatsächlichen Energieflüsse (</w:t>
      </w:r>
      <w:hyperlink w:anchor="sec-kontext">
        <w:r>
          <w:rPr>
            <w:rStyle w:val="Hyperlink"/>
          </w:rPr>
          <w:t>Kapitel 3.2</w:t>
        </w:r>
      </w:hyperlink>
      <w:r>
        <w:t>).</w:t>
      </w:r>
    </w:p>
    <w:p w14:paraId="047F3F25" w14:textId="77777777" w:rsidR="004E4CC2" w:rsidRDefault="00000000">
      <w:pPr>
        <w:pStyle w:val="berschrift2"/>
      </w:pPr>
      <w:bookmarkStart w:id="6" w:name="Xa1956e2c242c913c70983120810b98f1a77b3fa"/>
      <w:bookmarkStart w:id="7" w:name="_Toc243681223"/>
      <w:bookmarkEnd w:id="4"/>
      <w:r>
        <w:t>Anwendung und wissenschaftliche Grundlage</w:t>
      </w:r>
      <w:bookmarkEnd w:id="7"/>
    </w:p>
    <w:p w14:paraId="20A62691" w14:textId="77777777" w:rsidR="004E4CC2" w:rsidRDefault="00000000">
      <w:pPr>
        <w:pStyle w:val="FirstParagraph"/>
      </w:pPr>
      <w:r>
        <w:t xml:space="preserve">Das </w:t>
      </w:r>
      <w:hyperlink r:id="rId6">
        <w:r>
          <w:rPr>
            <w:rStyle w:val="Hyperlink"/>
          </w:rPr>
          <w:t>PEExcel-Nachweistool</w:t>
        </w:r>
      </w:hyperlink>
      <w:r>
        <w:t xml:space="preserve"> ermöglicht die strukturierte Nachweisführung (</w:t>
      </w:r>
      <w:hyperlink w:anchor="sec-anwendung">
        <w:r>
          <w:rPr>
            <w:rStyle w:val="Hyperlink"/>
          </w:rPr>
          <w:t>Kapitel 13</w:t>
        </w:r>
      </w:hyperlink>
      <w:r>
        <w:t>).</w:t>
      </w:r>
    </w:p>
    <w:p w14:paraId="21223E07" w14:textId="77777777" w:rsidR="004E4CC2" w:rsidRDefault="00000000">
      <w:pPr>
        <w:pStyle w:val="Textkrper"/>
      </w:pPr>
      <w:r>
        <w:t xml:space="preserve">Die Methodik beruht auf wissenschaftlichen Arbeiten zur quantitativen Definition und Bewertung von Plus-Energie-Quartieren (Schneider 2026; Schneider u. a. 2023, 2025). Da die Zielwerte von nationalen Energie- und Klimaszenarien abhängen, ist ihre </w:t>
      </w:r>
      <w:r>
        <w:rPr>
          <w:b/>
          <w:bCs/>
        </w:rPr>
        <w:t>dokumentierte Fortschreibung</w:t>
      </w:r>
      <w:r>
        <w:t xml:space="preserve"> Bestandteil des methodischen Ansatzes.</w:t>
      </w:r>
    </w:p>
    <w:p w14:paraId="39B2529B" w14:textId="77777777" w:rsidR="004E4CC2" w:rsidRDefault="00000000">
      <w:pPr>
        <w:pStyle w:val="Textkrper"/>
      </w:pPr>
      <w:r>
        <w:t xml:space="preserve">Dieser Hintergrundbericht legt die Herleitungen, Annahmen und Grenzen des Standards offen. Eine kompakte Einführung für Interessierte bietet die klimaaktiv-Broschüre (Schneider u. a. 2026); Angaben zum Bericht und seinem Geltungsbereich finden sich </w:t>
      </w:r>
      <w:hyperlink r:id="rId7">
        <w:r>
          <w:rPr>
            <w:rStyle w:val="Hyperlink"/>
          </w:rPr>
          <w:t>hier</w:t>
        </w:r>
      </w:hyperlink>
      <w:r>
        <w:t>.</w:t>
      </w:r>
    </w:p>
    <w:p w14:paraId="0917E9C4" w14:textId="77777777" w:rsidR="004E4CC2" w:rsidRDefault="00000000">
      <w:pPr>
        <w:pStyle w:val="berschrift1"/>
      </w:pPr>
      <w:bookmarkStart w:id="8" w:name="sec-einfuehrung"/>
      <w:bookmarkStart w:id="9" w:name="_Toc243681224"/>
      <w:bookmarkEnd w:id="0"/>
      <w:bookmarkEnd w:id="6"/>
      <w:r>
        <w:t>1. Noch ein Standard?</w:t>
      </w:r>
      <w:bookmarkEnd w:id="9"/>
    </w:p>
    <w:p w14:paraId="756FB56E" w14:textId="77777777" w:rsidR="004E4CC2" w:rsidRDefault="00000000">
      <w:pPr>
        <w:pStyle w:val="FirstParagraph"/>
      </w:pPr>
      <w:r>
        <w:t>Von klimaneutralem Bauen zu quantitativen Anforderungen an Gebäude und Quartiere</w:t>
      </w:r>
    </w:p>
    <w:p w14:paraId="599023C3" w14:textId="77777777" w:rsidR="004E4CC2" w:rsidRDefault="00000000">
      <w:pPr>
        <w:pStyle w:val="berschrift2"/>
      </w:pPr>
      <w:bookmarkStart w:id="10" w:name="X8d7fcd7d515587f7e9eb96e187de498d6e3d696"/>
      <w:bookmarkStart w:id="11" w:name="_Toc243681225"/>
      <w:r>
        <w:lastRenderedPageBreak/>
        <w:t>1.1 Herausforderungen des klimaneutralen Bauens</w:t>
      </w:r>
      <w:bookmarkEnd w:id="11"/>
    </w:p>
    <w:p w14:paraId="09B8D1C6" w14:textId="77777777" w:rsidR="004E4CC2" w:rsidRDefault="00000000">
      <w:pPr>
        <w:pStyle w:val="FirstParagraph"/>
      </w:pPr>
      <w:r>
        <w:t>Klimaneutrales Bauen erfordert mehr als die Reduktion des Heizwärmebedarfs. Gebäude müssen mit erneuerbarer Energie versorgt werden, fossile Energieträger ersetzen und die Treibhausgasemissionen aus Errichtung, Instandhaltung und Betrieb begrenzen. Hinzu kommen die Auswirkungen der Alltagsmobilität, die wesentlich von Standort und Quartiersgestaltung beeinflusst werden.</w:t>
      </w:r>
    </w:p>
    <w:p w14:paraId="12545BEB" w14:textId="77777777" w:rsidR="004E4CC2" w:rsidRDefault="00000000">
      <w:pPr>
        <w:pStyle w:val="Textkrper"/>
      </w:pPr>
      <w:r>
        <w:t>Gleichzeitig verändert die Umstellung auf erneuerbare Energieträger die Rolle der Gebäude im Energiesystem. Bei Photovoltaik und anderen zeitlich schwankenden erneuerbaren Quellen kommt es auch darauf an, wann Energie benötigt, gespeichert, bezogen oder abgegeben wird. Gebäudebetrieb, Energieversorgung und Mobilität sind deshalb zunehmend gemeinsam zu betrachten.</w:t>
      </w:r>
    </w:p>
    <w:p w14:paraId="495708AF" w14:textId="77777777" w:rsidR="004E4CC2" w:rsidRDefault="00000000">
      <w:pPr>
        <w:pStyle w:val="Textkrper"/>
      </w:pPr>
      <w:r>
        <w:t>Ein erneuerbares Zielenergiesystem macht Energieeffizienz und Flexibilität auf Gebäudeebene nicht überflüssig – im Gegenteil: Nationale Energie- und Klimaszenarien setzen erhebliche Energieeinsparungen voraus. Damit die angestrebten Ausbau- und Klimaziele erreicht werden können, müssen Gebäude ihren Energiebedarf entsprechend reduzieren und zunehmend flexibel gestalten.</w:t>
      </w:r>
    </w:p>
    <w:p w14:paraId="2AF4F1E6" w14:textId="77777777" w:rsidR="004E4CC2" w:rsidRDefault="00000000">
      <w:pPr>
        <w:pStyle w:val="Textkrper"/>
      </w:pPr>
      <w:r>
        <w:rPr>
          <w:b/>
          <w:bCs/>
        </w:rPr>
        <w:t>Energieeffizienz, lokale erneuerbare Energieerzeugung und Energieflexibilität</w:t>
      </w:r>
      <w:r>
        <w:t xml:space="preserve"> bilden daher drei sich ergänzende Handlungsfelder. Ihr Zusammenspiel ist sowohl auf Gebäude- als auch auf Quartiersebene relevant.</w:t>
      </w:r>
    </w:p>
    <w:tbl>
      <w:tblPr>
        <w:tblStyle w:val="Table"/>
        <w:tblW w:w="5000" w:type="pct"/>
        <w:tblLayout w:type="fixed"/>
        <w:tblLook w:val="0000" w:firstRow="0" w:lastRow="0" w:firstColumn="0" w:lastColumn="0" w:noHBand="0" w:noVBand="0"/>
      </w:tblPr>
      <w:tblGrid>
        <w:gridCol w:w="9622"/>
      </w:tblGrid>
      <w:tr w:rsidR="004E4CC2" w14:paraId="1EE32AEC" w14:textId="77777777">
        <w:tc>
          <w:tcPr>
            <w:tcW w:w="7920" w:type="dxa"/>
          </w:tcPr>
          <w:p w14:paraId="11F0D39B" w14:textId="77777777" w:rsidR="004E4CC2" w:rsidRDefault="00000000">
            <w:pPr>
              <w:pStyle w:val="Compact"/>
              <w:jc w:val="center"/>
            </w:pPr>
            <w:bookmarkStart w:id="12" w:name="fig-peq-saeulen"/>
            <w:r>
              <w:rPr>
                <w:noProof/>
              </w:rPr>
              <w:drawing>
                <wp:inline distT="0" distB="0" distL="0" distR="0" wp14:anchorId="19C2349D" wp14:editId="4A69215C">
                  <wp:extent cx="3467100" cy="2325982"/>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Kapitel/../Abbildungen/peq_saeulen.svg"/>
                          <pic:cNvPicPr>
                            <a:picLocks noChangeAspect="1" noChangeArrowheads="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467100" cy="2325982"/>
                          </a:xfrm>
                          <a:prstGeom prst="rect">
                            <a:avLst/>
                          </a:prstGeom>
                          <a:noFill/>
                          <a:ln w="9525">
                            <a:noFill/>
                            <a:headEnd/>
                            <a:tailEnd/>
                          </a:ln>
                        </pic:spPr>
                      </pic:pic>
                    </a:graphicData>
                  </a:graphic>
                </wp:inline>
              </w:drawing>
            </w:r>
          </w:p>
          <w:p w14:paraId="5EF2ACFC" w14:textId="77777777" w:rsidR="004E4CC2" w:rsidRDefault="00000000">
            <w:pPr>
              <w:pStyle w:val="ImageCaption"/>
              <w:spacing w:before="200"/>
            </w:pPr>
            <w:r>
              <w:t xml:space="preserve">Abbildung 1.1: </w:t>
            </w:r>
            <w:r>
              <w:rPr>
                <w:b/>
                <w:bCs/>
              </w:rPr>
              <w:t>Plus-Energie-Quartiere</w:t>
            </w:r>
            <w:r>
              <w:t xml:space="preserve"> verbinden drei zentrale Handlungsfelder der energetischen Quartiersentwicklung: Energieeffizienz, lokale erneuerbare Energie und Energieflexibilität.</w:t>
            </w:r>
          </w:p>
        </w:tc>
        <w:bookmarkEnd w:id="12"/>
      </w:tr>
    </w:tbl>
    <w:p w14:paraId="0BF25E61" w14:textId="77777777" w:rsidR="004E4CC2" w:rsidRDefault="00000000">
      <w:pPr>
        <w:pStyle w:val="berschrift2"/>
      </w:pPr>
      <w:bookmarkStart w:id="13" w:name="X5166841a036803938dc713f059ae0c83c10e189"/>
      <w:bookmarkStart w:id="14" w:name="_Toc243681226"/>
      <w:bookmarkEnd w:id="10"/>
      <w:r>
        <w:t>1.2 Vom Nachhaltigkeitskriterium zum quantitativen Klimaziel</w:t>
      </w:r>
      <w:bookmarkEnd w:id="14"/>
    </w:p>
    <w:p w14:paraId="6C1B5D04" w14:textId="77777777" w:rsidR="004E4CC2" w:rsidRDefault="00000000">
      <w:pPr>
        <w:pStyle w:val="FirstParagraph"/>
      </w:pPr>
      <w:r>
        <w:t xml:space="preserve">Bestehende Instrumente zur Gebäude- und Quartiersbewertung berücksichtigen wichtige Qualitäten wie Energieeffizienz, Ressourcenschonung, Komfort und Standort. Eine gute Gesamtbewertung beantwortet jedoch nicht automatisch die Frage, </w:t>
      </w:r>
      <w:r>
        <w:rPr>
          <w:b/>
          <w:bCs/>
        </w:rPr>
        <w:t xml:space="preserve">welchen messbaren </w:t>
      </w:r>
      <w:r>
        <w:rPr>
          <w:b/>
          <w:bCs/>
        </w:rPr>
        <w:lastRenderedPageBreak/>
        <w:t>Beitrag ein konkretes Vorhaben zur Erreichung übergeordneter Energie- und Klimaziele leisten muss</w:t>
      </w:r>
      <w:r>
        <w:t>.</w:t>
      </w:r>
    </w:p>
    <w:p w14:paraId="70CC61FA" w14:textId="77777777" w:rsidR="004E4CC2" w:rsidRDefault="00000000">
      <w:pPr>
        <w:pStyle w:val="Textkrper"/>
      </w:pPr>
      <w:r>
        <w:t xml:space="preserve">Dafür sind zwei Festlegungen erforderlich: Einerseits müssen Energie- und Treibhausgaswirkungen innerhalb nachvollziehbarer räumlicher, zeitlicher und funktionaler Grenzen bilanziert werden. Andererseits ist zu begründen, </w:t>
      </w:r>
      <w:r>
        <w:rPr>
          <w:b/>
          <w:bCs/>
        </w:rPr>
        <w:t>welches Ergebnis als ausreichend gilt</w:t>
      </w:r>
      <w:r>
        <w:t xml:space="preserve"> und wie Anforderungen auf Projekte mit unterschiedlichen Voraussetzungen verteilt werden.</w:t>
      </w:r>
    </w:p>
    <w:p w14:paraId="6BD7BA04" w14:textId="77777777" w:rsidR="004E4CC2" w:rsidRDefault="00000000">
      <w:pPr>
        <w:pStyle w:val="Textkrper"/>
      </w:pPr>
      <w:r>
        <w:t>Eine reine Jahresbetrachtung kann sommerliche Überschüsse und winterlichen Netzbezug verdecken. Eine positive Betriebsenergiebilanz wiederum sagt für sich genommen noch nichts darüber aus, ob die Emissionen aus Baustoffen und Errichtung mit einem langfristigen Klimaziel vereinbar sind. Für eine quantitative Bewertung müssen solche Unterschiede ausdrücklich berücksichtigt werden.</w:t>
      </w:r>
    </w:p>
    <w:p w14:paraId="4E081194" w14:textId="77777777" w:rsidR="004E4CC2" w:rsidRDefault="00000000">
      <w:pPr>
        <w:pStyle w:val="Textkrper"/>
      </w:pPr>
      <w:r>
        <w:t xml:space="preserve">Hier setzt der klimaaktiv Standard für Plus-Energie-Quartiere an. Er verbindet einen aus nationalen Energie- und Klimazielen abgeleiteten Bewertungsmaßstab mit der Bilanzierung konkreter Projekte. </w:t>
      </w:r>
      <w:r>
        <w:rPr>
          <w:b/>
          <w:bCs/>
        </w:rPr>
        <w:t>Was</w:t>
      </w:r>
      <w:r>
        <w:t xml:space="preserve"> der Standard fordert, beschreibt </w:t>
      </w:r>
      <w:hyperlink w:anchor="sec-standard">
        <w:r>
          <w:rPr>
            <w:rStyle w:val="Hyperlink"/>
          </w:rPr>
          <w:t>Kapitel 2</w:t>
        </w:r>
      </w:hyperlink>
      <w:r>
        <w:t xml:space="preserve">. </w:t>
      </w:r>
      <w:r>
        <w:rPr>
          <w:b/>
          <w:bCs/>
        </w:rPr>
        <w:t>Wie</w:t>
      </w:r>
      <w:r>
        <w:t xml:space="preserve"> die Zielwerte hergeleitet werden, erläutert </w:t>
      </w:r>
      <w:hyperlink w:anchor="sec-allokation">
        <w:r>
          <w:rPr>
            <w:rStyle w:val="Hyperlink"/>
          </w:rPr>
          <w:t>Kapitel 5</w:t>
        </w:r>
      </w:hyperlink>
      <w:r>
        <w:t xml:space="preserve"> und </w:t>
      </w:r>
      <w:hyperlink w:anchor="sec-zielwert-thg">
        <w:r>
          <w:rPr>
            <w:rStyle w:val="Hyperlink"/>
          </w:rPr>
          <w:t>Kapitel 10</w:t>
        </w:r>
      </w:hyperlink>
      <w:r>
        <w:t xml:space="preserve">; die Systemgrenzen und Bilanzierungsregeln sind in </w:t>
      </w:r>
      <w:hyperlink w:anchor="sec-bilanzregeln">
        <w:r>
          <w:rPr>
            <w:rStyle w:val="Hyperlink"/>
          </w:rPr>
          <w:t>Kapitel 11</w:t>
        </w:r>
      </w:hyperlink>
      <w:r>
        <w:t xml:space="preserve"> dokumentiert.</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94"/>
      </w:tblGrid>
      <w:tr w:rsidR="004E4CC2" w14:paraId="151CC9B4" w14:textId="77777777" w:rsidTr="004E4CC2">
        <w:trPr>
          <w:cantSplit/>
        </w:trPr>
        <w:tc>
          <w:tcPr>
            <w:tcW w:w="0" w:type="auto"/>
            <w:shd w:val="clear" w:color="auto" w:fill="DAE6FB"/>
            <w:tcMar>
              <w:top w:w="92" w:type="dxa"/>
              <w:bottom w:w="92" w:type="dxa"/>
            </w:tcMar>
          </w:tcPr>
          <w:p w14:paraId="26974AC9" w14:textId="77777777" w:rsidR="004E4CC2" w:rsidRDefault="00000000">
            <w:pPr>
              <w:pStyle w:val="Textkrper"/>
              <w:spacing w:before="0" w:after="0"/>
              <w:textAlignment w:val="center"/>
            </w:pPr>
            <w:r>
              <w:rPr>
                <w:noProof/>
              </w:rPr>
              <w:drawing>
                <wp:inline distT="0" distB="0" distL="0" distR="0" wp14:anchorId="3E319459" wp14:editId="0F14F094">
                  <wp:extent cx="152400" cy="1524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C:\Users\schneids\AppData\Local\Programs\Quarto\share\formats\docx\note.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t xml:space="preserve">  Gebäude oder Quartier?</w:t>
            </w:r>
          </w:p>
        </w:tc>
      </w:tr>
      <w:tr w:rsidR="004E4CC2" w14:paraId="0AC9A378" w14:textId="77777777" w:rsidTr="004E4CC2">
        <w:trPr>
          <w:cantSplit/>
        </w:trPr>
        <w:tc>
          <w:tcPr>
            <w:tcW w:w="0" w:type="auto"/>
            <w:tcMar>
              <w:top w:w="108" w:type="dxa"/>
              <w:bottom w:w="108" w:type="dxa"/>
            </w:tcMar>
          </w:tcPr>
          <w:p w14:paraId="0C72B936" w14:textId="77777777" w:rsidR="004E4CC2" w:rsidRDefault="00000000">
            <w:pPr>
              <w:pStyle w:val="Textkrper"/>
              <w:spacing w:before="16" w:after="16"/>
            </w:pPr>
            <w:r>
              <w:t>Obwohl der Standard aus dem Konzept der Plus-Energie-Quartiere hervorgegangen ist, lässt sich seine Bewertungsmethodik sowohl auf einzelne Gebäude als auch auf Gebäudegruppen und ganze Quartiere anwenden. Unterschiedliche Standort- und Bebauungsbedingungen werden durch entsprechende Kontextfaktoren berücksichtigt.</w:t>
            </w:r>
          </w:p>
          <w:p w14:paraId="283816A6" w14:textId="77777777" w:rsidR="004E4CC2" w:rsidRDefault="004E4CC2"/>
        </w:tc>
      </w:tr>
    </w:tbl>
    <w:p w14:paraId="7490D8CE" w14:textId="77777777" w:rsidR="004E4CC2" w:rsidRDefault="00000000">
      <w:pPr>
        <w:pStyle w:val="berschrift1"/>
      </w:pPr>
      <w:bookmarkStart w:id="15" w:name="sec-standard"/>
      <w:bookmarkStart w:id="16" w:name="_Toc243681227"/>
      <w:bookmarkEnd w:id="8"/>
      <w:bookmarkEnd w:id="13"/>
      <w:r>
        <w:t>2. Der Standard</w:t>
      </w:r>
      <w:bookmarkEnd w:id="16"/>
    </w:p>
    <w:p w14:paraId="73DA4919" w14:textId="77777777" w:rsidR="004E4CC2" w:rsidRDefault="00000000">
      <w:pPr>
        <w:pStyle w:val="FirstParagraph"/>
      </w:pPr>
      <w:r>
        <w:t>Der klimaaktiv Standard für Plus-Energie-Quartiere</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528"/>
        <w:gridCol w:w="3873"/>
      </w:tblGrid>
      <w:tr w:rsidR="004E4CC2" w14:paraId="0590A354" w14:textId="77777777" w:rsidTr="004E4CC2">
        <w:trPr>
          <w:cantSplit/>
        </w:trPr>
        <w:tc>
          <w:tcPr>
            <w:tcW w:w="0" w:type="auto"/>
            <w:tcMar>
              <w:left w:w="144" w:type="dxa"/>
              <w:right w:w="144" w:type="dxa"/>
            </w:tcMar>
          </w:tcPr>
          <w:p w14:paraId="18334470" w14:textId="77777777" w:rsidR="004E4CC2" w:rsidRDefault="00000000">
            <w:pPr>
              <w:pStyle w:val="Textkrper"/>
              <w:spacing w:before="0" w:after="8"/>
              <w:jc w:val="center"/>
            </w:pPr>
            <w:r>
              <w:rPr>
                <w:noProof/>
              </w:rPr>
              <w:drawing>
                <wp:inline distT="0" distB="0" distL="0" distR="0" wp14:anchorId="315E13DD" wp14:editId="012CE4AC">
                  <wp:extent cx="152400" cy="15240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C:\Users\schneids\AppData\Local\Programs\Quarto\share\formats\docx\note.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1D53603" w14:textId="77777777" w:rsidR="004E4CC2" w:rsidRDefault="004E4CC2">
            <w:pPr>
              <w:pStyle w:val="Textkrper"/>
              <w:spacing w:before="16" w:after="64"/>
            </w:pPr>
          </w:p>
          <w:p w14:paraId="6B85C2D7" w14:textId="77777777" w:rsidR="004E4CC2" w:rsidRDefault="00000000">
            <w:pPr>
              <w:pStyle w:val="Textkrper"/>
              <w:spacing w:before="16" w:after="16"/>
            </w:pPr>
            <w:r>
              <w:t>Arbeitsfassung vom 19. Oktober 2026</w:t>
            </w:r>
          </w:p>
        </w:tc>
      </w:tr>
    </w:tbl>
    <w:p w14:paraId="18D6833E" w14:textId="77777777" w:rsidR="004E4CC2" w:rsidRDefault="00000000">
      <w:pPr>
        <w:pStyle w:val="Textkrper"/>
      </w:pPr>
      <w:r>
        <w:t>Der klimaaktiv Standard für Plus-Energie-Quartiere definiert quantitative Anforderungen an die Energie- und Treibhausgasbilanz von Quartieren. Er ermöglicht es, Neubau- und Sanierungsvorhaben anhand eines gemeinsamen, aus übergeordneten Energie- und Klimazielen abgeleiteten Bewertungsmaßstabs zu beurteilen.</w:t>
      </w:r>
    </w:p>
    <w:p w14:paraId="78759E10" w14:textId="77777777" w:rsidR="004E4CC2" w:rsidRDefault="00000000">
      <w:pPr>
        <w:pStyle w:val="berschrift2"/>
      </w:pPr>
      <w:bookmarkStart w:id="17" w:name="ziel-und-bewertungsanspruch"/>
      <w:bookmarkStart w:id="18" w:name="_Toc243681228"/>
      <w:r>
        <w:t>2.1 Ziel und Bewertungsanspruch</w:t>
      </w:r>
      <w:bookmarkEnd w:id="18"/>
    </w:p>
    <w:p w14:paraId="533DC306" w14:textId="77777777" w:rsidR="004E4CC2" w:rsidRDefault="00000000">
      <w:pPr>
        <w:pStyle w:val="FirstParagraph"/>
      </w:pPr>
      <w:r>
        <w:t xml:space="preserve">Ein Quartier soll nicht nur möglichst wenig Energie benötigen, sondern einen angemessenen Beitrag zu einem erneuerbaren und klimaneutralen Energiesystem leisten. </w:t>
      </w:r>
      <w:r>
        <w:lastRenderedPageBreak/>
        <w:t>Der Standard betrachtet dafür das Zusammenspiel von Energiebedarf, erneuerbarer Energieaufbringung, Mobilität und Lebenszyklusemissionen.</w:t>
      </w:r>
    </w:p>
    <w:p w14:paraId="036F96B9" w14:textId="77777777" w:rsidR="004E4CC2" w:rsidRDefault="00000000">
      <w:pPr>
        <w:pStyle w:val="Textkrper"/>
      </w:pPr>
      <w:r>
        <w:t xml:space="preserve">Die Anforderungen sind </w:t>
      </w:r>
      <w:r>
        <w:rPr>
          <w:b/>
          <w:bCs/>
        </w:rPr>
        <w:t>quantitativ, kontextabhängig und überprüfbar</w:t>
      </w:r>
      <w:r>
        <w:t>. Sie berücksichtigen unterschiedliche bauliche und räumliche Ausgangsbedingungen, ohne die Ausrichtung an den übergeordneten Zielen aufzugeben.</w:t>
      </w:r>
    </w:p>
    <w:p w14:paraId="6AF5ED01" w14:textId="77777777" w:rsidR="004E4CC2" w:rsidRDefault="00000000">
      <w:pPr>
        <w:pStyle w:val="berschrift2"/>
      </w:pPr>
      <w:bookmarkStart w:id="19" w:name="die-drei-qualitätsstufen"/>
      <w:bookmarkStart w:id="20" w:name="_Toc243681229"/>
      <w:bookmarkEnd w:id="17"/>
      <w:r>
        <w:t>2.2 Die drei Qualitätsstufen</w:t>
      </w:r>
      <w:bookmarkEnd w:id="20"/>
    </w:p>
    <w:p w14:paraId="7792293C" w14:textId="77777777" w:rsidR="004E4CC2" w:rsidRDefault="00000000">
      <w:pPr>
        <w:pStyle w:val="FirstParagraph"/>
      </w:pPr>
      <w:r>
        <w:t>Der Standard unterscheidet drei aufeinander aufbauende Qualitätsstufen:</w:t>
      </w:r>
    </w:p>
    <w:tbl>
      <w:tblPr>
        <w:tblStyle w:val="Table"/>
        <w:tblW w:w="5000" w:type="pct"/>
        <w:tblLayout w:type="fixed"/>
        <w:tblLook w:val="0020" w:firstRow="1" w:lastRow="0" w:firstColumn="0" w:lastColumn="0" w:noHBand="0" w:noVBand="0"/>
      </w:tblPr>
      <w:tblGrid>
        <w:gridCol w:w="3208"/>
        <w:gridCol w:w="3207"/>
        <w:gridCol w:w="3207"/>
      </w:tblGrid>
      <w:tr w:rsidR="004E4CC2" w14:paraId="23459136"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3D44D5F6" w14:textId="77777777" w:rsidR="004E4CC2" w:rsidRDefault="00000000">
            <w:pPr>
              <w:pStyle w:val="Compact"/>
            </w:pPr>
            <w:r>
              <w:t>Qualitätsstufe</w:t>
            </w:r>
          </w:p>
        </w:tc>
        <w:tc>
          <w:tcPr>
            <w:tcW w:w="2640" w:type="dxa"/>
          </w:tcPr>
          <w:p w14:paraId="14D11F41" w14:textId="77777777" w:rsidR="004E4CC2" w:rsidRDefault="00000000">
            <w:pPr>
              <w:pStyle w:val="Compact"/>
            </w:pPr>
            <w:r>
              <w:t>Bewertungsumfang</w:t>
            </w:r>
          </w:p>
        </w:tc>
        <w:tc>
          <w:tcPr>
            <w:tcW w:w="2640" w:type="dxa"/>
          </w:tcPr>
          <w:p w14:paraId="35A8AEC5" w14:textId="77777777" w:rsidR="004E4CC2" w:rsidRDefault="00000000">
            <w:pPr>
              <w:pStyle w:val="Compact"/>
            </w:pPr>
            <w:r>
              <w:t>Zentrales Kriterium</w:t>
            </w:r>
          </w:p>
        </w:tc>
      </w:tr>
      <w:tr w:rsidR="004E4CC2" w14:paraId="191103F1" w14:textId="77777777">
        <w:tc>
          <w:tcPr>
            <w:tcW w:w="2640" w:type="dxa"/>
          </w:tcPr>
          <w:p w14:paraId="3EE08FB2" w14:textId="77777777" w:rsidR="004E4CC2" w:rsidRDefault="00000000">
            <w:pPr>
              <w:pStyle w:val="Compact"/>
            </w:pPr>
            <w:r>
              <w:rPr>
                <w:b/>
                <w:bCs/>
              </w:rPr>
              <w:t>Plus-Energie-Quartier</w:t>
            </w:r>
          </w:p>
        </w:tc>
        <w:tc>
          <w:tcPr>
            <w:tcW w:w="2640" w:type="dxa"/>
          </w:tcPr>
          <w:p w14:paraId="47F579A7" w14:textId="77777777" w:rsidR="004E4CC2" w:rsidRDefault="00000000">
            <w:pPr>
              <w:pStyle w:val="Compact"/>
            </w:pPr>
            <w:r>
              <w:t>Gebäudebetrieb einschließlich gebäudebezogener Stromanwendungen</w:t>
            </w:r>
          </w:p>
        </w:tc>
        <w:tc>
          <w:tcPr>
            <w:tcW w:w="2640" w:type="dxa"/>
          </w:tcPr>
          <w:p w14:paraId="2F48DB47" w14:textId="77777777" w:rsidR="004E4CC2" w:rsidRDefault="00000000">
            <w:pPr>
              <w:pStyle w:val="Compact"/>
            </w:pPr>
            <w:r>
              <w:t>Positive bewertete Primärenergiebilanz</w:t>
            </w:r>
          </w:p>
        </w:tc>
      </w:tr>
      <w:tr w:rsidR="004E4CC2" w14:paraId="07B33628" w14:textId="77777777">
        <w:tc>
          <w:tcPr>
            <w:tcW w:w="2640" w:type="dxa"/>
          </w:tcPr>
          <w:p w14:paraId="3CD10387" w14:textId="77777777" w:rsidR="004E4CC2" w:rsidRDefault="00000000">
            <w:pPr>
              <w:pStyle w:val="Compact"/>
            </w:pPr>
            <w:r>
              <w:rPr>
                <w:b/>
                <w:bCs/>
              </w:rPr>
              <w:t>Plus-Energie-Quartier mit Mobilität</w:t>
            </w:r>
          </w:p>
        </w:tc>
        <w:tc>
          <w:tcPr>
            <w:tcW w:w="2640" w:type="dxa"/>
          </w:tcPr>
          <w:p w14:paraId="398116C1" w14:textId="77777777" w:rsidR="004E4CC2" w:rsidRDefault="00000000">
            <w:pPr>
              <w:pStyle w:val="Compact"/>
            </w:pPr>
            <w:r>
              <w:t>Gebäudebetrieb und zugeordnete motorisierte Individualmobilität</w:t>
            </w:r>
          </w:p>
        </w:tc>
        <w:tc>
          <w:tcPr>
            <w:tcW w:w="2640" w:type="dxa"/>
          </w:tcPr>
          <w:p w14:paraId="2852B33F" w14:textId="77777777" w:rsidR="004E4CC2" w:rsidRDefault="00000000">
            <w:pPr>
              <w:pStyle w:val="Compact"/>
            </w:pPr>
            <w:r>
              <w:t>Positive bewertete Primärenergiebilanz einschließlich Mobilität</w:t>
            </w:r>
          </w:p>
        </w:tc>
      </w:tr>
      <w:tr w:rsidR="004E4CC2" w14:paraId="0CA6513A" w14:textId="77777777">
        <w:tc>
          <w:tcPr>
            <w:tcW w:w="2640" w:type="dxa"/>
          </w:tcPr>
          <w:p w14:paraId="01314DD7" w14:textId="77777777" w:rsidR="004E4CC2" w:rsidRDefault="00000000">
            <w:pPr>
              <w:pStyle w:val="Compact"/>
            </w:pPr>
            <w:r>
              <w:rPr>
                <w:b/>
                <w:bCs/>
              </w:rPr>
              <w:t>Klimaneutrales Plus-Energie-Quartier</w:t>
            </w:r>
          </w:p>
        </w:tc>
        <w:tc>
          <w:tcPr>
            <w:tcW w:w="2640" w:type="dxa"/>
          </w:tcPr>
          <w:p w14:paraId="5B83D226" w14:textId="77777777" w:rsidR="004E4CC2" w:rsidRDefault="00000000">
            <w:pPr>
              <w:pStyle w:val="Compact"/>
            </w:pPr>
            <w:r>
              <w:t>Zusätzlich Lebenszyklusemissionen aus baulichen Prozessen, Betrieb und Mobilität</w:t>
            </w:r>
          </w:p>
        </w:tc>
        <w:tc>
          <w:tcPr>
            <w:tcW w:w="2640" w:type="dxa"/>
          </w:tcPr>
          <w:p w14:paraId="6B21D99D" w14:textId="77777777" w:rsidR="004E4CC2" w:rsidRDefault="00000000">
            <w:pPr>
              <w:pStyle w:val="Compact"/>
            </w:pPr>
            <w:r>
              <w:t>Positive bewertete Primärenergiebilanz und Einhaltung des kumulierten THG-Budgets</w:t>
            </w:r>
          </w:p>
        </w:tc>
      </w:tr>
    </w:tbl>
    <w:p w14:paraId="6386D4D7" w14:textId="77777777" w:rsidR="004E4CC2" w:rsidRDefault="00000000">
      <w:pPr>
        <w:pStyle w:val="Textkrper"/>
      </w:pPr>
      <w:r>
        <w:t xml:space="preserve">Die dritte Qualitätsstufe verwendet im dokumentierten Referenzverfahren ein Treibhausgasbudget von </w:t>
      </w:r>
      <w:r>
        <w:rPr>
          <w:b/>
          <w:bCs/>
        </w:rPr>
        <w:t>320 kg CO₂e/m² BGF</w:t>
      </w:r>
      <w:r>
        <w:t xml:space="preserve">. Dieses gilt unter den festgelegten Systemgrenzen und Szenarioannahmen. Seine Herleitung wird in </w:t>
      </w:r>
      <w:hyperlink w:anchor="sec-zielwert-thg">
        <w:r>
          <w:rPr>
            <w:rStyle w:val="Hyperlink"/>
          </w:rPr>
          <w:t>Kapitel 10</w:t>
        </w:r>
      </w:hyperlink>
      <w:r>
        <w:t xml:space="preserve"> erläutert; die berücksichtigten Lebenszyklusprozesse beschreibt </w:t>
      </w:r>
      <w:hyperlink w:anchor="sec-bilanzregeln">
        <w:r>
          <w:rPr>
            <w:rStyle w:val="Hyperlink"/>
          </w:rPr>
          <w:t>Kapitel 11</w:t>
        </w:r>
      </w:hyperlink>
      <w:r>
        <w:t>.</w:t>
      </w:r>
    </w:p>
    <w:tbl>
      <w:tblPr>
        <w:tblStyle w:val="Table"/>
        <w:tblW w:w="5000" w:type="pct"/>
        <w:tblLayout w:type="fixed"/>
        <w:tblLook w:val="0000" w:firstRow="0" w:lastRow="0" w:firstColumn="0" w:lastColumn="0" w:noHBand="0" w:noVBand="0"/>
      </w:tblPr>
      <w:tblGrid>
        <w:gridCol w:w="9622"/>
      </w:tblGrid>
      <w:tr w:rsidR="004E4CC2" w14:paraId="73067C41" w14:textId="77777777">
        <w:tc>
          <w:tcPr>
            <w:tcW w:w="7920" w:type="dxa"/>
          </w:tcPr>
          <w:p w14:paraId="46A033D7" w14:textId="77777777" w:rsidR="004E4CC2" w:rsidRDefault="00000000">
            <w:pPr>
              <w:pStyle w:val="Compact"/>
              <w:jc w:val="center"/>
            </w:pPr>
            <w:bookmarkStart w:id="21" w:name="fig-standard-systemgrenzen"/>
            <w:r>
              <w:rPr>
                <w:noProof/>
              </w:rPr>
              <w:lastRenderedPageBreak/>
              <w:drawing>
                <wp:inline distT="0" distB="0" distL="0" distR="0" wp14:anchorId="324D56BA" wp14:editId="5C04F8E8">
                  <wp:extent cx="5334000" cy="323959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Kapitel/../Abbildungen/standard_systemgrenzen.svg"/>
                          <pic:cNvPicPr>
                            <a:picLocks noChangeAspect="1" noChangeArrowheads="1"/>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bwMode="auto">
                          <a:xfrm>
                            <a:off x="0" y="0"/>
                            <a:ext cx="5334000" cy="3239590"/>
                          </a:xfrm>
                          <a:prstGeom prst="rect">
                            <a:avLst/>
                          </a:prstGeom>
                          <a:noFill/>
                          <a:ln w="9525">
                            <a:noFill/>
                            <a:headEnd/>
                            <a:tailEnd/>
                          </a:ln>
                        </pic:spPr>
                      </pic:pic>
                    </a:graphicData>
                  </a:graphic>
                </wp:inline>
              </w:drawing>
            </w:r>
          </w:p>
          <w:p w14:paraId="0AF1A2FD" w14:textId="77777777" w:rsidR="004E4CC2" w:rsidRDefault="00000000">
            <w:pPr>
              <w:pStyle w:val="ImageCaption"/>
              <w:spacing w:before="200"/>
            </w:pPr>
            <w:r>
              <w:t>Abbildung 2.1: Die drei Qualitätsstufen des klimaaktiv Standards und die Erweiterung ihrer energetischen und treibhausgasbezogenen Bilanzgrenzen.</w:t>
            </w:r>
          </w:p>
        </w:tc>
        <w:bookmarkEnd w:id="21"/>
      </w:tr>
    </w:tbl>
    <w:p w14:paraId="5AD9BA3B" w14:textId="77777777" w:rsidR="004E4CC2" w:rsidRDefault="00000000">
      <w:pPr>
        <w:pStyle w:val="berschrift2"/>
      </w:pPr>
      <w:bookmarkStart w:id="22" w:name="bewertungsgrößen-und-erfüllungskriterien"/>
      <w:bookmarkStart w:id="23" w:name="_Toc243681230"/>
      <w:bookmarkEnd w:id="19"/>
      <w:r>
        <w:t>2.3 Bewertungsgrößen und Erfüllungskriterien</w:t>
      </w:r>
      <w:bookmarkEnd w:id="23"/>
    </w:p>
    <w:p w14:paraId="6DCA4392" w14:textId="77777777" w:rsidR="004E4CC2" w:rsidRDefault="00000000">
      <w:pPr>
        <w:pStyle w:val="FirstParagraph"/>
      </w:pPr>
      <w:r>
        <w:t>Die Bewertung beruht auf zwei komplementären Größen:</w:t>
      </w:r>
    </w:p>
    <w:p w14:paraId="038F2597" w14:textId="77777777" w:rsidR="004E4CC2" w:rsidRDefault="00000000">
      <w:pPr>
        <w:pStyle w:val="Textkrper"/>
      </w:pPr>
      <w:r>
        <w:rPr>
          <w:b/>
          <w:bCs/>
        </w:rPr>
        <w:t>Primärenergiebilanz:</w:t>
      </w:r>
      <w:r>
        <w:t xml:space="preserve"> Energiebedarf, erneuerbare Aufbringung und Energieaustausch mit den umgebenden Netzen werden nach den festgelegten Bilanzierungsregeln bewertet. Die stündlich berechneten Energieflüsse werden mit zeitabhängigen Faktoren gewichtet. Eine positive Bewertungsbilanz ist Voraussetzung für alle drei Qualitätsstufen.</w:t>
      </w:r>
    </w:p>
    <w:p w14:paraId="25A1B48D" w14:textId="77777777" w:rsidR="004E4CC2" w:rsidRDefault="00000000">
      <w:pPr>
        <w:pStyle w:val="Textkrper"/>
      </w:pPr>
      <w:r>
        <w:rPr>
          <w:b/>
          <w:bCs/>
        </w:rPr>
        <w:t>Treibhausgasbilanz:</w:t>
      </w:r>
      <w:r>
        <w:t xml:space="preserve"> Für die Klimaneutralitätsstufe werden die Emissionen aus den definierten baulichen Prozessen, dem Gebäudebetrieb und der Mobilität über den Bewertungszeitraum kumuliert und mit dem zugeteilten THG-Budget verglichen.</w:t>
      </w:r>
    </w:p>
    <w:p w14:paraId="47983C85" w14:textId="77777777" w:rsidR="004E4CC2" w:rsidRDefault="00000000">
      <w:pPr>
        <w:pStyle w:val="Textkrper"/>
      </w:pPr>
      <w:r>
        <w:t xml:space="preserve">Die Bewertung unterscheidet damit zwischen </w:t>
      </w:r>
      <w:r>
        <w:rPr>
          <w:b/>
          <w:bCs/>
        </w:rPr>
        <w:t>dem berechneten Energie- und Emissionsergebnis eines Quartiers</w:t>
      </w:r>
      <w:r>
        <w:t xml:space="preserve"> und </w:t>
      </w:r>
      <w:r>
        <w:rPr>
          <w:b/>
          <w:bCs/>
        </w:rPr>
        <w:t>dem Maßstab, an dem dieses Ergebnis beurteilt wird</w:t>
      </w:r>
      <w:r>
        <w:t>.</w:t>
      </w:r>
    </w:p>
    <w:p w14:paraId="3656961B" w14:textId="77777777" w:rsidR="004E4CC2" w:rsidRDefault="00000000">
      <w:pPr>
        <w:pStyle w:val="Textkrper"/>
      </w:pPr>
      <w:r>
        <w:t xml:space="preserve">Die entsprechenden Bilanzierungsverfahren und Systemgrenzen erläutert </w:t>
      </w:r>
      <w:hyperlink w:anchor="sec-bilanzregeln">
        <w:r>
          <w:rPr>
            <w:rStyle w:val="Hyperlink"/>
          </w:rPr>
          <w:t>Kapitel 11</w:t>
        </w:r>
      </w:hyperlink>
      <w:r>
        <w:t>.</w:t>
      </w:r>
    </w:p>
    <w:p w14:paraId="32C950D7" w14:textId="77777777" w:rsidR="004E4CC2" w:rsidRDefault="00000000">
      <w:pPr>
        <w:pStyle w:val="berschrift2"/>
      </w:pPr>
      <w:bookmarkStart w:id="24" w:name="kontextabhängige-anforderungen"/>
      <w:bookmarkStart w:id="25" w:name="_Toc243681231"/>
      <w:bookmarkEnd w:id="22"/>
      <w:r>
        <w:t>2.4 Kontextabhängige Anforderungen</w:t>
      </w:r>
      <w:bookmarkEnd w:id="25"/>
    </w:p>
    <w:p w14:paraId="702F296F" w14:textId="77777777" w:rsidR="004E4CC2" w:rsidRDefault="00000000">
      <w:pPr>
        <w:pStyle w:val="FirstParagraph"/>
      </w:pPr>
      <w:r>
        <w:t>Nicht jedes Quartier verfügt über dieselben Voraussetzungen. Insbesondere bauliche Dichte, Standort und Gebäudebestand beeinflussen, welche Beiträge zur Energiewende lokal erbracht werden können.</w:t>
      </w:r>
    </w:p>
    <w:p w14:paraId="5C5585A7" w14:textId="77777777" w:rsidR="004E4CC2" w:rsidRDefault="00000000">
      <w:pPr>
        <w:pStyle w:val="Textkrper"/>
      </w:pPr>
      <w:r>
        <w:t>Der Standard berücksichtigt dies über drei Kontextfaktoren:</w:t>
      </w:r>
    </w:p>
    <w:p w14:paraId="57F53B19" w14:textId="77777777" w:rsidR="004E4CC2" w:rsidRDefault="00000000">
      <w:pPr>
        <w:pStyle w:val="Compact"/>
        <w:numPr>
          <w:ilvl w:val="0"/>
          <w:numId w:val="3"/>
        </w:numPr>
      </w:pPr>
      <w:r>
        <w:rPr>
          <w:b/>
          <w:bCs/>
        </w:rPr>
        <w:lastRenderedPageBreak/>
        <w:t>Dichte:</w:t>
      </w:r>
      <w:r>
        <w:t xml:space="preserve"> Bei geringer baulicher Dichte wird ein höherer energetischer Beitrag verlangt; dichte Quartiere können eine Gutschrift erhalten.</w:t>
      </w:r>
    </w:p>
    <w:p w14:paraId="75E90957" w14:textId="77777777" w:rsidR="004E4CC2" w:rsidRDefault="00000000">
      <w:pPr>
        <w:pStyle w:val="Compact"/>
        <w:numPr>
          <w:ilvl w:val="0"/>
          <w:numId w:val="3"/>
        </w:numPr>
      </w:pPr>
      <w:r>
        <w:rPr>
          <w:b/>
          <w:bCs/>
        </w:rPr>
        <w:t>Mobilität:</w:t>
      </w:r>
      <w:r>
        <w:t xml:space="preserve"> Ein aus der nationalen Energieallokation abgeleitetes Budget wird den Nutzungen zugeordnet und dem tatsächlich bilanzierten Mobilitätsbedarf gegenübergestellt.</w:t>
      </w:r>
    </w:p>
    <w:p w14:paraId="081857F4" w14:textId="77777777" w:rsidR="004E4CC2" w:rsidRDefault="00000000">
      <w:pPr>
        <w:pStyle w:val="Compact"/>
        <w:numPr>
          <w:ilvl w:val="0"/>
          <w:numId w:val="3"/>
        </w:numPr>
      </w:pPr>
      <w:r>
        <w:rPr>
          <w:b/>
          <w:bCs/>
        </w:rPr>
        <w:t>Sanierung:</w:t>
      </w:r>
      <w:r>
        <w:t xml:space="preserve"> Bestandsvorhaben erhalten eine festgelegte Entlastung, die besonderen Einschränkungen bei der energetischen Verbesserung Rechnung trägt.</w:t>
      </w:r>
    </w:p>
    <w:p w14:paraId="28F2DD2C" w14:textId="77777777" w:rsidR="004E4CC2" w:rsidRDefault="00000000">
      <w:pPr>
        <w:pStyle w:val="FirstParagraph"/>
      </w:pPr>
      <w:r>
        <w:t xml:space="preserve">Die Kontextfaktoren verändern die </w:t>
      </w:r>
      <w:r>
        <w:rPr>
          <w:b/>
          <w:bCs/>
        </w:rPr>
        <w:t>energetische Bewertungsanforderung</w:t>
      </w:r>
      <w:r>
        <w:t>, nicht die tatsächlich benötigte oder erzeugte Energie. Eine positive Bewertungsbilanz kann daher auch dann erreicht werden, wenn das Quartier physisch keinen Nettoenergieüberschuss aufweist.</w:t>
      </w:r>
    </w:p>
    <w:p w14:paraId="081B96F0" w14:textId="77777777" w:rsidR="004E4CC2" w:rsidRDefault="00000000">
      <w:pPr>
        <w:pStyle w:val="Textkrper"/>
      </w:pPr>
      <w:r>
        <w:t xml:space="preserve">Die Herleitung der Zielwerte beschreiben </w:t>
      </w:r>
      <w:hyperlink w:anchor="sec-allokation">
        <w:r>
          <w:rPr>
            <w:rStyle w:val="Hyperlink"/>
          </w:rPr>
          <w:t>Kapitel 5</w:t>
        </w:r>
      </w:hyperlink>
      <w:r>
        <w:t xml:space="preserve"> und </w:t>
      </w:r>
      <w:hyperlink w:anchor="sec-zielwert-thg">
        <w:r>
          <w:rPr>
            <w:rStyle w:val="Hyperlink"/>
          </w:rPr>
          <w:t>Kapitel 10</w:t>
        </w:r>
      </w:hyperlink>
      <w:r>
        <w:t xml:space="preserve">, die Berechnung und Anwendung der Kontextfaktoren </w:t>
      </w:r>
      <w:hyperlink w:anchor="sec-kontext">
        <w:r>
          <w:rPr>
            <w:rStyle w:val="Hyperlink"/>
          </w:rPr>
          <w:t>Kapitel 3.2</w:t>
        </w:r>
      </w:hyperlink>
      <w:r>
        <w:t>.</w:t>
      </w:r>
    </w:p>
    <w:p w14:paraId="257A2046" w14:textId="77777777" w:rsidR="004E4CC2" w:rsidRDefault="00000000">
      <w:pPr>
        <w:pStyle w:val="berschrift2"/>
      </w:pPr>
      <w:bookmarkStart w:id="26" w:name="bedeutung-und-grenzen-der-bewertung"/>
      <w:bookmarkStart w:id="27" w:name="_Toc243681232"/>
      <w:bookmarkEnd w:id="24"/>
      <w:r>
        <w:t>2.5 Bedeutung und Grenzen der Bewertung</w:t>
      </w:r>
      <w:bookmarkEnd w:id="27"/>
    </w:p>
    <w:p w14:paraId="5934E1EA" w14:textId="77777777" w:rsidR="004E4CC2" w:rsidRDefault="00000000">
      <w:pPr>
        <w:pStyle w:val="FirstParagraph"/>
      </w:pPr>
      <w:r>
        <w:t xml:space="preserve">Eine erfüllte Qualitätsstufe zeigt, dass ein Quartier die definierten Anforderungen </w:t>
      </w:r>
      <w:r>
        <w:rPr>
          <w:b/>
          <w:bCs/>
        </w:rPr>
        <w:t>unter den festgelegten Systemgrenzen, Faktoren und Projektannahmen</w:t>
      </w:r>
      <w:r>
        <w:t xml:space="preserve"> erreicht.</w:t>
      </w:r>
    </w:p>
    <w:p w14:paraId="5CCBA898" w14:textId="77777777" w:rsidR="004E4CC2" w:rsidRDefault="00000000">
      <w:pPr>
        <w:pStyle w:val="Textkrper"/>
      </w:pPr>
      <w:r>
        <w:t>Die Bewertung soll eine konsistente Grundlage bieten, um Quartierskonzepte zu beurteilen, Varianten zu vergleichen und die Zielerreichung im Planungsprozess nachzuweisen.</w:t>
      </w:r>
    </w:p>
    <w:p w14:paraId="0C0FC037" w14:textId="77777777" w:rsidR="004E4CC2" w:rsidRDefault="00000000">
      <w:pPr>
        <w:pStyle w:val="Textkrper"/>
      </w:pPr>
      <w:r>
        <w:t>Für die quantitative Bewertung steht das klima</w:t>
      </w:r>
      <w:r>
        <w:rPr>
          <w:b/>
          <w:bCs/>
        </w:rPr>
        <w:t>aktiv</w:t>
      </w:r>
      <w:r>
        <w:t xml:space="preserve"> PEQ-Nachweistool zur Verfügung. Die </w:t>
      </w:r>
      <w:hyperlink r:id="rId12">
        <w:r>
          <w:rPr>
            <w:rStyle w:val="Hyperlink"/>
          </w:rPr>
          <w:t>Wissensplattform</w:t>
        </w:r>
      </w:hyperlink>
      <w:r>
        <w:t xml:space="preserve"> bietet weiterführende Informationen zum Bewertungsmodell und zur Anwendung des Tools.</w:t>
      </w:r>
    </w:p>
    <w:p w14:paraId="534DAE29" w14:textId="77777777" w:rsidR="004E4CC2" w:rsidRDefault="00000000">
      <w:pPr>
        <w:pStyle w:val="Textkrper"/>
      </w:pPr>
      <w:r>
        <w:t xml:space="preserve">Die Gültigkeit des Bewertungsmaßstabs hängt von den verwendeten Szenarien, Parametern und methodischen Festlegungen ab. Grenzen und Weiterentwicklung werden in </w:t>
      </w:r>
      <w:hyperlink w:anchor="sec-fortschreibung">
        <w:r>
          <w:rPr>
            <w:rStyle w:val="Hyperlink"/>
          </w:rPr>
          <w:t>Kapitel 12</w:t>
        </w:r>
      </w:hyperlink>
      <w:r>
        <w:t xml:space="preserve"> dokumentiert.</w:t>
      </w:r>
    </w:p>
    <w:p w14:paraId="661F2CDD" w14:textId="77777777" w:rsidR="004E4CC2" w:rsidRDefault="00000000">
      <w:pPr>
        <w:pStyle w:val="berschrift1"/>
      </w:pPr>
      <w:bookmarkStart w:id="28" w:name="sec-methodik"/>
      <w:bookmarkStart w:id="29" w:name="_Toc243681233"/>
      <w:bookmarkEnd w:id="15"/>
      <w:bookmarkEnd w:id="26"/>
      <w:r>
        <w:t>3. Von nationalen Zielpfaden zur Quartiersbilanz</w:t>
      </w:r>
      <w:bookmarkEnd w:id="29"/>
    </w:p>
    <w:p w14:paraId="55090F8C" w14:textId="77777777" w:rsidR="004E4CC2" w:rsidRDefault="00000000">
      <w:pPr>
        <w:pStyle w:val="FirstParagraph"/>
      </w:pPr>
      <w:r>
        <w:t>Zielbild, sektorale Allokation, Gebäudestruktur, Kalibrierung und Quartiersnachweis</w:t>
      </w:r>
    </w:p>
    <w:p w14:paraId="57A651F6" w14:textId="77777777" w:rsidR="004E4CC2" w:rsidRDefault="00000000">
      <w:pPr>
        <w:pStyle w:val="Textkrper"/>
      </w:pPr>
      <w:r>
        <w:t xml:space="preserve">Die Anforderungen an ein Plus-Energie-Quartier (PEQ) werden nicht isoliert festgelegt. Ausgangspunkt ist das nationale Szenario </w:t>
      </w:r>
      <w:r>
        <w:rPr>
          <w:b/>
          <w:bCs/>
        </w:rPr>
        <w:t>UBA Transition 2040</w:t>
      </w:r>
      <w:r>
        <w:t>. Dessen Erzeugungs- und Bedarfsgrößen werden durch explizite Zuordnungsregeln auf die Sektoren verteilt. Die daraus abgeleitete Energieaufgabe des Gebäudesektors wird mit einem Szenario der Gebäude- und Nutzflächenentwicklung abgeglichen. Die PEQ-Zielwertfunktion wird anschließend so kalibriert, dass sich die Beiträge unterschiedlicher Gebäudetypologien und Dichten zum national zugewiesenen Ziel aggregieren lassen.</w:t>
      </w:r>
    </w:p>
    <w:p w14:paraId="22A33DFC" w14:textId="77777777" w:rsidR="004E4CC2" w:rsidRDefault="00000000">
      <w:pPr>
        <w:pStyle w:val="Textkrper"/>
      </w:pPr>
      <w:r>
        <w:rPr>
          <w:b/>
          <w:bCs/>
        </w:rPr>
        <w:t>Top-down</w:t>
      </w:r>
      <w:r>
        <w:t xml:space="preserve"> beschreibt somit die </w:t>
      </w:r>
      <w:r>
        <w:rPr>
          <w:i/>
          <w:iCs/>
        </w:rPr>
        <w:t>erforderliche</w:t>
      </w:r>
      <w:r>
        <w:t xml:space="preserve"> sektorale Leistung; </w:t>
      </w:r>
      <w:r>
        <w:rPr>
          <w:b/>
          <w:bCs/>
        </w:rPr>
        <w:t>Bottom-up</w:t>
      </w:r>
      <w:r>
        <w:t xml:space="preserve"> beschreibt die Beiträge der unterschiedlichen Gebäudetypen und Quartiere. Die im Nachweis simulierte </w:t>
      </w:r>
      <w:r>
        <w:lastRenderedPageBreak/>
        <w:t>tatsächliche Quartiersbilanz bleibt von der Festlegung des Zielwerts getrennt (Schneider 2026, 3.1–3.2).</w:t>
      </w:r>
    </w:p>
    <w:tbl>
      <w:tblPr>
        <w:tblStyle w:val="Table"/>
        <w:tblW w:w="5000" w:type="pct"/>
        <w:tblLayout w:type="fixed"/>
        <w:tblLook w:val="0000" w:firstRow="0" w:lastRow="0" w:firstColumn="0" w:lastColumn="0" w:noHBand="0" w:noVBand="0"/>
      </w:tblPr>
      <w:tblGrid>
        <w:gridCol w:w="9622"/>
      </w:tblGrid>
      <w:tr w:rsidR="004E4CC2" w14:paraId="39E11E76" w14:textId="77777777">
        <w:tc>
          <w:tcPr>
            <w:tcW w:w="7920" w:type="dxa"/>
          </w:tcPr>
          <w:p w14:paraId="6B8DAA6F" w14:textId="77777777" w:rsidR="004E4CC2" w:rsidRDefault="00000000">
            <w:pPr>
              <w:jc w:val="center"/>
            </w:pPr>
            <w:bookmarkStart w:id="30" w:name="fig-allokationskette"/>
            <w:r>
              <w:rPr>
                <w:noProof/>
              </w:rPr>
              <w:drawing>
                <wp:inline distT="0" distB="0" distL="0" distR="0" wp14:anchorId="45CDD1BB" wp14:editId="03F3D53E">
                  <wp:extent cx="5334000" cy="4659389"/>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Kapitel/03-methodik_files/figure-docx/mermaid-figure-1.png"/>
                          <pic:cNvPicPr>
                            <a:picLocks noChangeAspect="1" noChangeArrowheads="1"/>
                          </pic:cNvPicPr>
                        </pic:nvPicPr>
                        <pic:blipFill>
                          <a:blip r:embed="rId13"/>
                          <a:stretch>
                            <a:fillRect/>
                          </a:stretch>
                        </pic:blipFill>
                        <pic:spPr bwMode="auto">
                          <a:xfrm>
                            <a:off x="0" y="0"/>
                            <a:ext cx="5334000" cy="4659389"/>
                          </a:xfrm>
                          <a:prstGeom prst="rect">
                            <a:avLst/>
                          </a:prstGeom>
                          <a:noFill/>
                          <a:ln w="9525">
                            <a:noFill/>
                            <a:headEnd/>
                            <a:tailEnd/>
                          </a:ln>
                        </pic:spPr>
                      </pic:pic>
                    </a:graphicData>
                  </a:graphic>
                </wp:inline>
              </w:drawing>
            </w:r>
          </w:p>
          <w:p w14:paraId="34D065E0" w14:textId="77777777" w:rsidR="004E4CC2" w:rsidRDefault="00000000">
            <w:pPr>
              <w:pStyle w:val="ImageCaption"/>
              <w:spacing w:before="200"/>
            </w:pPr>
            <w:r>
              <w:t>Abbildung 3.1: Rechenkette der Zielwertableitung. Die THG-Budgetableitung erfolgt als eigenständiger, ergänzender Strang.</w:t>
            </w:r>
          </w:p>
        </w:tc>
        <w:bookmarkEnd w:id="30"/>
      </w:tr>
    </w:tbl>
    <w:p w14:paraId="0C5A77C7" w14:textId="77777777" w:rsidR="004E4CC2" w:rsidRDefault="00000000">
      <w:pPr>
        <w:pStyle w:val="Textkrper"/>
      </w:pPr>
      <w:r>
        <w:t xml:space="preserve">Für die Energieallokation und die Gebäudestruktur gelten getrennte, nachvollziehbare Datenquellen. Das Szenario liefert nicht von selbst eine Aufteilung in Gebäude-PV, zentrale Stromerzeugung, MIV und ÖPNV. Ebenso definiert die Bestandsstatistik nicht, welchen Energiestandard welche Fläche im Jahr 2040 erreichen soll. Solche Zuordnungen beziehungsweise Zielanteile werden als </w:t>
      </w:r>
      <w:r>
        <w:rPr>
          <w:b/>
          <w:bCs/>
        </w:rPr>
        <w:t>Szenario- oder normative Modellannahmen</w:t>
      </w:r>
      <w:r>
        <w:t xml:space="preserve"> kenntlich gemacht.</w:t>
      </w:r>
    </w:p>
    <w:tbl>
      <w:tblPr>
        <w:tblStyle w:val="Table"/>
        <w:tblW w:w="5000" w:type="pct"/>
        <w:tblLayout w:type="fixed"/>
        <w:tblLook w:val="0000" w:firstRow="0" w:lastRow="0" w:firstColumn="0" w:lastColumn="0" w:noHBand="0" w:noVBand="0"/>
      </w:tblPr>
      <w:tblGrid>
        <w:gridCol w:w="9622"/>
      </w:tblGrid>
      <w:tr w:rsidR="004E4CC2" w14:paraId="44E7FD3E" w14:textId="77777777">
        <w:tc>
          <w:tcPr>
            <w:tcW w:w="7920" w:type="dxa"/>
          </w:tcPr>
          <w:p w14:paraId="05B1B7C8" w14:textId="77777777" w:rsidR="004E4CC2" w:rsidRDefault="00000000">
            <w:pPr>
              <w:pStyle w:val="ImageCaption"/>
              <w:spacing w:before="200"/>
            </w:pPr>
            <w:bookmarkStart w:id="31" w:name="tbl-arten-festlegungen"/>
            <w:r>
              <w:t>Tabelle 3.1: Komponenten der Zielwertableitung, in Fortführung der quantitativen PEQ-Methodik (Schneider 2026, 3.1–3.2).</w:t>
            </w:r>
          </w:p>
          <w:tbl>
            <w:tblPr>
              <w:tblStyle w:val="Table"/>
              <w:tblW w:w="5000" w:type="pct"/>
              <w:tblLayout w:type="fixed"/>
              <w:tblLook w:val="0020" w:firstRow="1" w:lastRow="0" w:firstColumn="0" w:lastColumn="0" w:noHBand="0" w:noVBand="0"/>
            </w:tblPr>
            <w:tblGrid>
              <w:gridCol w:w="3136"/>
              <w:gridCol w:w="3135"/>
              <w:gridCol w:w="3135"/>
            </w:tblGrid>
            <w:tr w:rsidR="004E4CC2" w14:paraId="22BCFE41"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0DE426C3" w14:textId="77777777" w:rsidR="004E4CC2" w:rsidRDefault="00000000">
                  <w:pPr>
                    <w:pStyle w:val="Compact"/>
                    <w:jc w:val="center"/>
                  </w:pPr>
                  <w:r>
                    <w:t>Art der Festlegung</w:t>
                  </w:r>
                </w:p>
              </w:tc>
              <w:tc>
                <w:tcPr>
                  <w:tcW w:w="2640" w:type="dxa"/>
                </w:tcPr>
                <w:p w14:paraId="04AFB5AD" w14:textId="77777777" w:rsidR="004E4CC2" w:rsidRDefault="00000000">
                  <w:pPr>
                    <w:pStyle w:val="Compact"/>
                    <w:jc w:val="center"/>
                  </w:pPr>
                  <w:r>
                    <w:t>Funktion</w:t>
                  </w:r>
                </w:p>
              </w:tc>
              <w:tc>
                <w:tcPr>
                  <w:tcW w:w="2640" w:type="dxa"/>
                </w:tcPr>
                <w:p w14:paraId="63D94F1D" w14:textId="77777777" w:rsidR="004E4CC2" w:rsidRDefault="00000000">
                  <w:pPr>
                    <w:pStyle w:val="Compact"/>
                    <w:jc w:val="center"/>
                  </w:pPr>
                  <w:r>
                    <w:t>Beispiel</w:t>
                  </w:r>
                </w:p>
              </w:tc>
            </w:tr>
            <w:tr w:rsidR="004E4CC2" w14:paraId="716C8094" w14:textId="77777777">
              <w:tc>
                <w:tcPr>
                  <w:tcW w:w="2640" w:type="dxa"/>
                </w:tcPr>
                <w:p w14:paraId="4772BA9C" w14:textId="77777777" w:rsidR="004E4CC2" w:rsidRDefault="00000000">
                  <w:pPr>
                    <w:pStyle w:val="Compact"/>
                    <w:jc w:val="center"/>
                  </w:pPr>
                  <w:r>
                    <w:t>Physikalischer Zusammenhang</w:t>
                  </w:r>
                </w:p>
              </w:tc>
              <w:tc>
                <w:tcPr>
                  <w:tcW w:w="2640" w:type="dxa"/>
                </w:tcPr>
                <w:p w14:paraId="176DD8F4" w14:textId="77777777" w:rsidR="004E4CC2" w:rsidRDefault="00000000">
                  <w:pPr>
                    <w:pStyle w:val="Compact"/>
                    <w:jc w:val="center"/>
                  </w:pPr>
                  <w:r>
                    <w:t>Beschreibt technische Abhängigkeiten</w:t>
                  </w:r>
                </w:p>
              </w:tc>
              <w:tc>
                <w:tcPr>
                  <w:tcW w:w="2640" w:type="dxa"/>
                </w:tcPr>
                <w:p w14:paraId="6C28B9CB" w14:textId="77777777" w:rsidR="004E4CC2" w:rsidRDefault="00000000">
                  <w:pPr>
                    <w:pStyle w:val="Compact"/>
                    <w:jc w:val="center"/>
                  </w:pPr>
                  <w:r>
                    <w:t xml:space="preserve">Lokales PV-Potenzial je BGF sinkt typischerweise mit </w:t>
                  </w:r>
                  <w:r>
                    <w:lastRenderedPageBreak/>
                    <w:t>zunehmender GFZ</w:t>
                  </w:r>
                </w:p>
              </w:tc>
            </w:tr>
            <w:tr w:rsidR="004E4CC2" w14:paraId="10CCC4C6" w14:textId="77777777">
              <w:tc>
                <w:tcPr>
                  <w:tcW w:w="2640" w:type="dxa"/>
                </w:tcPr>
                <w:p w14:paraId="6A8D93E4" w14:textId="77777777" w:rsidR="004E4CC2" w:rsidRDefault="00000000">
                  <w:pPr>
                    <w:pStyle w:val="Compact"/>
                    <w:jc w:val="center"/>
                  </w:pPr>
                  <w:r>
                    <w:lastRenderedPageBreak/>
                    <w:t>Szenariogröße</w:t>
                  </w:r>
                </w:p>
              </w:tc>
              <w:tc>
                <w:tcPr>
                  <w:tcW w:w="2640" w:type="dxa"/>
                </w:tcPr>
                <w:p w14:paraId="546F81D8" w14:textId="77777777" w:rsidR="004E4CC2" w:rsidRDefault="00000000">
                  <w:pPr>
                    <w:pStyle w:val="Compact"/>
                    <w:jc w:val="center"/>
                  </w:pPr>
                  <w:r>
                    <w:t>Beschreibt einen möglichen Zielzustand</w:t>
                  </w:r>
                </w:p>
              </w:tc>
              <w:tc>
                <w:tcPr>
                  <w:tcW w:w="2640" w:type="dxa"/>
                </w:tcPr>
                <w:p w14:paraId="54D52A83" w14:textId="77777777" w:rsidR="004E4CC2" w:rsidRDefault="00000000">
                  <w:pPr>
                    <w:pStyle w:val="Compact"/>
                    <w:jc w:val="center"/>
                  </w:pPr>
                  <w:r>
                    <w:t>Erzeugung und Strombedarf 2040 laut UBA Transition</w:t>
                  </w:r>
                </w:p>
              </w:tc>
            </w:tr>
            <w:tr w:rsidR="004E4CC2" w14:paraId="7604A9A9" w14:textId="77777777">
              <w:tc>
                <w:tcPr>
                  <w:tcW w:w="2640" w:type="dxa"/>
                </w:tcPr>
                <w:p w14:paraId="1AA5A9F6" w14:textId="77777777" w:rsidR="004E4CC2" w:rsidRDefault="00000000">
                  <w:pPr>
                    <w:pStyle w:val="Compact"/>
                    <w:jc w:val="center"/>
                  </w:pPr>
                  <w:r>
                    <w:t>Zuordnungsregel</w:t>
                  </w:r>
                </w:p>
              </w:tc>
              <w:tc>
                <w:tcPr>
                  <w:tcW w:w="2640" w:type="dxa"/>
                </w:tcPr>
                <w:p w14:paraId="60760786" w14:textId="77777777" w:rsidR="004E4CC2" w:rsidRDefault="00000000">
                  <w:pPr>
                    <w:pStyle w:val="Compact"/>
                    <w:jc w:val="center"/>
                  </w:pPr>
                  <w:r>
                    <w:t>Verteilt nationale Ressourcen und Aufgaben</w:t>
                  </w:r>
                </w:p>
              </w:tc>
              <w:tc>
                <w:tcPr>
                  <w:tcW w:w="2640" w:type="dxa"/>
                </w:tcPr>
                <w:p w14:paraId="2B0B929F" w14:textId="77777777" w:rsidR="004E4CC2" w:rsidRDefault="00000000">
                  <w:pPr>
                    <w:pStyle w:val="Compact"/>
                    <w:jc w:val="center"/>
                  </w:pPr>
                  <w:r>
                    <w:t>Zentraler Erneuerbaren-Pool abzüglich Industrie und ÖPNV für das MIV-Budget</w:t>
                  </w:r>
                </w:p>
              </w:tc>
            </w:tr>
            <w:tr w:rsidR="004E4CC2" w14:paraId="3F70AECB" w14:textId="77777777">
              <w:tc>
                <w:tcPr>
                  <w:tcW w:w="2640" w:type="dxa"/>
                </w:tcPr>
                <w:p w14:paraId="2BEDB8AC" w14:textId="77777777" w:rsidR="004E4CC2" w:rsidRDefault="00000000">
                  <w:pPr>
                    <w:pStyle w:val="Compact"/>
                    <w:jc w:val="center"/>
                  </w:pPr>
                  <w:r>
                    <w:t>Typologie- und Flächenannahme</w:t>
                  </w:r>
                </w:p>
              </w:tc>
              <w:tc>
                <w:tcPr>
                  <w:tcW w:w="2640" w:type="dxa"/>
                </w:tcPr>
                <w:p w14:paraId="59D27720" w14:textId="77777777" w:rsidR="004E4CC2" w:rsidRDefault="00000000">
                  <w:pPr>
                    <w:pStyle w:val="Compact"/>
                    <w:jc w:val="center"/>
                  </w:pPr>
                  <w:r>
                    <w:t>Beschreibt den Gebäudesektor im Zieljahr</w:t>
                  </w:r>
                </w:p>
              </w:tc>
              <w:tc>
                <w:tcPr>
                  <w:tcW w:w="2640" w:type="dxa"/>
                </w:tcPr>
                <w:p w14:paraId="7A30DBE4" w14:textId="77777777" w:rsidR="004E4CC2" w:rsidRDefault="00000000">
                  <w:pPr>
                    <w:pStyle w:val="Compact"/>
                    <w:jc w:val="center"/>
                  </w:pPr>
                  <w:r>
                    <w:t>BGF-Anteile je energetischer Gebäudeklasse</w:t>
                  </w:r>
                </w:p>
              </w:tc>
            </w:tr>
            <w:tr w:rsidR="004E4CC2" w14:paraId="6C438615" w14:textId="77777777">
              <w:tc>
                <w:tcPr>
                  <w:tcW w:w="2640" w:type="dxa"/>
                </w:tcPr>
                <w:p w14:paraId="60EE6A0D" w14:textId="77777777" w:rsidR="004E4CC2" w:rsidRDefault="00000000">
                  <w:pPr>
                    <w:pStyle w:val="Compact"/>
                    <w:jc w:val="center"/>
                  </w:pPr>
                  <w:r>
                    <w:t>Kalibrierparameter</w:t>
                  </w:r>
                </w:p>
              </w:tc>
              <w:tc>
                <w:tcPr>
                  <w:tcW w:w="2640" w:type="dxa"/>
                </w:tcPr>
                <w:p w14:paraId="3567596D" w14:textId="77777777" w:rsidR="004E4CC2" w:rsidRDefault="00000000">
                  <w:pPr>
                    <w:pStyle w:val="Compact"/>
                    <w:jc w:val="center"/>
                  </w:pPr>
                  <w:r>
                    <w:t>Legt die Lastenverteilung zwischen Typen und Dichten fest</w:t>
                  </w:r>
                </w:p>
              </w:tc>
              <w:tc>
                <w:tcPr>
                  <w:tcW w:w="2640" w:type="dxa"/>
                </w:tcPr>
                <w:p w14:paraId="58DE893B" w14:textId="77777777" w:rsidR="004E4CC2" w:rsidRDefault="00000000">
                  <w:pPr>
                    <w:pStyle w:val="Compact"/>
                    <w:jc w:val="center"/>
                  </w:pPr>
                  <w:r>
                    <w:t>Dichtefunktion und typologieabhängige Sanierungsanpassung</w:t>
                  </w:r>
                </w:p>
              </w:tc>
            </w:tr>
            <w:tr w:rsidR="004E4CC2" w14:paraId="0898D478" w14:textId="77777777">
              <w:tc>
                <w:tcPr>
                  <w:tcW w:w="2640" w:type="dxa"/>
                </w:tcPr>
                <w:p w14:paraId="757BB1D0" w14:textId="77777777" w:rsidR="004E4CC2" w:rsidRDefault="00000000">
                  <w:pPr>
                    <w:pStyle w:val="Compact"/>
                    <w:jc w:val="center"/>
                  </w:pPr>
                  <w:r>
                    <w:t>Nachweisregel</w:t>
                  </w:r>
                </w:p>
              </w:tc>
              <w:tc>
                <w:tcPr>
                  <w:tcW w:w="2640" w:type="dxa"/>
                </w:tcPr>
                <w:p w14:paraId="25615ED7" w14:textId="77777777" w:rsidR="004E4CC2" w:rsidRDefault="00000000">
                  <w:pPr>
                    <w:pStyle w:val="Compact"/>
                    <w:jc w:val="center"/>
                  </w:pPr>
                  <w:r>
                    <w:t>Übersetzt Ziel und Projektbilanz in eine Prüfung</w:t>
                  </w:r>
                </w:p>
              </w:tc>
              <w:tc>
                <w:tcPr>
                  <w:tcW w:w="2640" w:type="dxa"/>
                </w:tcPr>
                <w:p w14:paraId="238035B3" w14:textId="77777777" w:rsidR="004E4CC2" w:rsidRDefault="00000000">
                  <w:pPr>
                    <w:pStyle w:val="Compact"/>
                    <w:jc w:val="center"/>
                  </w:pPr>
                  <w:r>
                    <w:t>Zulässige Energieflüsse, Primärenergiefaktoren und Bilanzgrenzen</w:t>
                  </w:r>
                </w:p>
              </w:tc>
            </w:tr>
            <w:bookmarkEnd w:id="31"/>
          </w:tbl>
          <w:p w14:paraId="6A1BBB29" w14:textId="77777777" w:rsidR="004E4CC2" w:rsidRDefault="004E4CC2"/>
        </w:tc>
      </w:tr>
    </w:tbl>
    <w:p w14:paraId="12EB1C34" w14:textId="77777777" w:rsidR="004E4CC2" w:rsidRDefault="00000000">
      <w:pPr>
        <w:pStyle w:val="berschrift2"/>
      </w:pPr>
      <w:bookmarkStart w:id="32" w:name="vom-nationalen-szenario-zur-kalibrierung"/>
      <w:bookmarkStart w:id="33" w:name="_Toc243681234"/>
      <w:r>
        <w:lastRenderedPageBreak/>
        <w:t>3.1 Vom nationalen Szenario zur Kalibrierung</w:t>
      </w:r>
      <w:bookmarkEnd w:id="33"/>
    </w:p>
    <w:p w14:paraId="60A5A0D9" w14:textId="77777777" w:rsidR="004E4CC2" w:rsidRDefault="00000000">
      <w:pPr>
        <w:pStyle w:val="FirstParagraph"/>
      </w:pPr>
      <w:r>
        <w:t>Die einzelnen Kapitel folgen der Rechen- und Nachweiskette:</w:t>
      </w:r>
    </w:p>
    <w:tbl>
      <w:tblPr>
        <w:tblStyle w:val="Table"/>
        <w:tblW w:w="5000" w:type="pct"/>
        <w:tblLayout w:type="fixed"/>
        <w:tblLook w:val="0020" w:firstRow="1" w:lastRow="0" w:firstColumn="0" w:lastColumn="0" w:noHBand="0" w:noVBand="0"/>
      </w:tblPr>
      <w:tblGrid>
        <w:gridCol w:w="3208"/>
        <w:gridCol w:w="3207"/>
        <w:gridCol w:w="3207"/>
      </w:tblGrid>
      <w:tr w:rsidR="004E4CC2" w14:paraId="30155F94"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4D189A3F" w14:textId="77777777" w:rsidR="004E4CC2" w:rsidRDefault="00000000">
            <w:pPr>
              <w:pStyle w:val="Compact"/>
            </w:pPr>
            <w:r>
              <w:t>Schritt</w:t>
            </w:r>
          </w:p>
        </w:tc>
        <w:tc>
          <w:tcPr>
            <w:tcW w:w="2640" w:type="dxa"/>
          </w:tcPr>
          <w:p w14:paraId="43E22E90" w14:textId="77777777" w:rsidR="004E4CC2" w:rsidRDefault="00000000">
            <w:pPr>
              <w:pStyle w:val="Compact"/>
            </w:pPr>
            <w:r>
              <w:t>Leitfrage</w:t>
            </w:r>
          </w:p>
        </w:tc>
        <w:tc>
          <w:tcPr>
            <w:tcW w:w="2640" w:type="dxa"/>
          </w:tcPr>
          <w:p w14:paraId="572135AF" w14:textId="77777777" w:rsidR="004E4CC2" w:rsidRDefault="00000000">
            <w:pPr>
              <w:pStyle w:val="Compact"/>
            </w:pPr>
            <w:r>
              <w:t>Vertiefung</w:t>
            </w:r>
          </w:p>
        </w:tc>
      </w:tr>
      <w:tr w:rsidR="004E4CC2" w14:paraId="04923939" w14:textId="77777777">
        <w:tc>
          <w:tcPr>
            <w:tcW w:w="2640" w:type="dxa"/>
          </w:tcPr>
          <w:p w14:paraId="3F0084E9" w14:textId="77777777" w:rsidR="004E4CC2" w:rsidRDefault="00000000">
            <w:pPr>
              <w:pStyle w:val="Compact"/>
            </w:pPr>
            <w:r>
              <w:t>Nationales Zielszenario</w:t>
            </w:r>
          </w:p>
        </w:tc>
        <w:tc>
          <w:tcPr>
            <w:tcW w:w="2640" w:type="dxa"/>
          </w:tcPr>
          <w:p w14:paraId="11F7B7D0" w14:textId="77777777" w:rsidR="004E4CC2" w:rsidRDefault="00000000">
            <w:pPr>
              <w:pStyle w:val="Compact"/>
            </w:pPr>
            <w:r>
              <w:t>Welche Energiemengen stehen 2040 zur Verfügung und welche Bedarfe bestehen?</w:t>
            </w:r>
          </w:p>
        </w:tc>
        <w:tc>
          <w:tcPr>
            <w:tcW w:w="2640" w:type="dxa"/>
          </w:tcPr>
          <w:p w14:paraId="67535FE1" w14:textId="77777777" w:rsidR="004E4CC2" w:rsidRDefault="00000000">
            <w:pPr>
              <w:pStyle w:val="Compact"/>
            </w:pPr>
            <w:hyperlink w:anchor="sec-zielszenario">
              <w:r>
                <w:rPr>
                  <w:rStyle w:val="Hyperlink"/>
                </w:rPr>
                <w:t>Kapitel 4</w:t>
              </w:r>
            </w:hyperlink>
          </w:p>
        </w:tc>
      </w:tr>
      <w:tr w:rsidR="004E4CC2" w14:paraId="079FCAB6" w14:textId="77777777">
        <w:tc>
          <w:tcPr>
            <w:tcW w:w="2640" w:type="dxa"/>
          </w:tcPr>
          <w:p w14:paraId="78A9E432" w14:textId="77777777" w:rsidR="004E4CC2" w:rsidRDefault="00000000">
            <w:pPr>
              <w:pStyle w:val="Compact"/>
            </w:pPr>
            <w:r>
              <w:t>Sektorale Allokation</w:t>
            </w:r>
          </w:p>
        </w:tc>
        <w:tc>
          <w:tcPr>
            <w:tcW w:w="2640" w:type="dxa"/>
          </w:tcPr>
          <w:p w14:paraId="28A43D9D" w14:textId="77777777" w:rsidR="004E4CC2" w:rsidRDefault="00000000">
            <w:pPr>
              <w:pStyle w:val="Compact"/>
            </w:pPr>
            <w:r>
              <w:t>Welche Erzeugungs- und Bedarfsmengen entfallen auf Gebäude, Industrie, ÖPNV und MIV?</w:t>
            </w:r>
          </w:p>
        </w:tc>
        <w:tc>
          <w:tcPr>
            <w:tcW w:w="2640" w:type="dxa"/>
          </w:tcPr>
          <w:p w14:paraId="3FDC75CB" w14:textId="77777777" w:rsidR="004E4CC2" w:rsidRDefault="00000000">
            <w:pPr>
              <w:pStyle w:val="Compact"/>
            </w:pPr>
            <w:hyperlink w:anchor="sec-allokation">
              <w:r>
                <w:rPr>
                  <w:rStyle w:val="Hyperlink"/>
                </w:rPr>
                <w:t>Kapitel 5</w:t>
              </w:r>
            </w:hyperlink>
          </w:p>
        </w:tc>
      </w:tr>
      <w:tr w:rsidR="004E4CC2" w14:paraId="3CFA0E74" w14:textId="77777777">
        <w:tc>
          <w:tcPr>
            <w:tcW w:w="2640" w:type="dxa"/>
          </w:tcPr>
          <w:p w14:paraId="1830530E" w14:textId="77777777" w:rsidR="004E4CC2" w:rsidRDefault="00000000">
            <w:pPr>
              <w:pStyle w:val="Compact"/>
            </w:pPr>
            <w:r>
              <w:t>Gebäudestruktur</w:t>
            </w:r>
          </w:p>
        </w:tc>
        <w:tc>
          <w:tcPr>
            <w:tcW w:w="2640" w:type="dxa"/>
          </w:tcPr>
          <w:p w14:paraId="10EEF6A3" w14:textId="77777777" w:rsidR="004E4CC2" w:rsidRDefault="00000000">
            <w:pPr>
              <w:pStyle w:val="Compact"/>
            </w:pPr>
            <w:r>
              <w:t>Welche Gebäudetypen mit welchen Flächen und Dichten werden für 2040 angenommen?</w:t>
            </w:r>
          </w:p>
        </w:tc>
        <w:tc>
          <w:tcPr>
            <w:tcW w:w="2640" w:type="dxa"/>
          </w:tcPr>
          <w:p w14:paraId="3A7887AF" w14:textId="77777777" w:rsidR="004E4CC2" w:rsidRDefault="00000000">
            <w:pPr>
              <w:pStyle w:val="Compact"/>
            </w:pPr>
            <w:hyperlink w:anchor="sec-gebaeudebestand">
              <w:r>
                <w:rPr>
                  <w:rStyle w:val="Hyperlink"/>
                </w:rPr>
                <w:t>Kapitel 6</w:t>
              </w:r>
            </w:hyperlink>
          </w:p>
        </w:tc>
      </w:tr>
      <w:tr w:rsidR="004E4CC2" w14:paraId="793097A3" w14:textId="77777777">
        <w:tc>
          <w:tcPr>
            <w:tcW w:w="2640" w:type="dxa"/>
          </w:tcPr>
          <w:p w14:paraId="600955B9" w14:textId="77777777" w:rsidR="004E4CC2" w:rsidRDefault="00000000">
            <w:pPr>
              <w:pStyle w:val="Compact"/>
            </w:pPr>
            <w:r>
              <w:t>Energie-Kalibrierung</w:t>
            </w:r>
          </w:p>
        </w:tc>
        <w:tc>
          <w:tcPr>
            <w:tcW w:w="2640" w:type="dxa"/>
          </w:tcPr>
          <w:p w14:paraId="612A9563" w14:textId="77777777" w:rsidR="004E4CC2" w:rsidRDefault="00000000">
            <w:pPr>
              <w:pStyle w:val="Compact"/>
            </w:pPr>
            <w:r>
              <w:t>Welche typologie- und dichteabhängigen Anforderungen ergeben zusammen den nationalen Zielbeitrag?</w:t>
            </w:r>
          </w:p>
        </w:tc>
        <w:tc>
          <w:tcPr>
            <w:tcW w:w="2640" w:type="dxa"/>
          </w:tcPr>
          <w:p w14:paraId="39B1E87B" w14:textId="77777777" w:rsidR="004E4CC2" w:rsidRDefault="00000000">
            <w:pPr>
              <w:pStyle w:val="Compact"/>
            </w:pPr>
            <w:hyperlink w:anchor="sec-kalibrierung">
              <w:r>
                <w:rPr>
                  <w:rStyle w:val="Hyperlink"/>
                </w:rPr>
                <w:t>Kapitel 7</w:t>
              </w:r>
            </w:hyperlink>
          </w:p>
        </w:tc>
      </w:tr>
      <w:tr w:rsidR="004E4CC2" w14:paraId="62D68C0A" w14:textId="77777777">
        <w:tc>
          <w:tcPr>
            <w:tcW w:w="2640" w:type="dxa"/>
          </w:tcPr>
          <w:p w14:paraId="58364A10" w14:textId="77777777" w:rsidR="004E4CC2" w:rsidRDefault="00000000">
            <w:pPr>
              <w:pStyle w:val="Compact"/>
            </w:pPr>
            <w:r>
              <w:t>Mobilität im Quartier</w:t>
            </w:r>
          </w:p>
        </w:tc>
        <w:tc>
          <w:tcPr>
            <w:tcW w:w="2640" w:type="dxa"/>
          </w:tcPr>
          <w:p w14:paraId="35C43FC6" w14:textId="77777777" w:rsidR="004E4CC2" w:rsidRDefault="00000000">
            <w:pPr>
              <w:pStyle w:val="Compact"/>
            </w:pPr>
            <w:r>
              <w:t xml:space="preserve">Wie wird das national abgeleitete MIV-Budget auf Nutzungen verteilt und dem örtlichen Bedarf </w:t>
            </w:r>
            <w:r>
              <w:lastRenderedPageBreak/>
              <w:t>gegenübergestellt?</w:t>
            </w:r>
          </w:p>
        </w:tc>
        <w:tc>
          <w:tcPr>
            <w:tcW w:w="2640" w:type="dxa"/>
          </w:tcPr>
          <w:p w14:paraId="44CF615A" w14:textId="77777777" w:rsidR="004E4CC2" w:rsidRDefault="00000000">
            <w:pPr>
              <w:pStyle w:val="Compact"/>
            </w:pPr>
            <w:hyperlink w:anchor="sec-kontext-mobilitaet">
              <w:r>
                <w:rPr>
                  <w:rStyle w:val="Hyperlink"/>
                </w:rPr>
                <w:t>Kapitel 8</w:t>
              </w:r>
            </w:hyperlink>
          </w:p>
        </w:tc>
      </w:tr>
      <w:tr w:rsidR="004E4CC2" w14:paraId="1DAABFA6" w14:textId="77777777">
        <w:tc>
          <w:tcPr>
            <w:tcW w:w="2640" w:type="dxa"/>
          </w:tcPr>
          <w:p w14:paraId="5BC74D5F" w14:textId="77777777" w:rsidR="004E4CC2" w:rsidRDefault="00000000">
            <w:pPr>
              <w:pStyle w:val="Compact"/>
            </w:pPr>
            <w:r>
              <w:t>Sanierung im Quartier</w:t>
            </w:r>
          </w:p>
        </w:tc>
        <w:tc>
          <w:tcPr>
            <w:tcW w:w="2640" w:type="dxa"/>
          </w:tcPr>
          <w:p w14:paraId="07F02B61" w14:textId="77777777" w:rsidR="004E4CC2" w:rsidRDefault="00000000">
            <w:pPr>
              <w:pStyle w:val="Compact"/>
            </w:pPr>
            <w:r>
              <w:t>Wie wird die aus der Typologiekalibrierung abgeleitete Sanierungsanpassung angewendet?</w:t>
            </w:r>
          </w:p>
        </w:tc>
        <w:tc>
          <w:tcPr>
            <w:tcW w:w="2640" w:type="dxa"/>
          </w:tcPr>
          <w:p w14:paraId="23BCD100" w14:textId="77777777" w:rsidR="004E4CC2" w:rsidRDefault="00000000">
            <w:pPr>
              <w:pStyle w:val="Compact"/>
            </w:pPr>
            <w:hyperlink w:anchor="sec-kontext-sanierung">
              <w:r>
                <w:rPr>
                  <w:rStyle w:val="Hyperlink"/>
                </w:rPr>
                <w:t>Kapitel 9</w:t>
              </w:r>
            </w:hyperlink>
          </w:p>
        </w:tc>
      </w:tr>
      <w:tr w:rsidR="004E4CC2" w14:paraId="00D061CE" w14:textId="77777777">
        <w:tc>
          <w:tcPr>
            <w:tcW w:w="2640" w:type="dxa"/>
          </w:tcPr>
          <w:p w14:paraId="3A870431" w14:textId="77777777" w:rsidR="004E4CC2" w:rsidRDefault="00000000">
            <w:pPr>
              <w:pStyle w:val="Compact"/>
            </w:pPr>
            <w:r>
              <w:t>THG-Zielwert</w:t>
            </w:r>
          </w:p>
        </w:tc>
        <w:tc>
          <w:tcPr>
            <w:tcW w:w="2640" w:type="dxa"/>
          </w:tcPr>
          <w:p w14:paraId="68B8B12D" w14:textId="77777777" w:rsidR="004E4CC2" w:rsidRDefault="00000000">
            <w:pPr>
              <w:pStyle w:val="Compact"/>
            </w:pPr>
            <w:r>
              <w:t>Wie werden kumulierte Emissionen über einen Lebenszyklus begrenzt?</w:t>
            </w:r>
          </w:p>
        </w:tc>
        <w:tc>
          <w:tcPr>
            <w:tcW w:w="2640" w:type="dxa"/>
          </w:tcPr>
          <w:p w14:paraId="10720256" w14:textId="77777777" w:rsidR="004E4CC2" w:rsidRDefault="00000000">
            <w:pPr>
              <w:pStyle w:val="Compact"/>
            </w:pPr>
            <w:hyperlink w:anchor="sec-zielwert-thg">
              <w:r>
                <w:rPr>
                  <w:rStyle w:val="Hyperlink"/>
                </w:rPr>
                <w:t>Kapitel 10</w:t>
              </w:r>
            </w:hyperlink>
          </w:p>
        </w:tc>
      </w:tr>
      <w:tr w:rsidR="004E4CC2" w14:paraId="36D7D943" w14:textId="77777777">
        <w:tc>
          <w:tcPr>
            <w:tcW w:w="2640" w:type="dxa"/>
          </w:tcPr>
          <w:p w14:paraId="5544D707" w14:textId="77777777" w:rsidR="004E4CC2" w:rsidRDefault="00000000">
            <w:pPr>
              <w:pStyle w:val="Compact"/>
            </w:pPr>
            <w:r>
              <w:t>Quartiersbilanz</w:t>
            </w:r>
          </w:p>
        </w:tc>
        <w:tc>
          <w:tcPr>
            <w:tcW w:w="2640" w:type="dxa"/>
          </w:tcPr>
          <w:p w14:paraId="4CFA146A" w14:textId="77777777" w:rsidR="004E4CC2" w:rsidRDefault="00000000">
            <w:pPr>
              <w:pStyle w:val="Compact"/>
            </w:pPr>
            <w:r>
              <w:t>Wie wird die tatsächlich geplante beziehungsweise gemessene Leistung bilanziert?</w:t>
            </w:r>
          </w:p>
        </w:tc>
        <w:tc>
          <w:tcPr>
            <w:tcW w:w="2640" w:type="dxa"/>
          </w:tcPr>
          <w:p w14:paraId="30EE08E4" w14:textId="77777777" w:rsidR="004E4CC2" w:rsidRDefault="00000000">
            <w:pPr>
              <w:pStyle w:val="Compact"/>
            </w:pPr>
            <w:hyperlink w:anchor="sec-bilanzregeln">
              <w:r>
                <w:rPr>
                  <w:rStyle w:val="Hyperlink"/>
                </w:rPr>
                <w:t>Kapitel 11</w:t>
              </w:r>
            </w:hyperlink>
          </w:p>
        </w:tc>
      </w:tr>
    </w:tbl>
    <w:p w14:paraId="11B6AF4B" w14:textId="77777777" w:rsidR="004E4CC2" w:rsidRDefault="00000000">
      <w:pPr>
        <w:pStyle w:val="berschrift2"/>
      </w:pPr>
      <w:bookmarkStart w:id="34" w:name="sec-kontext"/>
      <w:bookmarkStart w:id="35" w:name="_Toc243681235"/>
      <w:bookmarkEnd w:id="32"/>
      <w:r>
        <w:t>3.2 Bilanzziel und virtuelle Kontextwerte</w:t>
      </w:r>
      <w:bookmarkEnd w:id="35"/>
    </w:p>
    <w:p w14:paraId="286F7C75" w14:textId="77777777" w:rsidR="004E4CC2" w:rsidRDefault="00000000">
      <w:pPr>
        <w:pStyle w:val="FirstParagraph"/>
      </w:pPr>
      <w:r>
        <w:t>Eine kontextspezifische Anforderung lässt sich entweder als spezifischer Zielwert oder als virtuelle Gut- beziehungsweise Lastschrift gegenüber einem gemeinsamen Nullmaßstab darstellen. Beide Darstellungen sind bei identischer Systemgrenze rechnerisch gleichwertig (Schneider 2026, Abschn. 3.2.5–3.2.7).</w:t>
      </w:r>
    </w:p>
    <w:p w14:paraId="58064E6C" w14:textId="77777777" w:rsidR="004E4CC2" w:rsidRDefault="00000000">
      <w:pPr>
        <w:pStyle w:val="Textkrper"/>
      </w:pPr>
      <w:r>
        <w:t xml:space="preserve">Für einen Quartierssaldo </w:t>
      </w:r>
      <m:oMath>
        <m:sSub>
          <m:sSubPr>
            <m:ctrlPr>
              <w:rPr>
                <w:rFonts w:ascii="Cambria Math" w:hAnsi="Cambria Math"/>
              </w:rPr>
            </m:ctrlPr>
          </m:sSubPr>
          <m:e>
            <m:r>
              <w:rPr>
                <w:rFonts w:ascii="Cambria Math" w:hAnsi="Cambria Math"/>
              </w:rPr>
              <m:t>b</m:t>
            </m:r>
          </m:e>
          <m:sub>
            <m:r>
              <m:rPr>
                <m:sty m:val="p"/>
              </m:rPr>
              <w:rPr>
                <w:rFonts w:ascii="Cambria Math" w:hAnsi="Cambria Math"/>
              </w:rPr>
              <m:t>PE</m:t>
            </m:r>
          </m:sub>
        </m:sSub>
      </m:oMath>
      <w:r>
        <w:t xml:space="preserve"> vor Kontextkorrektur gilt schematisch:</w:t>
      </w:r>
    </w:p>
    <w:bookmarkStart w:id="36" w:name="eq-kontextbilanz"/>
    <w:p w14:paraId="04FB6EBD"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b</m:t>
              </m:r>
            </m:e>
            <m:sub>
              <m:r>
                <m:rPr>
                  <m:sty m:val="p"/>
                </m:rPr>
                <w:rPr>
                  <w:rFonts w:ascii="Cambria Math" w:hAnsi="Cambria Math"/>
                </w:rPr>
                <m:t>Bewertung</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PE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Dichte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Mobilität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Sanierung,typ</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bookmarkEnd w:id="36"/>
    </w:p>
    <w:p w14:paraId="3CD3F28C" w14:textId="77777777" w:rsidR="004E4CC2" w:rsidRDefault="00000000">
      <w:pPr>
        <w:pStyle w:val="FirstParagraph"/>
      </w:pPr>
      <w:r>
        <w:t xml:space="preserve">Die Bewertung erfolgt in kWh PE/(m² NGF·a). Positive Kontextwerte entlasten die Anforderung, negative erhöhen sie. Der </w:t>
      </w:r>
      <w:r>
        <w:rPr>
          <w:b/>
          <w:bCs/>
        </w:rPr>
        <w:t>Mobilitätswert</w:t>
      </w:r>
      <w:r>
        <w:t xml:space="preserve"> entsteht aus der nationalen Sektorallokation und wird ausschließlich bei Einbeziehung des entsprechenden MIV-Bedarfs angesetzt. Der </w:t>
      </w:r>
      <w:r>
        <w:rPr>
          <w:b/>
          <w:bCs/>
        </w:rPr>
        <w:t>Sanierungswert</w:t>
      </w:r>
      <w:r>
        <w:t xml:space="preserve"> ist </w:t>
      </w:r>
      <w:r>
        <w:rPr>
          <w:i/>
          <w:iCs/>
        </w:rPr>
        <w:t>typologieabhängig</w:t>
      </w:r>
      <w:r>
        <w:t xml:space="preserve"> und wird nicht als genereller Pauschalwert festgelegt. Dichte- und Sanierungsparameter sind gemeinsam auf den sektoralen Zielsaldo abzustimmen; bereits in einem typologischen Zielsaldo berücksichtigte Wirkungen dürfen nicht noch einmal addiert werden.</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94"/>
      </w:tblGrid>
      <w:tr w:rsidR="004E4CC2" w14:paraId="43536959" w14:textId="77777777" w:rsidTr="004E4CC2">
        <w:trPr>
          <w:cantSplit/>
        </w:trPr>
        <w:tc>
          <w:tcPr>
            <w:tcW w:w="0" w:type="auto"/>
            <w:shd w:val="clear" w:color="auto" w:fill="DAE6FB"/>
            <w:tcMar>
              <w:top w:w="92" w:type="dxa"/>
              <w:bottom w:w="92" w:type="dxa"/>
            </w:tcMar>
          </w:tcPr>
          <w:p w14:paraId="2A0CACF1" w14:textId="77777777" w:rsidR="004E4CC2" w:rsidRDefault="00000000">
            <w:pPr>
              <w:pStyle w:val="Textkrper"/>
              <w:spacing w:before="0" w:after="0"/>
              <w:textAlignment w:val="center"/>
            </w:pPr>
            <w:r>
              <w:rPr>
                <w:noProof/>
              </w:rPr>
              <w:drawing>
                <wp:inline distT="0" distB="0" distL="0" distR="0" wp14:anchorId="3C486AFD" wp14:editId="413D3FFB">
                  <wp:extent cx="152400" cy="15240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C:\Users\schneids\AppData\Local\Programs\Quarto\share\formats\docx\note.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t xml:space="preserve">  Sachstand des Publikationsentwurfs</w:t>
            </w:r>
          </w:p>
        </w:tc>
      </w:tr>
      <w:tr w:rsidR="004E4CC2" w14:paraId="6A6EA175" w14:textId="77777777" w:rsidTr="004E4CC2">
        <w:trPr>
          <w:cantSplit/>
        </w:trPr>
        <w:tc>
          <w:tcPr>
            <w:tcW w:w="0" w:type="auto"/>
            <w:tcMar>
              <w:top w:w="108" w:type="dxa"/>
              <w:bottom w:w="108" w:type="dxa"/>
            </w:tcMar>
          </w:tcPr>
          <w:p w14:paraId="71FD6654" w14:textId="77777777" w:rsidR="004E4CC2" w:rsidRDefault="00000000">
            <w:pPr>
              <w:pStyle w:val="Textkrper"/>
              <w:spacing w:before="16" w:after="16"/>
            </w:pPr>
            <w:r>
              <w:t>UBA Transition 2040 ist das festgelegte Referenzszenario. Die sektorale Allokation und die neue Gebäudetypologie mit Flächenverteilung sind in getrennten ausführbaren Notebooks ausgewertet (</w:t>
            </w:r>
            <w:hyperlink w:anchor="sec-allokation-notebook">
              <w:r>
                <w:rPr>
                  <w:rStyle w:val="Hyperlink"/>
                </w:rPr>
                <w:t>Anhang F</w:t>
              </w:r>
            </w:hyperlink>
            <w:r>
              <w:t xml:space="preserve">; </w:t>
            </w:r>
            <w:hyperlink w:anchor="sec-gebaeudesektormodell">
              <w:r>
                <w:rPr>
                  <w:rStyle w:val="Hyperlink"/>
                </w:rPr>
                <w:t>Anhang H</w:t>
              </w:r>
            </w:hyperlink>
            <w:r>
              <w:t>). Der Vergleich weist den Szenarioabstand und die Wirkung der historischen Dichteformel aus. Normative PEQ-Anteile und neue Typologiegrenzwerte sind im Entwurf nicht festgelegt. Die ursprüngliche Streicher-basierte Kalibrierung ist als methodischer Vorläufer dokumentiert (Schneider u. a. 2020, 2023).</w:t>
            </w:r>
          </w:p>
          <w:p w14:paraId="214B8D0B" w14:textId="77777777" w:rsidR="004E4CC2" w:rsidRDefault="004E4CC2"/>
        </w:tc>
      </w:tr>
    </w:tbl>
    <w:p w14:paraId="3134E3C4" w14:textId="77777777" w:rsidR="004E4CC2" w:rsidRDefault="00000000">
      <w:pPr>
        <w:pStyle w:val="berschrift1"/>
      </w:pPr>
      <w:bookmarkStart w:id="37" w:name="sec-zielszenario"/>
      <w:bookmarkStart w:id="38" w:name="_Toc243681236"/>
      <w:bookmarkEnd w:id="28"/>
      <w:bookmarkEnd w:id="34"/>
      <w:r>
        <w:lastRenderedPageBreak/>
        <w:t>4. Nationales Zielszenario 2040</w:t>
      </w:r>
      <w:bookmarkEnd w:id="38"/>
    </w:p>
    <w:p w14:paraId="55129D02" w14:textId="77777777" w:rsidR="004E4CC2" w:rsidRDefault="00000000">
      <w:pPr>
        <w:pStyle w:val="FirstParagraph"/>
      </w:pPr>
      <w:r>
        <w:t>UBA Transition 2040 als Referenz der nationalen Energieaufgabe</w:t>
      </w:r>
    </w:p>
    <w:p w14:paraId="461E4884" w14:textId="77777777" w:rsidR="004E4CC2" w:rsidRDefault="00000000">
      <w:pPr>
        <w:pStyle w:val="Textkrper"/>
      </w:pPr>
      <w:r>
        <w:t xml:space="preserve">UBA Transition 2040 (REP-0880) beschreibt die Erzeugung und den Bedarf im Zieljahr 2040 (Umweltbundesamt 2024). WEM/WAM 2023 und 2025 dienen als Vergleichsszenarien. Die sektorale Zuordnung folgt in </w:t>
      </w:r>
      <w:hyperlink w:anchor="sec-allokation">
        <w:r>
          <w:rPr>
            <w:rStyle w:val="Hyperlink"/>
          </w:rPr>
          <w:t>Kapitel 5</w:t>
        </w:r>
      </w:hyperlink>
      <w:r>
        <w:t xml:space="preserve">, der Abgleich mit Gebäudetypologien in </w:t>
      </w:r>
      <w:hyperlink w:anchor="sec-gebaeudebestand">
        <w:r>
          <w:rPr>
            <w:rStyle w:val="Hyperlink"/>
          </w:rPr>
          <w:t>Kapitel 6</w:t>
        </w:r>
      </w:hyperlink>
      <w:r>
        <w:t>.</w:t>
      </w:r>
    </w:p>
    <w:p w14:paraId="12D0D449" w14:textId="77777777" w:rsidR="004E4CC2" w:rsidRDefault="00000000">
      <w:pPr>
        <w:pStyle w:val="berschrift2"/>
      </w:pPr>
      <w:bookmarkStart w:id="39" w:name="stromerzeugung-und-strombedarf"/>
      <w:bookmarkStart w:id="40" w:name="_Toc243681237"/>
      <w:r>
        <w:t>4.1 Stromerzeugung und Strombedarf</w:t>
      </w:r>
      <w:bookmarkEnd w:id="40"/>
    </w:p>
    <w:p w14:paraId="706CB04F" w14:textId="77777777" w:rsidR="004E4CC2" w:rsidRDefault="00000000">
      <w:pPr>
        <w:pStyle w:val="FirstParagraph"/>
      </w:pPr>
      <w:r>
        <w:t>Die gestapelten Säulen zeigen die veröffentlichten Komponenten. Rauten markieren die publizierten Gesamtsummen; Nettoimporte beziehungsweise Exporte sind bei der Erzeugung gesondert dargestellt. Für Transition gelten REP-0880, Tabellen 15 und 16; die Vergleichsdaten stammen aus REP-0882 und REP-0995 (Umweltbundesamt 2024, 2023b, 2025).</w:t>
      </w:r>
    </w:p>
    <w:p w14:paraId="14B4C4F5" w14:textId="77777777" w:rsidR="004E4CC2" w:rsidRDefault="00000000">
      <w:pPr>
        <w:pStyle w:val="berschrift2"/>
      </w:pPr>
      <w:bookmarkStart w:id="41" w:name="bilanzreste-und-datengrundlage"/>
      <w:bookmarkStart w:id="42" w:name="_Toc243681238"/>
      <w:bookmarkEnd w:id="39"/>
      <w:r>
        <w:t>4.2 Bilanzreste und Datengrundlage</w:t>
      </w:r>
      <w:bookmarkEnd w:id="42"/>
    </w:p>
    <w:p w14:paraId="75F4A106" w14:textId="77777777" w:rsidR="004E4CC2" w:rsidRDefault="00000000">
      <w:pPr>
        <w:pStyle w:val="FirstParagraph"/>
      </w:pPr>
      <w:r>
        <w:t xml:space="preserve">Die gerundeten Bedarfskomponenten von Transition ergeben 452 PJ/a gegenüber einer publizierten Summe von 450 PJ/a. Die Komponentenbilanz einschließlich Nettoexport weist damit −2 PJ/a aus. Diese Differenz bleibt erhalten. Die vollständigen Tabellen zu Erzeugung, Bedarf, Resten und Endenergie stehen in </w:t>
      </w:r>
      <w:hyperlink w:anchor="sec-szenariotabellen">
        <w:r>
          <w:rPr>
            <w:rStyle w:val="Hyperlink"/>
          </w:rPr>
          <w:t>Anhang A</w:t>
        </w:r>
      </w:hyperlink>
      <w:r>
        <w:t>; ihre Quellen- und Tabellenverweise bleiben dort nachvollziehbar.</w:t>
      </w:r>
    </w:p>
    <w:p w14:paraId="44D261F5" w14:textId="77777777" w:rsidR="004E4CC2" w:rsidRDefault="00000000">
      <w:pPr>
        <w:pStyle w:val="berschrift2"/>
      </w:pPr>
      <w:bookmarkStart w:id="43" w:name="entwicklung-von-2020-bis-2040"/>
      <w:bookmarkStart w:id="44" w:name="_Toc243681239"/>
      <w:bookmarkEnd w:id="41"/>
      <w:r>
        <w:t>4.3 Entwicklung von 2020 bis 2040</w:t>
      </w:r>
      <w:bookmarkEnd w:id="44"/>
    </w:p>
    <w:p w14:paraId="5604DABB" w14:textId="77777777" w:rsidR="004E4CC2" w:rsidRDefault="00000000">
      <w:pPr>
        <w:pStyle w:val="FirstParagraph"/>
      </w:pPr>
      <w:r>
        <w:t>Die jährliche Stromerzeugung steigt von 249 auf 457 PJ, der veröffentlichte Strombedarf von 257 auf 450 PJ. Der gesamte energetische Endverbrauch sinkt von 1.053 auf 722 PJ. Transition verbindet damit Elektrifizierung und eine Minderung des Endenergieverbrauchs (Umweltbundesamt 2024, Tab. A, 15 und 16).</w:t>
      </w:r>
    </w:p>
    <w:tbl>
      <w:tblPr>
        <w:tblStyle w:val="Table"/>
        <w:tblW w:w="5000" w:type="pct"/>
        <w:tblLayout w:type="fixed"/>
        <w:tblLook w:val="0000" w:firstRow="0" w:lastRow="0" w:firstColumn="0" w:lastColumn="0" w:noHBand="0" w:noVBand="0"/>
      </w:tblPr>
      <w:tblGrid>
        <w:gridCol w:w="9622"/>
      </w:tblGrid>
      <w:tr w:rsidR="004E4CC2" w14:paraId="4563E3B2" w14:textId="77777777">
        <w:tc>
          <w:tcPr>
            <w:tcW w:w="7920" w:type="dxa"/>
          </w:tcPr>
          <w:p w14:paraId="134812E6" w14:textId="77777777" w:rsidR="004E4CC2" w:rsidRDefault="00000000">
            <w:pPr>
              <w:pStyle w:val="Compact"/>
              <w:jc w:val="center"/>
            </w:pPr>
            <w:bookmarkStart w:id="45" w:name="fig-transition-sankey"/>
            <w:r>
              <w:rPr>
                <w:noProof/>
              </w:rPr>
              <w:lastRenderedPageBreak/>
              <w:drawing>
                <wp:inline distT="0" distB="0" distL="0" distR="0" wp14:anchorId="65CC5261" wp14:editId="6A81370A">
                  <wp:extent cx="5334000" cy="3451411"/>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Kapitel/../Abbildungen/transition_sankey.png"/>
                          <pic:cNvPicPr>
                            <a:picLocks noChangeAspect="1" noChangeArrowheads="1"/>
                          </pic:cNvPicPr>
                        </pic:nvPicPr>
                        <pic:blipFill>
                          <a:blip r:embed="rId14"/>
                          <a:stretch>
                            <a:fillRect/>
                          </a:stretch>
                        </pic:blipFill>
                        <pic:spPr bwMode="auto">
                          <a:xfrm>
                            <a:off x="0" y="0"/>
                            <a:ext cx="5334000" cy="3451411"/>
                          </a:xfrm>
                          <a:prstGeom prst="rect">
                            <a:avLst/>
                          </a:prstGeom>
                          <a:noFill/>
                          <a:ln w="9525">
                            <a:noFill/>
                            <a:headEnd/>
                            <a:tailEnd/>
                          </a:ln>
                        </pic:spPr>
                      </pic:pic>
                    </a:graphicData>
                  </a:graphic>
                </wp:inline>
              </w:drawing>
            </w:r>
          </w:p>
          <w:p w14:paraId="4F09C8A9" w14:textId="77777777" w:rsidR="004E4CC2" w:rsidRDefault="00000000">
            <w:pPr>
              <w:pStyle w:val="ImageCaption"/>
              <w:spacing w:before="200"/>
            </w:pPr>
            <w:r>
              <w:t>Abbildung 4.1: Stromausbau, Strombedarf und Endenergieminderung gegenüber 2020.</w:t>
            </w:r>
          </w:p>
        </w:tc>
        <w:bookmarkEnd w:id="45"/>
      </w:tr>
    </w:tbl>
    <w:p w14:paraId="2422F783" w14:textId="77777777" w:rsidR="004E4CC2" w:rsidRDefault="00000000">
      <w:pPr>
        <w:pStyle w:val="Textkrper"/>
      </w:pPr>
      <w:r>
        <w:t>Die Minderung der Endenergie beträgt nach Gesamtsummen 331 PJ/a und nach gerundeten Sektorkomponenten 330 PJ/a. Für WEM/WAM 2025 folgt die Normierung Tabelle E in REP-0995; Abweichungen zu Tabelle 19 desselben Berichts sind im Datenanhang dokumentiert.</w:t>
      </w:r>
    </w:p>
    <w:p w14:paraId="6C7E19E1" w14:textId="77777777" w:rsidR="004E4CC2" w:rsidRDefault="00000000">
      <w:pPr>
        <w:pStyle w:val="berschrift2"/>
      </w:pPr>
      <w:bookmarkStart w:id="46" w:name="übergang-zur-allokation"/>
      <w:bookmarkStart w:id="47" w:name="_Toc243681240"/>
      <w:bookmarkEnd w:id="43"/>
      <w:r>
        <w:t>4.4 Übergang zur Allokation</w:t>
      </w:r>
      <w:bookmarkEnd w:id="47"/>
    </w:p>
    <w:p w14:paraId="3CB3BCE8" w14:textId="77777777" w:rsidR="004E4CC2" w:rsidRDefault="00000000">
      <w:pPr>
        <w:pStyle w:val="FirstParagraph"/>
      </w:pPr>
      <w:r>
        <w:t xml:space="preserve">Die UBA-Tabellen enthalten weder die für PEQ benötigte Aufteilung der PV auf Gebäude und Freiflächen noch jene des Verkehrs auf MIV und ÖPNV. Diese Aufteilungen sind explizite Parameter der Allokation in </w:t>
      </w:r>
      <w:hyperlink w:anchor="sec-allokation">
        <w:r>
          <w:rPr>
            <w:rStyle w:val="Hyperlink"/>
          </w:rPr>
          <w:t>Kapitel 5</w:t>
        </w:r>
      </w:hyperlink>
      <w:r>
        <w:t>. Die Quelldaten bleiben davon unverändert.</w:t>
      </w:r>
    </w:p>
    <w:p w14:paraId="5662E6F9" w14:textId="77777777" w:rsidR="004E4CC2" w:rsidRDefault="00000000">
      <w:pPr>
        <w:pStyle w:val="Textkrper"/>
      </w:pPr>
      <w:r>
        <w:t>Die historische Ableitung nach Streicher et al. bildet den methodischen Ausgangspunkt; das Referenzszenario dieses Entwurfs ist Transition 2040 (Streicher u. a. 2010; Schneider u. a. 2020, 2023).</w:t>
      </w:r>
    </w:p>
    <w:p w14:paraId="2B43BE5E" w14:textId="77777777" w:rsidR="004E4CC2" w:rsidRDefault="00000000">
      <w:pPr>
        <w:pStyle w:val="berschrift1"/>
      </w:pPr>
      <w:bookmarkStart w:id="48" w:name="sec-allokation"/>
      <w:bookmarkStart w:id="49" w:name="_Toc243681241"/>
      <w:bookmarkEnd w:id="37"/>
      <w:bookmarkEnd w:id="46"/>
      <w:r>
        <w:t>5. Sektorale Energieallokation</w:t>
      </w:r>
      <w:bookmarkEnd w:id="49"/>
    </w:p>
    <w:p w14:paraId="60EAE2CE" w14:textId="77777777" w:rsidR="004E4CC2" w:rsidRDefault="00000000">
      <w:pPr>
        <w:pStyle w:val="FirstParagraph"/>
      </w:pPr>
      <w:r>
        <w:t>Vom nationalen Stromsystem zum Gebäudesektorsaldo und zum Mobilitätsbudget</w:t>
      </w:r>
    </w:p>
    <w:p w14:paraId="2E0BDDB1" w14:textId="77777777" w:rsidR="004E4CC2" w:rsidRDefault="00000000">
      <w:pPr>
        <w:pStyle w:val="Textkrper"/>
      </w:pPr>
      <w:r>
        <w:t xml:space="preserve">Die Allokation verteilt die Stromerzeugung und den Bedarf aus UBA Transition 2040 auf sektorale Verantwortungsbereiche. Sie liefert zwei verbundene Größen: den Zielsaldo für Gebäude einschließlich MIV und das aus zentraler Erzeugung zugeordnete Mobilitätsbudget. Die Rechnung ist in </w:t>
      </w:r>
      <w:hyperlink w:anchor="sec-allokation-notebook">
        <w:r>
          <w:rPr>
            <w:rStyle w:val="Hyperlink"/>
          </w:rPr>
          <w:t>Anhang F</w:t>
        </w:r>
      </w:hyperlink>
      <w:r>
        <w:t xml:space="preserve"> dokumentiert.</w:t>
      </w:r>
    </w:p>
    <w:p w14:paraId="18449583" w14:textId="77777777" w:rsidR="004E4CC2" w:rsidRDefault="00000000">
      <w:pPr>
        <w:pStyle w:val="berschrift2"/>
      </w:pPr>
      <w:bookmarkStart w:id="50" w:name="begriffe-und-bilanzgrößen"/>
      <w:bookmarkStart w:id="51" w:name="_Toc243681242"/>
      <w:r>
        <w:lastRenderedPageBreak/>
        <w:t>5.1 Begriffe und Bilanzgrößen</w:t>
      </w:r>
      <w:bookmarkEnd w:id="51"/>
    </w:p>
    <w:tbl>
      <w:tblPr>
        <w:tblStyle w:val="Table"/>
        <w:tblW w:w="5000" w:type="pct"/>
        <w:tblLayout w:type="fixed"/>
        <w:tblLook w:val="0000" w:firstRow="0" w:lastRow="0" w:firstColumn="0" w:lastColumn="0" w:noHBand="0" w:noVBand="0"/>
      </w:tblPr>
      <w:tblGrid>
        <w:gridCol w:w="9622"/>
      </w:tblGrid>
      <w:tr w:rsidR="004E4CC2" w14:paraId="3295CE2A" w14:textId="77777777">
        <w:tc>
          <w:tcPr>
            <w:tcW w:w="7920" w:type="dxa"/>
          </w:tcPr>
          <w:p w14:paraId="1A287DA3" w14:textId="77777777" w:rsidR="004E4CC2" w:rsidRDefault="00000000">
            <w:pPr>
              <w:pStyle w:val="ImageCaption"/>
              <w:spacing w:before="200"/>
            </w:pPr>
            <w:bookmarkStart w:id="52" w:name="tbl-allokation-glossar"/>
            <w:r>
              <w:t>Tabelle 5.1: Glossar der sektoralen Allokation.</w:t>
            </w:r>
          </w:p>
          <w:tbl>
            <w:tblPr>
              <w:tblStyle w:val="Table"/>
              <w:tblW w:w="5000" w:type="pct"/>
              <w:tblLayout w:type="fixed"/>
              <w:tblLook w:val="0020" w:firstRow="1" w:lastRow="0" w:firstColumn="0" w:lastColumn="0" w:noHBand="0" w:noVBand="0"/>
            </w:tblPr>
            <w:tblGrid>
              <w:gridCol w:w="4703"/>
              <w:gridCol w:w="4703"/>
            </w:tblGrid>
            <w:tr w:rsidR="004E4CC2" w14:paraId="5E537669"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3960" w:type="dxa"/>
                </w:tcPr>
                <w:p w14:paraId="1E688ECA" w14:textId="77777777" w:rsidR="004E4CC2" w:rsidRDefault="00000000">
                  <w:pPr>
                    <w:pStyle w:val="Compact"/>
                    <w:jc w:val="center"/>
                  </w:pPr>
                  <w:r>
                    <w:t>Begriff</w:t>
                  </w:r>
                </w:p>
              </w:tc>
              <w:tc>
                <w:tcPr>
                  <w:tcW w:w="3960" w:type="dxa"/>
                </w:tcPr>
                <w:p w14:paraId="2C3A942E" w14:textId="77777777" w:rsidR="004E4CC2" w:rsidRDefault="00000000">
                  <w:pPr>
                    <w:pStyle w:val="Compact"/>
                    <w:jc w:val="center"/>
                  </w:pPr>
                  <w:r>
                    <w:t>Bedeutung im Modell</w:t>
                  </w:r>
                </w:p>
              </w:tc>
            </w:tr>
            <w:tr w:rsidR="004E4CC2" w14:paraId="0BB92F82" w14:textId="77777777">
              <w:tc>
                <w:tcPr>
                  <w:tcW w:w="3960" w:type="dxa"/>
                </w:tcPr>
                <w:p w14:paraId="42F281D8" w14:textId="77777777" w:rsidR="004E4CC2" w:rsidRDefault="00000000">
                  <w:pPr>
                    <w:pStyle w:val="Compact"/>
                    <w:jc w:val="center"/>
                  </w:pPr>
                  <w:r>
                    <w:t>Zentraler Pool</w:t>
                  </w:r>
                </w:p>
              </w:tc>
              <w:tc>
                <w:tcPr>
                  <w:tcW w:w="3960" w:type="dxa"/>
                </w:tcPr>
                <w:p w14:paraId="6C6C244B" w14:textId="77777777" w:rsidR="004E4CC2" w:rsidRDefault="00000000">
                  <w:pPr>
                    <w:pStyle w:val="Compact"/>
                    <w:jc w:val="center"/>
                  </w:pPr>
                  <w:r>
                    <w:t>Für die priorisierten Bedarfe angesetzte Nicht-PV-Stromerzeugung; „zentral“ bezeichnet die Allokation, nicht Anlagengröße oder Eigentum.</w:t>
                  </w:r>
                </w:p>
              </w:tc>
            </w:tr>
            <w:tr w:rsidR="004E4CC2" w14:paraId="64B992C6" w14:textId="77777777">
              <w:tc>
                <w:tcPr>
                  <w:tcW w:w="3960" w:type="dxa"/>
                </w:tcPr>
                <w:p w14:paraId="5A60552F" w14:textId="77777777" w:rsidR="004E4CC2" w:rsidRDefault="00000000">
                  <w:pPr>
                    <w:pStyle w:val="Compact"/>
                    <w:jc w:val="center"/>
                  </w:pPr>
                  <w:r>
                    <w:t>Budgetfähig</w:t>
                  </w:r>
                </w:p>
              </w:tc>
              <w:tc>
                <w:tcPr>
                  <w:tcW w:w="3960" w:type="dxa"/>
                </w:tcPr>
                <w:p w14:paraId="3CB0C670" w14:textId="77777777" w:rsidR="004E4CC2" w:rsidRDefault="00000000">
                  <w:pPr>
                    <w:pStyle w:val="Compact"/>
                    <w:jc w:val="center"/>
                  </w:pPr>
                  <w:r>
                    <w:t>Nach der gewählten Zuordnungsregel für diesen Pool anrechenbar. Der Begriff beschreibt eine Modellentscheidung, keinen Herkunftsnachweis.</w:t>
                  </w:r>
                </w:p>
              </w:tc>
            </w:tr>
            <w:tr w:rsidR="004E4CC2" w14:paraId="1CECEC53" w14:textId="77777777">
              <w:tc>
                <w:tcPr>
                  <w:tcW w:w="3960" w:type="dxa"/>
                </w:tcPr>
                <w:p w14:paraId="3E4098D6" w14:textId="77777777" w:rsidR="004E4CC2" w:rsidRDefault="00000000">
                  <w:pPr>
                    <w:pStyle w:val="Compact"/>
                    <w:jc w:val="center"/>
                  </w:pPr>
                  <w:r>
                    <w:t>Gebäude-PV</w:t>
                  </w:r>
                </w:p>
              </w:tc>
              <w:tc>
                <w:tcPr>
                  <w:tcW w:w="3960" w:type="dxa"/>
                </w:tcPr>
                <w:p w14:paraId="4F341A97" w14:textId="77777777" w:rsidR="004E4CC2" w:rsidRDefault="00000000">
                  <w:pPr>
                    <w:pStyle w:val="Compact"/>
                    <w:jc w:val="center"/>
                  </w:pPr>
                  <w:r>
                    <w:t>Anteil der nationalen PV-Erzeugung, der dem Gebäudesektor zugeordnet wird.</w:t>
                  </w:r>
                </w:p>
              </w:tc>
            </w:tr>
            <w:tr w:rsidR="004E4CC2" w14:paraId="5DF15A10" w14:textId="77777777">
              <w:tc>
                <w:tcPr>
                  <w:tcW w:w="3960" w:type="dxa"/>
                </w:tcPr>
                <w:p w14:paraId="4832DAFB" w14:textId="77777777" w:rsidR="004E4CC2" w:rsidRDefault="00000000">
                  <w:pPr>
                    <w:pStyle w:val="Compact"/>
                    <w:jc w:val="center"/>
                  </w:pPr>
                  <w:r>
                    <w:t>Freiflächen-PV</w:t>
                  </w:r>
                </w:p>
              </w:tc>
              <w:tc>
                <w:tcPr>
                  <w:tcW w:w="3960" w:type="dxa"/>
                </w:tcPr>
                <w:p w14:paraId="6207BD2D" w14:textId="77777777" w:rsidR="004E4CC2" w:rsidRDefault="00000000">
                  <w:pPr>
                    <w:pStyle w:val="Compact"/>
                    <w:jc w:val="center"/>
                  </w:pPr>
                  <w:r>
                    <w:t>Im Modell die gesamte PV außerhalb von Gebäuden; sie bleibt als eigener nationaler Pool ausgewiesen.</w:t>
                  </w:r>
                </w:p>
              </w:tc>
            </w:tr>
            <w:tr w:rsidR="004E4CC2" w14:paraId="685904DB" w14:textId="77777777">
              <w:tc>
                <w:tcPr>
                  <w:tcW w:w="3960" w:type="dxa"/>
                </w:tcPr>
                <w:p w14:paraId="0F18F52D" w14:textId="77777777" w:rsidR="004E4CC2" w:rsidRDefault="00000000">
                  <w:pPr>
                    <w:pStyle w:val="Compact"/>
                    <w:jc w:val="center"/>
                  </w:pPr>
                  <w:r>
                    <w:t>MIV-Anteil</w:t>
                  </w:r>
                </w:p>
              </w:tc>
              <w:tc>
                <w:tcPr>
                  <w:tcW w:w="3960" w:type="dxa"/>
                </w:tcPr>
                <w:p w14:paraId="4B827F43" w14:textId="77777777" w:rsidR="004E4CC2" w:rsidRDefault="00000000">
                  <w:pPr>
                    <w:pStyle w:val="Compact"/>
                    <w:jc w:val="center"/>
                  </w:pPr>
                  <w:r>
                    <w:t xml:space="preserve">Anteil des MIV am </w:t>
                  </w:r>
                  <w:r>
                    <w:rPr>
                      <w:b/>
                      <w:bCs/>
                    </w:rPr>
                    <w:t>elektrischen Energiebedarf</w:t>
                  </w:r>
                  <w:r>
                    <w:t xml:space="preserve"> des Verkehrs; kein Wege- oder Personenkilometeranteil.</w:t>
                  </w:r>
                </w:p>
              </w:tc>
            </w:tr>
            <w:tr w:rsidR="004E4CC2" w14:paraId="1A329937" w14:textId="77777777">
              <w:tc>
                <w:tcPr>
                  <w:tcW w:w="3960" w:type="dxa"/>
                </w:tcPr>
                <w:p w14:paraId="3A1C2564" w14:textId="77777777" w:rsidR="004E4CC2" w:rsidRDefault="00000000">
                  <w:pPr>
                    <w:pStyle w:val="Compact"/>
                    <w:jc w:val="center"/>
                  </w:pPr>
                  <w:r>
                    <w:t>ÖPNV</w:t>
                  </w:r>
                </w:p>
              </w:tc>
              <w:tc>
                <w:tcPr>
                  <w:tcW w:w="3960" w:type="dxa"/>
                </w:tcPr>
                <w:p w14:paraId="64D35361" w14:textId="77777777" w:rsidR="004E4CC2" w:rsidRDefault="00000000">
                  <w:pPr>
                    <w:pStyle w:val="Compact"/>
                    <w:jc w:val="center"/>
                  </w:pPr>
                  <w:r>
                    <w:t>Öffentlicher Personenverkehr; eigene Teilmenge des elektrischen Verkehrsbedarfs. Übriger Verkehr wird separat geführt.</w:t>
                  </w:r>
                </w:p>
              </w:tc>
            </w:tr>
            <w:tr w:rsidR="004E4CC2" w14:paraId="2DBCD6F3" w14:textId="77777777">
              <w:tc>
                <w:tcPr>
                  <w:tcW w:w="3960" w:type="dxa"/>
                </w:tcPr>
                <w:p w14:paraId="222C98D1" w14:textId="77777777" w:rsidR="004E4CC2" w:rsidRDefault="00000000">
                  <w:pPr>
                    <w:pStyle w:val="Compact"/>
                    <w:jc w:val="center"/>
                  </w:pPr>
                  <w:r>
                    <w:t>MIV-Budget / Mobilitätsgutschrift</w:t>
                  </w:r>
                </w:p>
              </w:tc>
              <w:tc>
                <w:tcPr>
                  <w:tcW w:w="3960" w:type="dxa"/>
                </w:tcPr>
                <w:p w14:paraId="23EF487E" w14:textId="77777777" w:rsidR="004E4CC2" w:rsidRDefault="00000000">
                  <w:pPr>
                    <w:pStyle w:val="Compact"/>
                    <w:jc w:val="center"/>
                  </w:pPr>
                  <w:r>
                    <w:t xml:space="preserve">Dem MIV zugeteilte Deckung aus dem zentralen Pool in PJ Strom/a. Die nutzungsbezogene PE-Gutschrift ist in </w:t>
                  </w:r>
                  <w:hyperlink w:anchor="sec-kontext-mobilitaet">
                    <w:r>
                      <w:rPr>
                        <w:rStyle w:val="Hyperlink"/>
                      </w:rPr>
                      <w:t>Kapitel 8</w:t>
                    </w:r>
                  </w:hyperlink>
                  <w:r>
                    <w:t xml:space="preserve"> definiert.</w:t>
                  </w:r>
                </w:p>
              </w:tc>
            </w:tr>
            <w:tr w:rsidR="004E4CC2" w14:paraId="15B66367" w14:textId="77777777">
              <w:tc>
                <w:tcPr>
                  <w:tcW w:w="3960" w:type="dxa"/>
                </w:tcPr>
                <w:p w14:paraId="408F0590" w14:textId="77777777" w:rsidR="004E4CC2" w:rsidRDefault="00000000">
                  <w:pPr>
                    <w:pStyle w:val="Compact"/>
                    <w:jc w:val="center"/>
                  </w:pPr>
                  <w:r>
                    <w:t>Saldo</w:t>
                  </w:r>
                </w:p>
              </w:tc>
              <w:tc>
                <w:tcPr>
                  <w:tcW w:w="3960" w:type="dxa"/>
                </w:tcPr>
                <w:p w14:paraId="49D5449F" w14:textId="77777777" w:rsidR="004E4CC2" w:rsidRDefault="00000000">
                  <w:pPr>
                    <w:pStyle w:val="Compact"/>
                    <w:jc w:val="center"/>
                  </w:pPr>
                  <w:r>
                    <w:t>Zugeordnete Deckung minus Bedarf; positiv bedeutet Überschuss, negativ Deckungslücke.</w:t>
                  </w:r>
                </w:p>
              </w:tc>
            </w:tr>
            <w:bookmarkEnd w:id="52"/>
          </w:tbl>
          <w:p w14:paraId="11101F84" w14:textId="77777777" w:rsidR="004E4CC2" w:rsidRDefault="004E4CC2"/>
        </w:tc>
      </w:tr>
    </w:tbl>
    <w:p w14:paraId="3812F87A" w14:textId="77777777" w:rsidR="004E4CC2" w:rsidRDefault="00000000">
      <w:pPr>
        <w:pStyle w:val="berschrift2"/>
      </w:pPr>
      <w:bookmarkStart w:id="53" w:name="erzeugungszuordnung-und-prioritäten"/>
      <w:bookmarkStart w:id="54" w:name="_Toc243681243"/>
      <w:bookmarkEnd w:id="50"/>
      <w:r>
        <w:t>5.2 Erzeugungszuordnung und Prioritäten</w:t>
      </w:r>
      <w:bookmarkEnd w:id="54"/>
    </w:p>
    <w:p w14:paraId="4AD32448" w14:textId="77777777" w:rsidR="004E4CC2" w:rsidRDefault="00000000">
      <w:pPr>
        <w:pStyle w:val="FirstParagraph"/>
      </w:pPr>
      <w:r>
        <w:t>Der Referenzfall ordnet die 149 PJ/a PV vollständig den Gebäuden zu. Freiflächen-PV bleibt in Varianten separat; sie wird nicht in den zentralen Nicht-PV-Pool umgebucht. Diese Regel macht sichtbar, wie sich die Gebäudeaufgabe mit der PV-Zuordnung verändert.</w:t>
      </w:r>
    </w:p>
    <w:p w14:paraId="2123AE55" w14:textId="77777777" w:rsidR="004E4CC2" w:rsidRDefault="00000000">
      <w:pPr>
        <w:pStyle w:val="Textkrper"/>
      </w:pPr>
      <w:r>
        <w:t xml:space="preserve">Dem zentralen Pool werden Wasserkraft (173 PJ/a), Windkraft (105), Biomasse (21) und die normierte Position Geothermie/sonstige (4) zugeordnet: zusammen </w:t>
      </w:r>
      <w:r>
        <w:rPr>
          <w:b/>
          <w:bCs/>
        </w:rPr>
        <w:t>303 PJ/a</w:t>
      </w:r>
      <w:r>
        <w:t>. Wasserstoff-Rückverstromung (4 PJ/a) ist im Referenzfall wegen der nicht dokumentierten Herkunft nicht angerechnet; eine Variante zeigt die vollständige Anrechnung. Fossile Erzeugung (1 PJ/a) bleibt außerhalb des Pools (Umweltbundesamt 2024, Tab. 16).</w:t>
      </w:r>
    </w:p>
    <w:p w14:paraId="70E3B3FD" w14:textId="77777777" w:rsidR="004E4CC2" w:rsidRDefault="00000000">
      <w:pPr>
        <w:pStyle w:val="Textkrper"/>
      </w:pPr>
      <w:r>
        <w:lastRenderedPageBreak/>
        <w:t xml:space="preserve">Die zentrale Erzeugung deckt zuerst Industrie, Landwirtschaft, Energiebranche, Umwandlung, Netzverluste und Nettoexport sowie ÖPNV und übrigen Verkehr. Bei 20 % ÖPNV und 80 % MIV an 90 PJ/a Verkehrsbedarf verbleiben </w:t>
      </w:r>
      <w:r>
        <w:rPr>
          <w:b/>
          <w:bCs/>
        </w:rPr>
        <w:t>24 PJ/a für MIV</w:t>
      </w:r>
      <w:r>
        <w:t>. Die Priorität folgt dem Allokationsansatz nach Schneider u. a. (2020) und Schneider u. a. (2023); die Mengen stammen aus Transition 2040.</w:t>
      </w:r>
    </w:p>
    <w:tbl>
      <w:tblPr>
        <w:tblStyle w:val="Table"/>
        <w:tblW w:w="5000" w:type="pct"/>
        <w:tblLayout w:type="fixed"/>
        <w:tblLook w:val="0000" w:firstRow="0" w:lastRow="0" w:firstColumn="0" w:lastColumn="0" w:noHBand="0" w:noVBand="0"/>
      </w:tblPr>
      <w:tblGrid>
        <w:gridCol w:w="9622"/>
      </w:tblGrid>
      <w:tr w:rsidR="004E4CC2" w14:paraId="12702DCD" w14:textId="77777777">
        <w:tc>
          <w:tcPr>
            <w:tcW w:w="7920" w:type="dxa"/>
          </w:tcPr>
          <w:p w14:paraId="6A7CEB31" w14:textId="77777777" w:rsidR="004E4CC2" w:rsidRDefault="00000000">
            <w:pPr>
              <w:pStyle w:val="ImageCaption"/>
              <w:spacing w:before="200"/>
            </w:pPr>
            <w:bookmarkStart w:id="55" w:name="tbl-allokation-datenbedarf"/>
            <w:r>
              <w:t>Tabelle 5.2: Zuordnungsregeln des Referenzfalls. Die PV- und Verkehrsanteile sind Modellannahmen.</w:t>
            </w:r>
          </w:p>
          <w:tbl>
            <w:tblPr>
              <w:tblStyle w:val="Table"/>
              <w:tblW w:w="5000" w:type="pct"/>
              <w:tblLayout w:type="fixed"/>
              <w:tblLook w:val="0020" w:firstRow="1" w:lastRow="0" w:firstColumn="0" w:lastColumn="0" w:noHBand="0" w:noVBand="0"/>
            </w:tblPr>
            <w:tblGrid>
              <w:gridCol w:w="4703"/>
              <w:gridCol w:w="4703"/>
            </w:tblGrid>
            <w:tr w:rsidR="004E4CC2" w14:paraId="1956D927"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3960" w:type="dxa"/>
                </w:tcPr>
                <w:p w14:paraId="5557A16C" w14:textId="77777777" w:rsidR="004E4CC2" w:rsidRDefault="00000000">
                  <w:pPr>
                    <w:pStyle w:val="Compact"/>
                    <w:jc w:val="center"/>
                  </w:pPr>
                  <w:r>
                    <w:t>Position</w:t>
                  </w:r>
                </w:p>
              </w:tc>
              <w:tc>
                <w:tcPr>
                  <w:tcW w:w="3960" w:type="dxa"/>
                </w:tcPr>
                <w:p w14:paraId="1DD89849" w14:textId="77777777" w:rsidR="004E4CC2" w:rsidRDefault="00000000">
                  <w:pPr>
                    <w:pStyle w:val="Compact"/>
                    <w:jc w:val="center"/>
                  </w:pPr>
                  <w:r>
                    <w:t>Ansatz im Referenzfall</w:t>
                  </w:r>
                </w:p>
              </w:tc>
            </w:tr>
            <w:tr w:rsidR="004E4CC2" w14:paraId="7A97D7DF" w14:textId="77777777">
              <w:tc>
                <w:tcPr>
                  <w:tcW w:w="3960" w:type="dxa"/>
                </w:tcPr>
                <w:p w14:paraId="33D55C39" w14:textId="77777777" w:rsidR="004E4CC2" w:rsidRDefault="00000000">
                  <w:pPr>
                    <w:pStyle w:val="Compact"/>
                    <w:jc w:val="center"/>
                  </w:pPr>
                  <w:r>
                    <w:t>Nicht-PV-Pool</w:t>
                  </w:r>
                </w:p>
              </w:tc>
              <w:tc>
                <w:tcPr>
                  <w:tcW w:w="3960" w:type="dxa"/>
                </w:tcPr>
                <w:p w14:paraId="1B3FD33F" w14:textId="77777777" w:rsidR="004E4CC2" w:rsidRDefault="00000000">
                  <w:pPr>
                    <w:pStyle w:val="Compact"/>
                    <w:jc w:val="center"/>
                  </w:pPr>
                  <w:r>
                    <w:t>Wasser, Wind, Biomasse, Geothermie/sonstige</w:t>
                  </w:r>
                </w:p>
              </w:tc>
            </w:tr>
            <w:tr w:rsidR="004E4CC2" w14:paraId="72770E25" w14:textId="77777777">
              <w:tc>
                <w:tcPr>
                  <w:tcW w:w="3960" w:type="dxa"/>
                </w:tcPr>
                <w:p w14:paraId="2E418ADC" w14:textId="77777777" w:rsidR="004E4CC2" w:rsidRDefault="00000000">
                  <w:pPr>
                    <w:pStyle w:val="Compact"/>
                    <w:jc w:val="center"/>
                  </w:pPr>
                  <w:r>
                    <w:t>PV</w:t>
                  </w:r>
                </w:p>
              </w:tc>
              <w:tc>
                <w:tcPr>
                  <w:tcW w:w="3960" w:type="dxa"/>
                </w:tcPr>
                <w:p w14:paraId="2378F5B6" w14:textId="77777777" w:rsidR="004E4CC2" w:rsidRDefault="00000000">
                  <w:pPr>
                    <w:pStyle w:val="Compact"/>
                    <w:jc w:val="center"/>
                  </w:pPr>
                  <w:r>
                    <w:t>100 % Gebäude, 0 % Freifläche</w:t>
                  </w:r>
                </w:p>
              </w:tc>
            </w:tr>
            <w:tr w:rsidR="004E4CC2" w14:paraId="0E5F855D" w14:textId="77777777">
              <w:tc>
                <w:tcPr>
                  <w:tcW w:w="3960" w:type="dxa"/>
                </w:tcPr>
                <w:p w14:paraId="5C66A923" w14:textId="77777777" w:rsidR="004E4CC2" w:rsidRDefault="00000000">
                  <w:pPr>
                    <w:pStyle w:val="Compact"/>
                    <w:jc w:val="center"/>
                  </w:pPr>
                  <w:r>
                    <w:t>Verkehr</w:t>
                  </w:r>
                </w:p>
              </w:tc>
              <w:tc>
                <w:tcPr>
                  <w:tcW w:w="3960" w:type="dxa"/>
                </w:tcPr>
                <w:p w14:paraId="69737BC1" w14:textId="77777777" w:rsidR="004E4CC2" w:rsidRDefault="00000000">
                  <w:pPr>
                    <w:pStyle w:val="Compact"/>
                    <w:jc w:val="center"/>
                  </w:pPr>
                  <w:r>
                    <w:t>80 % MIV, 20 % ÖPNV, 0 % übriger Verkehr</w:t>
                  </w:r>
                </w:p>
              </w:tc>
            </w:tr>
            <w:tr w:rsidR="004E4CC2" w14:paraId="58CDC0C6" w14:textId="77777777">
              <w:tc>
                <w:tcPr>
                  <w:tcW w:w="3960" w:type="dxa"/>
                </w:tcPr>
                <w:p w14:paraId="018C09FF" w14:textId="77777777" w:rsidR="004E4CC2" w:rsidRDefault="00000000">
                  <w:pPr>
                    <w:pStyle w:val="Compact"/>
                    <w:jc w:val="center"/>
                  </w:pPr>
                  <w:r>
                    <w:t>Systempositionen</w:t>
                  </w:r>
                </w:p>
              </w:tc>
              <w:tc>
                <w:tcPr>
                  <w:tcW w:w="3960" w:type="dxa"/>
                </w:tcPr>
                <w:p w14:paraId="74681A81" w14:textId="77777777" w:rsidR="004E4CC2" w:rsidRDefault="00000000">
                  <w:pPr>
                    <w:pStyle w:val="Compact"/>
                    <w:jc w:val="center"/>
                  </w:pPr>
                  <w:r>
                    <w:t>Einmaliger Abzug von Energiebranche, Umwandlung, Verlusten und Nettoexport</w:t>
                  </w:r>
                </w:p>
              </w:tc>
            </w:tr>
            <w:tr w:rsidR="004E4CC2" w14:paraId="645232F3" w14:textId="77777777">
              <w:tc>
                <w:tcPr>
                  <w:tcW w:w="3960" w:type="dxa"/>
                </w:tcPr>
                <w:p w14:paraId="68693F53" w14:textId="77777777" w:rsidR="004E4CC2" w:rsidRDefault="00000000">
                  <w:pPr>
                    <w:pStyle w:val="Compact"/>
                    <w:jc w:val="center"/>
                  </w:pPr>
                  <w:r>
                    <w:t>H₂-Rückverstromung</w:t>
                  </w:r>
                </w:p>
              </w:tc>
              <w:tc>
                <w:tcPr>
                  <w:tcW w:w="3960" w:type="dxa"/>
                </w:tcPr>
                <w:p w14:paraId="28AF335D" w14:textId="77777777" w:rsidR="004E4CC2" w:rsidRDefault="00000000">
                  <w:pPr>
                    <w:pStyle w:val="Compact"/>
                    <w:jc w:val="center"/>
                  </w:pPr>
                  <w:r>
                    <w:t>0 % anrechenbar; Vergleichsvariante mit 100 %</w:t>
                  </w:r>
                </w:p>
              </w:tc>
            </w:tr>
            <w:bookmarkEnd w:id="55"/>
          </w:tbl>
          <w:p w14:paraId="40798F03" w14:textId="77777777" w:rsidR="004E4CC2" w:rsidRDefault="004E4CC2"/>
        </w:tc>
      </w:tr>
    </w:tbl>
    <w:p w14:paraId="7499BE6D" w14:textId="77777777" w:rsidR="004E4CC2" w:rsidRDefault="00000000">
      <w:pPr>
        <w:pStyle w:val="berschrift2"/>
      </w:pPr>
      <w:bookmarkStart w:id="56" w:name="sec-allokation-miv"/>
      <w:bookmarkStart w:id="57" w:name="_Toc243681244"/>
      <w:bookmarkEnd w:id="53"/>
      <w:r>
        <w:t>5.3 Berechnung von Mobilitätsbudget und Gebäudesaldo</w:t>
      </w:r>
      <w:bookmarkEnd w:id="57"/>
    </w:p>
    <w:p w14:paraId="492B5B33" w14:textId="77777777" w:rsidR="004E4CC2" w:rsidRDefault="00000000">
      <w:pPr>
        <w:pStyle w:val="FirstParagraph"/>
      </w:pPr>
      <w:r>
        <w:t>Für die Berechnung gelten folgende jährliche Stromgrößen:</w:t>
      </w:r>
    </w:p>
    <w:tbl>
      <w:tblPr>
        <w:tblStyle w:val="Table"/>
        <w:tblW w:w="5000" w:type="pct"/>
        <w:tblLayout w:type="fixed"/>
        <w:tblLook w:val="0020" w:firstRow="1" w:lastRow="0" w:firstColumn="0" w:lastColumn="0" w:noHBand="0" w:noVBand="0"/>
      </w:tblPr>
      <w:tblGrid>
        <w:gridCol w:w="3208"/>
        <w:gridCol w:w="3207"/>
        <w:gridCol w:w="3207"/>
      </w:tblGrid>
      <w:tr w:rsidR="004E4CC2" w14:paraId="350F5150"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1F569A42" w14:textId="77777777" w:rsidR="004E4CC2" w:rsidRDefault="00000000">
            <w:pPr>
              <w:pStyle w:val="Compact"/>
            </w:pPr>
            <w:r>
              <w:t>Symbol</w:t>
            </w:r>
          </w:p>
        </w:tc>
        <w:tc>
          <w:tcPr>
            <w:tcW w:w="2640" w:type="dxa"/>
          </w:tcPr>
          <w:p w14:paraId="58688A93" w14:textId="77777777" w:rsidR="004E4CC2" w:rsidRDefault="00000000">
            <w:pPr>
              <w:pStyle w:val="Compact"/>
            </w:pPr>
            <w:r>
              <w:t>Definition</w:t>
            </w:r>
          </w:p>
        </w:tc>
        <w:tc>
          <w:tcPr>
            <w:tcW w:w="2640" w:type="dxa"/>
          </w:tcPr>
          <w:p w14:paraId="3D9916E0" w14:textId="77777777" w:rsidR="004E4CC2" w:rsidRDefault="00000000">
            <w:pPr>
              <w:pStyle w:val="Compact"/>
            </w:pPr>
            <w:r>
              <w:t>Einheit</w:t>
            </w:r>
          </w:p>
        </w:tc>
      </w:tr>
      <w:tr w:rsidR="004E4CC2" w14:paraId="4D31F6E4" w14:textId="77777777">
        <w:tc>
          <w:tcPr>
            <w:tcW w:w="2640" w:type="dxa"/>
          </w:tcPr>
          <w:p w14:paraId="27AF3DE9" w14:textId="77777777" w:rsidR="004E4CC2" w:rsidRDefault="00000000">
            <w:pPr>
              <w:pStyle w:val="Compact"/>
            </w:pPr>
            <m:oMath>
              <m:sSub>
                <m:sSubPr>
                  <m:ctrlPr>
                    <w:rPr>
                      <w:rFonts w:ascii="Cambria Math" w:hAnsi="Cambria Math"/>
                    </w:rPr>
                  </m:ctrlPr>
                </m:sSubPr>
                <m:e>
                  <m:r>
                    <w:rPr>
                      <w:rFonts w:ascii="Cambria Math" w:hAnsi="Cambria Math"/>
                    </w:rPr>
                    <m:t>E</m:t>
                  </m:r>
                </m:e>
                <m:sub>
                  <m:r>
                    <m:rPr>
                      <m:sty m:val="p"/>
                    </m:rPr>
                    <w:rPr>
                      <w:rFonts w:ascii="Cambria Math" w:hAnsi="Cambria Math"/>
                    </w:rPr>
                    <m:t>Z</m:t>
                  </m:r>
                </m:sub>
              </m:sSub>
            </m:oMath>
            <w:r>
              <w:t>​</w:t>
            </w:r>
          </w:p>
        </w:tc>
        <w:tc>
          <w:tcPr>
            <w:tcW w:w="2640" w:type="dxa"/>
          </w:tcPr>
          <w:p w14:paraId="08E6D0F1" w14:textId="77777777" w:rsidR="004E4CC2" w:rsidRDefault="00000000">
            <w:pPr>
              <w:pStyle w:val="Compact"/>
            </w:pPr>
            <w:r>
              <w:t>Angerechnete zentrale Erzeugung</w:t>
            </w:r>
          </w:p>
        </w:tc>
        <w:tc>
          <w:tcPr>
            <w:tcW w:w="2640" w:type="dxa"/>
          </w:tcPr>
          <w:p w14:paraId="19EA50FF" w14:textId="77777777" w:rsidR="004E4CC2" w:rsidRDefault="00000000">
            <w:pPr>
              <w:pStyle w:val="Compact"/>
            </w:pPr>
            <w:r>
              <w:t>PJ/a</w:t>
            </w:r>
          </w:p>
        </w:tc>
      </w:tr>
      <w:tr w:rsidR="004E4CC2" w14:paraId="2EDEFE95" w14:textId="77777777">
        <w:tc>
          <w:tcPr>
            <w:tcW w:w="2640" w:type="dxa"/>
          </w:tcPr>
          <w:p w14:paraId="10D961C5" w14:textId="77777777" w:rsidR="004E4CC2" w:rsidRDefault="00000000">
            <w:pPr>
              <w:pStyle w:val="Compact"/>
            </w:pPr>
            <m:oMath>
              <m:sSub>
                <m:sSubPr>
                  <m:ctrlPr>
                    <w:rPr>
                      <w:rFonts w:ascii="Cambria Math" w:hAnsi="Cambria Math"/>
                    </w:rPr>
                  </m:ctrlPr>
                </m:sSubPr>
                <m:e>
                  <m:r>
                    <w:rPr>
                      <w:rFonts w:ascii="Cambria Math" w:hAnsi="Cambria Math"/>
                    </w:rPr>
                    <m:t>E</m:t>
                  </m:r>
                </m:e>
                <m:sub>
                  <m:r>
                    <m:rPr>
                      <m:sty m:val="p"/>
                    </m:rPr>
                    <w:rPr>
                      <w:rFonts w:ascii="Cambria Math" w:hAnsi="Cambria Math"/>
                    </w:rPr>
                    <m:t>V</m:t>
                  </m:r>
                </m:sub>
              </m:sSub>
            </m:oMath>
            <w:r>
              <w:t>​</w:t>
            </w:r>
          </w:p>
        </w:tc>
        <w:tc>
          <w:tcPr>
            <w:tcW w:w="2640" w:type="dxa"/>
          </w:tcPr>
          <w:p w14:paraId="7E888D57" w14:textId="77777777" w:rsidR="004E4CC2" w:rsidRDefault="00000000">
            <w:pPr>
              <w:pStyle w:val="Compact"/>
            </w:pPr>
            <w:r>
              <w:t>Summe der priorisierten Bedarfe einschließlich ÖPNV, übrigen Verkehrs und Nettoexports</w:t>
            </w:r>
          </w:p>
        </w:tc>
        <w:tc>
          <w:tcPr>
            <w:tcW w:w="2640" w:type="dxa"/>
          </w:tcPr>
          <w:p w14:paraId="57A34D72" w14:textId="77777777" w:rsidR="004E4CC2" w:rsidRDefault="00000000">
            <w:pPr>
              <w:pStyle w:val="Compact"/>
            </w:pPr>
            <w:r>
              <w:t>PJ/a</w:t>
            </w:r>
          </w:p>
        </w:tc>
      </w:tr>
      <w:tr w:rsidR="004E4CC2" w14:paraId="0B9CC6BA" w14:textId="77777777">
        <w:tc>
          <w:tcPr>
            <w:tcW w:w="2640" w:type="dxa"/>
          </w:tcPr>
          <w:p w14:paraId="3BD970BF" w14:textId="77777777" w:rsidR="004E4CC2" w:rsidRDefault="00000000">
            <w:pPr>
              <w:pStyle w:val="Compact"/>
            </w:pPr>
            <m:oMath>
              <m:sSub>
                <m:sSubPr>
                  <m:ctrlPr>
                    <w:rPr>
                      <w:rFonts w:ascii="Cambria Math" w:hAnsi="Cambria Math"/>
                    </w:rPr>
                  </m:ctrlPr>
                </m:sSubPr>
                <m:e>
                  <m:r>
                    <w:rPr>
                      <w:rFonts w:ascii="Cambria Math" w:hAnsi="Cambria Math"/>
                    </w:rPr>
                    <m:t>E</m:t>
                  </m:r>
                </m:e>
                <m:sub>
                  <m:r>
                    <m:rPr>
                      <m:sty m:val="p"/>
                    </m:rPr>
                    <w:rPr>
                      <w:rFonts w:ascii="Cambria Math" w:hAnsi="Cambria Math"/>
                    </w:rPr>
                    <m:t>MIV</m:t>
                  </m:r>
                </m:sub>
              </m:sSub>
            </m:oMath>
            <w:r>
              <w:t>​</w:t>
            </w:r>
          </w:p>
        </w:tc>
        <w:tc>
          <w:tcPr>
            <w:tcW w:w="2640" w:type="dxa"/>
          </w:tcPr>
          <w:p w14:paraId="1FC72854" w14:textId="77777777" w:rsidR="004E4CC2" w:rsidRDefault="00000000">
            <w:pPr>
              <w:pStyle w:val="Compact"/>
            </w:pPr>
            <w:r>
              <w:t>Elektrischer MIV-Bedarf</w:t>
            </w:r>
          </w:p>
        </w:tc>
        <w:tc>
          <w:tcPr>
            <w:tcW w:w="2640" w:type="dxa"/>
          </w:tcPr>
          <w:p w14:paraId="3662E94C" w14:textId="77777777" w:rsidR="004E4CC2" w:rsidRDefault="00000000">
            <w:pPr>
              <w:pStyle w:val="Compact"/>
            </w:pPr>
            <w:r>
              <w:t>PJ/a</w:t>
            </w:r>
          </w:p>
        </w:tc>
      </w:tr>
      <w:tr w:rsidR="004E4CC2" w14:paraId="75EE2D0E" w14:textId="77777777">
        <w:tc>
          <w:tcPr>
            <w:tcW w:w="2640" w:type="dxa"/>
          </w:tcPr>
          <w:p w14:paraId="1880974D" w14:textId="77777777" w:rsidR="004E4CC2" w:rsidRDefault="00000000">
            <w:pPr>
              <w:pStyle w:val="Compact"/>
            </w:pPr>
            <m:oMath>
              <m:sSub>
                <m:sSubPr>
                  <m:ctrlPr>
                    <w:rPr>
                      <w:rFonts w:ascii="Cambria Math" w:hAnsi="Cambria Math"/>
                    </w:rPr>
                  </m:ctrlPr>
                </m:sSubPr>
                <m:e>
                  <m:r>
                    <w:rPr>
                      <w:rFonts w:ascii="Cambria Math" w:hAnsi="Cambria Math"/>
                    </w:rPr>
                    <m:t>G</m:t>
                  </m:r>
                </m:e>
                <m:sub>
                  <m:r>
                    <m:rPr>
                      <m:sty m:val="p"/>
                    </m:rPr>
                    <w:rPr>
                      <w:rFonts w:ascii="Cambria Math" w:hAnsi="Cambria Math"/>
                    </w:rPr>
                    <m:t>MIV</m:t>
                  </m:r>
                </m:sub>
              </m:sSub>
            </m:oMath>
            <w:r>
              <w:t>​</w:t>
            </w:r>
          </w:p>
        </w:tc>
        <w:tc>
          <w:tcPr>
            <w:tcW w:w="2640" w:type="dxa"/>
          </w:tcPr>
          <w:p w14:paraId="183934A0" w14:textId="77777777" w:rsidR="004E4CC2" w:rsidRDefault="00000000">
            <w:pPr>
              <w:pStyle w:val="Compact"/>
            </w:pPr>
            <w:r>
              <w:t>Zugeordnetes MIV-Budget</w:t>
            </w:r>
          </w:p>
        </w:tc>
        <w:tc>
          <w:tcPr>
            <w:tcW w:w="2640" w:type="dxa"/>
          </w:tcPr>
          <w:p w14:paraId="65A494D2" w14:textId="77777777" w:rsidR="004E4CC2" w:rsidRDefault="00000000">
            <w:pPr>
              <w:pStyle w:val="Compact"/>
            </w:pPr>
            <w:r>
              <w:t>PJ/a</w:t>
            </w:r>
          </w:p>
        </w:tc>
      </w:tr>
      <w:tr w:rsidR="004E4CC2" w14:paraId="0B7D158E" w14:textId="77777777">
        <w:tc>
          <w:tcPr>
            <w:tcW w:w="2640" w:type="dxa"/>
          </w:tcPr>
          <w:p w14:paraId="4D435A16" w14:textId="77777777" w:rsidR="004E4CC2" w:rsidRDefault="00000000">
            <w:pPr>
              <w:pStyle w:val="Compact"/>
            </w:pPr>
            <m:oMath>
              <m:sSub>
                <m:sSubPr>
                  <m:ctrlPr>
                    <w:rPr>
                      <w:rFonts w:ascii="Cambria Math" w:hAnsi="Cambria Math"/>
                    </w:rPr>
                  </m:ctrlPr>
                </m:sSubPr>
                <m:e>
                  <m:r>
                    <w:rPr>
                      <w:rFonts w:ascii="Cambria Math" w:hAnsi="Cambria Math"/>
                    </w:rPr>
                    <m:t>E</m:t>
                  </m:r>
                </m:e>
                <m:sub>
                  <m:r>
                    <m:rPr>
                      <m:sty m:val="p"/>
                    </m:rPr>
                    <w:rPr>
                      <w:rFonts w:ascii="Cambria Math" w:hAnsi="Cambria Math"/>
                    </w:rPr>
                    <m:t>PV,Geb</m:t>
                  </m:r>
                </m:sub>
              </m:sSub>
            </m:oMath>
            <w:r>
              <w:t>​</w:t>
            </w:r>
          </w:p>
        </w:tc>
        <w:tc>
          <w:tcPr>
            <w:tcW w:w="2640" w:type="dxa"/>
          </w:tcPr>
          <w:p w14:paraId="2BE3DC54" w14:textId="77777777" w:rsidR="004E4CC2" w:rsidRDefault="00000000">
            <w:pPr>
              <w:pStyle w:val="Compact"/>
            </w:pPr>
            <w:r>
              <w:t>Dem Gebäude zugeordnete PV-Erzeugung</w:t>
            </w:r>
          </w:p>
        </w:tc>
        <w:tc>
          <w:tcPr>
            <w:tcW w:w="2640" w:type="dxa"/>
          </w:tcPr>
          <w:p w14:paraId="5F88504A" w14:textId="77777777" w:rsidR="004E4CC2" w:rsidRDefault="00000000">
            <w:pPr>
              <w:pStyle w:val="Compact"/>
            </w:pPr>
            <w:r>
              <w:t>PJ/a</w:t>
            </w:r>
          </w:p>
        </w:tc>
      </w:tr>
      <w:tr w:rsidR="004E4CC2" w14:paraId="4AF63550" w14:textId="77777777">
        <w:tc>
          <w:tcPr>
            <w:tcW w:w="2640" w:type="dxa"/>
          </w:tcPr>
          <w:p w14:paraId="58B0A6ED" w14:textId="77777777" w:rsidR="004E4CC2" w:rsidRDefault="00000000">
            <w:pPr>
              <w:pStyle w:val="Compact"/>
            </w:pPr>
            <m:oMath>
              <m:sSub>
                <m:sSubPr>
                  <m:ctrlPr>
                    <w:rPr>
                      <w:rFonts w:ascii="Cambria Math" w:hAnsi="Cambria Math"/>
                    </w:rPr>
                  </m:ctrlPr>
                </m:sSubPr>
                <m:e>
                  <m:r>
                    <w:rPr>
                      <w:rFonts w:ascii="Cambria Math" w:hAnsi="Cambria Math"/>
                    </w:rPr>
                    <m:t>E</m:t>
                  </m:r>
                </m:e>
                <m:sub>
                  <m:r>
                    <m:rPr>
                      <m:sty m:val="p"/>
                    </m:rPr>
                    <w:rPr>
                      <w:rFonts w:ascii="Cambria Math" w:hAnsi="Cambria Math"/>
                    </w:rPr>
                    <m:t>Geb</m:t>
                  </m:r>
                </m:sub>
              </m:sSub>
            </m:oMath>
            <w:r>
              <w:t>​</w:t>
            </w:r>
          </w:p>
        </w:tc>
        <w:tc>
          <w:tcPr>
            <w:tcW w:w="2640" w:type="dxa"/>
          </w:tcPr>
          <w:p w14:paraId="0C00B0BC" w14:textId="77777777" w:rsidR="004E4CC2" w:rsidRDefault="00000000">
            <w:pPr>
              <w:pStyle w:val="Compact"/>
            </w:pPr>
            <w:r>
              <w:t>Betriebsstrombedarf des Gebäudesektors</w:t>
            </w:r>
          </w:p>
        </w:tc>
        <w:tc>
          <w:tcPr>
            <w:tcW w:w="2640" w:type="dxa"/>
          </w:tcPr>
          <w:p w14:paraId="1188DF96" w14:textId="77777777" w:rsidR="004E4CC2" w:rsidRDefault="00000000">
            <w:pPr>
              <w:pStyle w:val="Compact"/>
            </w:pPr>
            <w:r>
              <w:t>PJ/a</w:t>
            </w:r>
          </w:p>
        </w:tc>
      </w:tr>
      <w:tr w:rsidR="004E4CC2" w14:paraId="3C76DC92" w14:textId="77777777">
        <w:tc>
          <w:tcPr>
            <w:tcW w:w="2640" w:type="dxa"/>
          </w:tcPr>
          <w:p w14:paraId="62682443" w14:textId="77777777" w:rsidR="004E4CC2" w:rsidRDefault="00000000">
            <w:pPr>
              <w:pStyle w:val="Compact"/>
            </w:pPr>
            <m:oMath>
              <m:sSub>
                <m:sSubPr>
                  <m:ctrlPr>
                    <w:rPr>
                      <w:rFonts w:ascii="Cambria Math" w:hAnsi="Cambria Math"/>
                    </w:rPr>
                  </m:ctrlPr>
                </m:sSubPr>
                <m:e>
                  <m:r>
                    <w:rPr>
                      <w:rFonts w:ascii="Cambria Math" w:hAnsi="Cambria Math"/>
                    </w:rPr>
                    <m:t>B</m:t>
                  </m:r>
                </m:e>
                <m:sub>
                  <m:r>
                    <m:rPr>
                      <m:sty m:val="p"/>
                    </m:rPr>
                    <w:rPr>
                      <w:rFonts w:ascii="Cambria Math" w:hAnsi="Cambria Math"/>
                    </w:rPr>
                    <m:t>Geb,Ziel</m:t>
                  </m:r>
                </m:sub>
              </m:sSub>
            </m:oMath>
            <w:r>
              <w:t>​</w:t>
            </w:r>
          </w:p>
        </w:tc>
        <w:tc>
          <w:tcPr>
            <w:tcW w:w="2640" w:type="dxa"/>
          </w:tcPr>
          <w:p w14:paraId="50441540" w14:textId="77777777" w:rsidR="004E4CC2" w:rsidRDefault="00000000">
            <w:pPr>
              <w:pStyle w:val="Compact"/>
            </w:pPr>
            <w:r>
              <w:t>Zielsaldo für Gebäude einschließlich MIV</w:t>
            </w:r>
          </w:p>
        </w:tc>
        <w:tc>
          <w:tcPr>
            <w:tcW w:w="2640" w:type="dxa"/>
          </w:tcPr>
          <w:p w14:paraId="5EF01C34" w14:textId="77777777" w:rsidR="004E4CC2" w:rsidRDefault="00000000">
            <w:pPr>
              <w:pStyle w:val="Compact"/>
            </w:pPr>
            <w:r>
              <w:t>PJ/a</w:t>
            </w:r>
          </w:p>
        </w:tc>
      </w:tr>
    </w:tbl>
    <w:p w14:paraId="36F8932C" w14:textId="77777777" w:rsidR="004E4CC2" w:rsidRDefault="00000000">
      <w:pPr>
        <w:pStyle w:val="Textkrper"/>
      </w:pPr>
      <w:r>
        <w:t>Das Budget ist auf den verfügbaren positiven Rest und den MIV-Bedarf begrenzt:</w:t>
      </w:r>
    </w:p>
    <w:bookmarkStart w:id="58" w:name="eq-miv-restbudget"/>
    <w:p w14:paraId="7932D96B"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G</m:t>
              </m:r>
            </m:e>
            <m:sub>
              <m:r>
                <m:rPr>
                  <m:sty m:val="p"/>
                </m:rPr>
                <w:rPr>
                  <w:rFonts w:ascii="Cambria Math" w:hAnsi="Cambria Math"/>
                </w:rPr>
                <m:t>MIV</m:t>
              </m:r>
            </m:sub>
          </m:sSub>
          <m:r>
            <m:rPr>
              <m:sty m:val="p"/>
            </m:rPr>
            <w:rPr>
              <w:rFonts w:ascii="Cambria Math" w:hAnsi="Cambria Math"/>
            </w:rPr>
            <m:t>=min</m:t>
          </m:r>
          <m:d>
            <m:dPr>
              <m:ctrlPr>
                <w:rPr>
                  <w:rFonts w:ascii="Cambria Math" w:hAnsi="Cambria Math"/>
                </w:rPr>
              </m:ctrlPr>
            </m:dPr>
            <m:e>
              <m:sSub>
                <m:sSubPr>
                  <m:ctrlPr>
                    <w:rPr>
                      <w:rFonts w:ascii="Cambria Math" w:hAnsi="Cambria Math"/>
                    </w:rPr>
                  </m:ctrlPr>
                </m:sSubPr>
                <m:e>
                  <m:r>
                    <w:rPr>
                      <w:rFonts w:ascii="Cambria Math" w:hAnsi="Cambria Math"/>
                    </w:rPr>
                    <m:t>E</m:t>
                  </m:r>
                </m:e>
                <m:sub>
                  <m:r>
                    <m:rPr>
                      <m:sty m:val="p"/>
                    </m:rPr>
                    <w:rPr>
                      <w:rFonts w:ascii="Cambria Math" w:hAnsi="Cambria Math"/>
                    </w:rPr>
                    <m:t>MIV</m:t>
                  </m:r>
                </m:sub>
              </m:sSub>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Z</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V</m:t>
                  </m:r>
                </m:sub>
              </m:sSub>
              <m:r>
                <m:rPr>
                  <m:sty m:val="p"/>
                </m:rPr>
                <w:rPr>
                  <w:rFonts w:ascii="Cambria Math" w:hAnsi="Cambria Math"/>
                </w:rPr>
                <m:t>)</m:t>
              </m:r>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bookmarkEnd w:id="58"/>
    </w:p>
    <w:p w14:paraId="2ECBE74A" w14:textId="77777777" w:rsidR="004E4CC2" w:rsidRDefault="00000000">
      <w:pPr>
        <w:pStyle w:val="FirstParagraph"/>
      </w:pPr>
      <w:r>
        <w:lastRenderedPageBreak/>
        <w:t xml:space="preserve">Ein negativer Rest </w:t>
      </w:r>
      <m:oMath>
        <m:sSub>
          <m:sSubPr>
            <m:ctrlPr>
              <w:rPr>
                <w:rFonts w:ascii="Cambria Math" w:hAnsi="Cambria Math"/>
              </w:rPr>
            </m:ctrlPr>
          </m:sSubPr>
          <m:e>
            <m:r>
              <w:rPr>
                <w:rFonts w:ascii="Cambria Math" w:hAnsi="Cambria Math"/>
              </w:rPr>
              <m:t>E</m:t>
            </m:r>
          </m:e>
          <m:sub>
            <m:r>
              <m:rPr>
                <m:sty m:val="p"/>
              </m:rPr>
              <w:rPr>
                <w:rFonts w:ascii="Cambria Math" w:hAnsi="Cambria Math"/>
              </w:rPr>
              <m:t>Z</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V</m:t>
            </m:r>
          </m:sub>
        </m:sSub>
      </m:oMath>
      <w:r>
        <w:t xml:space="preserve"> wird als zentrale Unterdeckung ausgewiesen. Ein Rest oberhalb des MIV-Bedarfs bleibt unverteilt.</w:t>
      </w:r>
    </w:p>
    <w:bookmarkStart w:id="59" w:name="eq-gebaeudesektor-zielsaldo"/>
    <w:p w14:paraId="5F74E0D1"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B</m:t>
              </m:r>
            </m:e>
            <m:sub>
              <m:r>
                <m:rPr>
                  <m:sty m:val="p"/>
                </m:rPr>
                <w:rPr>
                  <w:rFonts w:ascii="Cambria Math" w:hAnsi="Cambria Math"/>
                </w:rPr>
                <m:t>Geb,Ziel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PV,Geb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MIV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Geb</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MIV</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5.2</m:t>
          </m:r>
          <m:r>
            <m:rPr>
              <m:sty m:val="p"/>
            </m:rPr>
            <w:rPr>
              <w:rFonts w:ascii="Cambria Math" w:hAnsi="Cambria Math"/>
            </w:rPr>
            <m:t>)</m:t>
          </m:r>
        </m:oMath>
      </m:oMathPara>
      <w:bookmarkEnd w:id="59"/>
    </w:p>
    <w:p w14:paraId="21E19116" w14:textId="77777777" w:rsidR="004E4CC2" w:rsidRDefault="00000000">
      <w:pPr>
        <w:pStyle w:val="FirstParagraph"/>
      </w:pPr>
      <w:r>
        <w:t xml:space="preserve">Im Referenzfall: </w:t>
      </w:r>
      <m:oMath>
        <m:r>
          <w:rPr>
            <w:rFonts w:ascii="Cambria Math" w:hAnsi="Cambria Math"/>
          </w:rPr>
          <m:t>149</m:t>
        </m:r>
        <m:r>
          <m:rPr>
            <m:sty m:val="p"/>
          </m:rPr>
          <w:rPr>
            <w:rFonts w:ascii="Cambria Math" w:hAnsi="Cambria Math"/>
          </w:rPr>
          <m:t>+</m:t>
        </m:r>
        <m:r>
          <w:rPr>
            <w:rFonts w:ascii="Cambria Math" w:hAnsi="Cambria Math"/>
          </w:rPr>
          <m:t>24</m:t>
        </m:r>
        <m:r>
          <m:rPr>
            <m:sty m:val="p"/>
          </m:rPr>
          <w:rPr>
            <w:rFonts w:ascii="Cambria Math" w:hAnsi="Cambria Math"/>
          </w:rPr>
          <m:t>-</m:t>
        </m:r>
        <m:r>
          <w:rPr>
            <w:rFonts w:ascii="Cambria Math" w:hAnsi="Cambria Math"/>
          </w:rPr>
          <m:t>108</m:t>
        </m:r>
        <m:r>
          <m:rPr>
            <m:sty m:val="p"/>
          </m:rPr>
          <w:rPr>
            <w:rFonts w:ascii="Cambria Math" w:hAnsi="Cambria Math"/>
          </w:rPr>
          <m:t>-</m:t>
        </m:r>
        <m:r>
          <w:rPr>
            <w:rFonts w:ascii="Cambria Math" w:hAnsi="Cambria Math"/>
          </w:rPr>
          <m:t>72</m:t>
        </m:r>
        <m:r>
          <m:rPr>
            <m:sty m:val="p"/>
          </m:rPr>
          <w:rPr>
            <w:rFonts w:ascii="Cambria Math" w:hAnsi="Cambria Math"/>
          </w:rPr>
          <m:t>=-</m:t>
        </m:r>
        <m:r>
          <w:rPr>
            <w:rFonts w:ascii="Cambria Math" w:hAnsi="Cambria Math"/>
          </w:rPr>
          <m:t>7</m:t>
        </m:r>
      </m:oMath>
      <w:r>
        <w:t xml:space="preserve"> PJ/a. Ohne MIV beträgt der Gebäudesaldo </w:t>
      </w:r>
      <m:oMath>
        <m:r>
          <w:rPr>
            <w:rFonts w:ascii="Cambria Math" w:hAnsi="Cambria Math"/>
          </w:rPr>
          <m:t>149</m:t>
        </m:r>
        <m:r>
          <m:rPr>
            <m:sty m:val="p"/>
          </m:rPr>
          <w:rPr>
            <w:rFonts w:ascii="Cambria Math" w:hAnsi="Cambria Math"/>
          </w:rPr>
          <m:t>-</m:t>
        </m:r>
        <m:r>
          <w:rPr>
            <w:rFonts w:ascii="Cambria Math" w:hAnsi="Cambria Math"/>
          </w:rPr>
          <m:t>108</m:t>
        </m:r>
        <m:r>
          <m:rPr>
            <m:sty m:val="p"/>
          </m:rPr>
          <w:rPr>
            <w:rFonts w:ascii="Cambria Math" w:hAnsi="Cambria Math"/>
          </w:rPr>
          <m:t>=+</m:t>
        </m:r>
        <m:r>
          <w:rPr>
            <w:rFonts w:ascii="Cambria Math" w:hAnsi="Cambria Math"/>
          </w:rPr>
          <m:t>41</m:t>
        </m:r>
      </m:oMath>
      <w:r>
        <w:t xml:space="preserve"> PJ/a. Das MIV-Budget von 24 PJ/a entspricht 6,667 TWh/a.</w:t>
      </w:r>
    </w:p>
    <w:p w14:paraId="6587C6B1" w14:textId="77777777" w:rsidR="004E4CC2" w:rsidRDefault="00000000">
      <w:pPr>
        <w:pStyle w:val="berschrift2"/>
      </w:pPr>
      <w:bookmarkStart w:id="60" w:name="sec-allokation-ergebnisse"/>
      <w:bookmarkStart w:id="61" w:name="_Toc243681245"/>
      <w:bookmarkEnd w:id="56"/>
      <w:r>
        <w:t>5.4 Quantitative Allokation und Stellschrauben</w:t>
      </w:r>
      <w:bookmarkEnd w:id="61"/>
    </w:p>
    <w:p w14:paraId="24DE5C01" w14:textId="77777777" w:rsidR="004E4CC2" w:rsidRDefault="00000000">
      <w:pPr>
        <w:pStyle w:val="FirstParagraph"/>
      </w:pPr>
      <w:r>
        <w:t xml:space="preserve">Die Rechnung verwendet 457 PJ/a Erzeugung, 7 PJ/a Nettoexport und 452 PJ/a Bedarfskomponenten. Der Rest von −2 PJ/a bleibt in der nationalen Zuordnungsbilanz erhalten. Die veröffentlichten Summen und ihre Rundungsreste stehen in </w:t>
      </w:r>
      <w:hyperlink w:anchor="sec-szenariotabellen">
        <w:r>
          <w:rPr>
            <w:rStyle w:val="Hyperlink"/>
          </w:rPr>
          <w:t>Anhang A</w:t>
        </w:r>
      </w:hyperlink>
      <w:r>
        <w:t>.</w:t>
      </w:r>
    </w:p>
    <w:p w14:paraId="017C54D4" w14:textId="77777777" w:rsidR="004E4CC2" w:rsidRDefault="00000000">
      <w:pPr>
        <w:pStyle w:val="Textkrper"/>
      </w:pPr>
      <w:r>
        <w:t xml:space="preserve">Die folgenden Tabellen zeigen </w:t>
      </w:r>
      <w:r>
        <w:rPr>
          <w:b/>
          <w:bCs/>
        </w:rPr>
        <w:t>Gesamtmenge und Teilmengen</w:t>
      </w:r>
      <w:r>
        <w:t>. Alle Werte sind PJ Strom/a. PV-Anteile beziehen sich auf die nationale PV-Erzeugung; Verkehrsanteile auf den nationalen elektrischen Verkehrsbedarf. Die gewählten Anteile sind Varianten des Modells, keine von UBA veröffentlichten Aufteilungen.</w:t>
      </w:r>
    </w:p>
    <w:tbl>
      <w:tblPr>
        <w:tblStyle w:val="Table"/>
        <w:tblW w:w="5000" w:type="pct"/>
        <w:tblLayout w:type="fixed"/>
        <w:tblLook w:val="0000" w:firstRow="0" w:lastRow="0" w:firstColumn="0" w:lastColumn="0" w:noHBand="0" w:noVBand="0"/>
      </w:tblPr>
      <w:tblGrid>
        <w:gridCol w:w="9622"/>
      </w:tblGrid>
      <w:tr w:rsidR="004E4CC2" w14:paraId="7517E0D6" w14:textId="77777777">
        <w:tc>
          <w:tcPr>
            <w:tcW w:w="7920" w:type="dxa"/>
          </w:tcPr>
          <w:p w14:paraId="19CF00EA" w14:textId="77777777" w:rsidR="004E4CC2" w:rsidRDefault="00000000">
            <w:pPr>
              <w:pStyle w:val="ImageCaption"/>
              <w:spacing w:before="200"/>
            </w:pPr>
            <w:bookmarkStart w:id="62" w:name="tbl-allokation-pv"/>
            <w:r>
              <w:t>Tabelle 5.3: PV-Aufteilung in PJ Strom/a; Freiflächenanteil bezogen auf die gesamte PV-Erzeugung.</w:t>
            </w:r>
          </w:p>
          <w:tbl>
            <w:tblPr>
              <w:tblStyle w:val="Table"/>
              <w:tblW w:w="5000" w:type="pct"/>
              <w:tblLayout w:type="fixed"/>
              <w:tblLook w:val="0020" w:firstRow="1" w:lastRow="0" w:firstColumn="0" w:lastColumn="0" w:noHBand="0" w:noVBand="0"/>
            </w:tblPr>
            <w:tblGrid>
              <w:gridCol w:w="1882"/>
              <w:gridCol w:w="1881"/>
              <w:gridCol w:w="1881"/>
              <w:gridCol w:w="1881"/>
              <w:gridCol w:w="1881"/>
            </w:tblGrid>
            <w:tr w:rsidR="004E4CC2" w14:paraId="093954B5"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584" w:type="dxa"/>
                </w:tcPr>
                <w:p w14:paraId="3562D7D1" w14:textId="77777777" w:rsidR="004E4CC2" w:rsidRDefault="00000000">
                  <w:pPr>
                    <w:pStyle w:val="Compact"/>
                    <w:jc w:val="center"/>
                  </w:pPr>
                  <w:r>
                    <w:t>Variante</w:t>
                  </w:r>
                </w:p>
              </w:tc>
              <w:tc>
                <w:tcPr>
                  <w:tcW w:w="1584" w:type="dxa"/>
                </w:tcPr>
                <w:p w14:paraId="2BFE44DB" w14:textId="77777777" w:rsidR="004E4CC2" w:rsidRDefault="00000000">
                  <w:pPr>
                    <w:pStyle w:val="Compact"/>
                    <w:jc w:val="center"/>
                  </w:pPr>
                  <w:r>
                    <w:t>PV gesamt</w:t>
                  </w:r>
                </w:p>
              </w:tc>
              <w:tc>
                <w:tcPr>
                  <w:tcW w:w="1584" w:type="dxa"/>
                </w:tcPr>
                <w:p w14:paraId="54A45222" w14:textId="77777777" w:rsidR="004E4CC2" w:rsidRDefault="00000000">
                  <w:pPr>
                    <w:pStyle w:val="Compact"/>
                    <w:jc w:val="center"/>
                  </w:pPr>
                  <w:r>
                    <w:t>PV Gebäude</w:t>
                  </w:r>
                </w:p>
              </w:tc>
              <w:tc>
                <w:tcPr>
                  <w:tcW w:w="1584" w:type="dxa"/>
                </w:tcPr>
                <w:p w14:paraId="3EEFD49E" w14:textId="77777777" w:rsidR="004E4CC2" w:rsidRDefault="00000000">
                  <w:pPr>
                    <w:pStyle w:val="Compact"/>
                    <w:jc w:val="center"/>
                  </w:pPr>
                  <w:r>
                    <w:t>PV Freifläche</w:t>
                  </w:r>
                </w:p>
              </w:tc>
              <w:tc>
                <w:tcPr>
                  <w:tcW w:w="1584" w:type="dxa"/>
                </w:tcPr>
                <w:p w14:paraId="11BC8B51" w14:textId="77777777" w:rsidR="004E4CC2" w:rsidRDefault="00000000">
                  <w:pPr>
                    <w:pStyle w:val="Compact"/>
                    <w:jc w:val="center"/>
                  </w:pPr>
                  <w:r>
                    <w:t>Freiflächen-Anteil [%]</w:t>
                  </w:r>
                </w:p>
              </w:tc>
            </w:tr>
            <w:tr w:rsidR="004E4CC2" w14:paraId="2F3B6989" w14:textId="77777777">
              <w:tc>
                <w:tcPr>
                  <w:tcW w:w="1584" w:type="dxa"/>
                </w:tcPr>
                <w:p w14:paraId="777352A8" w14:textId="77777777" w:rsidR="004E4CC2" w:rsidRDefault="00000000">
                  <w:pPr>
                    <w:pStyle w:val="Compact"/>
                    <w:jc w:val="center"/>
                  </w:pPr>
                  <w:r>
                    <w:t>Referenz</w:t>
                  </w:r>
                </w:p>
              </w:tc>
              <w:tc>
                <w:tcPr>
                  <w:tcW w:w="1584" w:type="dxa"/>
                </w:tcPr>
                <w:p w14:paraId="1E36EBFF" w14:textId="77777777" w:rsidR="004E4CC2" w:rsidRDefault="00000000">
                  <w:pPr>
                    <w:pStyle w:val="Compact"/>
                    <w:jc w:val="center"/>
                  </w:pPr>
                  <w:r>
                    <w:t>149</w:t>
                  </w:r>
                </w:p>
              </w:tc>
              <w:tc>
                <w:tcPr>
                  <w:tcW w:w="1584" w:type="dxa"/>
                </w:tcPr>
                <w:p w14:paraId="3C085DF1" w14:textId="77777777" w:rsidR="004E4CC2" w:rsidRDefault="00000000">
                  <w:pPr>
                    <w:pStyle w:val="Compact"/>
                    <w:jc w:val="center"/>
                  </w:pPr>
                  <w:r>
                    <w:t>149.0</w:t>
                  </w:r>
                </w:p>
              </w:tc>
              <w:tc>
                <w:tcPr>
                  <w:tcW w:w="1584" w:type="dxa"/>
                </w:tcPr>
                <w:p w14:paraId="2808CB42" w14:textId="77777777" w:rsidR="004E4CC2" w:rsidRDefault="00000000">
                  <w:pPr>
                    <w:pStyle w:val="Compact"/>
                    <w:jc w:val="center"/>
                  </w:pPr>
                  <w:r>
                    <w:t>0.0</w:t>
                  </w:r>
                </w:p>
              </w:tc>
              <w:tc>
                <w:tcPr>
                  <w:tcW w:w="1584" w:type="dxa"/>
                </w:tcPr>
                <w:p w14:paraId="746A5B3F" w14:textId="77777777" w:rsidR="004E4CC2" w:rsidRDefault="00000000">
                  <w:pPr>
                    <w:pStyle w:val="Compact"/>
                    <w:jc w:val="center"/>
                  </w:pPr>
                  <w:r>
                    <w:t>0.0</w:t>
                  </w:r>
                </w:p>
              </w:tc>
            </w:tr>
            <w:tr w:rsidR="004E4CC2" w14:paraId="5A0ED1D0" w14:textId="77777777">
              <w:tc>
                <w:tcPr>
                  <w:tcW w:w="1584" w:type="dxa"/>
                </w:tcPr>
                <w:p w14:paraId="154C8B1B" w14:textId="77777777" w:rsidR="004E4CC2" w:rsidRDefault="00000000">
                  <w:pPr>
                    <w:pStyle w:val="Compact"/>
                    <w:jc w:val="center"/>
                  </w:pPr>
                  <w:r>
                    <w:t>20 % Freiflächen-PV</w:t>
                  </w:r>
                </w:p>
              </w:tc>
              <w:tc>
                <w:tcPr>
                  <w:tcW w:w="1584" w:type="dxa"/>
                </w:tcPr>
                <w:p w14:paraId="34815896" w14:textId="77777777" w:rsidR="004E4CC2" w:rsidRDefault="00000000">
                  <w:pPr>
                    <w:pStyle w:val="Compact"/>
                    <w:jc w:val="center"/>
                  </w:pPr>
                  <w:r>
                    <w:t>149</w:t>
                  </w:r>
                </w:p>
              </w:tc>
              <w:tc>
                <w:tcPr>
                  <w:tcW w:w="1584" w:type="dxa"/>
                </w:tcPr>
                <w:p w14:paraId="61303ACC" w14:textId="77777777" w:rsidR="004E4CC2" w:rsidRDefault="00000000">
                  <w:pPr>
                    <w:pStyle w:val="Compact"/>
                    <w:jc w:val="center"/>
                  </w:pPr>
                  <w:r>
                    <w:t>119.2</w:t>
                  </w:r>
                </w:p>
              </w:tc>
              <w:tc>
                <w:tcPr>
                  <w:tcW w:w="1584" w:type="dxa"/>
                </w:tcPr>
                <w:p w14:paraId="124C88D1" w14:textId="77777777" w:rsidR="004E4CC2" w:rsidRDefault="00000000">
                  <w:pPr>
                    <w:pStyle w:val="Compact"/>
                    <w:jc w:val="center"/>
                  </w:pPr>
                  <w:r>
                    <w:t>29.8</w:t>
                  </w:r>
                </w:p>
              </w:tc>
              <w:tc>
                <w:tcPr>
                  <w:tcW w:w="1584" w:type="dxa"/>
                </w:tcPr>
                <w:p w14:paraId="1D297233" w14:textId="77777777" w:rsidR="004E4CC2" w:rsidRDefault="00000000">
                  <w:pPr>
                    <w:pStyle w:val="Compact"/>
                    <w:jc w:val="center"/>
                  </w:pPr>
                  <w:r>
                    <w:t>20.0</w:t>
                  </w:r>
                </w:p>
              </w:tc>
            </w:tr>
            <w:tr w:rsidR="004E4CC2" w14:paraId="7D842AEE" w14:textId="77777777">
              <w:tc>
                <w:tcPr>
                  <w:tcW w:w="1584" w:type="dxa"/>
                </w:tcPr>
                <w:p w14:paraId="0593F6C0" w14:textId="77777777" w:rsidR="004E4CC2" w:rsidRDefault="00000000">
                  <w:pPr>
                    <w:pStyle w:val="Compact"/>
                    <w:jc w:val="center"/>
                  </w:pPr>
                  <w:r>
                    <w:t>60 % MIV</w:t>
                  </w:r>
                </w:p>
              </w:tc>
              <w:tc>
                <w:tcPr>
                  <w:tcW w:w="1584" w:type="dxa"/>
                </w:tcPr>
                <w:p w14:paraId="186DE397" w14:textId="77777777" w:rsidR="004E4CC2" w:rsidRDefault="00000000">
                  <w:pPr>
                    <w:pStyle w:val="Compact"/>
                    <w:jc w:val="center"/>
                  </w:pPr>
                  <w:r>
                    <w:t>149</w:t>
                  </w:r>
                </w:p>
              </w:tc>
              <w:tc>
                <w:tcPr>
                  <w:tcW w:w="1584" w:type="dxa"/>
                </w:tcPr>
                <w:p w14:paraId="4AC0E867" w14:textId="77777777" w:rsidR="004E4CC2" w:rsidRDefault="00000000">
                  <w:pPr>
                    <w:pStyle w:val="Compact"/>
                    <w:jc w:val="center"/>
                  </w:pPr>
                  <w:r>
                    <w:t>149.0</w:t>
                  </w:r>
                </w:p>
              </w:tc>
              <w:tc>
                <w:tcPr>
                  <w:tcW w:w="1584" w:type="dxa"/>
                </w:tcPr>
                <w:p w14:paraId="65A09B5F" w14:textId="77777777" w:rsidR="004E4CC2" w:rsidRDefault="00000000">
                  <w:pPr>
                    <w:pStyle w:val="Compact"/>
                    <w:jc w:val="center"/>
                  </w:pPr>
                  <w:r>
                    <w:t>0.0</w:t>
                  </w:r>
                </w:p>
              </w:tc>
              <w:tc>
                <w:tcPr>
                  <w:tcW w:w="1584" w:type="dxa"/>
                </w:tcPr>
                <w:p w14:paraId="5D757130" w14:textId="77777777" w:rsidR="004E4CC2" w:rsidRDefault="00000000">
                  <w:pPr>
                    <w:pStyle w:val="Compact"/>
                    <w:jc w:val="center"/>
                  </w:pPr>
                  <w:r>
                    <w:t>0.0</w:t>
                  </w:r>
                </w:p>
              </w:tc>
            </w:tr>
            <w:tr w:rsidR="004E4CC2" w14:paraId="3025D502" w14:textId="77777777">
              <w:tc>
                <w:tcPr>
                  <w:tcW w:w="1584" w:type="dxa"/>
                </w:tcPr>
                <w:p w14:paraId="526FED43" w14:textId="77777777" w:rsidR="004E4CC2" w:rsidRDefault="00000000">
                  <w:pPr>
                    <w:pStyle w:val="Compact"/>
                    <w:jc w:val="center"/>
                  </w:pPr>
                  <w:r>
                    <w:t>40 % MIV: Konflikt</w:t>
                  </w:r>
                </w:p>
              </w:tc>
              <w:tc>
                <w:tcPr>
                  <w:tcW w:w="1584" w:type="dxa"/>
                </w:tcPr>
                <w:p w14:paraId="2AEE0679" w14:textId="77777777" w:rsidR="004E4CC2" w:rsidRDefault="00000000">
                  <w:pPr>
                    <w:pStyle w:val="Compact"/>
                    <w:jc w:val="center"/>
                  </w:pPr>
                  <w:r>
                    <w:t>149</w:t>
                  </w:r>
                </w:p>
              </w:tc>
              <w:tc>
                <w:tcPr>
                  <w:tcW w:w="1584" w:type="dxa"/>
                </w:tcPr>
                <w:p w14:paraId="087B0F5A" w14:textId="77777777" w:rsidR="004E4CC2" w:rsidRDefault="00000000">
                  <w:pPr>
                    <w:pStyle w:val="Compact"/>
                    <w:jc w:val="center"/>
                  </w:pPr>
                  <w:r>
                    <w:t>149.0</w:t>
                  </w:r>
                </w:p>
              </w:tc>
              <w:tc>
                <w:tcPr>
                  <w:tcW w:w="1584" w:type="dxa"/>
                </w:tcPr>
                <w:p w14:paraId="7408966E" w14:textId="77777777" w:rsidR="004E4CC2" w:rsidRDefault="00000000">
                  <w:pPr>
                    <w:pStyle w:val="Compact"/>
                    <w:jc w:val="center"/>
                  </w:pPr>
                  <w:r>
                    <w:t>0.0</w:t>
                  </w:r>
                </w:p>
              </w:tc>
              <w:tc>
                <w:tcPr>
                  <w:tcW w:w="1584" w:type="dxa"/>
                </w:tcPr>
                <w:p w14:paraId="087FF6A5" w14:textId="77777777" w:rsidR="004E4CC2" w:rsidRDefault="00000000">
                  <w:pPr>
                    <w:pStyle w:val="Compact"/>
                    <w:jc w:val="center"/>
                  </w:pPr>
                  <w:r>
                    <w:t>0.0</w:t>
                  </w:r>
                </w:p>
              </w:tc>
            </w:tr>
            <w:tr w:rsidR="004E4CC2" w14:paraId="11C1E978" w14:textId="77777777">
              <w:tc>
                <w:tcPr>
                  <w:tcW w:w="1584" w:type="dxa"/>
                </w:tcPr>
                <w:p w14:paraId="366988FD" w14:textId="77777777" w:rsidR="004E4CC2" w:rsidRDefault="00000000">
                  <w:pPr>
                    <w:pStyle w:val="Compact"/>
                    <w:jc w:val="center"/>
                  </w:pPr>
                  <w:r>
                    <w:t>H₂ vollständig angerechnet</w:t>
                  </w:r>
                </w:p>
              </w:tc>
              <w:tc>
                <w:tcPr>
                  <w:tcW w:w="1584" w:type="dxa"/>
                </w:tcPr>
                <w:p w14:paraId="09B934E5" w14:textId="77777777" w:rsidR="004E4CC2" w:rsidRDefault="00000000">
                  <w:pPr>
                    <w:pStyle w:val="Compact"/>
                    <w:jc w:val="center"/>
                  </w:pPr>
                  <w:r>
                    <w:t>149</w:t>
                  </w:r>
                </w:p>
              </w:tc>
              <w:tc>
                <w:tcPr>
                  <w:tcW w:w="1584" w:type="dxa"/>
                </w:tcPr>
                <w:p w14:paraId="212EE6A5" w14:textId="77777777" w:rsidR="004E4CC2" w:rsidRDefault="00000000">
                  <w:pPr>
                    <w:pStyle w:val="Compact"/>
                    <w:jc w:val="center"/>
                  </w:pPr>
                  <w:r>
                    <w:t>149.0</w:t>
                  </w:r>
                </w:p>
              </w:tc>
              <w:tc>
                <w:tcPr>
                  <w:tcW w:w="1584" w:type="dxa"/>
                </w:tcPr>
                <w:p w14:paraId="1F531D49" w14:textId="77777777" w:rsidR="004E4CC2" w:rsidRDefault="00000000">
                  <w:pPr>
                    <w:pStyle w:val="Compact"/>
                    <w:jc w:val="center"/>
                  </w:pPr>
                  <w:r>
                    <w:t>0.0</w:t>
                  </w:r>
                </w:p>
              </w:tc>
              <w:tc>
                <w:tcPr>
                  <w:tcW w:w="1584" w:type="dxa"/>
                </w:tcPr>
                <w:p w14:paraId="52974F16" w14:textId="77777777" w:rsidR="004E4CC2" w:rsidRDefault="00000000">
                  <w:pPr>
                    <w:pStyle w:val="Compact"/>
                    <w:jc w:val="center"/>
                  </w:pPr>
                  <w:r>
                    <w:t>0.0</w:t>
                  </w:r>
                </w:p>
              </w:tc>
            </w:tr>
            <w:bookmarkEnd w:id="62"/>
          </w:tbl>
          <w:p w14:paraId="57265857" w14:textId="77777777" w:rsidR="004E4CC2" w:rsidRDefault="004E4CC2"/>
        </w:tc>
      </w:tr>
    </w:tbl>
    <w:p w14:paraId="30196CC7" w14:textId="77777777" w:rsidR="004E4CC2" w:rsidRDefault="00000000">
      <w:pPr>
        <w:pStyle w:val="Textkrper"/>
      </w:pPr>
      <w:r>
        <w:t xml:space="preserve"> </w:t>
      </w:r>
    </w:p>
    <w:tbl>
      <w:tblPr>
        <w:tblStyle w:val="Table"/>
        <w:tblW w:w="5000" w:type="pct"/>
        <w:tblLayout w:type="fixed"/>
        <w:tblLook w:val="0000" w:firstRow="0" w:lastRow="0" w:firstColumn="0" w:lastColumn="0" w:noHBand="0" w:noVBand="0"/>
      </w:tblPr>
      <w:tblGrid>
        <w:gridCol w:w="9622"/>
      </w:tblGrid>
      <w:tr w:rsidR="004E4CC2" w14:paraId="3619B3BE" w14:textId="77777777">
        <w:tc>
          <w:tcPr>
            <w:tcW w:w="7920" w:type="dxa"/>
          </w:tcPr>
          <w:p w14:paraId="5A6ECBA8" w14:textId="77777777" w:rsidR="004E4CC2" w:rsidRDefault="00000000">
            <w:pPr>
              <w:pStyle w:val="ImageCaption"/>
              <w:spacing w:before="200"/>
            </w:pPr>
            <w:bookmarkStart w:id="63" w:name="tbl-allokation-verkehr"/>
            <w:r>
              <w:t>Tabelle 5.4: Verkehrsaufteilung in PJ Strom/a; MIV-Anteil bezogen auf den elektrischen Verkehrsbedarf.</w:t>
            </w:r>
          </w:p>
          <w:tbl>
            <w:tblPr>
              <w:tblStyle w:val="Table"/>
              <w:tblW w:w="5000" w:type="pct"/>
              <w:tblLayout w:type="fixed"/>
              <w:tblLook w:val="0020" w:firstRow="1" w:lastRow="0" w:firstColumn="0" w:lastColumn="0" w:noHBand="0" w:noVBand="0"/>
            </w:tblPr>
            <w:tblGrid>
              <w:gridCol w:w="1567"/>
              <w:gridCol w:w="1567"/>
              <w:gridCol w:w="1568"/>
              <w:gridCol w:w="1568"/>
              <w:gridCol w:w="1568"/>
              <w:gridCol w:w="1568"/>
            </w:tblGrid>
            <w:tr w:rsidR="004E4CC2" w14:paraId="16671E6C"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320" w:type="dxa"/>
                </w:tcPr>
                <w:p w14:paraId="6787E32A" w14:textId="77777777" w:rsidR="004E4CC2" w:rsidRDefault="00000000">
                  <w:pPr>
                    <w:pStyle w:val="Compact"/>
                    <w:jc w:val="center"/>
                  </w:pPr>
                  <w:r>
                    <w:t>Variante</w:t>
                  </w:r>
                </w:p>
              </w:tc>
              <w:tc>
                <w:tcPr>
                  <w:tcW w:w="1320" w:type="dxa"/>
                </w:tcPr>
                <w:p w14:paraId="6322BB1E" w14:textId="77777777" w:rsidR="004E4CC2" w:rsidRDefault="00000000">
                  <w:pPr>
                    <w:pStyle w:val="Compact"/>
                    <w:jc w:val="center"/>
                  </w:pPr>
                  <w:r>
                    <w:t>Verkehr gesamt</w:t>
                  </w:r>
                </w:p>
              </w:tc>
              <w:tc>
                <w:tcPr>
                  <w:tcW w:w="1320" w:type="dxa"/>
                </w:tcPr>
                <w:p w14:paraId="46714737" w14:textId="77777777" w:rsidR="004E4CC2" w:rsidRDefault="00000000">
                  <w:pPr>
                    <w:pStyle w:val="Compact"/>
                    <w:jc w:val="center"/>
                  </w:pPr>
                  <w:r>
                    <w:t>ÖPNV</w:t>
                  </w:r>
                </w:p>
              </w:tc>
              <w:tc>
                <w:tcPr>
                  <w:tcW w:w="1320" w:type="dxa"/>
                </w:tcPr>
                <w:p w14:paraId="02C5D03E" w14:textId="77777777" w:rsidR="004E4CC2" w:rsidRDefault="00000000">
                  <w:pPr>
                    <w:pStyle w:val="Compact"/>
                    <w:jc w:val="center"/>
                  </w:pPr>
                  <w:r>
                    <w:t>MIV</w:t>
                  </w:r>
                </w:p>
              </w:tc>
              <w:tc>
                <w:tcPr>
                  <w:tcW w:w="1320" w:type="dxa"/>
                </w:tcPr>
                <w:p w14:paraId="79D28408" w14:textId="77777777" w:rsidR="004E4CC2" w:rsidRDefault="00000000">
                  <w:pPr>
                    <w:pStyle w:val="Compact"/>
                    <w:jc w:val="center"/>
                  </w:pPr>
                  <w:r>
                    <w:t>Übriger Verkehr</w:t>
                  </w:r>
                </w:p>
              </w:tc>
              <w:tc>
                <w:tcPr>
                  <w:tcW w:w="1320" w:type="dxa"/>
                </w:tcPr>
                <w:p w14:paraId="1C2018E1" w14:textId="77777777" w:rsidR="004E4CC2" w:rsidRDefault="00000000">
                  <w:pPr>
                    <w:pStyle w:val="Compact"/>
                    <w:jc w:val="center"/>
                  </w:pPr>
                  <w:r>
                    <w:t>MIV-Anteil [%]</w:t>
                  </w:r>
                </w:p>
              </w:tc>
            </w:tr>
            <w:tr w:rsidR="004E4CC2" w14:paraId="2ADE8E95" w14:textId="77777777">
              <w:tc>
                <w:tcPr>
                  <w:tcW w:w="1320" w:type="dxa"/>
                </w:tcPr>
                <w:p w14:paraId="0D06CEEF" w14:textId="77777777" w:rsidR="004E4CC2" w:rsidRDefault="00000000">
                  <w:pPr>
                    <w:pStyle w:val="Compact"/>
                    <w:jc w:val="center"/>
                  </w:pPr>
                  <w:r>
                    <w:t>Referenz</w:t>
                  </w:r>
                </w:p>
              </w:tc>
              <w:tc>
                <w:tcPr>
                  <w:tcW w:w="1320" w:type="dxa"/>
                </w:tcPr>
                <w:p w14:paraId="593D550E" w14:textId="77777777" w:rsidR="004E4CC2" w:rsidRDefault="00000000">
                  <w:pPr>
                    <w:pStyle w:val="Compact"/>
                    <w:jc w:val="center"/>
                  </w:pPr>
                  <w:r>
                    <w:t>90</w:t>
                  </w:r>
                </w:p>
              </w:tc>
              <w:tc>
                <w:tcPr>
                  <w:tcW w:w="1320" w:type="dxa"/>
                </w:tcPr>
                <w:p w14:paraId="20F4D6B3" w14:textId="77777777" w:rsidR="004E4CC2" w:rsidRDefault="00000000">
                  <w:pPr>
                    <w:pStyle w:val="Compact"/>
                    <w:jc w:val="center"/>
                  </w:pPr>
                  <w:r>
                    <w:t>18.0</w:t>
                  </w:r>
                </w:p>
              </w:tc>
              <w:tc>
                <w:tcPr>
                  <w:tcW w:w="1320" w:type="dxa"/>
                </w:tcPr>
                <w:p w14:paraId="6BDD57FB" w14:textId="77777777" w:rsidR="004E4CC2" w:rsidRDefault="00000000">
                  <w:pPr>
                    <w:pStyle w:val="Compact"/>
                    <w:jc w:val="center"/>
                  </w:pPr>
                  <w:r>
                    <w:t>72.0</w:t>
                  </w:r>
                </w:p>
              </w:tc>
              <w:tc>
                <w:tcPr>
                  <w:tcW w:w="1320" w:type="dxa"/>
                </w:tcPr>
                <w:p w14:paraId="258538EA" w14:textId="77777777" w:rsidR="004E4CC2" w:rsidRDefault="00000000">
                  <w:pPr>
                    <w:pStyle w:val="Compact"/>
                    <w:jc w:val="center"/>
                  </w:pPr>
                  <w:r>
                    <w:t>0</w:t>
                  </w:r>
                </w:p>
              </w:tc>
              <w:tc>
                <w:tcPr>
                  <w:tcW w:w="1320" w:type="dxa"/>
                </w:tcPr>
                <w:p w14:paraId="02E51EE3" w14:textId="77777777" w:rsidR="004E4CC2" w:rsidRDefault="00000000">
                  <w:pPr>
                    <w:pStyle w:val="Compact"/>
                    <w:jc w:val="center"/>
                  </w:pPr>
                  <w:r>
                    <w:t>80.0</w:t>
                  </w:r>
                </w:p>
              </w:tc>
            </w:tr>
            <w:tr w:rsidR="004E4CC2" w14:paraId="47CE8DFA" w14:textId="77777777">
              <w:tc>
                <w:tcPr>
                  <w:tcW w:w="1320" w:type="dxa"/>
                </w:tcPr>
                <w:p w14:paraId="3710B2BD" w14:textId="77777777" w:rsidR="004E4CC2" w:rsidRDefault="00000000">
                  <w:pPr>
                    <w:pStyle w:val="Compact"/>
                    <w:jc w:val="center"/>
                  </w:pPr>
                  <w:r>
                    <w:t>20 % Freiflächen-PV</w:t>
                  </w:r>
                </w:p>
              </w:tc>
              <w:tc>
                <w:tcPr>
                  <w:tcW w:w="1320" w:type="dxa"/>
                </w:tcPr>
                <w:p w14:paraId="16A5C784" w14:textId="77777777" w:rsidR="004E4CC2" w:rsidRDefault="00000000">
                  <w:pPr>
                    <w:pStyle w:val="Compact"/>
                    <w:jc w:val="center"/>
                  </w:pPr>
                  <w:r>
                    <w:t>90</w:t>
                  </w:r>
                </w:p>
              </w:tc>
              <w:tc>
                <w:tcPr>
                  <w:tcW w:w="1320" w:type="dxa"/>
                </w:tcPr>
                <w:p w14:paraId="70E3D809" w14:textId="77777777" w:rsidR="004E4CC2" w:rsidRDefault="00000000">
                  <w:pPr>
                    <w:pStyle w:val="Compact"/>
                    <w:jc w:val="center"/>
                  </w:pPr>
                  <w:r>
                    <w:t>18.0</w:t>
                  </w:r>
                </w:p>
              </w:tc>
              <w:tc>
                <w:tcPr>
                  <w:tcW w:w="1320" w:type="dxa"/>
                </w:tcPr>
                <w:p w14:paraId="6FE3BD3D" w14:textId="77777777" w:rsidR="004E4CC2" w:rsidRDefault="00000000">
                  <w:pPr>
                    <w:pStyle w:val="Compact"/>
                    <w:jc w:val="center"/>
                  </w:pPr>
                  <w:r>
                    <w:t>72.0</w:t>
                  </w:r>
                </w:p>
              </w:tc>
              <w:tc>
                <w:tcPr>
                  <w:tcW w:w="1320" w:type="dxa"/>
                </w:tcPr>
                <w:p w14:paraId="0EDFC3A0" w14:textId="77777777" w:rsidR="004E4CC2" w:rsidRDefault="00000000">
                  <w:pPr>
                    <w:pStyle w:val="Compact"/>
                    <w:jc w:val="center"/>
                  </w:pPr>
                  <w:r>
                    <w:t>0</w:t>
                  </w:r>
                </w:p>
              </w:tc>
              <w:tc>
                <w:tcPr>
                  <w:tcW w:w="1320" w:type="dxa"/>
                </w:tcPr>
                <w:p w14:paraId="39608B58" w14:textId="77777777" w:rsidR="004E4CC2" w:rsidRDefault="00000000">
                  <w:pPr>
                    <w:pStyle w:val="Compact"/>
                    <w:jc w:val="center"/>
                  </w:pPr>
                  <w:r>
                    <w:t>80.0</w:t>
                  </w:r>
                </w:p>
              </w:tc>
            </w:tr>
            <w:tr w:rsidR="004E4CC2" w14:paraId="43D2E315" w14:textId="77777777">
              <w:tc>
                <w:tcPr>
                  <w:tcW w:w="1320" w:type="dxa"/>
                </w:tcPr>
                <w:p w14:paraId="5A2995F2" w14:textId="77777777" w:rsidR="004E4CC2" w:rsidRDefault="00000000">
                  <w:pPr>
                    <w:pStyle w:val="Compact"/>
                    <w:jc w:val="center"/>
                  </w:pPr>
                  <w:r>
                    <w:t>60 % MIV</w:t>
                  </w:r>
                </w:p>
              </w:tc>
              <w:tc>
                <w:tcPr>
                  <w:tcW w:w="1320" w:type="dxa"/>
                </w:tcPr>
                <w:p w14:paraId="086A54DC" w14:textId="77777777" w:rsidR="004E4CC2" w:rsidRDefault="00000000">
                  <w:pPr>
                    <w:pStyle w:val="Compact"/>
                    <w:jc w:val="center"/>
                  </w:pPr>
                  <w:r>
                    <w:t>90</w:t>
                  </w:r>
                </w:p>
              </w:tc>
              <w:tc>
                <w:tcPr>
                  <w:tcW w:w="1320" w:type="dxa"/>
                </w:tcPr>
                <w:p w14:paraId="72463DA2" w14:textId="77777777" w:rsidR="004E4CC2" w:rsidRDefault="00000000">
                  <w:pPr>
                    <w:pStyle w:val="Compact"/>
                    <w:jc w:val="center"/>
                  </w:pPr>
                  <w:r>
                    <w:t>36.0</w:t>
                  </w:r>
                </w:p>
              </w:tc>
              <w:tc>
                <w:tcPr>
                  <w:tcW w:w="1320" w:type="dxa"/>
                </w:tcPr>
                <w:p w14:paraId="0BB75528" w14:textId="77777777" w:rsidR="004E4CC2" w:rsidRDefault="00000000">
                  <w:pPr>
                    <w:pStyle w:val="Compact"/>
                    <w:jc w:val="center"/>
                  </w:pPr>
                  <w:r>
                    <w:t>54.0</w:t>
                  </w:r>
                </w:p>
              </w:tc>
              <w:tc>
                <w:tcPr>
                  <w:tcW w:w="1320" w:type="dxa"/>
                </w:tcPr>
                <w:p w14:paraId="134AA930" w14:textId="77777777" w:rsidR="004E4CC2" w:rsidRDefault="00000000">
                  <w:pPr>
                    <w:pStyle w:val="Compact"/>
                    <w:jc w:val="center"/>
                  </w:pPr>
                  <w:r>
                    <w:t>0</w:t>
                  </w:r>
                </w:p>
              </w:tc>
              <w:tc>
                <w:tcPr>
                  <w:tcW w:w="1320" w:type="dxa"/>
                </w:tcPr>
                <w:p w14:paraId="32495F1E" w14:textId="77777777" w:rsidR="004E4CC2" w:rsidRDefault="00000000">
                  <w:pPr>
                    <w:pStyle w:val="Compact"/>
                    <w:jc w:val="center"/>
                  </w:pPr>
                  <w:r>
                    <w:t>60.0</w:t>
                  </w:r>
                </w:p>
              </w:tc>
            </w:tr>
            <w:tr w:rsidR="004E4CC2" w14:paraId="5B8BB95F" w14:textId="77777777">
              <w:tc>
                <w:tcPr>
                  <w:tcW w:w="1320" w:type="dxa"/>
                </w:tcPr>
                <w:p w14:paraId="0C5E66A9" w14:textId="77777777" w:rsidR="004E4CC2" w:rsidRDefault="00000000">
                  <w:pPr>
                    <w:pStyle w:val="Compact"/>
                    <w:jc w:val="center"/>
                  </w:pPr>
                  <w:r>
                    <w:lastRenderedPageBreak/>
                    <w:t>40 % MIV: Konflikt</w:t>
                  </w:r>
                </w:p>
              </w:tc>
              <w:tc>
                <w:tcPr>
                  <w:tcW w:w="1320" w:type="dxa"/>
                </w:tcPr>
                <w:p w14:paraId="1C95268E" w14:textId="77777777" w:rsidR="004E4CC2" w:rsidRDefault="00000000">
                  <w:pPr>
                    <w:pStyle w:val="Compact"/>
                    <w:jc w:val="center"/>
                  </w:pPr>
                  <w:r>
                    <w:t>90</w:t>
                  </w:r>
                </w:p>
              </w:tc>
              <w:tc>
                <w:tcPr>
                  <w:tcW w:w="1320" w:type="dxa"/>
                </w:tcPr>
                <w:p w14:paraId="20F4E22A" w14:textId="77777777" w:rsidR="004E4CC2" w:rsidRDefault="00000000">
                  <w:pPr>
                    <w:pStyle w:val="Compact"/>
                    <w:jc w:val="center"/>
                  </w:pPr>
                  <w:r>
                    <w:t>54.0</w:t>
                  </w:r>
                </w:p>
              </w:tc>
              <w:tc>
                <w:tcPr>
                  <w:tcW w:w="1320" w:type="dxa"/>
                </w:tcPr>
                <w:p w14:paraId="6D953128" w14:textId="77777777" w:rsidR="004E4CC2" w:rsidRDefault="00000000">
                  <w:pPr>
                    <w:pStyle w:val="Compact"/>
                    <w:jc w:val="center"/>
                  </w:pPr>
                  <w:r>
                    <w:t>36.0</w:t>
                  </w:r>
                </w:p>
              </w:tc>
              <w:tc>
                <w:tcPr>
                  <w:tcW w:w="1320" w:type="dxa"/>
                </w:tcPr>
                <w:p w14:paraId="0F8BCBD0" w14:textId="77777777" w:rsidR="004E4CC2" w:rsidRDefault="00000000">
                  <w:pPr>
                    <w:pStyle w:val="Compact"/>
                    <w:jc w:val="center"/>
                  </w:pPr>
                  <w:r>
                    <w:t>0</w:t>
                  </w:r>
                </w:p>
              </w:tc>
              <w:tc>
                <w:tcPr>
                  <w:tcW w:w="1320" w:type="dxa"/>
                </w:tcPr>
                <w:p w14:paraId="01169CD8" w14:textId="77777777" w:rsidR="004E4CC2" w:rsidRDefault="00000000">
                  <w:pPr>
                    <w:pStyle w:val="Compact"/>
                    <w:jc w:val="center"/>
                  </w:pPr>
                  <w:r>
                    <w:t>40.0</w:t>
                  </w:r>
                </w:p>
              </w:tc>
            </w:tr>
            <w:tr w:rsidR="004E4CC2" w14:paraId="07ACA288" w14:textId="77777777">
              <w:tc>
                <w:tcPr>
                  <w:tcW w:w="1320" w:type="dxa"/>
                </w:tcPr>
                <w:p w14:paraId="1A53667B" w14:textId="77777777" w:rsidR="004E4CC2" w:rsidRDefault="00000000">
                  <w:pPr>
                    <w:pStyle w:val="Compact"/>
                    <w:jc w:val="center"/>
                  </w:pPr>
                  <w:r>
                    <w:t>H₂ vollständig angerechnet</w:t>
                  </w:r>
                </w:p>
              </w:tc>
              <w:tc>
                <w:tcPr>
                  <w:tcW w:w="1320" w:type="dxa"/>
                </w:tcPr>
                <w:p w14:paraId="0C8F2A05" w14:textId="77777777" w:rsidR="004E4CC2" w:rsidRDefault="00000000">
                  <w:pPr>
                    <w:pStyle w:val="Compact"/>
                    <w:jc w:val="center"/>
                  </w:pPr>
                  <w:r>
                    <w:t>90</w:t>
                  </w:r>
                </w:p>
              </w:tc>
              <w:tc>
                <w:tcPr>
                  <w:tcW w:w="1320" w:type="dxa"/>
                </w:tcPr>
                <w:p w14:paraId="6B4BB12B" w14:textId="77777777" w:rsidR="004E4CC2" w:rsidRDefault="00000000">
                  <w:pPr>
                    <w:pStyle w:val="Compact"/>
                    <w:jc w:val="center"/>
                  </w:pPr>
                  <w:r>
                    <w:t>18.0</w:t>
                  </w:r>
                </w:p>
              </w:tc>
              <w:tc>
                <w:tcPr>
                  <w:tcW w:w="1320" w:type="dxa"/>
                </w:tcPr>
                <w:p w14:paraId="51D8B708" w14:textId="77777777" w:rsidR="004E4CC2" w:rsidRDefault="00000000">
                  <w:pPr>
                    <w:pStyle w:val="Compact"/>
                    <w:jc w:val="center"/>
                  </w:pPr>
                  <w:r>
                    <w:t>72.0</w:t>
                  </w:r>
                </w:p>
              </w:tc>
              <w:tc>
                <w:tcPr>
                  <w:tcW w:w="1320" w:type="dxa"/>
                </w:tcPr>
                <w:p w14:paraId="01F283DA" w14:textId="77777777" w:rsidR="004E4CC2" w:rsidRDefault="00000000">
                  <w:pPr>
                    <w:pStyle w:val="Compact"/>
                    <w:jc w:val="center"/>
                  </w:pPr>
                  <w:r>
                    <w:t>0</w:t>
                  </w:r>
                </w:p>
              </w:tc>
              <w:tc>
                <w:tcPr>
                  <w:tcW w:w="1320" w:type="dxa"/>
                </w:tcPr>
                <w:p w14:paraId="4FB902C8" w14:textId="77777777" w:rsidR="004E4CC2" w:rsidRDefault="00000000">
                  <w:pPr>
                    <w:pStyle w:val="Compact"/>
                    <w:jc w:val="center"/>
                  </w:pPr>
                  <w:r>
                    <w:t>80.0</w:t>
                  </w:r>
                </w:p>
              </w:tc>
            </w:tr>
            <w:bookmarkEnd w:id="63"/>
          </w:tbl>
          <w:p w14:paraId="04E3E6CB" w14:textId="77777777" w:rsidR="004E4CC2" w:rsidRDefault="004E4CC2"/>
        </w:tc>
      </w:tr>
    </w:tbl>
    <w:p w14:paraId="13114A21" w14:textId="77777777" w:rsidR="004E4CC2" w:rsidRDefault="00000000">
      <w:pPr>
        <w:pStyle w:val="Textkrper"/>
      </w:pPr>
      <w:r>
        <w:lastRenderedPageBreak/>
        <w:t xml:space="preserve"> </w:t>
      </w:r>
    </w:p>
    <w:tbl>
      <w:tblPr>
        <w:tblStyle w:val="Table"/>
        <w:tblW w:w="5000" w:type="pct"/>
        <w:tblLayout w:type="fixed"/>
        <w:tblLook w:val="0000" w:firstRow="0" w:lastRow="0" w:firstColumn="0" w:lastColumn="0" w:noHBand="0" w:noVBand="0"/>
      </w:tblPr>
      <w:tblGrid>
        <w:gridCol w:w="9622"/>
      </w:tblGrid>
      <w:tr w:rsidR="004E4CC2" w14:paraId="6E83AE79" w14:textId="77777777">
        <w:tc>
          <w:tcPr>
            <w:tcW w:w="7920" w:type="dxa"/>
          </w:tcPr>
          <w:p w14:paraId="1955A01E" w14:textId="77777777" w:rsidR="004E4CC2" w:rsidRDefault="00000000">
            <w:pPr>
              <w:pStyle w:val="ImageCaption"/>
              <w:spacing w:before="200"/>
            </w:pPr>
            <w:bookmarkStart w:id="64" w:name="tbl-allokation-vorlaeufig"/>
            <w:r>
              <w:t>Tabelle 5.5: Allokationsergebnisse in PJ Strom/a. Negativer zentraler Rest kennzeichnet ungedeckte Vorrangbedarfe.</w:t>
            </w:r>
          </w:p>
          <w:tbl>
            <w:tblPr>
              <w:tblStyle w:val="Table"/>
              <w:tblW w:w="5000" w:type="pct"/>
              <w:tblLayout w:type="fixed"/>
              <w:tblLook w:val="0020" w:firstRow="1" w:lastRow="0" w:firstColumn="0" w:lastColumn="0" w:noHBand="0" w:noVBand="0"/>
            </w:tblPr>
            <w:tblGrid>
              <w:gridCol w:w="1567"/>
              <w:gridCol w:w="1567"/>
              <w:gridCol w:w="1568"/>
              <w:gridCol w:w="1568"/>
              <w:gridCol w:w="1568"/>
              <w:gridCol w:w="1568"/>
            </w:tblGrid>
            <w:tr w:rsidR="004E4CC2" w14:paraId="17B38F26"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320" w:type="dxa"/>
                </w:tcPr>
                <w:p w14:paraId="04EC675C" w14:textId="77777777" w:rsidR="004E4CC2" w:rsidRDefault="00000000">
                  <w:pPr>
                    <w:pStyle w:val="Compact"/>
                    <w:jc w:val="center"/>
                  </w:pPr>
                  <w:r>
                    <w:t>Variante</w:t>
                  </w:r>
                </w:p>
              </w:tc>
              <w:tc>
                <w:tcPr>
                  <w:tcW w:w="1320" w:type="dxa"/>
                </w:tcPr>
                <w:p w14:paraId="7C45DA55" w14:textId="77777777" w:rsidR="004E4CC2" w:rsidRDefault="00000000">
                  <w:pPr>
                    <w:pStyle w:val="Compact"/>
                    <w:jc w:val="center"/>
                  </w:pPr>
                  <w:r>
                    <w:t>H₂-Anrechnung [%]</w:t>
                  </w:r>
                </w:p>
              </w:tc>
              <w:tc>
                <w:tcPr>
                  <w:tcW w:w="1320" w:type="dxa"/>
                </w:tcPr>
                <w:p w14:paraId="1ED5EBA3" w14:textId="77777777" w:rsidR="004E4CC2" w:rsidRDefault="00000000">
                  <w:pPr>
                    <w:pStyle w:val="Compact"/>
                    <w:jc w:val="center"/>
                  </w:pPr>
                  <w:r>
                    <w:t>MIV-Budget</w:t>
                  </w:r>
                </w:p>
              </w:tc>
              <w:tc>
                <w:tcPr>
                  <w:tcW w:w="1320" w:type="dxa"/>
                </w:tcPr>
                <w:p w14:paraId="0FBD9054" w14:textId="77777777" w:rsidR="004E4CC2" w:rsidRDefault="00000000">
                  <w:pPr>
                    <w:pStyle w:val="Compact"/>
                    <w:jc w:val="center"/>
                  </w:pPr>
                  <w:r>
                    <w:t>Saldo</w:t>
                  </w:r>
                </w:p>
              </w:tc>
              <w:tc>
                <w:tcPr>
                  <w:tcW w:w="1320" w:type="dxa"/>
                </w:tcPr>
                <w:p w14:paraId="76569E42" w14:textId="77777777" w:rsidR="004E4CC2" w:rsidRDefault="00000000">
                  <w:pPr>
                    <w:pStyle w:val="Compact"/>
                    <w:jc w:val="center"/>
                  </w:pPr>
                  <w:r>
                    <w:t>Zentraler Rest</w:t>
                  </w:r>
                </w:p>
              </w:tc>
              <w:tc>
                <w:tcPr>
                  <w:tcW w:w="1320" w:type="dxa"/>
                </w:tcPr>
                <w:p w14:paraId="74024F92" w14:textId="77777777" w:rsidR="004E4CC2" w:rsidRDefault="00000000">
                  <w:pPr>
                    <w:pStyle w:val="Compact"/>
                    <w:jc w:val="center"/>
                  </w:pPr>
                  <w:r>
                    <w:t>Vorrang gedeckt</w:t>
                  </w:r>
                </w:p>
              </w:tc>
            </w:tr>
            <w:tr w:rsidR="004E4CC2" w14:paraId="4E5829D2" w14:textId="77777777">
              <w:tc>
                <w:tcPr>
                  <w:tcW w:w="1320" w:type="dxa"/>
                </w:tcPr>
                <w:p w14:paraId="5E876910" w14:textId="77777777" w:rsidR="004E4CC2" w:rsidRDefault="00000000">
                  <w:pPr>
                    <w:pStyle w:val="Compact"/>
                    <w:jc w:val="center"/>
                  </w:pPr>
                  <w:r>
                    <w:t>Referenz</w:t>
                  </w:r>
                </w:p>
              </w:tc>
              <w:tc>
                <w:tcPr>
                  <w:tcW w:w="1320" w:type="dxa"/>
                </w:tcPr>
                <w:p w14:paraId="0BD676DD" w14:textId="77777777" w:rsidR="004E4CC2" w:rsidRDefault="00000000">
                  <w:pPr>
                    <w:pStyle w:val="Compact"/>
                    <w:jc w:val="center"/>
                  </w:pPr>
                  <w:r>
                    <w:t>0</w:t>
                  </w:r>
                </w:p>
              </w:tc>
              <w:tc>
                <w:tcPr>
                  <w:tcW w:w="1320" w:type="dxa"/>
                </w:tcPr>
                <w:p w14:paraId="3D9AACEA" w14:textId="77777777" w:rsidR="004E4CC2" w:rsidRDefault="00000000">
                  <w:pPr>
                    <w:pStyle w:val="Compact"/>
                    <w:jc w:val="center"/>
                  </w:pPr>
                  <w:r>
                    <w:t>24.0</w:t>
                  </w:r>
                </w:p>
              </w:tc>
              <w:tc>
                <w:tcPr>
                  <w:tcW w:w="1320" w:type="dxa"/>
                </w:tcPr>
                <w:p w14:paraId="71E8626C" w14:textId="77777777" w:rsidR="004E4CC2" w:rsidRDefault="00000000">
                  <w:pPr>
                    <w:pStyle w:val="Compact"/>
                    <w:jc w:val="center"/>
                  </w:pPr>
                  <w:r>
                    <w:t>-7.0</w:t>
                  </w:r>
                </w:p>
              </w:tc>
              <w:tc>
                <w:tcPr>
                  <w:tcW w:w="1320" w:type="dxa"/>
                </w:tcPr>
                <w:p w14:paraId="7B14CC21" w14:textId="77777777" w:rsidR="004E4CC2" w:rsidRDefault="00000000">
                  <w:pPr>
                    <w:pStyle w:val="Compact"/>
                    <w:jc w:val="center"/>
                  </w:pPr>
                  <w:r>
                    <w:t>0.0</w:t>
                  </w:r>
                </w:p>
              </w:tc>
              <w:tc>
                <w:tcPr>
                  <w:tcW w:w="1320" w:type="dxa"/>
                </w:tcPr>
                <w:p w14:paraId="67E81AC7" w14:textId="77777777" w:rsidR="004E4CC2" w:rsidRDefault="00000000">
                  <w:pPr>
                    <w:pStyle w:val="Compact"/>
                    <w:jc w:val="center"/>
                  </w:pPr>
                  <w:r>
                    <w:t>ja</w:t>
                  </w:r>
                </w:p>
              </w:tc>
            </w:tr>
            <w:tr w:rsidR="004E4CC2" w14:paraId="39048433" w14:textId="77777777">
              <w:tc>
                <w:tcPr>
                  <w:tcW w:w="1320" w:type="dxa"/>
                </w:tcPr>
                <w:p w14:paraId="27493BDA" w14:textId="77777777" w:rsidR="004E4CC2" w:rsidRDefault="00000000">
                  <w:pPr>
                    <w:pStyle w:val="Compact"/>
                    <w:jc w:val="center"/>
                  </w:pPr>
                  <w:r>
                    <w:t>20 % Freiflächen-PV</w:t>
                  </w:r>
                </w:p>
              </w:tc>
              <w:tc>
                <w:tcPr>
                  <w:tcW w:w="1320" w:type="dxa"/>
                </w:tcPr>
                <w:p w14:paraId="3F89D683" w14:textId="77777777" w:rsidR="004E4CC2" w:rsidRDefault="00000000">
                  <w:pPr>
                    <w:pStyle w:val="Compact"/>
                    <w:jc w:val="center"/>
                  </w:pPr>
                  <w:r>
                    <w:t>0</w:t>
                  </w:r>
                </w:p>
              </w:tc>
              <w:tc>
                <w:tcPr>
                  <w:tcW w:w="1320" w:type="dxa"/>
                </w:tcPr>
                <w:p w14:paraId="25F741E6" w14:textId="77777777" w:rsidR="004E4CC2" w:rsidRDefault="00000000">
                  <w:pPr>
                    <w:pStyle w:val="Compact"/>
                    <w:jc w:val="center"/>
                  </w:pPr>
                  <w:r>
                    <w:t>24.0</w:t>
                  </w:r>
                </w:p>
              </w:tc>
              <w:tc>
                <w:tcPr>
                  <w:tcW w:w="1320" w:type="dxa"/>
                </w:tcPr>
                <w:p w14:paraId="19A7D406" w14:textId="77777777" w:rsidR="004E4CC2" w:rsidRDefault="00000000">
                  <w:pPr>
                    <w:pStyle w:val="Compact"/>
                    <w:jc w:val="center"/>
                  </w:pPr>
                  <w:r>
                    <w:t>-36.8</w:t>
                  </w:r>
                </w:p>
              </w:tc>
              <w:tc>
                <w:tcPr>
                  <w:tcW w:w="1320" w:type="dxa"/>
                </w:tcPr>
                <w:p w14:paraId="567D97E3" w14:textId="77777777" w:rsidR="004E4CC2" w:rsidRDefault="00000000">
                  <w:pPr>
                    <w:pStyle w:val="Compact"/>
                    <w:jc w:val="center"/>
                  </w:pPr>
                  <w:r>
                    <w:t>0.0</w:t>
                  </w:r>
                </w:p>
              </w:tc>
              <w:tc>
                <w:tcPr>
                  <w:tcW w:w="1320" w:type="dxa"/>
                </w:tcPr>
                <w:p w14:paraId="2B38B1AA" w14:textId="77777777" w:rsidR="004E4CC2" w:rsidRDefault="00000000">
                  <w:pPr>
                    <w:pStyle w:val="Compact"/>
                    <w:jc w:val="center"/>
                  </w:pPr>
                  <w:r>
                    <w:t>ja</w:t>
                  </w:r>
                </w:p>
              </w:tc>
            </w:tr>
            <w:tr w:rsidR="004E4CC2" w14:paraId="2F701DB6" w14:textId="77777777">
              <w:tc>
                <w:tcPr>
                  <w:tcW w:w="1320" w:type="dxa"/>
                </w:tcPr>
                <w:p w14:paraId="7D507044" w14:textId="77777777" w:rsidR="004E4CC2" w:rsidRDefault="00000000">
                  <w:pPr>
                    <w:pStyle w:val="Compact"/>
                    <w:jc w:val="center"/>
                  </w:pPr>
                  <w:r>
                    <w:t>60 % MIV</w:t>
                  </w:r>
                </w:p>
              </w:tc>
              <w:tc>
                <w:tcPr>
                  <w:tcW w:w="1320" w:type="dxa"/>
                </w:tcPr>
                <w:p w14:paraId="11EFD572" w14:textId="77777777" w:rsidR="004E4CC2" w:rsidRDefault="00000000">
                  <w:pPr>
                    <w:pStyle w:val="Compact"/>
                    <w:jc w:val="center"/>
                  </w:pPr>
                  <w:r>
                    <w:t>0</w:t>
                  </w:r>
                </w:p>
              </w:tc>
              <w:tc>
                <w:tcPr>
                  <w:tcW w:w="1320" w:type="dxa"/>
                </w:tcPr>
                <w:p w14:paraId="38DC29E4" w14:textId="77777777" w:rsidR="004E4CC2" w:rsidRDefault="00000000">
                  <w:pPr>
                    <w:pStyle w:val="Compact"/>
                    <w:jc w:val="center"/>
                  </w:pPr>
                  <w:r>
                    <w:t>6.0</w:t>
                  </w:r>
                </w:p>
              </w:tc>
              <w:tc>
                <w:tcPr>
                  <w:tcW w:w="1320" w:type="dxa"/>
                </w:tcPr>
                <w:p w14:paraId="713FE17F" w14:textId="77777777" w:rsidR="004E4CC2" w:rsidRDefault="00000000">
                  <w:pPr>
                    <w:pStyle w:val="Compact"/>
                    <w:jc w:val="center"/>
                  </w:pPr>
                  <w:r>
                    <w:t>-7.0</w:t>
                  </w:r>
                </w:p>
              </w:tc>
              <w:tc>
                <w:tcPr>
                  <w:tcW w:w="1320" w:type="dxa"/>
                </w:tcPr>
                <w:p w14:paraId="3ABAC4E4" w14:textId="77777777" w:rsidR="004E4CC2" w:rsidRDefault="00000000">
                  <w:pPr>
                    <w:pStyle w:val="Compact"/>
                    <w:jc w:val="center"/>
                  </w:pPr>
                  <w:r>
                    <w:t>0.0</w:t>
                  </w:r>
                </w:p>
              </w:tc>
              <w:tc>
                <w:tcPr>
                  <w:tcW w:w="1320" w:type="dxa"/>
                </w:tcPr>
                <w:p w14:paraId="2A202D21" w14:textId="77777777" w:rsidR="004E4CC2" w:rsidRDefault="00000000">
                  <w:pPr>
                    <w:pStyle w:val="Compact"/>
                    <w:jc w:val="center"/>
                  </w:pPr>
                  <w:r>
                    <w:t>ja</w:t>
                  </w:r>
                </w:p>
              </w:tc>
            </w:tr>
            <w:tr w:rsidR="004E4CC2" w14:paraId="467DF5C5" w14:textId="77777777">
              <w:tc>
                <w:tcPr>
                  <w:tcW w:w="1320" w:type="dxa"/>
                </w:tcPr>
                <w:p w14:paraId="7B3096F8" w14:textId="77777777" w:rsidR="004E4CC2" w:rsidRDefault="00000000">
                  <w:pPr>
                    <w:pStyle w:val="Compact"/>
                    <w:jc w:val="center"/>
                  </w:pPr>
                  <w:r>
                    <w:t>40 % MIV: Konflikt</w:t>
                  </w:r>
                </w:p>
              </w:tc>
              <w:tc>
                <w:tcPr>
                  <w:tcW w:w="1320" w:type="dxa"/>
                </w:tcPr>
                <w:p w14:paraId="121CAFB8" w14:textId="77777777" w:rsidR="004E4CC2" w:rsidRDefault="00000000">
                  <w:pPr>
                    <w:pStyle w:val="Compact"/>
                    <w:jc w:val="center"/>
                  </w:pPr>
                  <w:r>
                    <w:t>0</w:t>
                  </w:r>
                </w:p>
              </w:tc>
              <w:tc>
                <w:tcPr>
                  <w:tcW w:w="1320" w:type="dxa"/>
                </w:tcPr>
                <w:p w14:paraId="718DD0A0" w14:textId="77777777" w:rsidR="004E4CC2" w:rsidRDefault="00000000">
                  <w:pPr>
                    <w:pStyle w:val="Compact"/>
                    <w:jc w:val="center"/>
                  </w:pPr>
                  <w:r>
                    <w:t>0.0</w:t>
                  </w:r>
                </w:p>
              </w:tc>
              <w:tc>
                <w:tcPr>
                  <w:tcW w:w="1320" w:type="dxa"/>
                </w:tcPr>
                <w:p w14:paraId="68897F76" w14:textId="77777777" w:rsidR="004E4CC2" w:rsidRDefault="00000000">
                  <w:pPr>
                    <w:pStyle w:val="Compact"/>
                    <w:jc w:val="center"/>
                  </w:pPr>
                  <w:r>
                    <w:t>5.0</w:t>
                  </w:r>
                </w:p>
              </w:tc>
              <w:tc>
                <w:tcPr>
                  <w:tcW w:w="1320" w:type="dxa"/>
                </w:tcPr>
                <w:p w14:paraId="7DEBBD16" w14:textId="77777777" w:rsidR="004E4CC2" w:rsidRDefault="00000000">
                  <w:pPr>
                    <w:pStyle w:val="Compact"/>
                    <w:jc w:val="center"/>
                  </w:pPr>
                  <w:r>
                    <w:t>-12.0</w:t>
                  </w:r>
                </w:p>
              </w:tc>
              <w:tc>
                <w:tcPr>
                  <w:tcW w:w="1320" w:type="dxa"/>
                </w:tcPr>
                <w:p w14:paraId="57C1F26C" w14:textId="77777777" w:rsidR="004E4CC2" w:rsidRDefault="00000000">
                  <w:pPr>
                    <w:pStyle w:val="Compact"/>
                    <w:jc w:val="center"/>
                  </w:pPr>
                  <w:r>
                    <w:t>nein</w:t>
                  </w:r>
                </w:p>
              </w:tc>
            </w:tr>
            <w:tr w:rsidR="004E4CC2" w14:paraId="23020BF1" w14:textId="77777777">
              <w:tc>
                <w:tcPr>
                  <w:tcW w:w="1320" w:type="dxa"/>
                </w:tcPr>
                <w:p w14:paraId="694A6CEB" w14:textId="77777777" w:rsidR="004E4CC2" w:rsidRDefault="00000000">
                  <w:pPr>
                    <w:pStyle w:val="Compact"/>
                    <w:jc w:val="center"/>
                  </w:pPr>
                  <w:r>
                    <w:t>H₂ vollständig angerechnet</w:t>
                  </w:r>
                </w:p>
              </w:tc>
              <w:tc>
                <w:tcPr>
                  <w:tcW w:w="1320" w:type="dxa"/>
                </w:tcPr>
                <w:p w14:paraId="674151DB" w14:textId="77777777" w:rsidR="004E4CC2" w:rsidRDefault="00000000">
                  <w:pPr>
                    <w:pStyle w:val="Compact"/>
                    <w:jc w:val="center"/>
                  </w:pPr>
                  <w:r>
                    <w:t>100</w:t>
                  </w:r>
                </w:p>
              </w:tc>
              <w:tc>
                <w:tcPr>
                  <w:tcW w:w="1320" w:type="dxa"/>
                </w:tcPr>
                <w:p w14:paraId="4FEE1A45" w14:textId="77777777" w:rsidR="004E4CC2" w:rsidRDefault="00000000">
                  <w:pPr>
                    <w:pStyle w:val="Compact"/>
                    <w:jc w:val="center"/>
                  </w:pPr>
                  <w:r>
                    <w:t>28.0</w:t>
                  </w:r>
                </w:p>
              </w:tc>
              <w:tc>
                <w:tcPr>
                  <w:tcW w:w="1320" w:type="dxa"/>
                </w:tcPr>
                <w:p w14:paraId="7C72AF7D" w14:textId="77777777" w:rsidR="004E4CC2" w:rsidRDefault="00000000">
                  <w:pPr>
                    <w:pStyle w:val="Compact"/>
                    <w:jc w:val="center"/>
                  </w:pPr>
                  <w:r>
                    <w:t>-3.0</w:t>
                  </w:r>
                </w:p>
              </w:tc>
              <w:tc>
                <w:tcPr>
                  <w:tcW w:w="1320" w:type="dxa"/>
                </w:tcPr>
                <w:p w14:paraId="56C35A3A" w14:textId="77777777" w:rsidR="004E4CC2" w:rsidRDefault="00000000">
                  <w:pPr>
                    <w:pStyle w:val="Compact"/>
                    <w:jc w:val="center"/>
                  </w:pPr>
                  <w:r>
                    <w:t>0.0</w:t>
                  </w:r>
                </w:p>
              </w:tc>
              <w:tc>
                <w:tcPr>
                  <w:tcW w:w="1320" w:type="dxa"/>
                </w:tcPr>
                <w:p w14:paraId="1F693AD0" w14:textId="77777777" w:rsidR="004E4CC2" w:rsidRDefault="00000000">
                  <w:pPr>
                    <w:pStyle w:val="Compact"/>
                    <w:jc w:val="center"/>
                  </w:pPr>
                  <w:r>
                    <w:t>ja</w:t>
                  </w:r>
                </w:p>
              </w:tc>
            </w:tr>
            <w:bookmarkEnd w:id="64"/>
          </w:tbl>
          <w:p w14:paraId="2090CFE1" w14:textId="77777777" w:rsidR="004E4CC2" w:rsidRDefault="004E4CC2"/>
        </w:tc>
      </w:tr>
    </w:tbl>
    <w:p w14:paraId="4CC93997" w14:textId="77777777" w:rsidR="004E4CC2" w:rsidRDefault="00000000">
      <w:pPr>
        <w:pStyle w:val="Textkrper"/>
      </w:pPr>
      <w:r>
        <w:t xml:space="preserve">Je Variante stehen </w:t>
      </w:r>
      <w:r>
        <w:rPr>
          <w:b/>
          <w:bCs/>
        </w:rPr>
        <w:t>Gebäudestrombedarf + MIV-Strombedarf</w:t>
      </w:r>
      <w:r>
        <w:t xml:space="preserve"> der Deckung aus </w:t>
      </w:r>
      <w:r>
        <w:rPr>
          <w:b/>
          <w:bCs/>
        </w:rPr>
        <w:t>Gebäude-PV + Mobilitätsgutschrift</w:t>
      </w:r>
      <w:r>
        <w:t xml:space="preserve"> gegenüber. Das zweite Diagramm zeigt den resultierenden Saldo und einen etwaigen zentralen Fehlbetrag. Der positive Gebäudesaldo der 40-%-MIV-Variante ist daher zusammen mit der zentralen Unterdeckung von 12 PJ/a zu lesen.</w:t>
      </w:r>
    </w:p>
    <w:p w14:paraId="5EB32368" w14:textId="77777777" w:rsidR="004E4CC2" w:rsidRDefault="00000000">
      <w:pPr>
        <w:pStyle w:val="Textkrper"/>
      </w:pPr>
      <w:r>
        <w:t xml:space="preserve">Mit </w:t>
      </w:r>
      <m:oMath>
        <m:r>
          <w:rPr>
            <w:rFonts w:ascii="Cambria Math" w:hAnsi="Cambria Math"/>
          </w:rPr>
          <m:t>f</m:t>
        </m:r>
      </m:oMath>
      <w:r>
        <w:t xml:space="preserve"> als Freiflächenanteil der PV, </w:t>
      </w:r>
      <m:oMath>
        <m:r>
          <w:rPr>
            <w:rFonts w:ascii="Cambria Math" w:hAnsi="Cambria Math"/>
          </w:rPr>
          <m:t>m</m:t>
        </m:r>
      </m:oMath>
      <w:r>
        <w:t xml:space="preserve"> als MIV-Anteil am Verkehr und </w:t>
      </w:r>
      <m:oMath>
        <m:r>
          <w:rPr>
            <w:rFonts w:ascii="Cambria Math" w:hAnsi="Cambria Math"/>
          </w:rPr>
          <m:t>h</m:t>
        </m:r>
      </m:oMath>
      <w:r>
        <w:t xml:space="preserve"> als angerechnetem Anteil der H₂-Rückverstromung ergibt sich bei gedeckter Priorität und nicht bindender Budgetobergrenze:</w:t>
      </w:r>
    </w:p>
    <w:p w14:paraId="1962268C"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G</m:t>
              </m:r>
            </m:e>
            <m:sub>
              <m:r>
                <m:rPr>
                  <m:sty m:val="p"/>
                </m:rPr>
                <w:rPr>
                  <w:rFonts w:ascii="Cambria Math" w:hAnsi="Cambria Math"/>
                </w:rPr>
                <m:t>MIV</m:t>
              </m:r>
            </m:sub>
          </m:sSub>
          <m:r>
            <m:rPr>
              <m:sty m:val="p"/>
            </m:rPr>
            <w:rPr>
              <w:rFonts w:ascii="Cambria Math" w:hAnsi="Cambria Math"/>
            </w:rPr>
            <m:t>=</m:t>
          </m:r>
          <m:r>
            <w:rPr>
              <w:rFonts w:ascii="Cambria Math" w:hAnsi="Cambria Math"/>
            </w:rPr>
            <m:t>90m</m:t>
          </m:r>
          <m:r>
            <m:rPr>
              <m:sty m:val="p"/>
            </m:rPr>
            <w:rPr>
              <w:rFonts w:ascii="Cambria Math" w:hAnsi="Cambria Math"/>
            </w:rPr>
            <m:t>-</m:t>
          </m:r>
          <m:r>
            <w:rPr>
              <w:rFonts w:ascii="Cambria Math" w:hAnsi="Cambria Math"/>
            </w:rPr>
            <m:t>48</m:t>
          </m:r>
          <m:r>
            <m:rPr>
              <m:sty m:val="p"/>
            </m:rPr>
            <w:rPr>
              <w:rFonts w:ascii="Cambria Math" w:hAnsi="Cambria Math"/>
            </w:rPr>
            <m:t>+</m:t>
          </m:r>
          <m:r>
            <w:rPr>
              <w:rFonts w:ascii="Cambria Math" w:hAnsi="Cambria Math"/>
            </w:rPr>
            <m:t>4</m:t>
          </m:r>
          <m:r>
            <w:rPr>
              <w:rFonts w:ascii="Cambria Math" w:hAnsi="Cambria Math"/>
            </w:rPr>
            <m:t>h</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m:rPr>
                  <m:sty m:val="p"/>
                </m:rPr>
                <w:rPr>
                  <w:rFonts w:ascii="Cambria Math" w:hAnsi="Cambria Math"/>
                </w:rPr>
                <m:t>Geb,Ziel</m:t>
              </m:r>
            </m:sub>
          </m:sSub>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m:t>
          </m:r>
          <m:r>
            <w:rPr>
              <w:rFonts w:ascii="Cambria Math" w:hAnsi="Cambria Math"/>
            </w:rPr>
            <m:t>h</m:t>
          </m:r>
          <m:r>
            <m:rPr>
              <m:sty m:val="p"/>
            </m:rPr>
            <w:rPr>
              <w:rFonts w:ascii="Cambria Math" w:hAnsi="Cambria Math"/>
            </w:rPr>
            <m:t>-</m:t>
          </m:r>
          <m:r>
            <w:rPr>
              <w:rFonts w:ascii="Cambria Math" w:hAnsi="Cambria Math"/>
            </w:rPr>
            <m:t>149f</m:t>
          </m:r>
          <m:r>
            <m:rPr>
              <m:sty m:val="p"/>
            </m:rPr>
            <w:rPr>
              <w:rFonts w:ascii="Cambria Math" w:hAnsi="Cambria Math"/>
            </w:rPr>
            <m:t>.</m:t>
          </m:r>
        </m:oMath>
      </m:oMathPara>
    </w:p>
    <w:p w14:paraId="656D9390" w14:textId="77777777" w:rsidR="004E4CC2" w:rsidRDefault="00000000">
      <w:pPr>
        <w:pStyle w:val="FirstParagraph"/>
      </w:pPr>
      <w:r>
        <w:t>Eine Änderung des MIV-Anteils verändert Bedarf und Budget im selben Umfang, solange diese Bedingungen gelten. Mehr Freiflächen-PV vermindert dagegen die dem Gebäude zugeordnete Deckung. Die nicht zugeordnete PV bleibt Bestandteil der nationalen Bilanz.</w:t>
      </w:r>
    </w:p>
    <w:p w14:paraId="37C2D8D3" w14:textId="77777777" w:rsidR="004E4CC2" w:rsidRDefault="00000000">
      <w:pPr>
        <w:pStyle w:val="berschrift2"/>
      </w:pPr>
      <w:bookmarkStart w:id="65" w:name="Xcb11340282e11bc9babf9c1f70e788f80ec9974"/>
      <w:bookmarkStart w:id="66" w:name="_Toc243681246"/>
      <w:bookmarkEnd w:id="60"/>
      <w:r>
        <w:t>5.5 Übergang zur Gebäude- und Quartiersbewertung</w:t>
      </w:r>
      <w:bookmarkEnd w:id="66"/>
    </w:p>
    <w:p w14:paraId="4904E481" w14:textId="77777777" w:rsidR="004E4CC2" w:rsidRDefault="00000000">
      <w:pPr>
        <w:pStyle w:val="FirstParagraph"/>
      </w:pPr>
      <w:r>
        <w:t>Der Gebäudepool erreicht −59,25 PJ/a im Betrieb und −107,25 PJ/a einschließlich derselben MIV-Zuordnung. Der Abstand zum Top-down-Ziel beträgt damit −100,25 PJ/a (</w:t>
      </w:r>
      <w:hyperlink w:anchor="sec-gebaeudebestand">
        <w:r>
          <w:rPr>
            <w:rStyle w:val="Hyperlink"/>
          </w:rPr>
          <w:t>Kapitel 6</w:t>
        </w:r>
      </w:hyperlink>
      <w:r>
        <w:t>). Er kennzeichnet Unterschiede in PV-Erzeugung und Gebäudebedarf der beiden Szenarien.</w:t>
      </w:r>
    </w:p>
    <w:p w14:paraId="5BBEF823" w14:textId="77777777" w:rsidR="004E4CC2" w:rsidRDefault="00000000">
      <w:pPr>
        <w:pStyle w:val="Textkrper"/>
      </w:pPr>
      <w:r>
        <w:lastRenderedPageBreak/>
        <w:t xml:space="preserve">Die sektorale Kalibrierung erfolgt auf elektrischer Endenergiebasis. Für den Quartiersnachweis werden die Ergebnisse mit dem dokumentierten heutigen PE-Faktorensatz bewertet. Die nutzungsbezogene Verteilung des Mobilitätsbudgets steht in </w:t>
      </w:r>
      <w:hyperlink w:anchor="sec-kontext-mobilitaet">
        <w:r>
          <w:rPr>
            <w:rStyle w:val="Hyperlink"/>
          </w:rPr>
          <w:t>Kapitel 8</w:t>
        </w:r>
      </w:hyperlink>
      <w:r>
        <w:t xml:space="preserve">, die Dichte- und Typologiekalibrierung in </w:t>
      </w:r>
      <w:hyperlink w:anchor="sec-kalibrierung">
        <w:r>
          <w:rPr>
            <w:rStyle w:val="Hyperlink"/>
          </w:rPr>
          <w:t>Kapitel 7</w:t>
        </w:r>
      </w:hyperlink>
      <w:r>
        <w:t>. Der Entwurf dokumentiert die verwendeten Annahmen und ihren Ergebnisstand; eine normative Festlegung von PEQ-Flächenanteilen und neuer Dichtefunktion ist darin nicht enthalten.</w:t>
      </w:r>
    </w:p>
    <w:p w14:paraId="4842374C" w14:textId="77777777" w:rsidR="004E4CC2" w:rsidRDefault="00000000">
      <w:pPr>
        <w:pStyle w:val="berschrift1"/>
      </w:pPr>
      <w:bookmarkStart w:id="67" w:name="sec-gebaeudebestand"/>
      <w:bookmarkStart w:id="68" w:name="_Toc243681247"/>
      <w:bookmarkEnd w:id="48"/>
      <w:bookmarkEnd w:id="65"/>
      <w:r>
        <w:t>6. Gebäudebestand und Entwicklungsszenario 2040</w:t>
      </w:r>
      <w:bookmarkEnd w:id="68"/>
    </w:p>
    <w:p w14:paraId="2F503D9F" w14:textId="77777777" w:rsidR="004E4CC2" w:rsidRDefault="00000000">
      <w:pPr>
        <w:pStyle w:val="FirstParagraph"/>
      </w:pPr>
      <w:r>
        <w:t>Gebäudetypologien, nationale Flächen und GFZ-Verteilungen als Bottom-up-Grundlage der PEQ-Kalibrierung</w:t>
      </w:r>
    </w:p>
    <w:p w14:paraId="3458BC87" w14:textId="77777777" w:rsidR="004E4CC2" w:rsidRDefault="00000000">
      <w:pPr>
        <w:pStyle w:val="Textkrper"/>
      </w:pPr>
      <w:r>
        <w:t xml:space="preserve">Das Gebäudesektormodell verknüpft die Flächenstruktur des Zieljahres 2040 mit den energetischen Kennwerten der Gebäudetypen und ihren Dichteverteilungen. Es bildet die Bottom-up-Seite zur sektoralen Allokation in </w:t>
      </w:r>
      <w:hyperlink w:anchor="sec-allokation">
        <w:r>
          <w:rPr>
            <w:rStyle w:val="Hyperlink"/>
          </w:rPr>
          <w:t>Kapitel 5</w:t>
        </w:r>
      </w:hyperlink>
      <w:r>
        <w:t xml:space="preserve">. Die Auswertung des Pools ergibt </w:t>
      </w:r>
      <w:r>
        <w:rPr>
          <w:b/>
          <w:bCs/>
        </w:rPr>
        <w:t>137,49 PJ/a Strombedarf</w:t>
      </w:r>
      <w:r>
        <w:t xml:space="preserve">, </w:t>
      </w:r>
      <w:r>
        <w:rPr>
          <w:b/>
          <w:bCs/>
        </w:rPr>
        <w:t>78,25 PJ/a PV-Erzeugung</w:t>
      </w:r>
      <w:r>
        <w:t xml:space="preserve"> und einen </w:t>
      </w:r>
      <w:r>
        <w:rPr>
          <w:b/>
          <w:bCs/>
        </w:rPr>
        <w:t>betrieblichen Stromsaldo von −59,25 PJ/a</w:t>
      </w:r>
      <w:r>
        <w:t>. Diese Zahlen beschreiben den gelieferten Szenariostand. Der Abgleich mit UBA Transition zeigt den Szenarioabstand.</w:t>
      </w:r>
    </w:p>
    <w:p w14:paraId="4B45509F" w14:textId="77777777" w:rsidR="004E4CC2" w:rsidRDefault="00000000">
      <w:pPr>
        <w:pStyle w:val="Textkrper"/>
      </w:pPr>
      <w:r>
        <w:t xml:space="preserve">Die vollständige Herleitung, Eingabetabellen, Formeln und Bilanzprüfungen stehen im ausführbaren Anhang </w:t>
      </w:r>
      <w:hyperlink w:anchor="sec-gebaeudesektormodell">
        <w:r>
          <w:rPr>
            <w:rStyle w:val="Hyperlink"/>
          </w:rPr>
          <w:t>Anhang H</w:t>
        </w:r>
      </w:hyperlink>
      <w:r>
        <w:t>. Die Berechnungen sind unmittelbar in dessen Notebook-Zellen enthalten.</w:t>
      </w:r>
    </w:p>
    <w:p w14:paraId="3D32CBD6" w14:textId="77777777" w:rsidR="004E4CC2" w:rsidRDefault="00000000">
      <w:pPr>
        <w:pStyle w:val="berschrift2"/>
      </w:pPr>
      <w:bookmarkStart w:id="69" w:name="Xe4811d536d15131d292aaedbed8c98d201c28ec"/>
      <w:bookmarkStart w:id="70" w:name="_Toc243681248"/>
      <w:r>
        <w:t>6.1 Datenbasis, Flächenbegriffe und Bezugsjahre</w:t>
      </w:r>
      <w:bookmarkEnd w:id="70"/>
    </w:p>
    <w:p w14:paraId="60C2B60B" w14:textId="77777777" w:rsidR="004E4CC2" w:rsidRDefault="00000000">
      <w:pPr>
        <w:pStyle w:val="FirstParagraph"/>
      </w:pPr>
      <w:r>
        <w:t xml:space="preserve">Grundlage ist </w:t>
      </w:r>
      <w:r>
        <w:rPr>
          <w:rStyle w:val="VerbatimChar"/>
        </w:rPr>
        <w:t>Building-Sector_Pool 1.xlsx</w:t>
      </w:r>
      <w:r>
        <w:t xml:space="preserve">, einschließlich der am 23.10.2026 ergänzten GFZ-Anteile. Das Blatt </w:t>
      </w:r>
      <w:r>
        <w:rPr>
          <w:rStyle w:val="VerbatimChar"/>
        </w:rPr>
        <w:t>Strombed_estim</w:t>
      </w:r>
      <w:r>
        <w:t xml:space="preserve"> enthält die maßgeblichen Flächen- und Energiekennwerte, </w:t>
      </w:r>
      <w:r>
        <w:rPr>
          <w:rStyle w:val="VerbatimChar"/>
        </w:rPr>
        <w:t>zuordnung_gfz</w:t>
      </w:r>
      <w:r>
        <w:t xml:space="preserve"> die Zuordnung nach Nutzung und Geschoßklasse. Das Simulationsblatt </w:t>
      </w:r>
      <w:r>
        <w:rPr>
          <w:rStyle w:val="VerbatimChar"/>
        </w:rPr>
        <w:t>Tabelle2</w:t>
      </w:r>
      <w:r>
        <w:t xml:space="preserve"> liefert Einheiten und ergänzende Anwendungen. Alle 900 Archetypenschlüssel sind eindeutig und lassen sich vollständig mit den Simulationsergebnissen verbinden. Die gespeicherten Kennwerte stimmen mit den im Kennwertblatt referenzierten Simulationswerten überein; eine erneute PEExcel-Simulation ist damit nicht verbunden.</w:t>
      </w:r>
    </w:p>
    <w:p w14:paraId="28CEB404" w14:textId="77777777" w:rsidR="004E4CC2" w:rsidRDefault="00000000">
      <w:pPr>
        <w:pStyle w:val="Textkrper"/>
      </w:pPr>
      <w:r>
        <w:t xml:space="preserve">Die nationale Flächensumme beträgt </w:t>
      </w:r>
      <w:r>
        <w:rPr>
          <w:b/>
          <w:bCs/>
        </w:rPr>
        <w:t>1.126,579 Mio. m² BGF für 2040</w:t>
      </w:r>
      <w:r>
        <w:t xml:space="preserve">, gegenüber </w:t>
      </w:r>
      <w:r>
        <w:rPr>
          <w:b/>
          <w:bCs/>
        </w:rPr>
        <w:t>1.112,341 Mio. m² BGF</w:t>
      </w:r>
      <w:r>
        <w:t xml:space="preserve"> in der Quellspalte „heute“. Deren konkretes Bezugsjahr ist nicht bestätigt. Sie wird deshalb nicht mit 2020 gleichgesetzt. Die Energiekennwerte beziehen sich laut Simulationsblatt auf </w:t>
      </w:r>
      <w:r>
        <w:rPr>
          <w:b/>
          <w:bCs/>
        </w:rPr>
        <w:t>NGF</w:t>
      </w:r>
      <w:r>
        <w:t>. Für die Aggregation gilt die aus der bestehenden GFZ-Analyse übernommene einheitliche Modellannahme:</w:t>
      </w:r>
    </w:p>
    <w:p w14:paraId="1CDCC623"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NGF</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8 </m:t>
          </m:r>
          <m:sSub>
            <m:sSubPr>
              <m:ctrlPr>
                <w:rPr>
                  <w:rFonts w:ascii="Cambria Math" w:hAnsi="Cambria Math"/>
                </w:rPr>
              </m:ctrlPr>
            </m:sSubPr>
            <m:e>
              <m:r>
                <w:rPr>
                  <w:rFonts w:ascii="Cambria Math" w:hAnsi="Cambria Math"/>
                </w:rPr>
                <m:t>A</m:t>
              </m:r>
            </m:e>
            <m:sub>
              <m:r>
                <w:rPr>
                  <w:rFonts w:ascii="Cambria Math" w:hAnsi="Cambria Math"/>
                </w:rPr>
                <m:t>BGF</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sub>
          </m:sSub>
          <m:r>
            <m:rPr>
              <m:sty m:val="p"/>
            </m:rPr>
            <w:rPr>
              <w:rFonts w:ascii="Cambria Math" w:hAnsi="Cambria Math"/>
            </w:rPr>
            <m:t>.</m:t>
          </m:r>
        </m:oMath>
      </m:oMathPara>
    </w:p>
    <w:p w14:paraId="5CA9E788" w14:textId="77777777" w:rsidR="004E4CC2" w:rsidRDefault="00000000">
      <w:pPr>
        <w:pStyle w:val="FirstParagraph"/>
      </w:pPr>
      <w:r>
        <w:t>Für 2040 folgen daraus 901,263 Mio. m² NGF. Der Flächenfaktor ist für alle Typen einheitlich. Es erfolgt keine Skalierung auf die GFZ-Bestandsfläche von 1.058,935 Mio. m² BGF oder auf die separate Flächenannahme der THG-Allokation. Diese Größen haben unterschiedliche Grundlagen.</w:t>
      </w:r>
    </w:p>
    <w:p w14:paraId="7D243CCC" w14:textId="77777777" w:rsidR="004E4CC2" w:rsidRDefault="00000000">
      <w:pPr>
        <w:pStyle w:val="Textkrper"/>
      </w:pPr>
      <w:r>
        <w:lastRenderedPageBreak/>
        <w:t xml:space="preserve">Das ältere Blatt </w:t>
      </w:r>
      <w:r>
        <w:rPr>
          <w:rStyle w:val="VerbatimChar"/>
        </w:rPr>
        <w:t>reduced</w:t>
      </w:r>
      <w:r>
        <w:t xml:space="preserve"> enthält 696,615 Mio. m² NGF, 486 positiv gewichtete Varianten, 264 echte Nullwerte und 6.450 leere Flächenfelder. Im neuen Kennwertblatt sind 603 Typen für 2040 positiv gewichtet und 297 explizit null; Flächenwerte fehlen dort nicht. Die unterschiedlichen Flächenbezüge, Variantenabdeckungen und Summen werden in </w:t>
      </w:r>
      <w:hyperlink w:anchor="sec-gebaeude-flaechen">
        <w:r>
          <w:rPr>
            <w:rStyle w:val="Hyperlink"/>
          </w:rPr>
          <w:t>Kapitel H.3</w:t>
        </w:r>
      </w:hyperlink>
      <w:r>
        <w:t xml:space="preserve"> verglichen. Der ältere Datensatz wird nicht als additive Fläche oder Ersatzgewichtung verwendet. </w:t>
      </w:r>
      <w:r>
        <w:rPr>
          <w:rStyle w:val="VerbatimChar"/>
        </w:rPr>
        <w:t>save</w:t>
      </w:r>
      <w:r>
        <w:t xml:space="preserve"> ist ein zusätzlicher Projekt-/Presetstand und keine nationale Flächenbilanz.</w:t>
      </w:r>
    </w:p>
    <w:p w14:paraId="723D49A1" w14:textId="77777777" w:rsidR="004E4CC2" w:rsidRDefault="00000000">
      <w:pPr>
        <w:pStyle w:val="berschrift2"/>
      </w:pPr>
      <w:bookmarkStart w:id="71" w:name="sec-gebaeudetypologien"/>
      <w:bookmarkStart w:id="72" w:name="_Toc243681249"/>
      <w:bookmarkEnd w:id="69"/>
      <w:r>
        <w:t>6.2 Energetische Gebäudetypologien 2040</w:t>
      </w:r>
      <w:bookmarkEnd w:id="72"/>
    </w:p>
    <w:p w14:paraId="343E9881" w14:textId="77777777" w:rsidR="004E4CC2" w:rsidRDefault="00000000">
      <w:pPr>
        <w:pStyle w:val="FirstParagraph"/>
      </w:pPr>
      <w:r>
        <w:t xml:space="preserve">Der vollständige Typenschlüssel kombiniert </w:t>
      </w:r>
      <w:r>
        <w:rPr>
          <w:b/>
          <w:bCs/>
        </w:rPr>
        <w:t>Geometrie, Baualter beziehungsweise Hüllstandard, Wärmeversorgung, PV-Ausstattung und Flexibilität</w:t>
      </w:r>
      <w:r>
        <w:t xml:space="preserve">. Die zehn Geometrieklassen sind daher nicht mit zehn energetischen Klassen gleichzusetzen. Der ausgewertete Bestand umfasst neun Baualters-/Hüllcodes und zehn Wärmeversorgungsvarianten. Alle 900 simulierten Typen tragen die Variante </w:t>
      </w:r>
      <w:r>
        <w:rPr>
          <w:rStyle w:val="VerbatimChar"/>
        </w:rPr>
        <w:t>PV30|noFlex</w:t>
      </w:r>
      <w:r>
        <w:t>; die übrigen PV-/Flexibilitätsvarianten des 7.200 Szenarien umfassenden Gesamtpools erhalten keine ungeprüft übertragenen Kennwerte.</w:t>
      </w:r>
    </w:p>
    <w:p w14:paraId="606D5FCF" w14:textId="77777777" w:rsidR="004E4CC2" w:rsidRDefault="00000000">
      <w:pPr>
        <w:pStyle w:val="Textkrper"/>
      </w:pPr>
      <w:r>
        <w:rPr>
          <w:rStyle w:val="VerbatimChar"/>
        </w:rPr>
        <w:t>Neu_10cm</w:t>
      </w:r>
      <w:r>
        <w:t xml:space="preserve">, </w:t>
      </w:r>
      <w:r>
        <w:rPr>
          <w:rStyle w:val="VerbatimChar"/>
        </w:rPr>
        <w:t>Neu_20cm</w:t>
      </w:r>
      <w:r>
        <w:t xml:space="preserve"> und </w:t>
      </w:r>
      <w:r>
        <w:rPr>
          <w:rStyle w:val="VerbatimChar"/>
        </w:rPr>
        <w:t>Neu_30cm</w:t>
      </w:r>
      <w:r>
        <w:t xml:space="preserve"> bezeichnen Hüllcodes. Die Zugehörigkeit zu Bestand, Neubau oder Sanierung folgt den separat gelieferten Anteilen, nicht allein dem Wort „Neu“. Das Feld „Energetischer Standard“ ist noch leer. Auch eine PEQ-Presetbezeichnung oder ein positiver Stromsaldo belegt für sich keine PEQ-Konformität.</w:t>
      </w:r>
    </w:p>
    <w:tbl>
      <w:tblPr>
        <w:tblStyle w:val="Table"/>
        <w:tblW w:w="5000" w:type="pct"/>
        <w:tblLayout w:type="fixed"/>
        <w:tblLook w:val="0000" w:firstRow="0" w:lastRow="0" w:firstColumn="0" w:lastColumn="0" w:noHBand="0" w:noVBand="0"/>
      </w:tblPr>
      <w:tblGrid>
        <w:gridCol w:w="9622"/>
      </w:tblGrid>
      <w:tr w:rsidR="004E4CC2" w14:paraId="57925B00" w14:textId="77777777">
        <w:tc>
          <w:tcPr>
            <w:tcW w:w="7920" w:type="dxa"/>
          </w:tcPr>
          <w:p w14:paraId="5F0164F5" w14:textId="77777777" w:rsidR="004E4CC2" w:rsidRDefault="00000000">
            <w:pPr>
              <w:pStyle w:val="ImageCaption"/>
              <w:spacing w:before="200"/>
            </w:pPr>
            <w:bookmarkStart w:id="73" w:name="tbl-gebaeude-typologien"/>
            <w:r>
              <w:t>Tabelle 6.1: Gelieferte Flächen und BGF-gewichtete Dichte-Erwartungswerte. Heute: Bezugsjahr offen; Dichtefunktion in elektrischer Energie.</w:t>
            </w:r>
          </w:p>
          <w:tbl>
            <w:tblPr>
              <w:tblStyle w:val="Table"/>
              <w:tblW w:w="5000" w:type="pct"/>
              <w:tblLayout w:type="fixed"/>
              <w:tblLook w:val="0020" w:firstRow="1" w:lastRow="0" w:firstColumn="0" w:lastColumn="0" w:noHBand="0" w:noVBand="0"/>
            </w:tblPr>
            <w:tblGrid>
              <w:gridCol w:w="1882"/>
              <w:gridCol w:w="1881"/>
              <w:gridCol w:w="1881"/>
              <w:gridCol w:w="1881"/>
              <w:gridCol w:w="1881"/>
            </w:tblGrid>
            <w:tr w:rsidR="004E4CC2" w14:paraId="39F90152"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584" w:type="dxa"/>
                </w:tcPr>
                <w:p w14:paraId="538B0643" w14:textId="77777777" w:rsidR="004E4CC2" w:rsidRDefault="00000000">
                  <w:pPr>
                    <w:pStyle w:val="Compact"/>
                    <w:jc w:val="center"/>
                  </w:pPr>
                  <w:r>
                    <w:t>Geometrie</w:t>
                  </w:r>
                </w:p>
              </w:tc>
              <w:tc>
                <w:tcPr>
                  <w:tcW w:w="1584" w:type="dxa"/>
                </w:tcPr>
                <w:p w14:paraId="177C0A77" w14:textId="77777777" w:rsidR="004E4CC2" w:rsidRDefault="00000000">
                  <w:pPr>
                    <w:pStyle w:val="Compact"/>
                    <w:jc w:val="center"/>
                  </w:pPr>
                  <w:r>
                    <w:t>BGF heute [Mio. m²]</w:t>
                  </w:r>
                </w:p>
              </w:tc>
              <w:tc>
                <w:tcPr>
                  <w:tcW w:w="1584" w:type="dxa"/>
                </w:tcPr>
                <w:p w14:paraId="0CAA2DB5" w14:textId="77777777" w:rsidR="004E4CC2" w:rsidRDefault="00000000">
                  <w:pPr>
                    <w:pStyle w:val="Compact"/>
                    <w:jc w:val="center"/>
                  </w:pPr>
                  <w:r>
                    <w:t>BGF 2040 [Mio. m²]</w:t>
                  </w:r>
                </w:p>
              </w:tc>
              <w:tc>
                <w:tcPr>
                  <w:tcW w:w="1584" w:type="dxa"/>
                </w:tcPr>
                <w:p w14:paraId="77A82E40" w14:textId="77777777" w:rsidR="004E4CC2" w:rsidRDefault="00000000">
                  <w:pPr>
                    <w:pStyle w:val="Compact"/>
                    <w:jc w:val="center"/>
                  </w:pPr>
                  <w:r>
                    <w:t>GFZ_Mittel</w:t>
                  </w:r>
                </w:p>
              </w:tc>
              <w:tc>
                <w:tcPr>
                  <w:tcW w:w="1584" w:type="dxa"/>
                </w:tcPr>
                <w:p w14:paraId="0A03419E" w14:textId="77777777" w:rsidR="004E4CC2" w:rsidRDefault="00000000">
                  <w:pPr>
                    <w:pStyle w:val="Compact"/>
                    <w:jc w:val="center"/>
                  </w:pPr>
                  <w:r>
                    <w:t>c_D_EE_BGF</w:t>
                  </w:r>
                </w:p>
              </w:tc>
            </w:tr>
            <w:tr w:rsidR="004E4CC2" w14:paraId="26845A3A" w14:textId="77777777">
              <w:tc>
                <w:tcPr>
                  <w:tcW w:w="1584" w:type="dxa"/>
                </w:tcPr>
                <w:p w14:paraId="20B4861A" w14:textId="77777777" w:rsidR="004E4CC2" w:rsidRDefault="00000000">
                  <w:pPr>
                    <w:pStyle w:val="Compact"/>
                    <w:jc w:val="center"/>
                  </w:pPr>
                  <w:r>
                    <w:t>EFH_1G</w:t>
                  </w:r>
                </w:p>
              </w:tc>
              <w:tc>
                <w:tcPr>
                  <w:tcW w:w="1584" w:type="dxa"/>
                </w:tcPr>
                <w:p w14:paraId="488948B8" w14:textId="77777777" w:rsidR="004E4CC2" w:rsidRDefault="00000000">
                  <w:pPr>
                    <w:pStyle w:val="Compact"/>
                    <w:jc w:val="center"/>
                  </w:pPr>
                  <w:r>
                    <w:t>129,675</w:t>
                  </w:r>
                </w:p>
              </w:tc>
              <w:tc>
                <w:tcPr>
                  <w:tcW w:w="1584" w:type="dxa"/>
                </w:tcPr>
                <w:p w14:paraId="55B79A4D" w14:textId="77777777" w:rsidR="004E4CC2" w:rsidRDefault="00000000">
                  <w:pPr>
                    <w:pStyle w:val="Compact"/>
                    <w:jc w:val="center"/>
                  </w:pPr>
                  <w:r>
                    <w:t>131,047</w:t>
                  </w:r>
                </w:p>
              </w:tc>
              <w:tc>
                <w:tcPr>
                  <w:tcW w:w="1584" w:type="dxa"/>
                </w:tcPr>
                <w:p w14:paraId="7FA7658B" w14:textId="77777777" w:rsidR="004E4CC2" w:rsidRDefault="00000000">
                  <w:pPr>
                    <w:pStyle w:val="Compact"/>
                    <w:jc w:val="center"/>
                  </w:pPr>
                  <w:r>
                    <w:t>0,318</w:t>
                  </w:r>
                </w:p>
              </w:tc>
              <w:tc>
                <w:tcPr>
                  <w:tcW w:w="1584" w:type="dxa"/>
                </w:tcPr>
                <w:p w14:paraId="53EF8313" w14:textId="77777777" w:rsidR="004E4CC2" w:rsidRDefault="00000000">
                  <w:pPr>
                    <w:pStyle w:val="Compact"/>
                    <w:jc w:val="center"/>
                  </w:pPr>
                  <w:r>
                    <w:t>-41,631</w:t>
                  </w:r>
                </w:p>
              </w:tc>
            </w:tr>
            <w:tr w:rsidR="004E4CC2" w14:paraId="68369DA6" w14:textId="77777777">
              <w:tc>
                <w:tcPr>
                  <w:tcW w:w="1584" w:type="dxa"/>
                </w:tcPr>
                <w:p w14:paraId="3E86333E" w14:textId="77777777" w:rsidR="004E4CC2" w:rsidRDefault="00000000">
                  <w:pPr>
                    <w:pStyle w:val="Compact"/>
                    <w:jc w:val="center"/>
                  </w:pPr>
                  <w:r>
                    <w:t>EFH_2G</w:t>
                  </w:r>
                </w:p>
              </w:tc>
              <w:tc>
                <w:tcPr>
                  <w:tcW w:w="1584" w:type="dxa"/>
                </w:tcPr>
                <w:p w14:paraId="3D68B900" w14:textId="77777777" w:rsidR="004E4CC2" w:rsidRDefault="00000000">
                  <w:pPr>
                    <w:pStyle w:val="Compact"/>
                    <w:jc w:val="center"/>
                  </w:pPr>
                  <w:r>
                    <w:t>186,891</w:t>
                  </w:r>
                </w:p>
              </w:tc>
              <w:tc>
                <w:tcPr>
                  <w:tcW w:w="1584" w:type="dxa"/>
                </w:tcPr>
                <w:p w14:paraId="758E08EB" w14:textId="77777777" w:rsidR="004E4CC2" w:rsidRDefault="00000000">
                  <w:pPr>
                    <w:pStyle w:val="Compact"/>
                    <w:jc w:val="center"/>
                  </w:pPr>
                  <w:r>
                    <w:t>189,492</w:t>
                  </w:r>
                </w:p>
              </w:tc>
              <w:tc>
                <w:tcPr>
                  <w:tcW w:w="1584" w:type="dxa"/>
                </w:tcPr>
                <w:p w14:paraId="64F909FE" w14:textId="77777777" w:rsidR="004E4CC2" w:rsidRDefault="00000000">
                  <w:pPr>
                    <w:pStyle w:val="Compact"/>
                    <w:jc w:val="center"/>
                  </w:pPr>
                  <w:r>
                    <w:t>0,615</w:t>
                  </w:r>
                </w:p>
              </w:tc>
              <w:tc>
                <w:tcPr>
                  <w:tcW w:w="1584" w:type="dxa"/>
                </w:tcPr>
                <w:p w14:paraId="41014165" w14:textId="77777777" w:rsidR="004E4CC2" w:rsidRDefault="00000000">
                  <w:pPr>
                    <w:pStyle w:val="Compact"/>
                    <w:jc w:val="center"/>
                  </w:pPr>
                  <w:r>
                    <w:t>-22,798</w:t>
                  </w:r>
                </w:p>
              </w:tc>
            </w:tr>
            <w:tr w:rsidR="004E4CC2" w14:paraId="4B03CF06" w14:textId="77777777">
              <w:tc>
                <w:tcPr>
                  <w:tcW w:w="1584" w:type="dxa"/>
                </w:tcPr>
                <w:p w14:paraId="124AE0F8" w14:textId="77777777" w:rsidR="004E4CC2" w:rsidRDefault="00000000">
                  <w:pPr>
                    <w:pStyle w:val="Compact"/>
                    <w:jc w:val="center"/>
                  </w:pPr>
                  <w:r>
                    <w:t>GWB_5G</w:t>
                  </w:r>
                </w:p>
              </w:tc>
              <w:tc>
                <w:tcPr>
                  <w:tcW w:w="1584" w:type="dxa"/>
                </w:tcPr>
                <w:p w14:paraId="5DA540A4" w14:textId="77777777" w:rsidR="004E4CC2" w:rsidRDefault="00000000">
                  <w:pPr>
                    <w:pStyle w:val="Compact"/>
                    <w:jc w:val="center"/>
                  </w:pPr>
                  <w:r>
                    <w:t>39,452</w:t>
                  </w:r>
                </w:p>
              </w:tc>
              <w:tc>
                <w:tcPr>
                  <w:tcW w:w="1584" w:type="dxa"/>
                </w:tcPr>
                <w:p w14:paraId="27ADB669" w14:textId="77777777" w:rsidR="004E4CC2" w:rsidRDefault="00000000">
                  <w:pPr>
                    <w:pStyle w:val="Compact"/>
                    <w:jc w:val="center"/>
                  </w:pPr>
                  <w:r>
                    <w:t>39,941</w:t>
                  </w:r>
                </w:p>
              </w:tc>
              <w:tc>
                <w:tcPr>
                  <w:tcW w:w="1584" w:type="dxa"/>
                </w:tcPr>
                <w:p w14:paraId="4E3BA406" w14:textId="77777777" w:rsidR="004E4CC2" w:rsidRDefault="00000000">
                  <w:pPr>
                    <w:pStyle w:val="Compact"/>
                    <w:jc w:val="center"/>
                  </w:pPr>
                  <w:r>
                    <w:t>2,266</w:t>
                  </w:r>
                </w:p>
              </w:tc>
              <w:tc>
                <w:tcPr>
                  <w:tcW w:w="1584" w:type="dxa"/>
                </w:tcPr>
                <w:p w14:paraId="611057C3" w14:textId="77777777" w:rsidR="004E4CC2" w:rsidRDefault="00000000">
                  <w:pPr>
                    <w:pStyle w:val="Compact"/>
                    <w:jc w:val="center"/>
                  </w:pPr>
                  <w:r>
                    <w:t>8,966</w:t>
                  </w:r>
                </w:p>
              </w:tc>
            </w:tr>
            <w:tr w:rsidR="004E4CC2" w14:paraId="595D0360" w14:textId="77777777">
              <w:tc>
                <w:tcPr>
                  <w:tcW w:w="1584" w:type="dxa"/>
                </w:tcPr>
                <w:p w14:paraId="6C29E455" w14:textId="77777777" w:rsidR="004E4CC2" w:rsidRDefault="00000000">
                  <w:pPr>
                    <w:pStyle w:val="Compact"/>
                    <w:jc w:val="center"/>
                  </w:pPr>
                  <w:r>
                    <w:t>GWB_7G</w:t>
                  </w:r>
                </w:p>
              </w:tc>
              <w:tc>
                <w:tcPr>
                  <w:tcW w:w="1584" w:type="dxa"/>
                </w:tcPr>
                <w:p w14:paraId="1E2971D7" w14:textId="77777777" w:rsidR="004E4CC2" w:rsidRDefault="00000000">
                  <w:pPr>
                    <w:pStyle w:val="Compact"/>
                    <w:jc w:val="center"/>
                  </w:pPr>
                  <w:r>
                    <w:t>81,032</w:t>
                  </w:r>
                </w:p>
              </w:tc>
              <w:tc>
                <w:tcPr>
                  <w:tcW w:w="1584" w:type="dxa"/>
                </w:tcPr>
                <w:p w14:paraId="3700FA61" w14:textId="77777777" w:rsidR="004E4CC2" w:rsidRDefault="00000000">
                  <w:pPr>
                    <w:pStyle w:val="Compact"/>
                    <w:jc w:val="center"/>
                  </w:pPr>
                  <w:r>
                    <w:t>82,108</w:t>
                  </w:r>
                </w:p>
              </w:tc>
              <w:tc>
                <w:tcPr>
                  <w:tcW w:w="1584" w:type="dxa"/>
                </w:tcPr>
                <w:p w14:paraId="3B923AB3" w14:textId="77777777" w:rsidR="004E4CC2" w:rsidRDefault="00000000">
                  <w:pPr>
                    <w:pStyle w:val="Compact"/>
                    <w:jc w:val="center"/>
                  </w:pPr>
                  <w:r>
                    <w:t>4,000</w:t>
                  </w:r>
                </w:p>
              </w:tc>
              <w:tc>
                <w:tcPr>
                  <w:tcW w:w="1584" w:type="dxa"/>
                </w:tcPr>
                <w:p w14:paraId="73E2A83C" w14:textId="77777777" w:rsidR="004E4CC2" w:rsidRDefault="00000000">
                  <w:pPr>
                    <w:pStyle w:val="Compact"/>
                    <w:jc w:val="center"/>
                  </w:pPr>
                  <w:r>
                    <w:t>16,440</w:t>
                  </w:r>
                </w:p>
              </w:tc>
            </w:tr>
            <w:tr w:rsidR="004E4CC2" w14:paraId="44F258D7" w14:textId="77777777">
              <w:tc>
                <w:tcPr>
                  <w:tcW w:w="1584" w:type="dxa"/>
                </w:tcPr>
                <w:p w14:paraId="60576432" w14:textId="77777777" w:rsidR="004E4CC2" w:rsidRDefault="00000000">
                  <w:pPr>
                    <w:pStyle w:val="Compact"/>
                    <w:jc w:val="center"/>
                  </w:pPr>
                  <w:r>
                    <w:t>MFH_2G</w:t>
                  </w:r>
                </w:p>
              </w:tc>
              <w:tc>
                <w:tcPr>
                  <w:tcW w:w="1584" w:type="dxa"/>
                </w:tcPr>
                <w:p w14:paraId="13ABC8B4" w14:textId="77777777" w:rsidR="004E4CC2" w:rsidRDefault="00000000">
                  <w:pPr>
                    <w:pStyle w:val="Compact"/>
                    <w:jc w:val="center"/>
                  </w:pPr>
                  <w:r>
                    <w:t>0,000</w:t>
                  </w:r>
                </w:p>
              </w:tc>
              <w:tc>
                <w:tcPr>
                  <w:tcW w:w="1584" w:type="dxa"/>
                </w:tcPr>
                <w:p w14:paraId="403F6281" w14:textId="77777777" w:rsidR="004E4CC2" w:rsidRDefault="00000000">
                  <w:pPr>
                    <w:pStyle w:val="Compact"/>
                    <w:jc w:val="center"/>
                  </w:pPr>
                  <w:r>
                    <w:t>0,000</w:t>
                  </w:r>
                </w:p>
              </w:tc>
              <w:tc>
                <w:tcPr>
                  <w:tcW w:w="1584" w:type="dxa"/>
                </w:tcPr>
                <w:p w14:paraId="5AB2C2C8" w14:textId="77777777" w:rsidR="004E4CC2" w:rsidRDefault="00000000">
                  <w:pPr>
                    <w:pStyle w:val="Compact"/>
                    <w:jc w:val="center"/>
                  </w:pPr>
                  <w:r>
                    <w:t>offen</w:t>
                  </w:r>
                </w:p>
              </w:tc>
              <w:tc>
                <w:tcPr>
                  <w:tcW w:w="1584" w:type="dxa"/>
                </w:tcPr>
                <w:p w14:paraId="16E75D48" w14:textId="77777777" w:rsidR="004E4CC2" w:rsidRDefault="00000000">
                  <w:pPr>
                    <w:pStyle w:val="Compact"/>
                    <w:jc w:val="center"/>
                  </w:pPr>
                  <w:r>
                    <w:t>offen</w:t>
                  </w:r>
                </w:p>
              </w:tc>
            </w:tr>
            <w:tr w:rsidR="004E4CC2" w14:paraId="5FBBF399" w14:textId="77777777">
              <w:tc>
                <w:tcPr>
                  <w:tcW w:w="1584" w:type="dxa"/>
                </w:tcPr>
                <w:p w14:paraId="20470719" w14:textId="77777777" w:rsidR="004E4CC2" w:rsidRDefault="00000000">
                  <w:pPr>
                    <w:pStyle w:val="Compact"/>
                    <w:jc w:val="center"/>
                  </w:pPr>
                  <w:r>
                    <w:t>MFH_4G</w:t>
                  </w:r>
                </w:p>
              </w:tc>
              <w:tc>
                <w:tcPr>
                  <w:tcW w:w="1584" w:type="dxa"/>
                </w:tcPr>
                <w:p w14:paraId="5FE81F80" w14:textId="77777777" w:rsidR="004E4CC2" w:rsidRDefault="00000000">
                  <w:pPr>
                    <w:pStyle w:val="Compact"/>
                    <w:jc w:val="center"/>
                  </w:pPr>
                  <w:r>
                    <w:t>65,007</w:t>
                  </w:r>
                </w:p>
              </w:tc>
              <w:tc>
                <w:tcPr>
                  <w:tcW w:w="1584" w:type="dxa"/>
                </w:tcPr>
                <w:p w14:paraId="670D4E09" w14:textId="77777777" w:rsidR="004E4CC2" w:rsidRDefault="00000000">
                  <w:pPr>
                    <w:pStyle w:val="Compact"/>
                    <w:jc w:val="center"/>
                  </w:pPr>
                  <w:r>
                    <w:t>65,865</w:t>
                  </w:r>
                </w:p>
              </w:tc>
              <w:tc>
                <w:tcPr>
                  <w:tcW w:w="1584" w:type="dxa"/>
                </w:tcPr>
                <w:p w14:paraId="047795A0" w14:textId="77777777" w:rsidR="004E4CC2" w:rsidRDefault="00000000">
                  <w:pPr>
                    <w:pStyle w:val="Compact"/>
                    <w:jc w:val="center"/>
                  </w:pPr>
                  <w:r>
                    <w:t>1,541</w:t>
                  </w:r>
                </w:p>
              </w:tc>
              <w:tc>
                <w:tcPr>
                  <w:tcW w:w="1584" w:type="dxa"/>
                </w:tcPr>
                <w:p w14:paraId="7AB3D33E" w14:textId="77777777" w:rsidR="004E4CC2" w:rsidRDefault="00000000">
                  <w:pPr>
                    <w:pStyle w:val="Compact"/>
                    <w:jc w:val="center"/>
                  </w:pPr>
                  <w:r>
                    <w:t>1,432</w:t>
                  </w:r>
                </w:p>
              </w:tc>
            </w:tr>
            <w:tr w:rsidR="004E4CC2" w14:paraId="0FAFFF92" w14:textId="77777777">
              <w:tc>
                <w:tcPr>
                  <w:tcW w:w="1584" w:type="dxa"/>
                </w:tcPr>
                <w:p w14:paraId="487D1B02" w14:textId="77777777" w:rsidR="004E4CC2" w:rsidRDefault="00000000">
                  <w:pPr>
                    <w:pStyle w:val="Compact"/>
                    <w:jc w:val="center"/>
                  </w:pPr>
                  <w:r>
                    <w:t>NiWo_1G</w:t>
                  </w:r>
                </w:p>
              </w:tc>
              <w:tc>
                <w:tcPr>
                  <w:tcW w:w="1584" w:type="dxa"/>
                </w:tcPr>
                <w:p w14:paraId="0282012F" w14:textId="77777777" w:rsidR="004E4CC2" w:rsidRDefault="00000000">
                  <w:pPr>
                    <w:pStyle w:val="Compact"/>
                    <w:jc w:val="center"/>
                  </w:pPr>
                  <w:r>
                    <w:t>90,878</w:t>
                  </w:r>
                </w:p>
              </w:tc>
              <w:tc>
                <w:tcPr>
                  <w:tcW w:w="1584" w:type="dxa"/>
                </w:tcPr>
                <w:p w14:paraId="5074194D" w14:textId="77777777" w:rsidR="004E4CC2" w:rsidRDefault="00000000">
                  <w:pPr>
                    <w:pStyle w:val="Compact"/>
                    <w:jc w:val="center"/>
                  </w:pPr>
                  <w:r>
                    <w:t>92,026</w:t>
                  </w:r>
                </w:p>
              </w:tc>
              <w:tc>
                <w:tcPr>
                  <w:tcW w:w="1584" w:type="dxa"/>
                </w:tcPr>
                <w:p w14:paraId="10FB85C8" w14:textId="77777777" w:rsidR="004E4CC2" w:rsidRDefault="00000000">
                  <w:pPr>
                    <w:pStyle w:val="Compact"/>
                    <w:jc w:val="center"/>
                  </w:pPr>
                  <w:r>
                    <w:t>0,491</w:t>
                  </w:r>
                </w:p>
              </w:tc>
              <w:tc>
                <w:tcPr>
                  <w:tcW w:w="1584" w:type="dxa"/>
                </w:tcPr>
                <w:p w14:paraId="1C47F5DE" w14:textId="77777777" w:rsidR="004E4CC2" w:rsidRDefault="00000000">
                  <w:pPr>
                    <w:pStyle w:val="Compact"/>
                    <w:jc w:val="center"/>
                  </w:pPr>
                  <w:r>
                    <w:t>-29,353</w:t>
                  </w:r>
                </w:p>
              </w:tc>
            </w:tr>
            <w:tr w:rsidR="004E4CC2" w14:paraId="785139DB" w14:textId="77777777">
              <w:tc>
                <w:tcPr>
                  <w:tcW w:w="1584" w:type="dxa"/>
                </w:tcPr>
                <w:p w14:paraId="6DEC472C" w14:textId="77777777" w:rsidR="004E4CC2" w:rsidRDefault="00000000">
                  <w:pPr>
                    <w:pStyle w:val="Compact"/>
                    <w:jc w:val="center"/>
                  </w:pPr>
                  <w:r>
                    <w:t>NiWo_2G</w:t>
                  </w:r>
                </w:p>
              </w:tc>
              <w:tc>
                <w:tcPr>
                  <w:tcW w:w="1584" w:type="dxa"/>
                </w:tcPr>
                <w:p w14:paraId="1C735999" w14:textId="77777777" w:rsidR="004E4CC2" w:rsidRDefault="00000000">
                  <w:pPr>
                    <w:pStyle w:val="Compact"/>
                    <w:jc w:val="center"/>
                  </w:pPr>
                  <w:r>
                    <w:t>138,179</w:t>
                  </w:r>
                </w:p>
              </w:tc>
              <w:tc>
                <w:tcPr>
                  <w:tcW w:w="1584" w:type="dxa"/>
                </w:tcPr>
                <w:p w14:paraId="10410ABE" w14:textId="77777777" w:rsidR="004E4CC2" w:rsidRDefault="00000000">
                  <w:pPr>
                    <w:pStyle w:val="Compact"/>
                    <w:jc w:val="center"/>
                  </w:pPr>
                  <w:r>
                    <w:t>139,840</w:t>
                  </w:r>
                </w:p>
              </w:tc>
              <w:tc>
                <w:tcPr>
                  <w:tcW w:w="1584" w:type="dxa"/>
                </w:tcPr>
                <w:p w14:paraId="2A45CB6E" w14:textId="77777777" w:rsidR="004E4CC2" w:rsidRDefault="00000000">
                  <w:pPr>
                    <w:pStyle w:val="Compact"/>
                    <w:jc w:val="center"/>
                  </w:pPr>
                  <w:r>
                    <w:t>0,875</w:t>
                  </w:r>
                </w:p>
              </w:tc>
              <w:tc>
                <w:tcPr>
                  <w:tcW w:w="1584" w:type="dxa"/>
                </w:tcPr>
                <w:p w14:paraId="5299FB79" w14:textId="77777777" w:rsidR="004E4CC2" w:rsidRDefault="00000000">
                  <w:pPr>
                    <w:pStyle w:val="Compact"/>
                    <w:jc w:val="center"/>
                  </w:pPr>
                  <w:r>
                    <w:t>-13,124</w:t>
                  </w:r>
                </w:p>
              </w:tc>
            </w:tr>
            <w:tr w:rsidR="004E4CC2" w14:paraId="546DAC95" w14:textId="77777777">
              <w:tc>
                <w:tcPr>
                  <w:tcW w:w="1584" w:type="dxa"/>
                </w:tcPr>
                <w:p w14:paraId="5F256BC9" w14:textId="77777777" w:rsidR="004E4CC2" w:rsidRDefault="00000000">
                  <w:pPr>
                    <w:pStyle w:val="Compact"/>
                    <w:jc w:val="center"/>
                  </w:pPr>
                  <w:r>
                    <w:t>NiWo_3G</w:t>
                  </w:r>
                </w:p>
              </w:tc>
              <w:tc>
                <w:tcPr>
                  <w:tcW w:w="1584" w:type="dxa"/>
                </w:tcPr>
                <w:p w14:paraId="39A4E725" w14:textId="77777777" w:rsidR="004E4CC2" w:rsidRDefault="00000000">
                  <w:pPr>
                    <w:pStyle w:val="Compact"/>
                    <w:jc w:val="center"/>
                  </w:pPr>
                  <w:r>
                    <w:t>194,334</w:t>
                  </w:r>
                </w:p>
              </w:tc>
              <w:tc>
                <w:tcPr>
                  <w:tcW w:w="1584" w:type="dxa"/>
                </w:tcPr>
                <w:p w14:paraId="06444A37" w14:textId="77777777" w:rsidR="004E4CC2" w:rsidRDefault="00000000">
                  <w:pPr>
                    <w:pStyle w:val="Compact"/>
                    <w:jc w:val="center"/>
                  </w:pPr>
                  <w:r>
                    <w:t>196,767</w:t>
                  </w:r>
                </w:p>
              </w:tc>
              <w:tc>
                <w:tcPr>
                  <w:tcW w:w="1584" w:type="dxa"/>
                </w:tcPr>
                <w:p w14:paraId="04DFD64F" w14:textId="77777777" w:rsidR="004E4CC2" w:rsidRDefault="00000000">
                  <w:pPr>
                    <w:pStyle w:val="Compact"/>
                    <w:jc w:val="center"/>
                  </w:pPr>
                  <w:r>
                    <w:t>2,183</w:t>
                  </w:r>
                </w:p>
              </w:tc>
              <w:tc>
                <w:tcPr>
                  <w:tcW w:w="1584" w:type="dxa"/>
                </w:tcPr>
                <w:p w14:paraId="1A2D3C44" w14:textId="77777777" w:rsidR="004E4CC2" w:rsidRDefault="00000000">
                  <w:pPr>
                    <w:pStyle w:val="Compact"/>
                    <w:jc w:val="center"/>
                  </w:pPr>
                  <w:r>
                    <w:t>3,924</w:t>
                  </w:r>
                </w:p>
              </w:tc>
            </w:tr>
            <w:tr w:rsidR="004E4CC2" w14:paraId="25B37532" w14:textId="77777777">
              <w:tc>
                <w:tcPr>
                  <w:tcW w:w="1584" w:type="dxa"/>
                </w:tcPr>
                <w:p w14:paraId="0E82AC98" w14:textId="77777777" w:rsidR="004E4CC2" w:rsidRDefault="00000000">
                  <w:pPr>
                    <w:pStyle w:val="Compact"/>
                    <w:jc w:val="center"/>
                  </w:pPr>
                  <w:r>
                    <w:t>RH_2G</w:t>
                  </w:r>
                </w:p>
              </w:tc>
              <w:tc>
                <w:tcPr>
                  <w:tcW w:w="1584" w:type="dxa"/>
                </w:tcPr>
                <w:p w14:paraId="4623FC3D" w14:textId="77777777" w:rsidR="004E4CC2" w:rsidRDefault="00000000">
                  <w:pPr>
                    <w:pStyle w:val="Compact"/>
                    <w:jc w:val="center"/>
                  </w:pPr>
                  <w:r>
                    <w:t>186,891</w:t>
                  </w:r>
                </w:p>
              </w:tc>
              <w:tc>
                <w:tcPr>
                  <w:tcW w:w="1584" w:type="dxa"/>
                </w:tcPr>
                <w:p w14:paraId="6D9092C3" w14:textId="77777777" w:rsidR="004E4CC2" w:rsidRDefault="00000000">
                  <w:pPr>
                    <w:pStyle w:val="Compact"/>
                    <w:jc w:val="center"/>
                  </w:pPr>
                  <w:r>
                    <w:t>189,492</w:t>
                  </w:r>
                </w:p>
              </w:tc>
              <w:tc>
                <w:tcPr>
                  <w:tcW w:w="1584" w:type="dxa"/>
                </w:tcPr>
                <w:p w14:paraId="5E5B448A" w14:textId="77777777" w:rsidR="004E4CC2" w:rsidRDefault="00000000">
                  <w:pPr>
                    <w:pStyle w:val="Compact"/>
                    <w:jc w:val="center"/>
                  </w:pPr>
                  <w:r>
                    <w:t>0,615</w:t>
                  </w:r>
                </w:p>
              </w:tc>
              <w:tc>
                <w:tcPr>
                  <w:tcW w:w="1584" w:type="dxa"/>
                </w:tcPr>
                <w:p w14:paraId="6E614C27" w14:textId="77777777" w:rsidR="004E4CC2" w:rsidRDefault="00000000">
                  <w:pPr>
                    <w:pStyle w:val="Compact"/>
                    <w:jc w:val="center"/>
                  </w:pPr>
                  <w:r>
                    <w:t>-22,798</w:t>
                  </w:r>
                </w:p>
              </w:tc>
            </w:tr>
            <w:bookmarkEnd w:id="73"/>
          </w:tbl>
          <w:p w14:paraId="70A3D0E8" w14:textId="77777777" w:rsidR="004E4CC2" w:rsidRDefault="004E4CC2"/>
        </w:tc>
      </w:tr>
    </w:tbl>
    <w:p w14:paraId="24B9FF9F" w14:textId="77777777" w:rsidR="004E4CC2" w:rsidRDefault="00000000">
      <w:pPr>
        <w:pStyle w:val="Textkrper"/>
      </w:pPr>
      <w:r>
        <w:t>Die Geometrie MFH_2G besitzt derzeit keine positive nationale Fläche. Ihre fehlende GFZ-Zuordnung bleibt sichtbar; für sie wird kein Dichte-Erwartungswert erfunden. Für alle positiv gewichteten Typen liegt eine Zuordnung vor.</w:t>
      </w:r>
    </w:p>
    <w:p w14:paraId="0E902A77" w14:textId="77777777" w:rsidR="004E4CC2" w:rsidRDefault="00000000">
      <w:pPr>
        <w:pStyle w:val="berschrift2"/>
      </w:pPr>
      <w:bookmarkStart w:id="74" w:name="X84e8de17016bbf938ee1eb0bf0ce17b23b6e270"/>
      <w:bookmarkStart w:id="75" w:name="_Toc243681250"/>
      <w:bookmarkEnd w:id="71"/>
      <w:r>
        <w:lastRenderedPageBreak/>
        <w:t>6.3 Flächenentwicklung vom Bestand zum Zieljahr</w:t>
      </w:r>
      <w:bookmarkEnd w:id="75"/>
    </w:p>
    <w:p w14:paraId="4BB9D772" w14:textId="77777777" w:rsidR="004E4CC2" w:rsidRDefault="00000000">
      <w:pPr>
        <w:pStyle w:val="FirstParagraph"/>
      </w:pPr>
      <w:r>
        <w:t>Die gelieferte Gesamtfläche steigt zwischen „heute“ und 2040 um rund 14,238 Mio. m² BGF beziehungsweise 1,28 %. Die Spalten Bestand, Neubau und Sanierung enthalten innerhalb der Archetypen Anteile, die auf jeder positiv gewichteten 2040-Fläche zusammen eins ergeben. Flächengewichtet resultiert:</w:t>
      </w:r>
    </w:p>
    <w:tbl>
      <w:tblPr>
        <w:tblStyle w:val="Table"/>
        <w:tblW w:w="5000" w:type="pct"/>
        <w:tblLayout w:type="fixed"/>
        <w:tblLook w:val="0000" w:firstRow="0" w:lastRow="0" w:firstColumn="0" w:lastColumn="0" w:noHBand="0" w:noVBand="0"/>
      </w:tblPr>
      <w:tblGrid>
        <w:gridCol w:w="9622"/>
      </w:tblGrid>
      <w:tr w:rsidR="004E4CC2" w14:paraId="2453DEA0" w14:textId="77777777">
        <w:tc>
          <w:tcPr>
            <w:tcW w:w="7920" w:type="dxa"/>
          </w:tcPr>
          <w:p w14:paraId="338AFD71" w14:textId="77777777" w:rsidR="004E4CC2" w:rsidRDefault="00000000">
            <w:pPr>
              <w:pStyle w:val="ImageCaption"/>
              <w:spacing w:before="200"/>
            </w:pPr>
            <w:bookmarkStart w:id="76" w:name="tbl-gebaeude-status"/>
            <w:r>
              <w:t>Tabelle 6.2: Flächengewichtete Zuordnung zu Bestand, Neubau und Sanierung im Zieljahr.</w:t>
            </w:r>
          </w:p>
          <w:tbl>
            <w:tblPr>
              <w:tblStyle w:val="Table"/>
              <w:tblW w:w="0" w:type="auto"/>
              <w:tblLook w:val="0020" w:firstRow="1" w:lastRow="0" w:firstColumn="0" w:lastColumn="0" w:noHBand="0" w:noVBand="0"/>
            </w:tblPr>
            <w:tblGrid>
              <w:gridCol w:w="3960"/>
              <w:gridCol w:w="3960"/>
            </w:tblGrid>
            <w:tr w:rsidR="004E4CC2" w14:paraId="4380A459"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3960" w:type="dxa"/>
                </w:tcPr>
                <w:p w14:paraId="7629A766" w14:textId="77777777" w:rsidR="004E4CC2" w:rsidRDefault="00000000">
                  <w:pPr>
                    <w:pStyle w:val="Compact"/>
                    <w:jc w:val="center"/>
                  </w:pPr>
                  <w:r>
                    <w:t>Zustand</w:t>
                  </w:r>
                </w:p>
              </w:tc>
              <w:tc>
                <w:tcPr>
                  <w:tcW w:w="3960" w:type="dxa"/>
                </w:tcPr>
                <w:p w14:paraId="3707DB9B" w14:textId="77777777" w:rsidR="004E4CC2" w:rsidRDefault="00000000">
                  <w:pPr>
                    <w:pStyle w:val="Compact"/>
                    <w:jc w:val="center"/>
                  </w:pPr>
                  <w:r>
                    <w:t>BGF 2040 [Mio. m²]</w:t>
                  </w:r>
                </w:p>
              </w:tc>
            </w:tr>
            <w:tr w:rsidR="004E4CC2" w14:paraId="1C3D1E97" w14:textId="77777777">
              <w:tc>
                <w:tcPr>
                  <w:tcW w:w="3960" w:type="dxa"/>
                </w:tcPr>
                <w:p w14:paraId="392DB868" w14:textId="77777777" w:rsidR="004E4CC2" w:rsidRDefault="00000000">
                  <w:pPr>
                    <w:pStyle w:val="Compact"/>
                    <w:jc w:val="center"/>
                  </w:pPr>
                  <w:r>
                    <w:t>Bestand</w:t>
                  </w:r>
                </w:p>
              </w:tc>
              <w:tc>
                <w:tcPr>
                  <w:tcW w:w="3960" w:type="dxa"/>
                </w:tcPr>
                <w:p w14:paraId="2A0851F6" w14:textId="77777777" w:rsidR="004E4CC2" w:rsidRDefault="00000000">
                  <w:pPr>
                    <w:pStyle w:val="Compact"/>
                    <w:jc w:val="center"/>
                  </w:pPr>
                  <w:r>
                    <w:t>779,528</w:t>
                  </w:r>
                </w:p>
              </w:tc>
            </w:tr>
            <w:tr w:rsidR="004E4CC2" w14:paraId="03FBD995" w14:textId="77777777">
              <w:tc>
                <w:tcPr>
                  <w:tcW w:w="3960" w:type="dxa"/>
                </w:tcPr>
                <w:p w14:paraId="6FCB409F" w14:textId="77777777" w:rsidR="004E4CC2" w:rsidRDefault="00000000">
                  <w:pPr>
                    <w:pStyle w:val="Compact"/>
                    <w:jc w:val="center"/>
                  </w:pPr>
                  <w:r>
                    <w:t>Neubau</w:t>
                  </w:r>
                </w:p>
              </w:tc>
              <w:tc>
                <w:tcPr>
                  <w:tcW w:w="3960" w:type="dxa"/>
                </w:tcPr>
                <w:p w14:paraId="637B15B0" w14:textId="77777777" w:rsidR="004E4CC2" w:rsidRDefault="00000000">
                  <w:pPr>
                    <w:pStyle w:val="Compact"/>
                    <w:jc w:val="center"/>
                  </w:pPr>
                  <w:r>
                    <w:t>320,354</w:t>
                  </w:r>
                </w:p>
              </w:tc>
            </w:tr>
            <w:tr w:rsidR="004E4CC2" w14:paraId="1E43F652" w14:textId="77777777">
              <w:tc>
                <w:tcPr>
                  <w:tcW w:w="3960" w:type="dxa"/>
                </w:tcPr>
                <w:p w14:paraId="6FD6D808" w14:textId="77777777" w:rsidR="004E4CC2" w:rsidRDefault="00000000">
                  <w:pPr>
                    <w:pStyle w:val="Compact"/>
                    <w:jc w:val="center"/>
                  </w:pPr>
                  <w:r>
                    <w:t>Sanierung</w:t>
                  </w:r>
                </w:p>
              </w:tc>
              <w:tc>
                <w:tcPr>
                  <w:tcW w:w="3960" w:type="dxa"/>
                </w:tcPr>
                <w:p w14:paraId="202A9FDF" w14:textId="77777777" w:rsidR="004E4CC2" w:rsidRDefault="00000000">
                  <w:pPr>
                    <w:pStyle w:val="Compact"/>
                    <w:jc w:val="center"/>
                  </w:pPr>
                  <w:r>
                    <w:t>26,696</w:t>
                  </w:r>
                </w:p>
              </w:tc>
            </w:tr>
            <w:bookmarkEnd w:id="76"/>
          </w:tbl>
          <w:p w14:paraId="304D6621" w14:textId="77777777" w:rsidR="004E4CC2" w:rsidRDefault="004E4CC2"/>
        </w:tc>
      </w:tr>
    </w:tbl>
    <w:p w14:paraId="40906369" w14:textId="77777777" w:rsidR="004E4CC2" w:rsidRDefault="00000000">
      <w:pPr>
        <w:pStyle w:val="Textkrper"/>
      </w:pPr>
      <w:r>
        <w:t xml:space="preserve"> </w:t>
      </w:r>
    </w:p>
    <w:tbl>
      <w:tblPr>
        <w:tblStyle w:val="Table"/>
        <w:tblW w:w="5000" w:type="pct"/>
        <w:tblLayout w:type="fixed"/>
        <w:tblLook w:val="0000" w:firstRow="0" w:lastRow="0" w:firstColumn="0" w:lastColumn="0" w:noHBand="0" w:noVBand="0"/>
      </w:tblPr>
      <w:tblGrid>
        <w:gridCol w:w="9622"/>
      </w:tblGrid>
      <w:tr w:rsidR="004E4CC2" w14:paraId="32234865" w14:textId="77777777">
        <w:tc>
          <w:tcPr>
            <w:tcW w:w="7920" w:type="dxa"/>
          </w:tcPr>
          <w:p w14:paraId="7E429153" w14:textId="77777777" w:rsidR="004E4CC2" w:rsidRDefault="00000000">
            <w:pPr>
              <w:pStyle w:val="Compact"/>
              <w:jc w:val="center"/>
            </w:pPr>
            <w:bookmarkStart w:id="77" w:name="fig-gebaeude-flaechen"/>
            <w:r>
              <w:rPr>
                <w:noProof/>
              </w:rPr>
              <w:drawing>
                <wp:inline distT="0" distB="0" distL="0" distR="0" wp14:anchorId="7A2978BC" wp14:editId="2409B90A">
                  <wp:extent cx="5334000" cy="2370666"/>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Kapitel/../Berechnungen/gebaeudesektormodell/outputs/flaechen.png"/>
                          <pic:cNvPicPr>
                            <a:picLocks noChangeAspect="1" noChangeArrowheads="1"/>
                          </pic:cNvPicPr>
                        </pic:nvPicPr>
                        <pic:blipFill>
                          <a:blip r:embed="rId15"/>
                          <a:stretch>
                            <a:fillRect/>
                          </a:stretch>
                        </pic:blipFill>
                        <pic:spPr bwMode="auto">
                          <a:xfrm>
                            <a:off x="0" y="0"/>
                            <a:ext cx="5334000" cy="2370666"/>
                          </a:xfrm>
                          <a:prstGeom prst="rect">
                            <a:avLst/>
                          </a:prstGeom>
                          <a:noFill/>
                          <a:ln w="9525">
                            <a:noFill/>
                            <a:headEnd/>
                            <a:tailEnd/>
                          </a:ln>
                        </pic:spPr>
                      </pic:pic>
                    </a:graphicData>
                  </a:graphic>
                </wp:inline>
              </w:drawing>
            </w:r>
          </w:p>
          <w:p w14:paraId="5ACE29B7" w14:textId="77777777" w:rsidR="004E4CC2" w:rsidRDefault="00000000">
            <w:pPr>
              <w:pStyle w:val="ImageCaption"/>
              <w:spacing w:before="200"/>
            </w:pPr>
            <w:r>
              <w:t>Abbildung 6.1: Flächenverteilung nach Geometrie. „Heute“ bezeichnet die gleichnamige Quellspalte mit nicht festgelegtem Bezugsjahr.</w:t>
            </w:r>
          </w:p>
        </w:tc>
        <w:bookmarkEnd w:id="77"/>
      </w:tr>
    </w:tbl>
    <w:p w14:paraId="0E9D0849" w14:textId="77777777" w:rsidR="004E4CC2" w:rsidRDefault="00000000">
      <w:pPr>
        <w:pStyle w:val="Textkrper"/>
      </w:pPr>
      <w:r>
        <w:t>Die Neubaufläche ist nicht mit dem Nettoflächenzuwachs gleichzusetzen. Für einen nachvollziehbaren Entwicklungspfad fehlen die zeitliche Definition dieser Kategorien und eine Übergangsbilanz mit Abbruch, Ersatzneubau und Sanierung. Die Reinschrift enthält ein separates, leeres Feld für BGF 2020. Es wird nicht automatisch aus „heute“ gefüllt.</w:t>
      </w:r>
    </w:p>
    <w:p w14:paraId="395397D6" w14:textId="77777777" w:rsidR="004E4CC2" w:rsidRDefault="00000000">
      <w:pPr>
        <w:pStyle w:val="berschrift2"/>
      </w:pPr>
      <w:bookmarkStart w:id="78" w:name="X36f08606d3a8c889e8a6606622423ac8d51bcb1"/>
      <w:bookmarkStart w:id="79" w:name="_Toc243681251"/>
      <w:bookmarkEnd w:id="74"/>
      <w:r>
        <w:t>6.4 Energetische Performance, Strombedarf und PV</w:t>
      </w:r>
      <w:bookmarkEnd w:id="79"/>
    </w:p>
    <w:p w14:paraId="56F4B2E0" w14:textId="77777777" w:rsidR="004E4CC2" w:rsidRDefault="00000000">
      <w:pPr>
        <w:pStyle w:val="FirstParagraph"/>
      </w:pPr>
      <w:r>
        <w:t xml:space="preserve">Die PV-Erzeugung wird </w:t>
      </w:r>
      <w:r>
        <w:rPr>
          <w:b/>
          <w:bCs/>
        </w:rPr>
        <w:t>aus der Typen-Excel übernommen</w:t>
      </w:r>
      <w:r>
        <w:t xml:space="preserve">: </w:t>
      </w:r>
      <w:r>
        <w:rPr>
          <w:rStyle w:val="VerbatimChar"/>
        </w:rPr>
        <w:t>PV_total_direct</w:t>
      </w:r>
      <w:r>
        <w:t xml:space="preserve"> plus </w:t>
      </w:r>
      <w:r>
        <w:rPr>
          <w:rStyle w:val="VerbatimChar"/>
        </w:rPr>
        <w:t>PV_to_Egrid</w:t>
      </w:r>
      <w:r>
        <w:t xml:space="preserve"> in </w:t>
      </w:r>
      <w:r>
        <w:rPr>
          <w:rStyle w:val="VerbatimChar"/>
        </w:rPr>
        <w:t>Strombed_estim</w:t>
      </w:r>
      <w:r>
        <w:t xml:space="preserve">, gegengeprüft gegen </w:t>
      </w:r>
      <w:r>
        <w:rPr>
          <w:rStyle w:val="VerbatimChar"/>
        </w:rPr>
        <w:t>PV_total</w:t>
      </w:r>
      <w:r>
        <w:t xml:space="preserve"> in </w:t>
      </w:r>
      <w:r>
        <w:rPr>
          <w:rStyle w:val="VerbatimChar"/>
        </w:rPr>
        <w:t>Tabelle2</w:t>
      </w:r>
      <w:r>
        <w:t xml:space="preserve">. Das Sektormodell simuliert keine eigenen PV-Flächen oder Erträge. Alle gelieferten Typen verwenden die Variante </w:t>
      </w:r>
      <w:r>
        <w:rPr>
          <w:rStyle w:val="VerbatimChar"/>
        </w:rPr>
        <w:t>PV30|noFlex</w:t>
      </w:r>
      <w:r>
        <w:t>. Die nationale Erzeugung entsteht durch Multiplikation des spezifischen Ertrags mit der zugeordneten NGF; eine zusätzliche GFZ-bedingte Skalierung der PV findet nicht statt.</w:t>
      </w:r>
    </w:p>
    <w:p w14:paraId="047F15D1" w14:textId="77777777" w:rsidR="004E4CC2" w:rsidRDefault="00000000">
      <w:pPr>
        <w:pStyle w:val="Textkrper"/>
      </w:pPr>
      <w:r>
        <w:lastRenderedPageBreak/>
        <w:t>Netzbezug und Bruttostrombedarf werden konsequent getrennt. Für die vorliegenden Varianten ohne Speicher, Flexibilität oder simulierte Mobilität gilt:</w:t>
      </w:r>
    </w:p>
    <w:p w14:paraId="1A74AF9F"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Netzbezug</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m:t>
              </m:r>
              <m:r>
                <m:rPr>
                  <m:sty m:val="p"/>
                </m:rPr>
                <w:rPr>
                  <w:rFonts w:ascii="Cambria Math" w:hAnsi="Cambria Math"/>
                </w:rPr>
                <m:t>,</m:t>
              </m:r>
              <m:r>
                <w:rPr>
                  <w:rFonts w:ascii="Cambria Math" w:hAnsi="Cambria Math"/>
                </w:rPr>
                <m:t>direkt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PV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m:t>
              </m:r>
              <m:r>
                <m:rPr>
                  <m:sty m:val="p"/>
                </m:rPr>
                <w:rPr>
                  <w:rFonts w:ascii="Cambria Math" w:hAnsi="Cambria Math"/>
                </w:rPr>
                <m:t>,</m:t>
              </m:r>
              <m:r>
                <w:rPr>
                  <w:rFonts w:ascii="Cambria Math" w:hAnsi="Cambria Math"/>
                </w:rPr>
                <m:t>direkt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m:t>
              </m:r>
              <m:r>
                <m:rPr>
                  <m:sty m:val="p"/>
                </m:rPr>
                <w:rPr>
                  <w:rFonts w:ascii="Cambria Math" w:hAnsi="Cambria Math"/>
                </w:rPr>
                <m:t>,</m:t>
              </m:r>
              <m:r>
                <w:rPr>
                  <w:rFonts w:ascii="Cambria Math" w:hAnsi="Cambria Math"/>
                </w:rPr>
                <m:t>Export</m:t>
              </m:r>
            </m:sub>
          </m:sSub>
          <m:r>
            <m:rPr>
              <m:sty m:val="p"/>
            </m:rPr>
            <w:rPr>
              <w:rFonts w:ascii="Cambria Math" w:hAnsi="Cambria Math"/>
            </w:rPr>
            <m:t>.</m:t>
          </m:r>
        </m:oMath>
      </m:oMathPara>
    </w:p>
    <w:p w14:paraId="09821F30" w14:textId="77777777" w:rsidR="004E4CC2" w:rsidRDefault="00000000">
      <w:pPr>
        <w:pStyle w:val="FirstParagraph"/>
      </w:pPr>
      <w:r>
        <w:t>Der physische Stromsaldo ist sowohl als PV-Erzeugung minus Strombedarf als auch als PV-Netzeinspeisung minus Netzbezug bestimmbar. Beide Wege stimmen in der Typenprüfung überein. PV-Direktverbrauch wird nicht doppelt als Deckung angesetzt.</w:t>
      </w:r>
    </w:p>
    <w:tbl>
      <w:tblPr>
        <w:tblStyle w:val="Table"/>
        <w:tblW w:w="5000" w:type="pct"/>
        <w:tblLayout w:type="fixed"/>
        <w:tblLook w:val="0000" w:firstRow="0" w:lastRow="0" w:firstColumn="0" w:lastColumn="0" w:noHBand="0" w:noVBand="0"/>
      </w:tblPr>
      <w:tblGrid>
        <w:gridCol w:w="9622"/>
      </w:tblGrid>
      <w:tr w:rsidR="004E4CC2" w14:paraId="6C140589" w14:textId="77777777">
        <w:tc>
          <w:tcPr>
            <w:tcW w:w="7920" w:type="dxa"/>
          </w:tcPr>
          <w:p w14:paraId="5FF31F4B" w14:textId="77777777" w:rsidR="004E4CC2" w:rsidRDefault="00000000">
            <w:pPr>
              <w:pStyle w:val="ImageCaption"/>
              <w:spacing w:before="200"/>
            </w:pPr>
            <w:bookmarkStart w:id="80" w:name="tbl-gebaeude-strom"/>
            <w:r>
              <w:t>Tabelle 6.3: Strombilanz 2040 aus den gelieferten Typenkennwerten bei NGF/BGF = 0.8.</w:t>
            </w:r>
          </w:p>
          <w:tbl>
            <w:tblPr>
              <w:tblStyle w:val="Table"/>
              <w:tblW w:w="0" w:type="auto"/>
              <w:tblLook w:val="0020" w:firstRow="1" w:lastRow="0" w:firstColumn="0" w:lastColumn="0" w:noHBand="0" w:noVBand="0"/>
            </w:tblPr>
            <w:tblGrid>
              <w:gridCol w:w="1980"/>
              <w:gridCol w:w="1980"/>
              <w:gridCol w:w="1980"/>
              <w:gridCol w:w="1980"/>
            </w:tblGrid>
            <w:tr w:rsidR="004E4CC2" w14:paraId="47E3C0C4"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D047C8E" w14:textId="77777777" w:rsidR="004E4CC2" w:rsidRDefault="00000000">
                  <w:pPr>
                    <w:pStyle w:val="Compact"/>
                    <w:jc w:val="center"/>
                  </w:pPr>
                  <w:r>
                    <w:t>Größe</w:t>
                  </w:r>
                </w:p>
              </w:tc>
              <w:tc>
                <w:tcPr>
                  <w:tcW w:w="1980" w:type="dxa"/>
                </w:tcPr>
                <w:p w14:paraId="002B142E" w14:textId="77777777" w:rsidR="004E4CC2" w:rsidRDefault="00000000">
                  <w:pPr>
                    <w:pStyle w:val="Compact"/>
                    <w:jc w:val="center"/>
                  </w:pPr>
                  <w:r>
                    <w:t>kWh/(m² NGF a)</w:t>
                  </w:r>
                </w:p>
              </w:tc>
              <w:tc>
                <w:tcPr>
                  <w:tcW w:w="1980" w:type="dxa"/>
                </w:tcPr>
                <w:p w14:paraId="0FB1CBDB" w14:textId="77777777" w:rsidR="004E4CC2" w:rsidRDefault="00000000">
                  <w:pPr>
                    <w:pStyle w:val="Compact"/>
                    <w:jc w:val="center"/>
                  </w:pPr>
                  <w:r>
                    <w:t>GWh/a</w:t>
                  </w:r>
                </w:p>
              </w:tc>
              <w:tc>
                <w:tcPr>
                  <w:tcW w:w="1980" w:type="dxa"/>
                </w:tcPr>
                <w:p w14:paraId="32E64B4E" w14:textId="77777777" w:rsidR="004E4CC2" w:rsidRDefault="00000000">
                  <w:pPr>
                    <w:pStyle w:val="Compact"/>
                    <w:jc w:val="center"/>
                  </w:pPr>
                  <w:r>
                    <w:t>PJ/a</w:t>
                  </w:r>
                </w:p>
              </w:tc>
            </w:tr>
            <w:tr w:rsidR="004E4CC2" w14:paraId="1F619F43" w14:textId="77777777">
              <w:tc>
                <w:tcPr>
                  <w:tcW w:w="1980" w:type="dxa"/>
                </w:tcPr>
                <w:p w14:paraId="0766EB8F" w14:textId="77777777" w:rsidR="004E4CC2" w:rsidRDefault="00000000">
                  <w:pPr>
                    <w:pStyle w:val="Compact"/>
                    <w:jc w:val="center"/>
                  </w:pPr>
                  <w:r>
                    <w:t>Strombedarf</w:t>
                  </w:r>
                </w:p>
              </w:tc>
              <w:tc>
                <w:tcPr>
                  <w:tcW w:w="1980" w:type="dxa"/>
                </w:tcPr>
                <w:p w14:paraId="126783F3" w14:textId="77777777" w:rsidR="004E4CC2" w:rsidRDefault="00000000">
                  <w:pPr>
                    <w:pStyle w:val="Compact"/>
                    <w:jc w:val="center"/>
                  </w:pPr>
                  <w:r>
                    <w:t>42,377</w:t>
                  </w:r>
                </w:p>
              </w:tc>
              <w:tc>
                <w:tcPr>
                  <w:tcW w:w="1980" w:type="dxa"/>
                </w:tcPr>
                <w:p w14:paraId="283DC131" w14:textId="77777777" w:rsidR="004E4CC2" w:rsidRDefault="00000000">
                  <w:pPr>
                    <w:pStyle w:val="Compact"/>
                    <w:jc w:val="center"/>
                  </w:pPr>
                  <w:r>
                    <w:t>38.192,572</w:t>
                  </w:r>
                </w:p>
              </w:tc>
              <w:tc>
                <w:tcPr>
                  <w:tcW w:w="1980" w:type="dxa"/>
                </w:tcPr>
                <w:p w14:paraId="64294C51" w14:textId="77777777" w:rsidR="004E4CC2" w:rsidRDefault="00000000">
                  <w:pPr>
                    <w:pStyle w:val="Compact"/>
                    <w:jc w:val="center"/>
                  </w:pPr>
                  <w:r>
                    <w:t>137,493</w:t>
                  </w:r>
                </w:p>
              </w:tc>
            </w:tr>
            <w:tr w:rsidR="004E4CC2" w14:paraId="15B81B5E" w14:textId="77777777">
              <w:tc>
                <w:tcPr>
                  <w:tcW w:w="1980" w:type="dxa"/>
                </w:tcPr>
                <w:p w14:paraId="7F278D06" w14:textId="77777777" w:rsidR="004E4CC2" w:rsidRDefault="00000000">
                  <w:pPr>
                    <w:pStyle w:val="Compact"/>
                    <w:jc w:val="center"/>
                  </w:pPr>
                  <w:r>
                    <w:t>PV_Erzeugung</w:t>
                  </w:r>
                </w:p>
              </w:tc>
              <w:tc>
                <w:tcPr>
                  <w:tcW w:w="1980" w:type="dxa"/>
                </w:tcPr>
                <w:p w14:paraId="2B5A2E85" w14:textId="77777777" w:rsidR="004E4CC2" w:rsidRDefault="00000000">
                  <w:pPr>
                    <w:pStyle w:val="Compact"/>
                    <w:jc w:val="center"/>
                  </w:pPr>
                  <w:r>
                    <w:t>24,116</w:t>
                  </w:r>
                </w:p>
              </w:tc>
              <w:tc>
                <w:tcPr>
                  <w:tcW w:w="1980" w:type="dxa"/>
                </w:tcPr>
                <w:p w14:paraId="3DB76A3A" w14:textId="77777777" w:rsidR="004E4CC2" w:rsidRDefault="00000000">
                  <w:pPr>
                    <w:pStyle w:val="Compact"/>
                    <w:jc w:val="center"/>
                  </w:pPr>
                  <w:r>
                    <w:t>21.734,851</w:t>
                  </w:r>
                </w:p>
              </w:tc>
              <w:tc>
                <w:tcPr>
                  <w:tcW w:w="1980" w:type="dxa"/>
                </w:tcPr>
                <w:p w14:paraId="4072F89B" w14:textId="77777777" w:rsidR="004E4CC2" w:rsidRDefault="00000000">
                  <w:pPr>
                    <w:pStyle w:val="Compact"/>
                    <w:jc w:val="center"/>
                  </w:pPr>
                  <w:r>
                    <w:t>78,245</w:t>
                  </w:r>
                </w:p>
              </w:tc>
            </w:tr>
            <w:tr w:rsidR="004E4CC2" w14:paraId="07A23138" w14:textId="77777777">
              <w:tc>
                <w:tcPr>
                  <w:tcW w:w="1980" w:type="dxa"/>
                </w:tcPr>
                <w:p w14:paraId="52FE9C72" w14:textId="77777777" w:rsidR="004E4CC2" w:rsidRDefault="00000000">
                  <w:pPr>
                    <w:pStyle w:val="Compact"/>
                    <w:jc w:val="center"/>
                  </w:pPr>
                  <w:r>
                    <w:t>Grid_to_building_min</w:t>
                  </w:r>
                </w:p>
              </w:tc>
              <w:tc>
                <w:tcPr>
                  <w:tcW w:w="1980" w:type="dxa"/>
                </w:tcPr>
                <w:p w14:paraId="0CC49D34" w14:textId="77777777" w:rsidR="004E4CC2" w:rsidRDefault="00000000">
                  <w:pPr>
                    <w:pStyle w:val="Compact"/>
                    <w:jc w:val="center"/>
                  </w:pPr>
                  <w:r>
                    <w:t>34,899</w:t>
                  </w:r>
                </w:p>
              </w:tc>
              <w:tc>
                <w:tcPr>
                  <w:tcW w:w="1980" w:type="dxa"/>
                </w:tcPr>
                <w:p w14:paraId="6DCF9AEC" w14:textId="77777777" w:rsidR="004E4CC2" w:rsidRDefault="00000000">
                  <w:pPr>
                    <w:pStyle w:val="Compact"/>
                    <w:jc w:val="center"/>
                  </w:pPr>
                  <w:r>
                    <w:t>31.452,734</w:t>
                  </w:r>
                </w:p>
              </w:tc>
              <w:tc>
                <w:tcPr>
                  <w:tcW w:w="1980" w:type="dxa"/>
                </w:tcPr>
                <w:p w14:paraId="50773111" w14:textId="77777777" w:rsidR="004E4CC2" w:rsidRDefault="00000000">
                  <w:pPr>
                    <w:pStyle w:val="Compact"/>
                    <w:jc w:val="center"/>
                  </w:pPr>
                  <w:r>
                    <w:t>113,230</w:t>
                  </w:r>
                </w:p>
              </w:tc>
            </w:tr>
            <w:tr w:rsidR="004E4CC2" w14:paraId="616443D8" w14:textId="77777777">
              <w:tc>
                <w:tcPr>
                  <w:tcW w:w="1980" w:type="dxa"/>
                </w:tcPr>
                <w:p w14:paraId="7446F53A" w14:textId="77777777" w:rsidR="004E4CC2" w:rsidRDefault="00000000">
                  <w:pPr>
                    <w:pStyle w:val="Compact"/>
                    <w:jc w:val="center"/>
                  </w:pPr>
                  <w:r>
                    <w:t>PV_total_direct</w:t>
                  </w:r>
                </w:p>
              </w:tc>
              <w:tc>
                <w:tcPr>
                  <w:tcW w:w="1980" w:type="dxa"/>
                </w:tcPr>
                <w:p w14:paraId="613AA1A3" w14:textId="77777777" w:rsidR="004E4CC2" w:rsidRDefault="00000000">
                  <w:pPr>
                    <w:pStyle w:val="Compact"/>
                    <w:jc w:val="center"/>
                  </w:pPr>
                  <w:r>
                    <w:t>7,478</w:t>
                  </w:r>
                </w:p>
              </w:tc>
              <w:tc>
                <w:tcPr>
                  <w:tcW w:w="1980" w:type="dxa"/>
                </w:tcPr>
                <w:p w14:paraId="2157D5E4" w14:textId="77777777" w:rsidR="004E4CC2" w:rsidRDefault="00000000">
                  <w:pPr>
                    <w:pStyle w:val="Compact"/>
                    <w:jc w:val="center"/>
                  </w:pPr>
                  <w:r>
                    <w:t>6.739,839</w:t>
                  </w:r>
                </w:p>
              </w:tc>
              <w:tc>
                <w:tcPr>
                  <w:tcW w:w="1980" w:type="dxa"/>
                </w:tcPr>
                <w:p w14:paraId="41B53FFA" w14:textId="77777777" w:rsidR="004E4CC2" w:rsidRDefault="00000000">
                  <w:pPr>
                    <w:pStyle w:val="Compact"/>
                    <w:jc w:val="center"/>
                  </w:pPr>
                  <w:r>
                    <w:t>24,263</w:t>
                  </w:r>
                </w:p>
              </w:tc>
            </w:tr>
            <w:tr w:rsidR="004E4CC2" w14:paraId="39365841" w14:textId="77777777">
              <w:tc>
                <w:tcPr>
                  <w:tcW w:w="1980" w:type="dxa"/>
                </w:tcPr>
                <w:p w14:paraId="5E8B9021" w14:textId="77777777" w:rsidR="004E4CC2" w:rsidRDefault="00000000">
                  <w:pPr>
                    <w:pStyle w:val="Compact"/>
                    <w:jc w:val="center"/>
                  </w:pPr>
                  <w:r>
                    <w:t>PV_to_Egrid</w:t>
                  </w:r>
                </w:p>
              </w:tc>
              <w:tc>
                <w:tcPr>
                  <w:tcW w:w="1980" w:type="dxa"/>
                </w:tcPr>
                <w:p w14:paraId="2B2539F3" w14:textId="77777777" w:rsidR="004E4CC2" w:rsidRDefault="00000000">
                  <w:pPr>
                    <w:pStyle w:val="Compact"/>
                    <w:jc w:val="center"/>
                  </w:pPr>
                  <w:r>
                    <w:t>16,638</w:t>
                  </w:r>
                </w:p>
              </w:tc>
              <w:tc>
                <w:tcPr>
                  <w:tcW w:w="1980" w:type="dxa"/>
                </w:tcPr>
                <w:p w14:paraId="4E2CF1B3" w14:textId="77777777" w:rsidR="004E4CC2" w:rsidRDefault="00000000">
                  <w:pPr>
                    <w:pStyle w:val="Compact"/>
                    <w:jc w:val="center"/>
                  </w:pPr>
                  <w:r>
                    <w:t>14.995,012</w:t>
                  </w:r>
                </w:p>
              </w:tc>
              <w:tc>
                <w:tcPr>
                  <w:tcW w:w="1980" w:type="dxa"/>
                </w:tcPr>
                <w:p w14:paraId="2D413260" w14:textId="77777777" w:rsidR="004E4CC2" w:rsidRDefault="00000000">
                  <w:pPr>
                    <w:pStyle w:val="Compact"/>
                    <w:jc w:val="center"/>
                  </w:pPr>
                  <w:r>
                    <w:t>53,982</w:t>
                  </w:r>
                </w:p>
              </w:tc>
            </w:tr>
            <w:tr w:rsidR="004E4CC2" w14:paraId="7A73DF59" w14:textId="77777777">
              <w:tc>
                <w:tcPr>
                  <w:tcW w:w="1980" w:type="dxa"/>
                </w:tcPr>
                <w:p w14:paraId="74E4851C" w14:textId="77777777" w:rsidR="004E4CC2" w:rsidRDefault="00000000">
                  <w:pPr>
                    <w:pStyle w:val="Compact"/>
                    <w:jc w:val="center"/>
                  </w:pPr>
                  <w:r>
                    <w:t>Stromsaldo</w:t>
                  </w:r>
                </w:p>
              </w:tc>
              <w:tc>
                <w:tcPr>
                  <w:tcW w:w="1980" w:type="dxa"/>
                </w:tcPr>
                <w:p w14:paraId="7DD378A8" w14:textId="77777777" w:rsidR="004E4CC2" w:rsidRDefault="00000000">
                  <w:pPr>
                    <w:pStyle w:val="Compact"/>
                    <w:jc w:val="center"/>
                  </w:pPr>
                  <w:r>
                    <w:t>-18,261</w:t>
                  </w:r>
                </w:p>
              </w:tc>
              <w:tc>
                <w:tcPr>
                  <w:tcW w:w="1980" w:type="dxa"/>
                </w:tcPr>
                <w:p w14:paraId="34C8BE0B" w14:textId="77777777" w:rsidR="004E4CC2" w:rsidRDefault="00000000">
                  <w:pPr>
                    <w:pStyle w:val="Compact"/>
                    <w:jc w:val="center"/>
                  </w:pPr>
                  <w:r>
                    <w:t>-16.457,722</w:t>
                  </w:r>
                </w:p>
              </w:tc>
              <w:tc>
                <w:tcPr>
                  <w:tcW w:w="1980" w:type="dxa"/>
                </w:tcPr>
                <w:p w14:paraId="142F6CF6" w14:textId="77777777" w:rsidR="004E4CC2" w:rsidRDefault="00000000">
                  <w:pPr>
                    <w:pStyle w:val="Compact"/>
                    <w:jc w:val="center"/>
                  </w:pPr>
                  <w:r>
                    <w:t>-59,248</w:t>
                  </w:r>
                </w:p>
              </w:tc>
            </w:tr>
            <w:bookmarkEnd w:id="80"/>
          </w:tbl>
          <w:p w14:paraId="4A4C4C32" w14:textId="77777777" w:rsidR="004E4CC2" w:rsidRDefault="004E4CC2"/>
        </w:tc>
      </w:tr>
    </w:tbl>
    <w:p w14:paraId="57253DC6" w14:textId="77777777" w:rsidR="004E4CC2" w:rsidRDefault="00000000">
      <w:pPr>
        <w:pStyle w:val="Textkrper"/>
      </w:pPr>
      <w:r>
        <w:t xml:space="preserve"> </w:t>
      </w:r>
    </w:p>
    <w:tbl>
      <w:tblPr>
        <w:tblStyle w:val="Table"/>
        <w:tblW w:w="5000" w:type="pct"/>
        <w:tblLayout w:type="fixed"/>
        <w:tblLook w:val="0000" w:firstRow="0" w:lastRow="0" w:firstColumn="0" w:lastColumn="0" w:noHBand="0" w:noVBand="0"/>
      </w:tblPr>
      <w:tblGrid>
        <w:gridCol w:w="9622"/>
      </w:tblGrid>
      <w:tr w:rsidR="004E4CC2" w14:paraId="0B6FC6DD" w14:textId="77777777">
        <w:tc>
          <w:tcPr>
            <w:tcW w:w="7920" w:type="dxa"/>
          </w:tcPr>
          <w:p w14:paraId="4ABFA913" w14:textId="77777777" w:rsidR="004E4CC2" w:rsidRDefault="00000000">
            <w:pPr>
              <w:pStyle w:val="Compact"/>
              <w:jc w:val="center"/>
            </w:pPr>
            <w:bookmarkStart w:id="81" w:name="fig-gebaeude-strom-anwendungen"/>
            <w:r>
              <w:rPr>
                <w:noProof/>
              </w:rPr>
              <w:drawing>
                <wp:inline distT="0" distB="0" distL="0" distR="0" wp14:anchorId="240C681C" wp14:editId="0B02CBD9">
                  <wp:extent cx="5334000" cy="2400300"/>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Kapitel/../Berechnungen/gebaeudesektormodell/outputs/strom_anwendungen.png"/>
                          <pic:cNvPicPr>
                            <a:picLocks noChangeAspect="1" noChangeArrowheads="1"/>
                          </pic:cNvPicPr>
                        </pic:nvPicPr>
                        <pic:blipFill>
                          <a:blip r:embed="rId16"/>
                          <a:stretch>
                            <a:fillRect/>
                          </a:stretch>
                        </pic:blipFill>
                        <pic:spPr bwMode="auto">
                          <a:xfrm>
                            <a:off x="0" y="0"/>
                            <a:ext cx="5334000" cy="2400300"/>
                          </a:xfrm>
                          <a:prstGeom prst="rect">
                            <a:avLst/>
                          </a:prstGeom>
                          <a:noFill/>
                          <a:ln w="9525">
                            <a:noFill/>
                            <a:headEnd/>
                            <a:tailEnd/>
                          </a:ln>
                        </pic:spPr>
                      </pic:pic>
                    </a:graphicData>
                  </a:graphic>
                </wp:inline>
              </w:drawing>
            </w:r>
          </w:p>
          <w:p w14:paraId="35C61711" w14:textId="77777777" w:rsidR="004E4CC2" w:rsidRDefault="00000000">
            <w:pPr>
              <w:pStyle w:val="ImageCaption"/>
              <w:spacing w:before="200"/>
            </w:pPr>
            <w:r>
              <w:t>Abbildung 6.2: Flächengewichteter spezifischer Strombedarf nach Anwendungen. Hilfsstrom wird aus den Heiz-/Warmwassersummen herausgelöst und gemeinsam mit Allgemeinstrom dargestellt.</w:t>
            </w:r>
          </w:p>
        </w:tc>
        <w:bookmarkEnd w:id="81"/>
      </w:tr>
    </w:tbl>
    <w:p w14:paraId="5A2CBE09" w14:textId="77777777" w:rsidR="004E4CC2" w:rsidRDefault="00000000">
      <w:pPr>
        <w:pStyle w:val="Textkrper"/>
      </w:pPr>
      <w:r>
        <w:t xml:space="preserve">Die Kennwerte unterscheiden Heizung, Warmwasser, Kühlung, Lüftung, Hilfs-/Allgemeinstrom, Beleuchtung und Geräte/IT. Kühlung ist im gelieferten Simulationsstand null. Das ist eine Eigenschaft dieser Simulationen und keine Bestätigung, dass im nationalen Gebäudesektor 2040 kein Kühlbedarf besteht. Die detaillierte Herleitung steht in </w:t>
      </w:r>
      <w:hyperlink w:anchor="sec-gebaeude-strom">
        <w:r>
          <w:rPr>
            <w:rStyle w:val="Hyperlink"/>
          </w:rPr>
          <w:t>Kapitel H.4</w:t>
        </w:r>
      </w:hyperlink>
      <w:r>
        <w:t>.</w:t>
      </w:r>
    </w:p>
    <w:p w14:paraId="0183507E" w14:textId="77777777" w:rsidR="004E4CC2" w:rsidRDefault="00000000">
      <w:pPr>
        <w:pStyle w:val="berschrift2"/>
      </w:pPr>
      <w:bookmarkStart w:id="82" w:name="endenergie-und-primärenergie"/>
      <w:bookmarkStart w:id="83" w:name="_Toc243681252"/>
      <w:bookmarkEnd w:id="78"/>
      <w:r>
        <w:lastRenderedPageBreak/>
        <w:t>6.5 Endenergie und Primärenergie</w:t>
      </w:r>
      <w:bookmarkEnd w:id="83"/>
    </w:p>
    <w:p w14:paraId="25B3907F" w14:textId="77777777" w:rsidR="004E4CC2" w:rsidRDefault="00000000">
      <w:pPr>
        <w:pStyle w:val="FirstParagraph"/>
      </w:pPr>
      <w:r>
        <w:t xml:space="preserve">Fernwärme-, Gas-, Biomasse- und Ölbedarfe werden eigenständig bilanziert. Die Sammelgröße </w:t>
      </w:r>
      <w:r>
        <w:rPr>
          <w:rStyle w:val="VerbatimChar"/>
        </w:rPr>
        <w:t>EUI_other</w:t>
      </w:r>
      <w:r>
        <w:t xml:space="preserve"> wird bei den als </w:t>
      </w:r>
      <w:r>
        <w:rPr>
          <w:rStyle w:val="VerbatimChar"/>
        </w:rPr>
        <w:t>Oel</w:t>
      </w:r>
      <w:r>
        <w:t xml:space="preserve"> gekennzeichneten Typen Öl zugeordnet; weitere Beträge blieben separat unter sonstiger thermischer Endenergie erhalten.</w:t>
      </w:r>
    </w:p>
    <w:tbl>
      <w:tblPr>
        <w:tblStyle w:val="Table"/>
        <w:tblW w:w="5000" w:type="pct"/>
        <w:tblLayout w:type="fixed"/>
        <w:tblLook w:val="0000" w:firstRow="0" w:lastRow="0" w:firstColumn="0" w:lastColumn="0" w:noHBand="0" w:noVBand="0"/>
      </w:tblPr>
      <w:tblGrid>
        <w:gridCol w:w="9622"/>
      </w:tblGrid>
      <w:tr w:rsidR="004E4CC2" w14:paraId="4B835FC6" w14:textId="77777777">
        <w:tc>
          <w:tcPr>
            <w:tcW w:w="7920" w:type="dxa"/>
          </w:tcPr>
          <w:p w14:paraId="74BB1DBE" w14:textId="77777777" w:rsidR="004E4CC2" w:rsidRDefault="00000000">
            <w:pPr>
              <w:pStyle w:val="ImageCaption"/>
              <w:spacing w:before="200"/>
            </w:pPr>
            <w:bookmarkStart w:id="84" w:name="tbl-gebaeude-endenergie"/>
            <w:r>
              <w:t>Tabelle 6.4: Endenergie 2040 nach Energieträgern. Strom enthält PV-Direktverbrauch; sonstige thermische Energie wird separat geführt.</w:t>
            </w:r>
          </w:p>
          <w:tbl>
            <w:tblPr>
              <w:tblStyle w:val="Table"/>
              <w:tblW w:w="0" w:type="auto"/>
              <w:tblLook w:val="0020" w:firstRow="1" w:lastRow="0" w:firstColumn="0" w:lastColumn="0" w:noHBand="0" w:noVBand="0"/>
            </w:tblPr>
            <w:tblGrid>
              <w:gridCol w:w="1980"/>
              <w:gridCol w:w="1980"/>
              <w:gridCol w:w="1980"/>
              <w:gridCol w:w="1980"/>
            </w:tblGrid>
            <w:tr w:rsidR="004E4CC2" w14:paraId="38858BF4"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980" w:type="dxa"/>
                </w:tcPr>
                <w:p w14:paraId="497103E9" w14:textId="77777777" w:rsidR="004E4CC2" w:rsidRDefault="00000000">
                  <w:pPr>
                    <w:pStyle w:val="Compact"/>
                    <w:jc w:val="center"/>
                  </w:pPr>
                  <w:r>
                    <w:t>Träger</w:t>
                  </w:r>
                </w:p>
              </w:tc>
              <w:tc>
                <w:tcPr>
                  <w:tcW w:w="1980" w:type="dxa"/>
                </w:tcPr>
                <w:p w14:paraId="0FAFE9E0" w14:textId="77777777" w:rsidR="004E4CC2" w:rsidRDefault="00000000">
                  <w:pPr>
                    <w:pStyle w:val="Compact"/>
                    <w:jc w:val="center"/>
                  </w:pPr>
                  <w:r>
                    <w:t>kWh/(m² NGF a)</w:t>
                  </w:r>
                </w:p>
              </w:tc>
              <w:tc>
                <w:tcPr>
                  <w:tcW w:w="1980" w:type="dxa"/>
                </w:tcPr>
                <w:p w14:paraId="6AABDCE3" w14:textId="77777777" w:rsidR="004E4CC2" w:rsidRDefault="00000000">
                  <w:pPr>
                    <w:pStyle w:val="Compact"/>
                    <w:jc w:val="center"/>
                  </w:pPr>
                  <w:r>
                    <w:t>GWh/a</w:t>
                  </w:r>
                </w:p>
              </w:tc>
              <w:tc>
                <w:tcPr>
                  <w:tcW w:w="1980" w:type="dxa"/>
                </w:tcPr>
                <w:p w14:paraId="5E45D83D" w14:textId="77777777" w:rsidR="004E4CC2" w:rsidRDefault="00000000">
                  <w:pPr>
                    <w:pStyle w:val="Compact"/>
                    <w:jc w:val="center"/>
                  </w:pPr>
                  <w:r>
                    <w:t>PJ/a</w:t>
                  </w:r>
                </w:p>
              </w:tc>
            </w:tr>
            <w:tr w:rsidR="004E4CC2" w14:paraId="212C7A3F" w14:textId="77777777">
              <w:tc>
                <w:tcPr>
                  <w:tcW w:w="1980" w:type="dxa"/>
                </w:tcPr>
                <w:p w14:paraId="7656E9C7" w14:textId="77777777" w:rsidR="004E4CC2" w:rsidRDefault="00000000">
                  <w:pPr>
                    <w:pStyle w:val="Compact"/>
                    <w:jc w:val="center"/>
                  </w:pPr>
                  <w:r>
                    <w:t>Strom (Bruttobedarf)</w:t>
                  </w:r>
                </w:p>
              </w:tc>
              <w:tc>
                <w:tcPr>
                  <w:tcW w:w="1980" w:type="dxa"/>
                </w:tcPr>
                <w:p w14:paraId="7F5364D6" w14:textId="77777777" w:rsidR="004E4CC2" w:rsidRDefault="00000000">
                  <w:pPr>
                    <w:pStyle w:val="Compact"/>
                    <w:jc w:val="center"/>
                  </w:pPr>
                  <w:r>
                    <w:t>42,377</w:t>
                  </w:r>
                </w:p>
              </w:tc>
              <w:tc>
                <w:tcPr>
                  <w:tcW w:w="1980" w:type="dxa"/>
                </w:tcPr>
                <w:p w14:paraId="3D505529" w14:textId="77777777" w:rsidR="004E4CC2" w:rsidRDefault="00000000">
                  <w:pPr>
                    <w:pStyle w:val="Compact"/>
                    <w:jc w:val="center"/>
                  </w:pPr>
                  <w:r>
                    <w:t>38.192,572</w:t>
                  </w:r>
                </w:p>
              </w:tc>
              <w:tc>
                <w:tcPr>
                  <w:tcW w:w="1980" w:type="dxa"/>
                </w:tcPr>
                <w:p w14:paraId="4DDFE3A1" w14:textId="77777777" w:rsidR="004E4CC2" w:rsidRDefault="00000000">
                  <w:pPr>
                    <w:pStyle w:val="Compact"/>
                    <w:jc w:val="center"/>
                  </w:pPr>
                  <w:r>
                    <w:t>137,493</w:t>
                  </w:r>
                </w:p>
              </w:tc>
            </w:tr>
            <w:tr w:rsidR="004E4CC2" w14:paraId="395BA9A3" w14:textId="77777777">
              <w:tc>
                <w:tcPr>
                  <w:tcW w:w="1980" w:type="dxa"/>
                </w:tcPr>
                <w:p w14:paraId="425A85CC" w14:textId="77777777" w:rsidR="004E4CC2" w:rsidRDefault="00000000">
                  <w:pPr>
                    <w:pStyle w:val="Compact"/>
                    <w:jc w:val="center"/>
                  </w:pPr>
                  <w:r>
                    <w:t>Fernwärme</w:t>
                  </w:r>
                </w:p>
              </w:tc>
              <w:tc>
                <w:tcPr>
                  <w:tcW w:w="1980" w:type="dxa"/>
                </w:tcPr>
                <w:p w14:paraId="25CBC4D1" w14:textId="77777777" w:rsidR="004E4CC2" w:rsidRDefault="00000000">
                  <w:pPr>
                    <w:pStyle w:val="Compact"/>
                    <w:jc w:val="center"/>
                  </w:pPr>
                  <w:r>
                    <w:t>31,499</w:t>
                  </w:r>
                </w:p>
              </w:tc>
              <w:tc>
                <w:tcPr>
                  <w:tcW w:w="1980" w:type="dxa"/>
                </w:tcPr>
                <w:p w14:paraId="154A5A5F" w14:textId="77777777" w:rsidR="004E4CC2" w:rsidRDefault="00000000">
                  <w:pPr>
                    <w:pStyle w:val="Compact"/>
                    <w:jc w:val="center"/>
                  </w:pPr>
                  <w:r>
                    <w:t>28.388,612</w:t>
                  </w:r>
                </w:p>
              </w:tc>
              <w:tc>
                <w:tcPr>
                  <w:tcW w:w="1980" w:type="dxa"/>
                </w:tcPr>
                <w:p w14:paraId="6079BD2F" w14:textId="77777777" w:rsidR="004E4CC2" w:rsidRDefault="00000000">
                  <w:pPr>
                    <w:pStyle w:val="Compact"/>
                    <w:jc w:val="center"/>
                  </w:pPr>
                  <w:r>
                    <w:t>102,199</w:t>
                  </w:r>
                </w:p>
              </w:tc>
            </w:tr>
            <w:tr w:rsidR="004E4CC2" w14:paraId="362EE205" w14:textId="77777777">
              <w:tc>
                <w:tcPr>
                  <w:tcW w:w="1980" w:type="dxa"/>
                </w:tcPr>
                <w:p w14:paraId="0C87ABD5" w14:textId="77777777" w:rsidR="004E4CC2" w:rsidRDefault="00000000">
                  <w:pPr>
                    <w:pStyle w:val="Compact"/>
                    <w:jc w:val="center"/>
                  </w:pPr>
                  <w:r>
                    <w:t>Gas</w:t>
                  </w:r>
                </w:p>
              </w:tc>
              <w:tc>
                <w:tcPr>
                  <w:tcW w:w="1980" w:type="dxa"/>
                </w:tcPr>
                <w:p w14:paraId="4BD7C725" w14:textId="77777777" w:rsidR="004E4CC2" w:rsidRDefault="00000000">
                  <w:pPr>
                    <w:pStyle w:val="Compact"/>
                    <w:jc w:val="center"/>
                  </w:pPr>
                  <w:r>
                    <w:t>23,631</w:t>
                  </w:r>
                </w:p>
              </w:tc>
              <w:tc>
                <w:tcPr>
                  <w:tcW w:w="1980" w:type="dxa"/>
                </w:tcPr>
                <w:p w14:paraId="2FFFBC32" w14:textId="77777777" w:rsidR="004E4CC2" w:rsidRDefault="00000000">
                  <w:pPr>
                    <w:pStyle w:val="Compact"/>
                    <w:jc w:val="center"/>
                  </w:pPr>
                  <w:r>
                    <w:t>21.297,969</w:t>
                  </w:r>
                </w:p>
              </w:tc>
              <w:tc>
                <w:tcPr>
                  <w:tcW w:w="1980" w:type="dxa"/>
                </w:tcPr>
                <w:p w14:paraId="00E39745" w14:textId="77777777" w:rsidR="004E4CC2" w:rsidRDefault="00000000">
                  <w:pPr>
                    <w:pStyle w:val="Compact"/>
                    <w:jc w:val="center"/>
                  </w:pPr>
                  <w:r>
                    <w:t>76,673</w:t>
                  </w:r>
                </w:p>
              </w:tc>
            </w:tr>
            <w:tr w:rsidR="004E4CC2" w14:paraId="74A8311B" w14:textId="77777777">
              <w:tc>
                <w:tcPr>
                  <w:tcW w:w="1980" w:type="dxa"/>
                </w:tcPr>
                <w:p w14:paraId="3FA1BD3F" w14:textId="77777777" w:rsidR="004E4CC2" w:rsidRDefault="00000000">
                  <w:pPr>
                    <w:pStyle w:val="Compact"/>
                    <w:jc w:val="center"/>
                  </w:pPr>
                  <w:r>
                    <w:t>Biomasse</w:t>
                  </w:r>
                </w:p>
              </w:tc>
              <w:tc>
                <w:tcPr>
                  <w:tcW w:w="1980" w:type="dxa"/>
                </w:tcPr>
                <w:p w14:paraId="3AE6009D" w14:textId="77777777" w:rsidR="004E4CC2" w:rsidRDefault="00000000">
                  <w:pPr>
                    <w:pStyle w:val="Compact"/>
                    <w:jc w:val="center"/>
                  </w:pPr>
                  <w:r>
                    <w:t>21,346</w:t>
                  </w:r>
                </w:p>
              </w:tc>
              <w:tc>
                <w:tcPr>
                  <w:tcW w:w="1980" w:type="dxa"/>
                </w:tcPr>
                <w:p w14:paraId="24B26200" w14:textId="77777777" w:rsidR="004E4CC2" w:rsidRDefault="00000000">
                  <w:pPr>
                    <w:pStyle w:val="Compact"/>
                    <w:jc w:val="center"/>
                  </w:pPr>
                  <w:r>
                    <w:t>19.238,623</w:t>
                  </w:r>
                </w:p>
              </w:tc>
              <w:tc>
                <w:tcPr>
                  <w:tcW w:w="1980" w:type="dxa"/>
                </w:tcPr>
                <w:p w14:paraId="6A66611B" w14:textId="77777777" w:rsidR="004E4CC2" w:rsidRDefault="00000000">
                  <w:pPr>
                    <w:pStyle w:val="Compact"/>
                    <w:jc w:val="center"/>
                  </w:pPr>
                  <w:r>
                    <w:t>69,259</w:t>
                  </w:r>
                </w:p>
              </w:tc>
            </w:tr>
            <w:tr w:rsidR="004E4CC2" w14:paraId="0FF51BB9" w14:textId="77777777">
              <w:tc>
                <w:tcPr>
                  <w:tcW w:w="1980" w:type="dxa"/>
                </w:tcPr>
                <w:p w14:paraId="7370D304" w14:textId="77777777" w:rsidR="004E4CC2" w:rsidRDefault="00000000">
                  <w:pPr>
                    <w:pStyle w:val="Compact"/>
                    <w:jc w:val="center"/>
                  </w:pPr>
                  <w:r>
                    <w:t>Öl</w:t>
                  </w:r>
                </w:p>
              </w:tc>
              <w:tc>
                <w:tcPr>
                  <w:tcW w:w="1980" w:type="dxa"/>
                </w:tcPr>
                <w:p w14:paraId="4A5C242F" w14:textId="77777777" w:rsidR="004E4CC2" w:rsidRDefault="00000000">
                  <w:pPr>
                    <w:pStyle w:val="Compact"/>
                    <w:jc w:val="center"/>
                  </w:pPr>
                  <w:r>
                    <w:t>18,034</w:t>
                  </w:r>
                </w:p>
              </w:tc>
              <w:tc>
                <w:tcPr>
                  <w:tcW w:w="1980" w:type="dxa"/>
                </w:tcPr>
                <w:p w14:paraId="4BE4EFEC" w14:textId="77777777" w:rsidR="004E4CC2" w:rsidRDefault="00000000">
                  <w:pPr>
                    <w:pStyle w:val="Compact"/>
                    <w:jc w:val="center"/>
                  </w:pPr>
                  <w:r>
                    <w:t>16.253,386</w:t>
                  </w:r>
                </w:p>
              </w:tc>
              <w:tc>
                <w:tcPr>
                  <w:tcW w:w="1980" w:type="dxa"/>
                </w:tcPr>
                <w:p w14:paraId="28D50A33" w14:textId="77777777" w:rsidR="004E4CC2" w:rsidRDefault="00000000">
                  <w:pPr>
                    <w:pStyle w:val="Compact"/>
                    <w:jc w:val="center"/>
                  </w:pPr>
                  <w:r>
                    <w:t>58,512</w:t>
                  </w:r>
                </w:p>
              </w:tc>
            </w:tr>
            <w:tr w:rsidR="004E4CC2" w14:paraId="7C2FBFE6" w14:textId="77777777">
              <w:tc>
                <w:tcPr>
                  <w:tcW w:w="1980" w:type="dxa"/>
                </w:tcPr>
                <w:p w14:paraId="49354FD7" w14:textId="77777777" w:rsidR="004E4CC2" w:rsidRDefault="00000000">
                  <w:pPr>
                    <w:pStyle w:val="Compact"/>
                    <w:jc w:val="center"/>
                  </w:pPr>
                  <w:r>
                    <w:t>Sonstige thermisch</w:t>
                  </w:r>
                </w:p>
              </w:tc>
              <w:tc>
                <w:tcPr>
                  <w:tcW w:w="1980" w:type="dxa"/>
                </w:tcPr>
                <w:p w14:paraId="1D44B776" w14:textId="77777777" w:rsidR="004E4CC2" w:rsidRDefault="00000000">
                  <w:pPr>
                    <w:pStyle w:val="Compact"/>
                    <w:jc w:val="center"/>
                  </w:pPr>
                  <w:r>
                    <w:t>0,000</w:t>
                  </w:r>
                </w:p>
              </w:tc>
              <w:tc>
                <w:tcPr>
                  <w:tcW w:w="1980" w:type="dxa"/>
                </w:tcPr>
                <w:p w14:paraId="703EE0DD" w14:textId="77777777" w:rsidR="004E4CC2" w:rsidRDefault="00000000">
                  <w:pPr>
                    <w:pStyle w:val="Compact"/>
                    <w:jc w:val="center"/>
                  </w:pPr>
                  <w:r>
                    <w:t>0,000</w:t>
                  </w:r>
                </w:p>
              </w:tc>
              <w:tc>
                <w:tcPr>
                  <w:tcW w:w="1980" w:type="dxa"/>
                </w:tcPr>
                <w:p w14:paraId="37456490" w14:textId="77777777" w:rsidR="004E4CC2" w:rsidRDefault="00000000">
                  <w:pPr>
                    <w:pStyle w:val="Compact"/>
                    <w:jc w:val="center"/>
                  </w:pPr>
                  <w:r>
                    <w:t>0,000</w:t>
                  </w:r>
                </w:p>
              </w:tc>
            </w:tr>
            <w:bookmarkEnd w:id="84"/>
          </w:tbl>
          <w:p w14:paraId="4EE1E7B8" w14:textId="77777777" w:rsidR="004E4CC2" w:rsidRDefault="004E4CC2"/>
        </w:tc>
      </w:tr>
    </w:tbl>
    <w:p w14:paraId="09FE1848" w14:textId="77777777" w:rsidR="004E4CC2" w:rsidRDefault="00000000">
      <w:pPr>
        <w:pStyle w:val="Textkrper"/>
      </w:pPr>
      <w:r>
        <w:t xml:space="preserve"> </w:t>
      </w:r>
    </w:p>
    <w:tbl>
      <w:tblPr>
        <w:tblStyle w:val="Table"/>
        <w:tblW w:w="5000" w:type="pct"/>
        <w:tblLayout w:type="fixed"/>
        <w:tblLook w:val="0000" w:firstRow="0" w:lastRow="0" w:firstColumn="0" w:lastColumn="0" w:noHBand="0" w:noVBand="0"/>
      </w:tblPr>
      <w:tblGrid>
        <w:gridCol w:w="9622"/>
      </w:tblGrid>
      <w:tr w:rsidR="004E4CC2" w14:paraId="2011296C" w14:textId="77777777">
        <w:tc>
          <w:tcPr>
            <w:tcW w:w="7920" w:type="dxa"/>
          </w:tcPr>
          <w:p w14:paraId="73F64477" w14:textId="77777777" w:rsidR="004E4CC2" w:rsidRDefault="00000000">
            <w:pPr>
              <w:pStyle w:val="Compact"/>
              <w:jc w:val="center"/>
            </w:pPr>
            <w:bookmarkStart w:id="85" w:name="fig-gebaeude-endenergie"/>
            <w:r>
              <w:rPr>
                <w:noProof/>
              </w:rPr>
              <w:drawing>
                <wp:inline distT="0" distB="0" distL="0" distR="0" wp14:anchorId="0552F6DD" wp14:editId="5AD52425">
                  <wp:extent cx="5334000" cy="2667000"/>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Kapitel/../Berechnungen/gebaeudesektormodell/outputs/endenergie.png"/>
                          <pic:cNvPicPr>
                            <a:picLocks noChangeAspect="1" noChangeArrowheads="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14:paraId="49AD7FEB" w14:textId="77777777" w:rsidR="004E4CC2" w:rsidRDefault="00000000">
            <w:pPr>
              <w:pStyle w:val="ImageCaption"/>
              <w:spacing w:before="200"/>
            </w:pPr>
            <w:r>
              <w:t>Abbildung 6.3: Endenergie des gelieferten 2040-Pools nach Energieträgern.</w:t>
            </w:r>
          </w:p>
        </w:tc>
        <w:bookmarkEnd w:id="85"/>
      </w:tr>
    </w:tbl>
    <w:p w14:paraId="4D6EDFE9" w14:textId="77777777" w:rsidR="004E4CC2" w:rsidRDefault="00000000">
      <w:pPr>
        <w:pStyle w:val="Textkrper"/>
      </w:pPr>
      <w:r>
        <w:t xml:space="preserve">Insbesondere die verbleibenden </w:t>
      </w:r>
      <w:r>
        <w:rPr>
          <w:b/>
          <w:bCs/>
        </w:rPr>
        <w:t>76,67 PJ/a Gas</w:t>
      </w:r>
      <w:r>
        <w:t xml:space="preserve"> und </w:t>
      </w:r>
      <w:r>
        <w:rPr>
          <w:b/>
          <w:bCs/>
        </w:rPr>
        <w:t>58,51 PJ/a Öl</w:t>
      </w:r>
      <w:r>
        <w:t xml:space="preserve"> zeigen, dass die gelieferte Flächen-/Versorgungsstruktur kein vollständig dekarbonisiertes Szenario darstellt. Diese Mengen werden weder als Strom behandelt noch aus der Bilanz entfernt. Die Anwendungsaufteilung der thermischen Energie steht in </w:t>
      </w:r>
      <w:hyperlink w:anchor="sec-gebaeude-endenergie">
        <w:r>
          <w:rPr>
            <w:rStyle w:val="Hyperlink"/>
          </w:rPr>
          <w:t>Kapitel H.5</w:t>
        </w:r>
      </w:hyperlink>
      <w:r>
        <w:t>.</w:t>
      </w:r>
    </w:p>
    <w:p w14:paraId="3190D905" w14:textId="77777777" w:rsidR="004E4CC2" w:rsidRDefault="00000000">
      <w:pPr>
        <w:pStyle w:val="Textkrper"/>
      </w:pPr>
      <w:r>
        <w:lastRenderedPageBreak/>
        <w:t>Die Primärenergiebilanz aggregiert die gelieferten Import- und Exportkennwerte. Sie enthält keine virtuellen Dichte-, Mobilitäts- oder Sanierungsgutschriften:</w:t>
      </w:r>
    </w:p>
    <w:tbl>
      <w:tblPr>
        <w:tblStyle w:val="Table"/>
        <w:tblW w:w="5000" w:type="pct"/>
        <w:tblLayout w:type="fixed"/>
        <w:tblLook w:val="0000" w:firstRow="0" w:lastRow="0" w:firstColumn="0" w:lastColumn="0" w:noHBand="0" w:noVBand="0"/>
      </w:tblPr>
      <w:tblGrid>
        <w:gridCol w:w="9622"/>
      </w:tblGrid>
      <w:tr w:rsidR="004E4CC2" w14:paraId="639EC809" w14:textId="77777777">
        <w:tc>
          <w:tcPr>
            <w:tcW w:w="7920" w:type="dxa"/>
          </w:tcPr>
          <w:p w14:paraId="1CE25375" w14:textId="77777777" w:rsidR="004E4CC2" w:rsidRDefault="00000000">
            <w:pPr>
              <w:pStyle w:val="ImageCaption"/>
              <w:spacing w:before="200"/>
            </w:pPr>
            <w:bookmarkStart w:id="86" w:name="tbl-gebaeude-pe"/>
            <w:r>
              <w:t>Tabelle 6.5: Gelieferter PE-Bewertungsstand; Faktorversion und Bezugsjahr noch zu bestätigen, ohne virtuelle Kontextwerte.</w:t>
            </w:r>
          </w:p>
          <w:tbl>
            <w:tblPr>
              <w:tblStyle w:val="Table"/>
              <w:tblW w:w="0" w:type="auto"/>
              <w:tblLook w:val="0020" w:firstRow="1" w:lastRow="0" w:firstColumn="0" w:lastColumn="0" w:noHBand="0" w:noVBand="0"/>
            </w:tblPr>
            <w:tblGrid>
              <w:gridCol w:w="2640"/>
              <w:gridCol w:w="2640"/>
              <w:gridCol w:w="2640"/>
            </w:tblGrid>
            <w:tr w:rsidR="004E4CC2" w14:paraId="52A4DAE8"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31A883A6" w14:textId="77777777" w:rsidR="004E4CC2" w:rsidRDefault="00000000">
                  <w:pPr>
                    <w:pStyle w:val="Compact"/>
                    <w:jc w:val="center"/>
                  </w:pPr>
                  <w:r>
                    <w:t>Größe</w:t>
                  </w:r>
                </w:p>
              </w:tc>
              <w:tc>
                <w:tcPr>
                  <w:tcW w:w="2640" w:type="dxa"/>
                </w:tcPr>
                <w:p w14:paraId="28CF5079" w14:textId="77777777" w:rsidR="004E4CC2" w:rsidRDefault="00000000">
                  <w:pPr>
                    <w:pStyle w:val="Compact"/>
                    <w:jc w:val="center"/>
                  </w:pPr>
                  <w:r>
                    <w:t>GWh_PE/a</w:t>
                  </w:r>
                </w:p>
              </w:tc>
              <w:tc>
                <w:tcPr>
                  <w:tcW w:w="2640" w:type="dxa"/>
                </w:tcPr>
                <w:p w14:paraId="344EEB47" w14:textId="77777777" w:rsidR="004E4CC2" w:rsidRDefault="00000000">
                  <w:pPr>
                    <w:pStyle w:val="Compact"/>
                    <w:jc w:val="center"/>
                  </w:pPr>
                  <w:r>
                    <w:t>PJ_PE/a</w:t>
                  </w:r>
                </w:p>
              </w:tc>
            </w:tr>
            <w:tr w:rsidR="004E4CC2" w14:paraId="6A7E4377" w14:textId="77777777">
              <w:tc>
                <w:tcPr>
                  <w:tcW w:w="2640" w:type="dxa"/>
                </w:tcPr>
                <w:p w14:paraId="196EE780" w14:textId="77777777" w:rsidR="004E4CC2" w:rsidRDefault="00000000">
                  <w:pPr>
                    <w:pStyle w:val="Compact"/>
                    <w:jc w:val="center"/>
                  </w:pPr>
                  <w:r>
                    <w:t>PEI_grid_import</w:t>
                  </w:r>
                </w:p>
              </w:tc>
              <w:tc>
                <w:tcPr>
                  <w:tcW w:w="2640" w:type="dxa"/>
                </w:tcPr>
                <w:p w14:paraId="4EB3DE95" w14:textId="77777777" w:rsidR="004E4CC2" w:rsidRDefault="00000000">
                  <w:pPr>
                    <w:pStyle w:val="Compact"/>
                    <w:jc w:val="center"/>
                  </w:pPr>
                  <w:r>
                    <w:t>59.495,871</w:t>
                  </w:r>
                </w:p>
              </w:tc>
              <w:tc>
                <w:tcPr>
                  <w:tcW w:w="2640" w:type="dxa"/>
                </w:tcPr>
                <w:p w14:paraId="656EE619" w14:textId="77777777" w:rsidR="004E4CC2" w:rsidRDefault="00000000">
                  <w:pPr>
                    <w:pStyle w:val="Compact"/>
                    <w:jc w:val="center"/>
                  </w:pPr>
                  <w:r>
                    <w:t>214,185</w:t>
                  </w:r>
                </w:p>
              </w:tc>
            </w:tr>
            <w:tr w:rsidR="004E4CC2" w14:paraId="23DB90F6" w14:textId="77777777">
              <w:tc>
                <w:tcPr>
                  <w:tcW w:w="2640" w:type="dxa"/>
                </w:tcPr>
                <w:p w14:paraId="08EF2C23" w14:textId="77777777" w:rsidR="004E4CC2" w:rsidRDefault="00000000">
                  <w:pPr>
                    <w:pStyle w:val="Compact"/>
                    <w:jc w:val="center"/>
                  </w:pPr>
                  <w:r>
                    <w:t>PEI_import</w:t>
                  </w:r>
                </w:p>
              </w:tc>
              <w:tc>
                <w:tcPr>
                  <w:tcW w:w="2640" w:type="dxa"/>
                </w:tcPr>
                <w:p w14:paraId="5A7CF083" w14:textId="77777777" w:rsidR="004E4CC2" w:rsidRDefault="00000000">
                  <w:pPr>
                    <w:pStyle w:val="Compact"/>
                    <w:jc w:val="center"/>
                  </w:pPr>
                  <w:r>
                    <w:t>137.528,612</w:t>
                  </w:r>
                </w:p>
              </w:tc>
              <w:tc>
                <w:tcPr>
                  <w:tcW w:w="2640" w:type="dxa"/>
                </w:tcPr>
                <w:p w14:paraId="0623BB78" w14:textId="77777777" w:rsidR="004E4CC2" w:rsidRDefault="00000000">
                  <w:pPr>
                    <w:pStyle w:val="Compact"/>
                    <w:jc w:val="center"/>
                  </w:pPr>
                  <w:r>
                    <w:t>495,103</w:t>
                  </w:r>
                </w:p>
              </w:tc>
            </w:tr>
            <w:tr w:rsidR="004E4CC2" w14:paraId="36865FD2" w14:textId="77777777">
              <w:tc>
                <w:tcPr>
                  <w:tcW w:w="2640" w:type="dxa"/>
                </w:tcPr>
                <w:p w14:paraId="3954E0D8" w14:textId="77777777" w:rsidR="004E4CC2" w:rsidRDefault="00000000">
                  <w:pPr>
                    <w:pStyle w:val="Compact"/>
                    <w:jc w:val="center"/>
                  </w:pPr>
                  <w:r>
                    <w:t>PEI_export</w:t>
                  </w:r>
                </w:p>
              </w:tc>
              <w:tc>
                <w:tcPr>
                  <w:tcW w:w="2640" w:type="dxa"/>
                </w:tcPr>
                <w:p w14:paraId="08429025" w14:textId="77777777" w:rsidR="004E4CC2" w:rsidRDefault="00000000">
                  <w:pPr>
                    <w:pStyle w:val="Compact"/>
                    <w:jc w:val="center"/>
                  </w:pPr>
                  <w:r>
                    <w:t>23.816,432</w:t>
                  </w:r>
                </w:p>
              </w:tc>
              <w:tc>
                <w:tcPr>
                  <w:tcW w:w="2640" w:type="dxa"/>
                </w:tcPr>
                <w:p w14:paraId="7CA08E77" w14:textId="77777777" w:rsidR="004E4CC2" w:rsidRDefault="00000000">
                  <w:pPr>
                    <w:pStyle w:val="Compact"/>
                    <w:jc w:val="center"/>
                  </w:pPr>
                  <w:r>
                    <w:t>85,739</w:t>
                  </w:r>
                </w:p>
              </w:tc>
            </w:tr>
            <w:tr w:rsidR="004E4CC2" w14:paraId="43494733" w14:textId="77777777">
              <w:tc>
                <w:tcPr>
                  <w:tcW w:w="2640" w:type="dxa"/>
                </w:tcPr>
                <w:p w14:paraId="5C16C70A" w14:textId="77777777" w:rsidR="004E4CC2" w:rsidRDefault="00000000">
                  <w:pPr>
                    <w:pStyle w:val="Compact"/>
                    <w:jc w:val="center"/>
                  </w:pPr>
                  <w:r>
                    <w:t>PE_Saldo</w:t>
                  </w:r>
                </w:p>
              </w:tc>
              <w:tc>
                <w:tcPr>
                  <w:tcW w:w="2640" w:type="dxa"/>
                </w:tcPr>
                <w:p w14:paraId="70DEBCF9" w14:textId="77777777" w:rsidR="004E4CC2" w:rsidRDefault="00000000">
                  <w:pPr>
                    <w:pStyle w:val="Compact"/>
                    <w:jc w:val="center"/>
                  </w:pPr>
                  <w:r>
                    <w:t>-113.712,180</w:t>
                  </w:r>
                </w:p>
              </w:tc>
              <w:tc>
                <w:tcPr>
                  <w:tcW w:w="2640" w:type="dxa"/>
                </w:tcPr>
                <w:p w14:paraId="2C047D57" w14:textId="77777777" w:rsidR="004E4CC2" w:rsidRDefault="00000000">
                  <w:pPr>
                    <w:pStyle w:val="Compact"/>
                    <w:jc w:val="center"/>
                  </w:pPr>
                  <w:r>
                    <w:t>-409,364</w:t>
                  </w:r>
                </w:p>
              </w:tc>
            </w:tr>
            <w:bookmarkEnd w:id="86"/>
          </w:tbl>
          <w:p w14:paraId="6D3D4C23" w14:textId="77777777" w:rsidR="004E4CC2" w:rsidRDefault="004E4CC2"/>
        </w:tc>
      </w:tr>
    </w:tbl>
    <w:p w14:paraId="5D6CDBB5" w14:textId="77777777" w:rsidR="004E4CC2" w:rsidRDefault="00000000">
      <w:pPr>
        <w:pStyle w:val="Textkrper"/>
      </w:pPr>
      <w:r>
        <w:t xml:space="preserve">Der PE-Saldo von </w:t>
      </w:r>
      <w:r>
        <w:rPr>
          <w:b/>
          <w:bCs/>
        </w:rPr>
        <w:t>−409,36 PJ PE/a</w:t>
      </w:r>
      <w:r>
        <w:t xml:space="preserve"> ist ein Ergebnis des gelieferten Bewertungsstands. Die konkreten Konversionsfaktoren und ihr Bezugsjahr sind nicht bestätigt. Effektive Faktoren unterscheiden sich zwischen Typen und zwischen Import und Export; eine einfache Multiplikation sämtlicher Stromflüsse mit einem Jahresmittel würde die gelieferten PEI nicht reproduzieren. Die sektorale Aufgabe 2040 bleibt auf Endenergiebasis definiert. Eine Bewertung mit heutigen Faktoren stellt die Vergleichbarkeit mit heutigen Nachweisverfahren her und ist keine Prognose der PE-Intensitäten 2040 (</w:t>
      </w:r>
      <w:hyperlink w:anchor="sec-gebaeude-pe">
        <w:r>
          <w:rPr>
            <w:rStyle w:val="Hyperlink"/>
          </w:rPr>
          <w:t>Kapitel H.6</w:t>
        </w:r>
      </w:hyperlink>
      <w:r>
        <w:t>).</w:t>
      </w:r>
    </w:p>
    <w:p w14:paraId="343591CF" w14:textId="77777777" w:rsidR="004E4CC2" w:rsidRDefault="00000000">
      <w:pPr>
        <w:pStyle w:val="berschrift2"/>
      </w:pPr>
      <w:bookmarkStart w:id="87" w:name="sec-gfz-verteilung"/>
      <w:bookmarkStart w:id="88" w:name="_Toc243681253"/>
      <w:bookmarkEnd w:id="82"/>
      <w:r>
        <w:t>6.6 GFZ-Verteilung des österreichischen Gebäudebestands</w:t>
      </w:r>
      <w:bookmarkEnd w:id="88"/>
    </w:p>
    <w:p w14:paraId="062790FD" w14:textId="77777777" w:rsidR="004E4CC2" w:rsidRDefault="00000000">
      <w:pPr>
        <w:pStyle w:val="FirstParagraph"/>
      </w:pPr>
      <w:r>
        <w:t xml:space="preserve">Die vorhandene GFZ-Hochrechnung verwendet die statistische Gebäudestruktur 2021 und BGF-gewichtete Referenzverteilungen aus Wien und Salzburg. Ihre freigegebene Ersatzregel bleibt unverändert. Die neue Zuordnung aus der Excel übersetzt Nutzung und Geschoßklasse in geometrische Poolklassen. </w:t>
      </w:r>
      <w:r>
        <w:rPr>
          <w:b/>
          <w:bCs/>
        </w:rPr>
        <w:t>Eine einzelne Zielklasse erhält 100 %; nur bei einer Aufteilung wird die zweite Zielspalte benutzt.</w:t>
      </w:r>
      <w:r>
        <w:t xml:space="preserve"> Diese Regel ist vom Auftraggeber bestätigt und in der aktualisierten Datei vollständig eingetragen. Für Wohngebäude mit zwei oder drei Geschoßen werden beispielsweise EFH_2G und RH_2G mit jeweils 50 % angesetzt.</w:t>
      </w:r>
    </w:p>
    <w:p w14:paraId="36F1E4C5" w14:textId="77777777" w:rsidR="004E4CC2" w:rsidRDefault="00000000">
      <w:pPr>
        <w:pStyle w:val="Textkrper"/>
      </w:pPr>
      <w:r>
        <w:t>Die im GFZ-Modell zusammengefasste Kategorie „Ein- und Zweifamilienhäuser“ erhält die identischen Regeln der beiden entsprechenden Excel-Nutzungen nur einmal. Dadurch wird keine Referenzfläche doppelt gezählt. Aus den zugeordneten BGF-Mengen entstehen je Geometrie bedingte GFZ-Verteilungen. Unterschiedliche energetische Varianten derselben Geometrie übernehmen im Modell dieselbe Verteilung.</w:t>
      </w:r>
    </w:p>
    <w:tbl>
      <w:tblPr>
        <w:tblStyle w:val="Table"/>
        <w:tblW w:w="5000" w:type="pct"/>
        <w:tblLayout w:type="fixed"/>
        <w:tblLook w:val="0000" w:firstRow="0" w:lastRow="0" w:firstColumn="0" w:lastColumn="0" w:noHBand="0" w:noVBand="0"/>
      </w:tblPr>
      <w:tblGrid>
        <w:gridCol w:w="9622"/>
      </w:tblGrid>
      <w:tr w:rsidR="004E4CC2" w14:paraId="3BAD2F5E" w14:textId="77777777">
        <w:tc>
          <w:tcPr>
            <w:tcW w:w="7920" w:type="dxa"/>
          </w:tcPr>
          <w:p w14:paraId="78E22F82" w14:textId="77777777" w:rsidR="004E4CC2" w:rsidRDefault="00000000">
            <w:pPr>
              <w:pStyle w:val="Compact"/>
              <w:jc w:val="center"/>
            </w:pPr>
            <w:bookmarkStart w:id="89" w:name="fig-gebaeude-gfz"/>
            <w:r>
              <w:rPr>
                <w:noProof/>
              </w:rPr>
              <w:lastRenderedPageBreak/>
              <w:drawing>
                <wp:inline distT="0" distB="0" distL="0" distR="0" wp14:anchorId="3DD8918F" wp14:editId="3854E6ED">
                  <wp:extent cx="5334000" cy="1939636"/>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Kapitel/../Berechnungen/gebaeudesektormodell/outputs/gfz_dichte.png"/>
                          <pic:cNvPicPr>
                            <a:picLocks noChangeAspect="1" noChangeArrowheads="1"/>
                          </pic:cNvPicPr>
                        </pic:nvPicPr>
                        <pic:blipFill>
                          <a:blip r:embed="rId18"/>
                          <a:stretch>
                            <a:fillRect/>
                          </a:stretch>
                        </pic:blipFill>
                        <pic:spPr bwMode="auto">
                          <a:xfrm>
                            <a:off x="0" y="0"/>
                            <a:ext cx="5334000" cy="1939636"/>
                          </a:xfrm>
                          <a:prstGeom prst="rect">
                            <a:avLst/>
                          </a:prstGeom>
                          <a:noFill/>
                          <a:ln w="9525">
                            <a:noFill/>
                            <a:headEnd/>
                            <a:tailEnd/>
                          </a:ln>
                        </pic:spPr>
                      </pic:pic>
                    </a:graphicData>
                  </a:graphic>
                </wp:inline>
              </w:drawing>
            </w:r>
          </w:p>
          <w:p w14:paraId="1845752E" w14:textId="77777777" w:rsidR="004E4CC2" w:rsidRDefault="00000000">
            <w:pPr>
              <w:pStyle w:val="ImageCaption"/>
              <w:spacing w:before="200"/>
            </w:pPr>
            <w:r>
              <w:t>Abbildung 6.4: GFZ-Verteilungen und Erwartungswerte des historischen Dichte-Referenzansatzes. Die Grafik zeigt GFZ bis 8; die Aggregation umfasst das vollständige Raster bis 20.</w:t>
            </w:r>
          </w:p>
        </w:tc>
        <w:bookmarkEnd w:id="89"/>
      </w:tr>
    </w:tbl>
    <w:p w14:paraId="7DFEF1D3" w14:textId="77777777" w:rsidR="004E4CC2" w:rsidRDefault="00000000">
      <w:pPr>
        <w:pStyle w:val="Textkrper"/>
      </w:pPr>
      <w:r>
        <w:t xml:space="preserve">Die Erwartungswerte in </w:t>
      </w:r>
      <w:hyperlink w:anchor="tbl-gebaeude-typologien">
        <w:r>
          <w:rPr>
            <w:rStyle w:val="Hyperlink"/>
          </w:rPr>
          <w:t>Tabelle 6.1</w:t>
        </w:r>
      </w:hyperlink>
      <w:r>
        <w:t xml:space="preserve"> werden über sämtliche GFZ-Bins berechnet. Der Funktionswert am mittleren GFZ wäre wegen der Nichtlinearität nicht gleichwertig. Als elektrische Referenz dient die historische Tabellenparametrisierung aus Schneider u. a. (2023), Gl. 7 und Tab. 5, mit 30,4, 26,4, Achsenverschiebung 0,15 und Begrenzung 62. Die gemischte EE-/PE-Beschriftung der Quellentabelle ist im Notebook dokumentiert; der Referenzansatz ist eine historische Referenz, keine normative Neufestlegung.</w:t>
      </w:r>
    </w:p>
    <w:p w14:paraId="38903333" w14:textId="77777777" w:rsidR="004E4CC2" w:rsidRDefault="00000000">
      <w:pPr>
        <w:pStyle w:val="Textkrper"/>
      </w:pPr>
      <w:r>
        <w:t xml:space="preserve">Der Erwartungswert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rPr>
          <m:t>]</m:t>
        </m:r>
      </m:oMath>
      <w:r>
        <w:t xml:space="preserve"> ist der BGF-gewichtete Mittelwert des Dichtewerts über die GFZ-Verteilung von Typ </w:t>
      </w:r>
      <m:oMath>
        <m:r>
          <w:rPr>
            <w:rFonts w:ascii="Cambria Math" w:hAnsi="Cambria Math"/>
          </w:rPr>
          <m:t>k</m:t>
        </m:r>
      </m:oMath>
      <w:r>
        <w:t xml:space="preserve">. Der Index </w:t>
      </w:r>
      <m:oMath>
        <m:r>
          <w:rPr>
            <w:rFonts w:ascii="Cambria Math" w:hAnsi="Cambria Math"/>
          </w:rPr>
          <m:t>j</m:t>
        </m:r>
      </m:oMath>
      <w:r>
        <w:t xml:space="preserve"> bezeichnet einen GFZ-Bin, </w:t>
      </w:r>
      <m:oMath>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oMath>
      <w:r>
        <w:t xml:space="preserve"> dessen Flächenanteil und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seine GFZ. Der nationale virtuelle Beitrag lautet </w:t>
      </w:r>
      <m:oMath>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BGF</m:t>
                </m:r>
                <m:r>
                  <m:rPr>
                    <m:sty m:val="p"/>
                  </m:rPr>
                  <w:rPr>
                    <w:rFonts w:ascii="Cambria Math" w:hAnsi="Cambria Math"/>
                  </w:rPr>
                  <m:t>,</m:t>
                </m:r>
                <m:r>
                  <w:rPr>
                    <w:rFonts w:ascii="Cambria Math" w:hAnsi="Cambria Math"/>
                  </w:rPr>
                  <m:t>k</m:t>
                </m:r>
              </m:sub>
            </m:sSub>
          </m:e>
        </m:nary>
        <m:sSub>
          <m:sSubPr>
            <m:ctrlPr>
              <w:rPr>
                <w:rFonts w:ascii="Cambria Math" w:hAnsi="Cambria Math"/>
              </w:rPr>
            </m:ctrlPr>
          </m:sSubPr>
          <m:e>
            <m:r>
              <m:rPr>
                <m:scr m:val="double-struck"/>
                <m:sty m:val="p"/>
              </m:rP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rPr>
          <m:t>]</m:t>
        </m:r>
      </m:oMath>
      <w:r>
        <w:t>. Positive Werte entlasten die Bewertungsbilanz, negative erhöhen die Anforderung.</w:t>
      </w:r>
    </w:p>
    <w:p w14:paraId="0F08F5A2" w14:textId="77777777" w:rsidR="004E4CC2" w:rsidRDefault="00000000">
      <w:pPr>
        <w:pStyle w:val="Textkrper"/>
      </w:pPr>
      <w:r>
        <w:t xml:space="preserve">Die virtuellen Erwartungswerte reichen hier von rund </w:t>
      </w:r>
      <w:r>
        <w:rPr>
          <w:b/>
          <w:bCs/>
        </w:rPr>
        <w:t>−41,63 kWh EE/(m² BGF·a)</w:t>
      </w:r>
      <w:r>
        <w:t xml:space="preserve"> für EFH_1G bis </w:t>
      </w:r>
      <w:r>
        <w:rPr>
          <w:b/>
          <w:bCs/>
        </w:rPr>
        <w:t>+16,44 kWh EE/(m² BGF·a)</w:t>
      </w:r>
      <w:r>
        <w:t xml:space="preserve"> für GWB_7G. Sie zeigen die Verteilung zusätzlicher Anforderungen und Gutschriften. Sie werden nicht als reale Stromerzeugung oder als pauschal zustehende Gutschrift aller Typen bilanziert.</w:t>
      </w:r>
    </w:p>
    <w:p w14:paraId="65C413FA" w14:textId="77777777" w:rsidR="004E4CC2" w:rsidRDefault="00000000">
      <w:pPr>
        <w:pStyle w:val="Textkrper"/>
      </w:pPr>
      <w:r>
        <w:t>Die Auswahl enthält alle 900 Typen, gegliedert nach Geometrie; der Achsenregler zeigt einen lesbaren Ausschnitt. Der Tooltip nennt Archetyp und nationale Fläche. Bedarf wird negativ, PV positiv und die virtuelle Dichtekorrektur schraffiert gezeigt. MFH_2G besitzt keine zugeordnete GFZ-Verteilung und keine nationale Fläche; sein Kontextwert bleibt leer.</w:t>
      </w:r>
    </w:p>
    <w:p w14:paraId="2E3F4CA4" w14:textId="77777777" w:rsidR="004E4CC2" w:rsidRDefault="00000000">
      <w:pPr>
        <w:pStyle w:val="berschrift2"/>
      </w:pPr>
      <w:bookmarkStart w:id="90" w:name="X831e7baf6315b63bcf80577c668844c11c47966"/>
      <w:bookmarkStart w:id="91" w:name="_Toc243681254"/>
      <w:bookmarkEnd w:id="87"/>
      <w:r>
        <w:t>6.7 Gemeinsame Typologie-Dichte-Matrix und sektoraler Abgleich</w:t>
      </w:r>
      <w:bookmarkEnd w:id="91"/>
    </w:p>
    <w:p w14:paraId="4D6BFBDB" w14:textId="77777777" w:rsidR="004E4CC2" w:rsidRDefault="00000000">
      <w:pPr>
        <w:pStyle w:val="FirstParagraph"/>
      </w:pPr>
      <w:r>
        <w:t xml:space="preserve">Für Typologie </w:t>
      </w:r>
      <m:oMath>
        <m:r>
          <w:rPr>
            <w:rFonts w:ascii="Cambria Math" w:hAnsi="Cambria Math"/>
          </w:rPr>
          <m:t>k</m:t>
        </m:r>
      </m:oMath>
      <w:r>
        <w:t xml:space="preserve"> und GFZ-Bin </w:t>
      </w:r>
      <m:oMath>
        <m:r>
          <w:rPr>
            <w:rFonts w:ascii="Cambria Math" w:hAnsi="Cambria Math"/>
          </w:rPr>
          <m:t>j</m:t>
        </m:r>
      </m:oMath>
      <w:r>
        <w:t xml:space="preserve"> gilt:</w:t>
      </w:r>
    </w:p>
    <w:bookmarkStart w:id="92" w:name="eq-typologie-gfz-flaeche"/>
    <w:p w14:paraId="42A9D6F3" w14:textId="77777777" w:rsidR="004E4CC2" w:rsidRDefault="00000000">
      <w:pPr>
        <w:pStyle w:val="Textkrper"/>
      </w:pPr>
      <m:oMathPara>
        <m:oMathParaPr>
          <m:jc m:val="center"/>
        </m:oMathParaPr>
        <m:oMath>
          <m:sSubSup>
            <m:sSubSupPr>
              <m:ctrlPr>
                <w:rPr>
                  <w:rFonts w:ascii="Cambria Math" w:hAnsi="Cambria Math"/>
                </w:rPr>
              </m:ctrlPr>
            </m:sSubSup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up>
              <m:r>
                <w:rPr>
                  <w:rFonts w:ascii="Cambria Math" w:hAnsi="Cambria Math"/>
                </w:rPr>
                <m:t>2040</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2040</m:t>
              </m:r>
            </m:sup>
          </m:sSubSup>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6.1</m:t>
          </m:r>
          <m:r>
            <m:rPr>
              <m:sty m:val="p"/>
            </m:rPr>
            <w:rPr>
              <w:rFonts w:ascii="Cambria Math" w:hAnsi="Cambria Math"/>
            </w:rPr>
            <m:t>)</m:t>
          </m:r>
        </m:oMath>
      </m:oMathPara>
      <w:bookmarkEnd w:id="92"/>
    </w:p>
    <w:p w14:paraId="08A812AE" w14:textId="77777777" w:rsidR="004E4CC2" w:rsidRDefault="00000000">
      <w:pPr>
        <w:pStyle w:val="FirstParagraph"/>
      </w:pPr>
      <w:r>
        <w:t xml:space="preserve">Die erzeugte Typologie-Dichte-Matrix erhält die Fläche jedes positiv gewichteten Typs. Sie steht im Modellordner unter </w:t>
      </w:r>
      <w:r>
        <w:rPr>
          <w:rStyle w:val="VerbatimChar"/>
        </w:rPr>
        <w:t>outputs/typologie_gfz_2040.csv.gz</w:t>
      </w:r>
      <w:r>
        <w:t xml:space="preserve"> zur Verfügung. Die </w:t>
      </w:r>
      <w:r>
        <w:lastRenderedPageBreak/>
        <w:t>Referenzverteilung von 2021 wird dafür als räumliches Verteilungsmuster verwendet, nicht als zusätzliche Flächensumme.</w:t>
      </w:r>
    </w:p>
    <w:tbl>
      <w:tblPr>
        <w:tblStyle w:val="Table"/>
        <w:tblW w:w="5000" w:type="pct"/>
        <w:tblLayout w:type="fixed"/>
        <w:tblLook w:val="0000" w:firstRow="0" w:lastRow="0" w:firstColumn="0" w:lastColumn="0" w:noHBand="0" w:noVBand="0"/>
      </w:tblPr>
      <w:tblGrid>
        <w:gridCol w:w="9622"/>
      </w:tblGrid>
      <w:tr w:rsidR="004E4CC2" w14:paraId="07C98E95" w14:textId="77777777">
        <w:tc>
          <w:tcPr>
            <w:tcW w:w="7920" w:type="dxa"/>
          </w:tcPr>
          <w:p w14:paraId="32E14DFE" w14:textId="77777777" w:rsidR="004E4CC2" w:rsidRDefault="00000000">
            <w:pPr>
              <w:pStyle w:val="ImageCaption"/>
              <w:spacing w:before="200"/>
            </w:pPr>
            <w:bookmarkStart w:id="93" w:name="tbl-gebaeude-abgleich"/>
            <w:r>
              <w:t>Tabelle 6.6: Vergleich bei gleichen elektrischen Bilanzgrenzen; Top-down-Zuordnungen gemäß dokumentiertem Referenzfall.</w:t>
            </w:r>
          </w:p>
          <w:tbl>
            <w:tblPr>
              <w:tblStyle w:val="Table"/>
              <w:tblW w:w="0" w:type="auto"/>
              <w:tblLook w:val="0020" w:firstRow="1" w:lastRow="0" w:firstColumn="0" w:lastColumn="0" w:noHBand="0" w:noVBand="0"/>
            </w:tblPr>
            <w:tblGrid>
              <w:gridCol w:w="1980"/>
              <w:gridCol w:w="1980"/>
              <w:gridCol w:w="1980"/>
              <w:gridCol w:w="1980"/>
            </w:tblGrid>
            <w:tr w:rsidR="004E4CC2" w14:paraId="48737F4F"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879C645" w14:textId="77777777" w:rsidR="004E4CC2" w:rsidRDefault="00000000">
                  <w:pPr>
                    <w:pStyle w:val="Compact"/>
                    <w:jc w:val="center"/>
                  </w:pPr>
                  <w:r>
                    <w:t>Größe</w:t>
                  </w:r>
                </w:p>
              </w:tc>
              <w:tc>
                <w:tcPr>
                  <w:tcW w:w="1980" w:type="dxa"/>
                </w:tcPr>
                <w:p w14:paraId="42B7F2FF" w14:textId="77777777" w:rsidR="004E4CC2" w:rsidRDefault="00000000">
                  <w:pPr>
                    <w:pStyle w:val="Compact"/>
                    <w:jc w:val="center"/>
                  </w:pPr>
                  <w:r>
                    <w:t>Bottom-up [PJ/a]</w:t>
                  </w:r>
                </w:p>
              </w:tc>
              <w:tc>
                <w:tcPr>
                  <w:tcW w:w="1980" w:type="dxa"/>
                </w:tcPr>
                <w:p w14:paraId="25F207BD" w14:textId="77777777" w:rsidR="004E4CC2" w:rsidRDefault="00000000">
                  <w:pPr>
                    <w:pStyle w:val="Compact"/>
                    <w:jc w:val="center"/>
                  </w:pPr>
                  <w:r>
                    <w:t>Top-down [PJ/a]</w:t>
                  </w:r>
                </w:p>
              </w:tc>
              <w:tc>
                <w:tcPr>
                  <w:tcW w:w="1980" w:type="dxa"/>
                </w:tcPr>
                <w:p w14:paraId="511FB51A" w14:textId="77777777" w:rsidR="004E4CC2" w:rsidRDefault="00000000">
                  <w:pPr>
                    <w:pStyle w:val="Compact"/>
                    <w:jc w:val="center"/>
                  </w:pPr>
                  <w:r>
                    <w:t>Differenz [PJ/a]</w:t>
                  </w:r>
                </w:p>
              </w:tc>
            </w:tr>
            <w:tr w:rsidR="004E4CC2" w14:paraId="4FEBEEF4" w14:textId="77777777">
              <w:tc>
                <w:tcPr>
                  <w:tcW w:w="1980" w:type="dxa"/>
                </w:tcPr>
                <w:p w14:paraId="11E7E3E0" w14:textId="77777777" w:rsidR="004E4CC2" w:rsidRDefault="00000000">
                  <w:pPr>
                    <w:pStyle w:val="Compact"/>
                    <w:jc w:val="center"/>
                  </w:pPr>
                  <w:r>
                    <w:t>PV-Erzeugung</w:t>
                  </w:r>
                </w:p>
              </w:tc>
              <w:tc>
                <w:tcPr>
                  <w:tcW w:w="1980" w:type="dxa"/>
                </w:tcPr>
                <w:p w14:paraId="081DCA9E" w14:textId="77777777" w:rsidR="004E4CC2" w:rsidRDefault="00000000">
                  <w:pPr>
                    <w:pStyle w:val="Compact"/>
                    <w:jc w:val="center"/>
                  </w:pPr>
                  <w:r>
                    <w:t>78,245</w:t>
                  </w:r>
                </w:p>
              </w:tc>
              <w:tc>
                <w:tcPr>
                  <w:tcW w:w="1980" w:type="dxa"/>
                </w:tcPr>
                <w:p w14:paraId="79F2B263" w14:textId="77777777" w:rsidR="004E4CC2" w:rsidRDefault="00000000">
                  <w:pPr>
                    <w:pStyle w:val="Compact"/>
                    <w:jc w:val="center"/>
                  </w:pPr>
                  <w:r>
                    <w:t>149,000</w:t>
                  </w:r>
                </w:p>
              </w:tc>
              <w:tc>
                <w:tcPr>
                  <w:tcW w:w="1980" w:type="dxa"/>
                </w:tcPr>
                <w:p w14:paraId="6EB2797F" w14:textId="77777777" w:rsidR="004E4CC2" w:rsidRDefault="00000000">
                  <w:pPr>
                    <w:pStyle w:val="Compact"/>
                    <w:jc w:val="center"/>
                  </w:pPr>
                  <w:r>
                    <w:t>-70,755</w:t>
                  </w:r>
                </w:p>
              </w:tc>
            </w:tr>
            <w:tr w:rsidR="004E4CC2" w14:paraId="2AF20BE2" w14:textId="77777777">
              <w:tc>
                <w:tcPr>
                  <w:tcW w:w="1980" w:type="dxa"/>
                </w:tcPr>
                <w:p w14:paraId="293ADD2F" w14:textId="77777777" w:rsidR="004E4CC2" w:rsidRDefault="00000000">
                  <w:pPr>
                    <w:pStyle w:val="Compact"/>
                    <w:jc w:val="center"/>
                  </w:pPr>
                  <w:r>
                    <w:t>Gebäudestrombedarf</w:t>
                  </w:r>
                </w:p>
              </w:tc>
              <w:tc>
                <w:tcPr>
                  <w:tcW w:w="1980" w:type="dxa"/>
                </w:tcPr>
                <w:p w14:paraId="5244260C" w14:textId="77777777" w:rsidR="004E4CC2" w:rsidRDefault="00000000">
                  <w:pPr>
                    <w:pStyle w:val="Compact"/>
                    <w:jc w:val="center"/>
                  </w:pPr>
                  <w:r>
                    <w:t>137,493</w:t>
                  </w:r>
                </w:p>
              </w:tc>
              <w:tc>
                <w:tcPr>
                  <w:tcW w:w="1980" w:type="dxa"/>
                </w:tcPr>
                <w:p w14:paraId="1B746943" w14:textId="77777777" w:rsidR="004E4CC2" w:rsidRDefault="00000000">
                  <w:pPr>
                    <w:pStyle w:val="Compact"/>
                    <w:jc w:val="center"/>
                  </w:pPr>
                  <w:r>
                    <w:t>108,000</w:t>
                  </w:r>
                </w:p>
              </w:tc>
              <w:tc>
                <w:tcPr>
                  <w:tcW w:w="1980" w:type="dxa"/>
                </w:tcPr>
                <w:p w14:paraId="5BF6ED14" w14:textId="77777777" w:rsidR="004E4CC2" w:rsidRDefault="00000000">
                  <w:pPr>
                    <w:pStyle w:val="Compact"/>
                    <w:jc w:val="center"/>
                  </w:pPr>
                  <w:r>
                    <w:t>29,493</w:t>
                  </w:r>
                </w:p>
              </w:tc>
            </w:tr>
            <w:tr w:rsidR="004E4CC2" w14:paraId="7FE8D3E3" w14:textId="77777777">
              <w:tc>
                <w:tcPr>
                  <w:tcW w:w="1980" w:type="dxa"/>
                </w:tcPr>
                <w:p w14:paraId="22BE9AFF" w14:textId="77777777" w:rsidR="004E4CC2" w:rsidRDefault="00000000">
                  <w:pPr>
                    <w:pStyle w:val="Compact"/>
                    <w:jc w:val="center"/>
                  </w:pPr>
                  <w:r>
                    <w:t>Betrieblicher Stromsaldo</w:t>
                  </w:r>
                </w:p>
              </w:tc>
              <w:tc>
                <w:tcPr>
                  <w:tcW w:w="1980" w:type="dxa"/>
                </w:tcPr>
                <w:p w14:paraId="054CDD77" w14:textId="77777777" w:rsidR="004E4CC2" w:rsidRDefault="00000000">
                  <w:pPr>
                    <w:pStyle w:val="Compact"/>
                    <w:jc w:val="center"/>
                  </w:pPr>
                  <w:r>
                    <w:t>-59,248</w:t>
                  </w:r>
                </w:p>
              </w:tc>
              <w:tc>
                <w:tcPr>
                  <w:tcW w:w="1980" w:type="dxa"/>
                </w:tcPr>
                <w:p w14:paraId="70D8D3E0" w14:textId="77777777" w:rsidR="004E4CC2" w:rsidRDefault="00000000">
                  <w:pPr>
                    <w:pStyle w:val="Compact"/>
                    <w:jc w:val="center"/>
                  </w:pPr>
                  <w:r>
                    <w:t>41,000</w:t>
                  </w:r>
                </w:p>
              </w:tc>
              <w:tc>
                <w:tcPr>
                  <w:tcW w:w="1980" w:type="dxa"/>
                </w:tcPr>
                <w:p w14:paraId="49453AAD" w14:textId="77777777" w:rsidR="004E4CC2" w:rsidRDefault="00000000">
                  <w:pPr>
                    <w:pStyle w:val="Compact"/>
                    <w:jc w:val="center"/>
                  </w:pPr>
                  <w:r>
                    <w:t>-100,248</w:t>
                  </w:r>
                </w:p>
              </w:tc>
            </w:tr>
            <w:tr w:rsidR="004E4CC2" w14:paraId="2BB5B656" w14:textId="77777777">
              <w:tc>
                <w:tcPr>
                  <w:tcW w:w="1980" w:type="dxa"/>
                </w:tcPr>
                <w:p w14:paraId="2215B1E3" w14:textId="77777777" w:rsidR="004E4CC2" w:rsidRDefault="00000000">
                  <w:pPr>
                    <w:pStyle w:val="Compact"/>
                    <w:jc w:val="center"/>
                  </w:pPr>
                  <w:r>
                    <w:t>Saldo einschließlich MIV</w:t>
                  </w:r>
                </w:p>
              </w:tc>
              <w:tc>
                <w:tcPr>
                  <w:tcW w:w="1980" w:type="dxa"/>
                </w:tcPr>
                <w:p w14:paraId="35562636" w14:textId="77777777" w:rsidR="004E4CC2" w:rsidRDefault="00000000">
                  <w:pPr>
                    <w:pStyle w:val="Compact"/>
                    <w:jc w:val="center"/>
                  </w:pPr>
                  <w:r>
                    <w:t>-107,248</w:t>
                  </w:r>
                </w:p>
              </w:tc>
              <w:tc>
                <w:tcPr>
                  <w:tcW w:w="1980" w:type="dxa"/>
                </w:tcPr>
                <w:p w14:paraId="4504A9CD" w14:textId="77777777" w:rsidR="004E4CC2" w:rsidRDefault="00000000">
                  <w:pPr>
                    <w:pStyle w:val="Compact"/>
                    <w:jc w:val="center"/>
                  </w:pPr>
                  <w:r>
                    <w:t>-7,000</w:t>
                  </w:r>
                </w:p>
              </w:tc>
              <w:tc>
                <w:tcPr>
                  <w:tcW w:w="1980" w:type="dxa"/>
                </w:tcPr>
                <w:p w14:paraId="5EF3028D" w14:textId="77777777" w:rsidR="004E4CC2" w:rsidRDefault="00000000">
                  <w:pPr>
                    <w:pStyle w:val="Compact"/>
                    <w:jc w:val="center"/>
                  </w:pPr>
                  <w:r>
                    <w:t>-100,248</w:t>
                  </w:r>
                </w:p>
              </w:tc>
            </w:tr>
            <w:bookmarkEnd w:id="93"/>
          </w:tbl>
          <w:p w14:paraId="7520D648" w14:textId="77777777" w:rsidR="004E4CC2" w:rsidRDefault="004E4CC2"/>
        </w:tc>
      </w:tr>
    </w:tbl>
    <w:p w14:paraId="5A6F9882" w14:textId="77777777" w:rsidR="004E4CC2" w:rsidRDefault="00000000">
      <w:pPr>
        <w:pStyle w:val="Textkrper"/>
      </w:pPr>
      <w:r>
        <w:t xml:space="preserve">Die dritte Vergleichsgruppe addiert die historische Dichtefunktion rechnerisch über </w:t>
      </w:r>
      <w:r>
        <w:rPr>
          <w:b/>
          <w:bCs/>
        </w:rPr>
        <w:t>alle positiv gewichteten Typen</w:t>
      </w:r>
      <w:r>
        <w:t>. Das ergibt einen virtuellen Beitrag von −57,81 PJ-Äquivalent/a: Der betriebliche Bewertungssaldo beträgt damit −117,06 PJ-Äquivalent/a und einschließlich derselben MIV-Zuordnung −165,06 PJ-Äquivalent/a. Die physischen Energieflüsse bleiben unverändert. Diese vollständige Anwendung ist ein transparenter Vergleichsfall; sie ersetzt keine Festlegung der PEQ-berechtigten Flächenanteile.</w:t>
      </w:r>
    </w:p>
    <w:p w14:paraId="063A9DC7" w14:textId="77777777" w:rsidR="004E4CC2" w:rsidRDefault="00000000">
      <w:pPr>
        <w:pStyle w:val="Textkrper"/>
      </w:pPr>
      <w:r>
        <w:t xml:space="preserve">Der Abstand zum Top-down-Saldo beträgt </w:t>
      </w:r>
      <w:r>
        <w:rPr>
          <w:b/>
          <w:bCs/>
        </w:rPr>
        <w:t>−100,25 PJ/a</w:t>
      </w:r>
      <w:r>
        <w:t>. Er ergibt sich aus geringerer PV-Erzeugung und höherem Gebäudestrombedarf des gelieferten Pools. Werden auf beiden Seiten dieselben 24 PJ/a MIV-Budget und 72 PJ/a MIV-Bedarf angesetzt, bleibt diese Differenz unverändert. Sie ist ein Szenariounterschied und wird nicht durch nachträgliche Flächenskalierung oder eine neue Gutschrift geschlossen.</w:t>
      </w:r>
    </w:p>
    <w:p w14:paraId="11C39A03" w14:textId="77777777" w:rsidR="004E4CC2" w:rsidRDefault="00000000">
      <w:pPr>
        <w:pStyle w:val="Textkrper"/>
      </w:pPr>
      <w:r>
        <w:t xml:space="preserve">Für die Kalibrierung in </w:t>
      </w:r>
      <w:hyperlink w:anchor="sec-kalibrierung">
        <w:r>
          <w:rPr>
            <w:rStyle w:val="Hyperlink"/>
          </w:rPr>
          <w:t>Kapitel 7</w:t>
        </w:r>
      </w:hyperlink>
      <w:r>
        <w:t xml:space="preserve"> fehlen die definierten PEQ-Flächenanteile, die abgestimmte Versorgung der übrigen Typen sowie alternative PV-/Flexibilitätsvarianten. Die gelieferte Typologiematrix und ihre Ergebnisse bilden die Grundlage für diese Entscheidungen. Die THG-Allokation erhält dadurch nicht automatisch eine neue Flächenbasis.</w:t>
      </w:r>
    </w:p>
    <w:p w14:paraId="17F819D8" w14:textId="77777777" w:rsidR="004E4CC2" w:rsidRDefault="00000000">
      <w:pPr>
        <w:pStyle w:val="berschrift1"/>
      </w:pPr>
      <w:bookmarkStart w:id="94" w:name="sec-kalibrierung"/>
      <w:bookmarkStart w:id="95" w:name="_Toc243681255"/>
      <w:bookmarkEnd w:id="67"/>
      <w:bookmarkEnd w:id="90"/>
      <w:r>
        <w:t>7. Kalibrierung der PEQ-Energieanforderungen</w:t>
      </w:r>
      <w:bookmarkEnd w:id="95"/>
    </w:p>
    <w:p w14:paraId="24042227" w14:textId="77777777" w:rsidR="004E4CC2" w:rsidRDefault="00000000">
      <w:pPr>
        <w:pStyle w:val="FirstParagraph"/>
      </w:pPr>
      <w:r>
        <w:t>Nationale Zielbilanz, neue Gebäudetypologien und dichteabhängige Anforderungen in Übereinstimmung bringen</w:t>
      </w:r>
    </w:p>
    <w:p w14:paraId="4D9EEBDD" w14:textId="77777777" w:rsidR="004E4CC2" w:rsidRDefault="00000000">
      <w:pPr>
        <w:pStyle w:val="Textkrper"/>
      </w:pPr>
      <w:r>
        <w:t>Die sektorale Allokation legt den nationalen Referenzsaldo für den Gebäudesektor fest (</w:t>
      </w:r>
      <w:hyperlink w:anchor="sec-allokation">
        <w:r>
          <w:rPr>
            <w:rStyle w:val="Hyperlink"/>
          </w:rPr>
          <w:t>Kapitel 5</w:t>
        </w:r>
      </w:hyperlink>
      <w:r>
        <w:t xml:space="preserve">). Die Gebäude- und Dichteverteilung definiert, </w:t>
      </w:r>
      <w:r>
        <w:rPr>
          <w:b/>
          <w:bCs/>
        </w:rPr>
        <w:t>welche Flächen</w:t>
      </w:r>
      <w:r>
        <w:t xml:space="preserve"> zur Erfüllung dieses Ziels beitragen (</w:t>
      </w:r>
      <w:hyperlink w:anchor="sec-gebaeudebestand">
        <w:r>
          <w:rPr>
            <w:rStyle w:val="Hyperlink"/>
          </w:rPr>
          <w:t>Kapitel 6</w:t>
        </w:r>
      </w:hyperlink>
      <w:r>
        <w:t xml:space="preserve">). Gegenstand dieses Kapitels ist die Kalibrierung der </w:t>
      </w:r>
      <w:r>
        <w:rPr>
          <w:b/>
          <w:bCs/>
        </w:rPr>
        <w:t>typologie- und dichteabhängigen PEQ-Anforderungen</w:t>
      </w:r>
      <w:r>
        <w:t>. Das Ziel ist keine beliebige positive Bilanz jedes einzelnen Gebäudes: Die Summe der konsistent umgerechneten, flächengewichteten Beiträge muss mit dem national zugewiesenen Ziel vereinbar sein.</w:t>
      </w:r>
    </w:p>
    <w:p w14:paraId="64CB51E1" w14:textId="77777777" w:rsidR="004E4CC2" w:rsidRDefault="00000000">
      <w:pPr>
        <w:pStyle w:val="Textkrper"/>
      </w:pPr>
      <w:r>
        <w:lastRenderedPageBreak/>
        <w:t xml:space="preserve">Der Dichtefaktor verteilt die Anforderungen zwischen unterschiedlichen baulichen Dichten. Die Sanierungsanpassung wird </w:t>
      </w:r>
      <w:r>
        <w:rPr>
          <w:b/>
          <w:bCs/>
        </w:rPr>
        <w:t>nach energetischer Gebäudetypologie</w:t>
      </w:r>
      <w:r>
        <w:t xml:space="preserve"> festgelegt und im selben Modell abgestimmt. Eine allgemeine, von der Typologie unabhängige Pauschalgutschrift gehört nicht zur neuen Kalibrierung.</w:t>
      </w:r>
    </w:p>
    <w:p w14:paraId="67110159" w14:textId="77777777" w:rsidR="004E4CC2" w:rsidRDefault="00000000">
      <w:pPr>
        <w:pStyle w:val="berschrift2"/>
      </w:pPr>
      <w:bookmarkStart w:id="96" w:name="sec-typologiesalden"/>
      <w:bookmarkStart w:id="97" w:name="_Toc243681256"/>
      <w:r>
        <w:t>7.1 Bilanzfunktionen der Gebäudetypologien</w:t>
      </w:r>
      <w:bookmarkEnd w:id="97"/>
    </w:p>
    <w:p w14:paraId="126DA0A8" w14:textId="77777777" w:rsidR="004E4CC2" w:rsidRDefault="00000000">
      <w:pPr>
        <w:pStyle w:val="FirstParagraph"/>
      </w:pPr>
      <w:r>
        <w:t xml:space="preserve">Für jede neue energetische Typologie </w:t>
      </w:r>
      <m:oMath>
        <m:r>
          <w:rPr>
            <w:rFonts w:ascii="Cambria Math" w:hAnsi="Cambria Math"/>
          </w:rPr>
          <m:t>k</m:t>
        </m:r>
      </m:oMath>
      <w:r>
        <w:t xml:space="preserve"> werden die relevanten jährlichen Bedarfe, Erzeugungsannahmen, Bewertungsgrenzen und Anforderungsparameter aus dem Gebäudeszenario beziehungsweise der Kalibrierung dokumentiert. Dabei ist zwischen zwei Rollen zu unterscheiden: </w:t>
      </w:r>
      <w:r>
        <w:rPr>
          <w:b/>
          <w:bCs/>
        </w:rPr>
        <w:t>Nicht-PEQ-Klassen</w:t>
      </w:r>
      <w:r>
        <w:t xml:space="preserve"> gehen mit ihrem begründeten, szenariotypischen Bilanzbeitrag in die nationale Aggregation ein; für </w:t>
      </w:r>
      <w:r>
        <w:rPr>
          <w:b/>
          <w:bCs/>
        </w:rPr>
        <w:t>PEQ-Klassen</w:t>
      </w:r>
      <w:r>
        <w:t xml:space="preserve"> wird die erforderliche Bilanzqualität als Zielwertfunktion bestimmt. Eine bestimmte PV-Ausstattung oder ein spezifischer Energiebedarf ist nicht automatisch bereits ein allgemein geltender PEQ-Grenzwert.</w:t>
      </w:r>
    </w:p>
    <w:p w14:paraId="12B90109" w14:textId="77777777" w:rsidR="004E4CC2" w:rsidRDefault="00000000">
      <w:pPr>
        <w:pStyle w:val="Textkrper"/>
      </w:pPr>
      <w:r>
        <w:t>Die Typologieparameter werden in einer versionierten Tabelle zusammengeführt. Zu klären ist dabei insbesondere, ob ein typologischer Zielsaldo bereits einen Sanierungsvorteil enthält. In diesem Fall darf derselbe Vorteil nicht ein zweites Mal als zusätzliche Sanierungsgutschrift verbucht werden.</w:t>
      </w:r>
    </w:p>
    <w:tbl>
      <w:tblPr>
        <w:tblStyle w:val="Table"/>
        <w:tblW w:w="5000" w:type="pct"/>
        <w:tblLayout w:type="fixed"/>
        <w:tblLook w:val="0000" w:firstRow="0" w:lastRow="0" w:firstColumn="0" w:lastColumn="0" w:noHBand="0" w:noVBand="0"/>
      </w:tblPr>
      <w:tblGrid>
        <w:gridCol w:w="9622"/>
      </w:tblGrid>
      <w:tr w:rsidR="004E4CC2" w14:paraId="6922A2C7" w14:textId="77777777">
        <w:tc>
          <w:tcPr>
            <w:tcW w:w="7920" w:type="dxa"/>
          </w:tcPr>
          <w:p w14:paraId="5E696BFE" w14:textId="77777777" w:rsidR="004E4CC2" w:rsidRDefault="00000000">
            <w:pPr>
              <w:pStyle w:val="ImageCaption"/>
              <w:spacing w:before="200"/>
            </w:pPr>
            <w:bookmarkStart w:id="98" w:name="tbl-kalibrierparameter"/>
            <w:r>
              <w:t>Tabelle 7.1: Parametrisierung der neuen Energieanforderungen. Typologiespezifische Zielsalden und Kontextgutschriften sind nicht doppelt zu erfassen.</w:t>
            </w:r>
          </w:p>
          <w:tbl>
            <w:tblPr>
              <w:tblStyle w:val="Table"/>
              <w:tblW w:w="5000" w:type="pct"/>
              <w:tblLayout w:type="fixed"/>
              <w:tblLook w:val="0020" w:firstRow="1" w:lastRow="0" w:firstColumn="0" w:lastColumn="0" w:noHBand="0" w:noVBand="0"/>
            </w:tblPr>
            <w:tblGrid>
              <w:gridCol w:w="3136"/>
              <w:gridCol w:w="3135"/>
              <w:gridCol w:w="3135"/>
            </w:tblGrid>
            <w:tr w:rsidR="004E4CC2" w14:paraId="6428B9B3"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0D60D22F" w14:textId="77777777" w:rsidR="004E4CC2" w:rsidRDefault="00000000">
                  <w:pPr>
                    <w:pStyle w:val="Compact"/>
                    <w:jc w:val="center"/>
                  </w:pPr>
                  <w:r>
                    <w:t>Parameter</w:t>
                  </w:r>
                </w:p>
              </w:tc>
              <w:tc>
                <w:tcPr>
                  <w:tcW w:w="2640" w:type="dxa"/>
                </w:tcPr>
                <w:p w14:paraId="566BFF8F" w14:textId="77777777" w:rsidR="004E4CC2" w:rsidRDefault="00000000">
                  <w:pPr>
                    <w:pStyle w:val="Compact"/>
                    <w:jc w:val="center"/>
                  </w:pPr>
                  <w:r>
                    <w:t>Bedeutung</w:t>
                  </w:r>
                </w:p>
              </w:tc>
              <w:tc>
                <w:tcPr>
                  <w:tcW w:w="2640" w:type="dxa"/>
                </w:tcPr>
                <w:p w14:paraId="0837EA6B" w14:textId="77777777" w:rsidR="004E4CC2" w:rsidRDefault="00000000">
                  <w:pPr>
                    <w:pStyle w:val="Compact"/>
                    <w:jc w:val="center"/>
                  </w:pPr>
                  <w:r>
                    <w:t>Status</w:t>
                  </w:r>
                </w:p>
              </w:tc>
            </w:tr>
            <w:tr w:rsidR="004E4CC2" w14:paraId="7ED95B7A" w14:textId="77777777">
              <w:tc>
                <w:tcPr>
                  <w:tcW w:w="2640" w:type="dxa"/>
                </w:tcPr>
                <w:p w14:paraId="0968F607" w14:textId="77777777" w:rsidR="004E4CC2" w:rsidRDefault="00000000">
                  <w:pPr>
                    <w:pStyle w:val="Compact"/>
                    <w:jc w:val="center"/>
                  </w:pPr>
                  <m:oMath>
                    <m:r>
                      <w:rPr>
                        <w:rFonts w:ascii="Cambria Math" w:hAnsi="Cambria Math"/>
                      </w:rPr>
                      <m:t>k</m:t>
                    </m:r>
                  </m:oMath>
                  <w:r>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up>
                        <m:r>
                          <w:rPr>
                            <w:rFonts w:ascii="Cambria Math" w:hAnsi="Cambria Math"/>
                          </w:rPr>
                          <m:t>2040</m:t>
                        </m:r>
                      </m:sup>
                    </m:sSubSup>
                  </m:oMath>
                </w:p>
              </w:tc>
              <w:tc>
                <w:tcPr>
                  <w:tcW w:w="2640" w:type="dxa"/>
                </w:tcPr>
                <w:p w14:paraId="1AB31089" w14:textId="77777777" w:rsidR="004E4CC2" w:rsidRDefault="00000000">
                  <w:pPr>
                    <w:pStyle w:val="Compact"/>
                    <w:jc w:val="center"/>
                  </w:pPr>
                  <w:r>
                    <w:t>Gebäudetyp und Fläche nach GFZ-Klasse</w:t>
                  </w:r>
                </w:p>
              </w:tc>
              <w:tc>
                <w:tcPr>
                  <w:tcW w:w="2640" w:type="dxa"/>
                </w:tcPr>
                <w:p w14:paraId="628E0EC4" w14:textId="77777777" w:rsidR="004E4CC2" w:rsidRDefault="00000000">
                  <w:pPr>
                    <w:pStyle w:val="Compact"/>
                    <w:jc w:val="center"/>
                  </w:pPr>
                  <w:r>
                    <w:t xml:space="preserve">Aus </w:t>
                  </w:r>
                  <w:hyperlink w:anchor="sec-gebaeudebestand">
                    <w:r>
                      <w:rPr>
                        <w:rStyle w:val="Hyperlink"/>
                      </w:rPr>
                      <w:t>Kapitel 6</w:t>
                    </w:r>
                  </w:hyperlink>
                </w:p>
              </w:tc>
            </w:tr>
            <w:tr w:rsidR="004E4CC2" w14:paraId="59B9CACD" w14:textId="77777777">
              <w:tc>
                <w:tcPr>
                  <w:tcW w:w="2640" w:type="dxa"/>
                </w:tcPr>
                <w:p w14:paraId="73975532" w14:textId="77777777" w:rsidR="004E4CC2" w:rsidRDefault="00000000">
                  <w:pPr>
                    <w:pStyle w:val="Compact"/>
                    <w:jc w:val="center"/>
                  </w:pP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p>
              </w:tc>
              <w:tc>
                <w:tcPr>
                  <w:tcW w:w="2640" w:type="dxa"/>
                </w:tcPr>
                <w:p w14:paraId="0FAC655D" w14:textId="77777777" w:rsidR="004E4CC2" w:rsidRDefault="00000000">
                  <w:pPr>
                    <w:pStyle w:val="Compact"/>
                    <w:jc w:val="center"/>
                  </w:pPr>
                  <w:r>
                    <w:t>Typologiebezogener Energiebedarf und lokale Erzeugung</w:t>
                  </w:r>
                </w:p>
              </w:tc>
              <w:tc>
                <w:tcPr>
                  <w:tcW w:w="2640" w:type="dxa"/>
                </w:tcPr>
                <w:p w14:paraId="63B9608C" w14:textId="77777777" w:rsidR="004E4CC2" w:rsidRDefault="00000000">
                  <w:pPr>
                    <w:pStyle w:val="Compact"/>
                    <w:jc w:val="center"/>
                  </w:pPr>
                  <w:r>
                    <w:t xml:space="preserve">Gelieferte PV30/noFlex-Kennwerte in </w:t>
                  </w:r>
                  <w:hyperlink w:anchor="sec-gebaeudesektormodell">
                    <w:r>
                      <w:rPr>
                        <w:rStyle w:val="Hyperlink"/>
                      </w:rPr>
                      <w:t>Anhang H</w:t>
                    </w:r>
                  </w:hyperlink>
                </w:p>
              </w:tc>
            </w:tr>
            <w:tr w:rsidR="004E4CC2" w14:paraId="73DD07AF" w14:textId="77777777">
              <w:tc>
                <w:tcPr>
                  <w:tcW w:w="2640" w:type="dxa"/>
                </w:tcPr>
                <w:p w14:paraId="47A6028C" w14:textId="77777777" w:rsidR="004E4CC2" w:rsidRDefault="00000000">
                  <w:pPr>
                    <w:pStyle w:val="Compact"/>
                    <w:jc w:val="center"/>
                  </w:pPr>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j</m:t>
                        </m:r>
                      </m:sub>
                      <m:sup>
                        <m:r>
                          <m:rPr>
                            <m:sty m:val="p"/>
                          </m:rPr>
                          <w:rPr>
                            <w:rFonts w:ascii="Cambria Math" w:hAnsi="Cambria Math"/>
                          </w:rPr>
                          <m:t>ref</m:t>
                        </m:r>
                      </m:sup>
                    </m:sSubSup>
                  </m:oMath>
                  <w:r>
                    <w:t>​</w:t>
                  </w:r>
                </w:p>
              </w:tc>
              <w:tc>
                <w:tcPr>
                  <w:tcW w:w="2640" w:type="dxa"/>
                </w:tcPr>
                <w:p w14:paraId="46BC9A2A" w14:textId="77777777" w:rsidR="004E4CC2" w:rsidRDefault="00000000">
                  <w:pPr>
                    <w:pStyle w:val="Compact"/>
                    <w:jc w:val="center"/>
                  </w:pPr>
                  <w:r>
                    <w:t>Modellierter Referenzsaldo für Nicht-PEQ-Klassen</w:t>
                  </w:r>
                </w:p>
              </w:tc>
              <w:tc>
                <w:tcPr>
                  <w:tcW w:w="2640" w:type="dxa"/>
                </w:tcPr>
                <w:p w14:paraId="4C7306E9" w14:textId="77777777" w:rsidR="004E4CC2" w:rsidRDefault="00000000">
                  <w:pPr>
                    <w:pStyle w:val="Compact"/>
                    <w:jc w:val="center"/>
                  </w:pPr>
                  <w:r>
                    <w:t>Aus Szenarioannahmen zu bestimmen</w:t>
                  </w:r>
                </w:p>
              </w:tc>
            </w:tr>
            <w:tr w:rsidR="004E4CC2" w14:paraId="0CDAB4C1" w14:textId="77777777">
              <w:tc>
                <w:tcPr>
                  <w:tcW w:w="2640" w:type="dxa"/>
                </w:tcPr>
                <w:p w14:paraId="017CCC20" w14:textId="77777777" w:rsidR="004E4CC2" w:rsidRDefault="00000000">
                  <w:pPr>
                    <w:pStyle w:val="Compact"/>
                    <w:jc w:val="center"/>
                  </w:p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j</m:t>
                        </m:r>
                      </m:sub>
                      <m:sup>
                        <m:r>
                          <m:rPr>
                            <m:sty m:val="p"/>
                          </m:rPr>
                          <w:rPr>
                            <w:rFonts w:ascii="Cambria Math" w:hAnsi="Cambria Math"/>
                          </w:rPr>
                          <m:t>PEQ</m:t>
                        </m:r>
                      </m:sup>
                    </m:sSubSup>
                  </m:oMath>
                  <w:r>
                    <w:t>​</w:t>
                  </w:r>
                </w:p>
              </w:tc>
              <w:tc>
                <w:tcPr>
                  <w:tcW w:w="2640" w:type="dxa"/>
                </w:tcPr>
                <w:p w14:paraId="2BAF8B5E" w14:textId="77777777" w:rsidR="004E4CC2" w:rsidRDefault="00000000">
                  <w:pPr>
                    <w:pStyle w:val="Compact"/>
                    <w:jc w:val="center"/>
                  </w:pPr>
                  <w:r>
                    <w:t>Zu kalibrierender Mindestbeitrag für PEQ-Klassen</w:t>
                  </w:r>
                </w:p>
              </w:tc>
              <w:tc>
                <w:tcPr>
                  <w:tcW w:w="2640" w:type="dxa"/>
                </w:tcPr>
                <w:p w14:paraId="08826148" w14:textId="77777777" w:rsidR="004E4CC2" w:rsidRDefault="00000000">
                  <w:pPr>
                    <w:pStyle w:val="Compact"/>
                    <w:jc w:val="center"/>
                  </w:pPr>
                  <w:r>
                    <w:t>Neu zu kalibrieren</w:t>
                  </w:r>
                </w:p>
              </w:tc>
            </w:tr>
            <w:tr w:rsidR="004E4CC2" w14:paraId="6CED406C" w14:textId="77777777">
              <w:tc>
                <w:tcPr>
                  <w:tcW w:w="2640" w:type="dxa"/>
                </w:tcPr>
                <w:p w14:paraId="3D5504AD" w14:textId="77777777" w:rsidR="004E4CC2" w:rsidRDefault="00000000">
                  <w:pPr>
                    <w:pStyle w:val="Compact"/>
                    <w:jc w:val="center"/>
                  </w:pPr>
                  <m:oMath>
                    <m:sSub>
                      <m:sSubPr>
                        <m:ctrlPr>
                          <w:rPr>
                            <w:rFonts w:ascii="Cambria Math" w:hAnsi="Cambria Math"/>
                          </w:rPr>
                        </m:ctrlPr>
                      </m:sSubPr>
                      <m:e>
                        <m:r>
                          <w:rPr>
                            <w:rFonts w:ascii="Cambria Math" w:hAnsi="Cambria Math"/>
                          </w:rPr>
                          <m:t>c</m:t>
                        </m:r>
                      </m:e>
                      <m:sub>
                        <m:r>
                          <m:rPr>
                            <m:sty m:val="p"/>
                          </m:rPr>
                          <w:rPr>
                            <w:rFonts w:ascii="Cambria Math" w:hAnsi="Cambria Math"/>
                          </w:rPr>
                          <m:t>S,</m:t>
                        </m:r>
                        <m:r>
                          <w:rPr>
                            <w:rFonts w:ascii="Cambria Math" w:hAnsi="Cambria Math"/>
                          </w:rPr>
                          <m:t>k</m:t>
                        </m:r>
                      </m:sub>
                    </m:sSub>
                  </m:oMath>
                  <w:r>
                    <w:t>​</w:t>
                  </w:r>
                </w:p>
              </w:tc>
              <w:tc>
                <w:tcPr>
                  <w:tcW w:w="2640" w:type="dxa"/>
                </w:tcPr>
                <w:p w14:paraId="01A137A8" w14:textId="77777777" w:rsidR="004E4CC2" w:rsidRDefault="00000000">
                  <w:pPr>
                    <w:pStyle w:val="Compact"/>
                    <w:jc w:val="center"/>
                  </w:pPr>
                  <w:r>
                    <w:rPr>
                      <w:b/>
                      <w:bCs/>
                    </w:rPr>
                    <w:t>Typologiespezifische Sanierungsanpassung</w:t>
                  </w:r>
                  <w:r>
                    <w:t xml:space="preserve"> für die jeweils berechtigte PEQ-Klasse</w:t>
                  </w:r>
                </w:p>
              </w:tc>
              <w:tc>
                <w:tcPr>
                  <w:tcW w:w="2640" w:type="dxa"/>
                </w:tcPr>
                <w:p w14:paraId="20E0D8E3" w14:textId="77777777" w:rsidR="004E4CC2" w:rsidRDefault="00000000">
                  <w:pPr>
                    <w:pStyle w:val="Compact"/>
                    <w:jc w:val="center"/>
                  </w:pPr>
                  <w:r>
                    <w:t>Neu zu kalibrieren</w:t>
                  </w:r>
                </w:p>
              </w:tc>
            </w:tr>
            <w:tr w:rsidR="004E4CC2" w14:paraId="2E80CAB4" w14:textId="77777777">
              <w:tc>
                <w:tcPr>
                  <w:tcW w:w="2640" w:type="dxa"/>
                </w:tcPr>
                <w:p w14:paraId="64CD7145" w14:textId="77777777" w:rsidR="004E4CC2" w:rsidRDefault="00000000">
                  <w:pPr>
                    <w:pStyle w:val="Compact"/>
                    <w:jc w:val="center"/>
                  </w:pPr>
                  <m:oMath>
                    <m:sSub>
                      <m:sSubPr>
                        <m:ctrlPr>
                          <w:rPr>
                            <w:rFonts w:ascii="Cambria Math" w:hAnsi="Cambria Math"/>
                          </w:rPr>
                        </m:ctrlPr>
                      </m:sSubPr>
                      <m:e>
                        <m:r>
                          <w:rPr>
                            <w:rFonts w:ascii="Cambria Math" w:hAnsi="Cambria Math"/>
                          </w:rPr>
                          <m:t>c</m:t>
                        </m:r>
                      </m:e>
                      <m:sub>
                        <m:r>
                          <m:rPr>
                            <m:sty m:val="p"/>
                          </m:rPr>
                          <w:rPr>
                            <w:rFonts w:ascii="Cambria Math" w:hAnsi="Cambria Math"/>
                          </w:rPr>
                          <m:t>D</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θ</m:t>
                    </m:r>
                    <m:r>
                      <m:rPr>
                        <m:sty m:val="p"/>
                      </m:rPr>
                      <w:rPr>
                        <w:rFonts w:ascii="Cambria Math" w:hAnsi="Cambria Math"/>
                      </w:rPr>
                      <m:t>)</m:t>
                    </m:r>
                  </m:oMath>
                  <w:r>
                    <w:t>​</w:t>
                  </w:r>
                </w:p>
              </w:tc>
              <w:tc>
                <w:tcPr>
                  <w:tcW w:w="2640" w:type="dxa"/>
                </w:tcPr>
                <w:p w14:paraId="387F5A3B" w14:textId="77777777" w:rsidR="004E4CC2" w:rsidRDefault="00000000">
                  <w:pPr>
                    <w:pStyle w:val="Compact"/>
                    <w:jc w:val="center"/>
                  </w:pPr>
                  <w:r>
                    <w:t>Dichteabhängige Zielwertkorrektur</w:t>
                  </w:r>
                </w:p>
              </w:tc>
              <w:tc>
                <w:tcPr>
                  <w:tcW w:w="2640" w:type="dxa"/>
                </w:tcPr>
                <w:p w14:paraId="08B54E12" w14:textId="77777777" w:rsidR="004E4CC2" w:rsidRDefault="00000000">
                  <w:pPr>
                    <w:pStyle w:val="Compact"/>
                    <w:jc w:val="center"/>
                  </w:pPr>
                  <w:r>
                    <w:t>Neu zu kalibrieren</w:t>
                  </w:r>
                </w:p>
              </w:tc>
            </w:tr>
            <w:tr w:rsidR="004E4CC2" w14:paraId="58B84E49" w14:textId="77777777">
              <w:tc>
                <w:tcPr>
                  <w:tcW w:w="2640" w:type="dxa"/>
                </w:tcPr>
                <w:p w14:paraId="1DED1DC8" w14:textId="77777777" w:rsidR="004E4CC2" w:rsidRDefault="00000000">
                  <w:pPr>
                    <w:pStyle w:val="Compact"/>
                    <w:jc w:val="center"/>
                  </w:pPr>
                  <m:oMath>
                    <m:r>
                      <w:rPr>
                        <w:rFonts w:ascii="Cambria Math" w:hAnsi="Cambria Math"/>
                      </w:rPr>
                      <m:t>θ</m:t>
                    </m:r>
                  </m:oMath>
                  <w:r>
                    <w:t>​</w:t>
                  </w:r>
                </w:p>
              </w:tc>
              <w:tc>
                <w:tcPr>
                  <w:tcW w:w="2640" w:type="dxa"/>
                </w:tcPr>
                <w:p w14:paraId="2C9C3296" w14:textId="77777777" w:rsidR="004E4CC2" w:rsidRDefault="00000000">
                  <w:pPr>
                    <w:pStyle w:val="Compact"/>
                    <w:jc w:val="center"/>
                  </w:pPr>
                  <w:r>
                    <w:t xml:space="preserve">Parameter der Lastenverteilung und gegebenenfalls weitere </w:t>
                  </w:r>
                  <w:r>
                    <w:lastRenderedPageBreak/>
                    <w:t>Nebenbedingungen</w:t>
                  </w:r>
                </w:p>
              </w:tc>
              <w:tc>
                <w:tcPr>
                  <w:tcW w:w="2640" w:type="dxa"/>
                </w:tcPr>
                <w:p w14:paraId="7F4D6F6B" w14:textId="77777777" w:rsidR="004E4CC2" w:rsidRDefault="00000000">
                  <w:pPr>
                    <w:pStyle w:val="Compact"/>
                    <w:jc w:val="center"/>
                  </w:pPr>
                  <w:r>
                    <w:lastRenderedPageBreak/>
                    <w:t>Gemeinsam festzulegen</w:t>
                  </w:r>
                </w:p>
              </w:tc>
            </w:tr>
            <w:bookmarkEnd w:id="98"/>
          </w:tbl>
          <w:p w14:paraId="31A02E72" w14:textId="77777777" w:rsidR="004E4CC2" w:rsidRDefault="004E4CC2"/>
        </w:tc>
      </w:tr>
    </w:tbl>
    <w:p w14:paraId="70CBA48D" w14:textId="77777777" w:rsidR="004E4CC2" w:rsidRDefault="00000000">
      <w:pPr>
        <w:pStyle w:val="berschrift2"/>
      </w:pPr>
      <w:bookmarkStart w:id="99" w:name="sec-kontext-dichte"/>
      <w:bookmarkStart w:id="100" w:name="_Toc243681257"/>
      <w:bookmarkEnd w:id="96"/>
      <w:r>
        <w:lastRenderedPageBreak/>
        <w:t>7.2 Kontextfaktor Dichte: Begründung und physikalisches Prinzip</w:t>
      </w:r>
      <w:bookmarkEnd w:id="100"/>
    </w:p>
    <w:p w14:paraId="4F74A384" w14:textId="77777777" w:rsidR="004E4CC2" w:rsidRDefault="00000000">
      <w:pPr>
        <w:pStyle w:val="FirstParagraph"/>
      </w:pPr>
      <w:r>
        <w:t>Mit zunehmender baulicher Dichte steigt der Energiebedarf näherungsweise mit der genutzten Geschossfläche, während die für lokale erneuerbare Erzeugung verfügbaren Dach-, Fassaden- und Grundstücksflächen vergleichsweise knapp werden. Eine einheitlich geforderte positive physische Jahresbilanz würde daher niedrig verdichtete Projekte häufig begünstigen und hohe städtebauliche Dichten benachteiligen. Die GFZ-basierte Anpassung vermeidet, dass kompakte Siedlungsformen allein wegen ihrer kleineren lokalen Erzeugungsflächen als weniger ambitioniert gelten (Fellner u. a. 2020; Schöfmann u. a. 2020; Schneider u. a. 2023).</w:t>
      </w:r>
    </w:p>
    <w:tbl>
      <w:tblPr>
        <w:tblStyle w:val="Table"/>
        <w:tblW w:w="5000" w:type="pct"/>
        <w:tblLayout w:type="fixed"/>
        <w:tblLook w:val="0000" w:firstRow="0" w:lastRow="0" w:firstColumn="0" w:lastColumn="0" w:noHBand="0" w:noVBand="0"/>
      </w:tblPr>
      <w:tblGrid>
        <w:gridCol w:w="9622"/>
      </w:tblGrid>
      <w:tr w:rsidR="004E4CC2" w14:paraId="21CA0E45" w14:textId="77777777">
        <w:tc>
          <w:tcPr>
            <w:tcW w:w="7920" w:type="dxa"/>
          </w:tcPr>
          <w:p w14:paraId="48B1E72E" w14:textId="77777777" w:rsidR="004E4CC2" w:rsidRDefault="00000000">
            <w:pPr>
              <w:pStyle w:val="Compact"/>
              <w:jc w:val="center"/>
            </w:pPr>
            <w:bookmarkStart w:id="101" w:name="fig-dichte-prinzip"/>
            <w:r>
              <w:rPr>
                <w:noProof/>
              </w:rPr>
              <w:drawing>
                <wp:inline distT="0" distB="0" distL="0" distR="0" wp14:anchorId="2C2BF2FB" wp14:editId="2D155BB4">
                  <wp:extent cx="5067300" cy="2098908"/>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Kapitel/../Abbildungen/dichte_prinzip2.png"/>
                          <pic:cNvPicPr>
                            <a:picLocks noChangeAspect="1" noChangeArrowheads="1"/>
                          </pic:cNvPicPr>
                        </pic:nvPicPr>
                        <pic:blipFill>
                          <a:blip r:embed="rId19"/>
                          <a:stretch>
                            <a:fillRect/>
                          </a:stretch>
                        </pic:blipFill>
                        <pic:spPr bwMode="auto">
                          <a:xfrm>
                            <a:off x="0" y="0"/>
                            <a:ext cx="5067300" cy="2098908"/>
                          </a:xfrm>
                          <a:prstGeom prst="rect">
                            <a:avLst/>
                          </a:prstGeom>
                          <a:noFill/>
                          <a:ln w="9525">
                            <a:noFill/>
                            <a:headEnd/>
                            <a:tailEnd/>
                          </a:ln>
                        </pic:spPr>
                      </pic:pic>
                    </a:graphicData>
                  </a:graphic>
                </wp:inline>
              </w:drawing>
            </w:r>
          </w:p>
          <w:p w14:paraId="6BFE9C96" w14:textId="77777777" w:rsidR="004E4CC2" w:rsidRDefault="00000000">
            <w:pPr>
              <w:pStyle w:val="ImageCaption"/>
              <w:spacing w:before="200"/>
            </w:pPr>
            <w:r>
              <w:t>Abbildung 7.1: Zusammenhang zwischen baulicher Dichte, verfügbarer Erzeugungsfläche und spezifischem Energiepotenzial.</w:t>
            </w:r>
          </w:p>
        </w:tc>
        <w:bookmarkEnd w:id="101"/>
      </w:tr>
    </w:tbl>
    <w:p w14:paraId="5F923692" w14:textId="77777777" w:rsidR="004E4CC2" w:rsidRDefault="00000000">
      <w:pPr>
        <w:pStyle w:val="Textkrper"/>
      </w:pPr>
      <w:r>
        <w:t xml:space="preserve">Sei </w:t>
      </w:r>
      <m:oMath>
        <m:sSub>
          <m:sSubPr>
            <m:ctrlPr>
              <w:rPr>
                <w:rFonts w:ascii="Cambria Math" w:hAnsi="Cambria Math"/>
              </w:rPr>
            </m:ctrlPr>
          </m:sSubPr>
          <m:e>
            <m:r>
              <w:rPr>
                <w:rFonts w:ascii="Cambria Math" w:hAnsi="Cambria Math"/>
              </w:rPr>
              <m:t>A</m:t>
            </m:r>
          </m:e>
          <m:sub>
            <m:r>
              <w:rPr>
                <w:rFonts w:ascii="Cambria Math" w:hAnsi="Cambria Math"/>
              </w:rPr>
              <m:t>G</m:t>
            </m:r>
          </m:sub>
        </m:sSub>
      </m:oMath>
      <w:r>
        <w:t xml:space="preserve"> die Grundstücksfläche, </w:t>
      </w:r>
      <m:oMath>
        <m:sSub>
          <m:sSubPr>
            <m:ctrlPr>
              <w:rPr>
                <w:rFonts w:ascii="Cambria Math" w:hAnsi="Cambria Math"/>
              </w:rPr>
            </m:ctrlPr>
          </m:sSubPr>
          <m:e>
            <m:r>
              <w:rPr>
                <w:rFonts w:ascii="Cambria Math" w:hAnsi="Cambria Math"/>
              </w:rPr>
              <m:t>A</m:t>
            </m:r>
          </m:e>
          <m:sub>
            <m:r>
              <w:rPr>
                <w:rFonts w:ascii="Cambria Math" w:hAnsi="Cambria Math"/>
              </w:rPr>
              <m:t>B</m:t>
            </m:r>
          </m:sub>
        </m:sSub>
      </m:oMath>
      <w:r>
        <w:t xml:space="preserve"> die Bruttogrundfläche und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G</m:t>
            </m:r>
          </m:sub>
        </m:sSub>
      </m:oMath>
      <w:r>
        <w:t xml:space="preserve"> die GFZ. Bei einem Erzeugungspotenzial </w:t>
      </w:r>
      <m:oMath>
        <m:r>
          <w:rPr>
            <w:rFonts w:ascii="Cambria Math" w:hAnsi="Cambria Math"/>
          </w:rPr>
          <m:t>p</m:t>
        </m:r>
      </m:oMath>
      <w:r>
        <w:t xml:space="preserve"> je Grundstücksfläche und einem Bedarf </w:t>
      </w:r>
      <m:oMath>
        <m:r>
          <w:rPr>
            <w:rFonts w:ascii="Cambria Math" w:hAnsi="Cambria Math"/>
          </w:rPr>
          <m:t>e</m:t>
        </m:r>
      </m:oMath>
      <w:r>
        <w:t xml:space="preserve"> je BGF ergibt sich schematisch:</w:t>
      </w:r>
    </w:p>
    <w:p w14:paraId="07446026" w14:textId="77777777" w:rsidR="004E4CC2" w:rsidRDefault="00000000">
      <w:pPr>
        <w:pStyle w:val="Textkrper"/>
      </w:pPr>
      <w:bookmarkStart w:id="102" w:name="eq-dichte-prinzip"/>
      <m:oMathPara>
        <m:oMathParaPr>
          <m:jc m:val="center"/>
        </m:oMathParaPr>
        <m:oMath>
          <m:r>
            <w:rPr>
              <w:rFonts w:ascii="Cambria Math" w:hAnsi="Cambria Math"/>
            </w:rPr>
            <m:t>b</m:t>
          </m:r>
          <m:r>
            <m:rPr>
              <m:sty m:val="p"/>
            </m:rPr>
            <w:rPr>
              <w:rFonts w:ascii="Cambria Math" w:hAnsi="Cambria Math"/>
            </w:rPr>
            <m:t>(</m:t>
          </m:r>
          <m:r>
            <w:rPr>
              <w:rFonts w:ascii="Cambria Math" w:hAnsi="Cambria Math"/>
            </w:rPr>
            <m:t>d</m:t>
          </m:r>
          <m:r>
            <m:rPr>
              <m:sty m:val="p"/>
            </m:rPr>
            <w:rPr>
              <w:rFonts w:ascii="Cambria Math" w:hAnsi="Cambria Math"/>
            </w:rPr>
            <m:t>)=</m:t>
          </m:r>
          <m:f>
            <m:fPr>
              <m:ctrlPr>
                <w:rPr>
                  <w:rFonts w:ascii="Cambria Math" w:hAnsi="Cambria Math"/>
                </w:rPr>
              </m:ctrlPr>
            </m:fPr>
            <m:num>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G</m:t>
                  </m:r>
                </m:sub>
              </m:sSub>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A</m:t>
                  </m:r>
                </m:e>
                <m:sub>
                  <m:r>
                    <w:rPr>
                      <w:rFonts w:ascii="Cambria Math" w:hAnsi="Cambria Math"/>
                    </w:rPr>
                    <m:t>B</m:t>
                  </m:r>
                </m:sub>
              </m:sSub>
            </m:num>
            <m:den>
              <m:sSub>
                <m:sSubPr>
                  <m:ctrlPr>
                    <w:rPr>
                      <w:rFonts w:ascii="Cambria Math" w:hAnsi="Cambria Math"/>
                    </w:rPr>
                  </m:ctrlPr>
                </m:sSubPr>
                <m:e>
                  <m:r>
                    <w:rPr>
                      <w:rFonts w:ascii="Cambria Math" w:hAnsi="Cambria Math"/>
                    </w:rPr>
                    <m:t>A</m:t>
                  </m:r>
                </m:e>
                <m:sub>
                  <m:r>
                    <w:rPr>
                      <w:rFonts w:ascii="Cambria Math" w:hAnsi="Cambria Math"/>
                    </w:rPr>
                    <m:t>B</m:t>
                  </m:r>
                </m:sub>
              </m:sSub>
            </m:den>
          </m:f>
          <m:r>
            <m:rPr>
              <m:sty m:val="p"/>
            </m:rPr>
            <w:rPr>
              <w:rFonts w:ascii="Cambria Math" w:hAnsi="Cambria Math"/>
            </w:rPr>
            <m:t>=</m:t>
          </m:r>
          <m:f>
            <m:fPr>
              <m:ctrlPr>
                <w:rPr>
                  <w:rFonts w:ascii="Cambria Math" w:hAnsi="Cambria Math"/>
                </w:rPr>
              </m:ctrlPr>
            </m:fPr>
            <m:num>
              <m:r>
                <w:rPr>
                  <w:rFonts w:ascii="Cambria Math" w:hAnsi="Cambria Math"/>
                </w:rPr>
                <m:t>p</m:t>
              </m:r>
            </m:num>
            <m:den>
              <m:r>
                <w:rPr>
                  <w:rFonts w:ascii="Cambria Math" w:hAnsi="Cambria Math"/>
                </w:rPr>
                <m:t>d</m:t>
              </m:r>
            </m:den>
          </m:f>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7.1</m:t>
          </m:r>
          <m:r>
            <m:rPr>
              <m:sty m:val="p"/>
            </m:rPr>
            <w:rPr>
              <w:rFonts w:ascii="Cambria Math" w:hAnsi="Cambria Math"/>
            </w:rPr>
            <m:t>)</m:t>
          </m:r>
        </m:oMath>
      </m:oMathPara>
      <w:bookmarkEnd w:id="102"/>
    </w:p>
    <w:p w14:paraId="652954DD" w14:textId="77777777" w:rsidR="004E4CC2" w:rsidRDefault="00000000">
      <w:pPr>
        <w:pStyle w:val="FirstParagraph"/>
      </w:pPr>
      <w:r>
        <w:t>Die Gleichung beschreibt den physikalischen Zusammenhang; die Anforderung folgt aus der nationalen Kalibrierung. Eine Zielwertfunktion kann durch Parameter, eine Verschiebung der Dichteachse und eine Begrenzung der Gutschrift den Zusammenhang in eine Lastenverteilungsregel übersetzen. Die Parameter sind anhand der nationalen Gebäudeverteilung und Zielbilanz festzulegen (Schneider u. a. 2023, Gl. 7–8). Gebäudeform, Verschattung, Dach- und Fassadennutzung bleiben Gegenstand der tatsächlichen Quartiersbilanz.</w:t>
      </w:r>
    </w:p>
    <w:tbl>
      <w:tblPr>
        <w:tblStyle w:val="Table"/>
        <w:tblW w:w="5000" w:type="pct"/>
        <w:tblLayout w:type="fixed"/>
        <w:tblLook w:val="0000" w:firstRow="0" w:lastRow="0" w:firstColumn="0" w:lastColumn="0" w:noHBand="0" w:noVBand="0"/>
      </w:tblPr>
      <w:tblGrid>
        <w:gridCol w:w="9622"/>
      </w:tblGrid>
      <w:tr w:rsidR="004E4CC2" w14:paraId="36750042" w14:textId="77777777">
        <w:tc>
          <w:tcPr>
            <w:tcW w:w="7920" w:type="dxa"/>
          </w:tcPr>
          <w:p w14:paraId="7DA991ED" w14:textId="77777777" w:rsidR="004E4CC2" w:rsidRDefault="00000000">
            <w:pPr>
              <w:pStyle w:val="Compact"/>
              <w:jc w:val="center"/>
            </w:pPr>
            <w:bookmarkStart w:id="103" w:name="fig-dichte-datenpunkte"/>
            <w:r>
              <w:rPr>
                <w:noProof/>
              </w:rPr>
              <w:lastRenderedPageBreak/>
              <w:drawing>
                <wp:inline distT="0" distB="0" distL="0" distR="0" wp14:anchorId="276BDE09" wp14:editId="7031CA58">
                  <wp:extent cx="5334000" cy="2547582"/>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Kapitel/../Abbildungen/dichte_datenpunkte.png"/>
                          <pic:cNvPicPr>
                            <a:picLocks noChangeAspect="1" noChangeArrowheads="1"/>
                          </pic:cNvPicPr>
                        </pic:nvPicPr>
                        <pic:blipFill>
                          <a:blip r:embed="rId20"/>
                          <a:stretch>
                            <a:fillRect/>
                          </a:stretch>
                        </pic:blipFill>
                        <pic:spPr bwMode="auto">
                          <a:xfrm>
                            <a:off x="0" y="0"/>
                            <a:ext cx="5334000" cy="2547582"/>
                          </a:xfrm>
                          <a:prstGeom prst="rect">
                            <a:avLst/>
                          </a:prstGeom>
                          <a:noFill/>
                          <a:ln w="9525">
                            <a:noFill/>
                            <a:headEnd/>
                            <a:tailEnd/>
                          </a:ln>
                        </pic:spPr>
                      </pic:pic>
                    </a:graphicData>
                  </a:graphic>
                </wp:inline>
              </w:drawing>
            </w:r>
          </w:p>
          <w:p w14:paraId="6D5023A9" w14:textId="77777777" w:rsidR="004E4CC2" w:rsidRDefault="00000000">
            <w:pPr>
              <w:pStyle w:val="ImageCaption"/>
              <w:spacing w:before="200"/>
            </w:pPr>
            <w:r>
              <w:t>Abbildung 7.2: Illustration des Zusammenhangs zwischen technischem Energiepotenzial und baulicher Dichte.</w:t>
            </w:r>
          </w:p>
        </w:tc>
        <w:bookmarkEnd w:id="103"/>
      </w:tr>
    </w:tbl>
    <w:p w14:paraId="4197B32D" w14:textId="77777777" w:rsidR="004E4CC2" w:rsidRDefault="00000000">
      <w:pPr>
        <w:pStyle w:val="berschrift2"/>
      </w:pPr>
      <w:bookmarkStart w:id="104" w:name="Xcc599b722e242b84f1a1e3411bc85e7c1f2fd95"/>
      <w:bookmarkStart w:id="105" w:name="_Toc243681258"/>
      <w:bookmarkEnd w:id="99"/>
      <w:r>
        <w:t>7.3 Parametrisierung der Zielwert- und Gutschriftenfunktion</w:t>
      </w:r>
      <w:bookmarkEnd w:id="105"/>
    </w:p>
    <w:p w14:paraId="73C19EF6" w14:textId="77777777" w:rsidR="004E4CC2" w:rsidRDefault="00000000">
      <w:pPr>
        <w:pStyle w:val="FirstParagraph"/>
      </w:pPr>
      <w:r>
        <w:t xml:space="preserve">Bei der Neubestimmung der Funktion ist zwischen dem unveränderten </w:t>
      </w:r>
      <w:r>
        <w:rPr>
          <w:b/>
          <w:bCs/>
        </w:rPr>
        <w:t>physikalisch errechneten Quartierssaldo</w:t>
      </w:r>
      <w:r>
        <w:t xml:space="preserve"> und den </w:t>
      </w:r>
      <w:r>
        <w:rPr>
          <w:b/>
          <w:bCs/>
        </w:rPr>
        <w:t>virtuellen Zielwertkorrekturen</w:t>
      </w:r>
      <w:r>
        <w:t xml:space="preserve"> zu unterscheiden. Für eine PEQ-berechtigte Typologie </w:t>
      </w:r>
      <m:oMath>
        <m:r>
          <w:rPr>
            <w:rFonts w:ascii="Cambria Math" w:hAnsi="Cambria Math"/>
          </w:rPr>
          <m:t>k</m:t>
        </m:r>
      </m:oMath>
      <w:r>
        <w:t xml:space="preserve"> lautet die Bewertungsbedingung schematisch:</w:t>
      </w:r>
    </w:p>
    <w:bookmarkStart w:id="106" w:name="eq-zielwert-typologie"/>
    <w:p w14:paraId="65FC267F"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b</m:t>
              </m:r>
            </m:e>
            <m:sub>
              <m:r>
                <m:rPr>
                  <m:sty m:val="p"/>
                </m:rPr>
                <w:rPr>
                  <w:rFonts w:ascii="Cambria Math" w:hAnsi="Cambria Math"/>
                </w:rPr>
                <m:t>PE,phys</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0</m:t>
              </m:r>
            </m:sub>
            <m:sup>
              <m:r>
                <m:rPr>
                  <m:sty m:val="p"/>
                </m:rPr>
                <w:rPr>
                  <w:rFonts w:ascii="Cambria Math" w:hAnsi="Cambria Math"/>
                </w:rPr>
                <m:t>PE</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D</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S,</m:t>
              </m:r>
              <m:r>
                <w:rPr>
                  <w:rFonts w:ascii="Cambria Math" w:hAnsi="Cambria Math"/>
                </w:rPr>
                <m:t>k</m:t>
              </m:r>
            </m:sub>
          </m:sSub>
          <m:r>
            <m:rPr>
              <m:sty m:val="p"/>
            </m:rPr>
            <w:rPr>
              <w:rFonts w:ascii="Cambria Math" w:hAnsi="Cambria Math"/>
            </w:rPr>
            <m:t>(</m:t>
          </m:r>
          <m:r>
            <w:rPr>
              <w:rFonts w:ascii="Cambria Math" w:hAnsi="Cambria Math"/>
            </w:rPr>
            <m:t>θ</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7.2</m:t>
          </m:r>
          <m:r>
            <m:rPr>
              <m:sty m:val="p"/>
            </m:rPr>
            <w:rPr>
              <w:rFonts w:ascii="Cambria Math" w:hAnsi="Cambria Math"/>
            </w:rPr>
            <m:t>)</m:t>
          </m:r>
        </m:oMath>
      </m:oMathPara>
      <w:bookmarkEnd w:id="106"/>
    </w:p>
    <w:p w14:paraId="155DBBF8" w14:textId="77777777" w:rsidR="004E4CC2" w:rsidRDefault="00000000">
      <w:pPr>
        <w:pStyle w:val="FirstParagraph"/>
      </w:pPr>
      <w:r>
        <w:t>Bei positiv definierter Gutschrift kann man dies äquivalent als Mindestanforderung an die reale, noch nicht kontextkorrigierte Bilanz schreiben:</w:t>
      </w:r>
    </w:p>
    <w:p w14:paraId="4800C6CD"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b</m:t>
              </m:r>
            </m:e>
            <m:sub>
              <m:r>
                <m:rPr>
                  <m:sty m:val="p"/>
                </m:rPr>
                <w:rPr>
                  <w:rFonts w:ascii="Cambria Math" w:hAnsi="Cambria Math"/>
                </w:rPr>
                <m:t>PE,phys</m:t>
              </m:r>
            </m:sub>
          </m:sSub>
          <m:r>
            <m:rPr>
              <m:sty m:val="p"/>
            </m:rPr>
            <w:rPr>
              <w:rFonts w:ascii="Cambria Math" w:hAnsi="Cambria Math"/>
            </w:rPr>
            <m:t>&gt;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0</m:t>
              </m:r>
            </m:sub>
            <m:sup>
              <m:r>
                <m:rPr>
                  <m:sty m:val="p"/>
                </m:rPr>
                <w:rPr>
                  <w:rFonts w:ascii="Cambria Math" w:hAnsi="Cambria Math"/>
                </w:rPr>
                <m:t>PE</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D</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S,</m:t>
              </m:r>
              <m:r>
                <w:rPr>
                  <w:rFonts w:ascii="Cambria Math" w:hAnsi="Cambria Math"/>
                </w:rPr>
                <m:t>k</m:t>
              </m:r>
            </m:sub>
          </m:sSub>
          <m:r>
            <m:rPr>
              <m:sty m:val="p"/>
            </m:rPr>
            <w:rPr>
              <w:rFonts w:ascii="Cambria Math" w:hAnsi="Cambria Math"/>
            </w:rPr>
            <m:t>(</m:t>
          </m:r>
          <m:r>
            <w:rPr>
              <w:rFonts w:ascii="Cambria Math" w:hAnsi="Cambria Math"/>
            </w:rPr>
            <m:t>θ</m:t>
          </m:r>
          <m:r>
            <m:rPr>
              <m:sty m:val="p"/>
            </m:rPr>
            <w:rPr>
              <w:rFonts w:ascii="Cambria Math" w:hAnsi="Cambria Math"/>
            </w:rPr>
            <m:t>).</m:t>
          </m:r>
        </m:oMath>
      </m:oMathPara>
    </w:p>
    <w:p w14:paraId="60D778AB" w14:textId="77777777" w:rsidR="004E4CC2" w:rsidRDefault="00000000">
      <w:pPr>
        <w:pStyle w:val="FirstParagraph"/>
      </w:pPr>
      <w:r>
        <w:t xml:space="preserve">Dabei ist </w:t>
      </w: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0</m:t>
            </m:r>
          </m:sub>
          <m:sup>
            <m:r>
              <m:rPr>
                <m:sty m:val="p"/>
              </m:rPr>
              <w:rPr>
                <w:rFonts w:ascii="Cambria Math" w:hAnsi="Cambria Math"/>
              </w:rPr>
              <m:t>PE</m:t>
            </m:r>
          </m:sup>
        </m:sSubSup>
      </m:oMath>
      <w:r>
        <w:t xml:space="preserve"> das einheitlich definierte Basiskriterium der betroffenen PEQ-Klasse; bei einem Nullmaßstab ist es null. Diese Gleichungen definieren die </w:t>
      </w:r>
      <w:r>
        <w:rPr>
          <w:b/>
          <w:bCs/>
        </w:rPr>
        <w:t>Parameterstruktur</w:t>
      </w:r>
      <w:r>
        <w:t xml:space="preserve"> des Entwurfs. Vor einer Festlegung sind Dichteachsenverschiebung, Begrenzungen, Typologiezuordnung und Nebenbedingungen abzustimmen. Für Nicht-PEQ-Klassen werden stattdessen die prognostizierten Bilanzbeiträge dokumentiert. Mobilität wird nicht als frei wählbarer Kalibrierrest in die Dichtefunktion eingerechnet: Das nationale MIV-Budget entsteht in </w:t>
      </w:r>
      <w:hyperlink w:anchor="sec-allokation">
        <w:r>
          <w:rPr>
            <w:rStyle w:val="Hyperlink"/>
          </w:rPr>
          <w:t>Kapitel 5</w:t>
        </w:r>
      </w:hyperlink>
      <w:r>
        <w:t xml:space="preserve"> und wird in </w:t>
      </w:r>
      <w:hyperlink w:anchor="sec-kontext-mobilitaet">
        <w:r>
          <w:rPr>
            <w:rStyle w:val="Hyperlink"/>
          </w:rPr>
          <w:t>Kapitel 8</w:t>
        </w:r>
      </w:hyperlink>
      <w:r>
        <w:t xml:space="preserve"> verwendet.</w:t>
      </w:r>
    </w:p>
    <w:p w14:paraId="453D1BED" w14:textId="77777777" w:rsidR="004E4CC2" w:rsidRDefault="00000000">
      <w:pPr>
        <w:pStyle w:val="Textkrper"/>
      </w:pPr>
      <w:r>
        <w:t xml:space="preserve">Für die Sanierungsanpassung gilt ausdrücklich: </w:t>
      </w:r>
      <w:r>
        <w:rPr>
          <w:b/>
          <w:bCs/>
        </w:rPr>
        <w:t>kein einheitlicher Faktor für sämtliche sanierten Flächen</w:t>
      </w:r>
      <w:r>
        <w:t xml:space="preserve">. Der Wert </w:t>
      </w:r>
      <m:oMath>
        <m:sSub>
          <m:sSubPr>
            <m:ctrlPr>
              <w:rPr>
                <w:rFonts w:ascii="Cambria Math" w:hAnsi="Cambria Math"/>
              </w:rPr>
            </m:ctrlPr>
          </m:sSubPr>
          <m:e>
            <m:r>
              <w:rPr>
                <w:rFonts w:ascii="Cambria Math" w:hAnsi="Cambria Math"/>
              </w:rPr>
              <m:t>c</m:t>
            </m:r>
          </m:e>
          <m:sub>
            <m:r>
              <m:rPr>
                <m:sty m:val="p"/>
              </m:rPr>
              <w:rPr>
                <w:rFonts w:ascii="Cambria Math" w:hAnsi="Cambria Math"/>
              </w:rPr>
              <m:t>S,</m:t>
            </m:r>
            <m:r>
              <w:rPr>
                <w:rFonts w:ascii="Cambria Math" w:hAnsi="Cambria Math"/>
              </w:rPr>
              <m:t>k</m:t>
            </m:r>
          </m:sub>
        </m:sSub>
      </m:oMath>
      <w:r>
        <w:t xml:space="preserve"> hängt von der zugewiesenen Typologie ab und wird mit deren energetischen Annahmen und nationalem Flächenanteil gemeinsam kalibriert. Ob für bestimmte Klassen der Anpassungswert null ist und wie unterschiedliche Sanierungsintensitäten bewertet werden, ist anhand der neuen Excel-Klassen fachlich zu begründen.</w:t>
      </w:r>
    </w:p>
    <w:p w14:paraId="54652AD6" w14:textId="77777777" w:rsidR="004E4CC2" w:rsidRDefault="00000000">
      <w:pPr>
        <w:pStyle w:val="berschrift2"/>
      </w:pPr>
      <w:bookmarkStart w:id="107" w:name="X8caa9ce30c153ad18f148074214906ecf5aa959"/>
      <w:bookmarkStart w:id="108" w:name="_Toc243681259"/>
      <w:bookmarkEnd w:id="104"/>
      <w:r>
        <w:lastRenderedPageBreak/>
        <w:t>7.4 Nationale Aggregation und Kalibrierbedingung</w:t>
      </w:r>
      <w:bookmarkEnd w:id="108"/>
    </w:p>
    <w:p w14:paraId="4829487B" w14:textId="77777777" w:rsidR="004E4CC2" w:rsidRDefault="00000000">
      <w:pPr>
        <w:pStyle w:val="FirstParagraph"/>
      </w:pPr>
      <w:r>
        <w:t xml:space="preserve">Die Flächenverteilung nach Typologie </w:t>
      </w:r>
      <m:oMath>
        <m:r>
          <w:rPr>
            <w:rFonts w:ascii="Cambria Math" w:hAnsi="Cambria Math"/>
          </w:rPr>
          <m:t>k</m:t>
        </m:r>
      </m:oMath>
      <w:r>
        <w:t xml:space="preserve"> und Dichteklasse </w:t>
      </w:r>
      <m:oMath>
        <m:r>
          <w:rPr>
            <w:rFonts w:ascii="Cambria Math" w:hAnsi="Cambria Math"/>
          </w:rPr>
          <m:t>j</m:t>
        </m:r>
      </m:oMath>
      <w:r>
        <w:t xml:space="preserve"> wird aus </w:t>
      </w:r>
      <w:hyperlink w:anchor="sec-gebaeudebestand">
        <w:r>
          <w:rPr>
            <w:rStyle w:val="Hyperlink"/>
          </w:rPr>
          <w:t>Kapitel 6</w:t>
        </w:r>
      </w:hyperlink>
      <w:r>
        <w:t xml:space="preserve"> übernommen. Ein konsistent auf </w:t>
      </w:r>
      <w:r>
        <w:rPr>
          <w:b/>
          <w:bCs/>
        </w:rPr>
        <w:t>BGF</w:t>
      </w:r>
      <w:r>
        <w:t xml:space="preserve"> bezogener jährlicher nationaler Modellbeitrag lässt sich in den </w:t>
      </w:r>
      <w:r>
        <w:rPr>
          <w:b/>
          <w:bCs/>
        </w:rPr>
        <w:t>fest vorgegebenen Beitrag der Nicht-PEQ-Klassen</w:t>
      </w:r>
      <w:r>
        <w:t xml:space="preserve"> und die </w:t>
      </w:r>
      <w:r>
        <w:rPr>
          <w:b/>
          <w:bCs/>
        </w:rPr>
        <w:t>kalibrierten Beiträge der PEQ-Klassen</w:t>
      </w:r>
      <w:r>
        <w:t xml:space="preserve"> zerlegen:</w:t>
      </w:r>
    </w:p>
    <w:bookmarkStart w:id="109" w:name="eq-sektor-aggregation"/>
    <w:p w14:paraId="72CE705F" w14:textId="77777777" w:rsidR="004E4CC2" w:rsidRDefault="00000000">
      <w:pPr>
        <w:pStyle w:val="Textkrper"/>
      </w:pPr>
      <m:oMathPara>
        <m:oMathParaPr>
          <m:jc m:val="center"/>
        </m:oMathParaPr>
        <m:oMath>
          <m:sSubSup>
            <m:sSubSupPr>
              <m:ctrlPr>
                <w:rPr>
                  <w:rFonts w:ascii="Cambria Math" w:hAnsi="Cambria Math"/>
                </w:rPr>
              </m:ctrlPr>
            </m:sSubSupPr>
            <m:e>
              <m:r>
                <w:rPr>
                  <w:rFonts w:ascii="Cambria Math" w:hAnsi="Cambria Math"/>
                </w:rPr>
                <m:t>B</m:t>
              </m:r>
            </m:e>
            <m:sub>
              <m:r>
                <m:rPr>
                  <m:sty m:val="p"/>
                </m:rPr>
                <w:rPr>
                  <w:rFonts w:ascii="Cambria Math" w:hAnsi="Cambria Math"/>
                </w:rPr>
                <m:t>Sektor</m:t>
              </m:r>
            </m:sub>
            <m:sup>
              <m:r>
                <m:rPr>
                  <m:sty m:val="p"/>
                </m:rPr>
                <w:rPr>
                  <w:rFonts w:ascii="Cambria Math" w:hAnsi="Cambria Math"/>
                </w:rPr>
                <m:t>Modell</m:t>
              </m:r>
            </m:sup>
          </m:sSubSup>
          <m:r>
            <m:rPr>
              <m:sty m:val="p"/>
            </m:rPr>
            <w:rPr>
              <w:rFonts w:ascii="Cambria Math" w:hAnsi="Cambria Math"/>
            </w:rPr>
            <m:t>(</m:t>
          </m:r>
          <m:r>
            <w:rPr>
              <w:rFonts w:ascii="Cambria Math" w:hAnsi="Cambria Math"/>
            </w:rPr>
            <m:t>θ</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∈NichtPEQ</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up>
                      <m:r>
                        <w:rPr>
                          <w:rFonts w:ascii="Cambria Math" w:hAnsi="Cambria Math"/>
                        </w:rPr>
                        <m:t>2040</m:t>
                      </m:r>
                    </m:sup>
                  </m:sSubSup>
                </m:e>
              </m:nary>
            </m:e>
          </m:nary>
          <m:r>
            <w:rPr>
              <w:rFonts w:ascii="Cambria Math" w:hAnsi="Cambria Math"/>
            </w:rPr>
            <m:t> </m:t>
          </m:r>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j</m:t>
              </m:r>
            </m:sub>
            <m:sup>
              <m:r>
                <m:rPr>
                  <m:sty m:val="p"/>
                </m:rPr>
                <w:rPr>
                  <w:rFonts w:ascii="Cambria Math" w:hAnsi="Cambria Math"/>
                </w:rPr>
                <m:t>ref</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∈PEQ</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up>
                      <m:r>
                        <w:rPr>
                          <w:rFonts w:ascii="Cambria Math" w:hAnsi="Cambria Math"/>
                        </w:rPr>
                        <m:t>2040</m:t>
                      </m:r>
                    </m:sup>
                  </m:sSubSup>
                </m:e>
              </m:nary>
            </m:e>
          </m:nary>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j</m:t>
              </m:r>
            </m:sub>
            <m:sup>
              <m:r>
                <m:rPr>
                  <m:sty m:val="p"/>
                </m:rPr>
                <w:rPr>
                  <w:rFonts w:ascii="Cambria Math" w:hAnsi="Cambria Math"/>
                </w:rPr>
                <m:t>PEQ</m:t>
              </m:r>
            </m:sup>
          </m:sSubSup>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7.3</m:t>
          </m:r>
          <m:r>
            <m:rPr>
              <m:sty m:val="p"/>
            </m:rPr>
            <w:rPr>
              <w:rFonts w:ascii="Cambria Math" w:hAnsi="Cambria Math"/>
            </w:rPr>
            <m:t>)</m:t>
          </m:r>
        </m:oMath>
      </m:oMathPara>
      <w:bookmarkEnd w:id="109"/>
    </w:p>
    <w:p w14:paraId="74B9D69B" w14:textId="77777777" w:rsidR="004E4CC2" w:rsidRDefault="00000000">
      <w:pPr>
        <w:pStyle w:val="FirstParagraph"/>
      </w:pPr>
      <w:r>
        <w:t>Die Beiträge werden als jährliche elektrische Energie je BGF aggregiert. Für NGF-bezogene Kennwerte gilt der dokumentierte Flächenfaktor; die PE-Bewertung folgt getrennt in der Quartiersbilanz.</w:t>
      </w:r>
    </w:p>
    <w:p w14:paraId="186B004E" w14:textId="77777777" w:rsidR="004E4CC2" w:rsidRDefault="00000000">
      <w:pPr>
        <w:pStyle w:val="Textkrper"/>
      </w:pPr>
      <w:r>
        <w:t xml:space="preserve">Die Parameter </w:t>
      </w:r>
      <m:oMath>
        <m:r>
          <w:rPr>
            <w:rFonts w:ascii="Cambria Math" w:hAnsi="Cambria Math"/>
          </w:rPr>
          <m:t>θ</m:t>
        </m:r>
      </m:oMath>
      <w:r>
        <w:t xml:space="preserve"> werden so gewählt, dass sich der nationale aggregierte Zielbeitrag und der aus </w:t>
      </w:r>
      <w:hyperlink w:anchor="sec-allokation">
        <w:r>
          <w:rPr>
            <w:rStyle w:val="Hyperlink"/>
          </w:rPr>
          <w:t>Kapitel 5</w:t>
        </w:r>
      </w:hyperlink>
      <w:r>
        <w:t xml:space="preserve"> stammende, in dieselbe Bilanzgröße überführte Referenzsaldo innerhalb einer ausgewiesenen Toleranz entsprechen:</w:t>
      </w:r>
    </w:p>
    <w:bookmarkStart w:id="110" w:name="eq-kalibrierziel"/>
    <w:p w14:paraId="5BF77DE3" w14:textId="77777777" w:rsidR="004E4CC2" w:rsidRDefault="00000000">
      <w:pPr>
        <w:pStyle w:val="Textkrper"/>
      </w:pPr>
      <m:oMathPara>
        <m:oMathParaPr>
          <m:jc m:val="center"/>
        </m:oMathParaPr>
        <m:oMath>
          <m:sSubSup>
            <m:sSubSupPr>
              <m:ctrlPr>
                <w:rPr>
                  <w:rFonts w:ascii="Cambria Math" w:hAnsi="Cambria Math"/>
                </w:rPr>
              </m:ctrlPr>
            </m:sSubSupPr>
            <m:e>
              <m:r>
                <w:rPr>
                  <w:rFonts w:ascii="Cambria Math" w:hAnsi="Cambria Math"/>
                </w:rPr>
                <m:t>B</m:t>
              </m:r>
            </m:e>
            <m:sub>
              <m:r>
                <m:rPr>
                  <m:sty m:val="p"/>
                </m:rPr>
                <w:rPr>
                  <w:rFonts w:ascii="Cambria Math" w:hAnsi="Cambria Math"/>
                </w:rPr>
                <m:t>Sektor</m:t>
              </m:r>
            </m:sub>
            <m:sup>
              <m:r>
                <m:rPr>
                  <m:sty m:val="p"/>
                </m:rPr>
                <w:rPr>
                  <w:rFonts w:ascii="Cambria Math" w:hAnsi="Cambria Math"/>
                </w:rPr>
                <m:t>Modell</m:t>
              </m:r>
            </m:sup>
          </m:sSubSup>
          <m:r>
            <m:rPr>
              <m:sty m:val="p"/>
            </m:rPr>
            <w:rPr>
              <w:rFonts w:ascii="Cambria Math" w:hAnsi="Cambria Math"/>
            </w:rPr>
            <m:t>(</m:t>
          </m:r>
          <m:r>
            <w:rPr>
              <w:rFonts w:ascii="Cambria Math" w:hAnsi="Cambria Math"/>
            </w:rPr>
            <m:t>θ</m:t>
          </m:r>
          <m:r>
            <m:rPr>
              <m:sty m:val="p"/>
            </m:rPr>
            <w:rPr>
              <w:rFonts w:ascii="Cambria Math" w:hAnsi="Cambria Math"/>
            </w:rPr>
            <m:t>)</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Sup>
            <m:sSubSupPr>
              <m:ctrlPr>
                <w:rPr>
                  <w:rFonts w:ascii="Cambria Math" w:hAnsi="Cambria Math"/>
                </w:rPr>
              </m:ctrlPr>
            </m:sSubSupPr>
            <m:e>
              <m:r>
                <w:rPr>
                  <w:rFonts w:ascii="Cambria Math" w:hAnsi="Cambria Math"/>
                </w:rPr>
                <m:t>B</m:t>
              </m:r>
            </m:e>
            <m:sub>
              <m:r>
                <m:rPr>
                  <m:sty m:val="p"/>
                </m:rPr>
                <w:rPr>
                  <w:rFonts w:ascii="Cambria Math" w:hAnsi="Cambria Math"/>
                </w:rPr>
                <m:t>Geb,Ziel</m:t>
              </m:r>
            </m:sub>
            <m:sup>
              <m:r>
                <m:rPr>
                  <m:sty m:val="p"/>
                </m:rPr>
                <w:rPr>
                  <w:rFonts w:ascii="Cambria Math" w:hAnsi="Cambria Math"/>
                </w:rPr>
                <m:t>Transition 2040</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7.4</m:t>
          </m:r>
          <m:r>
            <m:rPr>
              <m:sty m:val="p"/>
            </m:rPr>
            <w:rPr>
              <w:rFonts w:ascii="Cambria Math" w:hAnsi="Cambria Math"/>
            </w:rPr>
            <m:t>)</m:t>
          </m:r>
        </m:oMath>
      </m:oMathPara>
      <w:bookmarkEnd w:id="110"/>
    </w:p>
    <w:p w14:paraId="40A5473B" w14:textId="77777777" w:rsidR="004E4CC2" w:rsidRDefault="00000000">
      <w:pPr>
        <w:pStyle w:val="FirstParagraph"/>
      </w:pPr>
      <w:r>
        <w:t>Die Bilanzgleichheit allein legt die Parameter nicht notwendigerweise eindeutig fest. Zusätzliche Bedingungen – etwa begründete Grenzen der Dichtefunktion, technologische Potenziale, typologische Zielqualitäten und vertretbare Sanierungsanforderungen – müssen ausdrücklich angegeben werden. Die Verteilung der Gebäudequalitäten und ihre Flächenanteile sind daher nicht bloß eine Rechenhilfe, sondern zentrale Szenarioannahmen.</w:t>
      </w:r>
    </w:p>
    <w:p w14:paraId="1FAA6D24" w14:textId="77777777" w:rsidR="004E4CC2" w:rsidRDefault="00000000">
      <w:pPr>
        <w:pStyle w:val="berschrift2"/>
      </w:pPr>
      <w:bookmarkStart w:id="111" w:name="kalibrierungsstand-und-ergebnisvergleich"/>
      <w:bookmarkStart w:id="112" w:name="_Toc243681260"/>
      <w:bookmarkEnd w:id="107"/>
      <w:r>
        <w:t>7.5 Kalibrierungsstand und Ergebnisvergleich</w:t>
      </w:r>
      <w:bookmarkEnd w:id="112"/>
    </w:p>
    <w:p w14:paraId="6829B539" w14:textId="77777777" w:rsidR="004E4CC2" w:rsidRDefault="00000000">
      <w:pPr>
        <w:pStyle w:val="FirstParagraph"/>
      </w:pPr>
      <w:r>
        <w:t>Unter den Annahmen des Referenzfalls ergeben sich 24 PJ/a elektrisches MIV-Budget und −7 PJ/a für den Gebäudesektorsaldo einschließlich MIV (</w:t>
      </w:r>
      <w:hyperlink w:anchor="sec-allokation-ergebnisse">
        <w:r>
          <w:rPr>
            <w:rStyle w:val="Hyperlink"/>
          </w:rPr>
          <w:t>Kapitel 5.4</w:t>
        </w:r>
      </w:hyperlink>
      <w:r>
        <w:t>). Die Bottom-up-Rechnung umfasst 603 positiv gewichtete Typen, ihre GFZ-Verteilungen und die Erwartungswerte der historischen Dichtefunktion (</w:t>
      </w:r>
      <w:hyperlink w:anchor="sec-gebaeudesektormodell">
        <w:r>
          <w:rPr>
            <w:rStyle w:val="Hyperlink"/>
          </w:rPr>
          <w:t>Anhang H</w:t>
        </w:r>
      </w:hyperlink>
      <w:r>
        <w:t>).</w:t>
      </w:r>
    </w:p>
    <w:p w14:paraId="231A3FEC" w14:textId="77777777" w:rsidR="004E4CC2" w:rsidRDefault="00000000">
      <w:pPr>
        <w:pStyle w:val="Textkrper"/>
      </w:pPr>
      <w:r>
        <w:t>Der physische Pool-Stromsaldo beträgt −59,25 PJ/a. Einschließlich derselben einmaligen MIV-Zuordnung ergibt sich −107,25 PJ/a, also −100,25 PJ/a gegenüber dem Top-down-Beispiel. Die virtuellen Dichte-Erwartungswerte werden dabei nicht als reale Deckung hinzuaddiert. Der Pool enthält nur PV30/noFlex sowie erhebliche Gas- und Ölmengen. Eine neue Zielwertfunktion lässt sich deshalb nicht allein durch Gleichsetzen dieses Pool-Ergebnisses mit dem nationalen Ziel bestimmen. PEQ-Flächenanteile, energetische Entwicklung der übrigen Typen und alternative PV-Ausstattungen sind zuerst festzulegen.</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94"/>
      </w:tblGrid>
      <w:tr w:rsidR="004E4CC2" w14:paraId="1359FD50" w14:textId="77777777" w:rsidTr="004E4CC2">
        <w:trPr>
          <w:cantSplit/>
        </w:trPr>
        <w:tc>
          <w:tcPr>
            <w:tcW w:w="0" w:type="auto"/>
            <w:shd w:val="clear" w:color="auto" w:fill="DAE6FB"/>
            <w:tcMar>
              <w:top w:w="92" w:type="dxa"/>
              <w:bottom w:w="92" w:type="dxa"/>
            </w:tcMar>
          </w:tcPr>
          <w:p w14:paraId="41131002" w14:textId="77777777" w:rsidR="004E4CC2" w:rsidRDefault="00000000">
            <w:pPr>
              <w:pStyle w:val="Textkrper"/>
              <w:spacing w:before="0" w:after="0"/>
              <w:textAlignment w:val="center"/>
            </w:pPr>
            <w:r>
              <w:rPr>
                <w:noProof/>
              </w:rPr>
              <w:drawing>
                <wp:inline distT="0" distB="0" distL="0" distR="0" wp14:anchorId="412C9252" wp14:editId="65F63378">
                  <wp:extent cx="152400" cy="1524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C:\Users\schneids\AppData\Local\Programs\Quarto\share\formats\docx\note.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t xml:space="preserve">  Geltungsbereich des Entwurfs</w:t>
            </w:r>
          </w:p>
        </w:tc>
      </w:tr>
      <w:tr w:rsidR="004E4CC2" w14:paraId="2DE786C2" w14:textId="77777777" w:rsidTr="004E4CC2">
        <w:trPr>
          <w:cantSplit/>
        </w:trPr>
        <w:tc>
          <w:tcPr>
            <w:tcW w:w="0" w:type="auto"/>
            <w:tcMar>
              <w:top w:w="108" w:type="dxa"/>
              <w:bottom w:w="108" w:type="dxa"/>
            </w:tcMar>
          </w:tcPr>
          <w:p w14:paraId="7E579EB4" w14:textId="77777777" w:rsidR="004E4CC2" w:rsidRDefault="00000000">
            <w:pPr>
              <w:pStyle w:val="Textkrper"/>
              <w:spacing w:before="16" w:after="16"/>
            </w:pPr>
            <w:r>
              <w:lastRenderedPageBreak/>
              <w:t>Die 2040-Flächenmatrix, Energieaggregation und GFZ-Zuordnung sind berechnet. Die historische Dichtefunktion wird als Referenzansatz ausgewertet. PEQ-Flächenanteile, Versorgungspfade, PE-Faktorversion und typologische Sanierungswerte sind nicht normativ festgelegt. Der Ergebnisvergleich beschreibt diesen Parameterstand.</w:t>
            </w:r>
          </w:p>
          <w:p w14:paraId="02706BE3" w14:textId="77777777" w:rsidR="004E4CC2" w:rsidRDefault="004E4CC2"/>
        </w:tc>
      </w:tr>
    </w:tbl>
    <w:p w14:paraId="26298929" w14:textId="77777777" w:rsidR="004E4CC2" w:rsidRDefault="00000000">
      <w:pPr>
        <w:pStyle w:val="Textkrper"/>
      </w:pPr>
      <w:r>
        <w:t>Die Ergebnisdarstellung umfasst Flächen, Typenbeiträge, Dichtekorrektur und den Abstand zum Referenzsaldo (</w:t>
      </w:r>
      <w:hyperlink w:anchor="sec-gebaeude-abgleich">
        <w:r>
          <w:rPr>
            <w:rStyle w:val="Hyperlink"/>
          </w:rPr>
          <w:t>Kapitel H.8</w:t>
        </w:r>
      </w:hyperlink>
      <w:r>
        <w:t>). Quelldateien und Parameter sind in den Rechenanhängen versioniert.</w:t>
      </w:r>
    </w:p>
    <w:p w14:paraId="227FBBB8" w14:textId="77777777" w:rsidR="004E4CC2" w:rsidRDefault="00000000">
      <w:pPr>
        <w:pStyle w:val="berschrift2"/>
      </w:pPr>
      <w:bookmarkStart w:id="113" w:name="Xce6da3ab9c11fc64f2a9d00e3a4c74ebe45eb72"/>
      <w:bookmarkStart w:id="114" w:name="_Toc243681261"/>
      <w:bookmarkEnd w:id="111"/>
      <w:r>
        <w:t>7.6 Sensitivitäten und normative Entscheidungen</w:t>
      </w:r>
      <w:bookmarkEnd w:id="114"/>
    </w:p>
    <w:p w14:paraId="195142CF" w14:textId="77777777" w:rsidR="004E4CC2" w:rsidRDefault="00000000">
      <w:pPr>
        <w:pStyle w:val="FirstParagraph"/>
      </w:pPr>
      <w:r>
        <w:t xml:space="preserve">Neben dem Referenzfall sind insbesondere Änderungen der Gebäude-PV-Allokation, der Flächenanteile der Gebäudetypen, der GFZ-Verteilung sowie der typologiebezogenen Sanierungsparameter als Sensitivitäten sinnvoll. Auch Änderungen des Umfangs der MIV-/ÖPNV-Zuordnung wirken über </w:t>
      </w:r>
      <w:hyperlink w:anchor="sec-allokation">
        <w:r>
          <w:rPr>
            <w:rStyle w:val="Hyperlink"/>
          </w:rPr>
          <w:t>Kapitel 5</w:t>
        </w:r>
      </w:hyperlink>
      <w:r>
        <w:t xml:space="preserve"> auf das nationale Zielbild. Solche Varianten sind vom </w:t>
      </w:r>
      <w:r>
        <w:rPr>
          <w:b/>
          <w:bCs/>
        </w:rPr>
        <w:t>freigegebenen Referenzszenario</w:t>
      </w:r>
      <w:r>
        <w:t xml:space="preserve"> klar zu unterscheiden.</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94"/>
      </w:tblGrid>
      <w:tr w:rsidR="004E4CC2" w14:paraId="16A56894" w14:textId="77777777" w:rsidTr="004E4CC2">
        <w:trPr>
          <w:cantSplit/>
        </w:trPr>
        <w:tc>
          <w:tcPr>
            <w:tcW w:w="0" w:type="auto"/>
            <w:shd w:val="clear" w:color="auto" w:fill="DAE6FB"/>
            <w:tcMar>
              <w:top w:w="92" w:type="dxa"/>
              <w:bottom w:w="92" w:type="dxa"/>
            </w:tcMar>
          </w:tcPr>
          <w:p w14:paraId="5D7CC52E" w14:textId="77777777" w:rsidR="004E4CC2" w:rsidRDefault="00000000">
            <w:pPr>
              <w:pStyle w:val="Textkrper"/>
              <w:spacing w:before="0" w:after="0"/>
              <w:textAlignment w:val="center"/>
            </w:pPr>
            <w:r>
              <w:rPr>
                <w:noProof/>
              </w:rPr>
              <w:drawing>
                <wp:inline distT="0" distB="0" distL="0" distR="0" wp14:anchorId="31218113" wp14:editId="6D6180C1">
                  <wp:extent cx="152400" cy="152400"/>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C:\Users\schneids\AppData\Local\Programs\Quarto\share\formats\docx\note.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t xml:space="preserve">  Historische Einordnung</w:t>
            </w:r>
          </w:p>
        </w:tc>
      </w:tr>
      <w:tr w:rsidR="004E4CC2" w14:paraId="68559513" w14:textId="77777777" w:rsidTr="004E4CC2">
        <w:trPr>
          <w:cantSplit/>
        </w:trPr>
        <w:tc>
          <w:tcPr>
            <w:tcW w:w="0" w:type="auto"/>
            <w:tcMar>
              <w:top w:w="108" w:type="dxa"/>
              <w:bottom w:w="108" w:type="dxa"/>
            </w:tcMar>
          </w:tcPr>
          <w:p w14:paraId="62A9BAB3" w14:textId="77777777" w:rsidR="004E4CC2" w:rsidRDefault="00000000">
            <w:pPr>
              <w:pStyle w:val="Textkrper"/>
              <w:spacing w:before="16" w:after="16"/>
            </w:pPr>
            <w:r>
              <w:t>Die ursprüngliche Kalibrierung verwendete fünf energetische Gebäudeklassen und eine spezifische Dichtefunktion (Schneider u. a. 2023). Diese historische Lösung erläutert die Entstehung der Methode, ersetzt aber weder die neuen Typologien noch die Kalibrierung mit UBA Transition 2040.</w:t>
            </w:r>
          </w:p>
          <w:p w14:paraId="246C4310" w14:textId="77777777" w:rsidR="004E4CC2" w:rsidRDefault="004E4CC2"/>
        </w:tc>
      </w:tr>
    </w:tbl>
    <w:p w14:paraId="3644F90E" w14:textId="77777777" w:rsidR="004E4CC2" w:rsidRDefault="00000000">
      <w:pPr>
        <w:pStyle w:val="berschrift1"/>
      </w:pPr>
      <w:bookmarkStart w:id="115" w:name="sec-kontext-mobilitaet"/>
      <w:bookmarkStart w:id="116" w:name="_Toc243681262"/>
      <w:bookmarkEnd w:id="94"/>
      <w:bookmarkEnd w:id="113"/>
      <w:r>
        <w:t>8. Kontextfaktor Mobilität</w:t>
      </w:r>
      <w:bookmarkEnd w:id="116"/>
    </w:p>
    <w:p w14:paraId="0F13714B" w14:textId="77777777" w:rsidR="004E4CC2" w:rsidRDefault="00000000">
      <w:pPr>
        <w:pStyle w:val="FirstParagraph"/>
      </w:pPr>
      <w:r>
        <w:t>Das in der sektoralen Allokation ermittelte MIV-Budget nutzungsbezogen verteilen und mit dem örtlichen Mobilitätsbedarf vergleichen</w:t>
      </w:r>
    </w:p>
    <w:p w14:paraId="77EE109A" w14:textId="77777777" w:rsidR="004E4CC2" w:rsidRDefault="00000000">
      <w:pPr>
        <w:pStyle w:val="Textkrper"/>
      </w:pPr>
      <w:r>
        <w:t xml:space="preserve">Die nationale </w:t>
      </w:r>
      <w:r>
        <w:rPr>
          <w:b/>
          <w:bCs/>
        </w:rPr>
        <w:t>Höhe</w:t>
      </w:r>
      <w:r>
        <w:t xml:space="preserve"> des erneuerbaren MIV-Budgets wird bereits in </w:t>
      </w:r>
      <w:hyperlink w:anchor="sec-allokation">
        <w:r>
          <w:rPr>
            <w:rStyle w:val="Hyperlink"/>
          </w:rPr>
          <w:t>Kapitel 5</w:t>
        </w:r>
      </w:hyperlink>
      <w:r>
        <w:t xml:space="preserve"> aus der verfügbaren zentralen, nicht-PV-basierten erneuerbaren Erzeugung und den vorrangigen Bedarfen – insbesondere Industrie und ÖPNV – hergeleitet. Sie ist keine eigenständige oder nachträglich festgelegte Mobilitätsgutschrift. Dieses Kapitel beschreibt nur die </w:t>
      </w:r>
      <w:r>
        <w:rPr>
          <w:b/>
          <w:bCs/>
        </w:rPr>
        <w:t>räumliche und nutzungsbezogene Anwendung</w:t>
      </w:r>
      <w:r>
        <w:t xml:space="preserve"> des daraus hervorgehenden Budgets sowie die standortabhängige MIV-Bedarfsermittlung.</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94"/>
      </w:tblGrid>
      <w:tr w:rsidR="004E4CC2" w14:paraId="2B5994BA" w14:textId="77777777" w:rsidTr="004E4CC2">
        <w:trPr>
          <w:cantSplit/>
        </w:trPr>
        <w:tc>
          <w:tcPr>
            <w:tcW w:w="0" w:type="auto"/>
            <w:shd w:val="clear" w:color="auto" w:fill="DAE6FB"/>
            <w:tcMar>
              <w:top w:w="92" w:type="dxa"/>
              <w:bottom w:w="92" w:type="dxa"/>
            </w:tcMar>
          </w:tcPr>
          <w:p w14:paraId="02FFD34B" w14:textId="77777777" w:rsidR="004E4CC2" w:rsidRDefault="00000000">
            <w:pPr>
              <w:pStyle w:val="Textkrper"/>
              <w:spacing w:before="0" w:after="0"/>
              <w:textAlignment w:val="center"/>
            </w:pPr>
            <w:r>
              <w:rPr>
                <w:noProof/>
              </w:rPr>
              <w:drawing>
                <wp:inline distT="0" distB="0" distL="0" distR="0" wp14:anchorId="5095578F" wp14:editId="0C4CF513">
                  <wp:extent cx="152400" cy="15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C:\Users\schneids\AppData\Local\Programs\Quarto\share\formats\docx\note.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t xml:space="preserve">  quantitative Allokation</w:t>
            </w:r>
          </w:p>
        </w:tc>
      </w:tr>
      <w:tr w:rsidR="004E4CC2" w14:paraId="6676AA66" w14:textId="77777777" w:rsidTr="004E4CC2">
        <w:trPr>
          <w:cantSplit/>
        </w:trPr>
        <w:tc>
          <w:tcPr>
            <w:tcW w:w="0" w:type="auto"/>
            <w:tcMar>
              <w:top w:w="108" w:type="dxa"/>
              <w:bottom w:w="108" w:type="dxa"/>
            </w:tcMar>
          </w:tcPr>
          <w:p w14:paraId="26AB6B0E" w14:textId="77777777" w:rsidR="004E4CC2" w:rsidRDefault="00000000">
            <w:pPr>
              <w:pStyle w:val="Textkrper"/>
              <w:spacing w:before="16" w:after="16"/>
            </w:pPr>
            <w:hyperlink w:anchor="sec-allokation-ergebnisse">
              <w:r>
                <w:rPr>
                  <w:rStyle w:val="Hyperlink"/>
                </w:rPr>
                <w:t>Kapitel 5.4</w:t>
              </w:r>
            </w:hyperlink>
            <w:r>
              <w:t xml:space="preserve"> zeigt den parametrierten Transition-Referenzfall: 24 PJ/a beziehungsweise 6,667 TWh/a elektrisches MIV-Budget bei den dort dokumentierten Annahmen. Die volle Anrechnung der Wasserstoff-Rückverstromung erhöht es im Vergleichsfall auf 28 PJ/a. Das sind nationale elektrische Zuteilungen, keine neuen nutzungsbezogenen PE-Gutschriften. PE-Faktoren, Verteilungsschlüssel und Ziel-Flächen sind dafür nicht gemeinsam festgelegt. Die vollständige Rechnung steht in </w:t>
            </w:r>
            <w:hyperlink w:anchor="sec-allokation-notebook">
              <w:r>
                <w:rPr>
                  <w:rStyle w:val="Hyperlink"/>
                </w:rPr>
                <w:t>Anhang F</w:t>
              </w:r>
            </w:hyperlink>
            <w:r>
              <w:t>.</w:t>
            </w:r>
          </w:p>
          <w:p w14:paraId="1936CD82" w14:textId="77777777" w:rsidR="004E4CC2" w:rsidRDefault="004E4CC2"/>
        </w:tc>
      </w:tr>
    </w:tbl>
    <w:p w14:paraId="7173F167" w14:textId="77777777" w:rsidR="004E4CC2" w:rsidRDefault="00000000">
      <w:pPr>
        <w:pStyle w:val="berschrift2"/>
      </w:pPr>
      <w:bookmarkStart w:id="117" w:name="vom-nationalen-miv-budget-zur-nutzung"/>
      <w:bookmarkStart w:id="118" w:name="_Toc243681263"/>
      <w:r>
        <w:t>8.1 Vom nationalen MIV-Budget zur Nutzung</w:t>
      </w:r>
      <w:bookmarkEnd w:id="118"/>
    </w:p>
    <w:p w14:paraId="08010145" w14:textId="77777777" w:rsidR="004E4CC2" w:rsidRDefault="00000000">
      <w:pPr>
        <w:pStyle w:val="FirstParagraph"/>
      </w:pPr>
      <w:r>
        <w:t>Nach der sektoralen Elektrizitätsallokation wird das budgetfähige erneuerbare Mobilitätsvolumen mit einem dokumentierten Primärenergie-Faktorensatz in das nationale PE-Budget überführt. Anschließend wird es anhand einer begründeten Verteilung des individuellen Zielverkehrs den Quartiersnutzungen zugeordnet. Die nationale Verteilung muss insgesamt genau das freigegebene MIV-Budget ergeben und darf nicht zusätzlich denselben zentralen Strom anderen Nutzungen gutschreiben.</w:t>
      </w:r>
    </w:p>
    <w:p w14:paraId="299A697E" w14:textId="77777777" w:rsidR="004E4CC2" w:rsidRDefault="00000000">
      <w:pPr>
        <w:pStyle w:val="Textkrper"/>
      </w:pPr>
      <w:r>
        <w:t xml:space="preserve">Für Nutzung </w:t>
      </w:r>
      <m:oMath>
        <m:r>
          <w:rPr>
            <w:rFonts w:ascii="Cambria Math" w:hAnsi="Cambria Math"/>
          </w:rPr>
          <m:t>u</m:t>
        </m:r>
      </m:oMath>
      <w:r>
        <w:t xml:space="preserve"> gilt:</w:t>
      </w:r>
    </w:p>
    <w:bookmarkStart w:id="119" w:name="eq-mobilitaetsbudget"/>
    <w:p w14:paraId="23CDCDCF"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m:t>
              </m:r>
              <m:r>
                <w:rPr>
                  <w:rFonts w:ascii="Cambria Math" w:hAnsi="Cambria Math"/>
                </w:rPr>
                <m:t>u</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E</m:t>
                  </m:r>
                </m:e>
                <m:sub>
                  <m:r>
                    <m:rPr>
                      <m:sty m:val="p"/>
                    </m:rPr>
                    <w:rPr>
                      <w:rFonts w:ascii="Cambria Math" w:hAnsi="Cambria Math"/>
                    </w:rPr>
                    <m:t>MIV,Budget</m:t>
                  </m:r>
                </m:sub>
                <m:sup>
                  <m:r>
                    <m:rPr>
                      <m:sty m:val="p"/>
                    </m:rPr>
                    <w:rPr>
                      <w:rFonts w:ascii="Cambria Math" w:hAnsi="Cambria Math"/>
                    </w:rPr>
                    <m:t>PE</m:t>
                  </m:r>
                </m:sup>
              </m:sSubSup>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u</m:t>
                  </m:r>
                </m:sub>
              </m:sSub>
            </m:num>
            <m:den>
              <m:sSubSup>
                <m:sSubSupPr>
                  <m:ctrlPr>
                    <w:rPr>
                      <w:rFonts w:ascii="Cambria Math" w:hAnsi="Cambria Math"/>
                    </w:rPr>
                  </m:ctrlPr>
                </m:sSubSupPr>
                <m:e>
                  <m:r>
                    <w:rPr>
                      <w:rFonts w:ascii="Cambria Math" w:hAnsi="Cambria Math"/>
                    </w:rPr>
                    <m:t>A</m:t>
                  </m:r>
                </m:e>
                <m:sub>
                  <m:r>
                    <m:rPr>
                      <m:sty m:val="p"/>
                    </m:rPr>
                    <w:rPr>
                      <w:rFonts w:ascii="Cambria Math" w:hAnsi="Cambria Math"/>
                    </w:rPr>
                    <m:t>NGF,</m:t>
                  </m:r>
                  <m:r>
                    <w:rPr>
                      <w:rFonts w:ascii="Cambria Math" w:hAnsi="Cambria Math"/>
                    </w:rPr>
                    <m:t>u</m:t>
                  </m:r>
                </m:sub>
                <m:sup>
                  <m:r>
                    <w:rPr>
                      <w:rFonts w:ascii="Cambria Math" w:hAnsi="Cambria Math"/>
                    </w:rPr>
                    <m:t>2040</m:t>
                  </m:r>
                </m:sup>
              </m:sSubSup>
            </m:den>
          </m:f>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u</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u</m:t>
                  </m:r>
                </m:sub>
              </m:sSub>
            </m:e>
          </m:nary>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8.1</m:t>
          </m:r>
          <m:r>
            <m:rPr>
              <m:sty m:val="p"/>
            </m:rPr>
            <w:rPr>
              <w:rFonts w:ascii="Cambria Math" w:hAnsi="Cambria Math"/>
            </w:rPr>
            <m:t>)</m:t>
          </m:r>
        </m:oMath>
      </m:oMathPara>
      <w:bookmarkEnd w:id="119"/>
    </w:p>
    <w:p w14:paraId="295D392B" w14:textId="77777777" w:rsidR="004E4CC2" w:rsidRDefault="00000000">
      <w:pPr>
        <w:pStyle w:val="FirstParagraph"/>
      </w:pPr>
      <w:r>
        <w:t xml:space="preserve">Dabei ist </w:t>
      </w:r>
      <m:oMath>
        <m:sSub>
          <m:sSubPr>
            <m:ctrlPr>
              <w:rPr>
                <w:rFonts w:ascii="Cambria Math" w:hAnsi="Cambria Math"/>
              </w:rPr>
            </m:ctrlPr>
          </m:sSubPr>
          <m:e>
            <m:r>
              <w:rPr>
                <w:rFonts w:ascii="Cambria Math" w:hAnsi="Cambria Math"/>
              </w:rPr>
              <m:t>s</m:t>
            </m:r>
          </m:e>
          <m:sub>
            <m:r>
              <w:rPr>
                <w:rFonts w:ascii="Cambria Math" w:hAnsi="Cambria Math"/>
              </w:rPr>
              <m:t>u</m:t>
            </m:r>
          </m:sub>
        </m:sSub>
      </m:oMath>
      <w:r>
        <w:t xml:space="preserve"> der Anteil des nationalen Budgets, der dem von Nutzung </w:t>
      </w:r>
      <m:oMath>
        <m:r>
          <w:rPr>
            <w:rFonts w:ascii="Cambria Math" w:hAnsi="Cambria Math"/>
          </w:rPr>
          <m:t>u</m:t>
        </m:r>
      </m:oMath>
      <w:r>
        <w:t xml:space="preserve"> verursachten beziehungsweise ihr zugeordneten Zielverkehr zugerechnet wird. Die verwendeten nationalen NGF müssen dem Flächen- und Nutzungsstand des Kalibrierungsszenarios entsprechen. Es wird zwischen </w:t>
      </w:r>
      <w:r>
        <w:rPr>
          <w:b/>
          <w:bCs/>
        </w:rPr>
        <w:t>Budgetverteilung je Nutzung</w:t>
      </w:r>
      <w:r>
        <w:t xml:space="preserve"> und </w:t>
      </w:r>
      <w:r>
        <w:rPr>
          <w:b/>
          <w:bCs/>
        </w:rPr>
        <w:t>tatsächlicher Verkehrsvermeidung am Standort</w:t>
      </w:r>
      <w:r>
        <w:t xml:space="preserve"> unterschieden.</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94"/>
      </w:tblGrid>
      <w:tr w:rsidR="004E4CC2" w14:paraId="2241A3C6" w14:textId="77777777" w:rsidTr="004E4CC2">
        <w:trPr>
          <w:cantSplit/>
        </w:trPr>
        <w:tc>
          <w:tcPr>
            <w:tcW w:w="0" w:type="auto"/>
            <w:shd w:val="clear" w:color="auto" w:fill="DAE6FB"/>
            <w:tcMar>
              <w:top w:w="92" w:type="dxa"/>
              <w:bottom w:w="92" w:type="dxa"/>
            </w:tcMar>
          </w:tcPr>
          <w:p w14:paraId="7866FE95" w14:textId="77777777" w:rsidR="004E4CC2" w:rsidRDefault="00000000">
            <w:pPr>
              <w:pStyle w:val="Textkrper"/>
              <w:spacing w:before="0" w:after="0"/>
              <w:textAlignment w:val="center"/>
            </w:pPr>
            <w:r>
              <w:rPr>
                <w:noProof/>
              </w:rPr>
              <w:drawing>
                <wp:inline distT="0" distB="0" distL="0" distR="0" wp14:anchorId="7F62917F" wp14:editId="0374ACCD">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C:\Users\schneids\AppData\Local\Programs\Quarto\share\formats\docx\note.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t xml:space="preserve">  Parameterstand</w:t>
            </w:r>
          </w:p>
        </w:tc>
      </w:tr>
      <w:tr w:rsidR="004E4CC2" w14:paraId="7FEC8AB2" w14:textId="77777777" w:rsidTr="004E4CC2">
        <w:trPr>
          <w:cantSplit/>
        </w:trPr>
        <w:tc>
          <w:tcPr>
            <w:tcW w:w="0" w:type="auto"/>
            <w:tcMar>
              <w:top w:w="108" w:type="dxa"/>
              <w:bottom w:w="108" w:type="dxa"/>
            </w:tcMar>
          </w:tcPr>
          <w:p w14:paraId="4B34B055" w14:textId="77777777" w:rsidR="004E4CC2" w:rsidRDefault="00000000">
            <w:pPr>
              <w:pStyle w:val="Textkrper"/>
              <w:spacing w:before="16" w:after="16"/>
            </w:pPr>
            <w:r>
              <w:t>Das nationale elektrische Budget ist berechnet. Nutzungsbezogene PE-Gutschriften sind für Transition nicht numerisch festgelegt, da Faktorensatz, Zielverkehrsanteile und Nutzflächen hierfür nicht gemeinsam bestimmt sind. Die historischen Werte dokumentieren den Bewertungsstand 2023.</w:t>
            </w:r>
          </w:p>
          <w:p w14:paraId="3F5D78B5" w14:textId="77777777" w:rsidR="004E4CC2" w:rsidRDefault="004E4CC2"/>
        </w:tc>
      </w:tr>
    </w:tbl>
    <w:p w14:paraId="3091D1CA" w14:textId="77777777" w:rsidR="004E4CC2" w:rsidRDefault="00000000">
      <w:pPr>
        <w:pStyle w:val="berschrift2"/>
      </w:pPr>
      <w:bookmarkStart w:id="120" w:name="gemischt-genutzte-quartiere"/>
      <w:bookmarkStart w:id="121" w:name="_Toc243681264"/>
      <w:bookmarkEnd w:id="117"/>
      <w:r>
        <w:t>8.2 Gemischt genutzte Quartiere</w:t>
      </w:r>
      <w:bookmarkEnd w:id="121"/>
    </w:p>
    <w:p w14:paraId="652A076D" w14:textId="77777777" w:rsidR="004E4CC2" w:rsidRDefault="00000000">
      <w:pPr>
        <w:pStyle w:val="FirstParagraph"/>
      </w:pPr>
      <w:r>
        <w:t>Für ein Quartier mit verschiedenen Nutzungen ergibt sich die flächengewichtete spezifische Mobilitätsgutschrift:</w:t>
      </w:r>
    </w:p>
    <w:bookmarkStart w:id="122" w:name="eq-mobilitaet-mischnutzung"/>
    <w:p w14:paraId="186BC0A9"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Mobilität</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u</m:t>
                  </m:r>
                </m:sub>
                <m:sup>
                  <m:r>
                    <w:rPr>
                      <w:rFonts w:ascii="Cambria Math" w:hAnsi="Cambria Math"/>
                    </w:rPr>
                    <m:t>​</m:t>
                  </m:r>
                </m:sup>
                <m:e>
                  <m:sSubSup>
                    <m:sSubSupPr>
                      <m:ctrlPr>
                        <w:rPr>
                          <w:rFonts w:ascii="Cambria Math" w:hAnsi="Cambria Math"/>
                        </w:rPr>
                      </m:ctrlPr>
                    </m:sSubSupPr>
                    <m:e>
                      <m:r>
                        <w:rPr>
                          <w:rFonts w:ascii="Cambria Math" w:hAnsi="Cambria Math"/>
                        </w:rPr>
                        <m:t>A</m:t>
                      </m:r>
                    </m:e>
                    <m:sub>
                      <m:r>
                        <m:rPr>
                          <m:sty m:val="p"/>
                        </m:rPr>
                        <w:rPr>
                          <w:rFonts w:ascii="Cambria Math" w:hAnsi="Cambria Math"/>
                        </w:rPr>
                        <m:t>NGF,</m:t>
                      </m:r>
                      <m:r>
                        <w:rPr>
                          <w:rFonts w:ascii="Cambria Math" w:hAnsi="Cambria Math"/>
                        </w:rPr>
                        <m:t>u</m:t>
                      </m:r>
                    </m:sub>
                    <m:sup>
                      <m:r>
                        <m:rPr>
                          <m:sty m:val="p"/>
                        </m:rPr>
                        <w:rPr>
                          <w:rFonts w:ascii="Cambria Math" w:hAnsi="Cambria Math"/>
                        </w:rPr>
                        <m:t>Quartier</m:t>
                      </m:r>
                    </m:sup>
                  </m:sSubSup>
                </m:e>
              </m:nary>
              <m:sSub>
                <m:sSubPr>
                  <m:ctrlPr>
                    <w:rPr>
                      <w:rFonts w:ascii="Cambria Math" w:hAnsi="Cambria Math"/>
                    </w:rPr>
                  </m:ctrlPr>
                </m:sSubPr>
                <m:e>
                  <m:r>
                    <w:rPr>
                      <w:rFonts w:ascii="Cambria Math" w:hAnsi="Cambria Math"/>
                    </w:rPr>
                    <m:t>c</m:t>
                  </m:r>
                </m:e>
                <m:sub>
                  <m:r>
                    <m:rPr>
                      <m:sty m:val="p"/>
                    </m:rPr>
                    <w:rPr>
                      <w:rFonts w:ascii="Cambria Math" w:hAnsi="Cambria Math"/>
                    </w:rPr>
                    <m:t>M,</m:t>
                  </m:r>
                  <m:r>
                    <w:rPr>
                      <w:rFonts w:ascii="Cambria Math" w:hAnsi="Cambria Math"/>
                    </w:rPr>
                    <m:t>u</m:t>
                  </m:r>
                </m:sub>
              </m:sSub>
            </m:num>
            <m:den>
              <m:nary>
                <m:naryPr>
                  <m:chr m:val="∑"/>
                  <m:limLoc m:val="undOvr"/>
                  <m:supHide m:val="1"/>
                  <m:ctrlPr>
                    <w:rPr>
                      <w:rFonts w:ascii="Cambria Math" w:hAnsi="Cambria Math"/>
                    </w:rPr>
                  </m:ctrlPr>
                </m:naryPr>
                <m:sub>
                  <m:r>
                    <w:rPr>
                      <w:rFonts w:ascii="Cambria Math" w:hAnsi="Cambria Math"/>
                    </w:rPr>
                    <m:t>u</m:t>
                  </m:r>
                </m:sub>
                <m:sup>
                  <m:r>
                    <w:rPr>
                      <w:rFonts w:ascii="Cambria Math" w:hAnsi="Cambria Math"/>
                    </w:rPr>
                    <m:t>​</m:t>
                  </m:r>
                </m:sup>
                <m:e>
                  <m:sSubSup>
                    <m:sSubSupPr>
                      <m:ctrlPr>
                        <w:rPr>
                          <w:rFonts w:ascii="Cambria Math" w:hAnsi="Cambria Math"/>
                        </w:rPr>
                      </m:ctrlPr>
                    </m:sSubSupPr>
                    <m:e>
                      <m:r>
                        <w:rPr>
                          <w:rFonts w:ascii="Cambria Math" w:hAnsi="Cambria Math"/>
                        </w:rPr>
                        <m:t>A</m:t>
                      </m:r>
                    </m:e>
                    <m:sub>
                      <m:r>
                        <m:rPr>
                          <m:sty m:val="p"/>
                        </m:rPr>
                        <w:rPr>
                          <w:rFonts w:ascii="Cambria Math" w:hAnsi="Cambria Math"/>
                        </w:rPr>
                        <m:t>NGF,</m:t>
                      </m:r>
                      <m:r>
                        <w:rPr>
                          <w:rFonts w:ascii="Cambria Math" w:hAnsi="Cambria Math"/>
                        </w:rPr>
                        <m:t>u</m:t>
                      </m:r>
                    </m:sub>
                    <m:sup>
                      <m:r>
                        <m:rPr>
                          <m:sty m:val="p"/>
                        </m:rPr>
                        <w:rPr>
                          <w:rFonts w:ascii="Cambria Math" w:hAnsi="Cambria Math"/>
                        </w:rPr>
                        <m:t>Quartier</m:t>
                      </m:r>
                    </m:sup>
                  </m:sSubSup>
                </m:e>
              </m:nary>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8.2</m:t>
          </m:r>
          <m:r>
            <m:rPr>
              <m:sty m:val="p"/>
            </m:rPr>
            <w:rPr>
              <w:rFonts w:ascii="Cambria Math" w:hAnsi="Cambria Math"/>
            </w:rPr>
            <m:t>)</m:t>
          </m:r>
        </m:oMath>
      </m:oMathPara>
      <w:bookmarkEnd w:id="122"/>
    </w:p>
    <w:p w14:paraId="78CAC19F" w14:textId="77777777" w:rsidR="004E4CC2" w:rsidRDefault="00000000">
      <w:pPr>
        <w:pStyle w:val="FirstParagraph"/>
      </w:pPr>
      <w:r>
        <w:lastRenderedPageBreak/>
        <w:t>Die gleiche Nutzungszuordnung ist auch für die Ermittlung des Verkehrsbedarfs anzuwenden. Zusätzliche Nutzfläche begründet nicht allein einen Bonus, sondern verändert zugleich den zu bilanzierenden Zielverkehr. Die Mobilitätsgutschrift darf nur zusammen mit dem entsprechenden MIV-Bedarf in die erweiterte PEQ-Bilanz eingehen (</w:t>
      </w:r>
      <w:hyperlink w:anchor="sec-kontext">
        <w:r>
          <w:rPr>
            <w:rStyle w:val="Hyperlink"/>
          </w:rPr>
          <w:t>Kapitel 3.2</w:t>
        </w:r>
      </w:hyperlink>
      <w:r>
        <w:t>).</w:t>
      </w:r>
    </w:p>
    <w:p w14:paraId="1572F3BD" w14:textId="77777777" w:rsidR="004E4CC2" w:rsidRDefault="00000000">
      <w:pPr>
        <w:pStyle w:val="berschrift2"/>
      </w:pPr>
      <w:bookmarkStart w:id="123" w:name="Xffd7a57a537d9eec9d2414bd792027ef7efb5fa"/>
      <w:bookmarkStart w:id="124" w:name="_Toc243681265"/>
      <w:bookmarkEnd w:id="120"/>
      <w:r>
        <w:t>8.3 Standortabhängiger MIV-Bedarf: Mobilitätsregionen und Verkehrsleistung</w:t>
      </w:r>
      <w:bookmarkEnd w:id="124"/>
    </w:p>
    <w:p w14:paraId="75FD609D" w14:textId="77777777" w:rsidR="004E4CC2" w:rsidRDefault="00000000">
      <w:pPr>
        <w:pStyle w:val="FirstParagraph"/>
      </w:pPr>
      <w:r>
        <w:t>Der tatsächlich zu bewertende MIV-Bedarf wird nicht mit dem nationalen Budget gleichgesetzt. Er hängt von den verursachten Wegen, der Nutzung, den Standortbedingungen, der Verkehrsmittelwahl und der Fahrzeugflotte ab. Für die standortabhängige Referenzabschätzung werden Mobilitätsregionen und Verkehrsdaten aus der österreichischen Mobilitätserhebung verwendet. Ihre Fortschreibung auf den Zielzustand und mögliche projektbezogene Abweichungen sind gesondert zu begründen.</w:t>
      </w:r>
    </w:p>
    <w:tbl>
      <w:tblPr>
        <w:tblStyle w:val="Table"/>
        <w:tblW w:w="5000" w:type="pct"/>
        <w:tblLayout w:type="fixed"/>
        <w:tblLook w:val="0000" w:firstRow="0" w:lastRow="0" w:firstColumn="0" w:lastColumn="0" w:noHBand="0" w:noVBand="0"/>
      </w:tblPr>
      <w:tblGrid>
        <w:gridCol w:w="9622"/>
      </w:tblGrid>
      <w:tr w:rsidR="004E4CC2" w14:paraId="19C349BF" w14:textId="77777777">
        <w:tc>
          <w:tcPr>
            <w:tcW w:w="7920" w:type="dxa"/>
          </w:tcPr>
          <w:p w14:paraId="147067C4" w14:textId="77777777" w:rsidR="004E4CC2" w:rsidRDefault="00000000">
            <w:pPr>
              <w:pStyle w:val="Compact"/>
              <w:jc w:val="center"/>
            </w:pPr>
            <w:bookmarkStart w:id="125" w:name="fig-mobilitaetsregionen"/>
            <w:r>
              <w:rPr>
                <w:noProof/>
              </w:rPr>
              <w:drawing>
                <wp:inline distT="0" distB="0" distL="0" distR="0" wp14:anchorId="2E15EB19" wp14:editId="19E8E185">
                  <wp:extent cx="5334000" cy="3012045"/>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Kapitel/../Abbildungen/verkehrsgueteklasse.png"/>
                          <pic:cNvPicPr>
                            <a:picLocks noChangeAspect="1" noChangeArrowheads="1"/>
                          </pic:cNvPicPr>
                        </pic:nvPicPr>
                        <pic:blipFill>
                          <a:blip r:embed="rId21"/>
                          <a:stretch>
                            <a:fillRect/>
                          </a:stretch>
                        </pic:blipFill>
                        <pic:spPr bwMode="auto">
                          <a:xfrm>
                            <a:off x="0" y="0"/>
                            <a:ext cx="5334000" cy="3012045"/>
                          </a:xfrm>
                          <a:prstGeom prst="rect">
                            <a:avLst/>
                          </a:prstGeom>
                          <a:noFill/>
                          <a:ln w="9525">
                            <a:noFill/>
                            <a:headEnd/>
                            <a:tailEnd/>
                          </a:ln>
                        </pic:spPr>
                      </pic:pic>
                    </a:graphicData>
                  </a:graphic>
                </wp:inline>
              </w:drawing>
            </w:r>
          </w:p>
          <w:p w14:paraId="37498014" w14:textId="77777777" w:rsidR="004E4CC2" w:rsidRDefault="00000000">
            <w:pPr>
              <w:pStyle w:val="ImageCaption"/>
              <w:spacing w:before="200"/>
            </w:pPr>
            <w:r>
              <w:t>Abbildung 8.1: Räumliche Verteilung der Mobilitätsregionen in Österreich als Grundlage standortabhängiger Mobilitätsannahmen (Datenquelle: Österreich unterwegs 2013/2014).</w:t>
            </w:r>
          </w:p>
        </w:tc>
        <w:bookmarkEnd w:id="125"/>
      </w:tr>
    </w:tbl>
    <w:p w14:paraId="73F0ECFD" w14:textId="77777777" w:rsidR="004E4CC2" w:rsidRDefault="00000000">
      <w:pPr>
        <w:pStyle w:val="Textkrper"/>
      </w:pPr>
      <w:r>
        <w:t xml:space="preserve"> </w:t>
      </w:r>
    </w:p>
    <w:tbl>
      <w:tblPr>
        <w:tblStyle w:val="Table"/>
        <w:tblW w:w="5000" w:type="pct"/>
        <w:tblLayout w:type="fixed"/>
        <w:tblLook w:val="0000" w:firstRow="0" w:lastRow="0" w:firstColumn="0" w:lastColumn="0" w:noHBand="0" w:noVBand="0"/>
      </w:tblPr>
      <w:tblGrid>
        <w:gridCol w:w="9622"/>
      </w:tblGrid>
      <w:tr w:rsidR="004E4CC2" w14:paraId="2BBD742C" w14:textId="77777777">
        <w:tc>
          <w:tcPr>
            <w:tcW w:w="7920" w:type="dxa"/>
          </w:tcPr>
          <w:p w14:paraId="7CC0A67C" w14:textId="77777777" w:rsidR="004E4CC2" w:rsidRDefault="00000000">
            <w:pPr>
              <w:pStyle w:val="Compact"/>
              <w:jc w:val="center"/>
            </w:pPr>
            <w:bookmarkStart w:id="126" w:name="fig-miv-verkehrsleistung"/>
            <w:r>
              <w:rPr>
                <w:noProof/>
              </w:rPr>
              <w:lastRenderedPageBreak/>
              <w:drawing>
                <wp:inline distT="0" distB="0" distL="0" distR="0" wp14:anchorId="16207114" wp14:editId="759EC3DC">
                  <wp:extent cx="4800600" cy="2370985"/>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Kapitel/../Abbildungen/verkehrsleisting.svg"/>
                          <pic:cNvPicPr>
                            <a:picLocks noChangeAspect="1" noChangeArrowheads="1"/>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800600" cy="2370985"/>
                          </a:xfrm>
                          <a:prstGeom prst="rect">
                            <a:avLst/>
                          </a:prstGeom>
                          <a:noFill/>
                          <a:ln w="9525">
                            <a:noFill/>
                            <a:headEnd/>
                            <a:tailEnd/>
                          </a:ln>
                        </pic:spPr>
                      </pic:pic>
                    </a:graphicData>
                  </a:graphic>
                </wp:inline>
              </w:drawing>
            </w:r>
          </w:p>
          <w:p w14:paraId="05BFD790" w14:textId="77777777" w:rsidR="004E4CC2" w:rsidRDefault="00000000">
            <w:pPr>
              <w:pStyle w:val="ImageCaption"/>
              <w:spacing w:before="200"/>
            </w:pPr>
            <w:r>
              <w:t>Abbildung 8.2: Jährliche MIV-Verkehrsleistung nach Mobilitätsregion (Datenquelle: Österreich unterwegs 2013/2014).</w:t>
            </w:r>
          </w:p>
        </w:tc>
        <w:bookmarkEnd w:id="126"/>
      </w:tr>
    </w:tbl>
    <w:p w14:paraId="1E1E930E" w14:textId="77777777" w:rsidR="004E4CC2" w:rsidRDefault="00000000">
      <w:pPr>
        <w:pStyle w:val="Textkrper"/>
      </w:pPr>
      <w:r>
        <w:t>Ein günstiger Standort, kurze Wege, eine hohe ÖV-Güte, gemischte Nutzungen und ein wirksames Mobilitätskonzept können den MIV-Bedarf vermindern. Bei gleicher Nutzung und gleichem nationalem Budget erhält ein Quartier durch solche realen Minderungen einen günstigeren Bilanzsaldo. Die bloße Bereitstellung einzelner Einrichtungen begründet noch keine beliebige Verkehrsreduktion.</w:t>
      </w:r>
    </w:p>
    <w:p w14:paraId="15FC361D" w14:textId="77777777" w:rsidR="004E4CC2" w:rsidRDefault="00000000">
      <w:pPr>
        <w:pStyle w:val="berschrift2"/>
      </w:pPr>
      <w:bookmarkStart w:id="127" w:name="X275d9e66aae07322038718d1a73c6721296b675"/>
      <w:bookmarkStart w:id="128" w:name="_Toc243681266"/>
      <w:bookmarkEnd w:id="123"/>
      <w:r>
        <w:t>8.4 Abgrenzung von Zielverkehr, Strombedarf und Ladeprofilen</w:t>
      </w:r>
      <w:bookmarkEnd w:id="128"/>
    </w:p>
    <w:p w14:paraId="07B4A897" w14:textId="77777777" w:rsidR="004E4CC2" w:rsidRDefault="00000000">
      <w:pPr>
        <w:pStyle w:val="FirstParagraph"/>
      </w:pPr>
      <w:r>
        <w:t xml:space="preserve">Für die Quartiersbilanz wird der definierte motorisierte individuelle </w:t>
      </w:r>
      <w:r>
        <w:rPr>
          <w:b/>
          <w:bCs/>
        </w:rPr>
        <w:t>Zielverkehr</w:t>
      </w:r>
      <w:r>
        <w:t xml:space="preserve"> zugeordnet. Für die energetische Simulation von Lade- und Speicherflüssen sind hingegen reale Anwesenheit und Ladevorgänge maßgeblich. Ein rechnerisches nationales Mobilitätsbudget stellt weder eine lokale Stromerzeugungsanlage noch verfügbare Ladeleistung oder Batteriekapazität dar. Elektromobilität und flexible Ladevorgänge können die Energiebilanz und Netzbelastung beeinflussen, sind aber mit der tatsächlichen stündlichen Simulation nachzuweisen (Schneider 2026, Abschn. 3.3.4).</w:t>
      </w:r>
    </w:p>
    <w:p w14:paraId="38B46938" w14:textId="77777777" w:rsidR="004E4CC2" w:rsidRDefault="00000000">
      <w:pPr>
        <w:pStyle w:val="berschrift2"/>
      </w:pPr>
      <w:bookmarkStart w:id="129" w:name="dokumentation-und-aktualisierung"/>
      <w:bookmarkStart w:id="130" w:name="_Toc243681267"/>
      <w:bookmarkEnd w:id="127"/>
      <w:r>
        <w:t>8.5 Dokumentation und Aktualisierung</w:t>
      </w:r>
      <w:bookmarkEnd w:id="130"/>
    </w:p>
    <w:p w14:paraId="7C35644E" w14:textId="77777777" w:rsidR="004E4CC2" w:rsidRDefault="00000000">
      <w:pPr>
        <w:pStyle w:val="FirstParagraph"/>
      </w:pPr>
      <w:r>
        <w:t xml:space="preserve">Die Mobilitätsberechnung benötigt zwei unabhängig überprüfbare Datenteile: (1) den in </w:t>
      </w:r>
      <w:hyperlink w:anchor="sec-allokation">
        <w:r>
          <w:rPr>
            <w:rStyle w:val="Hyperlink"/>
          </w:rPr>
          <w:t>Kapitel 5</w:t>
        </w:r>
      </w:hyperlink>
      <w:r>
        <w:t xml:space="preserve"> freigegebenen nationalen MIV-Restbetrag und dessen PE-Umrechnung; (2) Nutzungsflächen, Wege-, Modal-Split- und Flottenannahmen zur Budgetverteilung und Standortbewertung. Ein Wechsel der nationalen Szenarioquelle oder der Verkehrserhebung erfordert eine nachvollziehbare Neukalibrierung und darf nicht durch pauschales Skalieren der bisherigen Gutschrift ersetzt werden.</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94"/>
      </w:tblGrid>
      <w:tr w:rsidR="004E4CC2" w14:paraId="272A5436" w14:textId="77777777" w:rsidTr="004E4CC2">
        <w:trPr>
          <w:cantSplit/>
        </w:trPr>
        <w:tc>
          <w:tcPr>
            <w:tcW w:w="0" w:type="auto"/>
            <w:shd w:val="clear" w:color="auto" w:fill="DAE6FB"/>
            <w:tcMar>
              <w:top w:w="92" w:type="dxa"/>
              <w:bottom w:w="92" w:type="dxa"/>
            </w:tcMar>
          </w:tcPr>
          <w:p w14:paraId="2755F1CF" w14:textId="77777777" w:rsidR="004E4CC2" w:rsidRDefault="00000000">
            <w:pPr>
              <w:pStyle w:val="Textkrper"/>
              <w:spacing w:before="0" w:after="0"/>
              <w:textAlignment w:val="center"/>
            </w:pPr>
            <w:r>
              <w:rPr>
                <w:noProof/>
              </w:rPr>
              <w:drawing>
                <wp:inline distT="0" distB="0" distL="0" distR="0" wp14:anchorId="66CCC695" wp14:editId="58EB1F1D">
                  <wp:extent cx="152400" cy="152400"/>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46" name="Picture" descr="C:\Users\schneids\AppData\Local\Programs\Quarto\share\formats\docx\note.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t xml:space="preserve">  Historischer Bewertungsstand</w:t>
            </w:r>
          </w:p>
        </w:tc>
      </w:tr>
      <w:tr w:rsidR="004E4CC2" w14:paraId="29DB8751" w14:textId="77777777" w:rsidTr="004E4CC2">
        <w:trPr>
          <w:cantSplit/>
        </w:trPr>
        <w:tc>
          <w:tcPr>
            <w:tcW w:w="0" w:type="auto"/>
            <w:tcMar>
              <w:top w:w="108" w:type="dxa"/>
              <w:bottom w:w="108" w:type="dxa"/>
            </w:tcMar>
          </w:tcPr>
          <w:p w14:paraId="1DED766F" w14:textId="77777777" w:rsidR="004E4CC2" w:rsidRDefault="00000000">
            <w:pPr>
              <w:pStyle w:val="Textkrper"/>
              <w:spacing w:before="16" w:after="16"/>
            </w:pPr>
            <w:r>
              <w:lastRenderedPageBreak/>
              <w:t xml:space="preserve">Die ursprüngliche, Streicher-basierte Operationalisierung verwendete ein primärenergetisches MIV-Budget von 10,68 TWh PE/a und daraus abgeleitete Gutschriften nach Nutzung (Schneider u. a. 2023, Tab. 8–9). Diese Zahlen dienen nur zur historischen Einordnung; die neue Gutschrift ist aus der </w:t>
            </w:r>
            <w:r>
              <w:rPr>
                <w:b/>
                <w:bCs/>
              </w:rPr>
              <w:t>Transition-2040-Sektorallokation</w:t>
            </w:r>
            <w:r>
              <w:t xml:space="preserve"> herzuleiten. Wenn eine bestehende Toolversion noch historische Werte anwendet, ist das als gesonderter </w:t>
            </w:r>
            <w:r>
              <w:rPr>
                <w:i/>
                <w:iCs/>
              </w:rPr>
              <w:t>Implementierungsstand</w:t>
            </w:r>
            <w:r>
              <w:t>, nicht als Ergebnis der Neukalibrierung, zu kennzeichnen.</w:t>
            </w:r>
          </w:p>
          <w:p w14:paraId="39E5397F" w14:textId="77777777" w:rsidR="004E4CC2" w:rsidRDefault="004E4CC2"/>
        </w:tc>
      </w:tr>
    </w:tbl>
    <w:p w14:paraId="65E30185" w14:textId="77777777" w:rsidR="004E4CC2" w:rsidRDefault="00000000">
      <w:pPr>
        <w:pStyle w:val="berschrift1"/>
      </w:pPr>
      <w:bookmarkStart w:id="131" w:name="sec-kontext-sanierung"/>
      <w:bookmarkStart w:id="132" w:name="_Toc243681268"/>
      <w:bookmarkEnd w:id="115"/>
      <w:bookmarkEnd w:id="129"/>
      <w:r>
        <w:t>9. Kontextfaktor Sanierung</w:t>
      </w:r>
      <w:bookmarkEnd w:id="132"/>
    </w:p>
    <w:p w14:paraId="50BE3603" w14:textId="77777777" w:rsidR="004E4CC2" w:rsidRDefault="00000000">
      <w:pPr>
        <w:pStyle w:val="FirstParagraph"/>
      </w:pPr>
      <w:r>
        <w:t>Typologieabhängige Sanierungsanpassungen statt einer pauschalen Flächengutschrift</w:t>
      </w:r>
    </w:p>
    <w:p w14:paraId="2C2B041B" w14:textId="77777777" w:rsidR="004E4CC2" w:rsidRDefault="00000000">
      <w:pPr>
        <w:pStyle w:val="Textkrper"/>
      </w:pPr>
      <w:r>
        <w:t xml:space="preserve">Die Sanierungsanpassung berücksichtigt spezifische technische und bauliche Randbedingungen bestehender Gebäude. In der </w:t>
      </w:r>
      <w:r>
        <w:rPr>
          <w:b/>
          <w:bCs/>
        </w:rPr>
        <w:t>neuen PEQ-Kalibrierung</w:t>
      </w:r>
      <w:r>
        <w:t xml:space="preserve"> wird sie </w:t>
      </w:r>
      <w:r>
        <w:rPr>
          <w:b/>
          <w:bCs/>
        </w:rPr>
        <w:t>je energetischer Gebäudetypologie</w:t>
      </w:r>
      <w:r>
        <w:t xml:space="preserve"> definiert und mit deren Flächenanteilen sowie den übrigen Energieanforderungen abgestimmt (</w:t>
      </w:r>
      <w:hyperlink w:anchor="sec-gebaeudebestand">
        <w:r>
          <w:rPr>
            <w:rStyle w:val="Hyperlink"/>
          </w:rPr>
          <w:t>Kapitel 6</w:t>
        </w:r>
      </w:hyperlink>
      <w:r>
        <w:t xml:space="preserve">; </w:t>
      </w:r>
      <w:hyperlink w:anchor="sec-kalibrierung">
        <w:r>
          <w:rPr>
            <w:rStyle w:val="Hyperlink"/>
          </w:rPr>
          <w:t>Kapitel 7</w:t>
        </w:r>
      </w:hyperlink>
      <w:r>
        <w:t>). Sie ist damit kein von der nationalen Gebäudesektorbilanz unabhängiger, allgemeiner Pauschalbonus.</w:t>
      </w:r>
    </w:p>
    <w:p w14:paraId="094952AF" w14:textId="77777777" w:rsidR="004E4CC2" w:rsidRDefault="00000000">
      <w:pPr>
        <w:pStyle w:val="berschrift2"/>
      </w:pPr>
      <w:bookmarkStart w:id="133" w:name="Xb83b51ee6af25ad16dd871f4b7fee0531797f91"/>
      <w:bookmarkStart w:id="134" w:name="_Toc243681269"/>
      <w:r>
        <w:t>9.1 Ableitung aus den neuen Gebäudetypologien</w:t>
      </w:r>
      <w:bookmarkEnd w:id="134"/>
    </w:p>
    <w:p w14:paraId="5CF5B301" w14:textId="77777777" w:rsidR="004E4CC2" w:rsidRDefault="00000000">
      <w:pPr>
        <w:pStyle w:val="FirstParagraph"/>
      </w:pPr>
      <w:r>
        <w:t xml:space="preserve">Die zu betrachtenden Typologien, ihre energetischen Zustände und die zugehörigen nationalen Flächenanteile werden in </w:t>
      </w:r>
      <w:hyperlink w:anchor="sec-gebaeudebestand">
        <w:r>
          <w:rPr>
            <w:rStyle w:val="Hyperlink"/>
          </w:rPr>
          <w:t>Kapitel 6</w:t>
        </w:r>
      </w:hyperlink>
      <w:r>
        <w:t xml:space="preserve"> festgelegt. Für jede Typologie </w:t>
      </w:r>
      <m:oMath>
        <m:r>
          <w:rPr>
            <w:rFonts w:ascii="Cambria Math" w:hAnsi="Cambria Math"/>
          </w:rPr>
          <m:t>k</m:t>
        </m:r>
      </m:oMath>
      <w:r>
        <w:t xml:space="preserve"> ist zu dokumentieren, ob eine Sanierungsanpassung sachlich gerechtfertigt ist, welchen zulässigen Kontextwert </w:t>
      </w:r>
      <m:oMath>
        <m:sSub>
          <m:sSubPr>
            <m:ctrlPr>
              <w:rPr>
                <w:rFonts w:ascii="Cambria Math" w:hAnsi="Cambria Math"/>
              </w:rPr>
            </m:ctrlPr>
          </m:sSubPr>
          <m:e>
            <m:r>
              <w:rPr>
                <w:rFonts w:ascii="Cambria Math" w:hAnsi="Cambria Math"/>
              </w:rPr>
              <m:t>c</m:t>
            </m:r>
          </m:e>
          <m:sub>
            <m:r>
              <m:rPr>
                <m:sty m:val="p"/>
              </m:rPr>
              <w:rPr>
                <w:rFonts w:ascii="Cambria Math" w:hAnsi="Cambria Math"/>
              </w:rPr>
              <m:t>S,</m:t>
            </m:r>
            <m:r>
              <w:rPr>
                <w:rFonts w:ascii="Cambria Math" w:hAnsi="Cambria Math"/>
              </w:rPr>
              <m:t>k</m:t>
            </m:r>
          </m:sub>
        </m:sSub>
      </m:oMath>
      <w:r>
        <w:t xml:space="preserve"> sie erhält und wie dieser Wert mit den modellierten typologischen Anforderungen zusammenhängt.</w:t>
      </w:r>
    </w:p>
    <w:p w14:paraId="58E10660" w14:textId="77777777" w:rsidR="004E4CC2" w:rsidRDefault="00000000">
      <w:pPr>
        <w:pStyle w:val="Textkrper"/>
      </w:pPr>
      <w:r>
        <w:t xml:space="preserve">Eine typologiespezifische Anpassung kann insbesondere die im Bestand eingeschränkten Maßnahmenmöglichkeiten berücksichtigen. Die konkreten Kriterien – zum Beispiel Sanierungstiefe, vorhandene Konstruktion und verbleibender energetischer Bedarf – sind anhand der neuen Klassen zu definieren. Die Höhe ist </w:t>
      </w:r>
      <w:r>
        <w:rPr>
          <w:b/>
          <w:bCs/>
        </w:rPr>
        <w:t>Ergebnis der gemeinsamen Kalibrierung</w:t>
      </w:r>
      <w:r>
        <w:t>, nicht automatisch der Abstand zu einem Neubau-Bedarfswert und nicht eine pauschal behauptete CO₂-Einsparung.</w:t>
      </w:r>
    </w:p>
    <w:p w14:paraId="4BBE88FC" w14:textId="77777777" w:rsidR="004E4CC2" w:rsidRDefault="00000000">
      <w:pPr>
        <w:pStyle w:val="berschrift2"/>
      </w:pPr>
      <w:bookmarkStart w:id="135" w:name="anwendung-auf-gemischte-quartiere"/>
      <w:bookmarkStart w:id="136" w:name="_Toc243681270"/>
      <w:bookmarkEnd w:id="133"/>
      <w:r>
        <w:t>9.2 Anwendung auf gemischte Quartiere</w:t>
      </w:r>
      <w:bookmarkEnd w:id="136"/>
    </w:p>
    <w:p w14:paraId="679A0BE7" w14:textId="77777777" w:rsidR="004E4CC2" w:rsidRDefault="00000000">
      <w:pPr>
        <w:pStyle w:val="FirstParagraph"/>
      </w:pPr>
      <w:r>
        <w:t>Enthält ein Quartier mehrere nachweisrelevante Gebäudetypologien, kann der spezifische Kontextwert als nutzflächengewichteter Mittelwert gebildet werden:</w:t>
      </w:r>
    </w:p>
    <w:bookmarkStart w:id="137" w:name="eq-sanierungskontext"/>
    <w:p w14:paraId="1BC78D63"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Sanierung,typ</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A</m:t>
                      </m:r>
                    </m:e>
                    <m:sub>
                      <m:r>
                        <m:rPr>
                          <m:sty m:val="p"/>
                        </m:rPr>
                        <w:rPr>
                          <w:rFonts w:ascii="Cambria Math" w:hAnsi="Cambria Math"/>
                        </w:rPr>
                        <m:t>NGF,</m:t>
                      </m:r>
                      <m:r>
                        <w:rPr>
                          <w:rFonts w:ascii="Cambria Math" w:hAnsi="Cambria Math"/>
                        </w:rPr>
                        <m:t>k</m:t>
                      </m:r>
                    </m:sub>
                    <m:sup>
                      <m:r>
                        <m:rPr>
                          <m:sty m:val="p"/>
                        </m:rPr>
                        <w:rPr>
                          <w:rFonts w:ascii="Cambria Math" w:hAnsi="Cambria Math"/>
                        </w:rPr>
                        <m:t>Quartier</m:t>
                      </m:r>
                    </m:sup>
                  </m:sSubSup>
                </m:e>
              </m:nary>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S,</m:t>
                  </m:r>
                  <m:r>
                    <w:rPr>
                      <w:rFonts w:ascii="Cambria Math" w:hAnsi="Cambria Math"/>
                    </w:rPr>
                    <m:t>k</m:t>
                  </m:r>
                </m:sub>
              </m:sSub>
            </m:num>
            <m:den>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A</m:t>
                      </m:r>
                    </m:e>
                    <m:sub>
                      <m:r>
                        <m:rPr>
                          <m:sty m:val="p"/>
                        </m:rPr>
                        <w:rPr>
                          <w:rFonts w:ascii="Cambria Math" w:hAnsi="Cambria Math"/>
                        </w:rPr>
                        <m:t>NGF,</m:t>
                      </m:r>
                      <m:r>
                        <w:rPr>
                          <w:rFonts w:ascii="Cambria Math" w:hAnsi="Cambria Math"/>
                        </w:rPr>
                        <m:t>k</m:t>
                      </m:r>
                    </m:sub>
                    <m:sup>
                      <m:r>
                        <m:rPr>
                          <m:sty m:val="p"/>
                        </m:rPr>
                        <w:rPr>
                          <w:rFonts w:ascii="Cambria Math" w:hAnsi="Cambria Math"/>
                        </w:rPr>
                        <m:t>Quartier</m:t>
                      </m:r>
                    </m:sup>
                  </m:sSubSup>
                </m:e>
              </m:nary>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9.1</m:t>
          </m:r>
          <m:r>
            <m:rPr>
              <m:sty m:val="p"/>
            </m:rPr>
            <w:rPr>
              <w:rFonts w:ascii="Cambria Math" w:hAnsi="Cambria Math"/>
            </w:rPr>
            <m:t>)</m:t>
          </m:r>
        </m:oMath>
      </m:oMathPara>
      <w:bookmarkEnd w:id="137"/>
    </w:p>
    <w:p w14:paraId="5187DB17" w14:textId="77777777" w:rsidR="004E4CC2" w:rsidRDefault="00000000">
      <w:pPr>
        <w:pStyle w:val="FirstParagraph"/>
      </w:pPr>
      <w:r>
        <w:t xml:space="preserve">Voraussetzung ist, dass jede Teilfläche eindeutig einer freigegebenen Typologie zugeordnet ist. Die Werte sind in kWh PE/(m² NGF·a) auszudrücken. Die nationalen Eingabeflächen der </w:t>
      </w:r>
      <w:r>
        <w:lastRenderedPageBreak/>
        <w:t xml:space="preserve">Kalibrierung können dagegen BGF sein; die Umrechnung wird in </w:t>
      </w:r>
      <w:hyperlink w:anchor="sec-kalibrierung">
        <w:r>
          <w:rPr>
            <w:rStyle w:val="Hyperlink"/>
          </w:rPr>
          <w:t>Kapitel 7</w:t>
        </w:r>
      </w:hyperlink>
      <w:r>
        <w:t xml:space="preserve"> nachvollziehbar dokumentiert. Neubau- und Bestandsflächen werden nicht allein wegen der Zugehörigkeit zu demselben Quartier gleichbehandelt.</w:t>
      </w:r>
    </w:p>
    <w:p w14:paraId="63ECF02C" w14:textId="77777777" w:rsidR="004E4CC2" w:rsidRDefault="00000000">
      <w:pPr>
        <w:pStyle w:val="Textkrper"/>
      </w:pPr>
      <w:r>
        <w:t xml:space="preserve">Die Sanierungsanpassung ändert die </w:t>
      </w:r>
      <w:r>
        <w:rPr>
          <w:b/>
          <w:bCs/>
        </w:rPr>
        <w:t>Bewertungsanforderung</w:t>
      </w:r>
      <w:r>
        <w:t>, nicht die tatsächlich simulierten Energieflüsse. Bereits in einem typologiebezogenen Ausgangsziel berücksichtigte Vorteile dürfen nicht zusätzlich als Gutschrift angesetzt werden. Erhaltene Bausubstanz und eingesparte graue Emissionen wirken, soweit methodisch vorgesehen, in der eigenständigen Lebenszyklus-THG-Bilanz; die Primärenergieanpassung ist nicht noch einmal eine vermiedene CO₂-Menge.</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94"/>
      </w:tblGrid>
      <w:tr w:rsidR="004E4CC2" w14:paraId="49F26284" w14:textId="77777777" w:rsidTr="004E4CC2">
        <w:trPr>
          <w:cantSplit/>
        </w:trPr>
        <w:tc>
          <w:tcPr>
            <w:tcW w:w="0" w:type="auto"/>
            <w:shd w:val="clear" w:color="auto" w:fill="DAE6FB"/>
            <w:tcMar>
              <w:top w:w="92" w:type="dxa"/>
              <w:bottom w:w="92" w:type="dxa"/>
            </w:tcMar>
          </w:tcPr>
          <w:p w14:paraId="13C6BAA1" w14:textId="77777777" w:rsidR="004E4CC2" w:rsidRDefault="00000000">
            <w:pPr>
              <w:pStyle w:val="Textkrper"/>
              <w:spacing w:before="0" w:after="0"/>
              <w:textAlignment w:val="center"/>
            </w:pPr>
            <w:r>
              <w:rPr>
                <w:noProof/>
              </w:rPr>
              <w:drawing>
                <wp:inline distT="0" distB="0" distL="0" distR="0" wp14:anchorId="4F158555" wp14:editId="07A8FA01">
                  <wp:extent cx="152400" cy="152400"/>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C:\Users\schneids\AppData\Local\Programs\Quarto\share\formats\docx\note.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t xml:space="preserve">  Parameterstand</w:t>
            </w:r>
          </w:p>
        </w:tc>
      </w:tr>
      <w:tr w:rsidR="004E4CC2" w14:paraId="2E70C82C" w14:textId="77777777" w:rsidTr="004E4CC2">
        <w:trPr>
          <w:cantSplit/>
        </w:trPr>
        <w:tc>
          <w:tcPr>
            <w:tcW w:w="0" w:type="auto"/>
            <w:tcMar>
              <w:top w:w="108" w:type="dxa"/>
              <w:bottom w:w="108" w:type="dxa"/>
            </w:tcMar>
          </w:tcPr>
          <w:p w14:paraId="72BA4C59" w14:textId="77777777" w:rsidR="004E4CC2" w:rsidRDefault="00000000">
            <w:pPr>
              <w:pStyle w:val="Textkrper"/>
              <w:spacing w:before="16" w:after="16"/>
            </w:pPr>
            <w:r>
              <w:t>Der Entwurf definiert die typologische Zuordnung und Aggregationsregel. Numerische Sanierungswerte je Typ sind nicht festgelegt. Die historische Pauschale ist ausschließlich als Vergleichsstand dokumentiert.</w:t>
            </w:r>
          </w:p>
          <w:p w14:paraId="700FEFD6" w14:textId="77777777" w:rsidR="004E4CC2" w:rsidRDefault="004E4CC2"/>
        </w:tc>
      </w:tr>
    </w:tbl>
    <w:p w14:paraId="37BC1B53" w14:textId="77777777" w:rsidR="004E4CC2" w:rsidRDefault="00000000">
      <w:pPr>
        <w:pStyle w:val="Textkrper"/>
      </w:pPr>
      <w:r>
        <w:t xml:space="preserve"> </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94"/>
      </w:tblGrid>
      <w:tr w:rsidR="004E4CC2" w14:paraId="7882E05A" w14:textId="77777777" w:rsidTr="004E4CC2">
        <w:trPr>
          <w:cantSplit/>
        </w:trPr>
        <w:tc>
          <w:tcPr>
            <w:tcW w:w="0" w:type="auto"/>
            <w:shd w:val="clear" w:color="auto" w:fill="DAE6FB"/>
            <w:tcMar>
              <w:top w:w="92" w:type="dxa"/>
              <w:bottom w:w="92" w:type="dxa"/>
            </w:tcMar>
          </w:tcPr>
          <w:p w14:paraId="467102BD" w14:textId="77777777" w:rsidR="004E4CC2" w:rsidRDefault="00000000">
            <w:pPr>
              <w:pStyle w:val="Textkrper"/>
              <w:spacing w:before="0" w:after="0"/>
              <w:textAlignment w:val="center"/>
            </w:pPr>
            <w:r>
              <w:rPr>
                <w:noProof/>
              </w:rPr>
              <w:drawing>
                <wp:inline distT="0" distB="0" distL="0" distR="0" wp14:anchorId="788BAFF5" wp14:editId="21EA41AB">
                  <wp:extent cx="152400" cy="152400"/>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C:\Users\schneids\AppData\Local\Programs\Quarto\share\formats\docx\note.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t xml:space="preserve">  Historische Einordnung</w:t>
            </w:r>
          </w:p>
        </w:tc>
      </w:tr>
      <w:tr w:rsidR="004E4CC2" w14:paraId="61DE0B79" w14:textId="77777777" w:rsidTr="004E4CC2">
        <w:trPr>
          <w:cantSplit/>
        </w:trPr>
        <w:tc>
          <w:tcPr>
            <w:tcW w:w="0" w:type="auto"/>
            <w:tcMar>
              <w:top w:w="108" w:type="dxa"/>
              <w:bottom w:w="108" w:type="dxa"/>
            </w:tcMar>
          </w:tcPr>
          <w:p w14:paraId="4FE5D8C7" w14:textId="77777777" w:rsidR="004E4CC2" w:rsidRDefault="00000000">
            <w:pPr>
              <w:pStyle w:val="Textkrper"/>
              <w:spacing w:before="16" w:after="16"/>
            </w:pPr>
            <w:r>
              <w:t xml:space="preserve">Die bisherige Operationalisierung nutzte eine pauschale Sanierungsgutschrift von </w:t>
            </w:r>
            <w:r>
              <w:rPr>
                <w:b/>
                <w:bCs/>
              </w:rPr>
              <w:t>15 kWh PE/(m² NGF·a)</w:t>
            </w:r>
            <w:r>
              <w:t xml:space="preserve">, flächenanteilig angewendet (Schneider u. a. 2026, 14). Sie wird hier ausschließlich als früherer Stand genannt und </w:t>
            </w:r>
            <w:r>
              <w:rPr>
                <w:b/>
                <w:bCs/>
              </w:rPr>
              <w:t>nicht</w:t>
            </w:r>
            <w:r>
              <w:t xml:space="preserve"> als Regel der neuen typologischen Kalibrierung fortgeschrieben.</w:t>
            </w:r>
          </w:p>
          <w:p w14:paraId="3FBA1C57" w14:textId="77777777" w:rsidR="004E4CC2" w:rsidRDefault="004E4CC2"/>
        </w:tc>
      </w:tr>
    </w:tbl>
    <w:p w14:paraId="1E6B00F1" w14:textId="77777777" w:rsidR="004E4CC2" w:rsidRDefault="00000000">
      <w:pPr>
        <w:pStyle w:val="berschrift1"/>
      </w:pPr>
      <w:bookmarkStart w:id="138" w:name="sec-zielwert-thg"/>
      <w:bookmarkStart w:id="139" w:name="_Toc243681271"/>
      <w:bookmarkEnd w:id="131"/>
      <w:bookmarkEnd w:id="135"/>
      <w:r>
        <w:t>10. Zielwert THG</w:t>
      </w:r>
      <w:bookmarkEnd w:id="139"/>
    </w:p>
    <w:p w14:paraId="0A0FEB2E" w14:textId="77777777" w:rsidR="004E4CC2" w:rsidRDefault="00000000">
      <w:pPr>
        <w:pStyle w:val="FirstParagraph"/>
      </w:pPr>
      <w:r>
        <w:t>Vom nationalen Klimabudget zum kumulierten Emissionsbudget eines Quartiers</w:t>
      </w:r>
    </w:p>
    <w:p w14:paraId="1FBDFE15" w14:textId="77777777" w:rsidR="004E4CC2" w:rsidRDefault="00000000">
      <w:pPr>
        <w:pStyle w:val="Textkrper"/>
      </w:pPr>
      <w:r>
        <w:t>Der Energiezielwert beschreibt die jährliche Leistung im Zielsystem. Der THG-Zielwert begrenzt dagegen die kumulierten Emissionen aus Errichtung, Betrieb, Instandhaltung und MIV über 50 Jahre.</w:t>
      </w:r>
    </w:p>
    <w:p w14:paraId="56C93236" w14:textId="77777777" w:rsidR="004E4CC2" w:rsidRDefault="00000000">
      <w:pPr>
        <w:pStyle w:val="berschrift2"/>
      </w:pPr>
      <w:bookmarkStart w:id="140" w:name="X800464f0b9f88766e96e418f2bee3f23e8f98d6"/>
      <w:bookmarkStart w:id="141" w:name="_Toc243681272"/>
      <w:r>
        <w:t>10.1 Wie entstehen 320 kg CO₂e je Quadratmeter?</w:t>
      </w:r>
      <w:bookmarkEnd w:id="141"/>
    </w:p>
    <w:p w14:paraId="7F981F80" w14:textId="77777777" w:rsidR="004E4CC2" w:rsidRDefault="00000000">
      <w:pPr>
        <w:pStyle w:val="berschrift3"/>
      </w:pPr>
      <w:bookmarkStart w:id="142" w:name="X69221e837d6f499a532ccbdb06e4905e8d0df60"/>
      <w:bookmarkStart w:id="143" w:name="_Toc243681273"/>
      <w:r>
        <w:t>10.1.1 Nationale Grundlage und sektorale Verteilung</w:t>
      </w:r>
      <w:bookmarkEnd w:id="143"/>
    </w:p>
    <w:p w14:paraId="09FD6232" w14:textId="77777777" w:rsidR="004E4CC2" w:rsidRDefault="00000000">
      <w:pPr>
        <w:pStyle w:val="FirstParagraph"/>
      </w:pPr>
      <w:r>
        <w:t xml:space="preserve">Das Verfahren unterscheidet drei Budgetvarianten. Ausgangspunkte sind das verbleibende nationale CO₂-Budget, Annahmen über natürliche Senken, ein Anteil von 50 % für Gebäude und MIV sowie eine nationale Bezugsfläche von 906,7 Mio. m² BGF. Der Klimabudgetansatz bezieht sich auf 1,5 °C mit 66 % Wahrscheinlichkeit; dokumentiert werden Varianten mit </w:t>
      </w:r>
      <w:r>
        <w:lastRenderedPageBreak/>
        <w:t>und ohne temporäre Überschreitung des Temperaturziels (Schneider u. a. 2025, Abschn. 2.3, Tab. 2 und A1, S. 6–7, 30).</w:t>
      </w:r>
    </w:p>
    <w:p w14:paraId="58ACD2D5" w14:textId="77777777" w:rsidR="004E4CC2" w:rsidRDefault="00000000">
      <w:pPr>
        <w:pStyle w:val="Textkrper"/>
      </w:pPr>
      <w:r>
        <w:t xml:space="preserve">Die Budgetvarianten L1, L2 und L3 beruhen auf einem Klimabudget </w:t>
      </w:r>
      <w:r>
        <w:rPr>
          <w:b/>
          <w:bCs/>
        </w:rPr>
        <w:t>ohne temporäre Überschreitung</w:t>
      </w:r>
      <w:r>
        <w:t xml:space="preserve"> des Temperaturziels: Von 280 Mt CO₂ ab 2022 verbleiben nach Abzug der bis Ende 2024 angesetzten Emissionen 130 Mt ab 2025. Dieses Ausgangsbudget bildet die Referenz der Bewertung (Schneider u. a. 2025, Tab. A1).</w:t>
      </w:r>
    </w:p>
    <w:p w14:paraId="792117D5" w14:textId="77777777" w:rsidR="004E4CC2" w:rsidRDefault="00000000">
      <w:pPr>
        <w:pStyle w:val="Textkrper"/>
      </w:pPr>
      <w:r>
        <w:t xml:space="preserve">Mit nationalem Restbudget </w:t>
      </w:r>
      <m:oMath>
        <m:sSub>
          <m:sSubPr>
            <m:ctrlPr>
              <w:rPr>
                <w:rFonts w:ascii="Cambria Math" w:hAnsi="Cambria Math"/>
              </w:rPr>
            </m:ctrlPr>
          </m:sSubPr>
          <m:e>
            <m:r>
              <w:rPr>
                <w:rFonts w:ascii="Cambria Math" w:hAnsi="Cambria Math"/>
              </w:rPr>
              <m:t>B</m:t>
            </m:r>
          </m:e>
          <m:sub>
            <m:r>
              <m:rPr>
                <m:sty m:val="p"/>
              </m:rPr>
              <w:rPr>
                <w:rFonts w:ascii="Cambria Math" w:hAnsi="Cambria Math"/>
              </w:rPr>
              <m:t>AT</m:t>
            </m:r>
          </m:sub>
        </m:sSub>
      </m:oMath>
      <w:r>
        <w:t xml:space="preserve">, Bevölkerung </w:t>
      </w:r>
      <m:oMath>
        <m:r>
          <w:rPr>
            <w:rFonts w:ascii="Cambria Math" w:hAnsi="Cambria Math"/>
          </w:rPr>
          <m:t>P</m:t>
        </m:r>
      </m:oMath>
      <w:r>
        <w:t xml:space="preserve">, jährlicher Senkenleistung je Person </w:t>
      </w:r>
      <m:oMath>
        <m:r>
          <w:rPr>
            <w:rFonts w:ascii="Cambria Math" w:hAnsi="Cambria Math"/>
          </w:rPr>
          <m:t>s</m:t>
        </m:r>
      </m:oMath>
      <w:r>
        <w:t xml:space="preserve">, Zeitraum </w:t>
      </w:r>
      <m:oMath>
        <m:r>
          <w:rPr>
            <w:rFonts w:ascii="Cambria Math" w:hAnsi="Cambria Math"/>
          </w:rPr>
          <m:t>T</m:t>
        </m:r>
      </m:oMath>
      <w:r>
        <w:t xml:space="preserve">, Sektoranteil </w:t>
      </w:r>
      <m:oMath>
        <m:r>
          <w:rPr>
            <w:rFonts w:ascii="Cambria Math" w:hAnsi="Cambria Math"/>
          </w:rPr>
          <m:t>α</m:t>
        </m:r>
      </m:oMath>
      <w:r>
        <w:t xml:space="preserve"> und Bezugsfläche </w:t>
      </w:r>
      <m:oMath>
        <m:sSub>
          <m:sSubPr>
            <m:ctrlPr>
              <w:rPr>
                <w:rFonts w:ascii="Cambria Math" w:hAnsi="Cambria Math"/>
              </w:rPr>
            </m:ctrlPr>
          </m:sSubPr>
          <m:e>
            <m:r>
              <w:rPr>
                <w:rFonts w:ascii="Cambria Math" w:hAnsi="Cambria Math"/>
              </w:rPr>
              <m:t>A</m:t>
            </m:r>
          </m:e>
          <m:sub>
            <m:r>
              <w:rPr>
                <w:rFonts w:ascii="Cambria Math" w:hAnsi="Cambria Math"/>
              </w:rPr>
              <m:t>B</m:t>
            </m:r>
          </m:sub>
        </m:sSub>
      </m:oMath>
      <w:r>
        <w:t xml:space="preserve"> gilt:</w:t>
      </w:r>
    </w:p>
    <w:bookmarkStart w:id="144" w:name="eq-thg-allokation"/>
    <w:p w14:paraId="059C3A26"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b</m:t>
              </m:r>
            </m:e>
            <m:sub>
              <m:r>
                <m:rPr>
                  <m:sty m:val="p"/>
                </m:rPr>
                <w:rPr>
                  <w:rFonts w:ascii="Cambria Math" w:hAnsi="Cambria Math"/>
                </w:rPr>
                <m:t>THG</m:t>
              </m:r>
            </m:sub>
          </m:sSub>
          <m:r>
            <m:rPr>
              <m:sty m:val="p"/>
            </m:rPr>
            <w:rPr>
              <w:rFonts w:ascii="Cambria Math" w:hAnsi="Cambria Math"/>
            </w:rPr>
            <m:t>=</m:t>
          </m:r>
          <m:f>
            <m:fPr>
              <m:ctrlPr>
                <w:rPr>
                  <w:rFonts w:ascii="Cambria Math" w:hAnsi="Cambria Math"/>
                </w:rPr>
              </m:ctrlPr>
            </m:fPr>
            <m:num>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AT</m:t>
                      </m:r>
                    </m:sub>
                  </m:sSub>
                  <m:r>
                    <m:rPr>
                      <m:sty m:val="p"/>
                    </m:rPr>
                    <w:rPr>
                      <w:rFonts w:ascii="Cambria Math" w:hAnsi="Cambria Math"/>
                    </w:rPr>
                    <m:t>+</m:t>
                  </m:r>
                  <m:r>
                    <w:rPr>
                      <w:rFonts w:ascii="Cambria Math" w:hAnsi="Cambria Math"/>
                    </w:rPr>
                    <m:t>P s T</m:t>
                  </m:r>
                </m:e>
              </m:d>
            </m:num>
            <m:den>
              <m:sSub>
                <m:sSubPr>
                  <m:ctrlPr>
                    <w:rPr>
                      <w:rFonts w:ascii="Cambria Math" w:hAnsi="Cambria Math"/>
                    </w:rPr>
                  </m:ctrlPr>
                </m:sSubPr>
                <m:e>
                  <m:r>
                    <w:rPr>
                      <w:rFonts w:ascii="Cambria Math" w:hAnsi="Cambria Math"/>
                    </w:rPr>
                    <m:t>A</m:t>
                  </m:r>
                </m:e>
                <m:sub>
                  <m:r>
                    <w:rPr>
                      <w:rFonts w:ascii="Cambria Math" w:hAnsi="Cambria Math"/>
                    </w:rPr>
                    <m:t>B</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10.1</m:t>
          </m:r>
          <m:r>
            <m:rPr>
              <m:sty m:val="p"/>
            </m:rPr>
            <w:rPr>
              <w:rFonts w:ascii="Cambria Math" w:hAnsi="Cambria Math"/>
            </w:rPr>
            <m:t>)</m:t>
          </m:r>
        </m:oMath>
      </m:oMathPara>
      <w:bookmarkEnd w:id="144"/>
    </w:p>
    <w:p w14:paraId="556F6958" w14:textId="77777777" w:rsidR="004E4CC2" w:rsidRDefault="00000000">
      <w:pPr>
        <w:pStyle w:val="FirstParagraph"/>
      </w:pPr>
      <w:r>
        <w:t>Budget und Senkenleistung werden in einer gemeinsamen Masseneinheit angesetzt. Das nationale CO₂-Budget dient als Grundlage für die Zuteilung; auf Quartiersebene werden die Treibhausgase mit GWP100 in CO₂-Äquivalenten bewertet.</w:t>
      </w:r>
    </w:p>
    <w:tbl>
      <w:tblPr>
        <w:tblStyle w:val="Table"/>
        <w:tblW w:w="5000" w:type="pct"/>
        <w:tblLayout w:type="fixed"/>
        <w:tblLook w:val="0000" w:firstRow="0" w:lastRow="0" w:firstColumn="0" w:lastColumn="0" w:noHBand="0" w:noVBand="0"/>
      </w:tblPr>
      <w:tblGrid>
        <w:gridCol w:w="9622"/>
      </w:tblGrid>
      <w:tr w:rsidR="004E4CC2" w14:paraId="0E459F67" w14:textId="77777777">
        <w:tc>
          <w:tcPr>
            <w:tcW w:w="7920" w:type="dxa"/>
          </w:tcPr>
          <w:p w14:paraId="2E292EE2" w14:textId="77777777" w:rsidR="004E4CC2" w:rsidRDefault="00000000">
            <w:pPr>
              <w:pStyle w:val="ImageCaption"/>
              <w:spacing w:before="200"/>
            </w:pPr>
            <w:bookmarkStart w:id="145" w:name="tbl-thg-eingaben"/>
            <w:r>
              <w:t>Tabelle 10.1: Eingangsgrößen der THG-Allokation (Schneider u. a. 2025, Tab. A1, S. 30).</w:t>
            </w:r>
          </w:p>
          <w:tbl>
            <w:tblPr>
              <w:tblStyle w:val="Table"/>
              <w:tblW w:w="5000" w:type="pct"/>
              <w:tblLayout w:type="fixed"/>
              <w:tblLook w:val="0020" w:firstRow="1" w:lastRow="0" w:firstColumn="0" w:lastColumn="0" w:noHBand="0" w:noVBand="0"/>
            </w:tblPr>
            <w:tblGrid>
              <w:gridCol w:w="2822"/>
              <w:gridCol w:w="3762"/>
              <w:gridCol w:w="2822"/>
            </w:tblGrid>
            <w:tr w:rsidR="004E4CC2" w14:paraId="11CF65CF"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376" w:type="dxa"/>
                </w:tcPr>
                <w:p w14:paraId="7CF86CBD" w14:textId="77777777" w:rsidR="004E4CC2" w:rsidRDefault="00000000">
                  <w:pPr>
                    <w:pStyle w:val="Compact"/>
                    <w:jc w:val="center"/>
                  </w:pPr>
                  <w:r>
                    <w:t>Größe</w:t>
                  </w:r>
                </w:p>
              </w:tc>
              <w:tc>
                <w:tcPr>
                  <w:tcW w:w="3168" w:type="dxa"/>
                </w:tcPr>
                <w:p w14:paraId="61708A4A" w14:textId="77777777" w:rsidR="004E4CC2" w:rsidRDefault="00000000">
                  <w:pPr>
                    <w:pStyle w:val="Compact"/>
                    <w:jc w:val="center"/>
                  </w:pPr>
                  <w:r>
                    <w:t>Referenzwert</w:t>
                  </w:r>
                </w:p>
              </w:tc>
              <w:tc>
                <w:tcPr>
                  <w:tcW w:w="2376" w:type="dxa"/>
                </w:tcPr>
                <w:p w14:paraId="35762DFF" w14:textId="77777777" w:rsidR="004E4CC2" w:rsidRDefault="00000000">
                  <w:pPr>
                    <w:pStyle w:val="Compact"/>
                    <w:jc w:val="center"/>
                  </w:pPr>
                  <w:r>
                    <w:t>Funktion</w:t>
                  </w:r>
                </w:p>
              </w:tc>
            </w:tr>
            <w:tr w:rsidR="004E4CC2" w14:paraId="3590484B" w14:textId="77777777">
              <w:tc>
                <w:tcPr>
                  <w:tcW w:w="2376" w:type="dxa"/>
                </w:tcPr>
                <w:p w14:paraId="5C816554" w14:textId="77777777" w:rsidR="004E4CC2" w:rsidRDefault="00000000">
                  <w:pPr>
                    <w:pStyle w:val="Compact"/>
                    <w:jc w:val="center"/>
                  </w:pPr>
                  <w:r>
                    <w:t>Verbleibendes Budget ab 2025</w:t>
                  </w:r>
                </w:p>
              </w:tc>
              <w:tc>
                <w:tcPr>
                  <w:tcW w:w="3168" w:type="dxa"/>
                </w:tcPr>
                <w:p w14:paraId="6B192B05" w14:textId="77777777" w:rsidR="004E4CC2" w:rsidRDefault="00000000">
                  <w:pPr>
                    <w:pStyle w:val="Compact"/>
                    <w:jc w:val="center"/>
                  </w:pPr>
                  <w:r>
                    <w:t>130 Mt CO₂</w:t>
                  </w:r>
                </w:p>
              </w:tc>
              <w:tc>
                <w:tcPr>
                  <w:tcW w:w="2376" w:type="dxa"/>
                </w:tcPr>
                <w:p w14:paraId="3F94410C" w14:textId="77777777" w:rsidR="004E4CC2" w:rsidRDefault="00000000">
                  <w:pPr>
                    <w:pStyle w:val="Compact"/>
                    <w:jc w:val="center"/>
                  </w:pPr>
                  <w:r>
                    <w:t>Ausgangsbudget ohne zusätzliche Senken</w:t>
                  </w:r>
                </w:p>
              </w:tc>
            </w:tr>
            <w:tr w:rsidR="004E4CC2" w14:paraId="70C0C54B" w14:textId="77777777">
              <w:tc>
                <w:tcPr>
                  <w:tcW w:w="2376" w:type="dxa"/>
                </w:tcPr>
                <w:p w14:paraId="7B324467" w14:textId="77777777" w:rsidR="004E4CC2" w:rsidRDefault="00000000">
                  <w:pPr>
                    <w:pStyle w:val="Compact"/>
                    <w:jc w:val="center"/>
                  </w:pPr>
                  <w:r>
                    <w:t>Bevölkerung</w:t>
                  </w:r>
                </w:p>
              </w:tc>
              <w:tc>
                <w:tcPr>
                  <w:tcW w:w="3168" w:type="dxa"/>
                </w:tcPr>
                <w:p w14:paraId="5277177B" w14:textId="77777777" w:rsidR="004E4CC2" w:rsidRDefault="00000000">
                  <w:pPr>
                    <w:pStyle w:val="Compact"/>
                    <w:jc w:val="center"/>
                  </w:pPr>
                  <w:r>
                    <w:t>9,0 Mio. Personen</w:t>
                  </w:r>
                </w:p>
              </w:tc>
              <w:tc>
                <w:tcPr>
                  <w:tcW w:w="2376" w:type="dxa"/>
                </w:tcPr>
                <w:p w14:paraId="3DCCB176" w14:textId="77777777" w:rsidR="004E4CC2" w:rsidRDefault="00000000">
                  <w:pPr>
                    <w:pStyle w:val="Compact"/>
                    <w:jc w:val="center"/>
                  </w:pPr>
                  <w:r>
                    <w:t>Bezug für die Senkenannahme</w:t>
                  </w:r>
                </w:p>
              </w:tc>
            </w:tr>
            <w:tr w:rsidR="004E4CC2" w14:paraId="0F8CC68D" w14:textId="77777777">
              <w:tc>
                <w:tcPr>
                  <w:tcW w:w="2376" w:type="dxa"/>
                </w:tcPr>
                <w:p w14:paraId="2E5DCEC0" w14:textId="77777777" w:rsidR="004E4CC2" w:rsidRDefault="00000000">
                  <w:pPr>
                    <w:pStyle w:val="Compact"/>
                    <w:jc w:val="center"/>
                  </w:pPr>
                  <w:r>
                    <w:t>Betrachtungsdauer</w:t>
                  </w:r>
                </w:p>
              </w:tc>
              <w:tc>
                <w:tcPr>
                  <w:tcW w:w="3168" w:type="dxa"/>
                </w:tcPr>
                <w:p w14:paraId="5FD16301" w14:textId="77777777" w:rsidR="004E4CC2" w:rsidRDefault="00000000">
                  <w:pPr>
                    <w:pStyle w:val="Compact"/>
                    <w:jc w:val="center"/>
                  </w:pPr>
                  <w:r>
                    <w:t>50 Jahre</w:t>
                  </w:r>
                </w:p>
              </w:tc>
              <w:tc>
                <w:tcPr>
                  <w:tcW w:w="2376" w:type="dxa"/>
                </w:tcPr>
                <w:p w14:paraId="7ED01399" w14:textId="77777777" w:rsidR="004E4CC2" w:rsidRDefault="00000000">
                  <w:pPr>
                    <w:pStyle w:val="Compact"/>
                    <w:jc w:val="center"/>
                  </w:pPr>
                  <w:r>
                    <w:t>Kumulation der Senkenannahme</w:t>
                  </w:r>
                </w:p>
              </w:tc>
            </w:tr>
            <w:tr w:rsidR="004E4CC2" w14:paraId="69775DE3" w14:textId="77777777">
              <w:tc>
                <w:tcPr>
                  <w:tcW w:w="2376" w:type="dxa"/>
                </w:tcPr>
                <w:p w14:paraId="26A9CD57" w14:textId="77777777" w:rsidR="004E4CC2" w:rsidRDefault="00000000">
                  <w:pPr>
                    <w:pStyle w:val="Compact"/>
                    <w:jc w:val="center"/>
                  </w:pPr>
                  <w:r>
                    <w:t>Anteil Gebäude und MIV</w:t>
                  </w:r>
                </w:p>
              </w:tc>
              <w:tc>
                <w:tcPr>
                  <w:tcW w:w="3168" w:type="dxa"/>
                </w:tcPr>
                <w:p w14:paraId="5B374C55" w14:textId="77777777" w:rsidR="004E4CC2" w:rsidRDefault="00000000">
                  <w:pPr>
                    <w:pStyle w:val="Compact"/>
                    <w:jc w:val="center"/>
                  </w:pPr>
                  <w:r>
                    <w:t>50 %</w:t>
                  </w:r>
                </w:p>
              </w:tc>
              <w:tc>
                <w:tcPr>
                  <w:tcW w:w="2376" w:type="dxa"/>
                </w:tcPr>
                <w:p w14:paraId="73784EE3" w14:textId="77777777" w:rsidR="004E4CC2" w:rsidRDefault="00000000">
                  <w:pPr>
                    <w:pStyle w:val="Compact"/>
                    <w:jc w:val="center"/>
                  </w:pPr>
                  <w:r>
                    <w:t>Sektorale Zuteilung</w:t>
                  </w:r>
                </w:p>
              </w:tc>
            </w:tr>
            <w:tr w:rsidR="004E4CC2" w14:paraId="16BCEE94" w14:textId="77777777">
              <w:tc>
                <w:tcPr>
                  <w:tcW w:w="2376" w:type="dxa"/>
                </w:tcPr>
                <w:p w14:paraId="2359BE62" w14:textId="77777777" w:rsidR="004E4CC2" w:rsidRDefault="00000000">
                  <w:pPr>
                    <w:pStyle w:val="Compact"/>
                    <w:jc w:val="center"/>
                  </w:pPr>
                  <w:r>
                    <w:t>Nationale Bruttogrundfläche im Zieljahr 2040</w:t>
                  </w:r>
                </w:p>
              </w:tc>
              <w:tc>
                <w:tcPr>
                  <w:tcW w:w="3168" w:type="dxa"/>
                </w:tcPr>
                <w:p w14:paraId="44E9852D" w14:textId="77777777" w:rsidR="004E4CC2" w:rsidRDefault="00000000">
                  <w:pPr>
                    <w:pStyle w:val="Compact"/>
                    <w:jc w:val="center"/>
                  </w:pPr>
                  <w:r>
                    <w:t>906,7 Mio. m²</w:t>
                  </w:r>
                </w:p>
              </w:tc>
              <w:tc>
                <w:tcPr>
                  <w:tcW w:w="2376" w:type="dxa"/>
                </w:tcPr>
                <w:p w14:paraId="4DA6E571" w14:textId="77777777" w:rsidR="004E4CC2" w:rsidRDefault="00000000">
                  <w:pPr>
                    <w:pStyle w:val="Compact"/>
                    <w:jc w:val="center"/>
                  </w:pPr>
                  <w:r>
                    <w:t>Flächenbezogene Verteilung</w:t>
                  </w:r>
                </w:p>
              </w:tc>
            </w:tr>
            <w:bookmarkEnd w:id="145"/>
          </w:tbl>
          <w:p w14:paraId="69196507" w14:textId="77777777" w:rsidR="004E4CC2" w:rsidRDefault="004E4CC2"/>
        </w:tc>
      </w:tr>
    </w:tbl>
    <w:p w14:paraId="2000EE70" w14:textId="77777777" w:rsidR="004E4CC2" w:rsidRDefault="00000000">
      <w:pPr>
        <w:pStyle w:val="Textkrper"/>
      </w:pPr>
      <w:r>
        <w:t xml:space="preserve">Für L3 werden 1 t CO₂e pro Person und Jahr an natürlichen Senken angesetzt. Über 50 Jahre und 9 Mio. Personen entsprechen sie 450 Mt. Zusammen mit dem Ausgangsbudget ergeben sich 580 Mt, davon 290 Mt für Gebäude und MIV. Geteilt durch 906,7 Mio. m² ergibt dies gerundet </w:t>
      </w:r>
      <w:r>
        <w:rPr>
          <w:b/>
          <w:bCs/>
        </w:rPr>
        <w:t>320 kg CO₂e/m² BGF</w:t>
      </w:r>
      <w:r>
        <w:t>.</w:t>
      </w:r>
    </w:p>
    <w:tbl>
      <w:tblPr>
        <w:tblStyle w:val="Table"/>
        <w:tblW w:w="5000" w:type="pct"/>
        <w:tblLayout w:type="fixed"/>
        <w:tblLook w:val="0000" w:firstRow="0" w:lastRow="0" w:firstColumn="0" w:lastColumn="0" w:noHBand="0" w:noVBand="0"/>
      </w:tblPr>
      <w:tblGrid>
        <w:gridCol w:w="9622"/>
      </w:tblGrid>
      <w:tr w:rsidR="004E4CC2" w14:paraId="51EBB2AF" w14:textId="77777777">
        <w:tc>
          <w:tcPr>
            <w:tcW w:w="7920" w:type="dxa"/>
          </w:tcPr>
          <w:p w14:paraId="5EC8051E" w14:textId="77777777" w:rsidR="004E4CC2" w:rsidRDefault="00000000">
            <w:pPr>
              <w:pStyle w:val="ImageCaption"/>
              <w:spacing w:before="200"/>
            </w:pPr>
            <w:bookmarkStart w:id="146" w:name="tbl-thg-budgetvarianten"/>
            <w:r>
              <w:t>Tabelle 10.2: Budgetvarianten nach Schneider et al. (Schneider u. a. 2025, Tab. 2, S. 7).</w:t>
            </w:r>
          </w:p>
          <w:tbl>
            <w:tblPr>
              <w:tblStyle w:val="Table"/>
              <w:tblW w:w="5000" w:type="pct"/>
              <w:tblLayout w:type="fixed"/>
              <w:tblLook w:val="0020" w:firstRow="1" w:lastRow="0" w:firstColumn="0" w:lastColumn="0" w:noHBand="0" w:noVBand="0"/>
            </w:tblPr>
            <w:tblGrid>
              <w:gridCol w:w="2566"/>
              <w:gridCol w:w="3420"/>
              <w:gridCol w:w="3420"/>
            </w:tblGrid>
            <w:tr w:rsidR="004E4CC2" w14:paraId="4B34C158"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160" w:type="dxa"/>
                </w:tcPr>
                <w:p w14:paraId="3A794636" w14:textId="77777777" w:rsidR="004E4CC2" w:rsidRDefault="00000000">
                  <w:pPr>
                    <w:pStyle w:val="Compact"/>
                    <w:jc w:val="center"/>
                  </w:pPr>
                  <w:r>
                    <w:t>Variante</w:t>
                  </w:r>
                </w:p>
              </w:tc>
              <w:tc>
                <w:tcPr>
                  <w:tcW w:w="2880" w:type="dxa"/>
                </w:tcPr>
                <w:p w14:paraId="59875830" w14:textId="77777777" w:rsidR="004E4CC2" w:rsidRDefault="00000000">
                  <w:pPr>
                    <w:pStyle w:val="Compact"/>
                    <w:jc w:val="center"/>
                  </w:pPr>
                  <w:r>
                    <w:t>Senkenannahme [t CO₂e/(Person a)]</w:t>
                  </w:r>
                </w:p>
              </w:tc>
              <w:tc>
                <w:tcPr>
                  <w:tcW w:w="2880" w:type="dxa"/>
                </w:tcPr>
                <w:p w14:paraId="384F09B9" w14:textId="77777777" w:rsidR="004E4CC2" w:rsidRDefault="00000000">
                  <w:pPr>
                    <w:pStyle w:val="Compact"/>
                    <w:jc w:val="center"/>
                  </w:pPr>
                  <w:r>
                    <w:t>THG-Budget [kg CO₂e/m² BGF]</w:t>
                  </w:r>
                </w:p>
              </w:tc>
            </w:tr>
            <w:tr w:rsidR="004E4CC2" w14:paraId="18869BB1" w14:textId="77777777">
              <w:tc>
                <w:tcPr>
                  <w:tcW w:w="2160" w:type="dxa"/>
                </w:tcPr>
                <w:p w14:paraId="41EA1D38" w14:textId="77777777" w:rsidR="004E4CC2" w:rsidRDefault="00000000">
                  <w:pPr>
                    <w:pStyle w:val="Compact"/>
                    <w:jc w:val="center"/>
                  </w:pPr>
                  <w:r>
                    <w:t>L1</w:t>
                  </w:r>
                </w:p>
              </w:tc>
              <w:tc>
                <w:tcPr>
                  <w:tcW w:w="2880" w:type="dxa"/>
                </w:tcPr>
                <w:p w14:paraId="4D6FB56D" w14:textId="77777777" w:rsidR="004E4CC2" w:rsidRDefault="00000000">
                  <w:pPr>
                    <w:pStyle w:val="Compact"/>
                    <w:jc w:val="center"/>
                  </w:pPr>
                  <w:r>
                    <w:t>0</w:t>
                  </w:r>
                </w:p>
              </w:tc>
              <w:tc>
                <w:tcPr>
                  <w:tcW w:w="2880" w:type="dxa"/>
                </w:tcPr>
                <w:p w14:paraId="518FE665" w14:textId="77777777" w:rsidR="004E4CC2" w:rsidRDefault="00000000">
                  <w:pPr>
                    <w:pStyle w:val="Compact"/>
                    <w:jc w:val="center"/>
                  </w:pPr>
                  <w:r>
                    <w:t>72</w:t>
                  </w:r>
                </w:p>
              </w:tc>
            </w:tr>
            <w:tr w:rsidR="004E4CC2" w14:paraId="0ACE86F9" w14:textId="77777777">
              <w:tc>
                <w:tcPr>
                  <w:tcW w:w="2160" w:type="dxa"/>
                </w:tcPr>
                <w:p w14:paraId="7F0F9775" w14:textId="77777777" w:rsidR="004E4CC2" w:rsidRDefault="00000000">
                  <w:pPr>
                    <w:pStyle w:val="Compact"/>
                    <w:jc w:val="center"/>
                  </w:pPr>
                  <w:r>
                    <w:t>L2</w:t>
                  </w:r>
                </w:p>
              </w:tc>
              <w:tc>
                <w:tcPr>
                  <w:tcW w:w="2880" w:type="dxa"/>
                </w:tcPr>
                <w:p w14:paraId="1432729F" w14:textId="77777777" w:rsidR="004E4CC2" w:rsidRDefault="00000000">
                  <w:pPr>
                    <w:pStyle w:val="Compact"/>
                    <w:jc w:val="center"/>
                  </w:pPr>
                  <w:r>
                    <w:t>0,5</w:t>
                  </w:r>
                </w:p>
              </w:tc>
              <w:tc>
                <w:tcPr>
                  <w:tcW w:w="2880" w:type="dxa"/>
                </w:tcPr>
                <w:p w14:paraId="6E63EED6" w14:textId="77777777" w:rsidR="004E4CC2" w:rsidRDefault="00000000">
                  <w:pPr>
                    <w:pStyle w:val="Compact"/>
                    <w:jc w:val="center"/>
                  </w:pPr>
                  <w:r>
                    <w:t>196</w:t>
                  </w:r>
                </w:p>
              </w:tc>
            </w:tr>
            <w:tr w:rsidR="004E4CC2" w14:paraId="635159E0" w14:textId="77777777">
              <w:tc>
                <w:tcPr>
                  <w:tcW w:w="2160" w:type="dxa"/>
                </w:tcPr>
                <w:p w14:paraId="301CC26B" w14:textId="77777777" w:rsidR="004E4CC2" w:rsidRDefault="00000000">
                  <w:pPr>
                    <w:pStyle w:val="Compact"/>
                    <w:jc w:val="center"/>
                  </w:pPr>
                  <w:r>
                    <w:t>L3</w:t>
                  </w:r>
                </w:p>
              </w:tc>
              <w:tc>
                <w:tcPr>
                  <w:tcW w:w="2880" w:type="dxa"/>
                </w:tcPr>
                <w:p w14:paraId="5A5B530B" w14:textId="77777777" w:rsidR="004E4CC2" w:rsidRDefault="00000000">
                  <w:pPr>
                    <w:pStyle w:val="Compact"/>
                    <w:jc w:val="center"/>
                  </w:pPr>
                  <w:r>
                    <w:t>1,0</w:t>
                  </w:r>
                </w:p>
              </w:tc>
              <w:tc>
                <w:tcPr>
                  <w:tcW w:w="2880" w:type="dxa"/>
                </w:tcPr>
                <w:p w14:paraId="7C8DB478" w14:textId="77777777" w:rsidR="004E4CC2" w:rsidRDefault="00000000">
                  <w:pPr>
                    <w:pStyle w:val="Compact"/>
                    <w:jc w:val="center"/>
                  </w:pPr>
                  <w:r>
                    <w:t>320</w:t>
                  </w:r>
                </w:p>
              </w:tc>
            </w:tr>
            <w:bookmarkEnd w:id="146"/>
          </w:tbl>
          <w:p w14:paraId="42F1D100" w14:textId="77777777" w:rsidR="004E4CC2" w:rsidRDefault="004E4CC2"/>
        </w:tc>
      </w:tr>
    </w:tbl>
    <w:p w14:paraId="5A32BA91" w14:textId="77777777" w:rsidR="004E4CC2" w:rsidRDefault="00000000">
      <w:pPr>
        <w:pStyle w:val="Textkrper"/>
      </w:pPr>
      <w:r>
        <w:lastRenderedPageBreak/>
        <w:t xml:space="preserve">Die L-Werte sind </w:t>
      </w:r>
      <w:r>
        <w:rPr>
          <w:b/>
          <w:bCs/>
        </w:rPr>
        <w:t>Budgetvarianten innerhalb der THG-Bewertung</w:t>
      </w:r>
      <w:r>
        <w:t>, nicht die drei PEQ-Qualitätsstufen. Der für diesen Bericht zugrunde gelegte Zertifizierungswert beträgt 320 kg CO₂e/m² BGF. Seine Einhaltung ist zusammen mit der L3-Senkenannahme und den Bilanzregeln zu lesen. Die unterstellte nationale Senkenleistung ist kein vom einzelnen Quartier nachgewiesener Emissionsausgleich.</w:t>
      </w:r>
    </w:p>
    <w:p w14:paraId="672C2218" w14:textId="77777777" w:rsidR="004E4CC2" w:rsidRDefault="00000000">
      <w:pPr>
        <w:pStyle w:val="berschrift2"/>
      </w:pPr>
      <w:bookmarkStart w:id="147" w:name="sec-thg-flaechen"/>
      <w:bookmarkStart w:id="148" w:name="_Toc243681274"/>
      <w:bookmarkEnd w:id="140"/>
      <w:bookmarkEnd w:id="142"/>
      <w:r>
        <w:t>10.2 Gebäudesektor: Bezugsflächen und Entwicklung</w:t>
      </w:r>
      <w:bookmarkEnd w:id="148"/>
    </w:p>
    <w:p w14:paraId="2324CF42" w14:textId="77777777" w:rsidR="004E4CC2" w:rsidRDefault="00000000">
      <w:pPr>
        <w:pStyle w:val="FirstParagraph"/>
      </w:pPr>
      <w:r>
        <w:t xml:space="preserve">Die Fläche bestimmt, wie ein nationales Budget auf Quadratmeter verteilt wird. Die folgenden Datenstände haben unterschiedliche Abgrenzungen; sie bilden </w:t>
      </w:r>
      <w:r>
        <w:rPr>
          <w:b/>
          <w:bCs/>
        </w:rPr>
        <w:t>keine durchgängige Zeitreihe</w:t>
      </w:r>
      <w:r>
        <w:t>. Insbesondere darf aus ihrer Differenz kein Rückgang des Gebäudebestands abgeleitet werden.</w:t>
      </w:r>
    </w:p>
    <w:tbl>
      <w:tblPr>
        <w:tblStyle w:val="Table"/>
        <w:tblW w:w="5000" w:type="pct"/>
        <w:tblLayout w:type="fixed"/>
        <w:tblLook w:val="0000" w:firstRow="0" w:lastRow="0" w:firstColumn="0" w:lastColumn="0" w:noHBand="0" w:noVBand="0"/>
      </w:tblPr>
      <w:tblGrid>
        <w:gridCol w:w="9622"/>
      </w:tblGrid>
      <w:tr w:rsidR="004E4CC2" w14:paraId="7F0C948D" w14:textId="77777777">
        <w:tc>
          <w:tcPr>
            <w:tcW w:w="7920" w:type="dxa"/>
          </w:tcPr>
          <w:p w14:paraId="562FD6F7" w14:textId="77777777" w:rsidR="004E4CC2" w:rsidRDefault="00000000">
            <w:pPr>
              <w:pStyle w:val="ImageCaption"/>
              <w:spacing w:before="200"/>
            </w:pPr>
            <w:bookmarkStart w:id="149" w:name="tbl-thg-flaechenentwicklung"/>
            <w:r>
              <w:t>Tabelle 10.3: Flächenbezüge des Energie- und THG-Modells.</w:t>
            </w:r>
          </w:p>
          <w:tbl>
            <w:tblPr>
              <w:tblStyle w:val="Table"/>
              <w:tblW w:w="5000" w:type="pct"/>
              <w:tblLayout w:type="fixed"/>
              <w:tblLook w:val="0020" w:firstRow="1" w:lastRow="0" w:firstColumn="0" w:lastColumn="0" w:noHBand="0" w:noVBand="0"/>
            </w:tblPr>
            <w:tblGrid>
              <w:gridCol w:w="2016"/>
              <w:gridCol w:w="2687"/>
              <w:gridCol w:w="2687"/>
              <w:gridCol w:w="2016"/>
            </w:tblGrid>
            <w:tr w:rsidR="004E4CC2" w14:paraId="09D537C6"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697" w:type="dxa"/>
                </w:tcPr>
                <w:p w14:paraId="0456A038" w14:textId="77777777" w:rsidR="004E4CC2" w:rsidRDefault="00000000">
                  <w:pPr>
                    <w:pStyle w:val="Compact"/>
                    <w:jc w:val="center"/>
                  </w:pPr>
                  <w:r>
                    <w:t>Datenstand / Horizont</w:t>
                  </w:r>
                </w:p>
              </w:tc>
              <w:tc>
                <w:tcPr>
                  <w:tcW w:w="2262" w:type="dxa"/>
                </w:tcPr>
                <w:p w14:paraId="0A4D39B2" w14:textId="77777777" w:rsidR="004E4CC2" w:rsidRDefault="00000000">
                  <w:pPr>
                    <w:pStyle w:val="Compact"/>
                    <w:jc w:val="center"/>
                  </w:pPr>
                  <w:r>
                    <w:t>BGF [Mio. m²]</w:t>
                  </w:r>
                </w:p>
              </w:tc>
              <w:tc>
                <w:tcPr>
                  <w:tcW w:w="2262" w:type="dxa"/>
                </w:tcPr>
                <w:p w14:paraId="4FAB21BA" w14:textId="77777777" w:rsidR="004E4CC2" w:rsidRDefault="00000000">
                  <w:pPr>
                    <w:pStyle w:val="Compact"/>
                    <w:jc w:val="center"/>
                  </w:pPr>
                  <w:r>
                    <w:t>NGF [Mio. m²]</w:t>
                  </w:r>
                </w:p>
              </w:tc>
              <w:tc>
                <w:tcPr>
                  <w:tcW w:w="1697" w:type="dxa"/>
                </w:tcPr>
                <w:p w14:paraId="7339C205" w14:textId="77777777" w:rsidR="004E4CC2" w:rsidRDefault="00000000">
                  <w:pPr>
                    <w:pStyle w:val="Compact"/>
                    <w:jc w:val="center"/>
                  </w:pPr>
                  <w:r>
                    <w:t>Rolle und Quelle</w:t>
                  </w:r>
                </w:p>
              </w:tc>
            </w:tr>
            <w:tr w:rsidR="004E4CC2" w14:paraId="4D6C37AE" w14:textId="77777777">
              <w:tc>
                <w:tcPr>
                  <w:tcW w:w="1697" w:type="dxa"/>
                </w:tcPr>
                <w:p w14:paraId="53C96771" w14:textId="77777777" w:rsidR="004E4CC2" w:rsidRDefault="00000000">
                  <w:pPr>
                    <w:pStyle w:val="Compact"/>
                    <w:jc w:val="center"/>
                  </w:pPr>
                  <w:r>
                    <w:t>Statistikbezug 2021, GFZ-Hochrechnung</w:t>
                  </w:r>
                </w:p>
              </w:tc>
              <w:tc>
                <w:tcPr>
                  <w:tcW w:w="2262" w:type="dxa"/>
                </w:tcPr>
                <w:p w14:paraId="709242F3" w14:textId="77777777" w:rsidR="004E4CC2" w:rsidRDefault="00000000">
                  <w:pPr>
                    <w:pStyle w:val="Compact"/>
                    <w:jc w:val="center"/>
                  </w:pPr>
                  <w:r>
                    <w:t>1.058,935</w:t>
                  </w:r>
                </w:p>
              </w:tc>
              <w:tc>
                <w:tcPr>
                  <w:tcW w:w="2262" w:type="dxa"/>
                </w:tcPr>
                <w:p w14:paraId="361F4982" w14:textId="77777777" w:rsidR="004E4CC2" w:rsidRDefault="00000000">
                  <w:pPr>
                    <w:pStyle w:val="Compact"/>
                    <w:jc w:val="center"/>
                  </w:pPr>
                  <w:r>
                    <w:t>847,1</w:t>
                  </w:r>
                </w:p>
              </w:tc>
              <w:tc>
                <w:tcPr>
                  <w:tcW w:w="1697" w:type="dxa"/>
                </w:tcPr>
                <w:p w14:paraId="6953C2FC" w14:textId="77777777" w:rsidR="004E4CC2" w:rsidRDefault="00000000">
                  <w:pPr>
                    <w:pStyle w:val="Compact"/>
                    <w:jc w:val="center"/>
                  </w:pPr>
                  <w:r>
                    <w:t xml:space="preserve">Bestandsverteilung nach Nutzung, Bundesland und Geschossklasse; </w:t>
                  </w:r>
                  <w:hyperlink w:anchor="sec-gfz-verteilung">
                    <w:r>
                      <w:rPr>
                        <w:rStyle w:val="Hyperlink"/>
                      </w:rPr>
                      <w:t>Kapitel 6.6</w:t>
                    </w:r>
                  </w:hyperlink>
                  <w:r>
                    <w:t>; BGF = NGF / 0,8</w:t>
                  </w:r>
                </w:p>
              </w:tc>
            </w:tr>
            <w:tr w:rsidR="004E4CC2" w14:paraId="5811D434" w14:textId="77777777">
              <w:tc>
                <w:tcPr>
                  <w:tcW w:w="1697" w:type="dxa"/>
                </w:tcPr>
                <w:p w14:paraId="4BA0EAE6" w14:textId="77777777" w:rsidR="004E4CC2" w:rsidRDefault="00000000">
                  <w:pPr>
                    <w:pStyle w:val="Compact"/>
                    <w:jc w:val="center"/>
                  </w:pPr>
                  <w:r>
                    <w:t>Building-Sector Pool, „heute“ (Jahr offen)</w:t>
                  </w:r>
                </w:p>
              </w:tc>
              <w:tc>
                <w:tcPr>
                  <w:tcW w:w="2262" w:type="dxa"/>
                </w:tcPr>
                <w:p w14:paraId="7760477A" w14:textId="77777777" w:rsidR="004E4CC2" w:rsidRDefault="00000000">
                  <w:pPr>
                    <w:pStyle w:val="Compact"/>
                    <w:jc w:val="center"/>
                  </w:pPr>
                  <w:r>
                    <w:t>1.112,341</w:t>
                  </w:r>
                </w:p>
              </w:tc>
              <w:tc>
                <w:tcPr>
                  <w:tcW w:w="2262" w:type="dxa"/>
                </w:tcPr>
                <w:p w14:paraId="43A30FED" w14:textId="77777777" w:rsidR="004E4CC2" w:rsidRDefault="00000000">
                  <w:pPr>
                    <w:pStyle w:val="Compact"/>
                    <w:jc w:val="center"/>
                  </w:pPr>
                  <w:r>
                    <w:t>889,873</w:t>
                  </w:r>
                </w:p>
              </w:tc>
              <w:tc>
                <w:tcPr>
                  <w:tcW w:w="1697" w:type="dxa"/>
                </w:tcPr>
                <w:p w14:paraId="61A6D3A2" w14:textId="77777777" w:rsidR="004E4CC2" w:rsidRDefault="00000000">
                  <w:pPr>
                    <w:pStyle w:val="Compact"/>
                    <w:jc w:val="center"/>
                  </w:pPr>
                  <w:r>
                    <w:t xml:space="preserve">Gelieferte Typenflächen; NGF/BGF = 0,8 als Modellannahme; </w:t>
                  </w:r>
                  <w:hyperlink w:anchor="sec-gebaeudebestand">
                    <w:r>
                      <w:rPr>
                        <w:rStyle w:val="Hyperlink"/>
                      </w:rPr>
                      <w:t>Kapitel 6</w:t>
                    </w:r>
                  </w:hyperlink>
                </w:p>
              </w:tc>
            </w:tr>
            <w:tr w:rsidR="004E4CC2" w14:paraId="5A7E5530" w14:textId="77777777">
              <w:tc>
                <w:tcPr>
                  <w:tcW w:w="1697" w:type="dxa"/>
                </w:tcPr>
                <w:p w14:paraId="3F06AD60" w14:textId="77777777" w:rsidR="004E4CC2" w:rsidRDefault="00000000">
                  <w:pPr>
                    <w:pStyle w:val="Compact"/>
                    <w:jc w:val="center"/>
                  </w:pPr>
                  <w:r>
                    <w:t>Building-Sector Pool, Entwicklung 2040</w:t>
                  </w:r>
                </w:p>
              </w:tc>
              <w:tc>
                <w:tcPr>
                  <w:tcW w:w="2262" w:type="dxa"/>
                </w:tcPr>
                <w:p w14:paraId="7E361795" w14:textId="77777777" w:rsidR="004E4CC2" w:rsidRDefault="00000000">
                  <w:pPr>
                    <w:pStyle w:val="Compact"/>
                    <w:jc w:val="center"/>
                  </w:pPr>
                  <w:r>
                    <w:t>1.126,579</w:t>
                  </w:r>
                </w:p>
              </w:tc>
              <w:tc>
                <w:tcPr>
                  <w:tcW w:w="2262" w:type="dxa"/>
                </w:tcPr>
                <w:p w14:paraId="7C33BBEA" w14:textId="77777777" w:rsidR="004E4CC2" w:rsidRDefault="00000000">
                  <w:pPr>
                    <w:pStyle w:val="Compact"/>
                    <w:jc w:val="center"/>
                  </w:pPr>
                  <w:r>
                    <w:t>901,263</w:t>
                  </w:r>
                </w:p>
              </w:tc>
              <w:tc>
                <w:tcPr>
                  <w:tcW w:w="1697" w:type="dxa"/>
                </w:tcPr>
                <w:p w14:paraId="67BD0BE6" w14:textId="77777777" w:rsidR="004E4CC2" w:rsidRDefault="00000000">
                  <w:pPr>
                    <w:pStyle w:val="Compact"/>
                    <w:jc w:val="center"/>
                  </w:pPr>
                  <w:r>
                    <w:t>Neue Bottom-up-Energieauswertung; keine automatische Änderung der THG-Budgetfläche</w:t>
                  </w:r>
                </w:p>
              </w:tc>
            </w:tr>
            <w:tr w:rsidR="004E4CC2" w14:paraId="4A8D4885" w14:textId="77777777">
              <w:tc>
                <w:tcPr>
                  <w:tcW w:w="1697" w:type="dxa"/>
                </w:tcPr>
                <w:p w14:paraId="3B96FC16" w14:textId="77777777" w:rsidR="004E4CC2" w:rsidRDefault="00000000">
                  <w:pPr>
                    <w:pStyle w:val="Compact"/>
                    <w:jc w:val="center"/>
                  </w:pPr>
                  <w:r>
                    <w:t>Zielbestand 2040 der THG-Kalibrierung</w:t>
                  </w:r>
                </w:p>
              </w:tc>
              <w:tc>
                <w:tcPr>
                  <w:tcW w:w="2262" w:type="dxa"/>
                </w:tcPr>
                <w:p w14:paraId="2A51B62E" w14:textId="77777777" w:rsidR="004E4CC2" w:rsidRDefault="00000000">
                  <w:pPr>
                    <w:pStyle w:val="Compact"/>
                    <w:jc w:val="center"/>
                  </w:pPr>
                  <w:r>
                    <w:t>906,7</w:t>
                  </w:r>
                </w:p>
              </w:tc>
              <w:tc>
                <w:tcPr>
                  <w:tcW w:w="2262" w:type="dxa"/>
                </w:tcPr>
                <w:p w14:paraId="1BC6C28D" w14:textId="77777777" w:rsidR="004E4CC2" w:rsidRDefault="00000000">
                  <w:pPr>
                    <w:pStyle w:val="Compact"/>
                    <w:jc w:val="center"/>
                  </w:pPr>
                  <w:r>
                    <w:t>nicht separat angesetzt</w:t>
                  </w:r>
                </w:p>
              </w:tc>
              <w:tc>
                <w:tcPr>
                  <w:tcW w:w="1697" w:type="dxa"/>
                </w:tcPr>
                <w:p w14:paraId="33226BC6" w14:textId="77777777" w:rsidR="004E4CC2" w:rsidRDefault="00000000">
                  <w:pPr>
                    <w:pStyle w:val="Compact"/>
                    <w:jc w:val="center"/>
                  </w:pPr>
                  <w:r>
                    <w:t>Bezugsfläche der Budgetzuteilung; Schneider u. a. (2025), Tab. A1</w:t>
                  </w:r>
                </w:p>
              </w:tc>
            </w:tr>
            <w:tr w:rsidR="004E4CC2" w14:paraId="1C9063A8" w14:textId="77777777">
              <w:tc>
                <w:tcPr>
                  <w:tcW w:w="1697" w:type="dxa"/>
                </w:tcPr>
                <w:p w14:paraId="2923FBFF" w14:textId="77777777" w:rsidR="004E4CC2" w:rsidRDefault="00000000">
                  <w:pPr>
                    <w:pStyle w:val="Compact"/>
                    <w:jc w:val="center"/>
                  </w:pPr>
                  <w:r>
                    <w:t xml:space="preserve">Bestand 2025 und </w:t>
                  </w:r>
                  <w:r>
                    <w:lastRenderedPageBreak/>
                    <w:t>Zwischenjahre bis 2040</w:t>
                  </w:r>
                </w:p>
              </w:tc>
              <w:tc>
                <w:tcPr>
                  <w:tcW w:w="2262" w:type="dxa"/>
                </w:tcPr>
                <w:p w14:paraId="64872BC5" w14:textId="77777777" w:rsidR="004E4CC2" w:rsidRDefault="00000000">
                  <w:pPr>
                    <w:pStyle w:val="Compact"/>
                    <w:jc w:val="center"/>
                  </w:pPr>
                  <w:r>
                    <w:lastRenderedPageBreak/>
                    <w:t>nicht im Datensatz enthalten</w:t>
                  </w:r>
                </w:p>
              </w:tc>
              <w:tc>
                <w:tcPr>
                  <w:tcW w:w="2262" w:type="dxa"/>
                </w:tcPr>
                <w:p w14:paraId="30A6FF02" w14:textId="77777777" w:rsidR="004E4CC2" w:rsidRDefault="00000000">
                  <w:pPr>
                    <w:pStyle w:val="Compact"/>
                    <w:jc w:val="center"/>
                  </w:pPr>
                  <w:r>
                    <w:t>nicht im Datensatz enthalten</w:t>
                  </w:r>
                </w:p>
              </w:tc>
              <w:tc>
                <w:tcPr>
                  <w:tcW w:w="1697" w:type="dxa"/>
                </w:tcPr>
                <w:p w14:paraId="1191AC6C" w14:textId="77777777" w:rsidR="004E4CC2" w:rsidRDefault="00000000">
                  <w:pPr>
                    <w:pStyle w:val="Compact"/>
                    <w:jc w:val="center"/>
                  </w:pPr>
                  <w:r>
                    <w:t xml:space="preserve">Keine interpolierten </w:t>
                  </w:r>
                  <w:r>
                    <w:lastRenderedPageBreak/>
                    <w:t>Werte ohne harmonisierte Abgrenzung</w:t>
                  </w:r>
                </w:p>
              </w:tc>
            </w:tr>
            <w:bookmarkEnd w:id="149"/>
          </w:tbl>
          <w:p w14:paraId="6A4BF540" w14:textId="77777777" w:rsidR="004E4CC2" w:rsidRDefault="004E4CC2"/>
        </w:tc>
      </w:tr>
    </w:tbl>
    <w:p w14:paraId="20ABF28A" w14:textId="77777777" w:rsidR="004E4CC2" w:rsidRDefault="00000000">
      <w:pPr>
        <w:pStyle w:val="Textkrper"/>
      </w:pPr>
      <w:r>
        <w:lastRenderedPageBreak/>
        <w:t xml:space="preserve"> </w:t>
      </w:r>
    </w:p>
    <w:tbl>
      <w:tblPr>
        <w:tblStyle w:val="Table"/>
        <w:tblW w:w="5000" w:type="pct"/>
        <w:tblLayout w:type="fixed"/>
        <w:tblLook w:val="0000" w:firstRow="0" w:lastRow="0" w:firstColumn="0" w:lastColumn="0" w:noHBand="0" w:noVBand="0"/>
      </w:tblPr>
      <w:tblGrid>
        <w:gridCol w:w="9622"/>
      </w:tblGrid>
      <w:tr w:rsidR="004E4CC2" w14:paraId="497DA720" w14:textId="77777777">
        <w:tc>
          <w:tcPr>
            <w:tcW w:w="7920" w:type="dxa"/>
          </w:tcPr>
          <w:p w14:paraId="7F8461C9" w14:textId="77777777" w:rsidR="004E4CC2" w:rsidRDefault="00000000">
            <w:pPr>
              <w:pStyle w:val="ImageCaption"/>
              <w:spacing w:before="200"/>
            </w:pPr>
            <w:bookmarkStart w:id="150" w:name="tbl-thg-fortschreibung"/>
            <w:r>
              <w:t>Tabelle 10.4: Datenumfang der Gebäudeflächenentwicklung.</w:t>
            </w:r>
          </w:p>
          <w:tbl>
            <w:tblPr>
              <w:tblStyle w:val="Table"/>
              <w:tblW w:w="5000" w:type="pct"/>
              <w:tblLayout w:type="fixed"/>
              <w:tblLook w:val="0020" w:firstRow="1" w:lastRow="0" w:firstColumn="0" w:lastColumn="0" w:noHBand="0" w:noVBand="0"/>
            </w:tblPr>
            <w:tblGrid>
              <w:gridCol w:w="3136"/>
              <w:gridCol w:w="3135"/>
              <w:gridCol w:w="3135"/>
            </w:tblGrid>
            <w:tr w:rsidR="004E4CC2" w14:paraId="5DC7A60F"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A84B11" w14:textId="77777777" w:rsidR="004E4CC2" w:rsidRDefault="00000000">
                  <w:pPr>
                    <w:pStyle w:val="Compact"/>
                    <w:jc w:val="center"/>
                  </w:pPr>
                  <w:r>
                    <w:t>Baustein der Fortschreibung</w:t>
                  </w:r>
                </w:p>
              </w:tc>
              <w:tc>
                <w:tcPr>
                  <w:tcW w:w="2640" w:type="dxa"/>
                </w:tcPr>
                <w:p w14:paraId="17548626" w14:textId="77777777" w:rsidR="004E4CC2" w:rsidRDefault="00000000">
                  <w:pPr>
                    <w:pStyle w:val="Compact"/>
                    <w:jc w:val="center"/>
                  </w:pPr>
                  <w:r>
                    <w:t>Benötigte Angaben</w:t>
                  </w:r>
                </w:p>
              </w:tc>
              <w:tc>
                <w:tcPr>
                  <w:tcW w:w="2640" w:type="dxa"/>
                </w:tcPr>
                <w:p w14:paraId="20AB1169" w14:textId="77777777" w:rsidR="004E4CC2" w:rsidRDefault="00000000">
                  <w:pPr>
                    <w:pStyle w:val="Compact"/>
                    <w:jc w:val="center"/>
                  </w:pPr>
                  <w:r>
                    <w:t>Aktueller Status</w:t>
                  </w:r>
                </w:p>
              </w:tc>
            </w:tr>
            <w:tr w:rsidR="004E4CC2" w14:paraId="0ED92601" w14:textId="77777777">
              <w:tc>
                <w:tcPr>
                  <w:tcW w:w="2640" w:type="dxa"/>
                </w:tcPr>
                <w:p w14:paraId="4F3A8123" w14:textId="77777777" w:rsidR="004E4CC2" w:rsidRDefault="00000000">
                  <w:pPr>
                    <w:pStyle w:val="Compact"/>
                    <w:jc w:val="center"/>
                  </w:pPr>
                  <w:r>
                    <w:t>Ausgangsbestand</w:t>
                  </w:r>
                </w:p>
              </w:tc>
              <w:tc>
                <w:tcPr>
                  <w:tcW w:w="2640" w:type="dxa"/>
                </w:tcPr>
                <w:p w14:paraId="127906F1" w14:textId="77777777" w:rsidR="004E4CC2" w:rsidRDefault="00000000">
                  <w:pPr>
                    <w:pStyle w:val="Compact"/>
                    <w:jc w:val="center"/>
                  </w:pPr>
                  <w:r>
                    <w:t>Stützjahr, Nutzung, konditionierte Fläche, NGF/BGF-Abgrenzung</w:t>
                  </w:r>
                </w:p>
              </w:tc>
              <w:tc>
                <w:tcPr>
                  <w:tcW w:w="2640" w:type="dxa"/>
                </w:tcPr>
                <w:p w14:paraId="480BFC41" w14:textId="77777777" w:rsidR="004E4CC2" w:rsidRDefault="00000000">
                  <w:pPr>
                    <w:pStyle w:val="Compact"/>
                    <w:jc w:val="center"/>
                  </w:pPr>
                  <w:r>
                    <w:t>Statistikmodell 2021 vorhanden; Abgleich mit THG-Systemgrenze offen</w:t>
                  </w:r>
                </w:p>
              </w:tc>
            </w:tr>
            <w:tr w:rsidR="004E4CC2" w14:paraId="06BA86F3" w14:textId="77777777">
              <w:tc>
                <w:tcPr>
                  <w:tcW w:w="2640" w:type="dxa"/>
                </w:tcPr>
                <w:p w14:paraId="3B93A66A" w14:textId="77777777" w:rsidR="004E4CC2" w:rsidRDefault="00000000">
                  <w:pPr>
                    <w:pStyle w:val="Compact"/>
                    <w:jc w:val="center"/>
                  </w:pPr>
                  <w:r>
                    <w:t>Neubau und Erweiterung</w:t>
                  </w:r>
                </w:p>
              </w:tc>
              <w:tc>
                <w:tcPr>
                  <w:tcW w:w="2640" w:type="dxa"/>
                </w:tcPr>
                <w:p w14:paraId="2A64173C" w14:textId="77777777" w:rsidR="004E4CC2" w:rsidRDefault="00000000">
                  <w:pPr>
                    <w:pStyle w:val="Compact"/>
                    <w:jc w:val="center"/>
                  </w:pPr>
                  <w:r>
                    <w:t>Zusätzliche m² je Nutzung und Jahr</w:t>
                  </w:r>
                </w:p>
              </w:tc>
              <w:tc>
                <w:tcPr>
                  <w:tcW w:w="2640" w:type="dxa"/>
                </w:tcPr>
                <w:p w14:paraId="5CDC33C2" w14:textId="77777777" w:rsidR="004E4CC2" w:rsidRDefault="00000000">
                  <w:pPr>
                    <w:pStyle w:val="Compact"/>
                    <w:jc w:val="center"/>
                  </w:pPr>
                  <w:r>
                    <w:t>Typengewichteter Neubauanteil 2040 vorhanden; zeitliche Übergangsbilanz nicht festgelegt (</w:t>
                  </w:r>
                  <w:hyperlink w:anchor="sec-gebaeude-flaechen">
                    <w:r>
                      <w:rPr>
                        <w:rStyle w:val="Hyperlink"/>
                      </w:rPr>
                      <w:t>Kapitel H.3</w:t>
                    </w:r>
                  </w:hyperlink>
                  <w:r>
                    <w:t>)</w:t>
                  </w:r>
                </w:p>
              </w:tc>
            </w:tr>
            <w:tr w:rsidR="004E4CC2" w14:paraId="162E7582" w14:textId="77777777">
              <w:tc>
                <w:tcPr>
                  <w:tcW w:w="2640" w:type="dxa"/>
                </w:tcPr>
                <w:p w14:paraId="3CD7DA37" w14:textId="77777777" w:rsidR="004E4CC2" w:rsidRDefault="00000000">
                  <w:pPr>
                    <w:pStyle w:val="Compact"/>
                    <w:jc w:val="center"/>
                  </w:pPr>
                  <w:r>
                    <w:t>Abbruch und Umnutzung</w:t>
                  </w:r>
                </w:p>
              </w:tc>
              <w:tc>
                <w:tcPr>
                  <w:tcW w:w="2640" w:type="dxa"/>
                </w:tcPr>
                <w:p w14:paraId="3FDB43D3" w14:textId="77777777" w:rsidR="004E4CC2" w:rsidRDefault="00000000">
                  <w:pPr>
                    <w:pStyle w:val="Compact"/>
                    <w:jc w:val="center"/>
                  </w:pPr>
                  <w:r>
                    <w:t>Abgänge und Nutzungsverschiebungen je Jahr</w:t>
                  </w:r>
                </w:p>
              </w:tc>
              <w:tc>
                <w:tcPr>
                  <w:tcW w:w="2640" w:type="dxa"/>
                </w:tcPr>
                <w:p w14:paraId="59C5D94E" w14:textId="77777777" w:rsidR="004E4CC2" w:rsidRDefault="00000000">
                  <w:pPr>
                    <w:pStyle w:val="Compact"/>
                    <w:jc w:val="center"/>
                  </w:pPr>
                  <w:r>
                    <w:t>Nicht im Datensatz enthalten</w:t>
                  </w:r>
                </w:p>
              </w:tc>
            </w:tr>
            <w:tr w:rsidR="004E4CC2" w14:paraId="4FD5D165" w14:textId="77777777">
              <w:tc>
                <w:tcPr>
                  <w:tcW w:w="2640" w:type="dxa"/>
                </w:tcPr>
                <w:p w14:paraId="0F5EAC7C" w14:textId="77777777" w:rsidR="004E4CC2" w:rsidRDefault="00000000">
                  <w:pPr>
                    <w:pStyle w:val="Compact"/>
                    <w:jc w:val="center"/>
                  </w:pPr>
                  <w:r>
                    <w:t>Sanierung</w:t>
                  </w:r>
                </w:p>
              </w:tc>
              <w:tc>
                <w:tcPr>
                  <w:tcW w:w="2640" w:type="dxa"/>
                </w:tcPr>
                <w:p w14:paraId="3E0BC3A0" w14:textId="77777777" w:rsidR="004E4CC2" w:rsidRDefault="00000000">
                  <w:pPr>
                    <w:pStyle w:val="Compact"/>
                    <w:jc w:val="center"/>
                  </w:pPr>
                  <w:r>
                    <w:t>Sanierte m² und energetischer Zustand je Jahr</w:t>
                  </w:r>
                </w:p>
              </w:tc>
              <w:tc>
                <w:tcPr>
                  <w:tcW w:w="2640" w:type="dxa"/>
                </w:tcPr>
                <w:p w14:paraId="645C9BE7" w14:textId="77777777" w:rsidR="004E4CC2" w:rsidRDefault="00000000">
                  <w:pPr>
                    <w:pStyle w:val="Compact"/>
                    <w:jc w:val="center"/>
                  </w:pPr>
                  <w:r>
                    <w:t>Keine zusätzliche Geschossfläche allein durch Sanierung unterstellen</w:t>
                  </w:r>
                </w:p>
              </w:tc>
            </w:tr>
            <w:tr w:rsidR="004E4CC2" w14:paraId="674B177A" w14:textId="77777777">
              <w:tc>
                <w:tcPr>
                  <w:tcW w:w="2640" w:type="dxa"/>
                </w:tcPr>
                <w:p w14:paraId="58CEFFC8" w14:textId="77777777" w:rsidR="004E4CC2" w:rsidRDefault="00000000">
                  <w:pPr>
                    <w:pStyle w:val="Compact"/>
                    <w:jc w:val="center"/>
                  </w:pPr>
                  <w:r>
                    <w:t>Zielbestand</w:t>
                  </w:r>
                </w:p>
              </w:tc>
              <w:tc>
                <w:tcPr>
                  <w:tcW w:w="2640" w:type="dxa"/>
                </w:tcPr>
                <w:p w14:paraId="183791AC" w14:textId="77777777" w:rsidR="004E4CC2" w:rsidRDefault="00000000">
                  <w:pPr>
                    <w:pStyle w:val="Compact"/>
                    <w:jc w:val="center"/>
                  </w:pPr>
                  <w:r>
                    <w:t>Konsistente Summe aus Bestand, Zu- und Abgängen</w:t>
                  </w:r>
                </w:p>
              </w:tc>
              <w:tc>
                <w:tcPr>
                  <w:tcW w:w="2640" w:type="dxa"/>
                </w:tcPr>
                <w:p w14:paraId="26DC2A2F" w14:textId="77777777" w:rsidR="004E4CC2" w:rsidRDefault="00000000">
                  <w:pPr>
                    <w:pStyle w:val="Compact"/>
                    <w:jc w:val="center"/>
                  </w:pPr>
                  <w:r>
                    <w:t>906,7 Mio. m² als bestehende Kalibrierungsannahme erhalten</w:t>
                  </w:r>
                </w:p>
              </w:tc>
            </w:tr>
            <w:bookmarkEnd w:id="150"/>
          </w:tbl>
          <w:p w14:paraId="46D08B52" w14:textId="77777777" w:rsidR="004E4CC2" w:rsidRDefault="004E4CC2"/>
        </w:tc>
      </w:tr>
    </w:tbl>
    <w:p w14:paraId="74814466" w14:textId="77777777" w:rsidR="004E4CC2" w:rsidRDefault="00000000">
      <w:pPr>
        <w:pStyle w:val="berschrift2"/>
      </w:pPr>
      <w:bookmarkStart w:id="151" w:name="drei-zeitbegriffe"/>
      <w:bookmarkStart w:id="152" w:name="_Toc243681275"/>
      <w:bookmarkEnd w:id="147"/>
      <w:r>
        <w:t>10.3 Drei Zeitbegriffe</w:t>
      </w:r>
      <w:bookmarkEnd w:id="152"/>
    </w:p>
    <w:p w14:paraId="1E29EBBA" w14:textId="77777777" w:rsidR="004E4CC2" w:rsidRDefault="00000000">
      <w:pPr>
        <w:pStyle w:val="FirstParagraph"/>
      </w:pPr>
      <w:r>
        <w:t xml:space="preserve">Der Bewertungszeitraum beträgt </w:t>
      </w:r>
      <w:r>
        <w:rPr>
          <w:b/>
          <w:bCs/>
        </w:rPr>
        <w:t>50 Jahre, von 2025 bis 2075</w:t>
      </w:r>
      <w:r>
        <w:t>. Innerhalb dieses Horizonts werden die treibhauswirksamen Effekte bilanziert.</w:t>
      </w:r>
    </w:p>
    <w:p w14:paraId="4944FCFC" w14:textId="77777777" w:rsidR="004E4CC2" w:rsidRDefault="00000000">
      <w:pPr>
        <w:pStyle w:val="Textkrper"/>
      </w:pPr>
      <w:r>
        <w:t xml:space="preserve">Die Ableitung orientiert sich am österreichischen Klimaneutralitätsziel </w:t>
      </w:r>
      <w:r>
        <w:rPr>
          <w:b/>
          <w:bCs/>
        </w:rPr>
        <w:t>2040</w:t>
      </w:r>
      <w:r>
        <w:t xml:space="preserve">; auf dieses Jahr beziehen sich auch die zugrunde gelegten Flächenprognosen. </w:t>
      </w:r>
      <w:r>
        <w:rPr>
          <w:b/>
          <w:bCs/>
        </w:rPr>
        <w:t>2050</w:t>
      </w:r>
      <w:r>
        <w:t xml:space="preserve"> wird als vorsorglich späterer Dekarbonisierungszeitpunkt angesetzt, um eine mögliche Verzögerung gegenüber dem ursprünglichen Ziel abzubilden. Damit wird das Prognosejahr der Bezugsfläche nicht automatisch auf 2050 verschoben. Eine spätere Umstellung erfordert eine dokumentierte Fortschreibung.</w:t>
      </w:r>
    </w:p>
    <w:p w14:paraId="76AA3526" w14:textId="77777777" w:rsidR="004E4CC2" w:rsidRDefault="00000000">
      <w:pPr>
        <w:pStyle w:val="Textkrper"/>
      </w:pPr>
      <w:r>
        <w:t xml:space="preserve">Die vereinfachende Annahme einer vollständigen Dekarbonisierung der betrachteten Prozesse </w:t>
      </w:r>
      <w:r>
        <w:rPr>
          <w:b/>
          <w:bCs/>
        </w:rPr>
        <w:t>ab 2050</w:t>
      </w:r>
      <w:r>
        <w:t xml:space="preserve"> führt dazu, dass danach im Modell keine zusätzlichen Emissionen mehr entstehen. Das emissionswirksame Zeitfenster liegt damit faktisch vor 2050, obwohl die </w:t>
      </w:r>
      <w:r>
        <w:lastRenderedPageBreak/>
        <w:t>Betrachtung bis 2075 reicht. Dies ist eine Szenarioannahme, keine Verkürzung des Bewertungszeitraums und keine Garantie der tatsächlichen Entwicklung (Schneider u. a. 2025, Abschn. 2.4, S. 7–8; Schneider 2026, Abschn. 3.2.8, S. 58–60).</w:t>
      </w:r>
    </w:p>
    <w:p w14:paraId="7AC5D854" w14:textId="77777777" w:rsidR="004E4CC2" w:rsidRDefault="00000000">
      <w:pPr>
        <w:pStyle w:val="Textkrper"/>
      </w:pPr>
      <w:r>
        <w:rPr>
          <w:b/>
          <w:bCs/>
        </w:rPr>
        <w:t>GWP100</w:t>
      </w:r>
      <w:r>
        <w:t xml:space="preserve"> bezeichnet den 100-jährigen Charakterisierungshorizont des Treibhauspotenzials für die Bewertung unterschiedlicher Treibhausgase in CO₂-Äquivalenten. Diese 100 Jahre bestimmen nicht die Projektlaufzeit.</w:t>
      </w:r>
    </w:p>
    <w:p w14:paraId="13091384" w14:textId="77777777" w:rsidR="004E4CC2" w:rsidRDefault="00000000">
      <w:pPr>
        <w:pStyle w:val="Textkrper"/>
      </w:pPr>
      <w:r>
        <w:t>Errichtungsemissionen beanspruchen das Budget unmittelbar. Eine rechnerische Verteilung auf 50 Jahresraten würde ihren Emissionszeitpunkt nicht ändern. Für Etappen eines Renovierungsfahrplans muss deshalb betrachtet werden, wann bauliche Emissionen entstehen und welche Betriebsemissionen bis zur jeweiligen Maßnahme anfallen.</w:t>
      </w:r>
    </w:p>
    <w:p w14:paraId="5E3E7250" w14:textId="77777777" w:rsidR="004E4CC2" w:rsidRDefault="00000000">
      <w:pPr>
        <w:pStyle w:val="berschrift2"/>
      </w:pPr>
      <w:bookmarkStart w:id="153" w:name="sec-thg-pfade"/>
      <w:bookmarkStart w:id="154" w:name="_Toc243681276"/>
      <w:bookmarkEnd w:id="151"/>
      <w:r>
        <w:t>10.4 Absenkpfade und kumuliertes THG-Budget</w:t>
      </w:r>
      <w:bookmarkEnd w:id="154"/>
    </w:p>
    <w:p w14:paraId="1CB44C38" w14:textId="77777777" w:rsidR="004E4CC2" w:rsidRDefault="00000000">
      <w:pPr>
        <w:pStyle w:val="FirstParagraph"/>
      </w:pPr>
      <w:r>
        <w:t>Für die Lebenszyklusbewertung werden zeitabhängige Emissionsfaktoren verwendet. Ihre Entwicklung bildet einen angenommenen Dekarbonisierungspfad ab und beeinflusst insbesondere die Bewertung der Betriebsemissionen im Szenariozeitraum.</w:t>
      </w:r>
    </w:p>
    <w:tbl>
      <w:tblPr>
        <w:tblStyle w:val="Table"/>
        <w:tblW w:w="5000" w:type="pct"/>
        <w:tblLayout w:type="fixed"/>
        <w:tblLook w:val="0000" w:firstRow="0" w:lastRow="0" w:firstColumn="0" w:lastColumn="0" w:noHBand="0" w:noVBand="0"/>
      </w:tblPr>
      <w:tblGrid>
        <w:gridCol w:w="9622"/>
      </w:tblGrid>
      <w:tr w:rsidR="004E4CC2" w14:paraId="7CCF46BA" w14:textId="77777777">
        <w:tc>
          <w:tcPr>
            <w:tcW w:w="7920" w:type="dxa"/>
          </w:tcPr>
          <w:p w14:paraId="4BDCBC10" w14:textId="77777777" w:rsidR="004E4CC2" w:rsidRDefault="00000000">
            <w:pPr>
              <w:pStyle w:val="Compact"/>
              <w:jc w:val="center"/>
            </w:pPr>
            <w:bookmarkStart w:id="155" w:name="fig-absenkpfade"/>
            <w:r>
              <w:rPr>
                <w:noProof/>
              </w:rPr>
              <w:drawing>
                <wp:inline distT="0" distB="0" distL="0" distR="0" wp14:anchorId="32E5F3BF" wp14:editId="3AC4A9D3">
                  <wp:extent cx="5334000" cy="3556000"/>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8" name="Picture" descr="Kapitel/../Abbildungen/absenkpfade.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5334000" cy="3556000"/>
                          </a:xfrm>
                          <a:prstGeom prst="rect">
                            <a:avLst/>
                          </a:prstGeom>
                          <a:noFill/>
                          <a:ln w="9525">
                            <a:noFill/>
                            <a:headEnd/>
                            <a:tailEnd/>
                          </a:ln>
                        </pic:spPr>
                      </pic:pic>
                    </a:graphicData>
                  </a:graphic>
                </wp:inline>
              </w:drawing>
            </w:r>
          </w:p>
          <w:p w14:paraId="6E2782BC" w14:textId="77777777" w:rsidR="004E4CC2" w:rsidRDefault="00000000">
            <w:pPr>
              <w:pStyle w:val="ImageCaption"/>
              <w:spacing w:before="200"/>
            </w:pPr>
            <w:r>
              <w:t>Abbildung 10.1: Angenommene Entwicklung der spezifischen Treibhausgasemissionen verschiedener Energieträger und Versorgungssysteme bis 2050.</w:t>
            </w:r>
          </w:p>
        </w:tc>
        <w:bookmarkEnd w:id="155"/>
      </w:tr>
    </w:tbl>
    <w:p w14:paraId="36D94515" w14:textId="77777777" w:rsidR="004E4CC2" w:rsidRDefault="00000000">
      <w:pPr>
        <w:pStyle w:val="Textkrper"/>
      </w:pPr>
      <w:r>
        <w:t>Die bestehende Abbildung unterscheidet Netzstromvarianten, Fernwärmesysteme, Abwärme sowie fossile und biogene Brennstoffe. Die numerischen Zeitreihen sind im Datensatz nicht enthalten; die Abbildung dokumentiert die Szenariopfade qualitativ. Die methodische Grundlage bilden Schneider u. a. (2025), Abschn. 2.4 und 2.6, sowie Schneider (2026), Abschn. 3.2.8.</w:t>
      </w:r>
    </w:p>
    <w:tbl>
      <w:tblPr>
        <w:tblStyle w:val="Table"/>
        <w:tblW w:w="5000" w:type="pct"/>
        <w:tblLayout w:type="fixed"/>
        <w:tblLook w:val="0020" w:firstRow="1" w:lastRow="0" w:firstColumn="0" w:lastColumn="0" w:noHBand="0" w:noVBand="0"/>
      </w:tblPr>
      <w:tblGrid>
        <w:gridCol w:w="3208"/>
        <w:gridCol w:w="3207"/>
        <w:gridCol w:w="3207"/>
      </w:tblGrid>
      <w:tr w:rsidR="004E4CC2" w14:paraId="043230C0"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483C05AE" w14:textId="77777777" w:rsidR="004E4CC2" w:rsidRDefault="00000000">
            <w:pPr>
              <w:pStyle w:val="Compact"/>
            </w:pPr>
            <w:r>
              <w:lastRenderedPageBreak/>
              <w:t>Größe</w:t>
            </w:r>
          </w:p>
        </w:tc>
        <w:tc>
          <w:tcPr>
            <w:tcW w:w="2640" w:type="dxa"/>
          </w:tcPr>
          <w:p w14:paraId="41B2AFE4" w14:textId="77777777" w:rsidR="004E4CC2" w:rsidRDefault="00000000">
            <w:pPr>
              <w:pStyle w:val="Compact"/>
            </w:pPr>
            <w:r>
              <w:t>Anwendung im kumulierten Budget</w:t>
            </w:r>
          </w:p>
        </w:tc>
        <w:tc>
          <w:tcPr>
            <w:tcW w:w="2640" w:type="dxa"/>
          </w:tcPr>
          <w:p w14:paraId="7F1282D5" w14:textId="77777777" w:rsidR="004E4CC2" w:rsidRDefault="00000000">
            <w:pPr>
              <w:pStyle w:val="Compact"/>
            </w:pPr>
            <w:r>
              <w:t>Dokumentierter Stand</w:t>
            </w:r>
          </w:p>
        </w:tc>
      </w:tr>
      <w:tr w:rsidR="004E4CC2" w14:paraId="0B214A54" w14:textId="77777777">
        <w:tc>
          <w:tcPr>
            <w:tcW w:w="2640" w:type="dxa"/>
          </w:tcPr>
          <w:p w14:paraId="1484E389" w14:textId="77777777" w:rsidR="004E4CC2" w:rsidRDefault="00000000">
            <w:pPr>
              <w:pStyle w:val="Compact"/>
            </w:pPr>
            <w:r>
              <w:t>Netzstrom und weitere Energieträger</w:t>
            </w:r>
          </w:p>
        </w:tc>
        <w:tc>
          <w:tcPr>
            <w:tcW w:w="2640" w:type="dxa"/>
          </w:tcPr>
          <w:p w14:paraId="4919B192" w14:textId="77777777" w:rsidR="004E4CC2" w:rsidRDefault="00000000">
            <w:pPr>
              <w:pStyle w:val="Compact"/>
            </w:pPr>
            <w:r>
              <w:t>Jahresverbrauch × zeitabhängiger THG-Faktor, über die Jahre summiert</w:t>
            </w:r>
          </w:p>
        </w:tc>
        <w:tc>
          <w:tcPr>
            <w:tcW w:w="2640" w:type="dxa"/>
          </w:tcPr>
          <w:p w14:paraId="79BE0DB8" w14:textId="77777777" w:rsidR="004E4CC2" w:rsidRDefault="00000000">
            <w:pPr>
              <w:pStyle w:val="Compact"/>
            </w:pPr>
            <w:r>
              <w:t xml:space="preserve">Trägerspezifische Pfade in </w:t>
            </w:r>
            <w:hyperlink w:anchor="fig-absenkpfade">
              <w:r>
                <w:rPr>
                  <w:rStyle w:val="Hyperlink"/>
                </w:rPr>
                <w:t>Abbildung 10.1</w:t>
              </w:r>
            </w:hyperlink>
            <w:r>
              <w:t>; numerische Stützwerte und Interpolation nicht im Datensatz enthalten</w:t>
            </w:r>
          </w:p>
        </w:tc>
      </w:tr>
      <w:tr w:rsidR="004E4CC2" w14:paraId="2B28DF02" w14:textId="77777777">
        <w:tc>
          <w:tcPr>
            <w:tcW w:w="2640" w:type="dxa"/>
          </w:tcPr>
          <w:p w14:paraId="172D1D02" w14:textId="77777777" w:rsidR="004E4CC2" w:rsidRDefault="00000000">
            <w:pPr>
              <w:pStyle w:val="Compact"/>
            </w:pPr>
            <w:r>
              <w:t>Herstellung, Ersatz und Lebensende</w:t>
            </w:r>
          </w:p>
        </w:tc>
        <w:tc>
          <w:tcPr>
            <w:tcW w:w="2640" w:type="dxa"/>
          </w:tcPr>
          <w:p w14:paraId="38BE9AD0" w14:textId="77777777" w:rsidR="004E4CC2" w:rsidRDefault="00000000">
            <w:pPr>
              <w:pStyle w:val="Compact"/>
            </w:pPr>
            <w:r>
              <w:t>Emissionen zum jeweiligen Ereigniszeitpunkt</w:t>
            </w:r>
          </w:p>
        </w:tc>
        <w:tc>
          <w:tcPr>
            <w:tcW w:w="2640" w:type="dxa"/>
          </w:tcPr>
          <w:p w14:paraId="0345E32D" w14:textId="77777777" w:rsidR="004E4CC2" w:rsidRDefault="00000000">
            <w:pPr>
              <w:pStyle w:val="Compact"/>
            </w:pPr>
            <w:r>
              <w:t>Prozessbezogene Dekarbonisierungsannahmen des Referenzverfahrens</w:t>
            </w:r>
          </w:p>
        </w:tc>
      </w:tr>
      <w:tr w:rsidR="004E4CC2" w14:paraId="786A0F0D" w14:textId="77777777">
        <w:tc>
          <w:tcPr>
            <w:tcW w:w="2640" w:type="dxa"/>
          </w:tcPr>
          <w:p w14:paraId="5A002944" w14:textId="77777777" w:rsidR="004E4CC2" w:rsidRDefault="00000000">
            <w:pPr>
              <w:pStyle w:val="Compact"/>
            </w:pPr>
            <w:r>
              <w:t>Vollständige Dekarbonisierung ab 2050</w:t>
            </w:r>
          </w:p>
        </w:tc>
        <w:tc>
          <w:tcPr>
            <w:tcW w:w="2640" w:type="dxa"/>
          </w:tcPr>
          <w:p w14:paraId="533C08DE" w14:textId="77777777" w:rsidR="004E4CC2" w:rsidRDefault="00000000">
            <w:pPr>
              <w:pStyle w:val="Compact"/>
            </w:pPr>
            <w:r>
              <w:t>Im Modell keine zusätzlichen Emissionen der so erfassten Versorgung und Prozesse</w:t>
            </w:r>
          </w:p>
        </w:tc>
        <w:tc>
          <w:tcPr>
            <w:tcW w:w="2640" w:type="dxa"/>
          </w:tcPr>
          <w:p w14:paraId="412D0D75" w14:textId="77777777" w:rsidR="004E4CC2" w:rsidRDefault="00000000">
            <w:pPr>
              <w:pStyle w:val="Compact"/>
            </w:pPr>
            <w:r>
              <w:t>Szenarioannahme, keine physische Zusicherung; Betrachtung läuft bis 2075 weiter</w:t>
            </w:r>
          </w:p>
        </w:tc>
      </w:tr>
      <w:tr w:rsidR="004E4CC2" w14:paraId="1477E4D0" w14:textId="77777777">
        <w:tc>
          <w:tcPr>
            <w:tcW w:w="2640" w:type="dxa"/>
          </w:tcPr>
          <w:p w14:paraId="17D065DA" w14:textId="77777777" w:rsidR="004E4CC2" w:rsidRDefault="00000000">
            <w:pPr>
              <w:pStyle w:val="Compact"/>
            </w:pPr>
            <w:r>
              <w:t>Natürliche Senken</w:t>
            </w:r>
          </w:p>
        </w:tc>
        <w:tc>
          <w:tcPr>
            <w:tcW w:w="2640" w:type="dxa"/>
          </w:tcPr>
          <w:p w14:paraId="30E0270D" w14:textId="77777777" w:rsidR="004E4CC2" w:rsidRDefault="00000000">
            <w:pPr>
              <w:pStyle w:val="Compact"/>
            </w:pPr>
            <w:r>
              <w:t>Bestandteil der nationalen Budgetzuteilung</w:t>
            </w:r>
          </w:p>
        </w:tc>
        <w:tc>
          <w:tcPr>
            <w:tcW w:w="2640" w:type="dxa"/>
          </w:tcPr>
          <w:p w14:paraId="2246E2CF" w14:textId="77777777" w:rsidR="004E4CC2" w:rsidRDefault="00000000">
            <w:pPr>
              <w:pStyle w:val="Compact"/>
            </w:pPr>
            <w:r>
              <w:t>Eigene Annahme; kein Abzug durch einen fallenden Stromfaktor</w:t>
            </w:r>
          </w:p>
        </w:tc>
      </w:tr>
    </w:tbl>
    <w:p w14:paraId="5691A939" w14:textId="77777777" w:rsidR="004E4CC2" w:rsidRDefault="00000000">
      <w:pPr>
        <w:pStyle w:val="berschrift2"/>
      </w:pPr>
      <w:bookmarkStart w:id="156" w:name="X83a2d43ada78a5e9c6c0e1bdc7648f73cd7045a"/>
      <w:bookmarkStart w:id="157" w:name="_Toc243681277"/>
      <w:bookmarkEnd w:id="153"/>
      <w:r>
        <w:t>10.5 Rekalibrierung: Welche Stellgrößen ändern sich?</w:t>
      </w:r>
      <w:bookmarkEnd w:id="157"/>
    </w:p>
    <w:p w14:paraId="2D15C93F" w14:textId="77777777" w:rsidR="004E4CC2" w:rsidRDefault="00000000">
      <w:pPr>
        <w:pStyle w:val="FirstParagraph"/>
      </w:pPr>
      <w:r>
        <w:t>Eine Fortschreibung muss klären, ob Datenbasis, Szenario oder Verteilungsentscheidung verändert werden. Beim THG-Budget sind Restbudget, Senkenannahme, Sektoranteil und Bezugsfläche maßgeblich. Diese Größen sind bei einer Rekalibrierung gemeinsam zu überprüfen (Schneider u. a. 2025, Abschn. 4.2–4.3, S. 27–28).</w:t>
      </w:r>
    </w:p>
    <w:p w14:paraId="37D6520D" w14:textId="77777777" w:rsidR="004E4CC2" w:rsidRDefault="00000000">
      <w:pPr>
        <w:pStyle w:val="Textkrper"/>
      </w:pPr>
      <w:r>
        <w:t>Zusätzlicher Baubedarf kann eine Entscheidung über die sektorale Verteilung auslösen. Ein höheres Budget je Quadratmeter entsteht daraus nicht von selbst: Bei unverändertem Sektorbudget verteilt sich dieselbe Menge auf mehr Fläche. Soll der Gebäudesektor mehr Budget erhalten, muss die entsprechende Entlastung anderer Sektoren oder eine begründete Änderung der Budgetgrundlage ausgewiesen werden. Eine Erhöhung ohne solche Deckung verändert den Gesamtanspruch.</w:t>
      </w:r>
    </w:p>
    <w:p w14:paraId="3416803C" w14:textId="77777777" w:rsidR="004E4CC2" w:rsidRDefault="00000000">
      <w:pPr>
        <w:pStyle w:val="berschrift3"/>
      </w:pPr>
      <w:bookmarkStart w:id="158" w:name="pv-errichtung-und-sektorale-konsistenz"/>
      <w:bookmarkStart w:id="159" w:name="_Toc243681278"/>
      <w:r>
        <w:t>10.5.1 PV-Errichtung und sektorale Konsistenz</w:t>
      </w:r>
      <w:bookmarkEnd w:id="159"/>
    </w:p>
    <w:p w14:paraId="5E424A86" w14:textId="77777777" w:rsidR="004E4CC2" w:rsidRDefault="00000000">
      <w:pPr>
        <w:pStyle w:val="FirstParagraph"/>
      </w:pPr>
      <w:r>
        <w:t>Die grauen Emissionen der PV-Anlagen bleiben außerhalb der Quartiersbilanz, weil die Erzeugungsanlagen im nationalen Sektormodell der Energieversorgung zugeordnet sind. Diese Abgrenzung setzt voraus, dass ihre Emissionen dort konsistent erfasst werden (Schneider u. a. 2025, Abschn. 2.4.1 und 4.2, S. 8–9, 27–28).</w:t>
      </w:r>
    </w:p>
    <w:p w14:paraId="3031D085" w14:textId="77777777" w:rsidR="004E4CC2" w:rsidRDefault="00000000">
      <w:pPr>
        <w:pStyle w:val="Textkrper"/>
      </w:pPr>
      <w:r>
        <w:t xml:space="preserve">Eine Alternative nimmt die PV-Errichtung in die Quartiersbilanz auf. Dann müssen Emissionen und Budgetzuordnung gemeinsam neu abgegrenzt werden. Eine zusätzliche Belastung bei unverändertem, anders abgegrenztem Budget würde zwei Bilanzmodelle vermischen. Wie sich die konsistente Alternative auf Grenzwert und Vorteil zusätzlicher PV auswirkt, ist zu berechnen. </w:t>
      </w:r>
      <w:hyperlink w:anchor="sec-bilanzregeln">
        <w:r>
          <w:rPr>
            <w:rStyle w:val="Hyperlink"/>
          </w:rPr>
          <w:t>Kapitel 11</w:t>
        </w:r>
      </w:hyperlink>
      <w:r>
        <w:t xml:space="preserve"> erläutert die Abgrenzung der PV-Errichtung und die Voraussetzungen eines Vergleichs mit einer gebäudebezogenen Normbilanz.</w:t>
      </w:r>
    </w:p>
    <w:p w14:paraId="02194FFE" w14:textId="77777777" w:rsidR="004E4CC2" w:rsidRDefault="00000000">
      <w:pPr>
        <w:pStyle w:val="berschrift2"/>
      </w:pPr>
      <w:bookmarkStart w:id="160" w:name="folgerungen-für-planung-und-verwaltung"/>
      <w:bookmarkStart w:id="161" w:name="_Toc243681279"/>
      <w:bookmarkEnd w:id="156"/>
      <w:bookmarkEnd w:id="158"/>
      <w:r>
        <w:lastRenderedPageBreak/>
        <w:t>10.6 Folgerungen für Planung und Verwaltung</w:t>
      </w:r>
      <w:bookmarkEnd w:id="161"/>
    </w:p>
    <w:p w14:paraId="201E764D" w14:textId="77777777" w:rsidR="004E4CC2" w:rsidRDefault="00000000">
      <w:pPr>
        <w:pStyle w:val="FirstParagraph"/>
      </w:pPr>
      <w:r>
        <w:t>Die Allokation zeigt, welche Beiträge ein Quartier selbst erbringen soll und welche Voraussetzungen es aus dem übergeordneten System übernimmt. Ein Nachweis sollte deshalb neben dem Ergebnis den Methodenstand, die Systemgrenzen, Flächenbezüge und Kontextgutschriften ausweisen. Erst damit lässt sich unterscheiden, ob eine Verbesserung aus einer Planungsmaßnahme, einer geänderten Annahme oder einem anderen Bewertungsmaßstab stammt.</w:t>
      </w:r>
    </w:p>
    <w:p w14:paraId="4BAD3633" w14:textId="77777777" w:rsidR="004E4CC2" w:rsidRDefault="00000000">
      <w:pPr>
        <w:pStyle w:val="berschrift1"/>
      </w:pPr>
      <w:bookmarkStart w:id="162" w:name="sec-bilanzregeln"/>
      <w:bookmarkStart w:id="163" w:name="_Toc243681280"/>
      <w:bookmarkEnd w:id="138"/>
      <w:bookmarkEnd w:id="160"/>
      <w:r>
        <w:t>11. Systemgrenze des Quartiers</w:t>
      </w:r>
      <w:bookmarkEnd w:id="163"/>
    </w:p>
    <w:p w14:paraId="4F052548" w14:textId="77777777" w:rsidR="004E4CC2" w:rsidRDefault="00000000">
      <w:pPr>
        <w:pStyle w:val="FirstParagraph"/>
      </w:pPr>
      <w:r>
        <w:t>Was gehört zur Quartiersbilanz – und wie werden Energieflüsse und Emissionen bewertet?</w:t>
      </w:r>
    </w:p>
    <w:p w14:paraId="1374246F" w14:textId="77777777" w:rsidR="004E4CC2" w:rsidRDefault="00000000">
      <w:pPr>
        <w:pStyle w:val="Textkrper"/>
      </w:pPr>
      <w:r>
        <w:t xml:space="preserve">Die Aussage einer Energie- oder Treibhausgasbilanz hängt wesentlich davon ab, </w:t>
      </w:r>
      <w:r>
        <w:rPr>
          <w:b/>
          <w:bCs/>
        </w:rPr>
        <w:t>was einbezogen, wie zugeordnet und über welchen Zeitraum bewertet wird</w:t>
      </w:r>
      <w:r>
        <w:t>. Der klimaaktiv Standard legt deshalb räumliche, funktionale und zeitliche Systemgrenzen fest. Diese gelten für Energiebedarf, erneuerbare Erzeugung, Mobilität und Lebenszyklusemissionen ebenso wie für die zugehörigen Zielwerte und Kontextfaktoren.</w:t>
      </w:r>
    </w:p>
    <w:p w14:paraId="69A671AA" w14:textId="77777777" w:rsidR="004E4CC2" w:rsidRDefault="00000000">
      <w:pPr>
        <w:pStyle w:val="Textkrper"/>
      </w:pPr>
      <w:r>
        <w:t xml:space="preserve">Die drei Qualitätsstufen und ihre Erfüllungskriterien werden im Kapitel </w:t>
      </w:r>
      <w:hyperlink w:anchor="sec-standard">
        <w:r>
          <w:rPr>
            <w:rStyle w:val="Hyperlink"/>
          </w:rPr>
          <w:t>Kapitel 2</w:t>
        </w:r>
      </w:hyperlink>
      <w:r>
        <w:t xml:space="preserve"> eingeführt. Dieses Kapitel erläutert die </w:t>
      </w:r>
      <w:r>
        <w:rPr>
          <w:b/>
          <w:bCs/>
        </w:rPr>
        <w:t>konkreten Bilanzierungsregeln</w:t>
      </w:r>
      <w:r>
        <w:t xml:space="preserve">. Die nationale Herleitung der Anforderungen steht in </w:t>
      </w:r>
      <w:hyperlink w:anchor="sec-allokation">
        <w:r>
          <w:rPr>
            <w:rStyle w:val="Hyperlink"/>
          </w:rPr>
          <w:t>Kapitel 5</w:t>
        </w:r>
      </w:hyperlink>
      <w:r>
        <w:t xml:space="preserve"> und </w:t>
      </w:r>
      <w:hyperlink w:anchor="sec-zielwert-thg">
        <w:r>
          <w:rPr>
            <w:rStyle w:val="Hyperlink"/>
          </w:rPr>
          <w:t>Kapitel 10</w:t>
        </w:r>
      </w:hyperlink>
      <w:r>
        <w:t xml:space="preserve">; ihre kontextabhängige Anwendung in </w:t>
      </w:r>
      <w:hyperlink w:anchor="sec-kontext">
        <w:r>
          <w:rPr>
            <w:rStyle w:val="Hyperlink"/>
          </w:rPr>
          <w:t>Kapitel 3.2</w:t>
        </w:r>
      </w:hyperlink>
      <w:r>
        <w:t>.</w:t>
      </w:r>
    </w:p>
    <w:p w14:paraId="31638191" w14:textId="77777777" w:rsidR="004E4CC2" w:rsidRDefault="00000000">
      <w:pPr>
        <w:pStyle w:val="berschrift2"/>
      </w:pPr>
      <w:bookmarkStart w:id="164" w:name="X78d23d416b7cf8e5dfdaec365e3f94a00416409"/>
      <w:bookmarkStart w:id="165" w:name="_Toc243681281"/>
      <w:r>
        <w:t>11.1 Räumliche Systemgrenze: Was gehört zum Quartier?</w:t>
      </w:r>
      <w:bookmarkEnd w:id="165"/>
    </w:p>
    <w:p w14:paraId="516E665A" w14:textId="77777777" w:rsidR="004E4CC2" w:rsidRDefault="00000000">
      <w:pPr>
        <w:pStyle w:val="FirstParagraph"/>
      </w:pPr>
      <w:r>
        <w:t>Das bewertete Quartier wird als räumlich und funktional zusammenhängende Einheit abgegrenzt. Zum Projektumfang gehören die einbezogenen Gebäude, ihre zugehörigen Flächen sowie gemeinschaftliche Versorgungs- und Erzeugungsanlagen. Auch unbeheizte Gebäudeteile, Keller und zugehörige Außenanlagen können für die bauliche Treibhausgasbilanz relevant sein, selbst wenn sie nicht zur konditionierten Nutzfläche zählen (Schneider 2026, Abschn. 3.2.2, S. 51–53).</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94"/>
      </w:tblGrid>
      <w:tr w:rsidR="004E4CC2" w14:paraId="65DA7FCE" w14:textId="77777777" w:rsidTr="004E4CC2">
        <w:trPr>
          <w:cantSplit/>
        </w:trPr>
        <w:tc>
          <w:tcPr>
            <w:tcW w:w="0" w:type="auto"/>
            <w:shd w:val="clear" w:color="auto" w:fill="F7DDDC"/>
            <w:tcMar>
              <w:top w:w="92" w:type="dxa"/>
              <w:bottom w:w="92" w:type="dxa"/>
            </w:tcMar>
          </w:tcPr>
          <w:p w14:paraId="135959E6" w14:textId="77777777" w:rsidR="004E4CC2" w:rsidRDefault="00000000">
            <w:pPr>
              <w:pStyle w:val="Textkrper"/>
              <w:spacing w:before="0" w:after="0"/>
              <w:textAlignment w:val="center"/>
            </w:pPr>
            <w:r>
              <w:rPr>
                <w:noProof/>
              </w:rPr>
              <w:drawing>
                <wp:inline distT="0" distB="0" distL="0" distR="0" wp14:anchorId="25B3C96A" wp14:editId="7D429F1A">
                  <wp:extent cx="152400" cy="152400"/>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C:\Users\schneids\AppData\Local\Programs\Quarto\share\formats\docx\important.png"/>
                          <pic:cNvPicPr>
                            <a:picLocks noChangeAspect="1" noChangeArrowheads="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Wichtig</w:t>
            </w:r>
          </w:p>
        </w:tc>
      </w:tr>
      <w:tr w:rsidR="004E4CC2" w14:paraId="642B0B25" w14:textId="77777777" w:rsidTr="004E4CC2">
        <w:trPr>
          <w:cantSplit/>
        </w:trPr>
        <w:tc>
          <w:tcPr>
            <w:tcW w:w="0" w:type="auto"/>
            <w:tcMar>
              <w:top w:w="108" w:type="dxa"/>
              <w:bottom w:w="108" w:type="dxa"/>
            </w:tcMar>
          </w:tcPr>
          <w:p w14:paraId="0A65E4F8" w14:textId="77777777" w:rsidR="004E4CC2" w:rsidRDefault="00000000">
            <w:pPr>
              <w:pStyle w:val="Textkrper"/>
              <w:spacing w:before="16" w:after="16"/>
            </w:pPr>
            <w:r>
              <w:t xml:space="preserve">Die Grenze darf nicht allein mit dem Ziel gewählt werden, günstige Erzeugungsflächen einzuschließen oder besonders energieintensive Nutzungen auszuklammern. Bei Anlagen, die mehrere Gebäude oder auch Bereiche außerhalb des Quartiers versorgen, muss die </w:t>
            </w:r>
            <w:r>
              <w:rPr>
                <w:b/>
                <w:bCs/>
              </w:rPr>
              <w:t>Zuordnung der Energieflüsse und baulichen Aufwendungen</w:t>
            </w:r>
            <w:r>
              <w:t xml:space="preserve"> nachvollziehbar sein.</w:t>
            </w:r>
          </w:p>
          <w:p w14:paraId="020DBD7D" w14:textId="77777777" w:rsidR="004E4CC2" w:rsidRDefault="004E4CC2"/>
        </w:tc>
      </w:tr>
    </w:tbl>
    <w:p w14:paraId="6257871F" w14:textId="77777777" w:rsidR="004E4CC2" w:rsidRDefault="00000000">
      <w:pPr>
        <w:pStyle w:val="Textkrper"/>
      </w:pPr>
      <w:r>
        <w:t>Für die Bewertung sind insbesondere folgende Bezugsgrößen zu dokumentieren:</w:t>
      </w:r>
    </w:p>
    <w:p w14:paraId="52E7AAB2" w14:textId="77777777" w:rsidR="004E4CC2" w:rsidRDefault="00000000">
      <w:pPr>
        <w:pStyle w:val="Compact"/>
        <w:numPr>
          <w:ilvl w:val="0"/>
          <w:numId w:val="4"/>
        </w:numPr>
      </w:pPr>
      <w:r>
        <w:rPr>
          <w:b/>
          <w:bCs/>
        </w:rPr>
        <w:t>Grundstücks- beziehungsweise Quartiersfläche:</w:t>
      </w:r>
      <w:r>
        <w:t xml:space="preserve"> maßgeblich für die räumliche Abgrenzung und die Geschoßflächenzahl (GFZ).</w:t>
      </w:r>
    </w:p>
    <w:p w14:paraId="1C8C40DD" w14:textId="77777777" w:rsidR="004E4CC2" w:rsidRDefault="00000000">
      <w:pPr>
        <w:pStyle w:val="Compact"/>
        <w:numPr>
          <w:ilvl w:val="0"/>
          <w:numId w:val="4"/>
        </w:numPr>
      </w:pPr>
      <w:r>
        <w:rPr>
          <w:b/>
          <w:bCs/>
        </w:rPr>
        <w:lastRenderedPageBreak/>
        <w:t>Bruttogrundfläche (BGF):</w:t>
      </w:r>
      <w:r>
        <w:t xml:space="preserve"> Bezugsgröße des kumulierten THG-Budgets und Bestandteil der GFZ.</w:t>
      </w:r>
    </w:p>
    <w:p w14:paraId="4BA11BBA" w14:textId="77777777" w:rsidR="004E4CC2" w:rsidRDefault="00000000">
      <w:pPr>
        <w:pStyle w:val="Compact"/>
        <w:numPr>
          <w:ilvl w:val="0"/>
          <w:numId w:val="4"/>
        </w:numPr>
      </w:pPr>
      <w:r>
        <w:rPr>
          <w:b/>
          <w:bCs/>
        </w:rPr>
        <w:t>Konditionierte Nettogrundfläche (NGF):</w:t>
      </w:r>
      <w:r>
        <w:t xml:space="preserve"> Bezugsgröße der spezifischen betrieblichen Primärenergiebilanz.</w:t>
      </w:r>
    </w:p>
    <w:p w14:paraId="7EB1864F" w14:textId="77777777" w:rsidR="004E4CC2" w:rsidRDefault="00000000">
      <w:pPr>
        <w:pStyle w:val="Compact"/>
        <w:numPr>
          <w:ilvl w:val="0"/>
          <w:numId w:val="4"/>
        </w:numPr>
      </w:pPr>
      <w:r>
        <w:rPr>
          <w:b/>
          <w:bCs/>
        </w:rPr>
        <w:t>Nutzungsanteile:</w:t>
      </w:r>
      <w:r>
        <w:t xml:space="preserve"> Grundlage für Bedarfsprofile und die flächengewichtete Zuordnung von Mobilitätsbudgets.</w:t>
      </w:r>
    </w:p>
    <w:p w14:paraId="7B7A796F" w14:textId="77777777" w:rsidR="004E4CC2" w:rsidRDefault="00000000">
      <w:pPr>
        <w:pStyle w:val="berschrift2"/>
      </w:pPr>
      <w:bookmarkStart w:id="166" w:name="X95df62cb8007d72540ca8bcdc7a3acd8ccc0978"/>
      <w:bookmarkStart w:id="167" w:name="_Toc243681282"/>
      <w:bookmarkEnd w:id="164"/>
      <w:r>
        <w:t>11.2 Funktionale Bilanzgrenze: Welche Nutzungen und Prozesse zählen?</w:t>
      </w:r>
      <w:bookmarkEnd w:id="167"/>
    </w:p>
    <w:p w14:paraId="24919787" w14:textId="77777777" w:rsidR="004E4CC2" w:rsidRDefault="00000000">
      <w:pPr>
        <w:pStyle w:val="FirstParagraph"/>
      </w:pPr>
      <w:r>
        <w:t>Der Umfang der Bewertung steigt mit der angestrebten Qualitätsstufe. Der Gebäudebetrieb ist Bestandteil aller Stufen; bei den beiden erweiterten Stufen kommt der zugeordnete motorisierte Individualverkehr (MIV) hinzu. Erst die Klimaneutralitätsstufe verlangt darüber hinaus die Einhaltung eines kumulierten THG-Budgets einschließlich der definierten baulichen Lebenszyklusprozesse (Schneider u. a. 2025, Tab. 1; Schneider u. a. 2026, 8–11).</w:t>
      </w:r>
    </w:p>
    <w:p w14:paraId="006EE7CB" w14:textId="77777777" w:rsidR="004E4CC2" w:rsidRDefault="00000000">
      <w:pPr>
        <w:pStyle w:val="Textkrper"/>
      </w:pPr>
      <w:r>
        <w:t xml:space="preserve">Für die Abgrenzung der </w:t>
      </w:r>
      <w:r>
        <w:rPr>
          <w:b/>
          <w:bCs/>
        </w:rPr>
        <w:t>einzelnen Bilanzbestandteile</w:t>
      </w:r>
      <w:r>
        <w:t xml:space="preserve"> gilt:</w:t>
      </w:r>
    </w:p>
    <w:tbl>
      <w:tblPr>
        <w:tblStyle w:val="Table"/>
        <w:tblW w:w="5000" w:type="pct"/>
        <w:tblLayout w:type="fixed"/>
        <w:tblLook w:val="0000" w:firstRow="0" w:lastRow="0" w:firstColumn="0" w:lastColumn="0" w:noHBand="0" w:noVBand="0"/>
      </w:tblPr>
      <w:tblGrid>
        <w:gridCol w:w="9622"/>
      </w:tblGrid>
      <w:tr w:rsidR="004E4CC2" w14:paraId="16F82F77" w14:textId="77777777">
        <w:tc>
          <w:tcPr>
            <w:tcW w:w="7920" w:type="dxa"/>
          </w:tcPr>
          <w:p w14:paraId="39BF10BE" w14:textId="77777777" w:rsidR="004E4CC2" w:rsidRDefault="00000000">
            <w:pPr>
              <w:pStyle w:val="ImageCaption"/>
              <w:spacing w:before="200"/>
            </w:pPr>
            <w:bookmarkStart w:id="168" w:name="tbl-bilanzumfang"/>
            <w:r>
              <w:t xml:space="preserve">Tabelle 11.1: Funktionale Abgrenzung der PEQ-Bewertung. Die erforderlichen Bilanzbestandteile richten sich nach der Qualitätsstufe; eine Übersicht dazu bietet das Kapitel </w:t>
            </w:r>
            <w:r>
              <w:rPr>
                <w:iCs/>
              </w:rPr>
              <w:t>Der Standard</w:t>
            </w:r>
            <w:r>
              <w:t>.</w:t>
            </w:r>
          </w:p>
          <w:tbl>
            <w:tblPr>
              <w:tblStyle w:val="Table"/>
              <w:tblW w:w="5000" w:type="pct"/>
              <w:tblLayout w:type="fixed"/>
              <w:tblLook w:val="0020" w:firstRow="1" w:lastRow="0" w:firstColumn="0" w:lastColumn="0" w:noHBand="0" w:noVBand="0"/>
            </w:tblPr>
            <w:tblGrid>
              <w:gridCol w:w="4703"/>
              <w:gridCol w:w="4703"/>
            </w:tblGrid>
            <w:tr w:rsidR="004E4CC2" w14:paraId="708704A4"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3960" w:type="dxa"/>
                </w:tcPr>
                <w:p w14:paraId="71F21320" w14:textId="77777777" w:rsidR="004E4CC2" w:rsidRDefault="00000000">
                  <w:pPr>
                    <w:pStyle w:val="Compact"/>
                    <w:jc w:val="center"/>
                  </w:pPr>
                  <w:r>
                    <w:t>Bilanzbestandteil</w:t>
                  </w:r>
                </w:p>
              </w:tc>
              <w:tc>
                <w:tcPr>
                  <w:tcW w:w="3960" w:type="dxa"/>
                </w:tcPr>
                <w:p w14:paraId="6ED4B094" w14:textId="77777777" w:rsidR="004E4CC2" w:rsidRDefault="00000000">
                  <w:pPr>
                    <w:pStyle w:val="Compact"/>
                    <w:jc w:val="center"/>
                  </w:pPr>
                  <w:r>
                    <w:t>Einbezogene Größen und Zuordnung</w:t>
                  </w:r>
                </w:p>
              </w:tc>
            </w:tr>
            <w:tr w:rsidR="004E4CC2" w14:paraId="7F29F6AB" w14:textId="77777777">
              <w:tc>
                <w:tcPr>
                  <w:tcW w:w="3960" w:type="dxa"/>
                </w:tcPr>
                <w:p w14:paraId="06C9F08E" w14:textId="77777777" w:rsidR="004E4CC2" w:rsidRDefault="00000000">
                  <w:pPr>
                    <w:pStyle w:val="Compact"/>
                    <w:jc w:val="center"/>
                  </w:pPr>
                  <w:r>
                    <w:t>Gebäudebetrieb</w:t>
                  </w:r>
                </w:p>
              </w:tc>
              <w:tc>
                <w:tcPr>
                  <w:tcW w:w="3960" w:type="dxa"/>
                </w:tcPr>
                <w:p w14:paraId="0C1E3D7F" w14:textId="77777777" w:rsidR="004E4CC2" w:rsidRDefault="00000000">
                  <w:pPr>
                    <w:pStyle w:val="Compact"/>
                    <w:jc w:val="center"/>
                  </w:pPr>
                  <w:r>
                    <w:t>Raumheizung, Kühlung, Warmwasser, Lüftung, Beleuchtung, Hilfsenergie und weitere im Verfahren erfasste gebäudebezogene Stromanwendungen</w:t>
                  </w:r>
                </w:p>
              </w:tc>
            </w:tr>
            <w:tr w:rsidR="004E4CC2" w14:paraId="70DABB67" w14:textId="77777777">
              <w:tc>
                <w:tcPr>
                  <w:tcW w:w="3960" w:type="dxa"/>
                </w:tcPr>
                <w:p w14:paraId="07E8ED8B" w14:textId="77777777" w:rsidR="004E4CC2" w:rsidRDefault="00000000">
                  <w:pPr>
                    <w:pStyle w:val="Compact"/>
                    <w:jc w:val="center"/>
                  </w:pPr>
                  <w:r>
                    <w:t>Erneuerbare Energieaufbringung</w:t>
                  </w:r>
                </w:p>
              </w:tc>
              <w:tc>
                <w:tcPr>
                  <w:tcW w:w="3960" w:type="dxa"/>
                </w:tcPr>
                <w:p w14:paraId="0DEDA4DF" w14:textId="77777777" w:rsidR="004E4CC2" w:rsidRDefault="00000000">
                  <w:pPr>
                    <w:pStyle w:val="Compact"/>
                    <w:jc w:val="center"/>
                  </w:pPr>
                  <w:r>
                    <w:t>Dem Quartier zugeordnete Erzeugung sowie Nutzung, Speicherung, Bezug und Abgabe nach den festgelegten Bilanzregeln</w:t>
                  </w:r>
                </w:p>
              </w:tc>
            </w:tr>
            <w:tr w:rsidR="004E4CC2" w14:paraId="6767880A" w14:textId="77777777">
              <w:tc>
                <w:tcPr>
                  <w:tcW w:w="3960" w:type="dxa"/>
                </w:tcPr>
                <w:p w14:paraId="125447B2" w14:textId="77777777" w:rsidR="004E4CC2" w:rsidRDefault="00000000">
                  <w:pPr>
                    <w:pStyle w:val="Compact"/>
                    <w:jc w:val="center"/>
                  </w:pPr>
                  <w:r>
                    <w:t>Motorisierter Individualverkehr</w:t>
                  </w:r>
                </w:p>
              </w:tc>
              <w:tc>
                <w:tcPr>
                  <w:tcW w:w="3960" w:type="dxa"/>
                </w:tcPr>
                <w:p w14:paraId="464F3315" w14:textId="77777777" w:rsidR="004E4CC2" w:rsidRDefault="00000000">
                  <w:pPr>
                    <w:pStyle w:val="Compact"/>
                    <w:jc w:val="center"/>
                  </w:pPr>
                  <w:r>
                    <w:t>Dem Quartier nach dem Zielverkehrsprinzip zugeordnete Fahrenergie; bei der THG-Bilanz zusätzlich die im Verfahren erfasste Fahrzeugherstellung</w:t>
                  </w:r>
                </w:p>
              </w:tc>
            </w:tr>
            <w:tr w:rsidR="004E4CC2" w14:paraId="766B3033" w14:textId="77777777">
              <w:tc>
                <w:tcPr>
                  <w:tcW w:w="3960" w:type="dxa"/>
                </w:tcPr>
                <w:p w14:paraId="09DAD88E" w14:textId="77777777" w:rsidR="004E4CC2" w:rsidRDefault="00000000">
                  <w:pPr>
                    <w:pStyle w:val="Compact"/>
                    <w:jc w:val="center"/>
                  </w:pPr>
                  <w:r>
                    <w:t>Bauliche Lebenszyklusprozesse</w:t>
                  </w:r>
                </w:p>
              </w:tc>
              <w:tc>
                <w:tcPr>
                  <w:tcW w:w="3960" w:type="dxa"/>
                </w:tcPr>
                <w:p w14:paraId="2BB268CC" w14:textId="77777777" w:rsidR="004E4CC2" w:rsidRDefault="00000000">
                  <w:pPr>
                    <w:pStyle w:val="Compact"/>
                    <w:jc w:val="center"/>
                  </w:pPr>
                  <w:r>
                    <w:t>Herstellung, Errichtung, Instandhaltung, Ersatz und Lebensende nach dem unten beschriebenen Modulumfang</w:t>
                  </w:r>
                </w:p>
              </w:tc>
            </w:tr>
            <w:tr w:rsidR="004E4CC2" w14:paraId="773C6D34" w14:textId="77777777">
              <w:tc>
                <w:tcPr>
                  <w:tcW w:w="3960" w:type="dxa"/>
                </w:tcPr>
                <w:p w14:paraId="0925096B" w14:textId="77777777" w:rsidR="004E4CC2" w:rsidRDefault="00000000">
                  <w:pPr>
                    <w:pStyle w:val="Compact"/>
                    <w:jc w:val="center"/>
                  </w:pPr>
                  <w:r>
                    <w:t>Kontextfaktoren</w:t>
                  </w:r>
                </w:p>
              </w:tc>
              <w:tc>
                <w:tcPr>
                  <w:tcW w:w="3960" w:type="dxa"/>
                </w:tcPr>
                <w:p w14:paraId="6CE70F22" w14:textId="77777777" w:rsidR="004E4CC2" w:rsidRDefault="00000000">
                  <w:pPr>
                    <w:pStyle w:val="Compact"/>
                    <w:jc w:val="center"/>
                  </w:pPr>
                  <w:r>
                    <w:t xml:space="preserve">Virtuelle Gut- und Lastschriften für Dichte, Mobilität und Sanierung; </w:t>
                  </w:r>
                  <w:r>
                    <w:rPr>
                      <w:b/>
                      <w:bCs/>
                    </w:rPr>
                    <w:t>keine physischen Energiemengen</w:t>
                  </w:r>
                </w:p>
              </w:tc>
            </w:tr>
            <w:bookmarkEnd w:id="168"/>
          </w:tbl>
          <w:p w14:paraId="64366CC8" w14:textId="77777777" w:rsidR="004E4CC2" w:rsidRDefault="004E4CC2"/>
        </w:tc>
      </w:tr>
    </w:tbl>
    <w:p w14:paraId="4A41B6E8" w14:textId="77777777" w:rsidR="004E4CC2" w:rsidRDefault="00000000">
      <w:pPr>
        <w:pStyle w:val="Textkrper"/>
      </w:pPr>
      <w:r>
        <w:t>Ein Energieausweis, der vor allem Heizung und Warmwasser beschreibt, bildet damit nicht automatisch den vollständigen betrieblichen Quartiersbedarf ab. Bei gemeinsam versorgten Nutzungen muss erkennbar bleiben, welchem Teil des Quartiers die berechneten Mengen zugeordnet werden.</w:t>
      </w:r>
    </w:p>
    <w:p w14:paraId="5612B17B" w14:textId="77777777" w:rsidR="004E4CC2" w:rsidRDefault="00000000">
      <w:pPr>
        <w:pStyle w:val="berschrift2"/>
      </w:pPr>
      <w:bookmarkStart w:id="169" w:name="sec-energie-bewertung"/>
      <w:bookmarkStart w:id="170" w:name="_Toc243681283"/>
      <w:bookmarkEnd w:id="166"/>
      <w:r>
        <w:lastRenderedPageBreak/>
        <w:t>11.3 Primärenergiebilanz: Physische Flüsse und Bewertung trennen</w:t>
      </w:r>
      <w:bookmarkEnd w:id="170"/>
    </w:p>
    <w:p w14:paraId="262F954D" w14:textId="77777777" w:rsidR="004E4CC2" w:rsidRDefault="00000000">
      <w:pPr>
        <w:pStyle w:val="FirstParagraph"/>
      </w:pPr>
      <w:r>
        <w:t xml:space="preserve">Das Quartiersmodell bestimmt zunächst die </w:t>
      </w:r>
      <w:r>
        <w:rPr>
          <w:b/>
          <w:bCs/>
        </w:rPr>
        <w:t>physischen Energieflüsse</w:t>
      </w:r>
      <w:r>
        <w:t xml:space="preserve"> über ein Jahr: Bedarf der Anwendungen, lokale Erzeugung, direkten Eigenverbrauch, Lade- und Entladevorgänge, Speicherverluste sowie Bezug und Abgabe über die Quartiersgrenze.</w:t>
      </w:r>
    </w:p>
    <w:p w14:paraId="0A7F67BE" w14:textId="77777777" w:rsidR="004E4CC2" w:rsidRDefault="00000000">
      <w:pPr>
        <w:pStyle w:val="Textkrper"/>
      </w:pPr>
      <w:r>
        <w:t xml:space="preserve">Anschließend werden die bilanzierten Energiemengen mit den festgelegten Primärenergiefaktoren bewertet. Der </w:t>
      </w:r>
      <w:r>
        <w:rPr>
          <w:b/>
          <w:bCs/>
        </w:rPr>
        <w:t>bewertete Primärenergiesaldo</w:t>
      </w:r>
      <w:r>
        <w:t xml:space="preserve"> ist positiv bei einem Überschuss und negativ bei einem Bedarfssaldo. Auf diesen Wert wirken die Kontextgutschriften und -lastschriften. Für die Erfüllung der jeweiligen Qualitätsstufe ist die Bilanz </w:t>
      </w:r>
      <w:r>
        <w:rPr>
          <w:i/>
          <w:iCs/>
        </w:rPr>
        <w:t>einschließlich</w:t>
      </w:r>
      <w:r>
        <w:t xml:space="preserve"> der relevanten Kontextfaktoren maßgeblich (Schneider u. a. 2025, Abschn. 2.2).</w:t>
      </w:r>
    </w:p>
    <w:p w14:paraId="54BBA369" w14:textId="77777777" w:rsidR="004E4CC2" w:rsidRDefault="00000000">
      <w:pPr>
        <w:pStyle w:val="Textkrper"/>
      </w:pPr>
      <w:r>
        <w:t>Die Quartiersbilanz verknüpft Energiequellen, Umwandlungsanlagen, Speicher und Nutzungen. Energiebezug und Energieabgabe werden an der Systemgrenze erfasst.</w:t>
      </w:r>
    </w:p>
    <w:tbl>
      <w:tblPr>
        <w:tblStyle w:val="Table"/>
        <w:tblW w:w="5000" w:type="pct"/>
        <w:tblLayout w:type="fixed"/>
        <w:tblLook w:val="0000" w:firstRow="0" w:lastRow="0" w:firstColumn="0" w:lastColumn="0" w:noHBand="0" w:noVBand="0"/>
      </w:tblPr>
      <w:tblGrid>
        <w:gridCol w:w="9622"/>
      </w:tblGrid>
      <w:tr w:rsidR="004E4CC2" w14:paraId="77190156" w14:textId="77777777">
        <w:tc>
          <w:tcPr>
            <w:tcW w:w="7920" w:type="dxa"/>
          </w:tcPr>
          <w:p w14:paraId="3D78E69C" w14:textId="77777777" w:rsidR="004E4CC2" w:rsidRDefault="00000000">
            <w:pPr>
              <w:pStyle w:val="Compact"/>
              <w:jc w:val="center"/>
            </w:pPr>
            <w:bookmarkStart w:id="171" w:name="fig-energiemodell-betrieb"/>
            <w:r>
              <w:rPr>
                <w:noProof/>
              </w:rPr>
              <w:drawing>
                <wp:inline distT="0" distB="0" distL="0" distR="0" wp14:anchorId="7FDEA01A" wp14:editId="1AB108CC">
                  <wp:extent cx="5334000" cy="3086329"/>
                  <wp:effectExtent l="0" t="0" r="0" b="0"/>
                  <wp:docPr id="182" name="Picture"/>
                  <wp:cNvGraphicFramePr/>
                  <a:graphic xmlns:a="http://schemas.openxmlformats.org/drawingml/2006/main">
                    <a:graphicData uri="http://schemas.openxmlformats.org/drawingml/2006/picture">
                      <pic:pic xmlns:pic="http://schemas.openxmlformats.org/drawingml/2006/picture">
                        <pic:nvPicPr>
                          <pic:cNvPr id="183" name="Picture" descr="Kapitel/../Abbildungen/energiemodel_betrieb.svg"/>
                          <pic:cNvPicPr>
                            <a:picLocks noChangeAspect="1" noChangeArrowheads="1"/>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3086329"/>
                          </a:xfrm>
                          <a:prstGeom prst="rect">
                            <a:avLst/>
                          </a:prstGeom>
                          <a:noFill/>
                          <a:ln w="9525">
                            <a:noFill/>
                            <a:headEnd/>
                            <a:tailEnd/>
                          </a:ln>
                        </pic:spPr>
                      </pic:pic>
                    </a:graphicData>
                  </a:graphic>
                </wp:inline>
              </w:drawing>
            </w:r>
          </w:p>
          <w:p w14:paraId="6233C4FD" w14:textId="77777777" w:rsidR="004E4CC2" w:rsidRDefault="00000000">
            <w:pPr>
              <w:pStyle w:val="ImageCaption"/>
              <w:spacing w:before="200"/>
            </w:pPr>
            <w:r>
              <w:t>Abbildung 11.1: Schematisches Quartiersenergiesystem mit elektrischen und thermischen Energieflüssen, Speichern, erneuerbarer Erzeugung und Netzaustausch.</w:t>
            </w:r>
          </w:p>
        </w:tc>
        <w:bookmarkEnd w:id="171"/>
      </w:tr>
    </w:tbl>
    <w:p w14:paraId="155541DF" w14:textId="77777777" w:rsidR="004E4CC2" w:rsidRDefault="00000000">
      <w:pPr>
        <w:pStyle w:val="berschrift2"/>
      </w:pPr>
      <w:bookmarkStart w:id="172" w:name="Xeec03d287a5687669b53679d554318440c20518"/>
      <w:bookmarkStart w:id="173" w:name="_Toc243681284"/>
      <w:bookmarkEnd w:id="169"/>
      <w:r>
        <w:t>11.4 Mobilität: Zugeordnete Fahrten sind nicht gleich lokale Ladevorgänge</w:t>
      </w:r>
      <w:bookmarkEnd w:id="173"/>
    </w:p>
    <w:p w14:paraId="02CCC4C8" w14:textId="77777777" w:rsidR="004E4CC2" w:rsidRDefault="00000000">
      <w:pPr>
        <w:pStyle w:val="FirstParagraph"/>
      </w:pPr>
      <w:r>
        <w:t xml:space="preserve">Der MIV wird nach dem </w:t>
      </w:r>
      <w:r>
        <w:rPr>
          <w:b/>
          <w:bCs/>
        </w:rPr>
        <w:t>Zielverkehrsprinzip</w:t>
      </w:r>
      <w:r>
        <w:t xml:space="preserve"> zugeordnet: Relevant sind Fahrten, deren Ziel im betrachteten Quartier liegt, beispielsweise Heim-, Arbeits- oder Einkaufswege. Fahrten zu anderen Zielen werden den jeweiligen Zielorten zugeordnet. Der öffentliche Verkehr wird im beschriebenen Verfahren nicht unmittelbar als Quartiersmobilität bilanziert; ein geringerer MIV-Anteil vermindert jedoch den zugeordneten Fahrenergiebedarf (Schneider u. a. 2025, Abschn. 2.4.2).</w:t>
      </w:r>
    </w:p>
    <w:p w14:paraId="04A5EC0D" w14:textId="77777777" w:rsidR="004E4CC2" w:rsidRDefault="00000000">
      <w:pPr>
        <w:pStyle w:val="Textkrper"/>
      </w:pPr>
      <w:r>
        <w:lastRenderedPageBreak/>
        <w:t xml:space="preserve">Bei Elektrofahrzeugen können </w:t>
      </w:r>
      <w:r>
        <w:rPr>
          <w:b/>
          <w:bCs/>
        </w:rPr>
        <w:t>Fahrenergie und Ladevorgang räumlich auseinanderfallen</w:t>
      </w:r>
      <w:r>
        <w:t>. Das Modell berücksichtigt deshalb das Laden innerhalb und außerhalb des Quartiers und die Zuordnung von Fahrten zu verschiedenen Zielen. Wenn Fahrzeugbatterien zusätzlich zur Versorgung des Gebäudes beitragen, handelt es sich um einen Speicherfluss, nicht um eine zweite erneuerbare Energiequelle. Die für die Fahrt erforderliche Energie muss weiterhin berücksichtigt werden.</w:t>
      </w:r>
    </w:p>
    <w:p w14:paraId="6C5D5576" w14:textId="77777777" w:rsidR="004E4CC2" w:rsidRDefault="00000000">
      <w:pPr>
        <w:pStyle w:val="Textkrper"/>
      </w:pPr>
      <w:r>
        <w:t xml:space="preserve">In der THG-Bilanz wird außerdem die Fahrzeugherstellung in dem im Referenzverfahren vorgesehenen Umfang angesetzt. Der Umfang der Fahrzeugherstellung folgt dem Referenzverfahren. Das nutzungsbezogene Mobilitätsbudget ist ebenfalls von realen Ladeleistungen, Anschlusskapazitäten und der tatsächlichen Anwesenheit von Fahrzeugen zu unterscheiden. Budgetzuordnung und Anwendung des Mobilitätskontextfaktors beschreibt </w:t>
      </w:r>
      <w:hyperlink w:anchor="sec-kontext-mobilitaet">
        <w:r>
          <w:rPr>
            <w:rStyle w:val="Hyperlink"/>
          </w:rPr>
          <w:t>Kapitel 8</w:t>
        </w:r>
      </w:hyperlink>
      <w:r>
        <w:t>; die stündliche Fahrzeugmodellierung ist in Schneider und Baptista (2025) beschrieben.</w:t>
      </w:r>
    </w:p>
    <w:tbl>
      <w:tblPr>
        <w:tblStyle w:val="Table"/>
        <w:tblW w:w="5000" w:type="pct"/>
        <w:tblLayout w:type="fixed"/>
        <w:tblLook w:val="0000" w:firstRow="0" w:lastRow="0" w:firstColumn="0" w:lastColumn="0" w:noHBand="0" w:noVBand="0"/>
      </w:tblPr>
      <w:tblGrid>
        <w:gridCol w:w="9622"/>
      </w:tblGrid>
      <w:tr w:rsidR="004E4CC2" w14:paraId="3CBDB73E" w14:textId="77777777">
        <w:tc>
          <w:tcPr>
            <w:tcW w:w="7920" w:type="dxa"/>
          </w:tcPr>
          <w:p w14:paraId="53A47D2D" w14:textId="77777777" w:rsidR="004E4CC2" w:rsidRDefault="00000000">
            <w:pPr>
              <w:pStyle w:val="Compact"/>
              <w:jc w:val="center"/>
            </w:pPr>
            <w:bookmarkStart w:id="174" w:name="fig-mobilitaetsbilanzgrenze"/>
            <w:r>
              <w:rPr>
                <w:noProof/>
              </w:rPr>
              <w:drawing>
                <wp:inline distT="0" distB="0" distL="0" distR="0" wp14:anchorId="14AB3D9F" wp14:editId="0867C97E">
                  <wp:extent cx="4800600" cy="269858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Kapitel/../Abbildungen/bilanz_mobilitaet.svg"/>
                          <pic:cNvPicPr>
                            <a:picLocks noChangeAspect="1" noChangeArrowheads="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4800600" cy="2698580"/>
                          </a:xfrm>
                          <a:prstGeom prst="rect">
                            <a:avLst/>
                          </a:prstGeom>
                          <a:noFill/>
                          <a:ln w="9525">
                            <a:noFill/>
                            <a:headEnd/>
                            <a:tailEnd/>
                          </a:ln>
                        </pic:spPr>
                      </pic:pic>
                    </a:graphicData>
                  </a:graphic>
                </wp:inline>
              </w:drawing>
            </w:r>
          </w:p>
          <w:p w14:paraId="686318DD" w14:textId="77777777" w:rsidR="004E4CC2" w:rsidRDefault="00000000">
            <w:pPr>
              <w:pStyle w:val="ImageCaption"/>
              <w:spacing w:before="200"/>
            </w:pPr>
            <w:r>
              <w:t>Abbildung 11.2: Unterscheidung zwischen zugeordnetem Zielverkehr, Mobilitätsbudget und tatsächlichen Ladevorgängen nach Nutzungsarten.</w:t>
            </w:r>
          </w:p>
        </w:tc>
        <w:bookmarkEnd w:id="174"/>
      </w:tr>
    </w:tbl>
    <w:p w14:paraId="552BA103" w14:textId="77777777" w:rsidR="004E4CC2" w:rsidRDefault="00000000">
      <w:pPr>
        <w:pStyle w:val="berschrift2"/>
      </w:pPr>
      <w:bookmarkStart w:id="175" w:name="X3e02a13543ee4b2bcbdf4fcf2dc95e0238c063a"/>
      <w:bookmarkStart w:id="176" w:name="_Toc243681285"/>
      <w:bookmarkEnd w:id="172"/>
      <w:r>
        <w:t>11.5 Lebenszyklus-Treibhausgasbilanz: Welche Module werden berücksichtigt?</w:t>
      </w:r>
      <w:bookmarkEnd w:id="176"/>
    </w:p>
    <w:p w14:paraId="05CCC19E" w14:textId="77777777" w:rsidR="004E4CC2" w:rsidRDefault="00000000">
      <w:pPr>
        <w:pStyle w:val="FirstParagraph"/>
      </w:pPr>
      <w:r>
        <w:t xml:space="preserve">Die Klimaneutralitätsstufe berücksichtigt neben Betrieb und MIV die definierten Emissionen der baulichen Infrastruktur. Diese umfasst insbesondere Gebäude und zugehörige Anlagen auf dem Grundstück, einschließlich technisch relevanter Anlagen und nicht konditionierter Bauteile. Die folgende Tabelle dokumentiert den in den wissenschaftlichen Arbeiten beschriebenen PEQ-Umfang; sie ist </w:t>
      </w:r>
      <w:r>
        <w:rPr>
          <w:b/>
          <w:bCs/>
        </w:rPr>
        <w:t>nicht</w:t>
      </w:r>
      <w:r>
        <w:t xml:space="preserve"> als pauschale Übereinstimmung mit einem anderen Gebäudebilanzierungsstandard zu lesen (Schneider u. a. 2025, Abschn. 2.4 und Tab. 3).</w:t>
      </w:r>
    </w:p>
    <w:tbl>
      <w:tblPr>
        <w:tblStyle w:val="Table"/>
        <w:tblW w:w="5000" w:type="pct"/>
        <w:tblLayout w:type="fixed"/>
        <w:tblLook w:val="0000" w:firstRow="0" w:lastRow="0" w:firstColumn="0" w:lastColumn="0" w:noHBand="0" w:noVBand="0"/>
      </w:tblPr>
      <w:tblGrid>
        <w:gridCol w:w="9622"/>
      </w:tblGrid>
      <w:tr w:rsidR="004E4CC2" w14:paraId="67D329FD" w14:textId="77777777">
        <w:tc>
          <w:tcPr>
            <w:tcW w:w="7920" w:type="dxa"/>
          </w:tcPr>
          <w:p w14:paraId="1B2C6F7E" w14:textId="77777777" w:rsidR="004E4CC2" w:rsidRDefault="00000000">
            <w:pPr>
              <w:pStyle w:val="ImageCaption"/>
              <w:spacing w:before="200"/>
            </w:pPr>
            <w:bookmarkStart w:id="177" w:name="tbl-lca-umfang"/>
            <w:r>
              <w:t xml:space="preserve">Tabelle 11.2: Lebenszyklusumfang nach Schneider et al. (2025), Tab. 3, und dem im Bericht </w:t>
            </w:r>
            <w:r>
              <w:lastRenderedPageBreak/>
              <w:t>dokumentierten Referenzverfahren.</w:t>
            </w:r>
          </w:p>
          <w:tbl>
            <w:tblPr>
              <w:tblStyle w:val="Table"/>
              <w:tblW w:w="5000" w:type="pct"/>
              <w:tblLayout w:type="fixed"/>
              <w:tblLook w:val="0020" w:firstRow="1" w:lastRow="0" w:firstColumn="0" w:lastColumn="0" w:noHBand="0" w:noVBand="0"/>
            </w:tblPr>
            <w:tblGrid>
              <w:gridCol w:w="4703"/>
              <w:gridCol w:w="4703"/>
            </w:tblGrid>
            <w:tr w:rsidR="004E4CC2" w14:paraId="66C68A0B"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3960" w:type="dxa"/>
                </w:tcPr>
                <w:p w14:paraId="12BDE4E1" w14:textId="77777777" w:rsidR="004E4CC2" w:rsidRDefault="00000000">
                  <w:pPr>
                    <w:pStyle w:val="Compact"/>
                    <w:jc w:val="center"/>
                  </w:pPr>
                  <w:r>
                    <w:t>Lebenszyklusmodul oder Prozess</w:t>
                  </w:r>
                </w:p>
              </w:tc>
              <w:tc>
                <w:tcPr>
                  <w:tcW w:w="3960" w:type="dxa"/>
                </w:tcPr>
                <w:p w14:paraId="1A0256BF" w14:textId="77777777" w:rsidR="004E4CC2" w:rsidRDefault="00000000">
                  <w:pPr>
                    <w:pStyle w:val="Compact"/>
                    <w:jc w:val="center"/>
                  </w:pPr>
                  <w:r>
                    <w:t>Behandlung im beschriebenen PEQ-Verfahren</w:t>
                  </w:r>
                </w:p>
              </w:tc>
            </w:tr>
            <w:tr w:rsidR="004E4CC2" w14:paraId="0F413578" w14:textId="77777777">
              <w:tc>
                <w:tcPr>
                  <w:tcW w:w="3960" w:type="dxa"/>
                </w:tcPr>
                <w:p w14:paraId="69AAABB9" w14:textId="77777777" w:rsidR="004E4CC2" w:rsidRDefault="00000000">
                  <w:pPr>
                    <w:pStyle w:val="Compact"/>
                    <w:jc w:val="center"/>
                  </w:pPr>
                  <w:r>
                    <w:t>A1–A3: Herstellung</w:t>
                  </w:r>
                </w:p>
              </w:tc>
              <w:tc>
                <w:tcPr>
                  <w:tcW w:w="3960" w:type="dxa"/>
                </w:tcPr>
                <w:p w14:paraId="538ACF58" w14:textId="77777777" w:rsidR="004E4CC2" w:rsidRDefault="00000000">
                  <w:pPr>
                    <w:pStyle w:val="Compact"/>
                    <w:jc w:val="center"/>
                  </w:pPr>
                  <w:r>
                    <w:t>Rohstoffe, Transport zur Herstellung und Produktionsprozesse werden erfasst.</w:t>
                  </w:r>
                </w:p>
              </w:tc>
            </w:tr>
            <w:tr w:rsidR="004E4CC2" w14:paraId="295B6FC6" w14:textId="77777777">
              <w:tc>
                <w:tcPr>
                  <w:tcW w:w="3960" w:type="dxa"/>
                </w:tcPr>
                <w:p w14:paraId="53ACEF8B" w14:textId="77777777" w:rsidR="004E4CC2" w:rsidRDefault="00000000">
                  <w:pPr>
                    <w:pStyle w:val="Compact"/>
                    <w:jc w:val="center"/>
                  </w:pPr>
                  <w:r>
                    <w:t>A4–A5: Transport und Errichtung</w:t>
                  </w:r>
                </w:p>
              </w:tc>
              <w:tc>
                <w:tcPr>
                  <w:tcW w:w="3960" w:type="dxa"/>
                </w:tcPr>
                <w:p w14:paraId="2C6E951E" w14:textId="77777777" w:rsidR="004E4CC2" w:rsidRDefault="00000000">
                  <w:pPr>
                    <w:pStyle w:val="Compact"/>
                    <w:jc w:val="center"/>
                  </w:pPr>
                  <w:r>
                    <w:t>Erfassung abhängig von praktischer Erhebbarkeit und Datenverfügbarkeit; tatsächlich berücksichtigten Umfang dokumentieren.</w:t>
                  </w:r>
                </w:p>
              </w:tc>
            </w:tr>
            <w:tr w:rsidR="004E4CC2" w14:paraId="18339954" w14:textId="77777777">
              <w:tc>
                <w:tcPr>
                  <w:tcW w:w="3960" w:type="dxa"/>
                </w:tcPr>
                <w:p w14:paraId="33DBCA89" w14:textId="77777777" w:rsidR="004E4CC2" w:rsidRDefault="00000000">
                  <w:pPr>
                    <w:pStyle w:val="Compact"/>
                    <w:jc w:val="center"/>
                  </w:pPr>
                  <w:r>
                    <w:t>B1 und B7: Nutzung und Wasser</w:t>
                  </w:r>
                </w:p>
              </w:tc>
              <w:tc>
                <w:tcPr>
                  <w:tcW w:w="3960" w:type="dxa"/>
                </w:tcPr>
                <w:p w14:paraId="11F5A7D0" w14:textId="77777777" w:rsidR="004E4CC2" w:rsidRDefault="00000000">
                  <w:pPr>
                    <w:pStyle w:val="Compact"/>
                    <w:jc w:val="center"/>
                  </w:pPr>
                  <w:r>
                    <w:t>Nicht Teil der Kernbilanz.</w:t>
                  </w:r>
                </w:p>
              </w:tc>
            </w:tr>
            <w:tr w:rsidR="004E4CC2" w14:paraId="7214A728" w14:textId="77777777">
              <w:tc>
                <w:tcPr>
                  <w:tcW w:w="3960" w:type="dxa"/>
                </w:tcPr>
                <w:p w14:paraId="0E8DD8ED" w14:textId="77777777" w:rsidR="004E4CC2" w:rsidRDefault="00000000">
                  <w:pPr>
                    <w:pStyle w:val="Compact"/>
                    <w:jc w:val="center"/>
                  </w:pPr>
                  <w:r>
                    <w:t>B2–B5: Wartung, Reparatur, Ersatz und Erneuerung</w:t>
                  </w:r>
                </w:p>
              </w:tc>
              <w:tc>
                <w:tcPr>
                  <w:tcW w:w="3960" w:type="dxa"/>
                </w:tcPr>
                <w:p w14:paraId="72C7B26B" w14:textId="77777777" w:rsidR="004E4CC2" w:rsidRDefault="00000000">
                  <w:pPr>
                    <w:pStyle w:val="Compact"/>
                    <w:jc w:val="center"/>
                  </w:pPr>
                  <w:r>
                    <w:t>Berücksichtigt; Ersatzzeitpunkt und Dekarbonisierungsannahmen beeinflussen das kumulierte Ergebnis.</w:t>
                  </w:r>
                </w:p>
              </w:tc>
            </w:tr>
            <w:tr w:rsidR="004E4CC2" w14:paraId="2CC1A29B" w14:textId="77777777">
              <w:tc>
                <w:tcPr>
                  <w:tcW w:w="3960" w:type="dxa"/>
                </w:tcPr>
                <w:p w14:paraId="1D5DA624" w14:textId="77777777" w:rsidR="004E4CC2" w:rsidRDefault="00000000">
                  <w:pPr>
                    <w:pStyle w:val="Compact"/>
                    <w:jc w:val="center"/>
                  </w:pPr>
                  <w:r>
                    <w:t>B6: Betriebsenergie</w:t>
                  </w:r>
                </w:p>
              </w:tc>
              <w:tc>
                <w:tcPr>
                  <w:tcW w:w="3960" w:type="dxa"/>
                </w:tcPr>
                <w:p w14:paraId="2CBB6941" w14:textId="77777777" w:rsidR="004E4CC2" w:rsidRDefault="00000000">
                  <w:pPr>
                    <w:pStyle w:val="Compact"/>
                    <w:jc w:val="center"/>
                  </w:pPr>
                  <w:r>
                    <w:t>Bewertung der Energieflüsse mit den zeitlich zugeordneten Emissionsfaktoren.</w:t>
                  </w:r>
                </w:p>
              </w:tc>
            </w:tr>
            <w:tr w:rsidR="004E4CC2" w14:paraId="62F473E9" w14:textId="77777777">
              <w:tc>
                <w:tcPr>
                  <w:tcW w:w="3960" w:type="dxa"/>
                </w:tcPr>
                <w:p w14:paraId="1B87CC6F" w14:textId="77777777" w:rsidR="004E4CC2" w:rsidRDefault="00000000">
                  <w:pPr>
                    <w:pStyle w:val="Compact"/>
                    <w:jc w:val="center"/>
                  </w:pPr>
                  <w:r>
                    <w:t>B8: Zugeordnete Mobilität</w:t>
                  </w:r>
                </w:p>
              </w:tc>
              <w:tc>
                <w:tcPr>
                  <w:tcW w:w="3960" w:type="dxa"/>
                </w:tcPr>
                <w:p w14:paraId="43BA73AC" w14:textId="77777777" w:rsidR="004E4CC2" w:rsidRDefault="00000000">
                  <w:pPr>
                    <w:pStyle w:val="Compact"/>
                    <w:jc w:val="center"/>
                  </w:pPr>
                  <w:r>
                    <w:t>MIV einschließlich des im Verfahren berücksichtigten Anteils der Fahrzeugherstellung.</w:t>
                  </w:r>
                </w:p>
              </w:tc>
            </w:tr>
            <w:tr w:rsidR="004E4CC2" w14:paraId="6D29BA49" w14:textId="77777777">
              <w:tc>
                <w:tcPr>
                  <w:tcW w:w="3960" w:type="dxa"/>
                </w:tcPr>
                <w:p w14:paraId="570F9719" w14:textId="77777777" w:rsidR="004E4CC2" w:rsidRDefault="00000000">
                  <w:pPr>
                    <w:pStyle w:val="Compact"/>
                    <w:jc w:val="center"/>
                  </w:pPr>
                  <w:r>
                    <w:t>C1–C4: Lebensende</w:t>
                  </w:r>
                </w:p>
              </w:tc>
              <w:tc>
                <w:tcPr>
                  <w:tcW w:w="3960" w:type="dxa"/>
                </w:tcPr>
                <w:p w14:paraId="0C2471AD" w14:textId="77777777" w:rsidR="004E4CC2" w:rsidRDefault="00000000">
                  <w:pPr>
                    <w:pStyle w:val="Compact"/>
                    <w:jc w:val="center"/>
                  </w:pPr>
                  <w:r>
                    <w:t>Berücksichtigt; für Ereignisse ab 2050 gilt der angenommene Dekarbonisierungspfad.</w:t>
                  </w:r>
                </w:p>
              </w:tc>
            </w:tr>
            <w:tr w:rsidR="004E4CC2" w14:paraId="01648940" w14:textId="77777777">
              <w:tc>
                <w:tcPr>
                  <w:tcW w:w="3960" w:type="dxa"/>
                </w:tcPr>
                <w:p w14:paraId="74DC6473" w14:textId="77777777" w:rsidR="004E4CC2" w:rsidRDefault="00000000">
                  <w:pPr>
                    <w:pStyle w:val="Compact"/>
                    <w:jc w:val="center"/>
                  </w:pPr>
                  <w:r>
                    <w:t>D: Wirkungen außerhalb der Gebäudegrenze</w:t>
                  </w:r>
                </w:p>
              </w:tc>
              <w:tc>
                <w:tcPr>
                  <w:tcW w:w="3960" w:type="dxa"/>
                </w:tcPr>
                <w:p w14:paraId="46067934" w14:textId="77777777" w:rsidR="004E4CC2" w:rsidRDefault="00000000">
                  <w:pPr>
                    <w:pStyle w:val="Compact"/>
                    <w:jc w:val="center"/>
                  </w:pPr>
                  <w:r>
                    <w:t>Wiederverwendung und Verwertung nach der gewählten LCA-Konvention; exportierte Energie als Substitutionswirkung.</w:t>
                  </w:r>
                </w:p>
              </w:tc>
            </w:tr>
            <w:tr w:rsidR="004E4CC2" w14:paraId="18CA7326" w14:textId="77777777">
              <w:tc>
                <w:tcPr>
                  <w:tcW w:w="3960" w:type="dxa"/>
                </w:tcPr>
                <w:p w14:paraId="08F20910" w14:textId="77777777" w:rsidR="004E4CC2" w:rsidRDefault="00000000">
                  <w:pPr>
                    <w:pStyle w:val="Compact"/>
                    <w:jc w:val="center"/>
                  </w:pPr>
                  <w:r>
                    <w:t>Öffentliche Infrastruktur außerhalb des Grundstücks</w:t>
                  </w:r>
                </w:p>
              </w:tc>
              <w:tc>
                <w:tcPr>
                  <w:tcW w:w="3960" w:type="dxa"/>
                </w:tcPr>
                <w:p w14:paraId="48524FC1" w14:textId="77777777" w:rsidR="004E4CC2" w:rsidRDefault="00000000">
                  <w:pPr>
                    <w:pStyle w:val="Compact"/>
                    <w:jc w:val="center"/>
                  </w:pPr>
                  <w:r>
                    <w:t>Nicht Teil der baulichen Kernbilanz; gegebenenfalls separat auszuweisen.</w:t>
                  </w:r>
                </w:p>
              </w:tc>
            </w:tr>
            <w:bookmarkEnd w:id="177"/>
          </w:tbl>
          <w:p w14:paraId="29B0344D" w14:textId="77777777" w:rsidR="004E4CC2" w:rsidRDefault="004E4CC2"/>
        </w:tc>
      </w:tr>
    </w:tbl>
    <w:p w14:paraId="2AFEBBB5" w14:textId="77777777" w:rsidR="004E4CC2" w:rsidRDefault="00000000">
      <w:pPr>
        <w:pStyle w:val="Textkrper"/>
      </w:pPr>
      <w:r>
        <w:lastRenderedPageBreak/>
        <w:t>Die Lebenszyklusbilanz verbindet zeitlich auftretende Betriebsemissionen mit den Emissionen aus Errichtung, Instandhaltung und Lebensende. Hinzu kommen die im Verfahren berücksichtigten Gutschriften und Speicherwirkungen.</w:t>
      </w:r>
    </w:p>
    <w:tbl>
      <w:tblPr>
        <w:tblStyle w:val="Table"/>
        <w:tblW w:w="5000" w:type="pct"/>
        <w:tblLayout w:type="fixed"/>
        <w:tblLook w:val="0000" w:firstRow="0" w:lastRow="0" w:firstColumn="0" w:lastColumn="0" w:noHBand="0" w:noVBand="0"/>
      </w:tblPr>
      <w:tblGrid>
        <w:gridCol w:w="9622"/>
      </w:tblGrid>
      <w:tr w:rsidR="004E4CC2" w14:paraId="79A7CAA6" w14:textId="77777777">
        <w:tc>
          <w:tcPr>
            <w:tcW w:w="7920" w:type="dxa"/>
          </w:tcPr>
          <w:p w14:paraId="0973DEB5" w14:textId="77777777" w:rsidR="004E4CC2" w:rsidRDefault="00000000">
            <w:pPr>
              <w:pStyle w:val="Compact"/>
              <w:jc w:val="center"/>
            </w:pPr>
            <w:bookmarkStart w:id="178" w:name="fig-lebenszyklus-thg"/>
            <w:r>
              <w:rPr>
                <w:noProof/>
              </w:rPr>
              <w:lastRenderedPageBreak/>
              <w:drawing>
                <wp:inline distT="0" distB="0" distL="0" distR="0" wp14:anchorId="10A99A41" wp14:editId="558F5AEC">
                  <wp:extent cx="5334000" cy="2929116"/>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Kapitel/../Abbildungen/bilanz_thg.svg"/>
                          <pic:cNvPicPr>
                            <a:picLocks noChangeAspect="1" noChangeArrowheads="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334000" cy="2929116"/>
                          </a:xfrm>
                          <a:prstGeom prst="rect">
                            <a:avLst/>
                          </a:prstGeom>
                          <a:noFill/>
                          <a:ln w="9525">
                            <a:noFill/>
                            <a:headEnd/>
                            <a:tailEnd/>
                          </a:ln>
                        </pic:spPr>
                      </pic:pic>
                    </a:graphicData>
                  </a:graphic>
                </wp:inline>
              </w:drawing>
            </w:r>
          </w:p>
          <w:p w14:paraId="3D3371F6" w14:textId="77777777" w:rsidR="004E4CC2" w:rsidRDefault="00000000">
            <w:pPr>
              <w:pStyle w:val="ImageCaption"/>
              <w:spacing w:before="200"/>
            </w:pPr>
            <w:r>
              <w:t>Abbildung 11.3: Schematische Lebenszyklus-THG-Bilanz von 2025 bis 2075 mit Bauprozessen, Betrieb, Mobilität, Emissionsgutschriften und biogener Kohlenstoffspeicherung.</w:t>
            </w:r>
          </w:p>
        </w:tc>
        <w:bookmarkEnd w:id="178"/>
      </w:tr>
    </w:tbl>
    <w:p w14:paraId="35162BCE" w14:textId="77777777" w:rsidR="004E4CC2" w:rsidRDefault="00000000">
      <w:pPr>
        <w:pStyle w:val="Textkrper"/>
      </w:pPr>
      <w:r>
        <w:t xml:space="preserve">Die zeitliche Abbildung der Emissionen ist relevant: </w:t>
      </w:r>
      <w:r>
        <w:rPr>
          <w:b/>
          <w:bCs/>
        </w:rPr>
        <w:t>Emissionen einer heute ausgeführten Maßnahme entstehen heute</w:t>
      </w:r>
      <w:r>
        <w:t>; sie werden nicht durch die Verteilung auf 50 rechnerische Jahresraten zeitlich verschoben. Spätere Ersatz- und Instandhaltungsmaßnahmen bleiben technisch erforderlich, auch wenn die angenommene Dekarbonisierung ihre modellierte Emissionswirkung reduziert.</w:t>
      </w:r>
    </w:p>
    <w:p w14:paraId="2E9B4E16" w14:textId="77777777" w:rsidR="004E4CC2" w:rsidRDefault="00000000">
      <w:pPr>
        <w:pStyle w:val="berschrift3"/>
      </w:pPr>
      <w:bookmarkStart w:id="179" w:name="Xa24c8817aaea6b80bc5e768c66c93185097089e"/>
      <w:bookmarkStart w:id="180" w:name="_Toc243681286"/>
      <w:r>
        <w:t>11.5.1 Photovoltaik, Eigenverbrauch und Netzeinspeisung</w:t>
      </w:r>
      <w:bookmarkEnd w:id="180"/>
    </w:p>
    <w:p w14:paraId="170F6A13" w14:textId="77777777" w:rsidR="004E4CC2" w:rsidRDefault="00000000">
      <w:pPr>
        <w:pStyle w:val="FirstParagraph"/>
      </w:pPr>
      <w:r>
        <w:t>Lokal erzeugter PV-Strom kann direkt verwendet, gespeichert oder – soweit technisch möglich – in das öffentliche Netz abgegeben werden. Ein direkter PV-Verbrauch vermeidet Netzbezug; exportierter Strom wird im beschriebenen Referenzverfahren als Substitution von Netzstrom bewertet. Für Bezug und Export gelten zum jeweiligen Zeitpunkt dieselben operativen Bewertungsfaktoren. Der konkrete Effekt hängt daher auch von zeitlicher Verfügbarkeit, Verlusten und realisierbarer Einspeisung ab (Schneider u. a. 2025, Abschn. 2.4.1).</w:t>
      </w:r>
    </w:p>
    <w:p w14:paraId="45652AB3" w14:textId="77777777" w:rsidR="004E4CC2" w:rsidRDefault="00000000">
      <w:pPr>
        <w:pStyle w:val="Textkrper"/>
      </w:pPr>
      <w:r>
        <w:t xml:space="preserve">Die </w:t>
      </w:r>
      <w:r>
        <w:rPr>
          <w:b/>
          <w:bCs/>
        </w:rPr>
        <w:t>Errichtungsemissionen der PV-Anlage</w:t>
      </w:r>
      <w:r>
        <w:t xml:space="preserve"> werden im publizierten Referenzansatz dem nationalen Energieversorgungssektor und nicht der Quartiers-THG-Bilanz zugeordnet. Das ist eine bewusste sektorale Bilanzgrenze und kann von einer gebäudebezogenen Ökobilanz abweichen. Ein Vergleich mit einer Bilanz nach EN 15978 muss deshalb unter anderem Bauteilumfang, Lebenszyklusmodule und den Umgang mit exportierter Energie abgleichen (CEN-CENELEC 2026). Eine alternative Einbeziehung der PV-Errichtung in die Quartiersbilanz würde gleichzeitig eine konsistente Anpassung der Budgetzuordnung erfordern (</w:t>
      </w:r>
      <w:hyperlink w:anchor="sec-fortschreibung">
        <w:r>
          <w:rPr>
            <w:rStyle w:val="Hyperlink"/>
          </w:rPr>
          <w:t>Kapitel 12</w:t>
        </w:r>
      </w:hyperlink>
      <w:r>
        <w:t>).</w:t>
      </w:r>
    </w:p>
    <w:p w14:paraId="55240006" w14:textId="77777777" w:rsidR="004E4CC2" w:rsidRDefault="00000000">
      <w:pPr>
        <w:pStyle w:val="berschrift3"/>
      </w:pPr>
      <w:bookmarkStart w:id="181" w:name="biogener-kohlenstoff"/>
      <w:bookmarkStart w:id="182" w:name="_Toc243681287"/>
      <w:bookmarkEnd w:id="179"/>
      <w:r>
        <w:lastRenderedPageBreak/>
        <w:t>11.5.2 Biogener Kohlenstoff</w:t>
      </w:r>
      <w:bookmarkEnd w:id="182"/>
    </w:p>
    <w:p w14:paraId="6121CEB4" w14:textId="77777777" w:rsidR="004E4CC2" w:rsidRDefault="00000000">
      <w:pPr>
        <w:pStyle w:val="FirstParagraph"/>
      </w:pPr>
      <w:r>
        <w:t xml:space="preserve">Baustoffe aus nachwachsenden Rohstoffen können Kohlenstoff während ihrer Nutzungsdauer speichern. Diese Speicherwirkung muss von Herstellungs- und End-of-Life-Emissionen getrennt betrachtet werden. Das dokumentierte vereinfachte Verfahren rechnet den biogenen CO₂-Gehalt materialabhängig an: </w:t>
      </w:r>
      <w:r>
        <w:rPr>
          <w:b/>
          <w:bCs/>
        </w:rPr>
        <w:t>100 %</w:t>
      </w:r>
      <w:r>
        <w:t xml:space="preserve"> bei schnell nachwachsenden pflanzlichen Materialien, </w:t>
      </w:r>
      <w:r>
        <w:rPr>
          <w:b/>
          <w:bCs/>
        </w:rPr>
        <w:t>55 %</w:t>
      </w:r>
      <w:r>
        <w:t xml:space="preserve"> bei Holz aus üblich bewirtschafteten Wäldern und </w:t>
      </w:r>
      <w:r>
        <w:rPr>
          <w:b/>
          <w:bCs/>
        </w:rPr>
        <w:t>100 %</w:t>
      </w:r>
      <w:r>
        <w:t xml:space="preserve"> bei nachgewiesenem Kalamitätsholz. Verbundmaterialien werden massengewichtet behandelt (Schneider u. a. 2025, Abschn. 2.5.2).</w:t>
      </w:r>
    </w:p>
    <w:p w14:paraId="6903B823" w14:textId="77777777" w:rsidR="004E4CC2" w:rsidRDefault="00000000">
      <w:pPr>
        <w:pStyle w:val="Textkrper"/>
      </w:pPr>
      <w:r>
        <w:t>Die gleiche Speicherwirkung darf nicht doppelt angesetzt werden, etwa wenn sie bereits in einem übernommenen LCA-Datensatz enthalten ist. Eine dynamische Bewertung von Speicherung, Nachwachsen und späterer Freisetzung wäre methodisch differenzierter, benötigt aber eine zum Budget konsistente Bewertung und ist nicht ohne Weiteres mit dem statischen GWP100-Kennwert vergleichbar (Schneider u. a. 2025, Abschn. 2.5.1).</w:t>
      </w:r>
    </w:p>
    <w:p w14:paraId="4EBC145E" w14:textId="77777777" w:rsidR="004E4CC2" w:rsidRDefault="00000000">
      <w:pPr>
        <w:pStyle w:val="berschrift2"/>
      </w:pPr>
      <w:bookmarkStart w:id="183" w:name="Xbbe9be562f0b5f2c42d6bc47fa93e7da9ebc3dd"/>
      <w:bookmarkStart w:id="184" w:name="_Toc243681288"/>
      <w:bookmarkEnd w:id="175"/>
      <w:bookmarkEnd w:id="181"/>
      <w:r>
        <w:t>11.6 Zeitliche Bilanzierung und Emissionsentwicklung</w:t>
      </w:r>
      <w:bookmarkEnd w:id="184"/>
    </w:p>
    <w:p w14:paraId="20664B71" w14:textId="77777777" w:rsidR="004E4CC2" w:rsidRDefault="00000000">
      <w:pPr>
        <w:pStyle w:val="berschrift3"/>
      </w:pPr>
      <w:bookmarkStart w:id="185" w:name="X88e463fc66b474fb9795e14706e11601f84ad27"/>
      <w:bookmarkStart w:id="186" w:name="_Toc243681289"/>
      <w:r>
        <w:t>11.6.1 Stündliche Energiesimulation, monatliche Bewertungsfaktoren</w:t>
      </w:r>
      <w:bookmarkEnd w:id="186"/>
    </w:p>
    <w:p w14:paraId="0F68FA1B" w14:textId="77777777" w:rsidR="004E4CC2" w:rsidRDefault="00000000">
      <w:pPr>
        <w:pStyle w:val="FirstParagraph"/>
      </w:pPr>
      <w:r>
        <w:t xml:space="preserve">Die Betriebsenergie wird über ein vollständiges Jahr </w:t>
      </w:r>
      <w:r>
        <w:rPr>
          <w:b/>
          <w:bCs/>
        </w:rPr>
        <w:t>stündlich</w:t>
      </w:r>
      <w:r>
        <w:t xml:space="preserve"> berechnet. Damit werden die zeitliche Überlagerung von Bedarf und erneuerbarer Erzeugung sowie der Betrieb von Wärmepumpen, Speichern und flexiblen Verbrauchern berücksichtigt. Im hier dokumentierten Referenzverfahren werden die stündlichen Stromflüsse anschließend mit </w:t>
      </w:r>
      <w:r>
        <w:rPr>
          <w:b/>
          <w:bCs/>
        </w:rPr>
        <w:t>monatlichen Primärenergie- und THG-Faktoren</w:t>
      </w:r>
      <w:r>
        <w:t xml:space="preserve"> bewertet (Schneider 2026, Abschn. 3.2.3–3.2.4; Schneider u. a. 2025, Abschn. 2.6).</w:t>
      </w:r>
    </w:p>
    <w:p w14:paraId="494F9F4C" w14:textId="77777777" w:rsidR="004E4CC2" w:rsidRDefault="00000000">
      <w:pPr>
        <w:pStyle w:val="Textkrper"/>
      </w:pPr>
      <w:r>
        <w:t xml:space="preserve">Die langfristigen THG-Absenkpfade und ihre Rolle im kumulierten Budget erläutert </w:t>
      </w:r>
      <w:hyperlink w:anchor="sec-thg-pfade">
        <w:r>
          <w:rPr>
            <w:rStyle w:val="Hyperlink"/>
          </w:rPr>
          <w:t>Kapitel 10.4</w:t>
        </w:r>
      </w:hyperlink>
      <w:r>
        <w:t xml:space="preserve">. Die Unterscheidung von Endenergie, Primärenergie und THG-Gewichtung steht in </w:t>
      </w:r>
      <w:hyperlink w:anchor="sec-energie-bewertung">
        <w:r>
          <w:rPr>
            <w:rStyle w:val="Hyperlink"/>
          </w:rPr>
          <w:t>Kapitel 11.3</w:t>
        </w:r>
      </w:hyperlink>
      <w:r>
        <w:t>.</w:t>
      </w:r>
    </w:p>
    <w:tbl>
      <w:tblPr>
        <w:tblStyle w:val="Table"/>
        <w:tblW w:w="5000" w:type="pct"/>
        <w:tblLayout w:type="fixed"/>
        <w:tblLook w:val="0000" w:firstRow="0" w:lastRow="0" w:firstColumn="0" w:lastColumn="0" w:noHBand="0" w:noVBand="0"/>
      </w:tblPr>
      <w:tblGrid>
        <w:gridCol w:w="9622"/>
      </w:tblGrid>
      <w:tr w:rsidR="004E4CC2" w14:paraId="0225AFF3" w14:textId="77777777">
        <w:tc>
          <w:tcPr>
            <w:tcW w:w="7920" w:type="dxa"/>
          </w:tcPr>
          <w:p w14:paraId="0E9EF703" w14:textId="77777777" w:rsidR="004E4CC2" w:rsidRDefault="00000000">
            <w:pPr>
              <w:pStyle w:val="Compact"/>
              <w:jc w:val="center"/>
            </w:pPr>
            <w:bookmarkStart w:id="187" w:name="fig-konversionsfaktoren"/>
            <w:r>
              <w:rPr>
                <w:noProof/>
              </w:rPr>
              <w:lastRenderedPageBreak/>
              <w:drawing>
                <wp:inline distT="0" distB="0" distL="0" distR="0" wp14:anchorId="779FE91F" wp14:editId="4CBF3EDA">
                  <wp:extent cx="4800600" cy="3109000"/>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Kapitel/../Abbildungen/konversionsfaktoren_schema.png"/>
                          <pic:cNvPicPr>
                            <a:picLocks noChangeAspect="1" noChangeArrowheads="1"/>
                          </pic:cNvPicPr>
                        </pic:nvPicPr>
                        <pic:blipFill>
                          <a:blip r:embed="rId33"/>
                          <a:stretch>
                            <a:fillRect/>
                          </a:stretch>
                        </pic:blipFill>
                        <pic:spPr bwMode="auto">
                          <a:xfrm>
                            <a:off x="0" y="0"/>
                            <a:ext cx="4800600" cy="3109000"/>
                          </a:xfrm>
                          <a:prstGeom prst="rect">
                            <a:avLst/>
                          </a:prstGeom>
                          <a:noFill/>
                          <a:ln w="9525">
                            <a:noFill/>
                            <a:headEnd/>
                            <a:tailEnd/>
                          </a:ln>
                        </pic:spPr>
                      </pic:pic>
                    </a:graphicData>
                  </a:graphic>
                </wp:inline>
              </w:drawing>
            </w:r>
          </w:p>
          <w:p w14:paraId="0376DDC0" w14:textId="77777777" w:rsidR="004E4CC2" w:rsidRDefault="00000000">
            <w:pPr>
              <w:pStyle w:val="ImageCaption"/>
              <w:spacing w:before="200"/>
            </w:pPr>
            <w:r>
              <w:t>Abbildung 11.4: Abbildung – Stundenflüsse und monatliche Bewertung.</w:t>
            </w:r>
          </w:p>
        </w:tc>
        <w:bookmarkEnd w:id="187"/>
      </w:tr>
    </w:tbl>
    <w:p w14:paraId="7ADB9C4B" w14:textId="77777777" w:rsidR="004E4CC2" w:rsidRDefault="00000000">
      <w:pPr>
        <w:pStyle w:val="berschrift3"/>
      </w:pPr>
      <w:bookmarkStart w:id="188" w:name="X1df1e99153eb7a1157158a6b68f69d6ccc1d3be"/>
      <w:bookmarkStart w:id="189" w:name="_Toc243681290"/>
      <w:bookmarkEnd w:id="185"/>
      <w:r>
        <w:t>11.6.2 Bewertungszeitraum der Treibhausgasbilanz</w:t>
      </w:r>
      <w:bookmarkEnd w:id="189"/>
    </w:p>
    <w:p w14:paraId="5607F118" w14:textId="77777777" w:rsidR="004E4CC2" w:rsidRDefault="00000000">
      <w:pPr>
        <w:pStyle w:val="FirstParagraph"/>
      </w:pPr>
      <w:r>
        <w:t xml:space="preserve">Die Lebenszyklus-THG-Bilanz betrachtet den Zeitraum </w:t>
      </w:r>
      <w:r>
        <w:rPr>
          <w:b/>
          <w:bCs/>
        </w:rPr>
        <w:t>2025–2075 (50 Jahre)</w:t>
      </w:r>
      <w:r>
        <w:t xml:space="preserve">. Emissionen aus Errichtung, späteren Maßnahmen, Gebäudebetrieb und Mobilität werden innerhalb dieses Zeitraums kumuliert. Die Emissionsfaktoren folgen im Referenzverfahren energieträger- und prozessbezogenen Entwicklungspfaden. Die angenommene vollständige Dekarbonisierung der betrachteten Versorgung und Prozesse </w:t>
      </w:r>
      <w:r>
        <w:rPr>
          <w:b/>
          <w:bCs/>
        </w:rPr>
        <w:t>ab 2050</w:t>
      </w:r>
      <w:r>
        <w:t xml:space="preserve"> ist eine Szenarioannahme und kein Nachweis einer bereits tatsächlich emissionsfreien Versorgung (Schneider u. a. 2025, Abschn. 2.4; Schneider 2026, Abschn. 3.2.8).</w:t>
      </w:r>
    </w:p>
    <w:p w14:paraId="09B8FC44" w14:textId="77777777" w:rsidR="004E4CC2" w:rsidRDefault="00000000">
      <w:pPr>
        <w:pStyle w:val="berschrift2"/>
      </w:pPr>
      <w:bookmarkStart w:id="190" w:name="konsequenzen-für-die-nachweisführung"/>
      <w:bookmarkStart w:id="191" w:name="_Toc243681291"/>
      <w:bookmarkEnd w:id="183"/>
      <w:bookmarkEnd w:id="188"/>
      <w:r>
        <w:t>11.7 Konsequenzen für die Nachweisführung</w:t>
      </w:r>
      <w:bookmarkEnd w:id="191"/>
    </w:p>
    <w:p w14:paraId="18B26850" w14:textId="77777777" w:rsidR="004E4CC2" w:rsidRDefault="00000000">
      <w:pPr>
        <w:pStyle w:val="FirstParagraph"/>
      </w:pPr>
      <w:r>
        <w:t xml:space="preserve">Ein nachvollziehbarer Quartiersnachweis dokumentiert die </w:t>
      </w:r>
      <w:r>
        <w:rPr>
          <w:b/>
          <w:bCs/>
        </w:rPr>
        <w:t>Quartiersgrenze</w:t>
      </w:r>
      <w:r>
        <w:t xml:space="preserve">, die </w:t>
      </w:r>
      <w:r>
        <w:rPr>
          <w:b/>
          <w:bCs/>
        </w:rPr>
        <w:t>Bezugsflächen</w:t>
      </w:r>
      <w:r>
        <w:t xml:space="preserve">, die </w:t>
      </w:r>
      <w:r>
        <w:rPr>
          <w:b/>
          <w:bCs/>
        </w:rPr>
        <w:t>Nutzungen</w:t>
      </w:r>
      <w:r>
        <w:t xml:space="preserve">, die </w:t>
      </w:r>
      <w:r>
        <w:rPr>
          <w:b/>
          <w:bCs/>
        </w:rPr>
        <w:t>zugeordneten Energie- und Mobilitätsflüsse</w:t>
      </w:r>
      <w:r>
        <w:t xml:space="preserve">, die </w:t>
      </w:r>
      <w:r>
        <w:rPr>
          <w:b/>
          <w:bCs/>
        </w:rPr>
        <w:t>Lebenszyklusmodule</w:t>
      </w:r>
      <w:r>
        <w:t xml:space="preserve"> sowie die verwendeten </w:t>
      </w:r>
      <w:r>
        <w:rPr>
          <w:b/>
          <w:bCs/>
        </w:rPr>
        <w:t>Zeitreihen, Bewertungsfaktoren und Methodenstände</w:t>
      </w:r>
      <w:r>
        <w:t xml:space="preserve">. Neben dem Ergebnis nach Kontextkorrektur sollte die physische beziehungsweise bewertete Bilanz </w:t>
      </w:r>
      <w:r>
        <w:rPr>
          <w:b/>
          <w:bCs/>
        </w:rPr>
        <w:t>vor</w:t>
      </w:r>
      <w:r>
        <w:t xml:space="preserve"> Kontextfaktoren getrennt ausgewiesen werden.</w:t>
      </w:r>
    </w:p>
    <w:p w14:paraId="0F5893F7" w14:textId="77777777" w:rsidR="004E4CC2" w:rsidRDefault="00000000">
      <w:pPr>
        <w:pStyle w:val="Textkrper"/>
      </w:pPr>
      <w:r>
        <w:t xml:space="preserve">Die hier festgelegten Grenzen sind Teil des Bewertungsmaßstabs. Sie ersetzen keine vertiefende bauphysikalische, anlagentechnische oder gebäudebezogene Ökobilanz. Wie die Ergebnisse in Planung und Deklaration zu verwenden sind, wird in </w:t>
      </w:r>
      <w:hyperlink w:anchor="sec-anwendung">
        <w:r>
          <w:rPr>
            <w:rStyle w:val="Hyperlink"/>
          </w:rPr>
          <w:t>Kapitel 13</w:t>
        </w:r>
      </w:hyperlink>
      <w:r>
        <w:t xml:space="preserve"> beschrieben.</w:t>
      </w:r>
    </w:p>
    <w:p w14:paraId="54312878" w14:textId="77777777" w:rsidR="004E4CC2" w:rsidRDefault="00000000">
      <w:pPr>
        <w:pStyle w:val="berschrift1"/>
      </w:pPr>
      <w:bookmarkStart w:id="192" w:name="sec-fortschreibung"/>
      <w:bookmarkStart w:id="193" w:name="_Toc243681292"/>
      <w:bookmarkEnd w:id="162"/>
      <w:bookmarkEnd w:id="190"/>
      <w:r>
        <w:lastRenderedPageBreak/>
        <w:t>12. Methodenstand und Fortschreibung</w:t>
      </w:r>
      <w:bookmarkEnd w:id="193"/>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528"/>
        <w:gridCol w:w="3873"/>
      </w:tblGrid>
      <w:tr w:rsidR="004E4CC2" w14:paraId="04CE4C44" w14:textId="77777777" w:rsidTr="004E4CC2">
        <w:trPr>
          <w:cantSplit/>
        </w:trPr>
        <w:tc>
          <w:tcPr>
            <w:tcW w:w="0" w:type="auto"/>
            <w:tcMar>
              <w:left w:w="144" w:type="dxa"/>
              <w:right w:w="144" w:type="dxa"/>
            </w:tcMar>
          </w:tcPr>
          <w:p w14:paraId="7CEA7734" w14:textId="77777777" w:rsidR="004E4CC2" w:rsidRDefault="00000000">
            <w:pPr>
              <w:pStyle w:val="FirstParagraph"/>
              <w:spacing w:before="0" w:after="8"/>
              <w:jc w:val="center"/>
            </w:pPr>
            <w:r>
              <w:rPr>
                <w:noProof/>
              </w:rPr>
              <w:drawing>
                <wp:inline distT="0" distB="0" distL="0" distR="0" wp14:anchorId="5FDAFCF2" wp14:editId="6F26C241">
                  <wp:extent cx="152400" cy="15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C:\Users\schneids\AppData\Local\Programs\Quarto\share\formats\docx\note.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9EC1082" w14:textId="77777777" w:rsidR="004E4CC2" w:rsidRDefault="004E4CC2">
            <w:pPr>
              <w:pStyle w:val="Textkrper"/>
              <w:spacing w:before="16" w:after="64"/>
            </w:pPr>
          </w:p>
          <w:p w14:paraId="00422692" w14:textId="77777777" w:rsidR="004E4CC2" w:rsidRDefault="00000000">
            <w:pPr>
              <w:pStyle w:val="Textkrper"/>
              <w:spacing w:before="16" w:after="16"/>
            </w:pPr>
            <w:r>
              <w:t>Arbeitsfassung vom 19. Oktober 2026</w:t>
            </w:r>
          </w:p>
        </w:tc>
      </w:tr>
    </w:tbl>
    <w:p w14:paraId="79507A08" w14:textId="77777777" w:rsidR="004E4CC2" w:rsidRDefault="00000000">
      <w:pPr>
        <w:pStyle w:val="Textkrper"/>
      </w:pPr>
      <w:r>
        <w:t>Einflussgrößen, Geltungsbereich und Regeln für die Fortschreibung</w:t>
      </w:r>
    </w:p>
    <w:p w14:paraId="1F668F5D" w14:textId="77777777" w:rsidR="004E4CC2" w:rsidRDefault="00000000">
      <w:pPr>
        <w:pStyle w:val="Textkrper"/>
      </w:pPr>
      <w:r>
        <w:t>Der PEQ-Ansatz verbindet einen nationalen Bewertungsmaßstab mit dem konkreten Quartierskonzept. Seine Aussagekraft hängt davon ab, dass beide Seiten zusammenpassen: Das Budget muss zu den bilanzierten Emissionen gehören, die Energieanforderung zum angenommenen Versorgungssystem und die Simulation zum umsetzbaren Projekt. Eine Fortschreibung überprüft deshalb Daten, Annahmen und Verteilungsregeln gemeinsam.</w:t>
      </w:r>
    </w:p>
    <w:p w14:paraId="3C969942" w14:textId="77777777" w:rsidR="004E4CC2" w:rsidRDefault="00000000">
      <w:pPr>
        <w:pStyle w:val="berschrift2"/>
      </w:pPr>
      <w:bookmarkStart w:id="194" w:name="was-ein-positives-ergebnis-aussagt"/>
      <w:bookmarkStart w:id="195" w:name="_Toc243681293"/>
      <w:r>
        <w:t>12.1 Was ein positives Ergebnis aussagt</w:t>
      </w:r>
      <w:bookmarkEnd w:id="195"/>
    </w:p>
    <w:p w14:paraId="788254D6" w14:textId="77777777" w:rsidR="004E4CC2" w:rsidRDefault="00000000">
      <w:pPr>
        <w:pStyle w:val="FirstParagraph"/>
      </w:pPr>
      <w:r>
        <w:t>Eine positive Primärenergiebilanz zeigt, dass das Quartier unter den festgelegten Faktoren und Kontextregeln die energetische Anforderung erfüllt. Die Klimaneutralitätsstufe verlangt zusätzlich die Einhaltung des kumulierten THG-Budgets. Der Referenzwert von 320 kg CO₂e/m² BGF setzt die L3-Senkenannahme und die beschriebenen Systemgrenzen voraus. Er bedeutet weder Emissionsfreiheit am Standort noch einen vom Projekt erbrachten Nachweis der national angenommenen Senkenleistung.</w:t>
      </w:r>
    </w:p>
    <w:p w14:paraId="3AFD8A1B" w14:textId="77777777" w:rsidR="004E4CC2" w:rsidRDefault="00000000">
      <w:pPr>
        <w:pStyle w:val="berschrift2"/>
      </w:pPr>
      <w:bookmarkStart w:id="196" w:name="drei-arten-von-änderungen"/>
      <w:bookmarkStart w:id="197" w:name="_Toc243681294"/>
      <w:bookmarkEnd w:id="194"/>
      <w:r>
        <w:t>12.2 Drei Arten von Änderungen</w:t>
      </w:r>
      <w:bookmarkEnd w:id="197"/>
    </w:p>
    <w:p w14:paraId="2BA80B19" w14:textId="77777777" w:rsidR="004E4CC2" w:rsidRDefault="00000000">
      <w:pPr>
        <w:pStyle w:val="FirstParagraph"/>
      </w:pPr>
      <w:r>
        <w:t>Für einen nachvollziehbaren Methodenstand sind drei Ebenen zu unterscheiden:</w:t>
      </w:r>
    </w:p>
    <w:tbl>
      <w:tblPr>
        <w:tblStyle w:val="Table"/>
        <w:tblW w:w="5000" w:type="pct"/>
        <w:tblLayout w:type="fixed"/>
        <w:tblLook w:val="0000" w:firstRow="0" w:lastRow="0" w:firstColumn="0" w:lastColumn="0" w:noHBand="0" w:noVBand="0"/>
      </w:tblPr>
      <w:tblGrid>
        <w:gridCol w:w="9622"/>
      </w:tblGrid>
      <w:tr w:rsidR="004E4CC2" w14:paraId="6516CDE9" w14:textId="77777777">
        <w:tc>
          <w:tcPr>
            <w:tcW w:w="7920" w:type="dxa"/>
          </w:tcPr>
          <w:p w14:paraId="68BE7706" w14:textId="77777777" w:rsidR="004E4CC2" w:rsidRDefault="00000000">
            <w:pPr>
              <w:pStyle w:val="ImageCaption"/>
              <w:spacing w:before="200"/>
            </w:pPr>
            <w:bookmarkStart w:id="198" w:name="tbl-fortschreibung"/>
            <w:r>
              <w:t>Tabelle 12.1: Ebenen der Fortschreibung.</w:t>
            </w:r>
          </w:p>
          <w:tbl>
            <w:tblPr>
              <w:tblStyle w:val="Table"/>
              <w:tblW w:w="5000" w:type="pct"/>
              <w:tblLayout w:type="fixed"/>
              <w:tblLook w:val="0020" w:firstRow="1" w:lastRow="0" w:firstColumn="0" w:lastColumn="0" w:noHBand="0" w:noVBand="0"/>
            </w:tblPr>
            <w:tblGrid>
              <w:gridCol w:w="3136"/>
              <w:gridCol w:w="3135"/>
              <w:gridCol w:w="3135"/>
            </w:tblGrid>
            <w:tr w:rsidR="004E4CC2" w14:paraId="08C2B720"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DE9232E" w14:textId="77777777" w:rsidR="004E4CC2" w:rsidRDefault="00000000">
                  <w:pPr>
                    <w:pStyle w:val="Compact"/>
                    <w:jc w:val="center"/>
                  </w:pPr>
                  <w:r>
                    <w:t>Ebene</w:t>
                  </w:r>
                </w:p>
              </w:tc>
              <w:tc>
                <w:tcPr>
                  <w:tcW w:w="2640" w:type="dxa"/>
                </w:tcPr>
                <w:p w14:paraId="23F77B2C" w14:textId="77777777" w:rsidR="004E4CC2" w:rsidRDefault="00000000">
                  <w:pPr>
                    <w:pStyle w:val="Compact"/>
                    <w:jc w:val="center"/>
                  </w:pPr>
                  <w:r>
                    <w:t>Beispiel</w:t>
                  </w:r>
                </w:p>
              </w:tc>
              <w:tc>
                <w:tcPr>
                  <w:tcW w:w="2640" w:type="dxa"/>
                </w:tcPr>
                <w:p w14:paraId="683D0A58" w14:textId="77777777" w:rsidR="004E4CC2" w:rsidRDefault="00000000">
                  <w:pPr>
                    <w:pStyle w:val="Compact"/>
                    <w:jc w:val="center"/>
                  </w:pPr>
                  <w:r>
                    <w:t>Konsequenz</w:t>
                  </w:r>
                </w:p>
              </w:tc>
            </w:tr>
            <w:tr w:rsidR="004E4CC2" w14:paraId="4CA1E469" w14:textId="77777777">
              <w:tc>
                <w:tcPr>
                  <w:tcW w:w="2640" w:type="dxa"/>
                </w:tcPr>
                <w:p w14:paraId="30F80258" w14:textId="77777777" w:rsidR="004E4CC2" w:rsidRDefault="00000000">
                  <w:pPr>
                    <w:pStyle w:val="Compact"/>
                    <w:jc w:val="center"/>
                  </w:pPr>
                  <w:r>
                    <w:t>Projektdaten</w:t>
                  </w:r>
                </w:p>
              </w:tc>
              <w:tc>
                <w:tcPr>
                  <w:tcW w:w="2640" w:type="dxa"/>
                </w:tcPr>
                <w:p w14:paraId="357EBAE4" w14:textId="77777777" w:rsidR="004E4CC2" w:rsidRDefault="00000000">
                  <w:pPr>
                    <w:pStyle w:val="Compact"/>
                    <w:jc w:val="center"/>
                  </w:pPr>
                  <w:r>
                    <w:t>Geänderte PV-Fläche, andere Hülle, präzisierter Wärmebedarf</w:t>
                  </w:r>
                </w:p>
              </w:tc>
              <w:tc>
                <w:tcPr>
                  <w:tcW w:w="2640" w:type="dxa"/>
                </w:tcPr>
                <w:p w14:paraId="59D49D42" w14:textId="77777777" w:rsidR="004E4CC2" w:rsidRDefault="00000000">
                  <w:pPr>
                    <w:pStyle w:val="Compact"/>
                    <w:jc w:val="center"/>
                  </w:pPr>
                  <w:r>
                    <w:t>Neues Ergebnis für das Projekt bei gleichem Bewertungsmaßstab</w:t>
                  </w:r>
                </w:p>
              </w:tc>
            </w:tr>
            <w:tr w:rsidR="004E4CC2" w14:paraId="5C320515" w14:textId="77777777">
              <w:tc>
                <w:tcPr>
                  <w:tcW w:w="2640" w:type="dxa"/>
                </w:tcPr>
                <w:p w14:paraId="79C47E83" w14:textId="77777777" w:rsidR="004E4CC2" w:rsidRDefault="00000000">
                  <w:pPr>
                    <w:pStyle w:val="Compact"/>
                    <w:jc w:val="center"/>
                  </w:pPr>
                  <w:r>
                    <w:t>Szenario und Parametrisierung</w:t>
                  </w:r>
                </w:p>
              </w:tc>
              <w:tc>
                <w:tcPr>
                  <w:tcW w:w="2640" w:type="dxa"/>
                </w:tcPr>
                <w:p w14:paraId="023656CA" w14:textId="77777777" w:rsidR="004E4CC2" w:rsidRDefault="00000000">
                  <w:pPr>
                    <w:pStyle w:val="Compact"/>
                    <w:jc w:val="center"/>
                  </w:pPr>
                  <w:r>
                    <w:t>Neue Mobilitätsdaten, Emissionsfaktoren oder Gebäudebestandsdaten</w:t>
                  </w:r>
                </w:p>
              </w:tc>
              <w:tc>
                <w:tcPr>
                  <w:tcW w:w="2640" w:type="dxa"/>
                </w:tcPr>
                <w:p w14:paraId="79AC25C6" w14:textId="77777777" w:rsidR="004E4CC2" w:rsidRDefault="00000000">
                  <w:pPr>
                    <w:pStyle w:val="Compact"/>
                    <w:jc w:val="center"/>
                  </w:pPr>
                  <w:r>
                    <w:t>Geänderte Berechnungsgrundlage; bisherige und neue Ergebnisse nur mit benanntem Stand vergleichen</w:t>
                  </w:r>
                </w:p>
              </w:tc>
            </w:tr>
            <w:tr w:rsidR="004E4CC2" w14:paraId="1C593676" w14:textId="77777777">
              <w:tc>
                <w:tcPr>
                  <w:tcW w:w="2640" w:type="dxa"/>
                </w:tcPr>
                <w:p w14:paraId="05F9D39E" w14:textId="77777777" w:rsidR="004E4CC2" w:rsidRDefault="00000000">
                  <w:pPr>
                    <w:pStyle w:val="Compact"/>
                    <w:jc w:val="center"/>
                  </w:pPr>
                  <w:r>
                    <w:t>Normative Verteilung</w:t>
                  </w:r>
                </w:p>
              </w:tc>
              <w:tc>
                <w:tcPr>
                  <w:tcW w:w="2640" w:type="dxa"/>
                </w:tcPr>
                <w:p w14:paraId="5C3817D5" w14:textId="77777777" w:rsidR="004E4CC2" w:rsidRDefault="00000000">
                  <w:pPr>
                    <w:pStyle w:val="Compact"/>
                    <w:jc w:val="center"/>
                  </w:pPr>
                  <w:r>
                    <w:t>Anderer Sektoranteil, Sanierungskontext oder Senkenansatz</w:t>
                  </w:r>
                </w:p>
              </w:tc>
              <w:tc>
                <w:tcPr>
                  <w:tcW w:w="2640" w:type="dxa"/>
                </w:tcPr>
                <w:p w14:paraId="6EF7327F" w14:textId="77777777" w:rsidR="004E4CC2" w:rsidRDefault="00000000">
                  <w:pPr>
                    <w:pStyle w:val="Compact"/>
                    <w:jc w:val="center"/>
                  </w:pPr>
                  <w:r>
                    <w:t>Geänderter Bewertungsmaßstab mit eigener fachlicher Begründung</w:t>
                  </w:r>
                </w:p>
              </w:tc>
            </w:tr>
            <w:bookmarkEnd w:id="198"/>
          </w:tbl>
          <w:p w14:paraId="258B1E51" w14:textId="77777777" w:rsidR="004E4CC2" w:rsidRDefault="004E4CC2"/>
        </w:tc>
      </w:tr>
    </w:tbl>
    <w:p w14:paraId="36E63E3C" w14:textId="77777777" w:rsidR="004E4CC2" w:rsidRDefault="00000000">
      <w:pPr>
        <w:pStyle w:val="Textkrper"/>
      </w:pPr>
      <w:r>
        <w:t xml:space="preserve">Bei einer Neuauflage bleiben die zuvor verwendeten Faktoren und Annahmen nachvollziehbar. Ob laufende oder abgeschlossene Deklarationen auf neue Grundlagen </w:t>
      </w:r>
      <w:r>
        <w:lastRenderedPageBreak/>
        <w:t>umzustellen sind, ist eine eigene Verfahrensentscheidung. Aus einer wissenschaftlichen Weiterentwicklung folgt nicht automatisch eine rückwirkende Neubewertung.</w:t>
      </w:r>
    </w:p>
    <w:p w14:paraId="39EE4E6D" w14:textId="77777777" w:rsidR="004E4CC2" w:rsidRDefault="00000000">
      <w:pPr>
        <w:pStyle w:val="berschrift2"/>
      </w:pPr>
      <w:bookmarkStart w:id="199" w:name="einflussgrößen-und-grenzen-des-modells"/>
      <w:bookmarkStart w:id="200" w:name="_Toc243681295"/>
      <w:bookmarkEnd w:id="196"/>
      <w:r>
        <w:t>12.3 Einflussgrößen und Grenzen des Modells</w:t>
      </w:r>
      <w:bookmarkEnd w:id="200"/>
    </w:p>
    <w:p w14:paraId="06438225" w14:textId="77777777" w:rsidR="004E4CC2" w:rsidRDefault="00000000">
      <w:pPr>
        <w:pStyle w:val="berschrift3"/>
      </w:pPr>
      <w:bookmarkStart w:id="201" w:name="gebäudebestand-und-dichte"/>
      <w:bookmarkStart w:id="202" w:name="_Toc243681296"/>
      <w:r>
        <w:t>12.3.1 Gebäudebestand und Dichte</w:t>
      </w:r>
      <w:bookmarkEnd w:id="202"/>
    </w:p>
    <w:p w14:paraId="66E4710C" w14:textId="77777777" w:rsidR="004E4CC2" w:rsidRDefault="00000000">
      <w:pPr>
        <w:pStyle w:val="FirstParagraph"/>
      </w:pPr>
      <w:r>
        <w:t>Die Dichteanforderung hängt von der Verteilung der Gebäudequalitäten und Flächen im nationalen Bestand ab. Neue Bestandsdaten ermöglichen eine aktualisierte Kalibrierung. Dabei ist zuerst zu prüfen, welche Anteile saniert, neu gebaut oder weiterbetrieben werden und welchen Beitrag diese Gruppen leisten können. Die Anpassung einzelner Kurvenparameter ohne diesen nationalen Zusammenhang würde die ursprüngliche Lastenverteilung verändern, ohne ihre Wirkung zu erklären.</w:t>
      </w:r>
    </w:p>
    <w:p w14:paraId="64D1CE9F" w14:textId="77777777" w:rsidR="004E4CC2" w:rsidRDefault="00000000">
      <w:pPr>
        <w:pStyle w:val="Textkrper"/>
      </w:pPr>
      <w:r>
        <w:t xml:space="preserve">Eine aktualisierte Dichtekurve muss daher gemeinsam mit den zugrunde gelegten Flächen, Nutzungen und Sanierungsszenarien dokumentiert werden. Auch die Wirkung auf niedrige und hohe Dichten ist auszuweisen. Das physikalische Grundprinzip bleibt davon unabhängig, wie in </w:t>
      </w:r>
      <w:hyperlink w:anchor="sec-kontext-dichte">
        <w:r>
          <w:rPr>
            <w:rStyle w:val="Hyperlink"/>
          </w:rPr>
          <w:t>Kapitel 7.2</w:t>
        </w:r>
      </w:hyperlink>
      <w:r>
        <w:t xml:space="preserve"> erläutert.</w:t>
      </w:r>
    </w:p>
    <w:p w14:paraId="5FF08DDD" w14:textId="77777777" w:rsidR="004E4CC2" w:rsidRDefault="00000000">
      <w:pPr>
        <w:pStyle w:val="berschrift3"/>
      </w:pPr>
      <w:bookmarkStart w:id="203" w:name="Xaf04227e20423c7dbf3fe32dd175a967182b733"/>
      <w:bookmarkStart w:id="204" w:name="_Toc243681297"/>
      <w:bookmarkEnd w:id="201"/>
      <w:r>
        <w:t>12.3.2 Mobilität und zeitliche Bewertungsfaktoren</w:t>
      </w:r>
      <w:bookmarkEnd w:id="204"/>
    </w:p>
    <w:p w14:paraId="2A7F4AE7" w14:textId="77777777" w:rsidR="004E4CC2" w:rsidRDefault="00000000">
      <w:pPr>
        <w:pStyle w:val="FirstParagraph"/>
      </w:pPr>
      <w:r>
        <w:t>Neue Mobilitätserhebungen können Wege, Verkehrsmittelwahl und Standortunterschiede besser abbilden. Für eine Aktualisierung müssen sowohl der zugeordnete Bedarf als auch die Verteilung des nationalen Mobilitätsbudgets geprüft werden. Ein neues Fahrprofil allein begründet noch keinen veränderten Budgetanspruch.</w:t>
      </w:r>
    </w:p>
    <w:p w14:paraId="70693DCE" w14:textId="77777777" w:rsidR="004E4CC2" w:rsidRDefault="00000000">
      <w:pPr>
        <w:pStyle w:val="Textkrper"/>
      </w:pPr>
      <w:r>
        <w:t>Bei den Energiefaktoren ist eine höhere zeitliche Auflösung fachlich interessant, insbesondere für Speicher, gesteuertes Laden und externe Flexibilität. Das Modell kann stündliche Faktoren verarbeiten. Ihr Einsatz braucht jedoch geeignete, dokumentierte Daten und eine klare Bedeutung der Faktoren. Die durchschnittliche Emissionsintensität eines Strommixes und die durch zusätzlichen Verbrauch verursachte Änderung der Erzeugung sind unterschiedliche Bewertungsansätze und dürfen nicht unbegründet ausgetauscht werden.</w:t>
      </w:r>
    </w:p>
    <w:p w14:paraId="10750964" w14:textId="77777777" w:rsidR="004E4CC2" w:rsidRDefault="00000000">
      <w:pPr>
        <w:pStyle w:val="Textkrper"/>
      </w:pPr>
      <w:r>
        <w:t>Eine Fortschreibung sollte deshalb zunächst dieselben Projektvarianten mit dem bisherigen und dem neuen Faktorsatz vergleichen. So wird sichtbar, ob ein Ergebnis durch die technische Maßnahme oder durch den geänderten Maßstab besser wird. Der Referenzansatz verwendet monatliche Faktoren; stündliche Faktoren bilden eine gesonderte Bewertungsvariante (Schneider 2026, Abschn. 3.2.3–3.2.4; Schneider u. a. 2025, Abschn. 2.6 und 4.2–4.3).</w:t>
      </w:r>
    </w:p>
    <w:p w14:paraId="74F5F70C" w14:textId="77777777" w:rsidR="004E4CC2" w:rsidRDefault="00000000">
      <w:pPr>
        <w:pStyle w:val="berschrift3"/>
      </w:pPr>
      <w:bookmarkStart w:id="205" w:name="thg-budget-pv-und-senken"/>
      <w:bookmarkStart w:id="206" w:name="_Toc243681298"/>
      <w:bookmarkEnd w:id="203"/>
      <w:r>
        <w:t>12.3.3 THG-Budget, PV und Senken</w:t>
      </w:r>
      <w:bookmarkEnd w:id="206"/>
    </w:p>
    <w:p w14:paraId="1B1390A1" w14:textId="77777777" w:rsidR="004E4CC2" w:rsidRDefault="00000000">
      <w:pPr>
        <w:pStyle w:val="FirstParagraph"/>
      </w:pPr>
      <w:r>
        <w:t>Beim THG-Budget bestimmen nationales Restbudget, Senkenannahme, Sektoranteil und Bezugsfläche den verfügbaren Wert je Quadratmeter. Mehr Bauaufgaben können eine Neuverteilung notwendig machen. Sie vergrößern das Gesamtbudget jedoch nicht von selbst. Jede zusätzliche Zuteilung ist deshalb mit ihrer Deckung oder der damit verbundenen Änderung des Klimaziels zu begründen.</w:t>
      </w:r>
    </w:p>
    <w:p w14:paraId="58A04156" w14:textId="77777777" w:rsidR="004E4CC2" w:rsidRDefault="00000000">
      <w:pPr>
        <w:pStyle w:val="Textkrper"/>
      </w:pPr>
      <w:r>
        <w:lastRenderedPageBreak/>
        <w:t>Für die PV-Abgrenzung ist eine konsistente Alternative mit Einbeziehung der Errichtungsemissionen auf Quartiersebene zu untersuchen. Dabei werden die zugehörigen Emissionen und Budgetanteile aus dem Energieversorgungssektor entsprechend zugeordnet. Die Untersuchung sollte zeigen, wie sich Grenzwert, Quartiersbilanz und Anreiz zum PV-Ausbau gemeinsam verändern. Das ist eine methodische Weiterentwicklung und keine bloße Ergänzung einer fehlenden Bauteilposition.</w:t>
      </w:r>
    </w:p>
    <w:p w14:paraId="16F759B6" w14:textId="77777777" w:rsidR="004E4CC2" w:rsidRDefault="00000000">
      <w:pPr>
        <w:pStyle w:val="Textkrper"/>
      </w:pPr>
      <w:r>
        <w:t>Senken bleiben eine besonders wirksame Annahme. Eine weniger günstige Senkenentwicklung verkleinert den Spielraum für Emissionen. Die Varianten L1 bis L3 machen diese Abhängigkeit sichtbar. Für robuste Planung lohnt es sich daher, neben dem Erfüllen des Referenzwerts auch den Abstand zu den strengeren Varianten zu kennen (Schneider u. a. 2025, Abschn. 2.3 und 4.2–4.3).</w:t>
      </w:r>
    </w:p>
    <w:p w14:paraId="2A3949F3" w14:textId="77777777" w:rsidR="004E4CC2" w:rsidRDefault="00000000">
      <w:pPr>
        <w:pStyle w:val="berschrift3"/>
      </w:pPr>
      <w:bookmarkStart w:id="207" w:name="sanierung-und-bauliche-absenkpfade"/>
      <w:bookmarkStart w:id="208" w:name="_Toc243681299"/>
      <w:bookmarkEnd w:id="205"/>
      <w:r>
        <w:t>12.3.4 Sanierung und bauliche Absenkpfade</w:t>
      </w:r>
      <w:bookmarkEnd w:id="208"/>
    </w:p>
    <w:p w14:paraId="72D6B6E8" w14:textId="77777777" w:rsidR="004E4CC2" w:rsidRDefault="00000000">
      <w:pPr>
        <w:pStyle w:val="FirstParagraph"/>
      </w:pPr>
      <w:r>
        <w:t>Der Entwurf differenziert die Sanierungsanpassung nach energetischer Typologie und baulichen Randbedingungen. Dafür braucht es eine belastbare Datengrundlage und eine Regel, die in der Planung mit vertretbarem Aufwand nachweisbar ist. Eine kleinteilige Differenzierung wäre wenig hilfreich, wenn die erforderlichen Informationen erst spät oder nur mit unverhältnismäßigem Aufwand verfügbar sind.</w:t>
      </w:r>
    </w:p>
    <w:p w14:paraId="3233D4FF" w14:textId="77777777" w:rsidR="004E4CC2" w:rsidRDefault="00000000">
      <w:pPr>
        <w:pStyle w:val="Textkrper"/>
      </w:pPr>
      <w:r>
        <w:t>Für Renovierungsfahrpläne sind außerdem die Herstellungsemissionen zum Maßnahmenzeitpunkt von Bauteilen relevant. Europäische Arbeiten zur Lebenszyklusbewertung liefern dafür Szenarien und Vergleichsgrundlagen. Die EU-Roadmap verbindet Gebäude- und Bestandsmodelle mit Maßnahmen an Materialproduktion, Materialeinsatz und Bautätigkeit (Le Den u. a. 2024). Die INDICATE-Arbeiten zeigen ergänzend, wie nationale Ausgangswerte mit einheitlichen Erhebungsgrundlagen aufgebaut werden können und warum Unterschiede der Bilanzmethoden den Vergleich erschweren (BPIE 2024). Daraus lassen sich Prüfaufgaben für die Fortschreibung ableiten; konkrete österreichische Materialpfade müssen gesondert ausgewählt und auf den PEQ-Bilanzumfang abgestimmt werden.</w:t>
      </w:r>
    </w:p>
    <w:p w14:paraId="097F1813" w14:textId="77777777" w:rsidR="004E4CC2" w:rsidRDefault="00000000">
      <w:pPr>
        <w:pStyle w:val="berschrift2"/>
      </w:pPr>
      <w:bookmarkStart w:id="209" w:name="Xf8e4ad3a4b956cca6c06668529555ab874457fc"/>
      <w:bookmarkStart w:id="210" w:name="_Toc243681300"/>
      <w:bookmarkEnd w:id="199"/>
      <w:bookmarkEnd w:id="207"/>
      <w:r>
        <w:t>12.4 Kommunale Allokation als zusätzliche Ebene</w:t>
      </w:r>
      <w:bookmarkEnd w:id="210"/>
    </w:p>
    <w:p w14:paraId="6BCB57C8" w14:textId="77777777" w:rsidR="004E4CC2" w:rsidRDefault="00000000">
      <w:pPr>
        <w:pStyle w:val="FirstParagraph"/>
      </w:pPr>
      <w:r>
        <w:t>Eine kommunale Allokation könnte nationale Vorgaben zunächst auf eine Stadt oder Gemeinde und anschließend auf ihre Quartiere beziehen. Für eine Stadt wie Wien wären dabei etwa Gebäudebestand, erwartete Flächenentwicklung, Energieinfrastruktur und Mobilitätsstruktur gemeinsam zu betrachten. Diese Ebene ist als Erweiterung angelegt und bislang kein eigener implementierter Kontextfaktor (Schneider 2026, Abschn. 3.5.1, S. 89–90).</w:t>
      </w:r>
    </w:p>
    <w:p w14:paraId="72F38D69" w14:textId="77777777" w:rsidR="004E4CC2" w:rsidRDefault="00000000">
      <w:pPr>
        <w:pStyle w:val="Textkrper"/>
      </w:pPr>
      <w:r>
        <w:t>Eine Kommune könnte damit verdeutlichen, welche Beiträge sie aus Bestandssanierung, Neubau und Infrastruktur erwartet. Voraussetzung ist eine konsistente Verschachtelung: Ein bereits national oder kommunal zugeteiltes Budget darf nicht mehrfach als zusätzliche Entlastung auf Quartiersebene erscheinen. Unterschiedliche lokale Ausgangslagen sind begründbar zu berücksichtigen, ohne die Gesamtmenge aus dem Blick zu verlieren.</w:t>
      </w:r>
    </w:p>
    <w:p w14:paraId="0484FBCB" w14:textId="77777777" w:rsidR="004E4CC2" w:rsidRDefault="00000000">
      <w:pPr>
        <w:pStyle w:val="berschrift2"/>
      </w:pPr>
      <w:bookmarkStart w:id="211" w:name="lernen-aus-planung-und-betrieb"/>
      <w:bookmarkStart w:id="212" w:name="_Toc243681301"/>
      <w:bookmarkEnd w:id="209"/>
      <w:r>
        <w:lastRenderedPageBreak/>
        <w:t>12.5 Lernen aus Planung und Betrieb</w:t>
      </w:r>
      <w:bookmarkEnd w:id="212"/>
    </w:p>
    <w:p w14:paraId="7CBC5DF4" w14:textId="77777777" w:rsidR="004E4CC2" w:rsidRDefault="00000000">
      <w:pPr>
        <w:pStyle w:val="FirstParagraph"/>
      </w:pPr>
      <w:r>
        <w:t>Die weitere Absicherung des Verfahrens braucht neben neuen Szenarien auch Erfahrungen aus realisierten Projekten. Ein Abgleich mit Betriebsdaten kann zeigen, ob Bedarfsprofile, Regelung und Speicherbetrieb die vorgesehenen Beiträge erbringen. Abweichungen sind zunächst auf Nutzung, Wetter, Ausführung und Betrieb zu untersuchen, bevor daraus eine Änderung des Bewertungsmaßstabs abgeleitet wird.</w:t>
      </w:r>
    </w:p>
    <w:p w14:paraId="616D5738" w14:textId="77777777" w:rsidR="004E4CC2" w:rsidRDefault="00000000">
      <w:pPr>
        <w:pStyle w:val="berschrift1"/>
      </w:pPr>
      <w:bookmarkStart w:id="213" w:name="sec-anwendung"/>
      <w:bookmarkStart w:id="214" w:name="_Toc243681302"/>
      <w:bookmarkEnd w:id="192"/>
      <w:bookmarkEnd w:id="211"/>
      <w:r>
        <w:t>13. Deklaration von Bauprojekten</w:t>
      </w:r>
      <w:bookmarkEnd w:id="214"/>
    </w:p>
    <w:p w14:paraId="3AB7E9AB" w14:textId="77777777" w:rsidR="004E4CC2" w:rsidRDefault="00000000">
      <w:pPr>
        <w:pStyle w:val="FirstParagraph"/>
      </w:pPr>
      <w:r>
        <w:t>Vom untersuchten Konzept über die realisierte Lösung bis zum nachgewiesenen Betrieb</w:t>
      </w:r>
    </w:p>
    <w:p w14:paraId="3C8C154B" w14:textId="77777777" w:rsidR="004E4CC2" w:rsidRDefault="00000000">
      <w:pPr>
        <w:pStyle w:val="Textkrper"/>
      </w:pPr>
      <w:r>
        <w:t xml:space="preserve">Der klimaaktiv Standard kann in unterschiedlichen Projektphasen angewendet werden. Dabei sind zwei Fragen zu unterscheiden: </w:t>
      </w:r>
      <w:r>
        <w:rPr>
          <w:b/>
          <w:bCs/>
        </w:rPr>
        <w:t>Welche Qualitätsstufe wird rechnerisch erreicht?</w:t>
      </w:r>
      <w:r>
        <w:t xml:space="preserve"> Und </w:t>
      </w:r>
      <w:r>
        <w:rPr>
          <w:b/>
          <w:bCs/>
        </w:rPr>
        <w:t>wie belastbar ist der zugrunde liegende Projektstand?</w:t>
      </w:r>
      <w:r>
        <w:t xml:space="preserve"> Die Qualitätsstufen beschreibt </w:t>
      </w:r>
      <w:hyperlink w:anchor="sec-standard">
        <w:r>
          <w:rPr>
            <w:rStyle w:val="Hyperlink"/>
          </w:rPr>
          <w:t>Der Standard</w:t>
        </w:r>
      </w:hyperlink>
      <w:r>
        <w:t>; die Deklarationsphase kennzeichnet den Stand der Nachweisführung.</w:t>
      </w:r>
    </w:p>
    <w:p w14:paraId="6519C5B8" w14:textId="77777777" w:rsidR="004E4CC2" w:rsidRDefault="00000000">
      <w:pPr>
        <w:pStyle w:val="berschrift2"/>
      </w:pPr>
      <w:bookmarkStart w:id="215" w:name="drei-deklarationsphasen"/>
      <w:bookmarkStart w:id="216" w:name="_Toc243681303"/>
      <w:r>
        <w:t>13.1 Drei Deklarationsphasen</w:t>
      </w:r>
      <w:bookmarkEnd w:id="216"/>
    </w:p>
    <w:p w14:paraId="28C31E21" w14:textId="77777777" w:rsidR="004E4CC2" w:rsidRDefault="00000000">
      <w:pPr>
        <w:pStyle w:val="FirstParagraph"/>
      </w:pPr>
      <w:r>
        <w:t>Die Nachweisführung kann in der Planung, nach Fertigstellung sowie auf Grundlage gemessener Betriebsdaten erfolgen. Mit fortschreitendem Projektstand verändert sich die Datengrundlage und damit die Aussagekraft der Deklaration.</w:t>
      </w:r>
    </w:p>
    <w:tbl>
      <w:tblPr>
        <w:tblStyle w:val="Table"/>
        <w:tblW w:w="5000" w:type="pct"/>
        <w:tblLayout w:type="fixed"/>
        <w:tblLook w:val="0000" w:firstRow="0" w:lastRow="0" w:firstColumn="0" w:lastColumn="0" w:noHBand="0" w:noVBand="0"/>
      </w:tblPr>
      <w:tblGrid>
        <w:gridCol w:w="9622"/>
      </w:tblGrid>
      <w:tr w:rsidR="004E4CC2" w14:paraId="577D8FD1" w14:textId="77777777">
        <w:tc>
          <w:tcPr>
            <w:tcW w:w="7920" w:type="dxa"/>
          </w:tcPr>
          <w:p w14:paraId="60679C3F" w14:textId="77777777" w:rsidR="004E4CC2" w:rsidRDefault="00000000">
            <w:pPr>
              <w:pStyle w:val="Compact"/>
              <w:jc w:val="center"/>
            </w:pPr>
            <w:bookmarkStart w:id="217" w:name="fig-deklarationsphasen"/>
            <w:r>
              <w:rPr>
                <w:noProof/>
              </w:rPr>
              <w:drawing>
                <wp:inline distT="0" distB="0" distL="0" distR="0" wp14:anchorId="3CF7187F" wp14:editId="6E7394BA">
                  <wp:extent cx="5334000" cy="1993837"/>
                  <wp:effectExtent l="0" t="0" r="0" b="0"/>
                  <wp:docPr id="222" name="Picture"/>
                  <wp:cNvGraphicFramePr/>
                  <a:graphic xmlns:a="http://schemas.openxmlformats.org/drawingml/2006/main">
                    <a:graphicData uri="http://schemas.openxmlformats.org/drawingml/2006/picture">
                      <pic:pic xmlns:pic="http://schemas.openxmlformats.org/drawingml/2006/picture">
                        <pic:nvPicPr>
                          <pic:cNvPr id="223" name="Picture" descr="Kapitel/../Abbildungen/deklarationen.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5334000" cy="1993837"/>
                          </a:xfrm>
                          <a:prstGeom prst="rect">
                            <a:avLst/>
                          </a:prstGeom>
                          <a:noFill/>
                          <a:ln w="9525">
                            <a:noFill/>
                            <a:headEnd/>
                            <a:tailEnd/>
                          </a:ln>
                        </pic:spPr>
                      </pic:pic>
                    </a:graphicData>
                  </a:graphic>
                </wp:inline>
              </w:drawing>
            </w:r>
          </w:p>
          <w:p w14:paraId="01E208F0" w14:textId="77777777" w:rsidR="004E4CC2" w:rsidRDefault="00000000">
            <w:pPr>
              <w:pStyle w:val="ImageCaption"/>
              <w:spacing w:before="200"/>
            </w:pPr>
            <w:r>
              <w:t xml:space="preserve">Abbildung 13.1: </w:t>
            </w:r>
            <w:r>
              <w:rPr>
                <w:b/>
                <w:bCs/>
              </w:rPr>
              <w:t>Deklaration je nach Projektstand:</w:t>
            </w:r>
            <w:r>
              <w:t xml:space="preserve"> Planungsdeklaration, Fertigstellungsdeklaration und Betriebsdeklaration mit zunehmender Verfügbarkeit von Ausführungs- und Messdaten.</w:t>
            </w:r>
          </w:p>
        </w:tc>
        <w:bookmarkEnd w:id="217"/>
      </w:tr>
    </w:tbl>
    <w:p w14:paraId="07031A5A" w14:textId="77777777" w:rsidR="004E4CC2" w:rsidRDefault="00000000">
      <w:pPr>
        <w:pStyle w:val="berschrift3"/>
      </w:pPr>
      <w:bookmarkStart w:id="218" w:name="X7d3d1967b9148bcc6844ed1fcf694d84f388b84"/>
      <w:bookmarkStart w:id="219" w:name="_Toc243681304"/>
      <w:r>
        <w:t>13.1.1 📐 Planungsdeklaration – Potenziale und Varianten nachweisen</w:t>
      </w:r>
      <w:bookmarkEnd w:id="219"/>
    </w:p>
    <w:p w14:paraId="1D169583" w14:textId="77777777" w:rsidR="004E4CC2" w:rsidRDefault="00000000">
      <w:pPr>
        <w:pStyle w:val="FirstParagraph"/>
      </w:pPr>
      <w:r>
        <w:t xml:space="preserve">Eine </w:t>
      </w:r>
      <w:r>
        <w:rPr>
          <w:b/>
          <w:bCs/>
        </w:rPr>
        <w:t>Planungsdeklaration</w:t>
      </w:r>
      <w:r>
        <w:t xml:space="preserve"> zeichnet die fundierte Untersuchung eines Quartierskonzepts aus. Sie zeigt, </w:t>
      </w:r>
      <w:r>
        <w:rPr>
          <w:b/>
          <w:bCs/>
        </w:rPr>
        <w:t>unter welchen planerischen, technischen und organisatorischen Voraussetzungen</w:t>
      </w:r>
      <w:r>
        <w:t xml:space="preserve"> eine angestrebte Qualitätsstufe erreicht werden könnte. Insbesondere in frühen Phasen ermöglicht sie die Beantwortung von </w:t>
      </w:r>
      <w:r>
        <w:rPr>
          <w:i/>
          <w:iCs/>
        </w:rPr>
        <w:t>Was-wäre-wenn-Fragen</w:t>
      </w:r>
      <w:r>
        <w:t>: Welche PV-</w:t>
      </w:r>
      <w:r>
        <w:lastRenderedPageBreak/>
        <w:t>Flächen wären erforderlich? Welche Wärmeversorgung oder Mobilitätsmaßnahmen würden den Ausschlag geben? Wie stark beeinflussen unterschiedliche Bauweisen die THG-Bilanz?</w:t>
      </w:r>
    </w:p>
    <w:p w14:paraId="06727984" w14:textId="77777777" w:rsidR="004E4CC2" w:rsidRDefault="00000000">
      <w:pPr>
        <w:pStyle w:val="Textkrper"/>
      </w:pPr>
      <w:r>
        <w:t xml:space="preserve">Die betrachtete Variante </w:t>
      </w:r>
      <w:r>
        <w:rPr>
          <w:b/>
          <w:bCs/>
        </w:rPr>
        <w:t>muss nicht später genau so umgesetzt werden</w:t>
      </w:r>
      <w:r>
        <w:t>. Eine Planungsdeklaration ist daher weder eine Ausführungsverpflichtung noch ein Nachweis der später tatsächlich erreichten Performance. Entscheidend sind eine ausreichend detaillierte, nachvollziehbare Untersuchung sowie die transparente Kennzeichnung der zugrunde liegenden Annahmen und Abhängigkeiten.</w:t>
      </w:r>
    </w:p>
    <w:p w14:paraId="70AC75E5" w14:textId="77777777" w:rsidR="004E4CC2" w:rsidRDefault="00000000">
      <w:pPr>
        <w:pStyle w:val="berschrift3"/>
      </w:pPr>
      <w:bookmarkStart w:id="220" w:name="X820e29c657087dd8ebc15c3a86e3472c2d49ef1"/>
      <w:bookmarkStart w:id="221" w:name="_Toc243681305"/>
      <w:bookmarkEnd w:id="218"/>
      <w:r>
        <w:t>13.1.2 🏗️ Fertigstellungsdeklaration – Umsetzung überprüfen</w:t>
      </w:r>
      <w:bookmarkEnd w:id="221"/>
    </w:p>
    <w:p w14:paraId="2333D432" w14:textId="77777777" w:rsidR="004E4CC2" w:rsidRDefault="00000000">
      <w:pPr>
        <w:pStyle w:val="FirstParagraph"/>
      </w:pPr>
      <w:r>
        <w:t xml:space="preserve">Die </w:t>
      </w:r>
      <w:r>
        <w:rPr>
          <w:b/>
          <w:bCs/>
        </w:rPr>
        <w:t>Fertigstellungsdeklaration</w:t>
      </w:r>
      <w:r>
        <w:t xml:space="preserve"> bewertet das </w:t>
      </w:r>
      <w:r>
        <w:rPr>
          <w:b/>
          <w:bCs/>
        </w:rPr>
        <w:t>tatsächlich errichtete beziehungsweise sanierte Quartier</w:t>
      </w:r>
      <w:r>
        <w:t>. Die in der Planung angesetzten Maßnahmen werden mit dem Ausführungsstand abgeglichen: etwa Gebäudehülle, installierte Wärmeerzeugung, tatsächlich verfügbare PV-Flächen und -Leistungen, Speicher, Ladeinfrastruktur sowie realisierte Mobilitätsangebote.</w:t>
      </w:r>
    </w:p>
    <w:p w14:paraId="16603B56" w14:textId="77777777" w:rsidR="004E4CC2" w:rsidRDefault="00000000">
      <w:pPr>
        <w:pStyle w:val="Textkrper"/>
      </w:pPr>
      <w:r>
        <w:t>Abweichungen von früheren Varianten sind zu dokumentieren und, soweit bilanzrelevant, neu zu bewerten. Maßgeblich ist die nachvollziehbar belegte Ausführung und die daraus berechnete Zielerreichung – nicht allein das ursprüngliche Planungsergebnis.</w:t>
      </w:r>
    </w:p>
    <w:p w14:paraId="04D11C6D" w14:textId="77777777" w:rsidR="004E4CC2" w:rsidRDefault="00000000">
      <w:pPr>
        <w:pStyle w:val="berschrift3"/>
      </w:pPr>
      <w:bookmarkStart w:id="222" w:name="X3c422b68cfb3868b9dcca2746ffee730c1c27a7"/>
      <w:bookmarkStart w:id="223" w:name="_Toc243681306"/>
      <w:bookmarkEnd w:id="220"/>
      <w:r>
        <w:t>13.1.3 🔍 Betriebs- bzw. Monitoringdeklaration – Wirkung im Betrieb belegen</w:t>
      </w:r>
      <w:bookmarkEnd w:id="223"/>
    </w:p>
    <w:p w14:paraId="653C2E54" w14:textId="77777777" w:rsidR="004E4CC2" w:rsidRDefault="00000000">
      <w:pPr>
        <w:pStyle w:val="FirstParagraph"/>
      </w:pPr>
      <w:r>
        <w:t xml:space="preserve">Die </w:t>
      </w:r>
      <w:r>
        <w:rPr>
          <w:b/>
          <w:bCs/>
        </w:rPr>
        <w:t>Betriebsdeklaration</w:t>
      </w:r>
      <w:r>
        <w:t xml:space="preserve"> ergänzt die modellbasierte Bewertung um </w:t>
      </w:r>
      <w:r>
        <w:rPr>
          <w:b/>
          <w:bCs/>
        </w:rPr>
        <w:t>gemessene Betriebsdaten</w:t>
      </w:r>
      <w:r>
        <w:t xml:space="preserve"> aus einer mindestens einjährigen Monitoringphase. Insbesondere Energiebezug, Erzeugung und Einspeisung sowie – soweit erfassbar und für die gewählte Qualitätsstufe relevant – weitere Energieflüsse und Nutzungsbedingungen werden mit den Annahmen der Bewertung abgeglichen.</w:t>
      </w:r>
    </w:p>
    <w:p w14:paraId="50CA3736" w14:textId="77777777" w:rsidR="004E4CC2" w:rsidRDefault="00000000">
      <w:pPr>
        <w:pStyle w:val="Textkrper"/>
      </w:pPr>
      <w:r>
        <w:t>Eine sachgerechte Interpretation berücksichtigt unter anderem Wetter, Belegung, Nutzungsänderungen und die Verfügbarkeit der technischen Anlagen. Das Monitoring ermöglicht es, Abweichungen zwischen prognostizierter und tatsächlicher Performance zu erkennen. Es ersetzt jedoch nicht die Bilanzierung jener Lebenszyklus- oder Mobilitätsemissionen, die nicht unmittelbar gemessen werden können.</w:t>
      </w:r>
    </w:p>
    <w:tbl>
      <w:tblPr>
        <w:tblStyle w:val="Table"/>
        <w:tblW w:w="5000" w:type="pct"/>
        <w:tblLayout w:type="fixed"/>
        <w:tblLook w:val="0000" w:firstRow="0" w:lastRow="0" w:firstColumn="0" w:lastColumn="0" w:noHBand="0" w:noVBand="0"/>
      </w:tblPr>
      <w:tblGrid>
        <w:gridCol w:w="9622"/>
      </w:tblGrid>
      <w:tr w:rsidR="004E4CC2" w14:paraId="4659DCDE" w14:textId="77777777">
        <w:tc>
          <w:tcPr>
            <w:tcW w:w="7920" w:type="dxa"/>
          </w:tcPr>
          <w:p w14:paraId="78B505A1" w14:textId="77777777" w:rsidR="004E4CC2" w:rsidRDefault="00000000">
            <w:pPr>
              <w:pStyle w:val="ImageCaption"/>
              <w:spacing w:before="200"/>
            </w:pPr>
            <w:bookmarkStart w:id="224" w:name="tbl-deklarationsphasen"/>
            <w:r>
              <w:t>Tabelle 13.1: Bewertungsgrundlagen und Aussagekraft der Deklarationsphasen.</w:t>
            </w:r>
          </w:p>
          <w:tbl>
            <w:tblPr>
              <w:tblStyle w:val="Table"/>
              <w:tblW w:w="5000" w:type="pct"/>
              <w:tblLayout w:type="fixed"/>
              <w:tblLook w:val="0020" w:firstRow="1" w:lastRow="0" w:firstColumn="0" w:lastColumn="0" w:noHBand="0" w:noVBand="0"/>
            </w:tblPr>
            <w:tblGrid>
              <w:gridCol w:w="3136"/>
              <w:gridCol w:w="3135"/>
              <w:gridCol w:w="3135"/>
            </w:tblGrid>
            <w:tr w:rsidR="004E4CC2" w14:paraId="47F3ECFB"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53A5EAB9" w14:textId="77777777" w:rsidR="004E4CC2" w:rsidRDefault="00000000">
                  <w:pPr>
                    <w:pStyle w:val="Compact"/>
                    <w:jc w:val="center"/>
                  </w:pPr>
                  <w:r>
                    <w:t>Phase</w:t>
                  </w:r>
                </w:p>
              </w:tc>
              <w:tc>
                <w:tcPr>
                  <w:tcW w:w="2640" w:type="dxa"/>
                </w:tcPr>
                <w:p w14:paraId="1F2A9127" w14:textId="77777777" w:rsidR="004E4CC2" w:rsidRDefault="00000000">
                  <w:pPr>
                    <w:pStyle w:val="Compact"/>
                    <w:jc w:val="center"/>
                  </w:pPr>
                  <w:r>
                    <w:t>Bewertungsgrundlage</w:t>
                  </w:r>
                </w:p>
              </w:tc>
              <w:tc>
                <w:tcPr>
                  <w:tcW w:w="2640" w:type="dxa"/>
                </w:tcPr>
                <w:p w14:paraId="3F0F45C2" w14:textId="77777777" w:rsidR="004E4CC2" w:rsidRDefault="00000000">
                  <w:pPr>
                    <w:pStyle w:val="Compact"/>
                    <w:jc w:val="center"/>
                  </w:pPr>
                  <w:r>
                    <w:t>Aussage der Deklaration</w:t>
                  </w:r>
                </w:p>
              </w:tc>
            </w:tr>
            <w:tr w:rsidR="004E4CC2" w14:paraId="4F1D2E41" w14:textId="77777777">
              <w:tc>
                <w:tcPr>
                  <w:tcW w:w="2640" w:type="dxa"/>
                </w:tcPr>
                <w:p w14:paraId="73D73A4A" w14:textId="77777777" w:rsidR="004E4CC2" w:rsidRDefault="00000000">
                  <w:pPr>
                    <w:pStyle w:val="Compact"/>
                    <w:jc w:val="center"/>
                  </w:pPr>
                  <w:r>
                    <w:t xml:space="preserve">📐 </w:t>
                  </w:r>
                  <w:r>
                    <w:rPr>
                      <w:b/>
                      <w:bCs/>
                    </w:rPr>
                    <w:t>Planung</w:t>
                  </w:r>
                </w:p>
              </w:tc>
              <w:tc>
                <w:tcPr>
                  <w:tcW w:w="2640" w:type="dxa"/>
                </w:tcPr>
                <w:p w14:paraId="22E4124F" w14:textId="77777777" w:rsidR="004E4CC2" w:rsidRDefault="00000000">
                  <w:pPr>
                    <w:pStyle w:val="Compact"/>
                    <w:jc w:val="center"/>
                  </w:pPr>
                  <w:r>
                    <w:t>Quartierskonzept, Fachannahmen und untersuchte Varianten</w:t>
                  </w:r>
                </w:p>
              </w:tc>
              <w:tc>
                <w:tcPr>
                  <w:tcW w:w="2640" w:type="dxa"/>
                </w:tcPr>
                <w:p w14:paraId="229F2A0E" w14:textId="77777777" w:rsidR="004E4CC2" w:rsidRDefault="00000000">
                  <w:pPr>
                    <w:pStyle w:val="Compact"/>
                    <w:jc w:val="center"/>
                  </w:pPr>
                  <w:r>
                    <w:t>Unter welchen Bedingungen eine Qualitätsstufe erreichbar ist</w:t>
                  </w:r>
                </w:p>
              </w:tc>
            </w:tr>
            <w:tr w:rsidR="004E4CC2" w14:paraId="75ACFF58" w14:textId="77777777">
              <w:tc>
                <w:tcPr>
                  <w:tcW w:w="2640" w:type="dxa"/>
                </w:tcPr>
                <w:p w14:paraId="2D846548" w14:textId="77777777" w:rsidR="004E4CC2" w:rsidRDefault="00000000">
                  <w:pPr>
                    <w:pStyle w:val="Compact"/>
                    <w:jc w:val="center"/>
                  </w:pPr>
                  <w:r>
                    <w:t xml:space="preserve">🏗️ </w:t>
                  </w:r>
                  <w:r>
                    <w:rPr>
                      <w:b/>
                      <w:bCs/>
                    </w:rPr>
                    <w:t>Fertigstellung</w:t>
                  </w:r>
                </w:p>
              </w:tc>
              <w:tc>
                <w:tcPr>
                  <w:tcW w:w="2640" w:type="dxa"/>
                </w:tcPr>
                <w:p w14:paraId="4B2E43B0" w14:textId="77777777" w:rsidR="004E4CC2" w:rsidRDefault="00000000">
                  <w:pPr>
                    <w:pStyle w:val="Compact"/>
                    <w:jc w:val="center"/>
                  </w:pPr>
                  <w:r>
                    <w:t>Nachgewiesene Ausführung und aktualisierte Berechnung</w:t>
                  </w:r>
                </w:p>
              </w:tc>
              <w:tc>
                <w:tcPr>
                  <w:tcW w:w="2640" w:type="dxa"/>
                </w:tcPr>
                <w:p w14:paraId="48E78A2F" w14:textId="77777777" w:rsidR="004E4CC2" w:rsidRDefault="00000000">
                  <w:pPr>
                    <w:pStyle w:val="Compact"/>
                    <w:jc w:val="center"/>
                  </w:pPr>
                  <w:r>
                    <w:t>Ob das ausgeführte Projekt die Anforderungen erfüllt</w:t>
                  </w:r>
                </w:p>
              </w:tc>
            </w:tr>
            <w:tr w:rsidR="004E4CC2" w14:paraId="63708B5B" w14:textId="77777777">
              <w:tc>
                <w:tcPr>
                  <w:tcW w:w="2640" w:type="dxa"/>
                </w:tcPr>
                <w:p w14:paraId="08CCBDBF" w14:textId="77777777" w:rsidR="004E4CC2" w:rsidRDefault="00000000">
                  <w:pPr>
                    <w:pStyle w:val="Compact"/>
                    <w:jc w:val="center"/>
                  </w:pPr>
                  <w:r>
                    <w:t xml:space="preserve">🔍 </w:t>
                  </w:r>
                  <w:r>
                    <w:rPr>
                      <w:b/>
                      <w:bCs/>
                    </w:rPr>
                    <w:t>Betrieb / Monitoring</w:t>
                  </w:r>
                </w:p>
              </w:tc>
              <w:tc>
                <w:tcPr>
                  <w:tcW w:w="2640" w:type="dxa"/>
                </w:tcPr>
                <w:p w14:paraId="3197F5B8" w14:textId="77777777" w:rsidR="004E4CC2" w:rsidRDefault="00000000">
                  <w:pPr>
                    <w:pStyle w:val="Compact"/>
                    <w:jc w:val="center"/>
                  </w:pPr>
                  <w:r>
                    <w:t xml:space="preserve">Messdaten und </w:t>
                  </w:r>
                  <w:r>
                    <w:lastRenderedPageBreak/>
                    <w:t>dokumentierte Betriebsbedingungen</w:t>
                  </w:r>
                </w:p>
              </w:tc>
              <w:tc>
                <w:tcPr>
                  <w:tcW w:w="2640" w:type="dxa"/>
                </w:tcPr>
                <w:p w14:paraId="2DBA6990" w14:textId="77777777" w:rsidR="004E4CC2" w:rsidRDefault="00000000">
                  <w:pPr>
                    <w:pStyle w:val="Compact"/>
                    <w:jc w:val="center"/>
                  </w:pPr>
                  <w:r>
                    <w:lastRenderedPageBreak/>
                    <w:t xml:space="preserve">Inwieweit die </w:t>
                  </w:r>
                  <w:r>
                    <w:lastRenderedPageBreak/>
                    <w:t>prognostizierte Performance im Betrieb bestätigt wird</w:t>
                  </w:r>
                </w:p>
              </w:tc>
            </w:tr>
            <w:bookmarkEnd w:id="224"/>
          </w:tbl>
          <w:p w14:paraId="6F9F1E4A" w14:textId="77777777" w:rsidR="004E4CC2" w:rsidRDefault="004E4CC2"/>
        </w:tc>
      </w:tr>
    </w:tbl>
    <w:p w14:paraId="007AFE5A" w14:textId="77777777" w:rsidR="004E4CC2" w:rsidRDefault="00000000">
      <w:pPr>
        <w:pStyle w:val="Textkrper"/>
      </w:pPr>
      <w:r>
        <w:lastRenderedPageBreak/>
        <w:t xml:space="preserve"> </w:t>
      </w:r>
    </w:p>
    <w:tbl>
      <w:tblPr>
        <w:tblStyle w:val="Table"/>
        <w:tblW w:w="0" w:type="auto"/>
        <w:tblInd w:w="164" w:type="dxa"/>
        <w:tblBorders>
          <w:left w:val="single" w:sz="24" w:space="0" w:color="EB9113"/>
        </w:tblBorders>
        <w:tblCellMar>
          <w:left w:w="0" w:type="dxa"/>
          <w:right w:w="0" w:type="dxa"/>
        </w:tblCellMar>
        <w:tblLook w:val="0000" w:firstRow="0" w:lastRow="0" w:firstColumn="0" w:lastColumn="0" w:noHBand="0" w:noVBand="0"/>
      </w:tblPr>
      <w:tblGrid>
        <w:gridCol w:w="528"/>
        <w:gridCol w:w="8858"/>
      </w:tblGrid>
      <w:tr w:rsidR="004E4CC2" w14:paraId="1C111C1F" w14:textId="77777777" w:rsidTr="004E4CC2">
        <w:trPr>
          <w:cantSplit/>
        </w:trPr>
        <w:tc>
          <w:tcPr>
            <w:tcW w:w="0" w:type="auto"/>
            <w:tcMar>
              <w:left w:w="144" w:type="dxa"/>
              <w:right w:w="144" w:type="dxa"/>
            </w:tcMar>
          </w:tcPr>
          <w:p w14:paraId="097C8409" w14:textId="77777777" w:rsidR="004E4CC2" w:rsidRDefault="00000000">
            <w:pPr>
              <w:pStyle w:val="Textkrper"/>
              <w:spacing w:before="0" w:after="8"/>
              <w:jc w:val="center"/>
            </w:pPr>
            <w:r>
              <w:rPr>
                <w:noProof/>
              </w:rPr>
              <w:drawing>
                <wp:inline distT="0" distB="0" distL="0" distR="0" wp14:anchorId="631DA68B" wp14:editId="038B0FD2">
                  <wp:extent cx="152400" cy="152400"/>
                  <wp:effectExtent l="0" t="0" r="0" b="0"/>
                  <wp:docPr id="229" name="Picture"/>
                  <wp:cNvGraphicFramePr/>
                  <a:graphic xmlns:a="http://schemas.openxmlformats.org/drawingml/2006/main">
                    <a:graphicData uri="http://schemas.openxmlformats.org/drawingml/2006/picture">
                      <pic:pic xmlns:pic="http://schemas.openxmlformats.org/drawingml/2006/picture">
                        <pic:nvPicPr>
                          <pic:cNvPr id="230" name="Picture" descr="C:\Users\schneids\AppData\Local\Programs\Quarto\share\formats\docx\warning.png"/>
                          <pic:cNvPicPr>
                            <a:picLocks noChangeAspect="1" noChangeArrowheads="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8E20FBC" w14:textId="77777777" w:rsidR="004E4CC2" w:rsidRDefault="00000000">
            <w:pPr>
              <w:pStyle w:val="Textkrper"/>
              <w:spacing w:before="16" w:after="64"/>
            </w:pPr>
            <w:r>
              <w:rPr>
                <w:b/>
                <w:bCs/>
              </w:rPr>
              <w:t>Qualitätsstufe ist nicht Deklarationsphase</w:t>
            </w:r>
          </w:p>
          <w:p w14:paraId="638262B1" w14:textId="77777777" w:rsidR="004E4CC2" w:rsidRDefault="00000000">
            <w:pPr>
              <w:pStyle w:val="Textkrper"/>
              <w:spacing w:before="16" w:after="16"/>
            </w:pPr>
            <w:r>
              <w:t xml:space="preserve">Die </w:t>
            </w:r>
            <w:r>
              <w:rPr>
                <w:b/>
                <w:bCs/>
              </w:rPr>
              <w:t>Qualitätsstufe</w:t>
            </w:r>
            <w:r>
              <w:t xml:space="preserve"> bezeichnet den Umfang der erfüllten Energie- und THG-Anforderungen. Die </w:t>
            </w:r>
            <w:r>
              <w:rPr>
                <w:b/>
                <w:bCs/>
              </w:rPr>
              <w:t>Deklarationsphase</w:t>
            </w:r>
            <w:r>
              <w:t xml:space="preserve"> beschreibt, ob die Beurteilung auf Planungsannahmen, der realisierten Ausführung oder gemessenen Betriebsdaten beruht. Beide Angaben sind unabhängig voneinander und müssen gemeinsam ausgewiesen werden.</w:t>
            </w:r>
          </w:p>
        </w:tc>
      </w:tr>
    </w:tbl>
    <w:p w14:paraId="57709E23" w14:textId="77777777" w:rsidR="004E4CC2" w:rsidRDefault="00000000">
      <w:pPr>
        <w:pStyle w:val="berschrift2"/>
      </w:pPr>
      <w:bookmarkStart w:id="225" w:name="auf-dem-weg-zielerreichung-in-etappen"/>
      <w:bookmarkStart w:id="226" w:name="_Toc243681307"/>
      <w:bookmarkEnd w:id="215"/>
      <w:bookmarkEnd w:id="222"/>
      <w:r>
        <w:t>13.2 🧭 „Auf dem Weg“ – Zielerreichung in Etappen</w:t>
      </w:r>
      <w:bookmarkEnd w:id="226"/>
    </w:p>
    <w:p w14:paraId="166F8C7E" w14:textId="77777777" w:rsidR="004E4CC2" w:rsidRDefault="00000000">
      <w:pPr>
        <w:pStyle w:val="FirstParagraph"/>
      </w:pPr>
      <w:r>
        <w:t xml:space="preserve">Nicht jedes Quartier erfüllt bereits </w:t>
      </w:r>
      <w:r>
        <w:rPr>
          <w:b/>
          <w:bCs/>
        </w:rPr>
        <w:t>zum Nachweiszeitpunkt</w:t>
      </w:r>
      <w:r>
        <w:t xml:space="preserve"> sämtliche Anforderungen einer angestrebten Qualitätsstufe. Vor allem im Bestand oder bei abschnittsweiser Entwicklung können wesentliche Maßnahmen erst später wirksam werden.</w:t>
      </w:r>
    </w:p>
    <w:p w14:paraId="506D8734" w14:textId="77777777" w:rsidR="004E4CC2" w:rsidRDefault="00000000">
      <w:pPr>
        <w:pStyle w:val="Textkrper"/>
      </w:pPr>
      <w:r>
        <w:t xml:space="preserve">Die Deklaration </w:t>
      </w:r>
      <w:r>
        <w:rPr>
          <w:b/>
          <w:bCs/>
        </w:rPr>
        <w:t>„Auf dem Weg zum Plus-Energie-Quartier“</w:t>
      </w:r>
      <w:r>
        <w:t xml:space="preserve"> berücksichtigt solche Entwicklungspfade, sofern eine spätere Zielerreichung innerhalb des vorgesehenen Zeitraums plausibel nachgewiesen werden kann. Das Konzept sieht hierfür einen Zeitraum von bis zu fünf Jahren vor.</w:t>
      </w:r>
    </w:p>
    <w:p w14:paraId="14E8B008" w14:textId="77777777" w:rsidR="004E4CC2" w:rsidRDefault="00000000">
      <w:pPr>
        <w:pStyle w:val="Textkrper"/>
      </w:pPr>
      <w:r>
        <w:t xml:space="preserve">Entscheidend ist die Unterscheidung zwischen einer allgemeinen Absicht und einem </w:t>
      </w:r>
      <w:r>
        <w:rPr>
          <w:b/>
          <w:bCs/>
        </w:rPr>
        <w:t>technisch sowie zeitlich glaubhaften Umsetzungspfad</w:t>
      </w:r>
      <w:r>
        <w:t>. Geeignete Nachweise können insbesondere sein:</w:t>
      </w:r>
    </w:p>
    <w:p w14:paraId="3DB5EA17" w14:textId="77777777" w:rsidR="004E4CC2" w:rsidRDefault="00000000">
      <w:pPr>
        <w:pStyle w:val="Compact"/>
        <w:numPr>
          <w:ilvl w:val="0"/>
          <w:numId w:val="5"/>
        </w:numPr>
      </w:pPr>
      <w:r>
        <w:rPr>
          <w:b/>
          <w:bCs/>
        </w:rPr>
        <w:t>PV-Vorhalteflächen:</w:t>
      </w:r>
      <w:r>
        <w:t xml:space="preserve"> planerisch gesicherte Dach- oder Fassadenflächen einschließlich Tragfähigkeit, Verschattung, Leitungsführung und geplanter Anschlussmöglichkeit.</w:t>
      </w:r>
    </w:p>
    <w:p w14:paraId="06E23D44" w14:textId="77777777" w:rsidR="004E4CC2" w:rsidRDefault="00000000">
      <w:pPr>
        <w:pStyle w:val="Compact"/>
        <w:numPr>
          <w:ilvl w:val="0"/>
          <w:numId w:val="5"/>
        </w:numPr>
      </w:pPr>
      <w:r>
        <w:rPr>
          <w:b/>
          <w:bCs/>
        </w:rPr>
        <w:t>Vorbereitete Energieflexibilität:</w:t>
      </w:r>
      <w:r>
        <w:t xml:space="preserve"> Mess-, Steuer- und Kommunikationsinfrastruktur sowie ein umsetzbares Regelungskonzept.</w:t>
      </w:r>
    </w:p>
    <w:p w14:paraId="30550311" w14:textId="77777777" w:rsidR="004E4CC2" w:rsidRDefault="00000000">
      <w:pPr>
        <w:pStyle w:val="Compact"/>
        <w:numPr>
          <w:ilvl w:val="0"/>
          <w:numId w:val="5"/>
        </w:numPr>
      </w:pPr>
      <w:r>
        <w:rPr>
          <w:b/>
          <w:bCs/>
        </w:rPr>
        <w:t>Technische Vorhaltungen:</w:t>
      </w:r>
      <w:r>
        <w:t xml:space="preserve"> Leerrohre, Platzreserven, Trassen oder elektrische Anschlussreserven für einen späteren Ausbau.</w:t>
      </w:r>
    </w:p>
    <w:p w14:paraId="486360D7" w14:textId="77777777" w:rsidR="004E4CC2" w:rsidRDefault="00000000">
      <w:pPr>
        <w:pStyle w:val="Compact"/>
        <w:numPr>
          <w:ilvl w:val="0"/>
          <w:numId w:val="5"/>
        </w:numPr>
      </w:pPr>
      <w:r>
        <w:rPr>
          <w:b/>
          <w:bCs/>
        </w:rPr>
        <w:t>Nachvollziehbare Etappen:</w:t>
      </w:r>
      <w:r>
        <w:t xml:space="preserve"> konkrete Maßnahmen, Verantwortlichkeiten, Voraussetzungen und Zeitpunkte der Umsetzung.</w:t>
      </w:r>
    </w:p>
    <w:p w14:paraId="278704C1" w14:textId="77777777" w:rsidR="004E4CC2" w:rsidRDefault="00000000">
      <w:pPr>
        <w:pStyle w:val="FirstParagraph"/>
      </w:pPr>
      <w:r>
        <w:t xml:space="preserve">Ein solcher Pfad ist </w:t>
      </w:r>
      <w:r>
        <w:rPr>
          <w:b/>
          <w:bCs/>
        </w:rPr>
        <w:t>kein Nachweis einer bereits erreichten Qualitätsstufe</w:t>
      </w:r>
      <w:r>
        <w:t>. Der aktuelle Zustand und die angestrebte vollständige Zielerreichung müssen getrennt dargestellt werden.</w:t>
      </w:r>
    </w:p>
    <w:p w14:paraId="01CE2221" w14:textId="77777777" w:rsidR="004E4CC2" w:rsidRDefault="00000000">
      <w:pPr>
        <w:pStyle w:val="Textkrper"/>
      </w:pPr>
      <w:r>
        <w:t>Für die THG-Bewertung sind außerdem die Emissionen bis zur späteren Umsetzung und die zusätzlichen Herstellungsemissionen der Maßnahmen zu berücksichtigen. Ein gutes Ergebnis im Zieljahr macht bereits entstandene Emissionen nicht rückgängig.</w:t>
      </w:r>
    </w:p>
    <w:p w14:paraId="5C000070" w14:textId="77777777" w:rsidR="004E4CC2" w:rsidRDefault="00000000">
      <w:pPr>
        <w:pStyle w:val="Textkrper"/>
      </w:pPr>
      <w:r>
        <w:t xml:space="preserve">Die vertiefte Darstellung von Renovierungsetappen findet sich unter </w:t>
      </w:r>
      <w:hyperlink r:id="rId37">
        <w:r>
          <w:rPr>
            <w:rStyle w:val="Hyperlink"/>
          </w:rPr>
          <w:t>Sanierungsfahrpläne</w:t>
        </w:r>
      </w:hyperlink>
      <w:r>
        <w:t>.</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9386"/>
      </w:tblGrid>
      <w:tr w:rsidR="004E4CC2" w14:paraId="7329BBDB" w14:textId="77777777" w:rsidTr="004E4CC2">
        <w:trPr>
          <w:cantSplit/>
        </w:trPr>
        <w:tc>
          <w:tcPr>
            <w:tcW w:w="0" w:type="auto"/>
            <w:tcMar>
              <w:left w:w="144" w:type="dxa"/>
            </w:tcMar>
          </w:tcPr>
          <w:p w14:paraId="071DA83A" w14:textId="77777777" w:rsidR="004E4CC2" w:rsidRDefault="00000000">
            <w:pPr>
              <w:pStyle w:val="Textkrper"/>
              <w:spacing w:before="16" w:after="64"/>
            </w:pPr>
            <w:r>
              <w:rPr>
                <w:b/>
                <w:bCs/>
              </w:rPr>
              <w:lastRenderedPageBreak/>
              <w:t>Methodische Einordnung</w:t>
            </w:r>
          </w:p>
          <w:p w14:paraId="17CB73E4" w14:textId="77777777" w:rsidR="004E4CC2" w:rsidRDefault="00000000">
            <w:pPr>
              <w:pStyle w:val="Textkrper"/>
              <w:spacing w:before="16" w:after="16"/>
            </w:pPr>
            <w:r>
              <w:t>Die verbindlichen Bedingungen für eine Deklaration „Auf dem Weg“, insbesondere Fristen, erforderliche Nachweise und die Zuordnung zur Qualitätsstufe, richten sich nach den jeweils gültigen Deklarationsvorgaben.</w:t>
            </w:r>
          </w:p>
        </w:tc>
      </w:tr>
    </w:tbl>
    <w:p w14:paraId="2318AC15" w14:textId="77777777" w:rsidR="004E4CC2" w:rsidRDefault="00000000">
      <w:pPr>
        <w:pStyle w:val="berschrift2"/>
      </w:pPr>
      <w:bookmarkStart w:id="227" w:name="ablauf-der-nachweisführung"/>
      <w:bookmarkStart w:id="228" w:name="_Toc243681308"/>
      <w:bookmarkEnd w:id="225"/>
      <w:r>
        <w:t>13.3 Ablauf der Nachweisführung</w:t>
      </w:r>
      <w:bookmarkEnd w:id="228"/>
    </w:p>
    <w:p w14:paraId="048E6E49" w14:textId="77777777" w:rsidR="004E4CC2" w:rsidRDefault="00000000">
      <w:pPr>
        <w:pStyle w:val="FirstParagraph"/>
      </w:pPr>
      <w:r>
        <w:t>Der Weg zur klimaaktiv Auszeichnung wird durch ein Netzwerk aus Anlaufstelle, Kompetenzpartner:innen und Expert:innengremium begleitet. Der Ablauf lässt sich aus Sicht der Projektverantwortlichen in drei Schritte gliedern.</w:t>
      </w:r>
    </w:p>
    <w:tbl>
      <w:tblPr>
        <w:tblStyle w:val="Table"/>
        <w:tblW w:w="5000" w:type="pct"/>
        <w:tblLayout w:type="fixed"/>
        <w:tblLook w:val="0000" w:firstRow="0" w:lastRow="0" w:firstColumn="0" w:lastColumn="0" w:noHBand="0" w:noVBand="0"/>
      </w:tblPr>
      <w:tblGrid>
        <w:gridCol w:w="9622"/>
      </w:tblGrid>
      <w:tr w:rsidR="004E4CC2" w14:paraId="5CDC4141" w14:textId="77777777">
        <w:tc>
          <w:tcPr>
            <w:tcW w:w="7920" w:type="dxa"/>
          </w:tcPr>
          <w:p w14:paraId="67299306" w14:textId="77777777" w:rsidR="004E4CC2" w:rsidRDefault="00000000">
            <w:pPr>
              <w:pStyle w:val="Compact"/>
              <w:jc w:val="center"/>
            </w:pPr>
            <w:bookmarkStart w:id="229" w:name="fig-weg-zum-peq"/>
            <w:r>
              <w:rPr>
                <w:noProof/>
              </w:rPr>
              <w:drawing>
                <wp:inline distT="0" distB="0" distL="0" distR="0" wp14:anchorId="08EA9F4B" wp14:editId="2BEDB5F9">
                  <wp:extent cx="5334000" cy="2398470"/>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Kapitel/../Abbildungen/ihr_weg_zum_peq.svg"/>
                          <pic:cNvPicPr>
                            <a:picLocks noChangeAspect="1" noChangeArrowheads="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334000" cy="2398470"/>
                          </a:xfrm>
                          <a:prstGeom prst="rect">
                            <a:avLst/>
                          </a:prstGeom>
                          <a:noFill/>
                          <a:ln w="9525">
                            <a:noFill/>
                            <a:headEnd/>
                            <a:tailEnd/>
                          </a:ln>
                        </pic:spPr>
                      </pic:pic>
                    </a:graphicData>
                  </a:graphic>
                </wp:inline>
              </w:drawing>
            </w:r>
          </w:p>
          <w:p w14:paraId="40FA4956" w14:textId="77777777" w:rsidR="004E4CC2" w:rsidRDefault="00000000">
            <w:pPr>
              <w:pStyle w:val="ImageCaption"/>
              <w:spacing w:before="200"/>
            </w:pPr>
            <w:r>
              <w:t xml:space="preserve">Abbildung 13.2: </w:t>
            </w:r>
            <w:r>
              <w:rPr>
                <w:b/>
                <w:bCs/>
              </w:rPr>
              <w:t>Ihr Weg zum Plus-Energie-Quartier:</w:t>
            </w:r>
            <w:r>
              <w:t xml:space="preserve"> Von der ersten Prüfung der Mindestanforderungen über die Auswahl einer fachlichen Projektbegleitung bis zur Einreichung und Qualitätssicherung.</w:t>
            </w:r>
          </w:p>
        </w:tc>
        <w:bookmarkEnd w:id="229"/>
      </w:tr>
    </w:tbl>
    <w:p w14:paraId="08C052BA" w14:textId="77777777" w:rsidR="004E4CC2" w:rsidRDefault="00000000">
      <w:pPr>
        <w:pStyle w:val="berschrift3"/>
      </w:pPr>
      <w:bookmarkStart w:id="230" w:name="Xcdc63ff85aaee7b01a963ce6fb0049e010ea390"/>
      <w:bookmarkStart w:id="231" w:name="_Toc243681309"/>
      <w:r>
        <w:t>13.3.1 Schritt 1 – Mindestanforderungen und Aussichten prüfen</w:t>
      </w:r>
      <w:bookmarkEnd w:id="231"/>
    </w:p>
    <w:p w14:paraId="55326390" w14:textId="77777777" w:rsidR="004E4CC2" w:rsidRDefault="00000000">
      <w:pPr>
        <w:pStyle w:val="FirstParagraph"/>
      </w:pPr>
      <w:r>
        <w:t xml:space="preserve">Zu Beginn werden die grundsätzlichen Voraussetzungen des Vorhabens und die Aussichten auf eine erfolgreiche Deklaration geklärt. Ein </w:t>
      </w:r>
      <w:r>
        <w:rPr>
          <w:b/>
          <w:bCs/>
        </w:rPr>
        <w:t>PEQ-Quick-Check</w:t>
      </w:r>
      <w:r>
        <w:t xml:space="preserve"> kann eine erste Einschätzung ermöglichen.</w:t>
      </w:r>
    </w:p>
    <w:p w14:paraId="09227BC9" w14:textId="77777777" w:rsidR="004E4CC2" w:rsidRDefault="00000000">
      <w:pPr>
        <w:pStyle w:val="Textkrper"/>
      </w:pPr>
      <w:r>
        <w:t xml:space="preserve">Dabei werden mögliche Anpassungen des Projektkonzepts, offene Anforderungen und ein geeigneter Zeitplan besprochen. Für diese erste Orientierung steht die </w:t>
      </w:r>
      <w:r>
        <w:rPr>
          <w:b/>
          <w:bCs/>
        </w:rPr>
        <w:t>Anlaufstelle Plus-Energie-Quartiere</w:t>
      </w:r>
      <w:r>
        <w:t xml:space="preserve"> zur Verfügung.</w:t>
      </w:r>
    </w:p>
    <w:p w14:paraId="0AF373C9" w14:textId="77777777" w:rsidR="004E4CC2" w:rsidRDefault="00000000">
      <w:pPr>
        <w:pStyle w:val="berschrift3"/>
      </w:pPr>
      <w:bookmarkStart w:id="232" w:name="schritt-2-kompetenzpartnerin-auswählen"/>
      <w:bookmarkStart w:id="233" w:name="_Toc243681310"/>
      <w:bookmarkEnd w:id="230"/>
      <w:r>
        <w:t>13.3.2 Schritt 2 – Kompetenzpartner:in auswählen</w:t>
      </w:r>
      <w:bookmarkEnd w:id="233"/>
    </w:p>
    <w:p w14:paraId="38ADAE7A" w14:textId="77777777" w:rsidR="004E4CC2" w:rsidRDefault="00000000">
      <w:pPr>
        <w:pStyle w:val="FirstParagraph"/>
      </w:pPr>
      <w:r>
        <w:t xml:space="preserve">Für die vertiefte Bearbeitung können Projektverantwortliche eine:n </w:t>
      </w:r>
      <w:r>
        <w:rPr>
          <w:b/>
          <w:bCs/>
        </w:rPr>
        <w:t>klimaaktiv Kompetenzpartner:in</w:t>
      </w:r>
      <w:r>
        <w:t xml:space="preserve"> auswählen.</w:t>
      </w:r>
    </w:p>
    <w:p w14:paraId="7A0B4A98" w14:textId="77777777" w:rsidR="004E4CC2" w:rsidRDefault="00000000">
      <w:pPr>
        <w:pStyle w:val="Textkrper"/>
      </w:pPr>
      <w:r>
        <w:t xml:space="preserve">Gemeinsam werden der Projektumfang, die Bilanzgrenzen, die untersuchten Varianten und der Leistungsumfang der Begleitung festgelegt. Dazu gehören gegebenenfalls die </w:t>
      </w:r>
      <w:r>
        <w:lastRenderedPageBreak/>
        <w:t>Datenerhebung, Berechnung, fachliche Beratung und Vorbereitung der Deklarationsunterlagen.</w:t>
      </w:r>
    </w:p>
    <w:p w14:paraId="1E39A5FA" w14:textId="77777777" w:rsidR="004E4CC2" w:rsidRDefault="00000000">
      <w:pPr>
        <w:pStyle w:val="Textkrper"/>
      </w:pPr>
      <w:r>
        <w:t>Die Kompetenzpartner:innen unterstützen die Anwendung des Standards und die nachvollziehbare Aufbereitung der erforderlichen Nachweise.</w:t>
      </w:r>
    </w:p>
    <w:p w14:paraId="24A12BEF" w14:textId="77777777" w:rsidR="004E4CC2" w:rsidRDefault="00000000">
      <w:pPr>
        <w:pStyle w:val="berschrift3"/>
      </w:pPr>
      <w:bookmarkStart w:id="234" w:name="Xab89b1c79757f008b5c95468e537946d62bf6ec"/>
      <w:bookmarkStart w:id="235" w:name="_Toc243681311"/>
      <w:bookmarkEnd w:id="232"/>
      <w:r>
        <w:t>13.3.3 Schritt 3 – Einreichung und Qualitätssicherung</w:t>
      </w:r>
      <w:bookmarkEnd w:id="235"/>
    </w:p>
    <w:p w14:paraId="561F2792" w14:textId="77777777" w:rsidR="004E4CC2" w:rsidRDefault="00000000">
      <w:pPr>
        <w:pStyle w:val="FirstParagraph"/>
      </w:pPr>
      <w:r>
        <w:t>Nach Abschluss der Projektbegleitung werden die erforderlichen Ergebnisse und Unterlagen zur fachlichen Prüfung übermittelt.</w:t>
      </w:r>
    </w:p>
    <w:p w14:paraId="043DEB47" w14:textId="77777777" w:rsidR="004E4CC2" w:rsidRDefault="00000000">
      <w:pPr>
        <w:pStyle w:val="Textkrper"/>
      </w:pPr>
      <w:r>
        <w:t xml:space="preserve">Das </w:t>
      </w:r>
      <w:r>
        <w:rPr>
          <w:b/>
          <w:bCs/>
        </w:rPr>
        <w:t>klimaaktiv Expert:innengremium</w:t>
      </w:r>
      <w:r>
        <w:t xml:space="preserve"> prüft die Nachweisführung und kann Rückfragen zu einzelnen Annahmen, Berechnungen oder Belegen stellen. Nach erfolgreicher Prüfung erfolgt die entsprechende Deklaration beziehungsweise Auszeichnung.</w:t>
      </w:r>
    </w:p>
    <w:p w14:paraId="5677B119" w14:textId="77777777" w:rsidR="004E4CC2" w:rsidRDefault="00000000">
      <w:pPr>
        <w:pStyle w:val="Textkrper"/>
      </w:pPr>
      <w:r>
        <w:t>Die Qualitätssicherung dient insbesondere der fachlichen Plausibilisierung, Nachvollziehbarkeit und einheitlichen Anwendung des Standards.</w:t>
      </w:r>
    </w:p>
    <w:p w14:paraId="48D1EFA9" w14:textId="77777777" w:rsidR="004E4CC2" w:rsidRDefault="00000000">
      <w:pPr>
        <w:pStyle w:val="berschrift2"/>
      </w:pPr>
      <w:bookmarkStart w:id="236" w:name="akteure-und-zuständigkeiten"/>
      <w:bookmarkStart w:id="237" w:name="_Toc243681312"/>
      <w:bookmarkEnd w:id="227"/>
      <w:bookmarkEnd w:id="234"/>
      <w:r>
        <w:t>13.4 Akteure und Zuständigkeiten</w:t>
      </w:r>
      <w:bookmarkEnd w:id="237"/>
    </w:p>
    <w:p w14:paraId="38E40F98" w14:textId="77777777" w:rsidR="004E4CC2" w:rsidRDefault="00000000">
      <w:pPr>
        <w:pStyle w:val="FirstParagraph"/>
      </w:pPr>
      <w:r>
        <w:t>Die Nachweisführung ist in die Organisationsstruktur des klimaaktiv Programms für Siedlungen und Quartiere eingebettet. Die beteiligten Akteure übernehmen unterschiedliche, aufeinander abgestimmte Aufgaben.</w:t>
      </w:r>
    </w:p>
    <w:tbl>
      <w:tblPr>
        <w:tblStyle w:val="Table"/>
        <w:tblW w:w="5000" w:type="pct"/>
        <w:tblLayout w:type="fixed"/>
        <w:tblLook w:val="0000" w:firstRow="0" w:lastRow="0" w:firstColumn="0" w:lastColumn="0" w:noHBand="0" w:noVBand="0"/>
      </w:tblPr>
      <w:tblGrid>
        <w:gridCol w:w="9622"/>
      </w:tblGrid>
      <w:tr w:rsidR="004E4CC2" w14:paraId="38605657" w14:textId="77777777">
        <w:tc>
          <w:tcPr>
            <w:tcW w:w="7920" w:type="dxa"/>
          </w:tcPr>
          <w:p w14:paraId="203714F6" w14:textId="77777777" w:rsidR="004E4CC2" w:rsidRDefault="00000000">
            <w:pPr>
              <w:pStyle w:val="Compact"/>
              <w:jc w:val="center"/>
            </w:pPr>
            <w:bookmarkStart w:id="238" w:name="fig-programmteam"/>
            <w:r>
              <w:rPr>
                <w:noProof/>
              </w:rPr>
              <w:drawing>
                <wp:inline distT="0" distB="0" distL="0" distR="0" wp14:anchorId="596ACDFF" wp14:editId="716DA6D8">
                  <wp:extent cx="5334000" cy="2623854"/>
                  <wp:effectExtent l="0" t="0" r="0" b="0"/>
                  <wp:docPr id="244" name="Picture"/>
                  <wp:cNvGraphicFramePr/>
                  <a:graphic xmlns:a="http://schemas.openxmlformats.org/drawingml/2006/main">
                    <a:graphicData uri="http://schemas.openxmlformats.org/drawingml/2006/picture">
                      <pic:pic xmlns:pic="http://schemas.openxmlformats.org/drawingml/2006/picture">
                        <pic:nvPicPr>
                          <pic:cNvPr id="245" name="Picture" descr="Kapitel/../Abbildungen/programmteam.svg"/>
                          <pic:cNvPicPr>
                            <a:picLocks noChangeAspect="1" noChangeArrowheads="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334000" cy="2623854"/>
                          </a:xfrm>
                          <a:prstGeom prst="rect">
                            <a:avLst/>
                          </a:prstGeom>
                          <a:noFill/>
                          <a:ln w="9525">
                            <a:noFill/>
                            <a:headEnd/>
                            <a:tailEnd/>
                          </a:ln>
                        </pic:spPr>
                      </pic:pic>
                    </a:graphicData>
                  </a:graphic>
                </wp:inline>
              </w:drawing>
            </w:r>
          </w:p>
          <w:p w14:paraId="7C2BD391" w14:textId="77777777" w:rsidR="004E4CC2" w:rsidRDefault="00000000">
            <w:pPr>
              <w:pStyle w:val="ImageCaption"/>
              <w:spacing w:before="200"/>
            </w:pPr>
            <w:r>
              <w:t xml:space="preserve">Abbildung 13.3: </w:t>
            </w:r>
            <w:r>
              <w:rPr>
                <w:b/>
                <w:bCs/>
              </w:rPr>
              <w:t>Das klimaaktiv Programmteam:</w:t>
            </w:r>
            <w:r>
              <w:t xml:space="preserve"> Anlaufstelle, Siedlungen-und-Quartiere-Team, Kompetenzpartner:innen und Expert:innengremium sowie ihre Zusammenarbeit mit Projektverantwortlichen und Fachplanenden.</w:t>
            </w:r>
          </w:p>
        </w:tc>
        <w:bookmarkEnd w:id="238"/>
      </w:tr>
    </w:tbl>
    <w:p w14:paraId="62DD1A66" w14:textId="77777777" w:rsidR="004E4CC2" w:rsidRDefault="00000000">
      <w:pPr>
        <w:pStyle w:val="Textkrper"/>
      </w:pPr>
      <w:r>
        <w:t>Die wesentlichen Rollen sind:</w:t>
      </w:r>
    </w:p>
    <w:p w14:paraId="574AB03E" w14:textId="77777777" w:rsidR="004E4CC2" w:rsidRDefault="00000000">
      <w:pPr>
        <w:pStyle w:val="Compact"/>
        <w:numPr>
          <w:ilvl w:val="0"/>
          <w:numId w:val="6"/>
        </w:numPr>
      </w:pPr>
      <w:r>
        <w:rPr>
          <w:b/>
          <w:bCs/>
        </w:rPr>
        <w:t>Anlaufstelle Plus-Energie-Quartiere:</w:t>
      </w:r>
      <w:r>
        <w:t xml:space="preserve"> Erstinformation, Beratung zur grundsätzlichen Anwendbarkeit des Standards und Unterstützung bei Fragen zur Nachweisführung.</w:t>
      </w:r>
    </w:p>
    <w:p w14:paraId="675817A8" w14:textId="77777777" w:rsidR="004E4CC2" w:rsidRDefault="00000000">
      <w:pPr>
        <w:pStyle w:val="Compact"/>
        <w:numPr>
          <w:ilvl w:val="0"/>
          <w:numId w:val="6"/>
        </w:numPr>
      </w:pPr>
      <w:r>
        <w:rPr>
          <w:b/>
          <w:bCs/>
        </w:rPr>
        <w:lastRenderedPageBreak/>
        <w:t>klimaaktiv Siedlungen und Quartiere:</w:t>
      </w:r>
      <w:r>
        <w:t xml:space="preserve"> Programmkoordination und Unterstützung der entsprechenden Qualitätssicherungs- und Beratungsstrukturen.</w:t>
      </w:r>
    </w:p>
    <w:p w14:paraId="39907FC4" w14:textId="77777777" w:rsidR="004E4CC2" w:rsidRDefault="00000000">
      <w:pPr>
        <w:pStyle w:val="Compact"/>
        <w:numPr>
          <w:ilvl w:val="0"/>
          <w:numId w:val="6"/>
        </w:numPr>
      </w:pPr>
      <w:r>
        <w:rPr>
          <w:b/>
          <w:bCs/>
        </w:rPr>
        <w:t>klimaaktiv Kompetenzpartner:innen:</w:t>
      </w:r>
      <w:r>
        <w:t xml:space="preserve"> Projektbezogene Beratung, Bewertung und Unterstützung bei der Erarbeitung der Nachweisunterlagen.</w:t>
      </w:r>
    </w:p>
    <w:p w14:paraId="77826614" w14:textId="77777777" w:rsidR="004E4CC2" w:rsidRDefault="00000000">
      <w:pPr>
        <w:pStyle w:val="Compact"/>
        <w:numPr>
          <w:ilvl w:val="0"/>
          <w:numId w:val="6"/>
        </w:numPr>
      </w:pPr>
      <w:r>
        <w:rPr>
          <w:b/>
          <w:bCs/>
        </w:rPr>
        <w:t>klimaaktiv Expert:innengremium:</w:t>
      </w:r>
      <w:r>
        <w:t xml:space="preserve"> Fachliche Qualitätssicherung und Prüfung der eingereichten Ergebnisse.</w:t>
      </w:r>
    </w:p>
    <w:p w14:paraId="60931256" w14:textId="77777777" w:rsidR="004E4CC2" w:rsidRDefault="00000000">
      <w:pPr>
        <w:pStyle w:val="Compact"/>
        <w:numPr>
          <w:ilvl w:val="0"/>
          <w:numId w:val="6"/>
        </w:numPr>
      </w:pPr>
      <w:r>
        <w:rPr>
          <w:b/>
          <w:bCs/>
        </w:rPr>
        <w:t>Projektverantwortliche und Fachplanende:</w:t>
      </w:r>
      <w:r>
        <w:t xml:space="preserve"> Erarbeitung des Projekts, Bereitstellung der notwendigen Daten, Umsetzung der Maßnahmen und Dokumentation der Nachweise.</w:t>
      </w:r>
    </w:p>
    <w:p w14:paraId="05335DDD" w14:textId="77777777" w:rsidR="004E4CC2" w:rsidRDefault="00000000">
      <w:pPr>
        <w:pStyle w:val="FirstParagraph"/>
      </w:pPr>
      <w:r>
        <w:t>Die Zusammenarbeit zwischen den beteiligten Stellen soll eine nachvollziehbare Bewertung ermöglichen, ohne die Verantwortlichkeiten für Projektplanung, Berechnung und Qualitätssicherung zu vermischen.</w:t>
      </w:r>
    </w:p>
    <w:p w14:paraId="1EA49AFD" w14:textId="77777777" w:rsidR="004E4CC2" w:rsidRDefault="00000000">
      <w:pPr>
        <w:pStyle w:val="berschrift2"/>
      </w:pPr>
      <w:bookmarkStart w:id="239" w:name="X751f9384fd4762839a4db13e54b682cc0796b95"/>
      <w:bookmarkStart w:id="240" w:name="_Toc243681313"/>
      <w:bookmarkEnd w:id="236"/>
      <w:r>
        <w:t>13.5 Anforderungen an Datenqualität und Nachvollziehbarkeit</w:t>
      </w:r>
      <w:bookmarkEnd w:id="240"/>
    </w:p>
    <w:p w14:paraId="2BDA9C20" w14:textId="77777777" w:rsidR="004E4CC2" w:rsidRDefault="00000000">
      <w:pPr>
        <w:pStyle w:val="FirstParagraph"/>
      </w:pPr>
      <w:r>
        <w:t xml:space="preserve">Die Nachweisführung bündelt Angaben aus Architektur, Bauphysik, Haustechnik, Mobilitätsplanung und Ökobilanz. Für ergebnisrelevante Eingaben ist zu kennzeichnen, ob es sich um </w:t>
      </w:r>
      <w:r>
        <w:rPr>
          <w:b/>
          <w:bCs/>
        </w:rPr>
        <w:t>Referenzannahmen</w:t>
      </w:r>
      <w:r>
        <w:t xml:space="preserve">, </w:t>
      </w:r>
      <w:r>
        <w:rPr>
          <w:b/>
          <w:bCs/>
        </w:rPr>
        <w:t>projektspezifische Berechnungen</w:t>
      </w:r>
      <w:r>
        <w:t xml:space="preserve">, </w:t>
      </w:r>
      <w:r>
        <w:rPr>
          <w:b/>
          <w:bCs/>
        </w:rPr>
        <w:t>bestätigte Ausführungsangaben</w:t>
      </w:r>
      <w:r>
        <w:t xml:space="preserve"> oder </w:t>
      </w:r>
      <w:r>
        <w:rPr>
          <w:b/>
          <w:bCs/>
        </w:rPr>
        <w:t>Messwerte</w:t>
      </w:r>
      <w:r>
        <w:t xml:space="preserve"> handelt. Abhängigkeiten von nicht gesicherten Maßnahmen sind sichtbar auszuweisen.</w:t>
      </w:r>
    </w:p>
    <w:p w14:paraId="7CA444A6" w14:textId="77777777" w:rsidR="004E4CC2" w:rsidRDefault="00000000">
      <w:pPr>
        <w:pStyle w:val="Textkrper"/>
      </w:pPr>
      <w:r>
        <w:t xml:space="preserve">Für Variantenvergleiche sind Quartiersabgrenzung, Nutzungsumfang, Flächenbezüge und Bewertungsstand konsistent zu halten. Werden sie verändert, muss die Auswirkung auf Bedarf, Kontextfaktoren und zugeteilte Budgets kenntlich gemacht werden. Die Interpretation der Ergebnisse wird unter </w:t>
      </w:r>
      <w:hyperlink w:anchor="sec-ergebnisse">
        <w:r>
          <w:rPr>
            <w:rStyle w:val="Hyperlink"/>
          </w:rPr>
          <w:t>Kapitel 14</w:t>
        </w:r>
      </w:hyperlink>
      <w:r>
        <w:t xml:space="preserve"> erläutert.</w:t>
      </w:r>
    </w:p>
    <w:p w14:paraId="44EA8A04" w14:textId="77777777" w:rsidR="004E4CC2" w:rsidRDefault="00000000">
      <w:pPr>
        <w:pStyle w:val="berschrift2"/>
      </w:pPr>
      <w:bookmarkStart w:id="241" w:name="peexcel-als-nachweiswerkzeug"/>
      <w:bookmarkStart w:id="242" w:name="_Toc243681314"/>
      <w:bookmarkEnd w:id="239"/>
      <w:r>
        <w:t xml:space="preserve">13.6 </w:t>
      </w:r>
      <w:hyperlink r:id="rId42"/>
      <w:r>
        <w:t xml:space="preserve"> PEExcel als Nachweiswerkzeug</w:t>
      </w:r>
      <w:bookmarkEnd w:id="242"/>
    </w:p>
    <w:p w14:paraId="74BDA313" w14:textId="77777777" w:rsidR="004E4CC2" w:rsidRDefault="00000000">
      <w:pPr>
        <w:pStyle w:val="FirstParagraph"/>
      </w:pPr>
      <w:r>
        <w:t xml:space="preserve">Die Berechnungen und Variantenvergleiche werden mit dem </w:t>
      </w:r>
      <w:hyperlink r:id="rId43">
        <w:r>
          <w:rPr>
            <w:rStyle w:val="Hyperlink"/>
          </w:rPr>
          <w:t>PEExcel-Nachweistool</w:t>
        </w:r>
      </w:hyperlink>
      <w:r>
        <w:t xml:space="preserve"> unterstützt. </w:t>
      </w:r>
      <w:r>
        <w:rPr>
          <w:b/>
          <w:bCs/>
        </w:rPr>
        <w:t>Bedienung, Datenmodell, Auswertungsfunktionen, Softwareversionen und technische Modellimplementierung</w:t>
      </w:r>
      <w:r>
        <w:t xml:space="preserve"> sind auf der eigenständigen Toolwebsite beschrieben.</w:t>
      </w:r>
    </w:p>
    <w:p w14:paraId="2A261820" w14:textId="77777777" w:rsidR="004E4CC2" w:rsidRDefault="00000000">
      <w:pPr>
        <w:pStyle w:val="Textkrper"/>
      </w:pPr>
      <w:r>
        <w:t>Dieser Bericht erläutert die Bewertungsgrundlagen (</w:t>
      </w:r>
      <w:hyperlink w:anchor="sec-allokation">
        <w:r>
          <w:rPr>
            <w:rStyle w:val="Hyperlink"/>
          </w:rPr>
          <w:t>Kapitel 5</w:t>
        </w:r>
      </w:hyperlink>
      <w:r>
        <w:t xml:space="preserve">, </w:t>
      </w:r>
      <w:hyperlink w:anchor="sec-kontext">
        <w:r>
          <w:rPr>
            <w:rStyle w:val="Hyperlink"/>
          </w:rPr>
          <w:t>Kapitel 3.2</w:t>
        </w:r>
      </w:hyperlink>
      <w:r>
        <w:t xml:space="preserve">, </w:t>
      </w:r>
      <w:hyperlink w:anchor="sec-bilanzregeln">
        <w:r>
          <w:rPr>
            <w:rStyle w:val="Hyperlink"/>
          </w:rPr>
          <w:t>Kapitel 11</w:t>
        </w:r>
      </w:hyperlink>
      <w:r>
        <w:t>) und ihre Interpretation (</w:t>
      </w:r>
      <w:hyperlink w:anchor="sec-ergebnisse">
        <w:r>
          <w:rPr>
            <w:rStyle w:val="Hyperlink"/>
          </w:rPr>
          <w:t>Kapitel 14</w:t>
        </w:r>
      </w:hyperlink>
      <w:r>
        <w:t>); er ersetzt keine detaillierte Fachplanung.</w:t>
      </w:r>
    </w:p>
    <w:tbl>
      <w:tblPr>
        <w:tblStyle w:val="Table"/>
        <w:tblW w:w="0" w:type="auto"/>
        <w:tblInd w:w="164" w:type="dxa"/>
        <w:tblBorders>
          <w:left w:val="single" w:sz="24" w:space="0" w:color="00A047"/>
        </w:tblBorders>
        <w:tblCellMar>
          <w:left w:w="0" w:type="dxa"/>
          <w:right w:w="0" w:type="dxa"/>
        </w:tblCellMar>
        <w:tblLook w:val="0000" w:firstRow="0" w:lastRow="0" w:firstColumn="0" w:lastColumn="0" w:noHBand="0" w:noVBand="0"/>
      </w:tblPr>
      <w:tblGrid>
        <w:gridCol w:w="9386"/>
      </w:tblGrid>
      <w:tr w:rsidR="004E4CC2" w14:paraId="2D33FD9B" w14:textId="77777777" w:rsidTr="004E4CC2">
        <w:trPr>
          <w:cantSplit/>
        </w:trPr>
        <w:tc>
          <w:tcPr>
            <w:tcW w:w="0" w:type="auto"/>
            <w:tcMar>
              <w:left w:w="144" w:type="dxa"/>
            </w:tcMar>
          </w:tcPr>
          <w:p w14:paraId="12783FCC" w14:textId="77777777" w:rsidR="004E4CC2" w:rsidRDefault="00000000">
            <w:pPr>
              <w:pStyle w:val="Textkrper"/>
              <w:spacing w:before="16" w:after="64"/>
            </w:pPr>
            <w:r>
              <w:rPr>
                <w:b/>
                <w:bCs/>
              </w:rPr>
              <w:t>Weiterführende Informationen</w:t>
            </w:r>
          </w:p>
          <w:p w14:paraId="2A34231E" w14:textId="77777777" w:rsidR="004E4CC2" w:rsidRDefault="00000000">
            <w:pPr>
              <w:pStyle w:val="Textkrper"/>
              <w:spacing w:before="16" w:after="16"/>
            </w:pPr>
            <w:hyperlink r:id="rId44">
              <w:r>
                <w:rPr>
                  <w:rStyle w:val="Hyperlink"/>
                </w:rPr>
                <w:t>PEExcel Wissensplattform</w:t>
              </w:r>
            </w:hyperlink>
            <w:r>
              <w:t xml:space="preserve"> · </w:t>
            </w:r>
            <w:hyperlink r:id="rId45">
              <w:r>
                <w:rPr>
                  <w:rStyle w:val="Hyperlink"/>
                </w:rPr>
                <w:t>Ergebnisinterpretation</w:t>
              </w:r>
            </w:hyperlink>
            <w:r>
              <w:t xml:space="preserve"> · </w:t>
            </w:r>
            <w:hyperlink r:id="rId46">
              <w:r>
                <w:rPr>
                  <w:rStyle w:val="Hyperlink"/>
                </w:rPr>
                <w:t>Praxisbeispiele</w:t>
              </w:r>
            </w:hyperlink>
            <w:r>
              <w:t xml:space="preserve"> · </w:t>
            </w:r>
            <w:hyperlink r:id="rId47">
              <w:r>
                <w:rPr>
                  <w:rStyle w:val="Hyperlink"/>
                </w:rPr>
                <w:t>Sanierungsfahrpläne</w:t>
              </w:r>
            </w:hyperlink>
          </w:p>
        </w:tc>
      </w:tr>
    </w:tbl>
    <w:p w14:paraId="3E94F6A1" w14:textId="77777777" w:rsidR="004E4CC2" w:rsidRDefault="00000000">
      <w:pPr>
        <w:pStyle w:val="berschrift1"/>
      </w:pPr>
      <w:bookmarkStart w:id="243" w:name="sec-ergebnisse"/>
      <w:bookmarkStart w:id="244" w:name="_Toc243681315"/>
      <w:bookmarkEnd w:id="213"/>
      <w:bookmarkEnd w:id="241"/>
      <w:r>
        <w:t>14. Ergebnisse verstehen</w:t>
      </w:r>
      <w:bookmarkEnd w:id="244"/>
    </w:p>
    <w:p w14:paraId="73C657BA" w14:textId="77777777" w:rsidR="004E4CC2" w:rsidRDefault="00000000">
      <w:pPr>
        <w:pStyle w:val="FirstParagraph"/>
      </w:pPr>
      <w:r>
        <w:t>Von der Zielerreichung zur nachvollziehbaren Planungsentscheidung</w:t>
      </w:r>
    </w:p>
    <w:p w14:paraId="1B20613A" w14:textId="77777777" w:rsidR="004E4CC2" w:rsidRDefault="00000000">
      <w:pPr>
        <w:pStyle w:val="Textkrper"/>
      </w:pPr>
      <w:r>
        <w:lastRenderedPageBreak/>
        <w:t xml:space="preserve">Die erreichte Qualitätsstufe fasst die Bewertung zusammen. Für die Planung ist ebenso wichtig, </w:t>
      </w:r>
      <w:r>
        <w:rPr>
          <w:b/>
          <w:bCs/>
        </w:rPr>
        <w:t>welche realen Energie- und Emissionsflüsse, Kontextfaktoren und Annahmen</w:t>
      </w:r>
      <w:r>
        <w:t xml:space="preserve"> dahinterstehen. Eine nachvollziehbare Ergebnisdarstellung zeigt deshalb die einzelnen Beiträge und nicht nur „bestanden“ oder „nicht bestanden“.</w:t>
      </w:r>
    </w:p>
    <w:p w14:paraId="443E9BDA" w14:textId="77777777" w:rsidR="004E4CC2" w:rsidRDefault="00000000">
      <w:pPr>
        <w:pStyle w:val="berschrift2"/>
      </w:pPr>
      <w:bookmarkStart w:id="245" w:name="primärenergiebilanz"/>
      <w:bookmarkStart w:id="246" w:name="_Toc243681316"/>
      <w:r>
        <w:t>14.1 Primärenergiebilanz</w:t>
      </w:r>
      <w:bookmarkEnd w:id="246"/>
    </w:p>
    <w:p w14:paraId="30EDD35C" w14:textId="77777777" w:rsidR="004E4CC2" w:rsidRDefault="00000000">
      <w:pPr>
        <w:pStyle w:val="FirstParagraph"/>
      </w:pPr>
      <w:r>
        <w:t xml:space="preserve">Der berechnete Energiebedarf, die lokale Erzeugung sowie Bezug und Export über die Quartiersgrenze sind </w:t>
      </w:r>
      <w:r>
        <w:rPr>
          <w:b/>
          <w:bCs/>
        </w:rPr>
        <w:t>physische Größen</w:t>
      </w:r>
      <w:r>
        <w:t xml:space="preserve">. Erst die Gewichtung ergibt den Primärenergiesaldo. Dichte-, Mobilitäts- und Sanierungskontext verändern den Bewertungsmaßstab, nicht den realen Energiefluss. Die zugrunde liegenden Regeln erläutern </w:t>
      </w:r>
      <w:hyperlink w:anchor="sec-bilanzregeln">
        <w:r>
          <w:rPr>
            <w:rStyle w:val="Hyperlink"/>
          </w:rPr>
          <w:t>Kapitel 11</w:t>
        </w:r>
      </w:hyperlink>
      <w:r>
        <w:t xml:space="preserve"> und </w:t>
      </w:r>
      <w:hyperlink w:anchor="sec-kontext">
        <w:r>
          <w:rPr>
            <w:rStyle w:val="Hyperlink"/>
          </w:rPr>
          <w:t>Kapitel 3.2</w:t>
        </w:r>
      </w:hyperlink>
      <w:r>
        <w:t>.</w:t>
      </w:r>
    </w:p>
    <w:p w14:paraId="2ED2501B" w14:textId="77777777" w:rsidR="004E4CC2" w:rsidRDefault="00000000">
      <w:pPr>
        <w:pStyle w:val="Textkrper"/>
      </w:pPr>
      <w:r>
        <w:t>Eine positive Bewertungsbilanz ist nicht gleichbedeutend mit Autarkie oder einem physischen Nettoexport. Für aussagekräftige Vergleiche sind Rohsaldo und jede Kontextkorrektur getrennt auszuweisen.</w:t>
      </w:r>
    </w:p>
    <w:p w14:paraId="5557F3EC" w14:textId="77777777" w:rsidR="004E4CC2" w:rsidRDefault="00000000">
      <w:pPr>
        <w:pStyle w:val="Textkrper"/>
      </w:pPr>
      <w:r>
        <w:t>Die Ergebnisdarstellung stellt Energiebedarf und Energieaufbringung gegenüber und weist die Kontextkomponenten gesondert aus. Die Erweiterung um Mobilität verändert sowohl die bilanzierten Bedarfe als auch die zugerechneten Budgets.</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9386"/>
      </w:tblGrid>
      <w:tr w:rsidR="004E4CC2" w14:paraId="2CC5832E" w14:textId="77777777" w:rsidTr="004E4CC2">
        <w:trPr>
          <w:cantSplit/>
        </w:trPr>
        <w:tc>
          <w:tcPr>
            <w:tcW w:w="0" w:type="auto"/>
            <w:tcMar>
              <w:left w:w="144" w:type="dxa"/>
            </w:tcMar>
          </w:tcPr>
          <w:p w14:paraId="2A3595F4" w14:textId="77777777" w:rsidR="004E4CC2" w:rsidRDefault="00000000">
            <w:pPr>
              <w:pStyle w:val="Textkrper"/>
              <w:spacing w:before="16" w:after="64"/>
            </w:pPr>
            <w:r>
              <w:rPr>
                <w:b/>
                <w:bCs/>
              </w:rPr>
              <w:t>Abbildungsvorschlag E2 · Bilanzzerlegung (Plotly)</w:t>
            </w:r>
          </w:p>
          <w:p w14:paraId="64C676B9" w14:textId="77777777" w:rsidR="004E4CC2" w:rsidRDefault="00000000">
            <w:pPr>
              <w:pStyle w:val="Textkrper"/>
              <w:spacing w:before="16"/>
            </w:pPr>
            <w:r>
              <w:rPr>
                <w:b/>
                <w:bCs/>
              </w:rPr>
              <w:t>Interaktives Diagramm:</w:t>
            </w:r>
            <w:r>
              <w:t xml:space="preserve"> Energiebilanz vor Kontext → Dichtegutschrift/-lastschrift → Mobilitätsbudget → Sanierungsgutschrift → bewerteter Saldo. Tooltips mit Definition, Einheit, Vorzeichen und Quelle. Für PDF eine statische Fassung vorsehen.</w:t>
            </w:r>
          </w:p>
        </w:tc>
      </w:tr>
    </w:tbl>
    <w:tbl>
      <w:tblPr>
        <w:tblStyle w:val="Table"/>
        <w:tblW w:w="5000" w:type="pct"/>
        <w:tblLayout w:type="fixed"/>
        <w:tblLook w:val="0000" w:firstRow="0" w:lastRow="0" w:firstColumn="0" w:lastColumn="0" w:noHBand="0" w:noVBand="0"/>
      </w:tblPr>
      <w:tblGrid>
        <w:gridCol w:w="9622"/>
      </w:tblGrid>
      <w:tr w:rsidR="004E4CC2" w14:paraId="5161A1E7" w14:textId="77777777">
        <w:tc>
          <w:tcPr>
            <w:tcW w:w="7920" w:type="dxa"/>
          </w:tcPr>
          <w:p w14:paraId="30464BBC" w14:textId="77777777" w:rsidR="004E4CC2" w:rsidRDefault="00000000">
            <w:pPr>
              <w:pStyle w:val="Compact"/>
              <w:jc w:val="center"/>
            </w:pPr>
            <w:bookmarkStart w:id="247" w:name="fig-energiebilanz-erklaert"/>
            <w:r>
              <w:rPr>
                <w:noProof/>
              </w:rPr>
              <w:lastRenderedPageBreak/>
              <w:drawing>
                <wp:inline distT="0" distB="0" distL="0" distR="0" wp14:anchorId="16A6AC4D" wp14:editId="132CB4F5">
                  <wp:extent cx="5067300" cy="4168594"/>
                  <wp:effectExtent l="0" t="0" r="0" b="0"/>
                  <wp:docPr id="255" name="Picture"/>
                  <wp:cNvGraphicFramePr/>
                  <a:graphic xmlns:a="http://schemas.openxmlformats.org/drawingml/2006/main">
                    <a:graphicData uri="http://schemas.openxmlformats.org/drawingml/2006/picture">
                      <pic:pic xmlns:pic="http://schemas.openxmlformats.org/drawingml/2006/picture">
                        <pic:nvPicPr>
                          <pic:cNvPr id="256" name="Picture" descr="Kapitel/../Abbildungen/energiebilanz_erklaert.svg"/>
                          <pic:cNvPicPr>
                            <a:picLocks noChangeAspect="1" noChangeArrowheads="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5067300" cy="4168594"/>
                          </a:xfrm>
                          <a:prstGeom prst="rect">
                            <a:avLst/>
                          </a:prstGeom>
                          <a:noFill/>
                          <a:ln w="9525">
                            <a:noFill/>
                            <a:headEnd/>
                            <a:tailEnd/>
                          </a:ln>
                        </pic:spPr>
                      </pic:pic>
                    </a:graphicData>
                  </a:graphic>
                </wp:inline>
              </w:drawing>
            </w:r>
          </w:p>
          <w:p w14:paraId="13D444D7" w14:textId="77777777" w:rsidR="004E4CC2" w:rsidRDefault="00000000">
            <w:pPr>
              <w:pStyle w:val="ImageCaption"/>
              <w:spacing w:before="200"/>
            </w:pPr>
            <w:r>
              <w:t>Abbildung 14.1: Exemplarische Primärenergiebilanzen eines Plus-Energie-Quartiers mit und ohne Berücksichtigung der Mobilität.</w:t>
            </w:r>
          </w:p>
        </w:tc>
        <w:bookmarkEnd w:id="247"/>
      </w:tr>
    </w:tbl>
    <w:p w14:paraId="298D04CB" w14:textId="77777777" w:rsidR="004E4CC2" w:rsidRDefault="00000000">
      <w:pPr>
        <w:pStyle w:val="berschrift2"/>
      </w:pPr>
      <w:bookmarkStart w:id="248" w:name="X1cedf787fe0c6c71979a73f65ca0d5a1d332b1f"/>
      <w:bookmarkStart w:id="249" w:name="_Toc243681317"/>
      <w:bookmarkEnd w:id="245"/>
      <w:r>
        <w:t>14.2 Treibhausgasbudget und zeitlicher Verlauf</w:t>
      </w:r>
      <w:bookmarkEnd w:id="249"/>
    </w:p>
    <w:p w14:paraId="21FDAC7A" w14:textId="77777777" w:rsidR="004E4CC2" w:rsidRDefault="00000000">
      <w:pPr>
        <w:pStyle w:val="FirstParagraph"/>
      </w:pPr>
      <w:r>
        <w:t xml:space="preserve">Die THG-Bewertung der dritten Qualitätsstufe umfasst die im Standard festgelegten baulichen, betrieblichen und mobilitätsbezogenen Emissionen. Die kumulierte Bilanz wird dem zugeteilten Budget gegenübergestellt. </w:t>
      </w:r>
      <w:r>
        <w:rPr>
          <w:b/>
          <w:bCs/>
        </w:rPr>
        <w:t>Zeitpunkt und Art der Emissionen</w:t>
      </w:r>
      <w:r>
        <w:t xml:space="preserve"> sind für die Interpretation wesentlich: Herstellungsemissionen entstehen bei der baulichen Maßnahme, während Betriebsemissionen über die Jahre anfallen.</w:t>
      </w:r>
    </w:p>
    <w:p w14:paraId="1BCE77CC" w14:textId="77777777" w:rsidR="004E4CC2" w:rsidRDefault="00000000">
      <w:pPr>
        <w:pStyle w:val="Textkrper"/>
      </w:pPr>
      <w:r>
        <w:t xml:space="preserve">Das für den dokumentierten Methodenstand verwendete Referenzbudget und seine Annahmen werden in </w:t>
      </w:r>
      <w:hyperlink w:anchor="sec-zielwert-thg">
        <w:r>
          <w:rPr>
            <w:rStyle w:val="Hyperlink"/>
          </w:rPr>
          <w:t>Kapitel 10</w:t>
        </w:r>
      </w:hyperlink>
      <w:r>
        <w:t xml:space="preserve"> erläutert; die Systemgrenzen stehen in </w:t>
      </w:r>
      <w:hyperlink w:anchor="sec-bilanzregeln">
        <w:r>
          <w:rPr>
            <w:rStyle w:val="Hyperlink"/>
          </w:rPr>
          <w:t>Kapitel 11</w:t>
        </w:r>
      </w:hyperlink>
      <w:r>
        <w:t>.</w:t>
      </w:r>
    </w:p>
    <w:p w14:paraId="5AD69EC8" w14:textId="77777777" w:rsidR="004E4CC2" w:rsidRDefault="00000000">
      <w:pPr>
        <w:pStyle w:val="Textkrper"/>
      </w:pPr>
      <w:r>
        <w:t>Die kumulierte THG-Bilanz setzt sich aus den einzelnen baulichen, betrieblichen und mobilitätsbezogenen Emissionsbeiträgen zusammen. Die Gegenüberstellung mit dem Budget zeigt den verbleibenden Spielraum beziehungsweise eine Überschreitung.</w:t>
      </w:r>
    </w:p>
    <w:tbl>
      <w:tblPr>
        <w:tblStyle w:val="Table"/>
        <w:tblW w:w="5000" w:type="pct"/>
        <w:tblLayout w:type="fixed"/>
        <w:tblLook w:val="0000" w:firstRow="0" w:lastRow="0" w:firstColumn="0" w:lastColumn="0" w:noHBand="0" w:noVBand="0"/>
      </w:tblPr>
      <w:tblGrid>
        <w:gridCol w:w="9622"/>
      </w:tblGrid>
      <w:tr w:rsidR="004E4CC2" w14:paraId="6597303E" w14:textId="77777777">
        <w:tc>
          <w:tcPr>
            <w:tcW w:w="7920" w:type="dxa"/>
          </w:tcPr>
          <w:p w14:paraId="7696380B" w14:textId="77777777" w:rsidR="004E4CC2" w:rsidRDefault="00000000">
            <w:pPr>
              <w:pStyle w:val="Compact"/>
              <w:jc w:val="center"/>
            </w:pPr>
            <w:bookmarkStart w:id="250" w:name="fig-emissionsbilanz-erklaert"/>
            <w:r>
              <w:rPr>
                <w:noProof/>
              </w:rPr>
              <w:lastRenderedPageBreak/>
              <w:drawing>
                <wp:inline distT="0" distB="0" distL="0" distR="0" wp14:anchorId="3526CA36" wp14:editId="2C283DBB">
                  <wp:extent cx="5067300" cy="3373172"/>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Kapitel/../Abbildungen/emissionsbilanz_erklaert.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067300" cy="3373172"/>
                          </a:xfrm>
                          <a:prstGeom prst="rect">
                            <a:avLst/>
                          </a:prstGeom>
                          <a:noFill/>
                          <a:ln w="9525">
                            <a:noFill/>
                            <a:headEnd/>
                            <a:tailEnd/>
                          </a:ln>
                        </pic:spPr>
                      </pic:pic>
                    </a:graphicData>
                  </a:graphic>
                </wp:inline>
              </w:drawing>
            </w:r>
          </w:p>
          <w:p w14:paraId="7BF0F295" w14:textId="77777777" w:rsidR="004E4CC2" w:rsidRDefault="00000000">
            <w:pPr>
              <w:pStyle w:val="ImageCaption"/>
              <w:spacing w:before="200"/>
            </w:pPr>
            <w:r>
              <w:t>Abbildung 14.2: Beispielhafte Zusammensetzung der kumulierten Lebenszyklus-Treibhausgasbilanz und Vergleich mit dem Budget von 320 kg CO₂e/m² BGF.</w:t>
            </w:r>
          </w:p>
        </w:tc>
        <w:bookmarkEnd w:id="250"/>
      </w:tr>
    </w:tbl>
    <w:p w14:paraId="7422ACF0" w14:textId="77777777" w:rsidR="004E4CC2" w:rsidRDefault="00000000">
      <w:pPr>
        <w:pStyle w:val="berschrift1"/>
      </w:pPr>
      <w:bookmarkStart w:id="251" w:name="sec-praxisbeispiele"/>
      <w:bookmarkStart w:id="252" w:name="_Toc243681318"/>
      <w:bookmarkEnd w:id="243"/>
      <w:bookmarkEnd w:id="248"/>
      <w:r>
        <w:t>15. Praxisbeispiele</w:t>
      </w:r>
      <w:bookmarkEnd w:id="252"/>
    </w:p>
    <w:p w14:paraId="71515B09" w14:textId="77777777" w:rsidR="004E4CC2" w:rsidRDefault="00000000">
      <w:pPr>
        <w:pStyle w:val="FirstParagraph"/>
      </w:pPr>
      <w:r>
        <w:t>Was die Bewertungsregeln für unterschiedliche Quartiere bedeuten</w:t>
      </w:r>
    </w:p>
    <w:tbl>
      <w:tblPr>
        <w:tblStyle w:val="Table"/>
        <w:tblW w:w="5000" w:type="pct"/>
        <w:tblLayout w:type="fixed"/>
        <w:tblLook w:val="0000" w:firstRow="0" w:lastRow="0" w:firstColumn="0" w:lastColumn="0" w:noHBand="0" w:noVBand="0"/>
      </w:tblPr>
      <w:tblGrid>
        <w:gridCol w:w="9622"/>
      </w:tblGrid>
      <w:tr w:rsidR="004E4CC2" w14:paraId="27047E4F" w14:textId="77777777">
        <w:tc>
          <w:tcPr>
            <w:tcW w:w="7920" w:type="dxa"/>
          </w:tcPr>
          <w:p w14:paraId="591E5F2E" w14:textId="77777777" w:rsidR="004E4CC2" w:rsidRDefault="00000000">
            <w:pPr>
              <w:pStyle w:val="Compact"/>
              <w:jc w:val="center"/>
            </w:pPr>
            <w:bookmarkStart w:id="253" w:name="fig-quartierstypologien-vergleich"/>
            <w:r>
              <w:rPr>
                <w:noProof/>
              </w:rPr>
              <w:drawing>
                <wp:inline distT="0" distB="0" distL="0" distR="0" wp14:anchorId="1ED4E6AF" wp14:editId="68A28071">
                  <wp:extent cx="5334000" cy="3408862"/>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Kapitel/../Abbildungen/beispiele.svg"/>
                          <pic:cNvPicPr>
                            <a:picLocks noChangeAspect="1" noChangeArrowheads="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5334000" cy="3408862"/>
                          </a:xfrm>
                          <a:prstGeom prst="rect">
                            <a:avLst/>
                          </a:prstGeom>
                          <a:noFill/>
                          <a:ln w="9525">
                            <a:noFill/>
                            <a:headEnd/>
                            <a:tailEnd/>
                          </a:ln>
                        </pic:spPr>
                      </pic:pic>
                    </a:graphicData>
                  </a:graphic>
                </wp:inline>
              </w:drawing>
            </w:r>
          </w:p>
          <w:p w14:paraId="7D364BBD" w14:textId="77777777" w:rsidR="004E4CC2" w:rsidRDefault="00000000">
            <w:pPr>
              <w:pStyle w:val="ImageCaption"/>
              <w:spacing w:before="200"/>
            </w:pPr>
            <w:r>
              <w:lastRenderedPageBreak/>
              <w:t>Abbildung 15.1: Vergleich exemplarischer Quartierstypologien anhand ihrer Primärenergiebedarfe, Energieaufbringung und Kontextkomponenten.</w:t>
            </w:r>
          </w:p>
        </w:tc>
        <w:bookmarkEnd w:id="253"/>
      </w:tr>
    </w:tbl>
    <w:p w14:paraId="726E5EDC" w14:textId="77777777" w:rsidR="004E4CC2" w:rsidRDefault="00000000">
      <w:pPr>
        <w:pStyle w:val="Textkrper"/>
      </w:pPr>
      <w:r>
        <w:lastRenderedPageBreak/>
        <w:t>Die Beispiele illustrieren unterschiedliche Planungsaufgaben: Die zusätzliche Anforderung an ein Neubau-Quartier mit niedriger baulicher Dichte, die Herausforderungen im Kontext des hochverdichteten gemischten Neubaus und die energetische Sanierung eines bestehenden Wohnquartiers.</w:t>
      </w:r>
    </w:p>
    <w:p w14:paraId="0F3A06AD" w14:textId="77777777" w:rsidR="004E4CC2" w:rsidRDefault="00000000">
      <w:pPr>
        <w:pStyle w:val="berschrift2"/>
      </w:pPr>
      <w:bookmarkStart w:id="254" w:name="X1bdca1555cc6d84d34e189702b54100b4d62b3f"/>
      <w:bookmarkStart w:id="255" w:name="_Toc243681319"/>
      <w:r>
        <w:t>15.1 Am Bichl III – Dichte als zusätzliche Anforderung</w:t>
      </w:r>
      <w:bookmarkEnd w:id="255"/>
    </w:p>
    <w:p w14:paraId="401ECBED" w14:textId="77777777" w:rsidR="004E4CC2" w:rsidRDefault="00000000">
      <w:pPr>
        <w:pStyle w:val="FirstParagraph"/>
      </w:pPr>
      <w:r>
        <w:t xml:space="preserve">Am Bichl III wurde im Oktober 2026 als erstes Quartier in Österreich die </w:t>
      </w:r>
      <w:r>
        <w:rPr>
          <w:rStyle w:val="VerbatimChar"/>
        </w:rPr>
        <w:t>🏗️ Fertigsstellungsdeklaration Plus-Energie-Quartier</w:t>
      </w:r>
      <w:r>
        <w:t xml:space="preserve"> verliehen. Der hier dokumentierte Deklarationsumfang umfasst die Betriebsenergie.</w:t>
      </w:r>
    </w:p>
    <w:p w14:paraId="78821BF6" w14:textId="77777777" w:rsidR="004E4CC2" w:rsidRDefault="00000000">
      <w:pPr>
        <w:pStyle w:val="Textkrper"/>
      </w:pPr>
      <w:r>
        <w:t>Das Beispiel verdeutlicht die Wirkung des Dichtekontexts: Bei geringer baulicher Dichte wird ein zusätzlicher energetischer Beitrag verlangt. Im Fall von Am Bichl III konnte diese Anforderung durch die vorgesehene Flexibilität beim Heizen und Kühlen kompensiert werden.</w:t>
      </w:r>
    </w:p>
    <w:p w14:paraId="3277968B" w14:textId="77777777" w:rsidR="004E4CC2" w:rsidRDefault="00000000">
      <w:pPr>
        <w:pStyle w:val="berschrift2"/>
      </w:pPr>
      <w:bookmarkStart w:id="256" w:name="X2fcc87d8624644af3101c1e0d99f4f4b089fb8c"/>
      <w:bookmarkStart w:id="257" w:name="_Toc243681320"/>
      <w:bookmarkEnd w:id="254"/>
      <w:r>
        <w:t>15.2 RUGInnovation – Sanierung und integrierte Energieversorgung</w:t>
      </w:r>
      <w:bookmarkEnd w:id="257"/>
    </w:p>
    <w:p w14:paraId="30D714CF" w14:textId="77777777" w:rsidR="004E4CC2" w:rsidRDefault="00000000">
      <w:pPr>
        <w:pStyle w:val="FirstParagraph"/>
      </w:pPr>
      <w:r>
        <w:t>Das Wiener Projekt RUGInnovation kombiniert die Sanierung einer Wohnanlage mit einer veränderten Energieversorgung und Photovoltaik auf Dach- und Fassadenflächen. Dokumentiert sind unter anderem Arbeiten an Fassade, Dach und Fenstern, eine Grundwasserwärmepumpe sowie Mobilitätsmaßnahmen (Schneider u. a. 2026, 15–19).</w:t>
      </w:r>
    </w:p>
    <w:p w14:paraId="46461986" w14:textId="77777777" w:rsidR="004E4CC2" w:rsidRDefault="00000000">
      <w:pPr>
        <w:pStyle w:val="Textkrper"/>
      </w:pPr>
      <w:r>
        <w:t>Der Fall zeigt, wie Gebäudehülle, Wärmeversorgung, erneuerbare Erzeugung und Mobilität gemeinsam wirken. Die Sanierungsgutschrift entschärft die energetische Anforderung; tatsächliche Einsparungen entstehen dagegen durch die umgesetzten Maßnahmen. Deshalb sollten zunächst Betriebsenergie, danach die Erweiterung um Mobilität und schließlich die baulichen THG-Beiträge getrennt betrachtet werden.</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9386"/>
      </w:tblGrid>
      <w:tr w:rsidR="004E4CC2" w14:paraId="374DF10C" w14:textId="77777777" w:rsidTr="004E4CC2">
        <w:trPr>
          <w:cantSplit/>
        </w:trPr>
        <w:tc>
          <w:tcPr>
            <w:tcW w:w="0" w:type="auto"/>
            <w:tcMar>
              <w:left w:w="144" w:type="dxa"/>
            </w:tcMar>
          </w:tcPr>
          <w:p w14:paraId="0A4DF8BC" w14:textId="77777777" w:rsidR="004E4CC2" w:rsidRDefault="00000000">
            <w:pPr>
              <w:pStyle w:val="Textkrper"/>
              <w:spacing w:before="16" w:after="64"/>
            </w:pPr>
            <w:r>
              <w:rPr>
                <w:b/>
                <w:bCs/>
              </w:rPr>
              <w:t>Abbildungsvorschlag P2 · RUGInnovation – drei Bilanzebenen</w:t>
            </w:r>
          </w:p>
          <w:p w14:paraId="6C4BE99C" w14:textId="77777777" w:rsidR="004E4CC2" w:rsidRDefault="00000000">
            <w:pPr>
              <w:pStyle w:val="Textkrper"/>
              <w:spacing w:before="16"/>
            </w:pPr>
            <w:r>
              <w:rPr>
                <w:b/>
                <w:bCs/>
              </w:rPr>
              <w:t>Plotly:</w:t>
            </w:r>
            <w:r>
              <w:t xml:space="preserve"> Betriebsenergie → inklusive MIV → THG-Lebenszyklusbewertung. Einmal mit tatsächlichem Datenstand und geeigneten Anmerkungen zu Sanierung, PV, Wärmeversorgung und Budget; für PDF statischer Export. Die drei Stufen nur zeigen, soweit dafür freigegebene Berechnungen vorliegen.</w:t>
            </w:r>
          </w:p>
        </w:tc>
      </w:tr>
    </w:tbl>
    <w:p w14:paraId="44251813" w14:textId="77777777" w:rsidR="004E4CC2" w:rsidRDefault="00000000">
      <w:pPr>
        <w:pStyle w:val="berschrift1"/>
      </w:pPr>
      <w:bookmarkStart w:id="258" w:name="sec-renovierungsfahrplan"/>
      <w:bookmarkStart w:id="259" w:name="_Toc243681321"/>
      <w:bookmarkEnd w:id="251"/>
      <w:bookmarkEnd w:id="256"/>
      <w:r>
        <w:t>16. Sanierungsfahrpläne und Entwicklungspfade</w:t>
      </w:r>
      <w:bookmarkEnd w:id="259"/>
    </w:p>
    <w:p w14:paraId="5E196C03" w14:textId="77777777" w:rsidR="004E4CC2" w:rsidRDefault="00000000">
      <w:pPr>
        <w:pStyle w:val="FirstParagraph"/>
      </w:pPr>
      <w:r>
        <w:t>„Auf dem Weg“ zum klimaneutralen Plus-Energie-Quartier</w:t>
      </w:r>
    </w:p>
    <w:p w14:paraId="1051AA80" w14:textId="77777777" w:rsidR="004E4CC2" w:rsidRDefault="00000000">
      <w:pPr>
        <w:pStyle w:val="Textkrper"/>
      </w:pPr>
      <w:r>
        <w:t xml:space="preserve">Bestandsquartiere werden häufig schrittweise saniert. Ein Renovierungsfahrplan kann deshalb mit einer Folge von Quartiersbewertungen verbunden werden. Die Darstellung </w:t>
      </w:r>
      <w:r>
        <w:lastRenderedPageBreak/>
        <w:t>zeigt den erwarteten Zustand nach jeder Etappe, die noch erforderlichen Maßnahmen und die bis dahin verursachten Emissionen.</w:t>
      </w:r>
    </w:p>
    <w:tbl>
      <w:tblPr>
        <w:tblStyle w:val="Table"/>
        <w:tblW w:w="0" w:type="auto"/>
        <w:tblInd w:w="164" w:type="dxa"/>
        <w:tblBorders>
          <w:left w:val="single" w:sz="24" w:space="0" w:color="EB9113"/>
        </w:tblBorders>
        <w:tblCellMar>
          <w:left w:w="0" w:type="dxa"/>
          <w:right w:w="0" w:type="dxa"/>
        </w:tblCellMar>
        <w:tblLook w:val="0000" w:firstRow="0" w:lastRow="0" w:firstColumn="0" w:lastColumn="0" w:noHBand="0" w:noVBand="0"/>
      </w:tblPr>
      <w:tblGrid>
        <w:gridCol w:w="9386"/>
      </w:tblGrid>
      <w:tr w:rsidR="004E4CC2" w14:paraId="24753317" w14:textId="77777777" w:rsidTr="004E4CC2">
        <w:trPr>
          <w:cantSplit/>
        </w:trPr>
        <w:tc>
          <w:tcPr>
            <w:tcW w:w="0" w:type="auto"/>
            <w:tcMar>
              <w:left w:w="144" w:type="dxa"/>
            </w:tcMar>
          </w:tcPr>
          <w:p w14:paraId="2806AA32" w14:textId="77777777" w:rsidR="004E4CC2" w:rsidRDefault="00000000">
            <w:pPr>
              <w:pStyle w:val="Textkrper"/>
              <w:spacing w:before="16" w:after="64"/>
            </w:pPr>
            <w:r>
              <w:rPr>
                <w:b/>
                <w:bCs/>
              </w:rPr>
              <w:t>Entwicklungsperspektive – keine zusätzliche Deklarationsstufe</w:t>
            </w:r>
          </w:p>
          <w:p w14:paraId="22BC14C3" w14:textId="77777777" w:rsidR="004E4CC2" w:rsidRDefault="00000000">
            <w:pPr>
              <w:pStyle w:val="Textkrper"/>
              <w:spacing w:before="16" w:after="16"/>
            </w:pPr>
            <w:r>
              <w:t xml:space="preserve">Der hier beschriebene Ansatz „Auf dem Weg“ ist </w:t>
            </w:r>
            <w:r>
              <w:rPr>
                <w:b/>
                <w:bCs/>
              </w:rPr>
              <w:t>noch kein verbindlich operationalisierter klimaaktiv-Deklarationsweg</w:t>
            </w:r>
            <w:r>
              <w:t>. Kriterien für Etappen, zulässige Übergangsfristen und Nachweise sind gesondert festzulegen.</w:t>
            </w:r>
          </w:p>
        </w:tc>
      </w:tr>
    </w:tbl>
    <w:p w14:paraId="3F35C050" w14:textId="77777777" w:rsidR="004E4CC2" w:rsidRDefault="00000000">
      <w:pPr>
        <w:pStyle w:val="berschrift2"/>
      </w:pPr>
      <w:bookmarkStart w:id="260" w:name="maßnahmenfolge-als-planungsentscheidung"/>
      <w:bookmarkStart w:id="261" w:name="_Toc243681322"/>
      <w:r>
        <w:t>16.1 Maßnahmenfolge als Planungsentscheidung</w:t>
      </w:r>
      <w:bookmarkEnd w:id="261"/>
    </w:p>
    <w:p w14:paraId="0C1F976E" w14:textId="77777777" w:rsidR="004E4CC2" w:rsidRDefault="00000000">
      <w:pPr>
        <w:pStyle w:val="FirstParagraph"/>
      </w:pPr>
      <w:r>
        <w:t>Ein Fahrplan kann beispielsweise zuerst die Wärmeversorgung, anschließend die Gebäudehülle und danach die lokale Erzeugung verändern – oder eine andere Reihenfolge wählen. Dabei sind technische Abhängigkeiten zu beachten: Erneuerte Wärmeerzeuger müssen zum späteren Leistungsbedarf und zu den Systemtemperaturen passen. Umgekehrt kann das Warten auf eine umfassende Sanierung fortgesetzte Betriebsemissionen bedeuten.</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9386"/>
      </w:tblGrid>
      <w:tr w:rsidR="004E4CC2" w14:paraId="0C2AD789" w14:textId="77777777" w:rsidTr="004E4CC2">
        <w:trPr>
          <w:cantSplit/>
        </w:trPr>
        <w:tc>
          <w:tcPr>
            <w:tcW w:w="0" w:type="auto"/>
            <w:tcMar>
              <w:left w:w="144" w:type="dxa"/>
            </w:tcMar>
          </w:tcPr>
          <w:p w14:paraId="33010CB0" w14:textId="77777777" w:rsidR="004E4CC2" w:rsidRDefault="00000000">
            <w:pPr>
              <w:pStyle w:val="Textkrper"/>
              <w:spacing w:before="16" w:after="64"/>
            </w:pPr>
            <w:r>
              <w:rPr>
                <w:b/>
                <w:bCs/>
              </w:rPr>
              <w:t>Abbildungsvorschlag F1 · Etappenfahrplan</w:t>
            </w:r>
          </w:p>
          <w:p w14:paraId="4A50787B" w14:textId="77777777" w:rsidR="004E4CC2" w:rsidRDefault="00000000">
            <w:pPr>
              <w:pStyle w:val="Textkrper"/>
              <w:spacing w:before="16"/>
            </w:pPr>
            <w:r>
              <w:rPr>
                <w:b/>
                <w:bCs/>
              </w:rPr>
              <w:t>Zeitachse:</w:t>
            </w:r>
            <w:r>
              <w:t xml:space="preserve"> Ausgangszustand → Hüllensanierung → Umstellung Wärmeversorgung → PV-/Flexibilitätsausbau, jeweils mit Zustand und bilanzieller Wirkung. Die Reihenfolge ist ein </w:t>
            </w:r>
            <w:r>
              <w:rPr>
                <w:b/>
                <w:bCs/>
              </w:rPr>
              <w:t>illustratives Beispiel</w:t>
            </w:r>
            <w:r>
              <w:t>, kein vorgeschriebener Pfad.</w:t>
            </w:r>
          </w:p>
        </w:tc>
      </w:tr>
    </w:tbl>
    <w:p w14:paraId="629B55DE" w14:textId="77777777" w:rsidR="004E4CC2" w:rsidRDefault="00000000">
      <w:pPr>
        <w:pStyle w:val="berschrift2"/>
      </w:pPr>
      <w:bookmarkStart w:id="262" w:name="X33a75b9778a227426797d5e1bed1ceca23a4b0e"/>
      <w:bookmarkStart w:id="263" w:name="_Toc243681323"/>
      <w:bookmarkEnd w:id="260"/>
      <w:r>
        <w:t>16.2 Emissionen entstehen zu unterschiedlichen Zeitpunkten</w:t>
      </w:r>
      <w:bookmarkEnd w:id="263"/>
    </w:p>
    <w:p w14:paraId="7C3A2134" w14:textId="77777777" w:rsidR="004E4CC2" w:rsidRDefault="00000000">
      <w:pPr>
        <w:pStyle w:val="FirstParagraph"/>
      </w:pPr>
      <w:r>
        <w:t>Bauliche Maßnahmen beanspruchen das THG-Budget zum Zeitpunkt ihres Anfalls; Betrieb und Mobilität verursachen im gewählten Szenario jährliche Beiträge. Schematisch ergibt sich innerhalb des Bewertungszeitraums:</w:t>
      </w:r>
    </w:p>
    <w:bookmarkStart w:id="264" w:name="eq-etappenbudget"/>
    <w:p w14:paraId="5D18B5E2"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G</m:t>
              </m:r>
            </m:e>
            <m:sub>
              <m:r>
                <m:rPr>
                  <m:sty m:val="p"/>
                </m:rPr>
                <w:rPr>
                  <w:rFonts w:ascii="Cambria Math" w:hAnsi="Cambria Math"/>
                </w:rPr>
                <m:t>kumuliert</m:t>
              </m:r>
            </m:sub>
          </m:sSub>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r>
                <w:rPr>
                  <w:rFonts w:ascii="Cambria Math" w:hAnsi="Cambria Math"/>
                </w:rPr>
                <m:t>t</m:t>
              </m:r>
            </m:sub>
            <m:sup>
              <m:r>
                <w:rPr>
                  <w:rFonts w:ascii="Cambria Math" w:hAnsi="Cambria Math"/>
                </w:rPr>
                <m:t>​</m:t>
              </m:r>
            </m:sup>
            <m:e>
              <m:sSub>
                <m:sSubPr>
                  <m:ctrlPr>
                    <w:rPr>
                      <w:rFonts w:ascii="Cambria Math" w:hAnsi="Cambria Math"/>
                    </w:rPr>
                  </m:ctrlPr>
                </m:sSubPr>
                <m:e>
                  <m:r>
                    <w:rPr>
                      <w:rFonts w:ascii="Cambria Math" w:hAnsi="Cambria Math"/>
                    </w:rPr>
                    <m:t>G</m:t>
                  </m:r>
                </m:e>
                <m:sub>
                  <m:r>
                    <m:rPr>
                      <m:sty m:val="p"/>
                    </m:rPr>
                    <w:rPr>
                      <w:rFonts w:ascii="Cambria Math" w:hAnsi="Cambria Math"/>
                    </w:rPr>
                    <m:t>baulich,</m:t>
                  </m:r>
                  <m:r>
                    <w:rPr>
                      <w:rFonts w:ascii="Cambria Math" w:hAnsi="Cambria Math"/>
                    </w:rPr>
                    <m:t>j</m:t>
                  </m:r>
                </m:sub>
              </m:sSub>
            </m:e>
          </m:nary>
          <m:r>
            <m:rPr>
              <m:sty m:val="p"/>
            </m:rPr>
            <w:rPr>
              <w:rFonts w:ascii="Cambria Math" w:hAnsi="Cambria Math"/>
            </w:rPr>
            <m:t>+</m:t>
          </m:r>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r>
                <w:rPr>
                  <w:rFonts w:ascii="Cambria Math" w:hAnsi="Cambria Math"/>
                </w:rPr>
                <m:t>2025</m:t>
              </m:r>
            </m:sub>
            <m:sup>
              <m:r>
                <w:rPr>
                  <w:rFonts w:ascii="Cambria Math" w:hAnsi="Cambria Math"/>
                </w:rPr>
                <m:t>t</m:t>
              </m:r>
            </m:sup>
            <m:e>
              <m:sSub>
                <m:sSubPr>
                  <m:ctrlPr>
                    <w:rPr>
                      <w:rFonts w:ascii="Cambria Math" w:hAnsi="Cambria Math"/>
                    </w:rPr>
                  </m:ctrlPr>
                </m:sSubPr>
                <m:e>
                  <m:r>
                    <w:rPr>
                      <w:rFonts w:ascii="Cambria Math" w:hAnsi="Cambria Math"/>
                    </w:rPr>
                    <m:t>G</m:t>
                  </m:r>
                </m:e>
                <m:sub>
                  <m:r>
                    <m:rPr>
                      <m:sty m:val="p"/>
                    </m:rPr>
                    <w:rPr>
                      <w:rFonts w:ascii="Cambria Math" w:hAnsi="Cambria Math"/>
                    </w:rPr>
                    <m:t>Betrieb+MIV,</m:t>
                  </m:r>
                  <m:r>
                    <w:rPr>
                      <w:rFonts w:ascii="Cambria Math" w:hAnsi="Cambria Math"/>
                    </w:rPr>
                    <m:t>y</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16.1</m:t>
          </m:r>
          <m:r>
            <m:rPr>
              <m:sty m:val="p"/>
            </m:rPr>
            <w:rPr>
              <w:rFonts w:ascii="Cambria Math" w:hAnsi="Cambria Math"/>
            </w:rPr>
            <m:t>)</m:t>
          </m:r>
        </m:oMath>
      </m:oMathPara>
      <w:bookmarkEnd w:id="264"/>
    </w:p>
    <w:p w14:paraId="180691D2" w14:textId="77777777" w:rsidR="004E4CC2" w:rsidRDefault="00000000">
      <w:pPr>
        <w:pStyle w:val="FirstParagraph"/>
      </w:pPr>
      <w:r>
        <w:t xml:space="preserve">Alle Beiträge sind in einer gemeinsamen Einheit und auf dieselbe Quartiersgrenze zu beziehen. Der für eine Etappe erreichte Betriebszustand allein belegt nicht, dass das kumulierte Budget über den gesamten Bewertungszeitraum bis 2075 eingehalten wird; hierfür gelten die Regeln aus </w:t>
      </w:r>
      <w:hyperlink w:anchor="sec-bilanzregeln">
        <w:r>
          <w:rPr>
            <w:rStyle w:val="Hyperlink"/>
          </w:rPr>
          <w:t>Kapitel 11</w:t>
        </w:r>
      </w:hyperlink>
      <w:r>
        <w:t>.</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9386"/>
      </w:tblGrid>
      <w:tr w:rsidR="004E4CC2" w14:paraId="1E64E3A1" w14:textId="77777777" w:rsidTr="004E4CC2">
        <w:trPr>
          <w:cantSplit/>
        </w:trPr>
        <w:tc>
          <w:tcPr>
            <w:tcW w:w="0" w:type="auto"/>
            <w:tcMar>
              <w:left w:w="144" w:type="dxa"/>
            </w:tcMar>
          </w:tcPr>
          <w:p w14:paraId="4F14DC49" w14:textId="77777777" w:rsidR="004E4CC2" w:rsidRDefault="00000000">
            <w:pPr>
              <w:pStyle w:val="Textkrper"/>
              <w:spacing w:before="16" w:after="64"/>
            </w:pPr>
            <w:r>
              <w:rPr>
                <w:b/>
                <w:bCs/>
              </w:rPr>
              <w:t>Abbildungsvorschlag F2 · Kumulierte THG-Emissionen</w:t>
            </w:r>
          </w:p>
          <w:p w14:paraId="6E53C2CB" w14:textId="77777777" w:rsidR="004E4CC2" w:rsidRDefault="00000000">
            <w:pPr>
              <w:pStyle w:val="Textkrper"/>
              <w:spacing w:before="16"/>
            </w:pPr>
            <w:r>
              <w:rPr>
                <w:b/>
                <w:bCs/>
              </w:rPr>
              <w:t>Interaktiver Plot:</w:t>
            </w:r>
            <w:r>
              <w:t xml:space="preserve"> Jährliche Betriebs- und Mobilitätsemissionen, bauliche Emissionssprünge bei Maßnahmen und kumulierte Summe gegenüber dem Budget. Etappen als anklickbare Marker; statische PDF-Fassung ergänzen.</w:t>
            </w:r>
          </w:p>
        </w:tc>
      </w:tr>
    </w:tbl>
    <w:p w14:paraId="1F7D50F6" w14:textId="77777777" w:rsidR="004E4CC2" w:rsidRDefault="00000000">
      <w:pPr>
        <w:pStyle w:val="berschrift2"/>
      </w:pPr>
      <w:bookmarkStart w:id="265" w:name="welche-annahmen-sind-besonders-kritisch"/>
      <w:bookmarkStart w:id="266" w:name="_Toc243681324"/>
      <w:bookmarkEnd w:id="262"/>
      <w:r>
        <w:t>16.3 Welche Annahmen sind besonders kritisch?</w:t>
      </w:r>
      <w:bookmarkEnd w:id="266"/>
    </w:p>
    <w:p w14:paraId="2597AD0F" w14:textId="77777777" w:rsidR="004E4CC2" w:rsidRDefault="00000000">
      <w:pPr>
        <w:pStyle w:val="FirstParagraph"/>
      </w:pPr>
      <w:r>
        <w:t xml:space="preserve">Die Emissionen späterer Baustoffe und Bauweisen können sich durch Veränderungen in der Produktion und im Materialeinsatz verringern. Eine solche Entlastung ist jedoch nur mit </w:t>
      </w:r>
      <w:r>
        <w:lastRenderedPageBreak/>
        <w:t>einem dokumentierten Szenario und passenden Ökobilanzdaten anzusetzen. Europäische Szenarioarbeiten liefern dafür methodische Anknüpfungspunkte (Le Den u. a. 2024).</w:t>
      </w:r>
    </w:p>
    <w:p w14:paraId="46D6DB0F" w14:textId="77777777" w:rsidR="004E4CC2" w:rsidRDefault="00000000">
      <w:pPr>
        <w:pStyle w:val="Textkrper"/>
      </w:pPr>
      <w:r>
        <w:t>Bei einer Gegenüberstellung unterschiedlicher Pfade sind insbesondere Zeitpunkt und Umfang der Eingriffe, technische Nutzungsdauern, Energieversorgung, Mobilität und verwendete Dekarbonisierungsannahmen offenzulegen.</w:t>
      </w:r>
    </w:p>
    <w:tbl>
      <w:tblPr>
        <w:tblStyle w:val="Table"/>
        <w:tblW w:w="0" w:type="auto"/>
        <w:tblInd w:w="164" w:type="dxa"/>
        <w:tblBorders>
          <w:left w:val="single" w:sz="24" w:space="0" w:color="00A047"/>
        </w:tblBorders>
        <w:tblCellMar>
          <w:left w:w="0" w:type="dxa"/>
          <w:right w:w="0" w:type="dxa"/>
        </w:tblCellMar>
        <w:tblLook w:val="0000" w:firstRow="0" w:lastRow="0" w:firstColumn="0" w:lastColumn="0" w:noHBand="0" w:noVBand="0"/>
      </w:tblPr>
      <w:tblGrid>
        <w:gridCol w:w="9386"/>
      </w:tblGrid>
      <w:tr w:rsidR="004E4CC2" w14:paraId="523EA830" w14:textId="77777777" w:rsidTr="004E4CC2">
        <w:trPr>
          <w:cantSplit/>
        </w:trPr>
        <w:tc>
          <w:tcPr>
            <w:tcW w:w="0" w:type="auto"/>
            <w:tcMar>
              <w:left w:w="144" w:type="dxa"/>
            </w:tcMar>
          </w:tcPr>
          <w:p w14:paraId="3B9EBAA5" w14:textId="77777777" w:rsidR="004E4CC2" w:rsidRDefault="00000000">
            <w:pPr>
              <w:pStyle w:val="Textkrper"/>
              <w:spacing w:before="16" w:after="64"/>
            </w:pPr>
            <w:r>
              <w:rPr>
                <w:b/>
                <w:bCs/>
              </w:rPr>
              <w:t>Abbildungsvorschlag F3 · Pfadvergleich</w:t>
            </w:r>
          </w:p>
          <w:p w14:paraId="536B30DE" w14:textId="77777777" w:rsidR="004E4CC2" w:rsidRDefault="00000000">
            <w:pPr>
              <w:pStyle w:val="Textkrper"/>
              <w:spacing w:before="16" w:after="16"/>
            </w:pPr>
            <w:r>
              <w:rPr>
                <w:b/>
                <w:bCs/>
              </w:rPr>
              <w:t>Variantenvergleich:</w:t>
            </w:r>
            <w:r>
              <w:t xml:space="preserve"> Frühe versus gestaffelte Sanierung: kumuliertes THG-Ergebnis, verbleibender Budgetspielraum und Energiebedarf. Keine vorgetäuschte Prognosesicherheit; alle Werte als Szenarioannahmen ausweisen.</w:t>
            </w:r>
          </w:p>
        </w:tc>
      </w:tr>
    </w:tbl>
    <w:p w14:paraId="48C716B9" w14:textId="77777777" w:rsidR="004E4CC2" w:rsidRDefault="00000000">
      <w:pPr>
        <w:pStyle w:val="Textkrper"/>
      </w:pPr>
      <w:r>
        <w:t xml:space="preserve">Die Diskussion um Etappen ergänzt die Nachweisführung aus </w:t>
      </w:r>
      <w:hyperlink w:anchor="sec-anwendung">
        <w:r>
          <w:rPr>
            <w:rStyle w:val="Hyperlink"/>
          </w:rPr>
          <w:t>Kapitel 13</w:t>
        </w:r>
      </w:hyperlink>
      <w:r>
        <w:t xml:space="preserve"> und die Darstellung von Projektergebnissen aus </w:t>
      </w:r>
      <w:hyperlink w:anchor="sec-ergebnisse">
        <w:r>
          <w:rPr>
            <w:rStyle w:val="Hyperlink"/>
          </w:rPr>
          <w:t>Kapitel 14</w:t>
        </w:r>
      </w:hyperlink>
      <w:r>
        <w:t xml:space="preserve">. Die normative Weiterentwicklung ist in </w:t>
      </w:r>
      <w:hyperlink w:anchor="sec-fortschreibung">
        <w:r>
          <w:rPr>
            <w:rStyle w:val="Hyperlink"/>
          </w:rPr>
          <w:t>Kapitel 12</w:t>
        </w:r>
      </w:hyperlink>
      <w:r>
        <w:t xml:space="preserve"> eingeordnet.</w:t>
      </w:r>
    </w:p>
    <w:p w14:paraId="18BF9685" w14:textId="77777777" w:rsidR="004E4CC2" w:rsidRDefault="00000000">
      <w:pPr>
        <w:pStyle w:val="berschrift1"/>
      </w:pPr>
      <w:bookmarkStart w:id="267" w:name="literatur"/>
      <w:bookmarkStart w:id="268" w:name="_Toc243681325"/>
      <w:bookmarkEnd w:id="258"/>
      <w:bookmarkEnd w:id="265"/>
      <w:r>
        <w:t>Literatur</w:t>
      </w:r>
      <w:bookmarkEnd w:id="268"/>
    </w:p>
    <w:p w14:paraId="08FE2198" w14:textId="77777777" w:rsidR="004E4CC2" w:rsidRDefault="00000000">
      <w:pPr>
        <w:pStyle w:val="Literaturverzeichnis"/>
      </w:pPr>
      <w:bookmarkStart w:id="269" w:name="ref-bpie2024benchmarks"/>
      <w:bookmarkStart w:id="270" w:name="refs"/>
      <w:r>
        <w:t xml:space="preserve">BPIE. 2024. </w:t>
      </w:r>
      <w:r>
        <w:rPr>
          <w:i/>
          <w:iCs/>
        </w:rPr>
        <w:t>How to establish Whole Life Carbon benchmarks: Insights and lessons learned from emerging approaches in Ireland, Czechia and Spain</w:t>
      </w:r>
      <w:r>
        <w:t xml:space="preserve">. </w:t>
      </w:r>
      <w:hyperlink r:id="rId54">
        <w:r>
          <w:rPr>
            <w:rStyle w:val="Hyperlink"/>
          </w:rPr>
          <w:t>https://www.bpie.eu/publication/how-to-establish-whole-life-carbon-benchmarks-insights-and-lessons-learned-from-emerging-approaches-in-ireland-czechia-and-spain/</w:t>
        </w:r>
      </w:hyperlink>
      <w:r>
        <w:t>.</w:t>
      </w:r>
    </w:p>
    <w:p w14:paraId="185B7D51" w14:textId="77777777" w:rsidR="004E4CC2" w:rsidRDefault="00000000">
      <w:pPr>
        <w:pStyle w:val="Literaturverzeichnis"/>
      </w:pPr>
      <w:bookmarkStart w:id="271" w:name="ref-cen2026en15978"/>
      <w:bookmarkEnd w:id="269"/>
      <w:r>
        <w:t xml:space="preserve">CEN-CENELEC. 2026. </w:t>
      </w:r>
      <w:r>
        <w:rPr>
          <w:i/>
          <w:iCs/>
        </w:rPr>
        <w:t>EN 15978:2026 – A Harmonized Method to Assess the Environmental Performance of Buildings</w:t>
      </w:r>
      <w:r>
        <w:t xml:space="preserve">. </w:t>
      </w:r>
      <w:hyperlink r:id="rId55">
        <w:r>
          <w:rPr>
            <w:rStyle w:val="Hyperlink"/>
          </w:rPr>
          <w:t>https://www.cencenelec.eu/news-events/news/2026/en-in-the-spotlight/2026-04-17-en-15978-2026/</w:t>
        </w:r>
      </w:hyperlink>
      <w:r>
        <w:t>.</w:t>
      </w:r>
    </w:p>
    <w:p w14:paraId="08E34FA4" w14:textId="77777777" w:rsidR="004E4CC2" w:rsidRDefault="00000000">
      <w:pPr>
        <w:pStyle w:val="Literaturverzeichnis"/>
      </w:pPr>
      <w:bookmarkStart w:id="272" w:name="ref-Fellner2020Mikroquartiere"/>
      <w:bookmarkEnd w:id="271"/>
      <w:r>
        <w:t xml:space="preserve">Fellner, M., T. Zelger, J. Leibold, u. a. 2020. </w:t>
      </w:r>
      <w:r>
        <w:rPr>
          <w:i/>
          <w:iCs/>
        </w:rPr>
        <w:t>Energie- und lebensqualitätsoptimierte Planung und Modernisierung von Smart City-Quartieren (Smart City MIKROQUARTIERE)</w:t>
      </w:r>
      <w:r>
        <w:t xml:space="preserve">. Berichte aus Energie- und Umweltforschung 26/2020. Bundesministerium für Klimaschutz, Umwelt, Energie, Mobilität, Innovation und Technologie (BMK). </w:t>
      </w:r>
      <w:hyperlink r:id="rId56">
        <w:r>
          <w:rPr>
            <w:rStyle w:val="Hyperlink"/>
          </w:rPr>
          <w:t>https://nachhaltigwirtschaften.at/resources/sdz_pdf/schriftenreihe-2020-26-smart-city-mikroquartiere.pdf</w:t>
        </w:r>
      </w:hyperlink>
      <w:r>
        <w:t>.</w:t>
      </w:r>
    </w:p>
    <w:p w14:paraId="1372F76F" w14:textId="77777777" w:rsidR="004E4CC2" w:rsidRDefault="00000000">
      <w:pPr>
        <w:pStyle w:val="Literaturverzeichnis"/>
      </w:pPr>
      <w:bookmarkStart w:id="273" w:name="ref-leden2024roadmap"/>
      <w:bookmarkEnd w:id="272"/>
      <w:r>
        <w:t xml:space="preserve">Le Den, Xavier, Jacob Steinmann, Attila Kovacs, u. a. 2024. </w:t>
      </w:r>
      <w:r>
        <w:rPr>
          <w:i/>
          <w:iCs/>
        </w:rPr>
        <w:t>Supporting the development of a roadmap for the reduction of whole life carbon of buildings: Final technical report</w:t>
      </w:r>
      <w:r>
        <w:t xml:space="preserve">. European Commission, Directorate-General for Environment. </w:t>
      </w:r>
      <w:hyperlink r:id="rId57">
        <w:r>
          <w:rPr>
            <w:rStyle w:val="Hyperlink"/>
          </w:rPr>
          <w:t>https://doi.org/10.2779/849252</w:t>
        </w:r>
      </w:hyperlink>
      <w:r>
        <w:t>.</w:t>
      </w:r>
    </w:p>
    <w:p w14:paraId="3C8B2149" w14:textId="77777777" w:rsidR="004E4CC2" w:rsidRDefault="00000000">
      <w:pPr>
        <w:pStyle w:val="Literaturverzeichnis"/>
      </w:pPr>
      <w:bookmarkStart w:id="274" w:name="ref-schneider2026thesis"/>
      <w:bookmarkEnd w:id="273"/>
      <w:r>
        <w:t>Schneider, Simon. 2026. „Quantitative Positive Energy District Definition, Contextualization and Assessment“. Phdthesis, Universidade de Trás-os-Montes e Alto Douro.</w:t>
      </w:r>
    </w:p>
    <w:p w14:paraId="4088BDB1" w14:textId="77777777" w:rsidR="004E4CC2" w:rsidRDefault="00000000">
      <w:pPr>
        <w:pStyle w:val="Literaturverzeichnis"/>
      </w:pPr>
      <w:bookmarkStart w:id="275" w:name="ref-schneider_annual_2025"/>
      <w:bookmarkEnd w:id="274"/>
      <w:r>
        <w:t xml:space="preserve">Schneider, Simon, und José Baptista. 2025. „Annual Hourly E-Mobility Modelling and Assessment in Climate Neutral Positive Energy Districts“. </w:t>
      </w:r>
      <w:r>
        <w:rPr>
          <w:i/>
          <w:iCs/>
        </w:rPr>
        <w:t>2025 IEEE International Conference on Environment and Electrical Engineering and 2025 IEEE Industrial and Commercial Power Systems Europe (EEEIC / I&amp;CPS Europe)</w:t>
      </w:r>
      <w:r>
        <w:t xml:space="preserve">, Juli, 1–7. </w:t>
      </w:r>
      <w:hyperlink r:id="rId58">
        <w:r>
          <w:rPr>
            <w:rStyle w:val="Hyperlink"/>
          </w:rPr>
          <w:t>https://doi.org/10.1109/EEEIC/ICPSEurope64998.2025.11169136</w:t>
        </w:r>
      </w:hyperlink>
      <w:r>
        <w:t>.</w:t>
      </w:r>
    </w:p>
    <w:p w14:paraId="58E216C7" w14:textId="77777777" w:rsidR="004E4CC2" w:rsidRDefault="00000000">
      <w:pPr>
        <w:pStyle w:val="Literaturverzeichnis"/>
      </w:pPr>
      <w:bookmarkStart w:id="276" w:name="ref-schneider2025declaration"/>
      <w:bookmarkEnd w:id="275"/>
      <w:r>
        <w:lastRenderedPageBreak/>
        <w:t xml:space="preserve">Schneider, Simon, Thomas Zelger, Raphael Drexel, Manfred Schindler, Paul Krainer, und José Baptista. 2025. „Declaration-Ready Climate-Neutral PEDs: Budget-Based, Hourly LCA Including Mobility and Flexibility“. </w:t>
      </w:r>
      <w:r>
        <w:rPr>
          <w:i/>
          <w:iCs/>
        </w:rPr>
        <w:t>Designs</w:t>
      </w:r>
      <w:r>
        <w:t xml:space="preserve"> 9 (6): 123. </w:t>
      </w:r>
      <w:hyperlink r:id="rId59">
        <w:r>
          <w:rPr>
            <w:rStyle w:val="Hyperlink"/>
          </w:rPr>
          <w:t>https://doi.org/10.3390/designs9060123</w:t>
        </w:r>
      </w:hyperlink>
      <w:r>
        <w:t>.</w:t>
      </w:r>
    </w:p>
    <w:p w14:paraId="7490A436" w14:textId="77777777" w:rsidR="004E4CC2" w:rsidRDefault="00000000">
      <w:pPr>
        <w:pStyle w:val="Literaturverzeichnis"/>
      </w:pPr>
      <w:bookmarkStart w:id="277" w:name="ref-schneider2020lokal"/>
      <w:bookmarkEnd w:id="276"/>
      <w:r>
        <w:t xml:space="preserve">Schneider, Simon, Thomas Zelger, und Lisa Klauda. 2020. „Überlegungen zur Frage, welcher Anteil erneuerbarer Energie 2050 in Österreich lokal aufgebracht werden muss“. </w:t>
      </w:r>
      <w:r>
        <w:rPr>
          <w:i/>
          <w:iCs/>
        </w:rPr>
        <w:t>16. Symposium Energieinnovation</w:t>
      </w:r>
      <w:r>
        <w:t xml:space="preserve"> (Graz, Österreich), 1–10.</w:t>
      </w:r>
    </w:p>
    <w:p w14:paraId="6BF8963D" w14:textId="77777777" w:rsidR="004E4CC2" w:rsidRDefault="00000000">
      <w:pPr>
        <w:pStyle w:val="Literaturverzeichnis"/>
      </w:pPr>
      <w:bookmarkStart w:id="278" w:name="ref-klimaaktiv2026peq"/>
      <w:bookmarkEnd w:id="277"/>
      <w:r>
        <w:t xml:space="preserve">Schneider, Simon, Thomas Zelger, und Oskar Mair am Tinkhof. 2026. </w:t>
      </w:r>
      <w:r>
        <w:rPr>
          <w:i/>
          <w:iCs/>
        </w:rPr>
        <w:t>Plus-Energie-Quartiere: Effizient, erneuerbar und flexibel versorgt mit dem klimaaktiv Standard</w:t>
      </w:r>
      <w:r>
        <w:t>. Bundesministerium für Land- und Forstwirtschaft, Klima- und Umweltschutz, Regionen und Wasserwirtschaft.</w:t>
      </w:r>
    </w:p>
    <w:p w14:paraId="3AA88E48" w14:textId="77777777" w:rsidR="004E4CC2" w:rsidRDefault="00000000">
      <w:pPr>
        <w:pStyle w:val="Literaturverzeichnis"/>
      </w:pPr>
      <w:bookmarkStart w:id="279" w:name="ref-schneider2023context"/>
      <w:bookmarkEnd w:id="278"/>
      <w:r>
        <w:t xml:space="preserve">Schneider, Simon, Thomas Zelger, David Sengl, und José Baptista. 2023. „A Quantitative Positive Energy District Definition with Contextual Targets“. </w:t>
      </w:r>
      <w:r>
        <w:rPr>
          <w:i/>
          <w:iCs/>
        </w:rPr>
        <w:t>Buildings</w:t>
      </w:r>
      <w:r>
        <w:t xml:space="preserve"> 13 (5): 1210. </w:t>
      </w:r>
      <w:hyperlink r:id="rId60">
        <w:r>
          <w:rPr>
            <w:rStyle w:val="Hyperlink"/>
          </w:rPr>
          <w:t>https://doi.org/10.3390/buildings13051210</w:t>
        </w:r>
      </w:hyperlink>
      <w:r>
        <w:t>.</w:t>
      </w:r>
    </w:p>
    <w:p w14:paraId="6F673E30" w14:textId="77777777" w:rsidR="004E4CC2" w:rsidRDefault="00000000">
      <w:pPr>
        <w:pStyle w:val="Literaturverzeichnis"/>
      </w:pPr>
      <w:bookmarkStart w:id="280" w:name="ref-Schoefmann2020Zukunftsquartier"/>
      <w:bookmarkEnd w:id="279"/>
      <w:r>
        <w:t xml:space="preserve">Schöfmann, Petra, Thomas Zelger, Nina Bartlmä, Simon Schneider, Johannes Leibold, und Daniel Bell. 2020. </w:t>
      </w:r>
      <w:r>
        <w:rPr>
          <w:i/>
          <w:iCs/>
        </w:rPr>
        <w:t>Zukunftsquartier – Weg zum Plus-Energie-Quartier in Wien</w:t>
      </w:r>
      <w:r>
        <w:t xml:space="preserve">. Berichte aus Energie- und Umweltforschung 11/2020. Bundesministerium für Klimaschutz, Umwelt, Energie, Mobilität, Innovation und Technologie (BMK). </w:t>
      </w:r>
      <w:hyperlink r:id="rId61">
        <w:r>
          <w:rPr>
            <w:rStyle w:val="Hyperlink"/>
          </w:rPr>
          <w:t>https://nachhaltigwirtschaften.at/resources/sdz_pdf/schriftenreihe-2020-11-zukunftsquartier.pdf</w:t>
        </w:r>
      </w:hyperlink>
      <w:r>
        <w:t>.</w:t>
      </w:r>
    </w:p>
    <w:p w14:paraId="66C9B610" w14:textId="77777777" w:rsidR="004E4CC2" w:rsidRDefault="00000000">
      <w:pPr>
        <w:pStyle w:val="Literaturverzeichnis"/>
      </w:pPr>
      <w:bookmarkStart w:id="281" w:name="ref-streicher2010energieautarkie"/>
      <w:bookmarkEnd w:id="280"/>
      <w:r>
        <w:t xml:space="preserve">Streicher, Wolfgang, Hans Schnitzer, Michaela Titz, u. a. 2010. </w:t>
      </w:r>
      <w:r>
        <w:rPr>
          <w:i/>
          <w:iCs/>
        </w:rPr>
        <w:t>Energieautarkie für Österreich 2050: Feasibility Study Endbericht</w:t>
      </w:r>
      <w:r>
        <w:t>. Universität Innsbruck und Projektkonsortium, im Auftrag des Klima- und Energiefonds.</w:t>
      </w:r>
    </w:p>
    <w:p w14:paraId="635A831D" w14:textId="77777777" w:rsidR="004E4CC2" w:rsidRDefault="00000000">
      <w:pPr>
        <w:pStyle w:val="Literaturverzeichnis"/>
      </w:pPr>
      <w:bookmarkStart w:id="282" w:name="ref-uba2023szenarien"/>
      <w:bookmarkEnd w:id="281"/>
      <w:r>
        <w:t xml:space="preserve">Umweltbundesamt. 2023a. </w:t>
      </w:r>
      <w:r>
        <w:rPr>
          <w:i/>
          <w:iCs/>
        </w:rPr>
        <w:t>Energie- und Treibhausgasszenarien 2023: WEM, WAM, Transition</w:t>
      </w:r>
      <w:r>
        <w:t xml:space="preserve">. REP-0882. Reports. Umweltbundesamt. </w:t>
      </w:r>
      <w:hyperlink r:id="rId62">
        <w:r>
          <w:rPr>
            <w:rStyle w:val="Hyperlink"/>
          </w:rPr>
          <w:t>https://www.umweltbundesamt.at/fileadmin/site/publikationen/rep0882.pdf</w:t>
        </w:r>
      </w:hyperlink>
      <w:r>
        <w:t>.</w:t>
      </w:r>
    </w:p>
    <w:p w14:paraId="2264E0AE" w14:textId="77777777" w:rsidR="004E4CC2" w:rsidRDefault="00000000">
      <w:pPr>
        <w:pStyle w:val="Literaturverzeichnis"/>
      </w:pPr>
      <w:bookmarkStart w:id="283" w:name="ref-uba2023zusammenfassung"/>
      <w:bookmarkEnd w:id="282"/>
      <w:r>
        <w:t xml:space="preserve">Umweltbundesamt. 2023b. </w:t>
      </w:r>
      <w:r>
        <w:rPr>
          <w:i/>
          <w:iCs/>
        </w:rPr>
        <w:t>Energie- und Treibhausgasszenarien 2023: WEM, WAM und Transition. Barrierefreie Zusammenfassung</w:t>
      </w:r>
      <w:r>
        <w:t xml:space="preserve">. REP-0882. Umweltbundesamt. </w:t>
      </w:r>
      <w:hyperlink r:id="rId63">
        <w:r>
          <w:rPr>
            <w:rStyle w:val="Hyperlink"/>
          </w:rPr>
          <w:t>https://www.umweltbundesamt.at/fileadmin/site/publikationen/rep0882_bfz.pdf</w:t>
        </w:r>
      </w:hyperlink>
      <w:r>
        <w:t>.</w:t>
      </w:r>
    </w:p>
    <w:p w14:paraId="130C3154" w14:textId="77777777" w:rsidR="004E4CC2" w:rsidRDefault="00000000">
      <w:pPr>
        <w:pStyle w:val="Literaturverzeichnis"/>
      </w:pPr>
      <w:bookmarkStart w:id="284" w:name="ref-uba2023transition"/>
      <w:bookmarkEnd w:id="283"/>
      <w:r>
        <w:t xml:space="preserve">Umweltbundesamt. 2024. </w:t>
      </w:r>
      <w:r>
        <w:rPr>
          <w:i/>
          <w:iCs/>
        </w:rPr>
        <w:t>Energie- und Treibhausgas-Szenario Transition 2040</w:t>
      </w:r>
      <w:r>
        <w:t xml:space="preserve">. REP-0880. Reports. Umweltbundesamt. </w:t>
      </w:r>
      <w:hyperlink r:id="rId64">
        <w:r>
          <w:rPr>
            <w:rStyle w:val="Hyperlink"/>
          </w:rPr>
          <w:t>https://www.umweltbundesamt.at/fileadmin/site/publikationen/rep0880.pdf</w:t>
        </w:r>
      </w:hyperlink>
      <w:r>
        <w:t>.</w:t>
      </w:r>
    </w:p>
    <w:p w14:paraId="55CD2D3E" w14:textId="77777777" w:rsidR="004E4CC2" w:rsidRDefault="00000000">
      <w:pPr>
        <w:pStyle w:val="Literaturverzeichnis"/>
      </w:pPr>
      <w:bookmarkStart w:id="285" w:name="ref-uba2025szenarien"/>
      <w:bookmarkEnd w:id="284"/>
      <w:r>
        <w:t xml:space="preserve">Umweltbundesamt. 2025. </w:t>
      </w:r>
      <w:r>
        <w:rPr>
          <w:i/>
          <w:iCs/>
        </w:rPr>
        <w:t>Energie- und Treibhausgas-Szenarien 2025: WEM und WAM</w:t>
      </w:r>
      <w:r>
        <w:t xml:space="preserve">. REP-0995. Reports. Umweltbundesamt. </w:t>
      </w:r>
      <w:hyperlink r:id="rId65">
        <w:r>
          <w:rPr>
            <w:rStyle w:val="Hyperlink"/>
          </w:rPr>
          <w:t>https://www.umweltbundesamt.at/fileadmin/site/publikationen/rep0995.pdf</w:t>
        </w:r>
      </w:hyperlink>
      <w:r>
        <w:t>.</w:t>
      </w:r>
    </w:p>
    <w:p w14:paraId="3B4D9989" w14:textId="77777777" w:rsidR="004E4CC2" w:rsidRDefault="00000000">
      <w:pPr>
        <w:pStyle w:val="berschrift1"/>
      </w:pPr>
      <w:bookmarkStart w:id="286" w:name="sec-about"/>
      <w:bookmarkStart w:id="287" w:name="_Toc243681326"/>
      <w:bookmarkEnd w:id="267"/>
      <w:bookmarkEnd w:id="270"/>
      <w:bookmarkEnd w:id="285"/>
      <w:r>
        <w:lastRenderedPageBreak/>
        <w:t>Über diesen Bericht</w:t>
      </w:r>
      <w:bookmarkEnd w:id="287"/>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4498"/>
      </w:tblGrid>
      <w:tr w:rsidR="004E4CC2" w14:paraId="6C082AC8" w14:textId="77777777" w:rsidTr="004E4CC2">
        <w:trPr>
          <w:cantSplit/>
        </w:trPr>
        <w:tc>
          <w:tcPr>
            <w:tcW w:w="0" w:type="auto"/>
            <w:shd w:val="clear" w:color="auto" w:fill="DAE6FB"/>
            <w:tcMar>
              <w:top w:w="92" w:type="dxa"/>
              <w:bottom w:w="92" w:type="dxa"/>
            </w:tcMar>
          </w:tcPr>
          <w:p w14:paraId="2B07F9D5" w14:textId="77777777" w:rsidR="004E4CC2" w:rsidRDefault="00000000">
            <w:pPr>
              <w:pStyle w:val="FirstParagraph"/>
              <w:spacing w:before="0" w:after="0"/>
              <w:textAlignment w:val="center"/>
            </w:pPr>
            <w:r>
              <w:rPr>
                <w:noProof/>
              </w:rPr>
              <w:drawing>
                <wp:inline distT="0" distB="0" distL="0" distR="0" wp14:anchorId="3D266A15" wp14:editId="05C08B36">
                  <wp:extent cx="152400" cy="152400"/>
                  <wp:effectExtent l="0" t="0" r="0" b="0"/>
                  <wp:docPr id="307" name="Picture"/>
                  <wp:cNvGraphicFramePr/>
                  <a:graphic xmlns:a="http://schemas.openxmlformats.org/drawingml/2006/main">
                    <a:graphicData uri="http://schemas.openxmlformats.org/drawingml/2006/picture">
                      <pic:pic xmlns:pic="http://schemas.openxmlformats.org/drawingml/2006/picture">
                        <pic:nvPicPr>
                          <pic:cNvPr id="308" name="Picture" descr="C:\Users\schneids\AppData\Local\Programs\Quarto\share\formats\docx\note.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t xml:space="preserve">  Arbeitsfassung vom 14. Oktober 2026</w:t>
            </w:r>
          </w:p>
        </w:tc>
      </w:tr>
      <w:tr w:rsidR="004E4CC2" w14:paraId="0664655F" w14:textId="77777777" w:rsidTr="004E4CC2">
        <w:trPr>
          <w:cantSplit/>
        </w:trPr>
        <w:tc>
          <w:tcPr>
            <w:tcW w:w="0" w:type="auto"/>
            <w:tcMar>
              <w:top w:w="108" w:type="dxa"/>
              <w:bottom w:w="108" w:type="dxa"/>
            </w:tcMar>
          </w:tcPr>
          <w:p w14:paraId="105E22A9" w14:textId="77777777" w:rsidR="004E4CC2" w:rsidRDefault="004E4CC2"/>
        </w:tc>
      </w:tr>
    </w:tbl>
    <w:p w14:paraId="549194EC" w14:textId="77777777" w:rsidR="004E4CC2" w:rsidRDefault="00000000">
      <w:pPr>
        <w:pStyle w:val="berschrift2"/>
      </w:pPr>
      <w:bookmarkStart w:id="288" w:name="ziel-des-hintergrundberichts"/>
      <w:bookmarkStart w:id="289" w:name="_Toc243681327"/>
      <w:r>
        <w:t>Ziel des Hintergrundberichts</w:t>
      </w:r>
      <w:bookmarkEnd w:id="289"/>
    </w:p>
    <w:p w14:paraId="700B1067" w14:textId="77777777" w:rsidR="004E4CC2" w:rsidRDefault="00000000">
      <w:pPr>
        <w:pStyle w:val="FirstParagraph"/>
      </w:pPr>
      <w:r>
        <w:t>Dieser Bericht dokumentiert die von unserem Forschungsteam entwickelte Methodik des klimaaktiv Standards für Plus-Energie-Quartiere. Er führt die bereits in Schneider et al. publizierten Herleitungen und das Bewertungsmodell zu einer gemeinsamen Referenz für Planung, Verwaltung und Forschung zusammen (Schneider u. a. 2023, 2025; Schneider 2026).</w:t>
      </w:r>
    </w:p>
    <w:p w14:paraId="7381241E" w14:textId="77777777" w:rsidR="004E4CC2" w:rsidRDefault="00000000">
      <w:pPr>
        <w:pStyle w:val="Textkrper"/>
      </w:pPr>
      <w:r>
        <w:t xml:space="preserve">Er ergänzt zwei weitere klimaaktiv-Publikationen: Die Broschüre </w:t>
      </w:r>
      <w:r>
        <w:rPr>
          <w:i/>
          <w:iCs/>
        </w:rPr>
        <w:t>Plus-Energie-Quartiere</w:t>
      </w:r>
      <w:r>
        <w:t xml:space="preserve"> bietet einen Überblick über den Standard und seine Anwendungsmöglichkeiten. Das </w:t>
      </w:r>
      <w:r>
        <w:rPr>
          <w:i/>
          <w:iCs/>
        </w:rPr>
        <w:t>Handbuch zum PEQ-Nachweistool</w:t>
      </w:r>
      <w:r>
        <w:t xml:space="preserve"> beschreibt die praktische Durchführung der Nachweisführung.</w:t>
      </w:r>
    </w:p>
    <w:p w14:paraId="3C5397E6" w14:textId="77777777" w:rsidR="004E4CC2" w:rsidRDefault="00000000">
      <w:pPr>
        <w:pStyle w:val="Textkrper"/>
      </w:pPr>
      <w:r>
        <w:t xml:space="preserve">Der vorliegende Hintergrundbericht konzentriert sich dagegen auf die Frage, </w:t>
      </w:r>
      <w:r>
        <w:rPr>
          <w:b/>
          <w:bCs/>
        </w:rPr>
        <w:t>warum die Anforderungen in dieser Form definiert wurden und wie sie rechnerisch zustande kommen</w:t>
      </w:r>
      <w:r>
        <w:t>. Er verfolgt insbesondere vier Ziele:</w:t>
      </w:r>
    </w:p>
    <w:p w14:paraId="6DF715EA" w14:textId="77777777" w:rsidR="004E4CC2" w:rsidRDefault="00000000">
      <w:pPr>
        <w:pStyle w:val="Compact"/>
        <w:numPr>
          <w:ilvl w:val="0"/>
          <w:numId w:val="7"/>
        </w:numPr>
      </w:pPr>
      <w:r>
        <w:t>Die Herleitung der quantitativen Anforderungen aus übergeordneten Energie- und Klimazielen nachvollziehbar darzustellen.</w:t>
      </w:r>
    </w:p>
    <w:p w14:paraId="3B109729" w14:textId="77777777" w:rsidR="004E4CC2" w:rsidRDefault="00000000">
      <w:pPr>
        <w:pStyle w:val="Compact"/>
        <w:numPr>
          <w:ilvl w:val="0"/>
          <w:numId w:val="7"/>
        </w:numPr>
      </w:pPr>
      <w:r>
        <w:t>Die Systemgrenzen, Bilanzierungsverfahren und Kontextfaktoren des Standards zu erläutern.</w:t>
      </w:r>
    </w:p>
    <w:p w14:paraId="0683E221" w14:textId="77777777" w:rsidR="004E4CC2" w:rsidRDefault="00000000">
      <w:pPr>
        <w:pStyle w:val="Compact"/>
        <w:numPr>
          <w:ilvl w:val="0"/>
          <w:numId w:val="7"/>
        </w:numPr>
      </w:pPr>
      <w:r>
        <w:t>Die Annahmen, Berechnungsverfahren und Grenzen des verwendeten Bewertungsmodells offenzulegen.</w:t>
      </w:r>
    </w:p>
    <w:p w14:paraId="0C86C47D" w14:textId="77777777" w:rsidR="004E4CC2" w:rsidRDefault="00000000">
      <w:pPr>
        <w:pStyle w:val="Compact"/>
        <w:numPr>
          <w:ilvl w:val="0"/>
          <w:numId w:val="7"/>
        </w:numPr>
      </w:pPr>
      <w:r>
        <w:t>Die Grundlage für eine transparente Anwendung und dokumentierte Weiterentwicklung der Methodik zu schaffen.</w:t>
      </w:r>
    </w:p>
    <w:p w14:paraId="292CA13D" w14:textId="77777777" w:rsidR="004E4CC2" w:rsidRDefault="00000000">
      <w:pPr>
        <w:pStyle w:val="berschrift3"/>
      </w:pPr>
      <w:bookmarkStart w:id="290" w:name="zielgruppe"/>
      <w:bookmarkStart w:id="291" w:name="_Toc243681328"/>
      <w:r>
        <w:t>Zielgruppe</w:t>
      </w:r>
      <w:bookmarkEnd w:id="291"/>
    </w:p>
    <w:p w14:paraId="303272FC" w14:textId="77777777" w:rsidR="004E4CC2" w:rsidRDefault="00000000">
      <w:pPr>
        <w:pStyle w:val="FirstParagraph"/>
      </w:pPr>
      <w:r>
        <w:t>Der Bericht richtet sich insbesondere an Architekt:innen, Fachplaner:innen, Energieberater:innen, Projektentwickler:innen sowie Fachleute aus Verwaltung, Forschung und Qualitätssicherung, die sich mit der Bewertung klimaneutraler Gebäude, Quartiere und Städte beschäftigen.</w:t>
      </w:r>
    </w:p>
    <w:p w14:paraId="1A71EE83" w14:textId="77777777" w:rsidR="004E4CC2" w:rsidRDefault="00000000">
      <w:pPr>
        <w:pStyle w:val="berschrift2"/>
      </w:pPr>
      <w:bookmarkStart w:id="292" w:name="Xad286ae14fc15906bda24707bff55113c12e08b"/>
      <w:bookmarkStart w:id="293" w:name="_Toc243681329"/>
      <w:bookmarkEnd w:id="288"/>
      <w:bookmarkEnd w:id="290"/>
      <w:r>
        <w:t>Entstehung und wissenschaftliche Grundlagen</w:t>
      </w:r>
      <w:bookmarkEnd w:id="293"/>
    </w:p>
    <w:p w14:paraId="1FD7DD93" w14:textId="77777777" w:rsidR="004E4CC2" w:rsidRDefault="00000000">
      <w:pPr>
        <w:pStyle w:val="FirstParagraph"/>
      </w:pPr>
      <w:r>
        <w:t xml:space="preserve">Die Methodik wurde von der Forschungsgruppe </w:t>
      </w:r>
      <w:r>
        <w:rPr>
          <w:i/>
          <w:iCs/>
        </w:rPr>
        <w:t>Climate-fit Buildings and Districts</w:t>
      </w:r>
      <w:r>
        <w:t xml:space="preserve"> der FH Technikum Wien im Rahmen von Forschungs- und Entwicklungsarbeiten zu klimaneutralen Plus-Energie-Quartieren erarbeitet.</w:t>
      </w:r>
    </w:p>
    <w:p w14:paraId="375C1CE8" w14:textId="77777777" w:rsidR="004E4CC2" w:rsidRDefault="00000000">
      <w:pPr>
        <w:pStyle w:val="Textkrper"/>
      </w:pPr>
      <w:r>
        <w:t xml:space="preserve">Die Entwicklung der Bewertungsmethodik und des PEExcel-Nachweistools erfolgte über mehrere Forschungs- und Entwicklungsschritte. Ausgehend von frühen Energiemodellen </w:t>
      </w:r>
      <w:r>
        <w:lastRenderedPageBreak/>
        <w:t>wurde die Betrachtung schrittweise auf Mobilität, Lebenszyklusemissionen und die klimaaktiv-Nachweisführung erweitert.</w:t>
      </w:r>
    </w:p>
    <w:tbl>
      <w:tblPr>
        <w:tblStyle w:val="Table"/>
        <w:tblW w:w="5000" w:type="pct"/>
        <w:tblLayout w:type="fixed"/>
        <w:tblLook w:val="0000" w:firstRow="0" w:lastRow="0" w:firstColumn="0" w:lastColumn="0" w:noHBand="0" w:noVBand="0"/>
      </w:tblPr>
      <w:tblGrid>
        <w:gridCol w:w="9622"/>
      </w:tblGrid>
      <w:tr w:rsidR="004E4CC2" w14:paraId="5A04BAB8" w14:textId="77777777">
        <w:tc>
          <w:tcPr>
            <w:tcW w:w="7920" w:type="dxa"/>
          </w:tcPr>
          <w:p w14:paraId="63CDB537" w14:textId="77777777" w:rsidR="004E4CC2" w:rsidRDefault="00000000">
            <w:pPr>
              <w:pStyle w:val="Compact"/>
              <w:jc w:val="center"/>
            </w:pPr>
            <w:bookmarkStart w:id="294" w:name="fig-peq-entwicklung"/>
            <w:r>
              <w:rPr>
                <w:noProof/>
              </w:rPr>
              <w:drawing>
                <wp:inline distT="0" distB="0" distL="0" distR="0" wp14:anchorId="46A95974" wp14:editId="69D991E0">
                  <wp:extent cx="5334000" cy="2085176"/>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Abbildungen/journey.svg"/>
                          <pic:cNvPicPr>
                            <a:picLocks noChangeAspect="1" noChangeArrowheads="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334000" cy="2085176"/>
                          </a:xfrm>
                          <a:prstGeom prst="rect">
                            <a:avLst/>
                          </a:prstGeom>
                          <a:noFill/>
                          <a:ln w="9525">
                            <a:noFill/>
                            <a:headEnd/>
                            <a:tailEnd/>
                          </a:ln>
                        </pic:spPr>
                      </pic:pic>
                    </a:graphicData>
                  </a:graphic>
                </wp:inline>
              </w:drawing>
            </w:r>
          </w:p>
          <w:p w14:paraId="65ADDD03" w14:textId="77777777" w:rsidR="004E4CC2" w:rsidRDefault="00000000">
            <w:pPr>
              <w:pStyle w:val="ImageCaption"/>
              <w:spacing w:before="200"/>
            </w:pPr>
            <w:r>
              <w:t>Abbildung 16.1: Historische Entwicklung der PEQ-Bewertungsmethodik und des Nachweistools von ersten Forschungsanwendungen bis zur klimaaktiv-Operationalisierung.</w:t>
            </w:r>
          </w:p>
        </w:tc>
        <w:bookmarkEnd w:id="294"/>
      </w:tr>
    </w:tbl>
    <w:p w14:paraId="027BFDA3" w14:textId="77777777" w:rsidR="004E4CC2" w:rsidRDefault="00000000">
      <w:pPr>
        <w:pStyle w:val="Textkrper"/>
      </w:pPr>
      <w:r>
        <w:t>Wesentliche wissenschaftliche Grundlagen bilden die Dissertation von Schneider (2026) sowie die zugehörigen Publikationen zur quantitativen Definition von Plus-Energie-Quartieren, zur nationalen Allokation von Energie- und Treibhausgasbudgets und zur integrierten Quartiersbewertung (Schneider 2026; Schneider u. a. 2023, 2025).</w:t>
      </w:r>
    </w:p>
    <w:p w14:paraId="69BE130E" w14:textId="77777777" w:rsidR="004E4CC2" w:rsidRDefault="00000000">
      <w:pPr>
        <w:pStyle w:val="Textkrper"/>
      </w:pPr>
      <w:r>
        <w:t>Der Bericht führt diese Arbeiten zusammen und dokumentiert ihre Operationalisierung im österreichischen klimaaktiv Standard.</w:t>
      </w:r>
    </w:p>
    <w:p w14:paraId="3BEDECCF" w14:textId="77777777" w:rsidR="004E4CC2" w:rsidRDefault="00000000">
      <w:pPr>
        <w:pStyle w:val="berschrift2"/>
      </w:pPr>
      <w:bookmarkStart w:id="295" w:name="methodenstand-und-versionierung"/>
      <w:bookmarkStart w:id="296" w:name="_Toc243681330"/>
      <w:bookmarkEnd w:id="292"/>
      <w:r>
        <w:t>Methodenstand und Versionierung</w:t>
      </w:r>
      <w:bookmarkEnd w:id="296"/>
    </w:p>
    <w:p w14:paraId="31A2A12F" w14:textId="77777777" w:rsidR="004E4CC2" w:rsidRDefault="00000000">
      <w:pPr>
        <w:pStyle w:val="FirstParagraph"/>
      </w:pPr>
      <w:r>
        <w:t>Die dargestellten Anforderungen beruhen auf einem definierten Methodenstand und den zugrunde liegenden nationalen Energie- und Klimaszenarien.</w:t>
      </w:r>
    </w:p>
    <w:p w14:paraId="470E55B3" w14:textId="77777777" w:rsidR="004E4CC2" w:rsidRDefault="00000000">
      <w:pPr>
        <w:pStyle w:val="Textkrper"/>
      </w:pPr>
      <w:r>
        <w:t>Da sich Szenarien, wissenschaftliche Erkenntnisse und Rahmenbedingungen weiterentwickeln, ist eine regelmäßige Überprüfung und Fortschreibung der Methodik vorgesehen. Änderungen an Zielwerten, Kontextfaktoren und Bilanzierungsregeln sollen nachvollziehbar dokumentiert werden.</w:t>
      </w:r>
    </w:p>
    <w:p w14:paraId="0BFA94C3" w14:textId="77777777" w:rsidR="004E4CC2" w:rsidRDefault="00000000">
      <w:pPr>
        <w:pStyle w:val="Textkrper"/>
      </w:pPr>
      <w:r>
        <w:t xml:space="preserve">Zwischen dem </w:t>
      </w:r>
      <w:r>
        <w:rPr>
          <w:b/>
          <w:bCs/>
        </w:rPr>
        <w:t>Methodenstand des Standards</w:t>
      </w:r>
      <w:r>
        <w:t xml:space="preserve"> und der </w:t>
      </w:r>
      <w:r>
        <w:rPr>
          <w:b/>
          <w:bCs/>
        </w:rPr>
        <w:t>Softwareversion des PEQ-Nachweistools (PEExcel)</w:t>
      </w:r>
      <w:r>
        <w:t xml:space="preserve"> wird ausdrücklich unterschieden. Weiterentwicklungen der Software bedeuten nicht zwangsläufig eine Änderung der Bewertungsmethodik.</w:t>
      </w:r>
    </w:p>
    <w:p w14:paraId="2729C36D" w14:textId="77777777" w:rsidR="004E4CC2" w:rsidRDefault="00000000">
      <w:pPr>
        <w:pStyle w:val="berschrift2"/>
      </w:pPr>
      <w:bookmarkStart w:id="297" w:name="autorinnen-und-mitwirkende"/>
      <w:bookmarkStart w:id="298" w:name="_Toc243681331"/>
      <w:bookmarkEnd w:id="295"/>
      <w:r>
        <w:t>Autor:innen und Mitwirkende</w:t>
      </w:r>
      <w:bookmarkEnd w:id="298"/>
    </w:p>
    <w:p w14:paraId="083AE420" w14:textId="77777777" w:rsidR="004E4CC2" w:rsidRDefault="00000000">
      <w:pPr>
        <w:pStyle w:val="FirstParagraph"/>
      </w:pPr>
      <w:r>
        <w:t xml:space="preserve">Der Bericht wird von der Forschungsgruppe </w:t>
      </w:r>
      <w:r>
        <w:rPr>
          <w:i/>
          <w:iCs/>
        </w:rPr>
        <w:t>Climate-fit Buildings and Districts</w:t>
      </w:r>
      <w:r>
        <w:t xml:space="preserve"> der FH Technikum Wien erarbeitet.</w:t>
      </w:r>
    </w:p>
    <w:p w14:paraId="564E4397" w14:textId="77777777" w:rsidR="004E4CC2" w:rsidRDefault="00000000">
      <w:pPr>
        <w:pStyle w:val="Textkrper"/>
      </w:pPr>
      <w:r>
        <w:rPr>
          <w:b/>
          <w:bCs/>
        </w:rPr>
        <w:t>Wissenschaftliche Bearbeitung:</w:t>
      </w:r>
      <w:r>
        <w:t xml:space="preserve"> Thomas Zelger, Simon Schneider</w:t>
      </w:r>
    </w:p>
    <w:p w14:paraId="1383D8E4" w14:textId="77777777" w:rsidR="004E4CC2" w:rsidRDefault="00000000">
      <w:pPr>
        <w:pStyle w:val="Textkrper"/>
      </w:pPr>
      <w:r>
        <w:rPr>
          <w:b/>
          <w:bCs/>
        </w:rPr>
        <w:lastRenderedPageBreak/>
        <w:t>Institution:</w:t>
      </w:r>
      <w:r>
        <w:t xml:space="preserve"> FH Technikum Wien</w:t>
      </w:r>
    </w:p>
    <w:p w14:paraId="44245EEC" w14:textId="77777777" w:rsidR="004E4CC2" w:rsidRDefault="00000000">
      <w:pPr>
        <w:pStyle w:val="Textkrper"/>
      </w:pPr>
      <w:r>
        <w:t>[Autor:innenliste, weitere Mitwirkende, Auftraggeber und institutionelle Angaben vor Veröffentlichung ergänzen.]</w:t>
      </w:r>
    </w:p>
    <w:p w14:paraId="425A5123" w14:textId="77777777" w:rsidR="004E4CC2" w:rsidRDefault="00000000">
      <w:pPr>
        <w:pStyle w:val="berschrift2"/>
      </w:pPr>
      <w:bookmarkStart w:id="299" w:name="zitierempfehlung"/>
      <w:bookmarkStart w:id="300" w:name="_Toc243681332"/>
      <w:bookmarkEnd w:id="297"/>
      <w:r>
        <w:t>Zitierempfehlung</w:t>
      </w:r>
      <w:bookmarkEnd w:id="300"/>
    </w:p>
    <w:p w14:paraId="1DE7778B" w14:textId="77777777" w:rsidR="004E4CC2" w:rsidRDefault="00000000">
      <w:pPr>
        <w:pStyle w:val="FirstParagraph"/>
      </w:pPr>
      <w:r>
        <w:t>Für die wissenschaftliche Bezugnahme auf die Methodik wird empfohlen, die jeweils einschlägigen Originalpublikationen zu zitieren.</w:t>
      </w:r>
    </w:p>
    <w:p w14:paraId="53E1E271" w14:textId="77777777" w:rsidR="004E4CC2" w:rsidRDefault="00000000">
      <w:pPr>
        <w:pStyle w:val="Textkrper"/>
      </w:pPr>
      <w:r>
        <w:t>Für Verweise auf die zusammenfassende Darstellung dieses Hintergrundberichts ist folgende Zitierweise vorgesehen:</w:t>
      </w:r>
    </w:p>
    <w:p w14:paraId="1BB8E5D1" w14:textId="77777777" w:rsidR="004E4CC2" w:rsidRDefault="00000000">
      <w:pPr>
        <w:pStyle w:val="Textkrper"/>
      </w:pPr>
      <w:r>
        <w:t xml:space="preserve">Schneider, S. et al. (2026): </w:t>
      </w:r>
      <w:r>
        <w:rPr>
          <w:i/>
          <w:iCs/>
        </w:rPr>
        <w:t>Klimaneutrale Plus-Energie-Quartiere. Wissenschaftliche Grundlagen des klimaaktiv Standards für Plus-Energie-Quartiere.</w:t>
      </w:r>
      <w:r>
        <w:t xml:space="preserve"> FH Technikum Wien, Wien.</w:t>
      </w:r>
    </w:p>
    <w:p w14:paraId="1F553175" w14:textId="77777777" w:rsidR="004E4CC2" w:rsidRDefault="00000000">
      <w:pPr>
        <w:pStyle w:val="berschrift2"/>
      </w:pPr>
      <w:bookmarkStart w:id="301" w:name="quellen-und-geltungsbereich"/>
      <w:bookmarkStart w:id="302" w:name="_Toc243681333"/>
      <w:bookmarkEnd w:id="299"/>
      <w:r>
        <w:t>Quellen und Geltungsbereich</w:t>
      </w:r>
      <w:bookmarkEnd w:id="302"/>
    </w:p>
    <w:p w14:paraId="225727A1" w14:textId="77777777" w:rsidR="004E4CC2" w:rsidRDefault="00000000">
      <w:pPr>
        <w:pStyle w:val="FirstParagraph"/>
      </w:pPr>
      <w:r>
        <w:t>Dieser Bericht dokumentiert die von unserem Forschungsteam entwickelte Methodik des klimaaktiv Standards für Plus-Energie-Quartiere. Er führt die in Schneider (2026) und den zugehörigen Publikationen beschriebenen Grundlagen zu einer zusammenhängenden Methodendarstellung zusammen (Schneider 2026; Schneider u. a. 2023, 2025). Die klimaaktiv-Broschüre ergänzt diese Darstellung um einen kompakten Überblick zur Anwendung (Schneider u. a. 2026).</w:t>
      </w:r>
    </w:p>
    <w:p w14:paraId="049801F7" w14:textId="77777777" w:rsidR="004E4CC2" w:rsidRDefault="00000000">
      <w:pPr>
        <w:pStyle w:val="Textkrper"/>
      </w:pPr>
      <w:r>
        <w:t>Die hier dokumentierte Anwendung bezieht sich auf Österreich. Eine Übertragung auf andere Länder erfordert eine eigene Prüfung der Szenarien, Allokationen und Bewertungsfaktoren.</w:t>
      </w:r>
    </w:p>
    <w:p w14:paraId="5690163A" w14:textId="77777777" w:rsidR="004E4CC2" w:rsidRDefault="00000000">
      <w:pPr>
        <w:pStyle w:val="Textkrper"/>
      </w:pPr>
      <w:r>
        <w:t>Der Bericht erläutert die wissenschaftlichen Grundlagen des Standards, ersetzt jedoch weder die jeweils gültigen offiziellen Anforderungen noch das Handbuch zur Nachweisführung. Für konkrete Deklarationsvorhaben sind die freigegebenen Dokumente und der jeweils maßgebliche Methoden- und Toolstand heranzuziehen.</w:t>
      </w:r>
    </w:p>
    <w:p w14:paraId="70B1A36E" w14:textId="77777777" w:rsidR="004E4CC2" w:rsidRDefault="00000000">
      <w:pPr>
        <w:pStyle w:val="berschrift1"/>
      </w:pPr>
      <w:bookmarkStart w:id="303" w:name="sec-szenariotabellen"/>
      <w:bookmarkStart w:id="304" w:name="_Toc243681334"/>
      <w:bookmarkEnd w:id="286"/>
      <w:bookmarkEnd w:id="301"/>
      <w:r>
        <w:t>Appendix A — Nationale Energie- und Stromtabellen</w:t>
      </w:r>
      <w:bookmarkEnd w:id="304"/>
    </w:p>
    <w:p w14:paraId="69D7B688" w14:textId="77777777" w:rsidR="004E4CC2" w:rsidRDefault="00000000">
      <w:pPr>
        <w:pStyle w:val="FirstParagraph"/>
      </w:pPr>
      <w:r>
        <w:t xml:space="preserve">Dieser Anhang enthält die Detailtabellen zum Szenariovergleich in </w:t>
      </w:r>
      <w:hyperlink w:anchor="sec-zielszenario">
        <w:r>
          <w:rPr>
            <w:rStyle w:val="Hyperlink"/>
          </w:rPr>
          <w:t>Kapitel 4</w:t>
        </w:r>
      </w:hyperlink>
      <w:r>
        <w:t xml:space="preserve"> (zuvor Tabellen 4.1–4.4). Zahlen und Tabellen-IDs sind unverändert; die Nummerierung folgt ihrer Position im Anhang.</w:t>
      </w:r>
    </w:p>
    <w:p w14:paraId="13827E1D" w14:textId="77777777" w:rsidR="004E4CC2" w:rsidRDefault="00000000">
      <w:pPr>
        <w:pStyle w:val="berschrift2"/>
      </w:pPr>
      <w:bookmarkStart w:id="305" w:name="Xc7cd7dfa6250bb3f196989fddfd71dbe6d5fdd2"/>
      <w:bookmarkStart w:id="306" w:name="_Toc243681335"/>
      <w:r>
        <w:t>A.1 Stromerzeugung, Strombedarf und Bilanzreste</w:t>
      </w:r>
      <w:bookmarkEnd w:id="306"/>
    </w:p>
    <w:tbl>
      <w:tblPr>
        <w:tblStyle w:val="Table"/>
        <w:tblW w:w="5000" w:type="pct"/>
        <w:tblLayout w:type="fixed"/>
        <w:tblLook w:val="0000" w:firstRow="0" w:lastRow="0" w:firstColumn="0" w:lastColumn="0" w:noHBand="0" w:noVBand="0"/>
      </w:tblPr>
      <w:tblGrid>
        <w:gridCol w:w="9622"/>
      </w:tblGrid>
      <w:tr w:rsidR="004E4CC2" w14:paraId="6FC2BFBF" w14:textId="77777777">
        <w:tc>
          <w:tcPr>
            <w:tcW w:w="7920" w:type="dxa"/>
          </w:tcPr>
          <w:p w14:paraId="102CD7EF" w14:textId="77777777" w:rsidR="004E4CC2" w:rsidRDefault="00000000">
            <w:pPr>
              <w:pStyle w:val="ImageCaption"/>
              <w:spacing w:before="200"/>
            </w:pPr>
            <w:r>
              <w:t>Tabelle A.1: Publizierte Stromerzeugung und Nettoimporte. Transition: REP-0880, Tab. 16, S. 63; WEM/WAM 2023: REP-0882, Zusammenfassung, Tab. D, S. 8; WEM/WAM 2025: REP-0995, Tab. E, S. 12 (Umweltbundesamt 2024, 2023b, 2025).</w:t>
            </w:r>
          </w:p>
          <w:tbl>
            <w:tblPr>
              <w:tblStyle w:val="Table"/>
              <w:tblW w:w="5000" w:type="pct"/>
              <w:tblLayout w:type="fixed"/>
              <w:tblLook w:val="0020" w:firstRow="1" w:lastRow="0" w:firstColumn="0" w:lastColumn="0" w:noHBand="0" w:noVBand="0"/>
            </w:tblPr>
            <w:tblGrid>
              <w:gridCol w:w="1226"/>
              <w:gridCol w:w="1636"/>
              <w:gridCol w:w="1636"/>
              <w:gridCol w:w="1636"/>
              <w:gridCol w:w="1636"/>
              <w:gridCol w:w="1636"/>
            </w:tblGrid>
            <w:tr w:rsidR="004E4CC2" w14:paraId="0552653C"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033" w:type="dxa"/>
                </w:tcPr>
                <w:p w14:paraId="2364A48C" w14:textId="77777777" w:rsidR="004E4CC2" w:rsidRDefault="00000000">
                  <w:pPr>
                    <w:pStyle w:val="Compact"/>
                    <w:jc w:val="center"/>
                  </w:pPr>
                  <w:r>
                    <w:lastRenderedPageBreak/>
                    <w:t>Stromerzeugung 2040 [PJ_el/a]</w:t>
                  </w:r>
                </w:p>
              </w:tc>
              <w:tc>
                <w:tcPr>
                  <w:tcW w:w="1377" w:type="dxa"/>
                </w:tcPr>
                <w:p w14:paraId="67095597" w14:textId="77777777" w:rsidR="004E4CC2" w:rsidRDefault="00000000">
                  <w:pPr>
                    <w:pStyle w:val="Compact"/>
                    <w:jc w:val="center"/>
                  </w:pPr>
                  <w:r>
                    <w:t>Transition 2040</w:t>
                  </w:r>
                </w:p>
              </w:tc>
              <w:tc>
                <w:tcPr>
                  <w:tcW w:w="1377" w:type="dxa"/>
                </w:tcPr>
                <w:p w14:paraId="6C256DAD" w14:textId="77777777" w:rsidR="004E4CC2" w:rsidRDefault="00000000">
                  <w:pPr>
                    <w:pStyle w:val="Compact"/>
                    <w:jc w:val="center"/>
                  </w:pPr>
                  <w:r>
                    <w:t>WEM 2025</w:t>
                  </w:r>
                </w:p>
              </w:tc>
              <w:tc>
                <w:tcPr>
                  <w:tcW w:w="1377" w:type="dxa"/>
                </w:tcPr>
                <w:p w14:paraId="72ED6E4C" w14:textId="77777777" w:rsidR="004E4CC2" w:rsidRDefault="00000000">
                  <w:pPr>
                    <w:pStyle w:val="Compact"/>
                    <w:jc w:val="center"/>
                  </w:pPr>
                  <w:r>
                    <w:t>WAM 2025</w:t>
                  </w:r>
                </w:p>
              </w:tc>
              <w:tc>
                <w:tcPr>
                  <w:tcW w:w="1377" w:type="dxa"/>
                </w:tcPr>
                <w:p w14:paraId="19AD3B8B" w14:textId="77777777" w:rsidR="004E4CC2" w:rsidRDefault="00000000">
                  <w:pPr>
                    <w:pStyle w:val="Compact"/>
                    <w:jc w:val="center"/>
                  </w:pPr>
                  <w:r>
                    <w:t>WEM 2023</w:t>
                  </w:r>
                </w:p>
              </w:tc>
              <w:tc>
                <w:tcPr>
                  <w:tcW w:w="1377" w:type="dxa"/>
                </w:tcPr>
                <w:p w14:paraId="25D2068F" w14:textId="77777777" w:rsidR="004E4CC2" w:rsidRDefault="00000000">
                  <w:pPr>
                    <w:pStyle w:val="Compact"/>
                    <w:jc w:val="center"/>
                  </w:pPr>
                  <w:r>
                    <w:t>WAM 2023</w:t>
                  </w:r>
                </w:p>
              </w:tc>
            </w:tr>
            <w:tr w:rsidR="004E4CC2" w14:paraId="2E87C4D8" w14:textId="77777777">
              <w:tc>
                <w:tcPr>
                  <w:tcW w:w="1033" w:type="dxa"/>
                </w:tcPr>
                <w:p w14:paraId="450254A3" w14:textId="77777777" w:rsidR="004E4CC2" w:rsidRDefault="00000000">
                  <w:pPr>
                    <w:pStyle w:val="Compact"/>
                    <w:jc w:val="center"/>
                  </w:pPr>
                  <w:r>
                    <w:t>Wasserkraft</w:t>
                  </w:r>
                </w:p>
              </w:tc>
              <w:tc>
                <w:tcPr>
                  <w:tcW w:w="1377" w:type="dxa"/>
                </w:tcPr>
                <w:p w14:paraId="0575C0A5" w14:textId="77777777" w:rsidR="004E4CC2" w:rsidRDefault="00000000">
                  <w:pPr>
                    <w:pStyle w:val="Compact"/>
                    <w:jc w:val="center"/>
                  </w:pPr>
                  <w:r>
                    <w:t>173</w:t>
                  </w:r>
                </w:p>
              </w:tc>
              <w:tc>
                <w:tcPr>
                  <w:tcW w:w="1377" w:type="dxa"/>
                </w:tcPr>
                <w:p w14:paraId="116C1BBD" w14:textId="77777777" w:rsidR="004E4CC2" w:rsidRDefault="00000000">
                  <w:pPr>
                    <w:pStyle w:val="Compact"/>
                    <w:jc w:val="center"/>
                  </w:pPr>
                  <w:r>
                    <w:t>167</w:t>
                  </w:r>
                </w:p>
              </w:tc>
              <w:tc>
                <w:tcPr>
                  <w:tcW w:w="1377" w:type="dxa"/>
                </w:tcPr>
                <w:p w14:paraId="7B70D20F" w14:textId="77777777" w:rsidR="004E4CC2" w:rsidRDefault="00000000">
                  <w:pPr>
                    <w:pStyle w:val="Compact"/>
                    <w:jc w:val="center"/>
                  </w:pPr>
                  <w:r>
                    <w:t>176</w:t>
                  </w:r>
                </w:p>
              </w:tc>
              <w:tc>
                <w:tcPr>
                  <w:tcW w:w="1377" w:type="dxa"/>
                </w:tcPr>
                <w:p w14:paraId="323796B1" w14:textId="77777777" w:rsidR="004E4CC2" w:rsidRDefault="00000000">
                  <w:pPr>
                    <w:pStyle w:val="Compact"/>
                    <w:jc w:val="center"/>
                  </w:pPr>
                  <w:r>
                    <w:t>174</w:t>
                  </w:r>
                </w:p>
              </w:tc>
              <w:tc>
                <w:tcPr>
                  <w:tcW w:w="1377" w:type="dxa"/>
                </w:tcPr>
                <w:p w14:paraId="199CC6EA" w14:textId="77777777" w:rsidR="004E4CC2" w:rsidRDefault="00000000">
                  <w:pPr>
                    <w:pStyle w:val="Compact"/>
                    <w:jc w:val="center"/>
                  </w:pPr>
                  <w:r>
                    <w:t>176</w:t>
                  </w:r>
                </w:p>
              </w:tc>
            </w:tr>
            <w:tr w:rsidR="004E4CC2" w14:paraId="7B2693BC" w14:textId="77777777">
              <w:tc>
                <w:tcPr>
                  <w:tcW w:w="1033" w:type="dxa"/>
                </w:tcPr>
                <w:p w14:paraId="29975109" w14:textId="77777777" w:rsidR="004E4CC2" w:rsidRDefault="00000000">
                  <w:pPr>
                    <w:pStyle w:val="Compact"/>
                    <w:jc w:val="center"/>
                  </w:pPr>
                  <w:r>
                    <w:t>Windkraft</w:t>
                  </w:r>
                </w:p>
              </w:tc>
              <w:tc>
                <w:tcPr>
                  <w:tcW w:w="1377" w:type="dxa"/>
                </w:tcPr>
                <w:p w14:paraId="2D0C9372" w14:textId="77777777" w:rsidR="004E4CC2" w:rsidRDefault="00000000">
                  <w:pPr>
                    <w:pStyle w:val="Compact"/>
                    <w:jc w:val="center"/>
                  </w:pPr>
                  <w:r>
                    <w:t>105</w:t>
                  </w:r>
                </w:p>
              </w:tc>
              <w:tc>
                <w:tcPr>
                  <w:tcW w:w="1377" w:type="dxa"/>
                </w:tcPr>
                <w:p w14:paraId="568159B3" w14:textId="77777777" w:rsidR="004E4CC2" w:rsidRDefault="00000000">
                  <w:pPr>
                    <w:pStyle w:val="Compact"/>
                    <w:jc w:val="center"/>
                  </w:pPr>
                  <w:r>
                    <w:t>65</w:t>
                  </w:r>
                </w:p>
              </w:tc>
              <w:tc>
                <w:tcPr>
                  <w:tcW w:w="1377" w:type="dxa"/>
                </w:tcPr>
                <w:p w14:paraId="3B5B0756" w14:textId="77777777" w:rsidR="004E4CC2" w:rsidRDefault="00000000">
                  <w:pPr>
                    <w:pStyle w:val="Compact"/>
                    <w:jc w:val="center"/>
                  </w:pPr>
                  <w:r>
                    <w:t>87</w:t>
                  </w:r>
                </w:p>
              </w:tc>
              <w:tc>
                <w:tcPr>
                  <w:tcW w:w="1377" w:type="dxa"/>
                </w:tcPr>
                <w:p w14:paraId="2E3549E2" w14:textId="77777777" w:rsidR="004E4CC2" w:rsidRDefault="00000000">
                  <w:pPr>
                    <w:pStyle w:val="Compact"/>
                    <w:jc w:val="center"/>
                  </w:pPr>
                  <w:r>
                    <w:t>69</w:t>
                  </w:r>
                </w:p>
              </w:tc>
              <w:tc>
                <w:tcPr>
                  <w:tcW w:w="1377" w:type="dxa"/>
                </w:tcPr>
                <w:p w14:paraId="4D601C32" w14:textId="77777777" w:rsidR="004E4CC2" w:rsidRDefault="00000000">
                  <w:pPr>
                    <w:pStyle w:val="Compact"/>
                    <w:jc w:val="center"/>
                  </w:pPr>
                  <w:r>
                    <w:t>87</w:t>
                  </w:r>
                </w:p>
              </w:tc>
            </w:tr>
            <w:tr w:rsidR="004E4CC2" w14:paraId="19C9CABF" w14:textId="77777777">
              <w:tc>
                <w:tcPr>
                  <w:tcW w:w="1033" w:type="dxa"/>
                </w:tcPr>
                <w:p w14:paraId="11FE90E1" w14:textId="77777777" w:rsidR="004E4CC2" w:rsidRDefault="00000000">
                  <w:pPr>
                    <w:pStyle w:val="Compact"/>
                    <w:jc w:val="center"/>
                  </w:pPr>
                  <w:r>
                    <w:t>Photovoltaik</w:t>
                  </w:r>
                </w:p>
              </w:tc>
              <w:tc>
                <w:tcPr>
                  <w:tcW w:w="1377" w:type="dxa"/>
                </w:tcPr>
                <w:p w14:paraId="6E08CBB2" w14:textId="77777777" w:rsidR="004E4CC2" w:rsidRDefault="00000000">
                  <w:pPr>
                    <w:pStyle w:val="Compact"/>
                    <w:jc w:val="center"/>
                  </w:pPr>
                  <w:r>
                    <w:t>149</w:t>
                  </w:r>
                </w:p>
              </w:tc>
              <w:tc>
                <w:tcPr>
                  <w:tcW w:w="1377" w:type="dxa"/>
                </w:tcPr>
                <w:p w14:paraId="627B6233" w14:textId="77777777" w:rsidR="004E4CC2" w:rsidRDefault="00000000">
                  <w:pPr>
                    <w:pStyle w:val="Compact"/>
                    <w:jc w:val="center"/>
                  </w:pPr>
                  <w:r>
                    <w:t>53</w:t>
                  </w:r>
                </w:p>
              </w:tc>
              <w:tc>
                <w:tcPr>
                  <w:tcW w:w="1377" w:type="dxa"/>
                </w:tcPr>
                <w:p w14:paraId="32732628" w14:textId="77777777" w:rsidR="004E4CC2" w:rsidRDefault="00000000">
                  <w:pPr>
                    <w:pStyle w:val="Compact"/>
                    <w:jc w:val="center"/>
                  </w:pPr>
                  <w:r>
                    <w:t>107</w:t>
                  </w:r>
                </w:p>
              </w:tc>
              <w:tc>
                <w:tcPr>
                  <w:tcW w:w="1377" w:type="dxa"/>
                </w:tcPr>
                <w:p w14:paraId="068B8807" w14:textId="77777777" w:rsidR="004E4CC2" w:rsidRDefault="00000000">
                  <w:pPr>
                    <w:pStyle w:val="Compact"/>
                    <w:jc w:val="center"/>
                  </w:pPr>
                  <w:r>
                    <w:t>54</w:t>
                  </w:r>
                </w:p>
              </w:tc>
              <w:tc>
                <w:tcPr>
                  <w:tcW w:w="1377" w:type="dxa"/>
                </w:tcPr>
                <w:p w14:paraId="31EE3090" w14:textId="77777777" w:rsidR="004E4CC2" w:rsidRDefault="00000000">
                  <w:pPr>
                    <w:pStyle w:val="Compact"/>
                    <w:jc w:val="center"/>
                  </w:pPr>
                  <w:r>
                    <w:t>107</w:t>
                  </w:r>
                </w:p>
              </w:tc>
            </w:tr>
            <w:tr w:rsidR="004E4CC2" w14:paraId="31F32B43" w14:textId="77777777">
              <w:tc>
                <w:tcPr>
                  <w:tcW w:w="1033" w:type="dxa"/>
                </w:tcPr>
                <w:p w14:paraId="6D73D155" w14:textId="77777777" w:rsidR="004E4CC2" w:rsidRDefault="00000000">
                  <w:pPr>
                    <w:pStyle w:val="Compact"/>
                    <w:jc w:val="center"/>
                  </w:pPr>
                  <w:r>
                    <w:t>Biomasse inkl. Biomethan</w:t>
                  </w:r>
                </w:p>
              </w:tc>
              <w:tc>
                <w:tcPr>
                  <w:tcW w:w="1377" w:type="dxa"/>
                </w:tcPr>
                <w:p w14:paraId="0F32A2D1" w14:textId="77777777" w:rsidR="004E4CC2" w:rsidRDefault="00000000">
                  <w:pPr>
                    <w:pStyle w:val="Compact"/>
                    <w:jc w:val="center"/>
                  </w:pPr>
                  <w:r>
                    <w:t>21</w:t>
                  </w:r>
                </w:p>
              </w:tc>
              <w:tc>
                <w:tcPr>
                  <w:tcW w:w="1377" w:type="dxa"/>
                </w:tcPr>
                <w:p w14:paraId="249CE5FF" w14:textId="77777777" w:rsidR="004E4CC2" w:rsidRDefault="00000000">
                  <w:pPr>
                    <w:pStyle w:val="Compact"/>
                    <w:jc w:val="center"/>
                  </w:pPr>
                  <w:r>
                    <w:t>21</w:t>
                  </w:r>
                </w:p>
              </w:tc>
              <w:tc>
                <w:tcPr>
                  <w:tcW w:w="1377" w:type="dxa"/>
                </w:tcPr>
                <w:p w14:paraId="323038B6" w14:textId="77777777" w:rsidR="004E4CC2" w:rsidRDefault="00000000">
                  <w:pPr>
                    <w:pStyle w:val="Compact"/>
                    <w:jc w:val="center"/>
                  </w:pPr>
                  <w:r>
                    <w:t>21</w:t>
                  </w:r>
                </w:p>
              </w:tc>
              <w:tc>
                <w:tcPr>
                  <w:tcW w:w="1377" w:type="dxa"/>
                </w:tcPr>
                <w:p w14:paraId="7EFC661F" w14:textId="77777777" w:rsidR="004E4CC2" w:rsidRDefault="00000000">
                  <w:pPr>
                    <w:pStyle w:val="Compact"/>
                    <w:jc w:val="center"/>
                  </w:pPr>
                  <w:r>
                    <w:t>21</w:t>
                  </w:r>
                </w:p>
              </w:tc>
              <w:tc>
                <w:tcPr>
                  <w:tcW w:w="1377" w:type="dxa"/>
                </w:tcPr>
                <w:p w14:paraId="33E6A275" w14:textId="77777777" w:rsidR="004E4CC2" w:rsidRDefault="00000000">
                  <w:pPr>
                    <w:pStyle w:val="Compact"/>
                    <w:jc w:val="center"/>
                  </w:pPr>
                  <w:r>
                    <w:t>21</w:t>
                  </w:r>
                </w:p>
              </w:tc>
            </w:tr>
            <w:tr w:rsidR="004E4CC2" w14:paraId="6C8D4628" w14:textId="77777777">
              <w:tc>
                <w:tcPr>
                  <w:tcW w:w="1033" w:type="dxa"/>
                </w:tcPr>
                <w:p w14:paraId="58CF6B20" w14:textId="77777777" w:rsidR="004E4CC2" w:rsidRDefault="00000000">
                  <w:pPr>
                    <w:pStyle w:val="Compact"/>
                    <w:jc w:val="center"/>
                  </w:pPr>
                  <w:r>
                    <w:t>Geothermie / sonstige Erzeugung¹</w:t>
                  </w:r>
                </w:p>
              </w:tc>
              <w:tc>
                <w:tcPr>
                  <w:tcW w:w="1377" w:type="dxa"/>
                </w:tcPr>
                <w:p w14:paraId="284D96E6" w14:textId="77777777" w:rsidR="004E4CC2" w:rsidRDefault="00000000">
                  <w:pPr>
                    <w:pStyle w:val="Compact"/>
                    <w:jc w:val="center"/>
                  </w:pPr>
                  <w:r>
                    <w:t>4</w:t>
                  </w:r>
                </w:p>
              </w:tc>
              <w:tc>
                <w:tcPr>
                  <w:tcW w:w="1377" w:type="dxa"/>
                </w:tcPr>
                <w:p w14:paraId="43A2BB17" w14:textId="77777777" w:rsidR="004E4CC2" w:rsidRDefault="00000000">
                  <w:pPr>
                    <w:pStyle w:val="Compact"/>
                    <w:jc w:val="center"/>
                  </w:pPr>
                  <w:r>
                    <w:t>0</w:t>
                  </w:r>
                </w:p>
              </w:tc>
              <w:tc>
                <w:tcPr>
                  <w:tcW w:w="1377" w:type="dxa"/>
                </w:tcPr>
                <w:p w14:paraId="54F02A69" w14:textId="77777777" w:rsidR="004E4CC2" w:rsidRDefault="00000000">
                  <w:pPr>
                    <w:pStyle w:val="Compact"/>
                    <w:jc w:val="center"/>
                  </w:pPr>
                  <w:r>
                    <w:t>0</w:t>
                  </w:r>
                </w:p>
              </w:tc>
              <w:tc>
                <w:tcPr>
                  <w:tcW w:w="1377" w:type="dxa"/>
                </w:tcPr>
                <w:p w14:paraId="1C97DBCF" w14:textId="77777777" w:rsidR="004E4CC2" w:rsidRDefault="00000000">
                  <w:pPr>
                    <w:pStyle w:val="Compact"/>
                    <w:jc w:val="center"/>
                  </w:pPr>
                  <w:r>
                    <w:t>0</w:t>
                  </w:r>
                </w:p>
              </w:tc>
              <w:tc>
                <w:tcPr>
                  <w:tcW w:w="1377" w:type="dxa"/>
                </w:tcPr>
                <w:p w14:paraId="08D849A0" w14:textId="77777777" w:rsidR="004E4CC2" w:rsidRDefault="00000000">
                  <w:pPr>
                    <w:pStyle w:val="Compact"/>
                    <w:jc w:val="center"/>
                  </w:pPr>
                  <w:r>
                    <w:t>0</w:t>
                  </w:r>
                </w:p>
              </w:tc>
            </w:tr>
            <w:tr w:rsidR="004E4CC2" w14:paraId="1254E855" w14:textId="77777777">
              <w:tc>
                <w:tcPr>
                  <w:tcW w:w="1033" w:type="dxa"/>
                </w:tcPr>
                <w:p w14:paraId="02C94DDE" w14:textId="77777777" w:rsidR="004E4CC2" w:rsidRDefault="00000000">
                  <w:pPr>
                    <w:pStyle w:val="Compact"/>
                    <w:jc w:val="center"/>
                  </w:pPr>
                  <w:r>
                    <w:t>Wasserstoff-Rückverstromung</w:t>
                  </w:r>
                </w:p>
              </w:tc>
              <w:tc>
                <w:tcPr>
                  <w:tcW w:w="1377" w:type="dxa"/>
                </w:tcPr>
                <w:p w14:paraId="7FBCEF53" w14:textId="77777777" w:rsidR="004E4CC2" w:rsidRDefault="00000000">
                  <w:pPr>
                    <w:pStyle w:val="Compact"/>
                    <w:jc w:val="center"/>
                  </w:pPr>
                  <w:r>
                    <w:t>4</w:t>
                  </w:r>
                </w:p>
              </w:tc>
              <w:tc>
                <w:tcPr>
                  <w:tcW w:w="1377" w:type="dxa"/>
                </w:tcPr>
                <w:p w14:paraId="0E362D68" w14:textId="77777777" w:rsidR="004E4CC2" w:rsidRDefault="00000000">
                  <w:pPr>
                    <w:pStyle w:val="Compact"/>
                    <w:jc w:val="center"/>
                  </w:pPr>
                  <w:r>
                    <w:t>0</w:t>
                  </w:r>
                </w:p>
              </w:tc>
              <w:tc>
                <w:tcPr>
                  <w:tcW w:w="1377" w:type="dxa"/>
                </w:tcPr>
                <w:p w14:paraId="4F78A8B3" w14:textId="77777777" w:rsidR="004E4CC2" w:rsidRDefault="00000000">
                  <w:pPr>
                    <w:pStyle w:val="Compact"/>
                    <w:jc w:val="center"/>
                  </w:pPr>
                  <w:r>
                    <w:t>0</w:t>
                  </w:r>
                </w:p>
              </w:tc>
              <w:tc>
                <w:tcPr>
                  <w:tcW w:w="1377" w:type="dxa"/>
                </w:tcPr>
                <w:p w14:paraId="62ECC486" w14:textId="77777777" w:rsidR="004E4CC2" w:rsidRDefault="00000000">
                  <w:pPr>
                    <w:pStyle w:val="Compact"/>
                    <w:jc w:val="center"/>
                  </w:pPr>
                  <w:r>
                    <w:t>0</w:t>
                  </w:r>
                </w:p>
              </w:tc>
              <w:tc>
                <w:tcPr>
                  <w:tcW w:w="1377" w:type="dxa"/>
                </w:tcPr>
                <w:p w14:paraId="303C3F4B" w14:textId="77777777" w:rsidR="004E4CC2" w:rsidRDefault="00000000">
                  <w:pPr>
                    <w:pStyle w:val="Compact"/>
                    <w:jc w:val="center"/>
                  </w:pPr>
                  <w:r>
                    <w:t>0</w:t>
                  </w:r>
                </w:p>
              </w:tc>
            </w:tr>
            <w:tr w:rsidR="004E4CC2" w14:paraId="27927B71" w14:textId="77777777">
              <w:tc>
                <w:tcPr>
                  <w:tcW w:w="1033" w:type="dxa"/>
                </w:tcPr>
                <w:p w14:paraId="5E61AE50" w14:textId="77777777" w:rsidR="004E4CC2" w:rsidRDefault="00000000">
                  <w:pPr>
                    <w:pStyle w:val="Compact"/>
                    <w:jc w:val="center"/>
                  </w:pPr>
                  <w:r>
                    <w:t>Fossile Erzeugung</w:t>
                  </w:r>
                </w:p>
              </w:tc>
              <w:tc>
                <w:tcPr>
                  <w:tcW w:w="1377" w:type="dxa"/>
                </w:tcPr>
                <w:p w14:paraId="64691E0F" w14:textId="77777777" w:rsidR="004E4CC2" w:rsidRDefault="00000000">
                  <w:pPr>
                    <w:pStyle w:val="Compact"/>
                    <w:jc w:val="center"/>
                  </w:pPr>
                  <w:r>
                    <w:t>1</w:t>
                  </w:r>
                </w:p>
              </w:tc>
              <w:tc>
                <w:tcPr>
                  <w:tcW w:w="1377" w:type="dxa"/>
                </w:tcPr>
                <w:p w14:paraId="2FB30DFA" w14:textId="77777777" w:rsidR="004E4CC2" w:rsidRDefault="00000000">
                  <w:pPr>
                    <w:pStyle w:val="Compact"/>
                    <w:jc w:val="center"/>
                  </w:pPr>
                  <w:r>
                    <w:t>33</w:t>
                  </w:r>
                </w:p>
              </w:tc>
              <w:tc>
                <w:tcPr>
                  <w:tcW w:w="1377" w:type="dxa"/>
                </w:tcPr>
                <w:p w14:paraId="032BF236" w14:textId="77777777" w:rsidR="004E4CC2" w:rsidRDefault="00000000">
                  <w:pPr>
                    <w:pStyle w:val="Compact"/>
                    <w:jc w:val="center"/>
                  </w:pPr>
                  <w:r>
                    <w:t>15</w:t>
                  </w:r>
                </w:p>
              </w:tc>
              <w:tc>
                <w:tcPr>
                  <w:tcW w:w="1377" w:type="dxa"/>
                </w:tcPr>
                <w:p w14:paraId="47F7B28C" w14:textId="77777777" w:rsidR="004E4CC2" w:rsidRDefault="00000000">
                  <w:pPr>
                    <w:pStyle w:val="Compact"/>
                    <w:jc w:val="center"/>
                  </w:pPr>
                  <w:r>
                    <w:t>27</w:t>
                  </w:r>
                </w:p>
              </w:tc>
              <w:tc>
                <w:tcPr>
                  <w:tcW w:w="1377" w:type="dxa"/>
                </w:tcPr>
                <w:p w14:paraId="04896FCB" w14:textId="77777777" w:rsidR="004E4CC2" w:rsidRDefault="00000000">
                  <w:pPr>
                    <w:pStyle w:val="Compact"/>
                    <w:jc w:val="center"/>
                  </w:pPr>
                  <w:r>
                    <w:t>15</w:t>
                  </w:r>
                </w:p>
              </w:tc>
            </w:tr>
            <w:tr w:rsidR="004E4CC2" w14:paraId="74C80C8D" w14:textId="77777777">
              <w:tc>
                <w:tcPr>
                  <w:tcW w:w="1033" w:type="dxa"/>
                </w:tcPr>
                <w:p w14:paraId="39965679" w14:textId="77777777" w:rsidR="004E4CC2" w:rsidRDefault="00000000">
                  <w:pPr>
                    <w:pStyle w:val="Compact"/>
                    <w:jc w:val="center"/>
                  </w:pPr>
                  <w:r>
                    <w:t>Publizierte Erzeugung gesamt</w:t>
                  </w:r>
                </w:p>
              </w:tc>
              <w:tc>
                <w:tcPr>
                  <w:tcW w:w="1377" w:type="dxa"/>
                </w:tcPr>
                <w:p w14:paraId="5780312E" w14:textId="77777777" w:rsidR="004E4CC2" w:rsidRDefault="00000000">
                  <w:pPr>
                    <w:pStyle w:val="Compact"/>
                    <w:jc w:val="center"/>
                  </w:pPr>
                  <w:r>
                    <w:t>457</w:t>
                  </w:r>
                </w:p>
              </w:tc>
              <w:tc>
                <w:tcPr>
                  <w:tcW w:w="1377" w:type="dxa"/>
                </w:tcPr>
                <w:p w14:paraId="6BEB87A7" w14:textId="77777777" w:rsidR="004E4CC2" w:rsidRDefault="00000000">
                  <w:pPr>
                    <w:pStyle w:val="Compact"/>
                    <w:jc w:val="center"/>
                  </w:pPr>
                  <w:r>
                    <w:t>339</w:t>
                  </w:r>
                </w:p>
              </w:tc>
              <w:tc>
                <w:tcPr>
                  <w:tcW w:w="1377" w:type="dxa"/>
                </w:tcPr>
                <w:p w14:paraId="45BFF89F" w14:textId="77777777" w:rsidR="004E4CC2" w:rsidRDefault="00000000">
                  <w:pPr>
                    <w:pStyle w:val="Compact"/>
                    <w:jc w:val="center"/>
                  </w:pPr>
                  <w:r>
                    <w:t>406</w:t>
                  </w:r>
                </w:p>
              </w:tc>
              <w:tc>
                <w:tcPr>
                  <w:tcW w:w="1377" w:type="dxa"/>
                </w:tcPr>
                <w:p w14:paraId="70B1B56A" w14:textId="77777777" w:rsidR="004E4CC2" w:rsidRDefault="00000000">
                  <w:pPr>
                    <w:pStyle w:val="Compact"/>
                    <w:jc w:val="center"/>
                  </w:pPr>
                  <w:r>
                    <w:t>346</w:t>
                  </w:r>
                </w:p>
              </w:tc>
              <w:tc>
                <w:tcPr>
                  <w:tcW w:w="1377" w:type="dxa"/>
                </w:tcPr>
                <w:p w14:paraId="6C89928D" w14:textId="77777777" w:rsidR="004E4CC2" w:rsidRDefault="00000000">
                  <w:pPr>
                    <w:pStyle w:val="Compact"/>
                    <w:jc w:val="center"/>
                  </w:pPr>
                  <w:r>
                    <w:t>406</w:t>
                  </w:r>
                </w:p>
              </w:tc>
            </w:tr>
            <w:tr w:rsidR="004E4CC2" w14:paraId="55831717" w14:textId="77777777">
              <w:tc>
                <w:tcPr>
                  <w:tcW w:w="1033" w:type="dxa"/>
                </w:tcPr>
                <w:p w14:paraId="39967BA1" w14:textId="77777777" w:rsidR="004E4CC2" w:rsidRDefault="00000000">
                  <w:pPr>
                    <w:pStyle w:val="Compact"/>
                    <w:jc w:val="center"/>
                  </w:pPr>
                  <w:r>
                    <w:t>Nettoimporte (− = Export)</w:t>
                  </w:r>
                </w:p>
              </w:tc>
              <w:tc>
                <w:tcPr>
                  <w:tcW w:w="1377" w:type="dxa"/>
                </w:tcPr>
                <w:p w14:paraId="5D119372" w14:textId="77777777" w:rsidR="004E4CC2" w:rsidRDefault="00000000">
                  <w:pPr>
                    <w:pStyle w:val="Compact"/>
                    <w:jc w:val="center"/>
                  </w:pPr>
                  <w:r>
                    <w:t>-7</w:t>
                  </w:r>
                </w:p>
              </w:tc>
              <w:tc>
                <w:tcPr>
                  <w:tcW w:w="1377" w:type="dxa"/>
                </w:tcPr>
                <w:p w14:paraId="065272F4" w14:textId="77777777" w:rsidR="004E4CC2" w:rsidRDefault="00000000">
                  <w:pPr>
                    <w:pStyle w:val="Compact"/>
                    <w:jc w:val="center"/>
                  </w:pPr>
                  <w:r>
                    <w:t>38</w:t>
                  </w:r>
                </w:p>
              </w:tc>
              <w:tc>
                <w:tcPr>
                  <w:tcW w:w="1377" w:type="dxa"/>
                </w:tcPr>
                <w:p w14:paraId="2410BBC1" w14:textId="77777777" w:rsidR="004E4CC2" w:rsidRDefault="00000000">
                  <w:pPr>
                    <w:pStyle w:val="Compact"/>
                    <w:jc w:val="center"/>
                  </w:pPr>
                  <w:r>
                    <w:t>-10</w:t>
                  </w:r>
                </w:p>
              </w:tc>
              <w:tc>
                <w:tcPr>
                  <w:tcW w:w="1377" w:type="dxa"/>
                </w:tcPr>
                <w:p w14:paraId="30FFAF09" w14:textId="77777777" w:rsidR="004E4CC2" w:rsidRDefault="00000000">
                  <w:pPr>
                    <w:pStyle w:val="Compact"/>
                    <w:jc w:val="center"/>
                  </w:pPr>
                  <w:r>
                    <w:t>21</w:t>
                  </w:r>
                </w:p>
              </w:tc>
              <w:tc>
                <w:tcPr>
                  <w:tcW w:w="1377" w:type="dxa"/>
                </w:tcPr>
                <w:p w14:paraId="5BEAB087" w14:textId="77777777" w:rsidR="004E4CC2" w:rsidRDefault="00000000">
                  <w:pPr>
                    <w:pStyle w:val="Compact"/>
                    <w:jc w:val="center"/>
                  </w:pPr>
                  <w:r>
                    <w:t>1</w:t>
                  </w:r>
                </w:p>
              </w:tc>
            </w:tr>
          </w:tbl>
          <w:p w14:paraId="2119A459" w14:textId="77777777" w:rsidR="004E4CC2" w:rsidRDefault="004E4CC2"/>
        </w:tc>
      </w:tr>
    </w:tbl>
    <w:p w14:paraId="1D43054A" w14:textId="77777777" w:rsidR="004E4CC2" w:rsidRDefault="00000000">
      <w:pPr>
        <w:pStyle w:val="Textkrper"/>
      </w:pPr>
      <w:r>
        <w:lastRenderedPageBreak/>
        <w:t xml:space="preserve"> </w:t>
      </w:r>
    </w:p>
    <w:tbl>
      <w:tblPr>
        <w:tblStyle w:val="Table"/>
        <w:tblW w:w="5000" w:type="pct"/>
        <w:tblLayout w:type="fixed"/>
        <w:tblLook w:val="0000" w:firstRow="0" w:lastRow="0" w:firstColumn="0" w:lastColumn="0" w:noHBand="0" w:noVBand="0"/>
      </w:tblPr>
      <w:tblGrid>
        <w:gridCol w:w="9622"/>
      </w:tblGrid>
      <w:tr w:rsidR="004E4CC2" w14:paraId="5AE78B5C" w14:textId="77777777">
        <w:tc>
          <w:tcPr>
            <w:tcW w:w="7920" w:type="dxa"/>
          </w:tcPr>
          <w:p w14:paraId="2F2EA7F3" w14:textId="77777777" w:rsidR="004E4CC2" w:rsidRDefault="00000000">
            <w:pPr>
              <w:pStyle w:val="ImageCaption"/>
              <w:spacing w:before="200"/>
            </w:pPr>
            <w:r>
              <w:t>Tabelle A.2: Publizierter Strombedarf einschließlich Energiebranche, Verlusten und Umwandlung. Transition: REP-0880, Tab. 15, S. 60; WEM/WAM 2023: REP-0882, Tab. 12, S. 39; WEM/WAM 2025: REP-0995, Tab. 18, S. 62 (Umweltbundesamt 2024, 2023a, 2025).</w:t>
            </w:r>
          </w:p>
          <w:tbl>
            <w:tblPr>
              <w:tblStyle w:val="Table"/>
              <w:tblW w:w="5000" w:type="pct"/>
              <w:tblLayout w:type="fixed"/>
              <w:tblLook w:val="0020" w:firstRow="1" w:lastRow="0" w:firstColumn="0" w:lastColumn="0" w:noHBand="0" w:noVBand="0"/>
            </w:tblPr>
            <w:tblGrid>
              <w:gridCol w:w="1226"/>
              <w:gridCol w:w="1636"/>
              <w:gridCol w:w="1636"/>
              <w:gridCol w:w="1636"/>
              <w:gridCol w:w="1636"/>
              <w:gridCol w:w="1636"/>
            </w:tblGrid>
            <w:tr w:rsidR="004E4CC2" w14:paraId="47038AC6"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033" w:type="dxa"/>
                </w:tcPr>
                <w:p w14:paraId="2BEDD45E" w14:textId="77777777" w:rsidR="004E4CC2" w:rsidRDefault="00000000">
                  <w:pPr>
                    <w:pStyle w:val="Compact"/>
                    <w:jc w:val="center"/>
                  </w:pPr>
                  <w:r>
                    <w:t>Strombedarf 2040 [PJ_el/a]</w:t>
                  </w:r>
                </w:p>
              </w:tc>
              <w:tc>
                <w:tcPr>
                  <w:tcW w:w="1377" w:type="dxa"/>
                </w:tcPr>
                <w:p w14:paraId="5DF8F1BD" w14:textId="77777777" w:rsidR="004E4CC2" w:rsidRDefault="00000000">
                  <w:pPr>
                    <w:pStyle w:val="Compact"/>
                    <w:jc w:val="center"/>
                  </w:pPr>
                  <w:r>
                    <w:t>Transition 2040</w:t>
                  </w:r>
                </w:p>
              </w:tc>
              <w:tc>
                <w:tcPr>
                  <w:tcW w:w="1377" w:type="dxa"/>
                </w:tcPr>
                <w:p w14:paraId="325EC677" w14:textId="77777777" w:rsidR="004E4CC2" w:rsidRDefault="00000000">
                  <w:pPr>
                    <w:pStyle w:val="Compact"/>
                    <w:jc w:val="center"/>
                  </w:pPr>
                  <w:r>
                    <w:t>WEM 2025</w:t>
                  </w:r>
                </w:p>
              </w:tc>
              <w:tc>
                <w:tcPr>
                  <w:tcW w:w="1377" w:type="dxa"/>
                </w:tcPr>
                <w:p w14:paraId="78F07ECC" w14:textId="77777777" w:rsidR="004E4CC2" w:rsidRDefault="00000000">
                  <w:pPr>
                    <w:pStyle w:val="Compact"/>
                    <w:jc w:val="center"/>
                  </w:pPr>
                  <w:r>
                    <w:t>WAM 2025</w:t>
                  </w:r>
                </w:p>
              </w:tc>
              <w:tc>
                <w:tcPr>
                  <w:tcW w:w="1377" w:type="dxa"/>
                </w:tcPr>
                <w:p w14:paraId="3D3D4176" w14:textId="77777777" w:rsidR="004E4CC2" w:rsidRDefault="00000000">
                  <w:pPr>
                    <w:pStyle w:val="Compact"/>
                    <w:jc w:val="center"/>
                  </w:pPr>
                  <w:r>
                    <w:t>WEM 2023</w:t>
                  </w:r>
                </w:p>
              </w:tc>
              <w:tc>
                <w:tcPr>
                  <w:tcW w:w="1377" w:type="dxa"/>
                </w:tcPr>
                <w:p w14:paraId="72050E53" w14:textId="77777777" w:rsidR="004E4CC2" w:rsidRDefault="00000000">
                  <w:pPr>
                    <w:pStyle w:val="Compact"/>
                    <w:jc w:val="center"/>
                  </w:pPr>
                  <w:r>
                    <w:t>WAM 2023</w:t>
                  </w:r>
                </w:p>
              </w:tc>
            </w:tr>
            <w:tr w:rsidR="004E4CC2" w14:paraId="54385161" w14:textId="77777777">
              <w:tc>
                <w:tcPr>
                  <w:tcW w:w="1033" w:type="dxa"/>
                </w:tcPr>
                <w:p w14:paraId="6DEFBB3F" w14:textId="77777777" w:rsidR="004E4CC2" w:rsidRDefault="00000000">
                  <w:pPr>
                    <w:pStyle w:val="Compact"/>
                    <w:jc w:val="center"/>
                  </w:pPr>
                  <w:r>
                    <w:lastRenderedPageBreak/>
                    <w:t>Verkehr</w:t>
                  </w:r>
                </w:p>
              </w:tc>
              <w:tc>
                <w:tcPr>
                  <w:tcW w:w="1377" w:type="dxa"/>
                </w:tcPr>
                <w:p w14:paraId="20EF609E" w14:textId="77777777" w:rsidR="004E4CC2" w:rsidRDefault="00000000">
                  <w:pPr>
                    <w:pStyle w:val="Compact"/>
                    <w:jc w:val="center"/>
                  </w:pPr>
                  <w:r>
                    <w:t>90</w:t>
                  </w:r>
                </w:p>
              </w:tc>
              <w:tc>
                <w:tcPr>
                  <w:tcW w:w="1377" w:type="dxa"/>
                </w:tcPr>
                <w:p w14:paraId="1A5A4346" w14:textId="77777777" w:rsidR="004E4CC2" w:rsidRDefault="00000000">
                  <w:pPr>
                    <w:pStyle w:val="Compact"/>
                    <w:jc w:val="center"/>
                  </w:pPr>
                  <w:r>
                    <w:t>76</w:t>
                  </w:r>
                </w:p>
              </w:tc>
              <w:tc>
                <w:tcPr>
                  <w:tcW w:w="1377" w:type="dxa"/>
                </w:tcPr>
                <w:p w14:paraId="13D39EE9" w14:textId="77777777" w:rsidR="004E4CC2" w:rsidRDefault="00000000">
                  <w:pPr>
                    <w:pStyle w:val="Compact"/>
                    <w:jc w:val="center"/>
                  </w:pPr>
                  <w:r>
                    <w:t>72</w:t>
                  </w:r>
                </w:p>
              </w:tc>
              <w:tc>
                <w:tcPr>
                  <w:tcW w:w="1377" w:type="dxa"/>
                </w:tcPr>
                <w:p w14:paraId="38841940" w14:textId="77777777" w:rsidR="004E4CC2" w:rsidRDefault="00000000">
                  <w:pPr>
                    <w:pStyle w:val="Compact"/>
                    <w:jc w:val="center"/>
                  </w:pPr>
                  <w:r>
                    <w:t>67</w:t>
                  </w:r>
                </w:p>
              </w:tc>
              <w:tc>
                <w:tcPr>
                  <w:tcW w:w="1377" w:type="dxa"/>
                </w:tcPr>
                <w:p w14:paraId="3EC98677" w14:textId="77777777" w:rsidR="004E4CC2" w:rsidRDefault="00000000">
                  <w:pPr>
                    <w:pStyle w:val="Compact"/>
                    <w:jc w:val="center"/>
                  </w:pPr>
                  <w:r>
                    <w:t>70</w:t>
                  </w:r>
                </w:p>
              </w:tc>
            </w:tr>
            <w:tr w:rsidR="004E4CC2" w14:paraId="54BAFDF4" w14:textId="77777777">
              <w:tc>
                <w:tcPr>
                  <w:tcW w:w="1033" w:type="dxa"/>
                </w:tcPr>
                <w:p w14:paraId="0F96E164" w14:textId="77777777" w:rsidR="004E4CC2" w:rsidRDefault="00000000">
                  <w:pPr>
                    <w:pStyle w:val="Compact"/>
                    <w:jc w:val="center"/>
                  </w:pPr>
                  <w:r>
                    <w:t>Gebäude</w:t>
                  </w:r>
                </w:p>
              </w:tc>
              <w:tc>
                <w:tcPr>
                  <w:tcW w:w="1377" w:type="dxa"/>
                </w:tcPr>
                <w:p w14:paraId="2A516311" w14:textId="77777777" w:rsidR="004E4CC2" w:rsidRDefault="00000000">
                  <w:pPr>
                    <w:pStyle w:val="Compact"/>
                    <w:jc w:val="center"/>
                  </w:pPr>
                  <w:r>
                    <w:t>108</w:t>
                  </w:r>
                </w:p>
              </w:tc>
              <w:tc>
                <w:tcPr>
                  <w:tcW w:w="1377" w:type="dxa"/>
                </w:tcPr>
                <w:p w14:paraId="0F523D53" w14:textId="77777777" w:rsidR="004E4CC2" w:rsidRDefault="00000000">
                  <w:pPr>
                    <w:pStyle w:val="Compact"/>
                    <w:jc w:val="center"/>
                  </w:pPr>
                  <w:r>
                    <w:t>132</w:t>
                  </w:r>
                </w:p>
              </w:tc>
              <w:tc>
                <w:tcPr>
                  <w:tcW w:w="1377" w:type="dxa"/>
                </w:tcPr>
                <w:p w14:paraId="61074AD4" w14:textId="77777777" w:rsidR="004E4CC2" w:rsidRDefault="00000000">
                  <w:pPr>
                    <w:pStyle w:val="Compact"/>
                    <w:jc w:val="center"/>
                  </w:pPr>
                  <w:r>
                    <w:t>123</w:t>
                  </w:r>
                </w:p>
              </w:tc>
              <w:tc>
                <w:tcPr>
                  <w:tcW w:w="1377" w:type="dxa"/>
                </w:tcPr>
                <w:p w14:paraId="6FCE9143" w14:textId="77777777" w:rsidR="004E4CC2" w:rsidRDefault="00000000">
                  <w:pPr>
                    <w:pStyle w:val="Compact"/>
                    <w:jc w:val="center"/>
                  </w:pPr>
                  <w:r>
                    <w:t>134</w:t>
                  </w:r>
                </w:p>
              </w:tc>
              <w:tc>
                <w:tcPr>
                  <w:tcW w:w="1377" w:type="dxa"/>
                </w:tcPr>
                <w:p w14:paraId="62A7A6E8" w14:textId="77777777" w:rsidR="004E4CC2" w:rsidRDefault="00000000">
                  <w:pPr>
                    <w:pStyle w:val="Compact"/>
                    <w:jc w:val="center"/>
                  </w:pPr>
                  <w:r>
                    <w:t>122</w:t>
                  </w:r>
                </w:p>
              </w:tc>
            </w:tr>
            <w:tr w:rsidR="004E4CC2" w14:paraId="4B35E0A6" w14:textId="77777777">
              <w:tc>
                <w:tcPr>
                  <w:tcW w:w="1033" w:type="dxa"/>
                </w:tcPr>
                <w:p w14:paraId="24AD5428" w14:textId="77777777" w:rsidR="004E4CC2" w:rsidRDefault="00000000">
                  <w:pPr>
                    <w:pStyle w:val="Compact"/>
                    <w:jc w:val="center"/>
                  </w:pPr>
                  <w:r>
                    <w:t>Industrie</w:t>
                  </w:r>
                </w:p>
              </w:tc>
              <w:tc>
                <w:tcPr>
                  <w:tcW w:w="1377" w:type="dxa"/>
                </w:tcPr>
                <w:p w14:paraId="28824631" w14:textId="77777777" w:rsidR="004E4CC2" w:rsidRDefault="00000000">
                  <w:pPr>
                    <w:pStyle w:val="Compact"/>
                    <w:jc w:val="center"/>
                  </w:pPr>
                  <w:r>
                    <w:t>140</w:t>
                  </w:r>
                </w:p>
              </w:tc>
              <w:tc>
                <w:tcPr>
                  <w:tcW w:w="1377" w:type="dxa"/>
                </w:tcPr>
                <w:p w14:paraId="28CBA077" w14:textId="77777777" w:rsidR="004E4CC2" w:rsidRDefault="00000000">
                  <w:pPr>
                    <w:pStyle w:val="Compact"/>
                    <w:jc w:val="center"/>
                  </w:pPr>
                  <w:r>
                    <w:t>115</w:t>
                  </w:r>
                </w:p>
              </w:tc>
              <w:tc>
                <w:tcPr>
                  <w:tcW w:w="1377" w:type="dxa"/>
                </w:tcPr>
                <w:p w14:paraId="26D7C6D4" w14:textId="77777777" w:rsidR="004E4CC2" w:rsidRDefault="00000000">
                  <w:pPr>
                    <w:pStyle w:val="Compact"/>
                    <w:jc w:val="center"/>
                  </w:pPr>
                  <w:r>
                    <w:t>107</w:t>
                  </w:r>
                </w:p>
              </w:tc>
              <w:tc>
                <w:tcPr>
                  <w:tcW w:w="1377" w:type="dxa"/>
                </w:tcPr>
                <w:p w14:paraId="3EF38570" w14:textId="77777777" w:rsidR="004E4CC2" w:rsidRDefault="00000000">
                  <w:pPr>
                    <w:pStyle w:val="Compact"/>
                    <w:jc w:val="center"/>
                  </w:pPr>
                  <w:r>
                    <w:t>120</w:t>
                  </w:r>
                </w:p>
              </w:tc>
              <w:tc>
                <w:tcPr>
                  <w:tcW w:w="1377" w:type="dxa"/>
                </w:tcPr>
                <w:p w14:paraId="1F52EC09" w14:textId="77777777" w:rsidR="004E4CC2" w:rsidRDefault="00000000">
                  <w:pPr>
                    <w:pStyle w:val="Compact"/>
                    <w:jc w:val="center"/>
                  </w:pPr>
                  <w:r>
                    <w:t>126</w:t>
                  </w:r>
                </w:p>
              </w:tc>
            </w:tr>
            <w:tr w:rsidR="004E4CC2" w14:paraId="1D55108C" w14:textId="77777777">
              <w:tc>
                <w:tcPr>
                  <w:tcW w:w="1033" w:type="dxa"/>
                </w:tcPr>
                <w:p w14:paraId="6CF80FCD" w14:textId="77777777" w:rsidR="004E4CC2" w:rsidRDefault="00000000">
                  <w:pPr>
                    <w:pStyle w:val="Compact"/>
                    <w:jc w:val="center"/>
                  </w:pPr>
                  <w:r>
                    <w:t>Landwirtschaft</w:t>
                  </w:r>
                </w:p>
              </w:tc>
              <w:tc>
                <w:tcPr>
                  <w:tcW w:w="1377" w:type="dxa"/>
                </w:tcPr>
                <w:p w14:paraId="038320F7" w14:textId="77777777" w:rsidR="004E4CC2" w:rsidRDefault="00000000">
                  <w:pPr>
                    <w:pStyle w:val="Compact"/>
                    <w:jc w:val="center"/>
                  </w:pPr>
                  <w:r>
                    <w:t>4</w:t>
                  </w:r>
                </w:p>
              </w:tc>
              <w:tc>
                <w:tcPr>
                  <w:tcW w:w="1377" w:type="dxa"/>
                </w:tcPr>
                <w:p w14:paraId="58945003" w14:textId="77777777" w:rsidR="004E4CC2" w:rsidRDefault="00000000">
                  <w:pPr>
                    <w:pStyle w:val="Compact"/>
                    <w:jc w:val="center"/>
                  </w:pPr>
                  <w:r>
                    <w:t>5</w:t>
                  </w:r>
                </w:p>
              </w:tc>
              <w:tc>
                <w:tcPr>
                  <w:tcW w:w="1377" w:type="dxa"/>
                </w:tcPr>
                <w:p w14:paraId="4CCE6A57" w14:textId="77777777" w:rsidR="004E4CC2" w:rsidRDefault="00000000">
                  <w:pPr>
                    <w:pStyle w:val="Compact"/>
                    <w:jc w:val="center"/>
                  </w:pPr>
                  <w:r>
                    <w:t>4</w:t>
                  </w:r>
                </w:p>
              </w:tc>
              <w:tc>
                <w:tcPr>
                  <w:tcW w:w="1377" w:type="dxa"/>
                </w:tcPr>
                <w:p w14:paraId="25D270FC" w14:textId="77777777" w:rsidR="004E4CC2" w:rsidRDefault="00000000">
                  <w:pPr>
                    <w:pStyle w:val="Compact"/>
                    <w:jc w:val="center"/>
                  </w:pPr>
                  <w:r>
                    <w:t>5</w:t>
                  </w:r>
                </w:p>
              </w:tc>
              <w:tc>
                <w:tcPr>
                  <w:tcW w:w="1377" w:type="dxa"/>
                </w:tcPr>
                <w:p w14:paraId="1545442C" w14:textId="77777777" w:rsidR="004E4CC2" w:rsidRDefault="00000000">
                  <w:pPr>
                    <w:pStyle w:val="Compact"/>
                    <w:jc w:val="center"/>
                  </w:pPr>
                  <w:r>
                    <w:t>4</w:t>
                  </w:r>
                </w:p>
              </w:tc>
            </w:tr>
            <w:tr w:rsidR="004E4CC2" w14:paraId="77B48E8D" w14:textId="77777777">
              <w:tc>
                <w:tcPr>
                  <w:tcW w:w="1033" w:type="dxa"/>
                </w:tcPr>
                <w:p w14:paraId="6368860D" w14:textId="77777777" w:rsidR="004E4CC2" w:rsidRDefault="00000000">
                  <w:pPr>
                    <w:pStyle w:val="Compact"/>
                    <w:jc w:val="center"/>
                  </w:pPr>
                  <w:r>
                    <w:t>Verbrauch Sektor Energie</w:t>
                  </w:r>
                </w:p>
              </w:tc>
              <w:tc>
                <w:tcPr>
                  <w:tcW w:w="1377" w:type="dxa"/>
                </w:tcPr>
                <w:p w14:paraId="3BEB8D98" w14:textId="77777777" w:rsidR="004E4CC2" w:rsidRDefault="00000000">
                  <w:pPr>
                    <w:pStyle w:val="Compact"/>
                    <w:jc w:val="center"/>
                  </w:pPr>
                  <w:r>
                    <w:t>34</w:t>
                  </w:r>
                </w:p>
              </w:tc>
              <w:tc>
                <w:tcPr>
                  <w:tcW w:w="1377" w:type="dxa"/>
                </w:tcPr>
                <w:p w14:paraId="56A3D722" w14:textId="77777777" w:rsidR="004E4CC2" w:rsidRDefault="00000000">
                  <w:pPr>
                    <w:pStyle w:val="Compact"/>
                    <w:jc w:val="center"/>
                  </w:pPr>
                  <w:r>
                    <w:t>28</w:t>
                  </w:r>
                </w:p>
              </w:tc>
              <w:tc>
                <w:tcPr>
                  <w:tcW w:w="1377" w:type="dxa"/>
                </w:tcPr>
                <w:p w14:paraId="6681282A" w14:textId="77777777" w:rsidR="004E4CC2" w:rsidRDefault="00000000">
                  <w:pPr>
                    <w:pStyle w:val="Compact"/>
                    <w:jc w:val="center"/>
                  </w:pPr>
                  <w:r>
                    <w:t>40</w:t>
                  </w:r>
                </w:p>
              </w:tc>
              <w:tc>
                <w:tcPr>
                  <w:tcW w:w="1377" w:type="dxa"/>
                </w:tcPr>
                <w:p w14:paraId="03EEB3EB" w14:textId="77777777" w:rsidR="004E4CC2" w:rsidRDefault="00000000">
                  <w:pPr>
                    <w:pStyle w:val="Compact"/>
                    <w:jc w:val="center"/>
                  </w:pPr>
                  <w:r>
                    <w:t>25</w:t>
                  </w:r>
                </w:p>
              </w:tc>
              <w:tc>
                <w:tcPr>
                  <w:tcW w:w="1377" w:type="dxa"/>
                </w:tcPr>
                <w:p w14:paraId="7778FDFB" w14:textId="77777777" w:rsidR="004E4CC2" w:rsidRDefault="00000000">
                  <w:pPr>
                    <w:pStyle w:val="Compact"/>
                    <w:jc w:val="center"/>
                  </w:pPr>
                  <w:r>
                    <w:t>34</w:t>
                  </w:r>
                </w:p>
              </w:tc>
            </w:tr>
            <w:tr w:rsidR="004E4CC2" w14:paraId="2BCAA40E" w14:textId="77777777">
              <w:tc>
                <w:tcPr>
                  <w:tcW w:w="1033" w:type="dxa"/>
                </w:tcPr>
                <w:p w14:paraId="64CDA78A" w14:textId="77777777" w:rsidR="004E4CC2" w:rsidRDefault="00000000">
                  <w:pPr>
                    <w:pStyle w:val="Compact"/>
                    <w:jc w:val="center"/>
                  </w:pPr>
                  <w:r>
                    <w:t>Transportverluste</w:t>
                  </w:r>
                </w:p>
              </w:tc>
              <w:tc>
                <w:tcPr>
                  <w:tcW w:w="1377" w:type="dxa"/>
                </w:tcPr>
                <w:p w14:paraId="40A13DC3" w14:textId="77777777" w:rsidR="004E4CC2" w:rsidRDefault="00000000">
                  <w:pPr>
                    <w:pStyle w:val="Compact"/>
                    <w:jc w:val="center"/>
                  </w:pPr>
                  <w:r>
                    <w:t>19</w:t>
                  </w:r>
                </w:p>
              </w:tc>
              <w:tc>
                <w:tcPr>
                  <w:tcW w:w="1377" w:type="dxa"/>
                </w:tcPr>
                <w:p w14:paraId="04CB3983" w14:textId="77777777" w:rsidR="004E4CC2" w:rsidRDefault="00000000">
                  <w:pPr>
                    <w:pStyle w:val="Compact"/>
                    <w:jc w:val="center"/>
                  </w:pPr>
                  <w:r>
                    <w:t>16</w:t>
                  </w:r>
                </w:p>
              </w:tc>
              <w:tc>
                <w:tcPr>
                  <w:tcW w:w="1377" w:type="dxa"/>
                </w:tcPr>
                <w:p w14:paraId="0369F7A3" w14:textId="77777777" w:rsidR="004E4CC2" w:rsidRDefault="00000000">
                  <w:pPr>
                    <w:pStyle w:val="Compact"/>
                    <w:jc w:val="center"/>
                  </w:pPr>
                  <w:r>
                    <w:t>14</w:t>
                  </w:r>
                </w:p>
              </w:tc>
              <w:tc>
                <w:tcPr>
                  <w:tcW w:w="1377" w:type="dxa"/>
                </w:tcPr>
                <w:p w14:paraId="134DDFAA" w14:textId="77777777" w:rsidR="004E4CC2" w:rsidRDefault="00000000">
                  <w:pPr>
                    <w:pStyle w:val="Compact"/>
                    <w:jc w:val="center"/>
                  </w:pPr>
                  <w:r>
                    <w:t>15</w:t>
                  </w:r>
                </w:p>
              </w:tc>
              <w:tc>
                <w:tcPr>
                  <w:tcW w:w="1377" w:type="dxa"/>
                </w:tcPr>
                <w:p w14:paraId="2D8A401F" w14:textId="77777777" w:rsidR="004E4CC2" w:rsidRDefault="00000000">
                  <w:pPr>
                    <w:pStyle w:val="Compact"/>
                    <w:jc w:val="center"/>
                  </w:pPr>
                  <w:r>
                    <w:t>15</w:t>
                  </w:r>
                </w:p>
              </w:tc>
            </w:tr>
            <w:tr w:rsidR="004E4CC2" w14:paraId="63C2173E" w14:textId="77777777">
              <w:tc>
                <w:tcPr>
                  <w:tcW w:w="1033" w:type="dxa"/>
                </w:tcPr>
                <w:p w14:paraId="180468CE" w14:textId="77777777" w:rsidR="004E4CC2" w:rsidRDefault="00000000">
                  <w:pPr>
                    <w:pStyle w:val="Compact"/>
                    <w:jc w:val="center"/>
                  </w:pPr>
                  <w:r>
                    <w:t>Umwandlungseinsatz</w:t>
                  </w:r>
                </w:p>
              </w:tc>
              <w:tc>
                <w:tcPr>
                  <w:tcW w:w="1377" w:type="dxa"/>
                </w:tcPr>
                <w:p w14:paraId="7C3577C1" w14:textId="77777777" w:rsidR="004E4CC2" w:rsidRDefault="00000000">
                  <w:pPr>
                    <w:pStyle w:val="Compact"/>
                    <w:jc w:val="center"/>
                  </w:pPr>
                  <w:r>
                    <w:t>57</w:t>
                  </w:r>
                </w:p>
              </w:tc>
              <w:tc>
                <w:tcPr>
                  <w:tcW w:w="1377" w:type="dxa"/>
                </w:tcPr>
                <w:p w14:paraId="2A402DE9" w14:textId="77777777" w:rsidR="004E4CC2" w:rsidRDefault="00000000">
                  <w:pPr>
                    <w:pStyle w:val="Compact"/>
                    <w:jc w:val="center"/>
                  </w:pPr>
                  <w:r>
                    <w:t>3</w:t>
                  </w:r>
                </w:p>
              </w:tc>
              <w:tc>
                <w:tcPr>
                  <w:tcW w:w="1377" w:type="dxa"/>
                </w:tcPr>
                <w:p w14:paraId="7B2E14CA" w14:textId="77777777" w:rsidR="004E4CC2" w:rsidRDefault="00000000">
                  <w:pPr>
                    <w:pStyle w:val="Compact"/>
                    <w:jc w:val="center"/>
                  </w:pPr>
                  <w:r>
                    <w:t>34</w:t>
                  </w:r>
                </w:p>
              </w:tc>
              <w:tc>
                <w:tcPr>
                  <w:tcW w:w="1377" w:type="dxa"/>
                </w:tcPr>
                <w:p w14:paraId="31E07EB9" w14:textId="77777777" w:rsidR="004E4CC2" w:rsidRDefault="00000000">
                  <w:pPr>
                    <w:pStyle w:val="Compact"/>
                    <w:jc w:val="center"/>
                  </w:pPr>
                  <w:r>
                    <w:t>0</w:t>
                  </w:r>
                </w:p>
              </w:tc>
              <w:tc>
                <w:tcPr>
                  <w:tcW w:w="1377" w:type="dxa"/>
                </w:tcPr>
                <w:p w14:paraId="0C6A4412" w14:textId="77777777" w:rsidR="004E4CC2" w:rsidRDefault="00000000">
                  <w:pPr>
                    <w:pStyle w:val="Compact"/>
                    <w:jc w:val="center"/>
                  </w:pPr>
                  <w:r>
                    <w:t>36</w:t>
                  </w:r>
                </w:p>
              </w:tc>
            </w:tr>
            <w:tr w:rsidR="004E4CC2" w14:paraId="7A108A16" w14:textId="77777777">
              <w:tc>
                <w:tcPr>
                  <w:tcW w:w="1033" w:type="dxa"/>
                </w:tcPr>
                <w:p w14:paraId="280281E9" w14:textId="77777777" w:rsidR="004E4CC2" w:rsidRDefault="00000000">
                  <w:pPr>
                    <w:pStyle w:val="Compact"/>
                    <w:jc w:val="center"/>
                  </w:pPr>
                  <w:r>
                    <w:t>Publizierter Strombedarf gesamt</w:t>
                  </w:r>
                </w:p>
              </w:tc>
              <w:tc>
                <w:tcPr>
                  <w:tcW w:w="1377" w:type="dxa"/>
                </w:tcPr>
                <w:p w14:paraId="033EA010" w14:textId="77777777" w:rsidR="004E4CC2" w:rsidRDefault="00000000">
                  <w:pPr>
                    <w:pStyle w:val="Compact"/>
                    <w:jc w:val="center"/>
                  </w:pPr>
                  <w:r>
                    <w:t>450</w:t>
                  </w:r>
                </w:p>
              </w:tc>
              <w:tc>
                <w:tcPr>
                  <w:tcW w:w="1377" w:type="dxa"/>
                </w:tcPr>
                <w:p w14:paraId="148F462E" w14:textId="77777777" w:rsidR="004E4CC2" w:rsidRDefault="00000000">
                  <w:pPr>
                    <w:pStyle w:val="Compact"/>
                    <w:jc w:val="center"/>
                  </w:pPr>
                  <w:r>
                    <w:t>376</w:t>
                  </w:r>
                </w:p>
              </w:tc>
              <w:tc>
                <w:tcPr>
                  <w:tcW w:w="1377" w:type="dxa"/>
                </w:tcPr>
                <w:p w14:paraId="57840750" w14:textId="77777777" w:rsidR="004E4CC2" w:rsidRDefault="00000000">
                  <w:pPr>
                    <w:pStyle w:val="Compact"/>
                    <w:jc w:val="center"/>
                  </w:pPr>
                  <w:r>
                    <w:t>394</w:t>
                  </w:r>
                </w:p>
              </w:tc>
              <w:tc>
                <w:tcPr>
                  <w:tcW w:w="1377" w:type="dxa"/>
                </w:tcPr>
                <w:p w14:paraId="7F19662B" w14:textId="77777777" w:rsidR="004E4CC2" w:rsidRDefault="00000000">
                  <w:pPr>
                    <w:pStyle w:val="Compact"/>
                    <w:jc w:val="center"/>
                  </w:pPr>
                  <w:r>
                    <w:t>367</w:t>
                  </w:r>
                </w:p>
              </w:tc>
              <w:tc>
                <w:tcPr>
                  <w:tcW w:w="1377" w:type="dxa"/>
                </w:tcPr>
                <w:p w14:paraId="0C718539" w14:textId="77777777" w:rsidR="004E4CC2" w:rsidRDefault="00000000">
                  <w:pPr>
                    <w:pStyle w:val="Compact"/>
                    <w:jc w:val="center"/>
                  </w:pPr>
                  <w:r>
                    <w:t>407</w:t>
                  </w:r>
                </w:p>
              </w:tc>
            </w:tr>
          </w:tbl>
          <w:p w14:paraId="678E588A" w14:textId="77777777" w:rsidR="004E4CC2" w:rsidRDefault="004E4CC2"/>
        </w:tc>
      </w:tr>
    </w:tbl>
    <w:p w14:paraId="7FDA3178" w14:textId="77777777" w:rsidR="004E4CC2" w:rsidRDefault="00000000">
      <w:pPr>
        <w:pStyle w:val="Textkrper"/>
      </w:pPr>
      <w:r>
        <w:lastRenderedPageBreak/>
        <w:t>¹ Transition: Geothermie; die Vergleichstabellen verwenden die breitere Kategorie „Umgebungswärme etc.“. Striche bei WEM/WAM 2023 wurden in der übergebenen Normierung als null geführt.</w:t>
      </w:r>
    </w:p>
    <w:tbl>
      <w:tblPr>
        <w:tblStyle w:val="Table"/>
        <w:tblW w:w="5000" w:type="pct"/>
        <w:tblLayout w:type="fixed"/>
        <w:tblLook w:val="0000" w:firstRow="0" w:lastRow="0" w:firstColumn="0" w:lastColumn="0" w:noHBand="0" w:noVBand="0"/>
      </w:tblPr>
      <w:tblGrid>
        <w:gridCol w:w="9622"/>
      </w:tblGrid>
      <w:tr w:rsidR="004E4CC2" w14:paraId="654808C2" w14:textId="77777777">
        <w:tc>
          <w:tcPr>
            <w:tcW w:w="7920" w:type="dxa"/>
          </w:tcPr>
          <w:p w14:paraId="70A8BBC2" w14:textId="77777777" w:rsidR="004E4CC2" w:rsidRDefault="00000000">
            <w:pPr>
              <w:pStyle w:val="ImageCaption"/>
              <w:spacing w:before="200"/>
            </w:pPr>
            <w:r>
              <w:t>Tabelle A.3: Dokumentierte Rundungs- und Bilanzreste in PJ_el/a, aus denselben publizierten Tabellen berechnet. Keine Verteilung auf Einzelpositionen.</w:t>
            </w:r>
          </w:p>
          <w:tbl>
            <w:tblPr>
              <w:tblStyle w:val="Table"/>
              <w:tblW w:w="5000" w:type="pct"/>
              <w:tblLayout w:type="fixed"/>
              <w:tblLook w:val="0020" w:firstRow="1" w:lastRow="0" w:firstColumn="0" w:lastColumn="0" w:noHBand="0" w:noVBand="0"/>
            </w:tblPr>
            <w:tblGrid>
              <w:gridCol w:w="1882"/>
              <w:gridCol w:w="2508"/>
              <w:gridCol w:w="2508"/>
              <w:gridCol w:w="2508"/>
            </w:tblGrid>
            <w:tr w:rsidR="004E4CC2" w14:paraId="382757B7"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584" w:type="dxa"/>
                </w:tcPr>
                <w:p w14:paraId="1437E25D" w14:textId="77777777" w:rsidR="004E4CC2" w:rsidRDefault="00000000">
                  <w:pPr>
                    <w:pStyle w:val="Compact"/>
                    <w:jc w:val="center"/>
                  </w:pPr>
                  <w:r>
                    <w:t>Szenario</w:t>
                  </w:r>
                </w:p>
              </w:tc>
              <w:tc>
                <w:tcPr>
                  <w:tcW w:w="2112" w:type="dxa"/>
                </w:tcPr>
                <w:p w14:paraId="3EF3B804" w14:textId="77777777" w:rsidR="004E4CC2" w:rsidRDefault="00000000">
                  <w:pPr>
                    <w:pStyle w:val="Compact"/>
                    <w:jc w:val="center"/>
                  </w:pPr>
                  <w:r>
                    <w:t>Erzeugung: Komponenten − Gesamt</w:t>
                  </w:r>
                </w:p>
              </w:tc>
              <w:tc>
                <w:tcPr>
                  <w:tcW w:w="2112" w:type="dxa"/>
                </w:tcPr>
                <w:p w14:paraId="26E74E11" w14:textId="77777777" w:rsidR="004E4CC2" w:rsidRDefault="00000000">
                  <w:pPr>
                    <w:pStyle w:val="Compact"/>
                    <w:jc w:val="center"/>
                  </w:pPr>
                  <w:r>
                    <w:t>Bedarf: Komponenten − Gesamt</w:t>
                  </w:r>
                </w:p>
              </w:tc>
              <w:tc>
                <w:tcPr>
                  <w:tcW w:w="2112" w:type="dxa"/>
                </w:tcPr>
                <w:p w14:paraId="12AAA923" w14:textId="77777777" w:rsidR="004E4CC2" w:rsidRDefault="00000000">
                  <w:pPr>
                    <w:pStyle w:val="Compact"/>
                    <w:jc w:val="center"/>
                  </w:pPr>
                  <w:r>
                    <w:t>Erzeugung + Nettoimport − Bedarf</w:t>
                  </w:r>
                </w:p>
              </w:tc>
            </w:tr>
            <w:tr w:rsidR="004E4CC2" w14:paraId="6CEC5DA8" w14:textId="77777777">
              <w:tc>
                <w:tcPr>
                  <w:tcW w:w="1584" w:type="dxa"/>
                </w:tcPr>
                <w:p w14:paraId="585CE391" w14:textId="77777777" w:rsidR="004E4CC2" w:rsidRDefault="00000000">
                  <w:pPr>
                    <w:pStyle w:val="Compact"/>
                    <w:jc w:val="center"/>
                  </w:pPr>
                  <w:r>
                    <w:t>Transition 2040</w:t>
                  </w:r>
                </w:p>
              </w:tc>
              <w:tc>
                <w:tcPr>
                  <w:tcW w:w="2112" w:type="dxa"/>
                </w:tcPr>
                <w:p w14:paraId="7E931494" w14:textId="77777777" w:rsidR="004E4CC2" w:rsidRDefault="00000000">
                  <w:pPr>
                    <w:pStyle w:val="Compact"/>
                    <w:jc w:val="center"/>
                  </w:pPr>
                  <w:r>
                    <w:t>+0</w:t>
                  </w:r>
                </w:p>
              </w:tc>
              <w:tc>
                <w:tcPr>
                  <w:tcW w:w="2112" w:type="dxa"/>
                </w:tcPr>
                <w:p w14:paraId="6B8968F9" w14:textId="77777777" w:rsidR="004E4CC2" w:rsidRDefault="00000000">
                  <w:pPr>
                    <w:pStyle w:val="Compact"/>
                    <w:jc w:val="center"/>
                  </w:pPr>
                  <w:r>
                    <w:t>+2</w:t>
                  </w:r>
                </w:p>
              </w:tc>
              <w:tc>
                <w:tcPr>
                  <w:tcW w:w="2112" w:type="dxa"/>
                </w:tcPr>
                <w:p w14:paraId="118D185D" w14:textId="77777777" w:rsidR="004E4CC2" w:rsidRDefault="00000000">
                  <w:pPr>
                    <w:pStyle w:val="Compact"/>
                    <w:jc w:val="center"/>
                  </w:pPr>
                  <w:r>
                    <w:t>+0</w:t>
                  </w:r>
                </w:p>
              </w:tc>
            </w:tr>
            <w:tr w:rsidR="004E4CC2" w14:paraId="651CA371" w14:textId="77777777">
              <w:tc>
                <w:tcPr>
                  <w:tcW w:w="1584" w:type="dxa"/>
                </w:tcPr>
                <w:p w14:paraId="42D1E6E0" w14:textId="77777777" w:rsidR="004E4CC2" w:rsidRDefault="00000000">
                  <w:pPr>
                    <w:pStyle w:val="Compact"/>
                    <w:jc w:val="center"/>
                  </w:pPr>
                  <w:r>
                    <w:t>WEM 2025</w:t>
                  </w:r>
                </w:p>
              </w:tc>
              <w:tc>
                <w:tcPr>
                  <w:tcW w:w="2112" w:type="dxa"/>
                </w:tcPr>
                <w:p w14:paraId="0992E822" w14:textId="77777777" w:rsidR="004E4CC2" w:rsidRDefault="00000000">
                  <w:pPr>
                    <w:pStyle w:val="Compact"/>
                    <w:jc w:val="center"/>
                  </w:pPr>
                  <w:r>
                    <w:t>+0</w:t>
                  </w:r>
                </w:p>
              </w:tc>
              <w:tc>
                <w:tcPr>
                  <w:tcW w:w="2112" w:type="dxa"/>
                </w:tcPr>
                <w:p w14:paraId="63E02223" w14:textId="77777777" w:rsidR="004E4CC2" w:rsidRDefault="00000000">
                  <w:pPr>
                    <w:pStyle w:val="Compact"/>
                    <w:jc w:val="center"/>
                  </w:pPr>
                  <w:r>
                    <w:t>-1</w:t>
                  </w:r>
                </w:p>
              </w:tc>
              <w:tc>
                <w:tcPr>
                  <w:tcW w:w="2112" w:type="dxa"/>
                </w:tcPr>
                <w:p w14:paraId="288A84FD" w14:textId="77777777" w:rsidR="004E4CC2" w:rsidRDefault="00000000">
                  <w:pPr>
                    <w:pStyle w:val="Compact"/>
                    <w:jc w:val="center"/>
                  </w:pPr>
                  <w:r>
                    <w:t>+1</w:t>
                  </w:r>
                </w:p>
              </w:tc>
            </w:tr>
            <w:tr w:rsidR="004E4CC2" w14:paraId="10223E1D" w14:textId="77777777">
              <w:tc>
                <w:tcPr>
                  <w:tcW w:w="1584" w:type="dxa"/>
                </w:tcPr>
                <w:p w14:paraId="16B71579" w14:textId="77777777" w:rsidR="004E4CC2" w:rsidRDefault="00000000">
                  <w:pPr>
                    <w:pStyle w:val="Compact"/>
                    <w:jc w:val="center"/>
                  </w:pPr>
                  <w:r>
                    <w:t>WAM 2025</w:t>
                  </w:r>
                </w:p>
              </w:tc>
              <w:tc>
                <w:tcPr>
                  <w:tcW w:w="2112" w:type="dxa"/>
                </w:tcPr>
                <w:p w14:paraId="08BF7A42" w14:textId="77777777" w:rsidR="004E4CC2" w:rsidRDefault="00000000">
                  <w:pPr>
                    <w:pStyle w:val="Compact"/>
                    <w:jc w:val="center"/>
                  </w:pPr>
                  <w:r>
                    <w:t>+0</w:t>
                  </w:r>
                </w:p>
              </w:tc>
              <w:tc>
                <w:tcPr>
                  <w:tcW w:w="2112" w:type="dxa"/>
                </w:tcPr>
                <w:p w14:paraId="34C1EB67" w14:textId="77777777" w:rsidR="004E4CC2" w:rsidRDefault="00000000">
                  <w:pPr>
                    <w:pStyle w:val="Compact"/>
                    <w:jc w:val="center"/>
                  </w:pPr>
                  <w:r>
                    <w:t>+0</w:t>
                  </w:r>
                </w:p>
              </w:tc>
              <w:tc>
                <w:tcPr>
                  <w:tcW w:w="2112" w:type="dxa"/>
                </w:tcPr>
                <w:p w14:paraId="0E709574" w14:textId="77777777" w:rsidR="004E4CC2" w:rsidRDefault="00000000">
                  <w:pPr>
                    <w:pStyle w:val="Compact"/>
                    <w:jc w:val="center"/>
                  </w:pPr>
                  <w:r>
                    <w:t>+2</w:t>
                  </w:r>
                </w:p>
              </w:tc>
            </w:tr>
            <w:tr w:rsidR="004E4CC2" w14:paraId="727AAFEB" w14:textId="77777777">
              <w:tc>
                <w:tcPr>
                  <w:tcW w:w="1584" w:type="dxa"/>
                </w:tcPr>
                <w:p w14:paraId="0CB59024" w14:textId="77777777" w:rsidR="004E4CC2" w:rsidRDefault="00000000">
                  <w:pPr>
                    <w:pStyle w:val="Compact"/>
                    <w:jc w:val="center"/>
                  </w:pPr>
                  <w:r>
                    <w:t>WEM 2023</w:t>
                  </w:r>
                </w:p>
              </w:tc>
              <w:tc>
                <w:tcPr>
                  <w:tcW w:w="2112" w:type="dxa"/>
                </w:tcPr>
                <w:p w14:paraId="2C6771FF" w14:textId="77777777" w:rsidR="004E4CC2" w:rsidRDefault="00000000">
                  <w:pPr>
                    <w:pStyle w:val="Compact"/>
                    <w:jc w:val="center"/>
                  </w:pPr>
                  <w:r>
                    <w:t>-1</w:t>
                  </w:r>
                </w:p>
              </w:tc>
              <w:tc>
                <w:tcPr>
                  <w:tcW w:w="2112" w:type="dxa"/>
                </w:tcPr>
                <w:p w14:paraId="178D10F7" w14:textId="77777777" w:rsidR="004E4CC2" w:rsidRDefault="00000000">
                  <w:pPr>
                    <w:pStyle w:val="Compact"/>
                    <w:jc w:val="center"/>
                  </w:pPr>
                  <w:r>
                    <w:t>-1</w:t>
                  </w:r>
                </w:p>
              </w:tc>
              <w:tc>
                <w:tcPr>
                  <w:tcW w:w="2112" w:type="dxa"/>
                </w:tcPr>
                <w:p w14:paraId="19D09898" w14:textId="77777777" w:rsidR="004E4CC2" w:rsidRDefault="00000000">
                  <w:pPr>
                    <w:pStyle w:val="Compact"/>
                    <w:jc w:val="center"/>
                  </w:pPr>
                  <w:r>
                    <w:t>+0</w:t>
                  </w:r>
                </w:p>
              </w:tc>
            </w:tr>
            <w:tr w:rsidR="004E4CC2" w14:paraId="27AEC076" w14:textId="77777777">
              <w:tc>
                <w:tcPr>
                  <w:tcW w:w="1584" w:type="dxa"/>
                </w:tcPr>
                <w:p w14:paraId="67BBCD1E" w14:textId="77777777" w:rsidR="004E4CC2" w:rsidRDefault="00000000">
                  <w:pPr>
                    <w:pStyle w:val="Compact"/>
                    <w:jc w:val="center"/>
                  </w:pPr>
                  <w:r>
                    <w:t>WAM 2023</w:t>
                  </w:r>
                </w:p>
              </w:tc>
              <w:tc>
                <w:tcPr>
                  <w:tcW w:w="2112" w:type="dxa"/>
                </w:tcPr>
                <w:p w14:paraId="2AB8F6C1" w14:textId="77777777" w:rsidR="004E4CC2" w:rsidRDefault="00000000">
                  <w:pPr>
                    <w:pStyle w:val="Compact"/>
                    <w:jc w:val="center"/>
                  </w:pPr>
                  <w:r>
                    <w:t>+0</w:t>
                  </w:r>
                </w:p>
              </w:tc>
              <w:tc>
                <w:tcPr>
                  <w:tcW w:w="2112" w:type="dxa"/>
                </w:tcPr>
                <w:p w14:paraId="14DF1173" w14:textId="77777777" w:rsidR="004E4CC2" w:rsidRDefault="00000000">
                  <w:pPr>
                    <w:pStyle w:val="Compact"/>
                    <w:jc w:val="center"/>
                  </w:pPr>
                  <w:r>
                    <w:t>+0</w:t>
                  </w:r>
                </w:p>
              </w:tc>
              <w:tc>
                <w:tcPr>
                  <w:tcW w:w="2112" w:type="dxa"/>
                </w:tcPr>
                <w:p w14:paraId="4CAD1941" w14:textId="77777777" w:rsidR="004E4CC2" w:rsidRDefault="00000000">
                  <w:pPr>
                    <w:pStyle w:val="Compact"/>
                    <w:jc w:val="center"/>
                  </w:pPr>
                  <w:r>
                    <w:t>+0</w:t>
                  </w:r>
                </w:p>
              </w:tc>
            </w:tr>
          </w:tbl>
          <w:p w14:paraId="761A2D48" w14:textId="77777777" w:rsidR="004E4CC2" w:rsidRDefault="004E4CC2"/>
        </w:tc>
      </w:tr>
    </w:tbl>
    <w:p w14:paraId="1784E002" w14:textId="77777777" w:rsidR="004E4CC2" w:rsidRDefault="00000000">
      <w:pPr>
        <w:pStyle w:val="berschrift2"/>
      </w:pPr>
      <w:bookmarkStart w:id="307" w:name="endenergie-nach-sektoren"/>
      <w:bookmarkStart w:id="308" w:name="_Toc243681336"/>
      <w:bookmarkEnd w:id="305"/>
      <w:r>
        <w:t>A.2 Endenergie nach Sektoren</w:t>
      </w:r>
      <w:bookmarkEnd w:id="308"/>
    </w:p>
    <w:tbl>
      <w:tblPr>
        <w:tblStyle w:val="Table"/>
        <w:tblW w:w="5000" w:type="pct"/>
        <w:tblLayout w:type="fixed"/>
        <w:tblLook w:val="0000" w:firstRow="0" w:lastRow="0" w:firstColumn="0" w:lastColumn="0" w:noHBand="0" w:noVBand="0"/>
      </w:tblPr>
      <w:tblGrid>
        <w:gridCol w:w="9622"/>
      </w:tblGrid>
      <w:tr w:rsidR="004E4CC2" w14:paraId="62B44016" w14:textId="77777777">
        <w:tc>
          <w:tcPr>
            <w:tcW w:w="7920" w:type="dxa"/>
          </w:tcPr>
          <w:p w14:paraId="5F9264EC" w14:textId="77777777" w:rsidR="004E4CC2" w:rsidRDefault="00000000">
            <w:pPr>
              <w:pStyle w:val="ImageCaption"/>
              <w:spacing w:before="200"/>
            </w:pPr>
            <w:r>
              <w:t>Tabelle A.4: Separater Sektorausweis, nicht Teil der Stromallokation. Quellen: REP-0880 Tab. A S. 7, REP-0882 Zusammenfassung Tab. B S. 5, REP-0995 Tab. B S. 10.</w:t>
            </w:r>
          </w:p>
          <w:tbl>
            <w:tblPr>
              <w:tblStyle w:val="Table"/>
              <w:tblW w:w="5000" w:type="pct"/>
              <w:tblLayout w:type="fixed"/>
              <w:tblLook w:val="0020" w:firstRow="1" w:lastRow="0" w:firstColumn="0" w:lastColumn="0" w:noHBand="0" w:noVBand="0"/>
            </w:tblPr>
            <w:tblGrid>
              <w:gridCol w:w="1226"/>
              <w:gridCol w:w="1636"/>
              <w:gridCol w:w="1636"/>
              <w:gridCol w:w="1636"/>
              <w:gridCol w:w="1636"/>
              <w:gridCol w:w="1636"/>
            </w:tblGrid>
            <w:tr w:rsidR="004E4CC2" w14:paraId="437DABD4"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033" w:type="dxa"/>
                </w:tcPr>
                <w:p w14:paraId="0E36946B" w14:textId="77777777" w:rsidR="004E4CC2" w:rsidRDefault="00000000">
                  <w:pPr>
                    <w:pStyle w:val="Compact"/>
                    <w:jc w:val="center"/>
                  </w:pPr>
                  <w:r>
                    <w:lastRenderedPageBreak/>
                    <w:t>Endenergie 2040 [PJ_end/a]</w:t>
                  </w:r>
                </w:p>
              </w:tc>
              <w:tc>
                <w:tcPr>
                  <w:tcW w:w="1377" w:type="dxa"/>
                </w:tcPr>
                <w:p w14:paraId="5EE888D0" w14:textId="77777777" w:rsidR="004E4CC2" w:rsidRDefault="00000000">
                  <w:pPr>
                    <w:pStyle w:val="Compact"/>
                    <w:jc w:val="center"/>
                  </w:pPr>
                  <w:r>
                    <w:t>Transition 2040</w:t>
                  </w:r>
                </w:p>
              </w:tc>
              <w:tc>
                <w:tcPr>
                  <w:tcW w:w="1377" w:type="dxa"/>
                </w:tcPr>
                <w:p w14:paraId="19D57965" w14:textId="77777777" w:rsidR="004E4CC2" w:rsidRDefault="00000000">
                  <w:pPr>
                    <w:pStyle w:val="Compact"/>
                    <w:jc w:val="center"/>
                  </w:pPr>
                  <w:r>
                    <w:t>WEM 2025</w:t>
                  </w:r>
                </w:p>
              </w:tc>
              <w:tc>
                <w:tcPr>
                  <w:tcW w:w="1377" w:type="dxa"/>
                </w:tcPr>
                <w:p w14:paraId="2D9EC566" w14:textId="77777777" w:rsidR="004E4CC2" w:rsidRDefault="00000000">
                  <w:pPr>
                    <w:pStyle w:val="Compact"/>
                    <w:jc w:val="center"/>
                  </w:pPr>
                  <w:r>
                    <w:t>WAM 2025</w:t>
                  </w:r>
                </w:p>
              </w:tc>
              <w:tc>
                <w:tcPr>
                  <w:tcW w:w="1377" w:type="dxa"/>
                </w:tcPr>
                <w:p w14:paraId="3F07AC40" w14:textId="77777777" w:rsidR="004E4CC2" w:rsidRDefault="00000000">
                  <w:pPr>
                    <w:pStyle w:val="Compact"/>
                    <w:jc w:val="center"/>
                  </w:pPr>
                  <w:r>
                    <w:t>WEM 2023</w:t>
                  </w:r>
                </w:p>
              </w:tc>
              <w:tc>
                <w:tcPr>
                  <w:tcW w:w="1377" w:type="dxa"/>
                </w:tcPr>
                <w:p w14:paraId="2467F70E" w14:textId="77777777" w:rsidR="004E4CC2" w:rsidRDefault="00000000">
                  <w:pPr>
                    <w:pStyle w:val="Compact"/>
                    <w:jc w:val="center"/>
                  </w:pPr>
                  <w:r>
                    <w:t>WAM 2023</w:t>
                  </w:r>
                </w:p>
              </w:tc>
            </w:tr>
            <w:tr w:rsidR="004E4CC2" w14:paraId="4FFDF4C3" w14:textId="77777777">
              <w:tc>
                <w:tcPr>
                  <w:tcW w:w="1033" w:type="dxa"/>
                </w:tcPr>
                <w:p w14:paraId="4735B264" w14:textId="77777777" w:rsidR="004E4CC2" w:rsidRDefault="00000000">
                  <w:pPr>
                    <w:pStyle w:val="Compact"/>
                    <w:jc w:val="center"/>
                  </w:pPr>
                  <w:r>
                    <w:t>Verkehr</w:t>
                  </w:r>
                </w:p>
              </w:tc>
              <w:tc>
                <w:tcPr>
                  <w:tcW w:w="1377" w:type="dxa"/>
                </w:tcPr>
                <w:p w14:paraId="72098004" w14:textId="77777777" w:rsidR="004E4CC2" w:rsidRDefault="00000000">
                  <w:pPr>
                    <w:pStyle w:val="Compact"/>
                    <w:jc w:val="center"/>
                  </w:pPr>
                  <w:r>
                    <w:t>151</w:t>
                  </w:r>
                </w:p>
              </w:tc>
              <w:tc>
                <w:tcPr>
                  <w:tcW w:w="1377" w:type="dxa"/>
                </w:tcPr>
                <w:p w14:paraId="7181038D" w14:textId="77777777" w:rsidR="004E4CC2" w:rsidRDefault="00000000">
                  <w:pPr>
                    <w:pStyle w:val="Compact"/>
                    <w:jc w:val="center"/>
                  </w:pPr>
                  <w:r>
                    <w:t>279</w:t>
                  </w:r>
                </w:p>
              </w:tc>
              <w:tc>
                <w:tcPr>
                  <w:tcW w:w="1377" w:type="dxa"/>
                </w:tcPr>
                <w:p w14:paraId="7D7219DA" w14:textId="77777777" w:rsidR="004E4CC2" w:rsidRDefault="00000000">
                  <w:pPr>
                    <w:pStyle w:val="Compact"/>
                    <w:jc w:val="center"/>
                  </w:pPr>
                  <w:r>
                    <w:t>268</w:t>
                  </w:r>
                </w:p>
              </w:tc>
              <w:tc>
                <w:tcPr>
                  <w:tcW w:w="1377" w:type="dxa"/>
                </w:tcPr>
                <w:p w14:paraId="1D56B41D" w14:textId="77777777" w:rsidR="004E4CC2" w:rsidRDefault="00000000">
                  <w:pPr>
                    <w:pStyle w:val="Compact"/>
                    <w:jc w:val="center"/>
                  </w:pPr>
                  <w:r>
                    <w:t>325</w:t>
                  </w:r>
                </w:p>
              </w:tc>
              <w:tc>
                <w:tcPr>
                  <w:tcW w:w="1377" w:type="dxa"/>
                </w:tcPr>
                <w:p w14:paraId="22487003" w14:textId="77777777" w:rsidR="004E4CC2" w:rsidRDefault="00000000">
                  <w:pPr>
                    <w:pStyle w:val="Compact"/>
                    <w:jc w:val="center"/>
                  </w:pPr>
                  <w:r>
                    <w:t>295</w:t>
                  </w:r>
                </w:p>
              </w:tc>
            </w:tr>
            <w:tr w:rsidR="004E4CC2" w14:paraId="6A26BE4F" w14:textId="77777777">
              <w:tc>
                <w:tcPr>
                  <w:tcW w:w="1033" w:type="dxa"/>
                </w:tcPr>
                <w:p w14:paraId="5CA3B63A" w14:textId="77777777" w:rsidR="004E4CC2" w:rsidRDefault="00000000">
                  <w:pPr>
                    <w:pStyle w:val="Compact"/>
                    <w:jc w:val="center"/>
                  </w:pPr>
                  <w:r>
                    <w:t>Industrie</w:t>
                  </w:r>
                </w:p>
              </w:tc>
              <w:tc>
                <w:tcPr>
                  <w:tcW w:w="1377" w:type="dxa"/>
                </w:tcPr>
                <w:p w14:paraId="0F92C3A9" w14:textId="77777777" w:rsidR="004E4CC2" w:rsidRDefault="00000000">
                  <w:pPr>
                    <w:pStyle w:val="Compact"/>
                    <w:jc w:val="center"/>
                  </w:pPr>
                  <w:r>
                    <w:t>260</w:t>
                  </w:r>
                </w:p>
              </w:tc>
              <w:tc>
                <w:tcPr>
                  <w:tcW w:w="1377" w:type="dxa"/>
                </w:tcPr>
                <w:p w14:paraId="0C68F627" w14:textId="77777777" w:rsidR="004E4CC2" w:rsidRDefault="00000000">
                  <w:pPr>
                    <w:pStyle w:val="Compact"/>
                    <w:jc w:val="center"/>
                  </w:pPr>
                  <w:r>
                    <w:t>347</w:t>
                  </w:r>
                </w:p>
              </w:tc>
              <w:tc>
                <w:tcPr>
                  <w:tcW w:w="1377" w:type="dxa"/>
                </w:tcPr>
                <w:p w14:paraId="31B7DBC8" w14:textId="77777777" w:rsidR="004E4CC2" w:rsidRDefault="00000000">
                  <w:pPr>
                    <w:pStyle w:val="Compact"/>
                    <w:jc w:val="center"/>
                  </w:pPr>
                  <w:r>
                    <w:t>320</w:t>
                  </w:r>
                </w:p>
              </w:tc>
              <w:tc>
                <w:tcPr>
                  <w:tcW w:w="1377" w:type="dxa"/>
                </w:tcPr>
                <w:p w14:paraId="75776889" w14:textId="77777777" w:rsidR="004E4CC2" w:rsidRDefault="00000000">
                  <w:pPr>
                    <w:pStyle w:val="Compact"/>
                    <w:jc w:val="center"/>
                  </w:pPr>
                  <w:r>
                    <w:t>348</w:t>
                  </w:r>
                </w:p>
              </w:tc>
              <w:tc>
                <w:tcPr>
                  <w:tcW w:w="1377" w:type="dxa"/>
                </w:tcPr>
                <w:p w14:paraId="00F24AA8" w14:textId="77777777" w:rsidR="004E4CC2" w:rsidRDefault="00000000">
                  <w:pPr>
                    <w:pStyle w:val="Compact"/>
                    <w:jc w:val="center"/>
                  </w:pPr>
                  <w:r>
                    <w:t>329</w:t>
                  </w:r>
                </w:p>
              </w:tc>
            </w:tr>
            <w:tr w:rsidR="004E4CC2" w14:paraId="7F1617CC" w14:textId="77777777">
              <w:tc>
                <w:tcPr>
                  <w:tcW w:w="1033" w:type="dxa"/>
                </w:tcPr>
                <w:p w14:paraId="6B5FCE24" w14:textId="77777777" w:rsidR="004E4CC2" w:rsidRDefault="00000000">
                  <w:pPr>
                    <w:pStyle w:val="Compact"/>
                    <w:jc w:val="center"/>
                  </w:pPr>
                  <w:r>
                    <w:t>Gebäude</w:t>
                  </w:r>
                </w:p>
              </w:tc>
              <w:tc>
                <w:tcPr>
                  <w:tcW w:w="1377" w:type="dxa"/>
                </w:tcPr>
                <w:p w14:paraId="55742088" w14:textId="77777777" w:rsidR="004E4CC2" w:rsidRDefault="00000000">
                  <w:pPr>
                    <w:pStyle w:val="Compact"/>
                    <w:jc w:val="center"/>
                  </w:pPr>
                  <w:r>
                    <w:t>300</w:t>
                  </w:r>
                </w:p>
              </w:tc>
              <w:tc>
                <w:tcPr>
                  <w:tcW w:w="1377" w:type="dxa"/>
                </w:tcPr>
                <w:p w14:paraId="6310D925" w14:textId="77777777" w:rsidR="004E4CC2" w:rsidRDefault="00000000">
                  <w:pPr>
                    <w:pStyle w:val="Compact"/>
                    <w:jc w:val="center"/>
                  </w:pPr>
                  <w:r>
                    <w:t>364</w:t>
                  </w:r>
                </w:p>
              </w:tc>
              <w:tc>
                <w:tcPr>
                  <w:tcW w:w="1377" w:type="dxa"/>
                </w:tcPr>
                <w:p w14:paraId="1867552F" w14:textId="77777777" w:rsidR="004E4CC2" w:rsidRDefault="00000000">
                  <w:pPr>
                    <w:pStyle w:val="Compact"/>
                    <w:jc w:val="center"/>
                  </w:pPr>
                  <w:r>
                    <w:t>348</w:t>
                  </w:r>
                </w:p>
              </w:tc>
              <w:tc>
                <w:tcPr>
                  <w:tcW w:w="1377" w:type="dxa"/>
                </w:tcPr>
                <w:p w14:paraId="4F3B9F66" w14:textId="77777777" w:rsidR="004E4CC2" w:rsidRDefault="00000000">
                  <w:pPr>
                    <w:pStyle w:val="Compact"/>
                    <w:jc w:val="center"/>
                  </w:pPr>
                  <w:r>
                    <w:t>393</w:t>
                  </w:r>
                </w:p>
              </w:tc>
              <w:tc>
                <w:tcPr>
                  <w:tcW w:w="1377" w:type="dxa"/>
                </w:tcPr>
                <w:p w14:paraId="3D5EF627" w14:textId="77777777" w:rsidR="004E4CC2" w:rsidRDefault="00000000">
                  <w:pPr>
                    <w:pStyle w:val="Compact"/>
                    <w:jc w:val="center"/>
                  </w:pPr>
                  <w:r>
                    <w:t>347</w:t>
                  </w:r>
                </w:p>
              </w:tc>
            </w:tr>
            <w:tr w:rsidR="004E4CC2" w14:paraId="77DAECE2" w14:textId="77777777">
              <w:tc>
                <w:tcPr>
                  <w:tcW w:w="1033" w:type="dxa"/>
                </w:tcPr>
                <w:p w14:paraId="0D9BE0F4" w14:textId="77777777" w:rsidR="004E4CC2" w:rsidRDefault="00000000">
                  <w:pPr>
                    <w:pStyle w:val="Compact"/>
                    <w:jc w:val="center"/>
                  </w:pPr>
                  <w:r>
                    <w:t>Landwirtschaft</w:t>
                  </w:r>
                </w:p>
              </w:tc>
              <w:tc>
                <w:tcPr>
                  <w:tcW w:w="1377" w:type="dxa"/>
                </w:tcPr>
                <w:p w14:paraId="30119D39" w14:textId="77777777" w:rsidR="004E4CC2" w:rsidRDefault="00000000">
                  <w:pPr>
                    <w:pStyle w:val="Compact"/>
                    <w:jc w:val="center"/>
                  </w:pPr>
                  <w:r>
                    <w:t>11</w:t>
                  </w:r>
                </w:p>
              </w:tc>
              <w:tc>
                <w:tcPr>
                  <w:tcW w:w="1377" w:type="dxa"/>
                </w:tcPr>
                <w:p w14:paraId="2EC97078" w14:textId="77777777" w:rsidR="004E4CC2" w:rsidRDefault="00000000">
                  <w:pPr>
                    <w:pStyle w:val="Compact"/>
                    <w:jc w:val="center"/>
                  </w:pPr>
                  <w:r>
                    <w:t>12</w:t>
                  </w:r>
                </w:p>
              </w:tc>
              <w:tc>
                <w:tcPr>
                  <w:tcW w:w="1377" w:type="dxa"/>
                </w:tcPr>
                <w:p w14:paraId="00EC807E" w14:textId="77777777" w:rsidR="004E4CC2" w:rsidRDefault="00000000">
                  <w:pPr>
                    <w:pStyle w:val="Compact"/>
                    <w:jc w:val="center"/>
                  </w:pPr>
                  <w:r>
                    <w:t>12</w:t>
                  </w:r>
                </w:p>
              </w:tc>
              <w:tc>
                <w:tcPr>
                  <w:tcW w:w="1377" w:type="dxa"/>
                </w:tcPr>
                <w:p w14:paraId="0C0A0D89" w14:textId="77777777" w:rsidR="004E4CC2" w:rsidRDefault="00000000">
                  <w:pPr>
                    <w:pStyle w:val="Compact"/>
                    <w:jc w:val="center"/>
                  </w:pPr>
                  <w:r>
                    <w:t>13</w:t>
                  </w:r>
                </w:p>
              </w:tc>
              <w:tc>
                <w:tcPr>
                  <w:tcW w:w="1377" w:type="dxa"/>
                </w:tcPr>
                <w:p w14:paraId="78B5F73E" w14:textId="77777777" w:rsidR="004E4CC2" w:rsidRDefault="00000000">
                  <w:pPr>
                    <w:pStyle w:val="Compact"/>
                    <w:jc w:val="center"/>
                  </w:pPr>
                  <w:r>
                    <w:t>12</w:t>
                  </w:r>
                </w:p>
              </w:tc>
            </w:tr>
            <w:tr w:rsidR="004E4CC2" w14:paraId="6E16AC87" w14:textId="77777777">
              <w:tc>
                <w:tcPr>
                  <w:tcW w:w="1033" w:type="dxa"/>
                </w:tcPr>
                <w:p w14:paraId="24BE9D27" w14:textId="77777777" w:rsidR="004E4CC2" w:rsidRDefault="00000000">
                  <w:pPr>
                    <w:pStyle w:val="Compact"/>
                    <w:jc w:val="center"/>
                  </w:pPr>
                  <w:r>
                    <w:t>Publizierte Endenergie gesamt</w:t>
                  </w:r>
                </w:p>
              </w:tc>
              <w:tc>
                <w:tcPr>
                  <w:tcW w:w="1377" w:type="dxa"/>
                </w:tcPr>
                <w:p w14:paraId="3F9FAF2B" w14:textId="77777777" w:rsidR="004E4CC2" w:rsidRDefault="00000000">
                  <w:pPr>
                    <w:pStyle w:val="Compact"/>
                    <w:jc w:val="center"/>
                  </w:pPr>
                  <w:r>
                    <w:t>722</w:t>
                  </w:r>
                </w:p>
              </w:tc>
              <w:tc>
                <w:tcPr>
                  <w:tcW w:w="1377" w:type="dxa"/>
                </w:tcPr>
                <w:p w14:paraId="6C0FE1D4" w14:textId="77777777" w:rsidR="004E4CC2" w:rsidRDefault="00000000">
                  <w:pPr>
                    <w:pStyle w:val="Compact"/>
                    <w:jc w:val="center"/>
                  </w:pPr>
                  <w:r>
                    <w:t>1003</w:t>
                  </w:r>
                </w:p>
              </w:tc>
              <w:tc>
                <w:tcPr>
                  <w:tcW w:w="1377" w:type="dxa"/>
                </w:tcPr>
                <w:p w14:paraId="385780B8" w14:textId="77777777" w:rsidR="004E4CC2" w:rsidRDefault="00000000">
                  <w:pPr>
                    <w:pStyle w:val="Compact"/>
                    <w:jc w:val="center"/>
                  </w:pPr>
                  <w:r>
                    <w:t>948</w:t>
                  </w:r>
                </w:p>
              </w:tc>
              <w:tc>
                <w:tcPr>
                  <w:tcW w:w="1377" w:type="dxa"/>
                </w:tcPr>
                <w:p w14:paraId="0FF1F2AE" w14:textId="77777777" w:rsidR="004E4CC2" w:rsidRDefault="00000000">
                  <w:pPr>
                    <w:pStyle w:val="Compact"/>
                    <w:jc w:val="center"/>
                  </w:pPr>
                  <w:r>
                    <w:t>1079</w:t>
                  </w:r>
                </w:p>
              </w:tc>
              <w:tc>
                <w:tcPr>
                  <w:tcW w:w="1377" w:type="dxa"/>
                </w:tcPr>
                <w:p w14:paraId="4FF7BCE6" w14:textId="77777777" w:rsidR="004E4CC2" w:rsidRDefault="00000000">
                  <w:pPr>
                    <w:pStyle w:val="Compact"/>
                    <w:jc w:val="center"/>
                  </w:pPr>
                  <w:r>
                    <w:t>984</w:t>
                  </w:r>
                </w:p>
              </w:tc>
            </w:tr>
          </w:tbl>
          <w:p w14:paraId="76E5A33D" w14:textId="77777777" w:rsidR="004E4CC2" w:rsidRDefault="004E4CC2"/>
        </w:tc>
      </w:tr>
    </w:tbl>
    <w:p w14:paraId="380B7F9B" w14:textId="77777777" w:rsidR="004E4CC2" w:rsidRDefault="00000000">
      <w:pPr>
        <w:pStyle w:val="Textkrper"/>
      </w:pPr>
      <w:r>
        <w:lastRenderedPageBreak/>
        <w:t>Die Datenbasis für WEM/WAM 2025 verwendet REP-0995, Tabelle E (S. 12). Die in der Datenlieferung dokumentierte Abweichung zu Tabelle 19 wird nicht durch eine Mischung der beiden Tabellen aufgelöst. Transition verwendet REP-0880, Tabellen 15 und 16 (Umweltbundesamt 2025, 2024).</w:t>
      </w:r>
    </w:p>
    <w:p w14:paraId="2C2B4190" w14:textId="77777777" w:rsidR="004E4CC2" w:rsidRDefault="00000000">
      <w:pPr>
        <w:pStyle w:val="berschrift1"/>
      </w:pPr>
      <w:bookmarkStart w:id="309" w:name="sec-anhang"/>
      <w:bookmarkStart w:id="310" w:name="_Toc243681337"/>
      <w:bookmarkEnd w:id="303"/>
      <w:bookmarkEnd w:id="307"/>
      <w:r>
        <w:t>Appendix B — Annahmen der Zielwertberechnung</w:t>
      </w:r>
      <w:bookmarkEnd w:id="310"/>
    </w:p>
    <w:p w14:paraId="127F0C81" w14:textId="77777777" w:rsidR="004E4CC2" w:rsidRDefault="00000000">
      <w:pPr>
        <w:pStyle w:val="FirstParagraph"/>
      </w:pPr>
      <w:r>
        <w:t xml:space="preserve">Dieser Teil bündelt die Grundlagen der Anforderungen an Quartiere: nationale Zukunftsszenarien, sektorale Budgets und deren Verteilung auf Flächen und Nutzungen. Die Herleitung steht in </w:t>
      </w:r>
      <w:hyperlink w:anchor="sec-allokation">
        <w:r>
          <w:rPr>
            <w:rStyle w:val="Hyperlink"/>
          </w:rPr>
          <w:t>Kapitel 5</w:t>
        </w:r>
      </w:hyperlink>
      <w:r>
        <w:t xml:space="preserve"> und </w:t>
      </w:r>
      <w:hyperlink w:anchor="sec-zielwert-thg">
        <w:r>
          <w:rPr>
            <w:rStyle w:val="Hyperlink"/>
          </w:rPr>
          <w:t>Kapitel 10</w:t>
        </w:r>
      </w:hyperlink>
      <w:r>
        <w:t xml:space="preserve">, die Anwendung in </w:t>
      </w:r>
      <w:hyperlink w:anchor="sec-kontext">
        <w:r>
          <w:rPr>
            <w:rStyle w:val="Hyperlink"/>
          </w:rPr>
          <w:t>Kapitel 3.2</w:t>
        </w:r>
      </w:hyperlink>
      <w:r>
        <w:t xml:space="preserve">. Die Annahmen zur Berechnung der Quartiersbilanz folgen in </w:t>
      </w:r>
      <w:hyperlink w:anchor="sec-anhang-quartiersbilanzierung">
        <w:r>
          <w:rPr>
            <w:rStyle w:val="Hyperlink"/>
          </w:rPr>
          <w:t>Anhang I</w:t>
        </w:r>
      </w:hyperlink>
      <w:r>
        <w:t>.</w:t>
      </w:r>
    </w:p>
    <w:p w14:paraId="2F0F6683" w14:textId="77777777" w:rsidR="004E4CC2" w:rsidRDefault="00000000">
      <w:pPr>
        <w:pStyle w:val="Textkrper"/>
      </w:pPr>
      <w:r>
        <w:rPr>
          <w:b/>
          <w:bCs/>
        </w:rPr>
        <w:t>Noch zu ergänzen</w:t>
      </w:r>
      <w:r>
        <w:t xml:space="preserve"> kennzeichnet eine für die vollständige Darstellung benötigte Angabe, die in dieser Fassung fehlt. </w:t>
      </w:r>
      <w:r>
        <w:rPr>
          <w:b/>
          <w:bCs/>
        </w:rPr>
        <w:t>Weiterzuentwickeln</w:t>
      </w:r>
      <w:r>
        <w:t xml:space="preserve"> bezeichnet eine bestehende Annahme mit ausstehender methodischer Absicherung oder Aktualisierung. Fehlende Angaben sind keine Nullwerte.</w:t>
      </w:r>
    </w:p>
    <w:p w14:paraId="7CDC8B86" w14:textId="77777777" w:rsidR="004E4CC2" w:rsidRDefault="00000000">
      <w:pPr>
        <w:pStyle w:val="berschrift2"/>
      </w:pPr>
      <w:bookmarkStart w:id="311" w:name="zeit--flächen--und-bewertungsbezüge"/>
      <w:bookmarkStart w:id="312" w:name="_Toc243681338"/>
      <w:r>
        <w:t>B.1 Zeit-, Flächen- und Bewertungsbezüge</w:t>
      </w:r>
      <w:bookmarkEnd w:id="312"/>
    </w:p>
    <w:p w14:paraId="33E18F03" w14:textId="77777777" w:rsidR="004E4CC2" w:rsidRDefault="00000000">
      <w:pPr>
        <w:pStyle w:val="TableCaption"/>
      </w:pPr>
      <w:r>
        <w:t>Zeit- und Bezugsgrößen nach Schneider (2026), Abschn. 3.2, und Schneider u. a. (2025), Abschn. 2.3–2.4 und Tab. A1.</w:t>
      </w:r>
    </w:p>
    <w:tbl>
      <w:tblPr>
        <w:tblStyle w:val="Table"/>
        <w:tblW w:w="5000" w:type="pct"/>
        <w:tblLayout w:type="fixed"/>
        <w:tblLook w:val="0020" w:firstRow="1" w:lastRow="0" w:firstColumn="0" w:lastColumn="0" w:noHBand="0" w:noVBand="0"/>
      </w:tblPr>
      <w:tblGrid>
        <w:gridCol w:w="3208"/>
        <w:gridCol w:w="3207"/>
        <w:gridCol w:w="3207"/>
      </w:tblGrid>
      <w:tr w:rsidR="004E4CC2" w14:paraId="3305A95E"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F383F54" w14:textId="77777777" w:rsidR="004E4CC2" w:rsidRDefault="00000000">
            <w:pPr>
              <w:pStyle w:val="Compact"/>
            </w:pPr>
            <w:r>
              <w:t>Größe</w:t>
            </w:r>
          </w:p>
        </w:tc>
        <w:tc>
          <w:tcPr>
            <w:tcW w:w="2640" w:type="dxa"/>
          </w:tcPr>
          <w:p w14:paraId="5BE2602B" w14:textId="77777777" w:rsidR="004E4CC2" w:rsidRDefault="00000000">
            <w:pPr>
              <w:pStyle w:val="Compact"/>
            </w:pPr>
            <w:r>
              <w:t>Ansatz</w:t>
            </w:r>
          </w:p>
        </w:tc>
        <w:tc>
          <w:tcPr>
            <w:tcW w:w="2640" w:type="dxa"/>
          </w:tcPr>
          <w:p w14:paraId="169025C5" w14:textId="77777777" w:rsidR="004E4CC2" w:rsidRDefault="00000000">
            <w:pPr>
              <w:pStyle w:val="Compact"/>
            </w:pPr>
            <w:r>
              <w:t>Bedeutung</w:t>
            </w:r>
          </w:p>
        </w:tc>
      </w:tr>
      <w:tr w:rsidR="004E4CC2" w14:paraId="2296FC5C" w14:textId="77777777">
        <w:tc>
          <w:tcPr>
            <w:tcW w:w="2640" w:type="dxa"/>
          </w:tcPr>
          <w:p w14:paraId="7B3F5AD4" w14:textId="77777777" w:rsidR="004E4CC2" w:rsidRDefault="00000000">
            <w:pPr>
              <w:pStyle w:val="Compact"/>
            </w:pPr>
            <w:r>
              <w:t>Nationales Zieljahr</w:t>
            </w:r>
          </w:p>
        </w:tc>
        <w:tc>
          <w:tcPr>
            <w:tcW w:w="2640" w:type="dxa"/>
          </w:tcPr>
          <w:p w14:paraId="488C757F" w14:textId="77777777" w:rsidR="004E4CC2" w:rsidRDefault="00000000">
            <w:pPr>
              <w:pStyle w:val="Compact"/>
            </w:pPr>
            <w:r>
              <w:t>2040</w:t>
            </w:r>
          </w:p>
        </w:tc>
        <w:tc>
          <w:tcPr>
            <w:tcW w:w="2640" w:type="dxa"/>
          </w:tcPr>
          <w:p w14:paraId="4F8453FD" w14:textId="77777777" w:rsidR="004E4CC2" w:rsidRDefault="00000000">
            <w:pPr>
              <w:pStyle w:val="Compact"/>
            </w:pPr>
            <w:r>
              <w:t>Referenz für Energieallokation und Flächenprognose</w:t>
            </w:r>
          </w:p>
        </w:tc>
      </w:tr>
      <w:tr w:rsidR="004E4CC2" w14:paraId="63A2E929" w14:textId="77777777">
        <w:tc>
          <w:tcPr>
            <w:tcW w:w="2640" w:type="dxa"/>
          </w:tcPr>
          <w:p w14:paraId="155C1B08" w14:textId="77777777" w:rsidR="004E4CC2" w:rsidRDefault="00000000">
            <w:pPr>
              <w:pStyle w:val="Compact"/>
            </w:pPr>
            <w:r>
              <w:t>Vorsorglicher Dekarbonisierungszeitpunkt</w:t>
            </w:r>
          </w:p>
        </w:tc>
        <w:tc>
          <w:tcPr>
            <w:tcW w:w="2640" w:type="dxa"/>
          </w:tcPr>
          <w:p w14:paraId="0985D1EF" w14:textId="77777777" w:rsidR="004E4CC2" w:rsidRDefault="00000000">
            <w:pPr>
              <w:pStyle w:val="Compact"/>
            </w:pPr>
            <w:r>
              <w:t>Ab 2050</w:t>
            </w:r>
          </w:p>
        </w:tc>
        <w:tc>
          <w:tcPr>
            <w:tcW w:w="2640" w:type="dxa"/>
          </w:tcPr>
          <w:p w14:paraId="6DD370FF" w14:textId="77777777" w:rsidR="004E4CC2" w:rsidRDefault="00000000">
            <w:pPr>
              <w:pStyle w:val="Compact"/>
            </w:pPr>
            <w:r>
              <w:t xml:space="preserve">Vereinfachtes Szenario ohne zusätzliche Emissionen der betrachteten Prozesse danach; keine Verschiebung </w:t>
            </w:r>
            <w:r>
              <w:lastRenderedPageBreak/>
              <w:t>der Flächenprognose</w:t>
            </w:r>
          </w:p>
        </w:tc>
      </w:tr>
      <w:tr w:rsidR="004E4CC2" w14:paraId="45ABB9D0" w14:textId="77777777">
        <w:tc>
          <w:tcPr>
            <w:tcW w:w="2640" w:type="dxa"/>
          </w:tcPr>
          <w:p w14:paraId="7BD7B3EA" w14:textId="77777777" w:rsidR="004E4CC2" w:rsidRDefault="00000000">
            <w:pPr>
              <w:pStyle w:val="Compact"/>
            </w:pPr>
            <w:r>
              <w:lastRenderedPageBreak/>
              <w:t>Lebenszyklusbetrachtung</w:t>
            </w:r>
          </w:p>
        </w:tc>
        <w:tc>
          <w:tcPr>
            <w:tcW w:w="2640" w:type="dxa"/>
          </w:tcPr>
          <w:p w14:paraId="1D1E1909" w14:textId="77777777" w:rsidR="004E4CC2" w:rsidRDefault="00000000">
            <w:pPr>
              <w:pStyle w:val="Compact"/>
            </w:pPr>
            <w:r>
              <w:t>2025–2075, 50 Jahre</w:t>
            </w:r>
          </w:p>
        </w:tc>
        <w:tc>
          <w:tcPr>
            <w:tcW w:w="2640" w:type="dxa"/>
          </w:tcPr>
          <w:p w14:paraId="26B34005" w14:textId="77777777" w:rsidR="004E4CC2" w:rsidRDefault="00000000">
            <w:pPr>
              <w:pStyle w:val="Compact"/>
            </w:pPr>
            <w:r>
              <w:t>Zeitraum der kumulierten THG-Bilanz</w:t>
            </w:r>
          </w:p>
        </w:tc>
      </w:tr>
      <w:tr w:rsidR="004E4CC2" w14:paraId="6E2E0D08" w14:textId="77777777">
        <w:tc>
          <w:tcPr>
            <w:tcW w:w="2640" w:type="dxa"/>
          </w:tcPr>
          <w:p w14:paraId="68042AAA" w14:textId="77777777" w:rsidR="004E4CC2" w:rsidRDefault="00000000">
            <w:pPr>
              <w:pStyle w:val="Compact"/>
            </w:pPr>
            <w:r>
              <w:t>THG-Charakterisierung</w:t>
            </w:r>
          </w:p>
        </w:tc>
        <w:tc>
          <w:tcPr>
            <w:tcW w:w="2640" w:type="dxa"/>
          </w:tcPr>
          <w:p w14:paraId="02E5AE41" w14:textId="77777777" w:rsidR="004E4CC2" w:rsidRDefault="00000000">
            <w:pPr>
              <w:pStyle w:val="Compact"/>
            </w:pPr>
            <w:r>
              <w:t>GWP100</w:t>
            </w:r>
          </w:p>
        </w:tc>
        <w:tc>
          <w:tcPr>
            <w:tcW w:w="2640" w:type="dxa"/>
          </w:tcPr>
          <w:p w14:paraId="405A95B5" w14:textId="77777777" w:rsidR="004E4CC2" w:rsidRDefault="00000000">
            <w:pPr>
              <w:pStyle w:val="Compact"/>
            </w:pPr>
            <w:r>
              <w:t>100-jähriger Charakterisierungshorizont; unabhängig von der Projektlaufzeit</w:t>
            </w:r>
          </w:p>
        </w:tc>
      </w:tr>
      <w:tr w:rsidR="004E4CC2" w14:paraId="4479F520" w14:textId="77777777">
        <w:tc>
          <w:tcPr>
            <w:tcW w:w="2640" w:type="dxa"/>
          </w:tcPr>
          <w:p w14:paraId="77B6D94C" w14:textId="77777777" w:rsidR="004E4CC2" w:rsidRDefault="00000000">
            <w:pPr>
              <w:pStyle w:val="Compact"/>
            </w:pPr>
            <w:r>
              <w:t>Nationale Bezugsfläche</w:t>
            </w:r>
          </w:p>
        </w:tc>
        <w:tc>
          <w:tcPr>
            <w:tcW w:w="2640" w:type="dxa"/>
          </w:tcPr>
          <w:p w14:paraId="3CBB404E" w14:textId="77777777" w:rsidR="004E4CC2" w:rsidRDefault="00000000">
            <w:pPr>
              <w:pStyle w:val="Compact"/>
            </w:pPr>
            <w:r>
              <w:t>906,7 Mio. m² BGF im Jahr 2040</w:t>
            </w:r>
          </w:p>
        </w:tc>
        <w:tc>
          <w:tcPr>
            <w:tcW w:w="2640" w:type="dxa"/>
          </w:tcPr>
          <w:p w14:paraId="769EC860" w14:textId="77777777" w:rsidR="004E4CC2" w:rsidRDefault="00000000">
            <w:pPr>
              <w:pStyle w:val="Compact"/>
            </w:pPr>
            <w:r>
              <w:t>Bezugsfläche der THG-Allokation</w:t>
            </w:r>
          </w:p>
        </w:tc>
      </w:tr>
      <w:tr w:rsidR="004E4CC2" w14:paraId="5F6E8750" w14:textId="77777777">
        <w:tc>
          <w:tcPr>
            <w:tcW w:w="2640" w:type="dxa"/>
          </w:tcPr>
          <w:p w14:paraId="15BD95FC" w14:textId="77777777" w:rsidR="004E4CC2" w:rsidRDefault="00000000">
            <w:pPr>
              <w:pStyle w:val="Compact"/>
            </w:pPr>
            <w:r>
              <w:t>Betriebliche PE-Bilanz und Kontextfaktoren</w:t>
            </w:r>
          </w:p>
        </w:tc>
        <w:tc>
          <w:tcPr>
            <w:tcW w:w="2640" w:type="dxa"/>
          </w:tcPr>
          <w:p w14:paraId="252F915B" w14:textId="77777777" w:rsidR="004E4CC2" w:rsidRDefault="00000000">
            <w:pPr>
              <w:pStyle w:val="Compact"/>
            </w:pPr>
            <w:r>
              <w:t>kWh PE/(m² NGF a)</w:t>
            </w:r>
          </w:p>
        </w:tc>
        <w:tc>
          <w:tcPr>
            <w:tcW w:w="2640" w:type="dxa"/>
          </w:tcPr>
          <w:p w14:paraId="2CE81B5D" w14:textId="77777777" w:rsidR="004E4CC2" w:rsidRDefault="00000000">
            <w:pPr>
              <w:pStyle w:val="Compact"/>
            </w:pPr>
            <w:r>
              <w:t>Bezug auf konditionierte Nettogrundfläche</w:t>
            </w:r>
          </w:p>
        </w:tc>
      </w:tr>
      <w:tr w:rsidR="004E4CC2" w14:paraId="71E4F315" w14:textId="77777777">
        <w:tc>
          <w:tcPr>
            <w:tcW w:w="2640" w:type="dxa"/>
          </w:tcPr>
          <w:p w14:paraId="2E4A01AC" w14:textId="77777777" w:rsidR="004E4CC2" w:rsidRDefault="00000000">
            <w:pPr>
              <w:pStyle w:val="Compact"/>
            </w:pPr>
            <w:r>
              <w:t>Kumuliertes THG-Budget</w:t>
            </w:r>
          </w:p>
        </w:tc>
        <w:tc>
          <w:tcPr>
            <w:tcW w:w="2640" w:type="dxa"/>
          </w:tcPr>
          <w:p w14:paraId="682EF5C1" w14:textId="77777777" w:rsidR="004E4CC2" w:rsidRDefault="00000000">
            <w:pPr>
              <w:pStyle w:val="Compact"/>
            </w:pPr>
            <w:r>
              <w:t>kg CO₂e/m² BGF</w:t>
            </w:r>
          </w:p>
        </w:tc>
        <w:tc>
          <w:tcPr>
            <w:tcW w:w="2640" w:type="dxa"/>
          </w:tcPr>
          <w:p w14:paraId="6C96D7E2" w14:textId="77777777" w:rsidR="004E4CC2" w:rsidRDefault="00000000">
            <w:pPr>
              <w:pStyle w:val="Compact"/>
            </w:pPr>
            <w:r>
              <w:t>Bezug auf Bruttogrundfläche</w:t>
            </w:r>
          </w:p>
        </w:tc>
      </w:tr>
      <w:tr w:rsidR="004E4CC2" w14:paraId="2575AF84" w14:textId="77777777">
        <w:tc>
          <w:tcPr>
            <w:tcW w:w="2640" w:type="dxa"/>
          </w:tcPr>
          <w:p w14:paraId="774E61BD" w14:textId="77777777" w:rsidR="004E4CC2" w:rsidRDefault="00000000">
            <w:pPr>
              <w:pStyle w:val="Compact"/>
            </w:pPr>
            <w:r>
              <w:t>Städtebauliche Dichte</w:t>
            </w:r>
          </w:p>
        </w:tc>
        <w:tc>
          <w:tcPr>
            <w:tcW w:w="2640" w:type="dxa"/>
          </w:tcPr>
          <w:p w14:paraId="15088C45" w14:textId="77777777" w:rsidR="004E4CC2" w:rsidRDefault="00000000">
            <w:pPr>
              <w:pStyle w:val="Compact"/>
            </w:pPr>
            <w:r>
              <w:t>GFZ = BGF/Grundstücksfläche</w:t>
            </w:r>
          </w:p>
        </w:tc>
        <w:tc>
          <w:tcPr>
            <w:tcW w:w="2640" w:type="dxa"/>
          </w:tcPr>
          <w:p w14:paraId="03F9E93E" w14:textId="77777777" w:rsidR="004E4CC2" w:rsidRDefault="00000000">
            <w:pPr>
              <w:pStyle w:val="Compact"/>
            </w:pPr>
            <w:r>
              <w:t>Grundlage der Dichtekorrektur</w:t>
            </w:r>
          </w:p>
        </w:tc>
      </w:tr>
    </w:tbl>
    <w:p w14:paraId="2EDB1313" w14:textId="77777777" w:rsidR="004E4CC2" w:rsidRDefault="00000000">
      <w:pPr>
        <w:pStyle w:val="berschrift2"/>
      </w:pPr>
      <w:bookmarkStart w:id="313" w:name="energiebilanzen-der-zukunftsszenarien"/>
      <w:bookmarkStart w:id="314" w:name="_Toc243681339"/>
      <w:bookmarkEnd w:id="311"/>
      <w:r>
        <w:t>B.2 Energiebilanzen der Zukunftsszenarien</w:t>
      </w:r>
      <w:bookmarkEnd w:id="314"/>
    </w:p>
    <w:p w14:paraId="25779B9E" w14:textId="77777777" w:rsidR="004E4CC2" w:rsidRDefault="00000000">
      <w:pPr>
        <w:pStyle w:val="FirstParagraph"/>
      </w:pPr>
      <w:r>
        <w:t>Die Energieallokation bezieht sich auf ein vollständig erneuerbares österreichisches Energiesystem im Zieljahr. Die Werte beschreiben die sektorale Zuordnung; sie sind keine lokalen Erzeugungsvorgaben für jedes einzelne Quartier.</w:t>
      </w:r>
    </w:p>
    <w:tbl>
      <w:tblPr>
        <w:tblStyle w:val="Table"/>
        <w:tblW w:w="5000" w:type="pct"/>
        <w:tblLayout w:type="fixed"/>
        <w:tblLook w:val="0020" w:firstRow="1" w:lastRow="0" w:firstColumn="0" w:lastColumn="0" w:noHBand="0" w:noVBand="0"/>
      </w:tblPr>
      <w:tblGrid>
        <w:gridCol w:w="3208"/>
        <w:gridCol w:w="3207"/>
        <w:gridCol w:w="3207"/>
      </w:tblGrid>
      <w:tr w:rsidR="004E4CC2" w14:paraId="624F0CC8"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7899BC76" w14:textId="77777777" w:rsidR="004E4CC2" w:rsidRDefault="00000000">
            <w:pPr>
              <w:pStyle w:val="Compact"/>
            </w:pPr>
            <w:r>
              <w:t>Größe</w:t>
            </w:r>
          </w:p>
        </w:tc>
        <w:tc>
          <w:tcPr>
            <w:tcW w:w="2640" w:type="dxa"/>
          </w:tcPr>
          <w:p w14:paraId="3CDFE052" w14:textId="77777777" w:rsidR="004E4CC2" w:rsidRDefault="00000000">
            <w:pPr>
              <w:pStyle w:val="Compact"/>
            </w:pPr>
            <w:r>
              <w:t>Referenzansatz</w:t>
            </w:r>
          </w:p>
        </w:tc>
        <w:tc>
          <w:tcPr>
            <w:tcW w:w="2640" w:type="dxa"/>
          </w:tcPr>
          <w:p w14:paraId="73AD8187" w14:textId="77777777" w:rsidR="004E4CC2" w:rsidRDefault="00000000">
            <w:pPr>
              <w:pStyle w:val="Compact"/>
            </w:pPr>
            <w:r>
              <w:t>Grundlage / Stand</w:t>
            </w:r>
          </w:p>
        </w:tc>
      </w:tr>
      <w:tr w:rsidR="004E4CC2" w14:paraId="55805C14" w14:textId="77777777">
        <w:tc>
          <w:tcPr>
            <w:tcW w:w="2640" w:type="dxa"/>
          </w:tcPr>
          <w:p w14:paraId="0DAA2E80" w14:textId="77777777" w:rsidR="004E4CC2" w:rsidRDefault="00000000">
            <w:pPr>
              <w:pStyle w:val="Compact"/>
            </w:pPr>
            <w:r>
              <w:t>PV-Erzeugung des Gebäudesektors</w:t>
            </w:r>
          </w:p>
        </w:tc>
        <w:tc>
          <w:tcPr>
            <w:tcW w:w="2640" w:type="dxa"/>
          </w:tcPr>
          <w:p w14:paraId="54C68FCF" w14:textId="77777777" w:rsidR="004E4CC2" w:rsidRDefault="00000000">
            <w:pPr>
              <w:pStyle w:val="Compact"/>
            </w:pPr>
            <w:r>
              <w:t>114,8 PJ/a</w:t>
            </w:r>
          </w:p>
        </w:tc>
        <w:tc>
          <w:tcPr>
            <w:tcW w:w="2640" w:type="dxa"/>
          </w:tcPr>
          <w:p w14:paraId="6087D196" w14:textId="77777777" w:rsidR="004E4CC2" w:rsidRDefault="00000000">
            <w:pPr>
              <w:pStyle w:val="Compact"/>
            </w:pPr>
            <w:r>
              <w:t>Schneider u. a. (2023), Tab. 6</w:t>
            </w:r>
          </w:p>
        </w:tc>
      </w:tr>
      <w:tr w:rsidR="004E4CC2" w14:paraId="13BF2ED4" w14:textId="77777777">
        <w:tc>
          <w:tcPr>
            <w:tcW w:w="2640" w:type="dxa"/>
          </w:tcPr>
          <w:p w14:paraId="38595D62" w14:textId="77777777" w:rsidR="004E4CC2" w:rsidRDefault="00000000">
            <w:pPr>
              <w:pStyle w:val="Compact"/>
            </w:pPr>
            <w:r>
              <w:t>Strombedarf des Gebäudesektors nach Allokation</w:t>
            </w:r>
          </w:p>
        </w:tc>
        <w:tc>
          <w:tcPr>
            <w:tcW w:w="2640" w:type="dxa"/>
          </w:tcPr>
          <w:p w14:paraId="57604494" w14:textId="77777777" w:rsidR="004E4CC2" w:rsidRDefault="00000000">
            <w:pPr>
              <w:pStyle w:val="Compact"/>
            </w:pPr>
            <w:r>
              <w:t>137,6 PJ/a</w:t>
            </w:r>
          </w:p>
        </w:tc>
        <w:tc>
          <w:tcPr>
            <w:tcW w:w="2640" w:type="dxa"/>
          </w:tcPr>
          <w:p w14:paraId="2333C2A6" w14:textId="77777777" w:rsidR="004E4CC2" w:rsidRDefault="00000000">
            <w:pPr>
              <w:pStyle w:val="Compact"/>
            </w:pPr>
            <w:r>
              <w:t>Schneider u. a. (2023), Tab. 6</w:t>
            </w:r>
          </w:p>
        </w:tc>
      </w:tr>
      <w:tr w:rsidR="004E4CC2" w14:paraId="65ED08B4" w14:textId="77777777">
        <w:tc>
          <w:tcPr>
            <w:tcW w:w="2640" w:type="dxa"/>
          </w:tcPr>
          <w:p w14:paraId="28742A4C" w14:textId="77777777" w:rsidR="004E4CC2" w:rsidRDefault="00000000">
            <w:pPr>
              <w:pStyle w:val="Compact"/>
            </w:pPr>
            <w:r>
              <w:t>Zielsaldo des Gebäudesektors</w:t>
            </w:r>
          </w:p>
        </w:tc>
        <w:tc>
          <w:tcPr>
            <w:tcW w:w="2640" w:type="dxa"/>
          </w:tcPr>
          <w:p w14:paraId="0B8770B1" w14:textId="77777777" w:rsidR="004E4CC2" w:rsidRDefault="00000000">
            <w:pPr>
              <w:pStyle w:val="Compact"/>
            </w:pPr>
            <w:r>
              <w:t>−22,7 PJ/a</w:t>
            </w:r>
          </w:p>
        </w:tc>
        <w:tc>
          <w:tcPr>
            <w:tcW w:w="2640" w:type="dxa"/>
          </w:tcPr>
          <w:p w14:paraId="65FAE9ED" w14:textId="77777777" w:rsidR="004E4CC2" w:rsidRDefault="00000000">
            <w:pPr>
              <w:pStyle w:val="Compact"/>
            </w:pPr>
            <w:r>
              <w:t>Übernommener Sektorsaldo, Schneider u. a. (2023), Tab. 6</w:t>
            </w:r>
          </w:p>
        </w:tc>
      </w:tr>
      <w:tr w:rsidR="004E4CC2" w14:paraId="07630C0D" w14:textId="77777777">
        <w:tc>
          <w:tcPr>
            <w:tcW w:w="2640" w:type="dxa"/>
          </w:tcPr>
          <w:p w14:paraId="5173D8E7" w14:textId="77777777" w:rsidR="004E4CC2" w:rsidRDefault="00000000">
            <w:pPr>
              <w:pStyle w:val="Compact"/>
            </w:pPr>
            <w:r>
              <w:t>Dem MIV zugeteilter Strom</w:t>
            </w:r>
          </w:p>
        </w:tc>
        <w:tc>
          <w:tcPr>
            <w:tcW w:w="2640" w:type="dxa"/>
          </w:tcPr>
          <w:p w14:paraId="6454E4E4" w14:textId="77777777" w:rsidR="004E4CC2" w:rsidRDefault="00000000">
            <w:pPr>
              <w:pStyle w:val="Compact"/>
            </w:pPr>
            <w:r>
              <w:t>6,30 TWh/a</w:t>
            </w:r>
          </w:p>
        </w:tc>
        <w:tc>
          <w:tcPr>
            <w:tcW w:w="2640" w:type="dxa"/>
          </w:tcPr>
          <w:p w14:paraId="27DDE9E7" w14:textId="77777777" w:rsidR="004E4CC2" w:rsidRDefault="00000000">
            <w:pPr>
              <w:pStyle w:val="Compact"/>
            </w:pPr>
            <w:r>
              <w:t>Schneider u. a. (2023), Tab. 8</w:t>
            </w:r>
          </w:p>
        </w:tc>
      </w:tr>
      <w:tr w:rsidR="004E4CC2" w14:paraId="6BFAFB9C" w14:textId="77777777">
        <w:tc>
          <w:tcPr>
            <w:tcW w:w="2640" w:type="dxa"/>
          </w:tcPr>
          <w:p w14:paraId="7DD20CFC" w14:textId="77777777" w:rsidR="004E4CC2" w:rsidRDefault="00000000">
            <w:pPr>
              <w:pStyle w:val="Compact"/>
            </w:pPr>
            <w:r>
              <w:t>Dem MIV zugeteilte Biomasse</w:t>
            </w:r>
          </w:p>
        </w:tc>
        <w:tc>
          <w:tcPr>
            <w:tcW w:w="2640" w:type="dxa"/>
          </w:tcPr>
          <w:p w14:paraId="7E491D93" w14:textId="77777777" w:rsidR="004E4CC2" w:rsidRDefault="00000000">
            <w:pPr>
              <w:pStyle w:val="Compact"/>
            </w:pPr>
            <w:r>
              <w:t>0,36 TWh/a</w:t>
            </w:r>
          </w:p>
        </w:tc>
        <w:tc>
          <w:tcPr>
            <w:tcW w:w="2640" w:type="dxa"/>
          </w:tcPr>
          <w:p w14:paraId="56007E52" w14:textId="77777777" w:rsidR="004E4CC2" w:rsidRDefault="00000000">
            <w:pPr>
              <w:pStyle w:val="Compact"/>
            </w:pPr>
            <w:r>
              <w:t>Schneider u. a. (2023), Tab. 8</w:t>
            </w:r>
          </w:p>
        </w:tc>
      </w:tr>
      <w:tr w:rsidR="004E4CC2" w14:paraId="6C238E7A" w14:textId="77777777">
        <w:tc>
          <w:tcPr>
            <w:tcW w:w="2640" w:type="dxa"/>
          </w:tcPr>
          <w:p w14:paraId="16937820" w14:textId="77777777" w:rsidR="004E4CC2" w:rsidRDefault="00000000">
            <w:pPr>
              <w:pStyle w:val="Compact"/>
            </w:pPr>
            <w:r>
              <w:t>Primärenergiebudget des MIV</w:t>
            </w:r>
          </w:p>
        </w:tc>
        <w:tc>
          <w:tcPr>
            <w:tcW w:w="2640" w:type="dxa"/>
          </w:tcPr>
          <w:p w14:paraId="32741F32" w14:textId="77777777" w:rsidR="004E4CC2" w:rsidRDefault="00000000">
            <w:pPr>
              <w:pStyle w:val="Compact"/>
            </w:pPr>
            <w:r>
              <w:t>10,68 TWh PE/a</w:t>
            </w:r>
          </w:p>
        </w:tc>
        <w:tc>
          <w:tcPr>
            <w:tcW w:w="2640" w:type="dxa"/>
          </w:tcPr>
          <w:p w14:paraId="2BDD8427" w14:textId="77777777" w:rsidR="004E4CC2" w:rsidRDefault="00000000">
            <w:pPr>
              <w:pStyle w:val="Compact"/>
            </w:pPr>
            <w:r>
              <w:t>Gewichtete Zuteilung, Schneider u. a. (2023), Tab. 8</w:t>
            </w:r>
          </w:p>
        </w:tc>
      </w:tr>
      <w:tr w:rsidR="004E4CC2" w14:paraId="11317A78" w14:textId="77777777">
        <w:tc>
          <w:tcPr>
            <w:tcW w:w="2640" w:type="dxa"/>
          </w:tcPr>
          <w:p w14:paraId="2B1DD502" w14:textId="77777777" w:rsidR="004E4CC2" w:rsidRDefault="00000000">
            <w:pPr>
              <w:pStyle w:val="Compact"/>
            </w:pPr>
            <w:r>
              <w:t>Vollständige nationale Energiebilanz</w:t>
            </w:r>
          </w:p>
        </w:tc>
        <w:tc>
          <w:tcPr>
            <w:tcW w:w="2640" w:type="dxa"/>
          </w:tcPr>
          <w:p w14:paraId="32817CC7" w14:textId="77777777" w:rsidR="004E4CC2" w:rsidRDefault="00000000">
            <w:pPr>
              <w:pStyle w:val="Compact"/>
            </w:pPr>
            <w:r>
              <w:rPr>
                <w:b/>
                <w:bCs/>
              </w:rPr>
              <w:t>Noch zu ergänzen</w:t>
            </w:r>
          </w:p>
        </w:tc>
        <w:tc>
          <w:tcPr>
            <w:tcW w:w="2640" w:type="dxa"/>
          </w:tcPr>
          <w:p w14:paraId="2C9CA9F9" w14:textId="77777777" w:rsidR="004E4CC2" w:rsidRDefault="00000000">
            <w:pPr>
              <w:pStyle w:val="Compact"/>
            </w:pPr>
            <w:r>
              <w:t xml:space="preserve">Erzeugung und Bedarf nach Energieträger und Sektor, einschließlich Umwandlungsverlusten, Importen/Exporten und zentraler/dezentraler </w:t>
            </w:r>
            <w:r>
              <w:lastRenderedPageBreak/>
              <w:t>Versorgung</w:t>
            </w:r>
          </w:p>
        </w:tc>
      </w:tr>
      <w:tr w:rsidR="004E4CC2" w14:paraId="1747FF2B" w14:textId="77777777">
        <w:tc>
          <w:tcPr>
            <w:tcW w:w="2640" w:type="dxa"/>
          </w:tcPr>
          <w:p w14:paraId="32340C3C" w14:textId="77777777" w:rsidR="004E4CC2" w:rsidRDefault="00000000">
            <w:pPr>
              <w:pStyle w:val="Compact"/>
            </w:pPr>
            <w:r>
              <w:lastRenderedPageBreak/>
              <w:t>Nationale PV-Aufteilung</w:t>
            </w:r>
          </w:p>
        </w:tc>
        <w:tc>
          <w:tcPr>
            <w:tcW w:w="2640" w:type="dxa"/>
          </w:tcPr>
          <w:p w14:paraId="11C62DF2" w14:textId="77777777" w:rsidR="004E4CC2" w:rsidRDefault="00000000">
            <w:pPr>
              <w:pStyle w:val="Compact"/>
            </w:pPr>
            <w:r>
              <w:rPr>
                <w:b/>
                <w:bCs/>
              </w:rPr>
              <w:t>Noch zu ergänzen</w:t>
            </w:r>
          </w:p>
        </w:tc>
        <w:tc>
          <w:tcPr>
            <w:tcW w:w="2640" w:type="dxa"/>
          </w:tcPr>
          <w:p w14:paraId="7ADD4FB6" w14:textId="77777777" w:rsidR="004E4CC2" w:rsidRDefault="00000000">
            <w:pPr>
              <w:pStyle w:val="Compact"/>
            </w:pPr>
            <w:r>
              <w:t>Zuordnung von Gebäude-PV, Freiflächen-PV und weiteren Anlagen zum Potenzial und zu den Sektoren</w:t>
            </w:r>
          </w:p>
        </w:tc>
      </w:tr>
      <w:tr w:rsidR="004E4CC2" w14:paraId="22F4C7B4" w14:textId="77777777">
        <w:tc>
          <w:tcPr>
            <w:tcW w:w="2640" w:type="dxa"/>
          </w:tcPr>
          <w:p w14:paraId="4014C673" w14:textId="77777777" w:rsidR="004E4CC2" w:rsidRDefault="00000000">
            <w:pPr>
              <w:pStyle w:val="Compact"/>
            </w:pPr>
            <w:r>
              <w:t>Umrechnung der sektoralen Energiegrößen in PE</w:t>
            </w:r>
          </w:p>
        </w:tc>
        <w:tc>
          <w:tcPr>
            <w:tcW w:w="2640" w:type="dxa"/>
          </w:tcPr>
          <w:p w14:paraId="780DFB99" w14:textId="77777777" w:rsidR="004E4CC2" w:rsidRDefault="00000000">
            <w:pPr>
              <w:pStyle w:val="Compact"/>
            </w:pPr>
            <w:r>
              <w:rPr>
                <w:b/>
                <w:bCs/>
              </w:rPr>
              <w:t>Noch zu ergänzen</w:t>
            </w:r>
          </w:p>
        </w:tc>
        <w:tc>
          <w:tcPr>
            <w:tcW w:w="2640" w:type="dxa"/>
          </w:tcPr>
          <w:p w14:paraId="4B7A03E8" w14:textId="77777777" w:rsidR="004E4CC2" w:rsidRDefault="00000000">
            <w:pPr>
              <w:pStyle w:val="Compact"/>
            </w:pPr>
            <w:r>
              <w:t>Zusammenhängende Faktortabelle mit Energieträger, Bezugsjahr und Allokationsregel</w:t>
            </w:r>
          </w:p>
        </w:tc>
      </w:tr>
      <w:tr w:rsidR="004E4CC2" w14:paraId="262C4986" w14:textId="77777777">
        <w:tc>
          <w:tcPr>
            <w:tcW w:w="2640" w:type="dxa"/>
          </w:tcPr>
          <w:p w14:paraId="239E17DD" w14:textId="77777777" w:rsidR="004E4CC2" w:rsidRDefault="00000000">
            <w:pPr>
              <w:pStyle w:val="Compact"/>
            </w:pPr>
            <w:r>
              <w:t>Entwicklung bis zum Zieljahr</w:t>
            </w:r>
          </w:p>
        </w:tc>
        <w:tc>
          <w:tcPr>
            <w:tcW w:w="2640" w:type="dxa"/>
          </w:tcPr>
          <w:p w14:paraId="03063A1A" w14:textId="77777777" w:rsidR="004E4CC2" w:rsidRDefault="00000000">
            <w:pPr>
              <w:pStyle w:val="Compact"/>
            </w:pPr>
            <w:r>
              <w:rPr>
                <w:b/>
                <w:bCs/>
              </w:rPr>
              <w:t>Noch zu ergänzen</w:t>
            </w:r>
          </w:p>
        </w:tc>
        <w:tc>
          <w:tcPr>
            <w:tcW w:w="2640" w:type="dxa"/>
          </w:tcPr>
          <w:p w14:paraId="20EFAF7E" w14:textId="77777777" w:rsidR="004E4CC2" w:rsidRDefault="00000000">
            <w:pPr>
              <w:pStyle w:val="Compact"/>
            </w:pPr>
            <w:r>
              <w:t>Stützjahre für Bedarf, Erzeugung und Elektrifizierung mit Zuordnung zum Szenario</w:t>
            </w:r>
          </w:p>
        </w:tc>
      </w:tr>
    </w:tbl>
    <w:p w14:paraId="0C0D4E82" w14:textId="77777777" w:rsidR="004E4CC2" w:rsidRDefault="00000000">
      <w:pPr>
        <w:pStyle w:val="berschrift2"/>
      </w:pPr>
      <w:bookmarkStart w:id="315" w:name="gebäudebestand-und-dichteallokation"/>
      <w:bookmarkStart w:id="316" w:name="_Toc243681340"/>
      <w:bookmarkEnd w:id="313"/>
      <w:r>
        <w:t>B.3 Gebäudebestand und Dichteallokation</w:t>
      </w:r>
      <w:bookmarkEnd w:id="316"/>
    </w:p>
    <w:p w14:paraId="758986DF" w14:textId="77777777" w:rsidR="004E4CC2" w:rsidRDefault="00000000">
      <w:pPr>
        <w:pStyle w:val="FirstParagraph"/>
      </w:pPr>
      <w:r>
        <w:t xml:space="preserve">Die folgende Tabelle dokumentiert die </w:t>
      </w:r>
      <w:r>
        <w:rPr>
          <w:b/>
          <w:bCs/>
        </w:rPr>
        <w:t>historische Kalibrierung</w:t>
      </w:r>
      <w:r>
        <w:t>. Der neue Building-Sector Pool ist inzwischen mit seinen eigenen 2040-Flächen, Energiekennwerten und GFZ-Zuordnungen ausgewertet (</w:t>
      </w:r>
      <w:hyperlink w:anchor="sec-gebaeudesektormodell">
        <w:r>
          <w:rPr>
            <w:rStyle w:val="Hyperlink"/>
          </w:rPr>
          <w:t>Anhang H</w:t>
        </w:r>
      </w:hyperlink>
      <w:r>
        <w:t>). Die alten Anteile 40/20/20/20 werden nicht als Gewichte des neuen Pools eingesetzt. Dessen nationale BGF beträgt 1.126,579 Mio. m²; die davon getrennte THG-Budgetfläche wird hier nicht geändert.</w:t>
      </w:r>
    </w:p>
    <w:p w14:paraId="38081B50" w14:textId="77777777" w:rsidR="004E4CC2" w:rsidRDefault="00000000">
      <w:pPr>
        <w:pStyle w:val="TableCaption"/>
      </w:pPr>
      <w:r>
        <w:t>Bestandsanteile und Dichtekalibrierung nach Schneider u. a. (2023), Tab. 5 und Abb. 8; Flächenbezug der THG-Allokation nach Schneider u. a. (2025), Tab. A1. Die jeweiligen Bezugsflächen sind getrennt zu führen.</w:t>
      </w:r>
    </w:p>
    <w:tbl>
      <w:tblPr>
        <w:tblStyle w:val="Table"/>
        <w:tblW w:w="5000" w:type="pct"/>
        <w:tblLayout w:type="fixed"/>
        <w:tblLook w:val="0020" w:firstRow="1" w:lastRow="0" w:firstColumn="0" w:lastColumn="0" w:noHBand="0" w:noVBand="0"/>
      </w:tblPr>
      <w:tblGrid>
        <w:gridCol w:w="3208"/>
        <w:gridCol w:w="3207"/>
        <w:gridCol w:w="3207"/>
      </w:tblGrid>
      <w:tr w:rsidR="004E4CC2" w14:paraId="4859E422"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2A0CA11C" w14:textId="77777777" w:rsidR="004E4CC2" w:rsidRDefault="00000000">
            <w:pPr>
              <w:pStyle w:val="Compact"/>
            </w:pPr>
            <w:r>
              <w:t>Annahme</w:t>
            </w:r>
          </w:p>
        </w:tc>
        <w:tc>
          <w:tcPr>
            <w:tcW w:w="2640" w:type="dxa"/>
          </w:tcPr>
          <w:p w14:paraId="418D68DE" w14:textId="77777777" w:rsidR="004E4CC2" w:rsidRDefault="00000000">
            <w:pPr>
              <w:pStyle w:val="Compact"/>
            </w:pPr>
            <w:r>
              <w:t>Ansatz</w:t>
            </w:r>
          </w:p>
        </w:tc>
        <w:tc>
          <w:tcPr>
            <w:tcW w:w="2640" w:type="dxa"/>
          </w:tcPr>
          <w:p w14:paraId="68FCE13E" w14:textId="77777777" w:rsidR="004E4CC2" w:rsidRDefault="00000000">
            <w:pPr>
              <w:pStyle w:val="Compact"/>
            </w:pPr>
            <w:r>
              <w:t>Grundlage / Stand</w:t>
            </w:r>
          </w:p>
        </w:tc>
      </w:tr>
      <w:tr w:rsidR="004E4CC2" w14:paraId="62C0D746" w14:textId="77777777">
        <w:tc>
          <w:tcPr>
            <w:tcW w:w="2640" w:type="dxa"/>
          </w:tcPr>
          <w:p w14:paraId="3B91D9AC" w14:textId="77777777" w:rsidR="004E4CC2" w:rsidRDefault="00000000">
            <w:pPr>
              <w:pStyle w:val="Compact"/>
            </w:pPr>
            <w:r>
              <w:t>Thermisch sanierter Bestand</w:t>
            </w:r>
          </w:p>
        </w:tc>
        <w:tc>
          <w:tcPr>
            <w:tcW w:w="2640" w:type="dxa"/>
          </w:tcPr>
          <w:p w14:paraId="655875D9" w14:textId="77777777" w:rsidR="004E4CC2" w:rsidRDefault="00000000">
            <w:pPr>
              <w:pStyle w:val="Compact"/>
            </w:pPr>
            <w:r>
              <w:t>40 %</w:t>
            </w:r>
          </w:p>
        </w:tc>
        <w:tc>
          <w:tcPr>
            <w:tcW w:w="2640" w:type="dxa"/>
          </w:tcPr>
          <w:p w14:paraId="0DADE1EC" w14:textId="77777777" w:rsidR="004E4CC2" w:rsidRDefault="00000000">
            <w:pPr>
              <w:pStyle w:val="Compact"/>
            </w:pPr>
            <w:r>
              <w:t>Anteil im kalibrierten Zielzustand</w:t>
            </w:r>
          </w:p>
        </w:tc>
      </w:tr>
      <w:tr w:rsidR="004E4CC2" w14:paraId="667A2E6E" w14:textId="77777777">
        <w:tc>
          <w:tcPr>
            <w:tcW w:w="2640" w:type="dxa"/>
          </w:tcPr>
          <w:p w14:paraId="1B0F8FA5" w14:textId="77777777" w:rsidR="004E4CC2" w:rsidRDefault="00000000">
            <w:pPr>
              <w:pStyle w:val="Compact"/>
            </w:pPr>
            <w:r>
              <w:t>Sanierung mit geringer PV-Ausstattung</w:t>
            </w:r>
          </w:p>
        </w:tc>
        <w:tc>
          <w:tcPr>
            <w:tcW w:w="2640" w:type="dxa"/>
          </w:tcPr>
          <w:p w14:paraId="3F06600B" w14:textId="77777777" w:rsidR="004E4CC2" w:rsidRDefault="00000000">
            <w:pPr>
              <w:pStyle w:val="Compact"/>
            </w:pPr>
            <w:r>
              <w:t>20 %</w:t>
            </w:r>
          </w:p>
        </w:tc>
        <w:tc>
          <w:tcPr>
            <w:tcW w:w="2640" w:type="dxa"/>
          </w:tcPr>
          <w:p w14:paraId="729F5B30" w14:textId="77777777" w:rsidR="004E4CC2" w:rsidRDefault="00000000">
            <w:pPr>
              <w:pStyle w:val="Compact"/>
            </w:pPr>
            <w:r>
              <w:t>Anteil im kalibrierten Zielzustand</w:t>
            </w:r>
          </w:p>
        </w:tc>
      </w:tr>
      <w:tr w:rsidR="004E4CC2" w14:paraId="75FE61A9" w14:textId="77777777">
        <w:tc>
          <w:tcPr>
            <w:tcW w:w="2640" w:type="dxa"/>
          </w:tcPr>
          <w:p w14:paraId="785424AC" w14:textId="77777777" w:rsidR="004E4CC2" w:rsidRDefault="00000000">
            <w:pPr>
              <w:pStyle w:val="Compact"/>
            </w:pPr>
            <w:r>
              <w:t>PEQ-Sanierung</w:t>
            </w:r>
          </w:p>
        </w:tc>
        <w:tc>
          <w:tcPr>
            <w:tcW w:w="2640" w:type="dxa"/>
          </w:tcPr>
          <w:p w14:paraId="4F0FDE35" w14:textId="77777777" w:rsidR="004E4CC2" w:rsidRDefault="00000000">
            <w:pPr>
              <w:pStyle w:val="Compact"/>
            </w:pPr>
            <w:r>
              <w:t>20 %</w:t>
            </w:r>
          </w:p>
        </w:tc>
        <w:tc>
          <w:tcPr>
            <w:tcW w:w="2640" w:type="dxa"/>
          </w:tcPr>
          <w:p w14:paraId="2ECC7DAF" w14:textId="77777777" w:rsidR="004E4CC2" w:rsidRDefault="00000000">
            <w:pPr>
              <w:pStyle w:val="Compact"/>
            </w:pPr>
            <w:r>
              <w:t>Anteil im kalibrierten Zielzustand</w:t>
            </w:r>
          </w:p>
        </w:tc>
      </w:tr>
      <w:tr w:rsidR="004E4CC2" w14:paraId="3B609A66" w14:textId="77777777">
        <w:tc>
          <w:tcPr>
            <w:tcW w:w="2640" w:type="dxa"/>
          </w:tcPr>
          <w:p w14:paraId="3AF58E5A" w14:textId="77777777" w:rsidR="004E4CC2" w:rsidRDefault="00000000">
            <w:pPr>
              <w:pStyle w:val="Compact"/>
            </w:pPr>
            <w:r>
              <w:t>PEQ-Neubau</w:t>
            </w:r>
          </w:p>
        </w:tc>
        <w:tc>
          <w:tcPr>
            <w:tcW w:w="2640" w:type="dxa"/>
          </w:tcPr>
          <w:p w14:paraId="7962D335" w14:textId="77777777" w:rsidR="004E4CC2" w:rsidRDefault="00000000">
            <w:pPr>
              <w:pStyle w:val="Compact"/>
            </w:pPr>
            <w:r>
              <w:t>20 %</w:t>
            </w:r>
          </w:p>
        </w:tc>
        <w:tc>
          <w:tcPr>
            <w:tcW w:w="2640" w:type="dxa"/>
          </w:tcPr>
          <w:p w14:paraId="5F4D8127" w14:textId="77777777" w:rsidR="004E4CC2" w:rsidRDefault="00000000">
            <w:pPr>
              <w:pStyle w:val="Compact"/>
            </w:pPr>
            <w:r>
              <w:t>Anteil im kalibrierten Zielzustand</w:t>
            </w:r>
          </w:p>
        </w:tc>
      </w:tr>
      <w:tr w:rsidR="004E4CC2" w14:paraId="7472BD6A" w14:textId="77777777">
        <w:tc>
          <w:tcPr>
            <w:tcW w:w="2640" w:type="dxa"/>
          </w:tcPr>
          <w:p w14:paraId="040FFDBF" w14:textId="77777777" w:rsidR="004E4CC2" w:rsidRDefault="00000000">
            <w:pPr>
              <w:pStyle w:val="Compact"/>
            </w:pPr>
            <w:r>
              <w:t>Unsanierter Bestand</w:t>
            </w:r>
          </w:p>
        </w:tc>
        <w:tc>
          <w:tcPr>
            <w:tcW w:w="2640" w:type="dxa"/>
          </w:tcPr>
          <w:p w14:paraId="74862ED2" w14:textId="77777777" w:rsidR="004E4CC2" w:rsidRDefault="00000000">
            <w:pPr>
              <w:pStyle w:val="Compact"/>
            </w:pPr>
            <w:r>
              <w:t>0 %</w:t>
            </w:r>
          </w:p>
        </w:tc>
        <w:tc>
          <w:tcPr>
            <w:tcW w:w="2640" w:type="dxa"/>
          </w:tcPr>
          <w:p w14:paraId="5ABF3575" w14:textId="77777777" w:rsidR="004E4CC2" w:rsidRDefault="00000000">
            <w:pPr>
              <w:pStyle w:val="Compact"/>
            </w:pPr>
            <w:r>
              <w:t>Annahme des Zielzustands, keine Beschreibung des heutigen Bestands</w:t>
            </w:r>
          </w:p>
        </w:tc>
      </w:tr>
      <w:tr w:rsidR="004E4CC2" w14:paraId="07D8899C" w14:textId="77777777">
        <w:tc>
          <w:tcPr>
            <w:tcW w:w="2640" w:type="dxa"/>
          </w:tcPr>
          <w:p w14:paraId="70D98BA2" w14:textId="77777777" w:rsidR="004E4CC2" w:rsidRDefault="00000000">
            <w:pPr>
              <w:pStyle w:val="Compact"/>
            </w:pPr>
            <w:r>
              <w:t>Nationale Aggregation</w:t>
            </w:r>
          </w:p>
        </w:tc>
        <w:tc>
          <w:tcPr>
            <w:tcW w:w="2640" w:type="dxa"/>
          </w:tcPr>
          <w:p w14:paraId="64CEB711" w14:textId="77777777" w:rsidR="004E4CC2" w:rsidRDefault="00000000">
            <w:pPr>
              <w:pStyle w:val="Compact"/>
            </w:pPr>
            <w:r>
              <w:t>Flächengewichtung nach Gebäudetyp und Dichteklasse</w:t>
            </w:r>
          </w:p>
        </w:tc>
        <w:tc>
          <w:tcPr>
            <w:tcW w:w="2640" w:type="dxa"/>
          </w:tcPr>
          <w:p w14:paraId="6951F2B2" w14:textId="77777777" w:rsidR="004E4CC2" w:rsidRDefault="00000000">
            <w:pPr>
              <w:pStyle w:val="Compact"/>
            </w:pPr>
            <w:hyperlink w:anchor="eq-sektor-aggregation">
              <w:r>
                <w:rPr>
                  <w:rStyle w:val="Hyperlink"/>
                </w:rPr>
                <w:t>Gleichung 7.3</w:t>
              </w:r>
            </w:hyperlink>
          </w:p>
        </w:tc>
      </w:tr>
      <w:tr w:rsidR="004E4CC2" w14:paraId="3265E3A1" w14:textId="77777777">
        <w:tc>
          <w:tcPr>
            <w:tcW w:w="2640" w:type="dxa"/>
          </w:tcPr>
          <w:p w14:paraId="1923CB37" w14:textId="77777777" w:rsidR="004E4CC2" w:rsidRDefault="00000000">
            <w:pPr>
              <w:pStyle w:val="Compact"/>
            </w:pPr>
            <w:r>
              <w:t xml:space="preserve">Dichteverteilung des </w:t>
            </w:r>
            <w:r>
              <w:lastRenderedPageBreak/>
              <w:t>Bestands</w:t>
            </w:r>
          </w:p>
        </w:tc>
        <w:tc>
          <w:tcPr>
            <w:tcW w:w="2640" w:type="dxa"/>
          </w:tcPr>
          <w:p w14:paraId="0D37B089" w14:textId="77777777" w:rsidR="004E4CC2" w:rsidRDefault="00000000">
            <w:pPr>
              <w:pStyle w:val="Compact"/>
            </w:pPr>
            <w:r>
              <w:lastRenderedPageBreak/>
              <w:t xml:space="preserve">Aktualisierte Hochrechnung </w:t>
            </w:r>
            <w:r>
              <w:lastRenderedPageBreak/>
              <w:t>2021 und Pool-Zuordnung 2040</w:t>
            </w:r>
          </w:p>
        </w:tc>
        <w:tc>
          <w:tcPr>
            <w:tcW w:w="2640" w:type="dxa"/>
          </w:tcPr>
          <w:p w14:paraId="2C7C2A0C" w14:textId="77777777" w:rsidR="004E4CC2" w:rsidRDefault="00000000">
            <w:pPr>
              <w:pStyle w:val="Compact"/>
            </w:pPr>
            <w:r>
              <w:lastRenderedPageBreak/>
              <w:t xml:space="preserve">Ausgeführt in </w:t>
            </w:r>
            <w:hyperlink w:anchor="sec-gebaeude-gfz">
              <w:r>
                <w:rPr>
                  <w:rStyle w:val="Hyperlink"/>
                </w:rPr>
                <w:t>Kapitel H.7</w:t>
              </w:r>
            </w:hyperlink>
            <w:r>
              <w:t xml:space="preserve">; </w:t>
            </w:r>
            <w:r>
              <w:lastRenderedPageBreak/>
              <w:t>räumliche Fortschreibung 2040 weiterhin Modellannahme</w:t>
            </w:r>
          </w:p>
        </w:tc>
      </w:tr>
      <w:tr w:rsidR="004E4CC2" w14:paraId="198013D4" w14:textId="77777777">
        <w:tc>
          <w:tcPr>
            <w:tcW w:w="2640" w:type="dxa"/>
          </w:tcPr>
          <w:p w14:paraId="09DA6617" w14:textId="77777777" w:rsidR="004E4CC2" w:rsidRDefault="00000000">
            <w:pPr>
              <w:pStyle w:val="Compact"/>
            </w:pPr>
            <w:r>
              <w:lastRenderedPageBreak/>
              <w:t>Dichteabhängige Anforderung</w:t>
            </w:r>
          </w:p>
        </w:tc>
        <w:tc>
          <w:tcPr>
            <w:tcW w:w="2640" w:type="dxa"/>
          </w:tcPr>
          <w:p w14:paraId="1A8B4897" w14:textId="77777777" w:rsidR="004E4CC2" w:rsidRDefault="00000000">
            <w:pPr>
              <w:pStyle w:val="Compact"/>
            </w:pPr>
            <w:r>
              <w:t>Historische Referenzfunktion mit Verschiebung und Begrenzung</w:t>
            </w:r>
          </w:p>
        </w:tc>
        <w:tc>
          <w:tcPr>
            <w:tcW w:w="2640" w:type="dxa"/>
          </w:tcPr>
          <w:p w14:paraId="6C6C803A" w14:textId="77777777" w:rsidR="004E4CC2" w:rsidRDefault="00000000">
            <w:pPr>
              <w:pStyle w:val="Compact"/>
            </w:pPr>
            <w:r>
              <w:t xml:space="preserve">Parameter und elektrische Erwartungswerte in </w:t>
            </w:r>
            <w:hyperlink w:anchor="sec-gebaeude-gfz">
              <w:r>
                <w:rPr>
                  <w:rStyle w:val="Hyperlink"/>
                </w:rPr>
                <w:t>Kapitel H.7</w:t>
              </w:r>
            </w:hyperlink>
            <w:r>
              <w:t>; neue Kalibrierung offen</w:t>
            </w:r>
          </w:p>
        </w:tc>
      </w:tr>
      <w:tr w:rsidR="004E4CC2" w14:paraId="3B3DB33D" w14:textId="77777777">
        <w:tc>
          <w:tcPr>
            <w:tcW w:w="2640" w:type="dxa"/>
          </w:tcPr>
          <w:p w14:paraId="61856F13" w14:textId="77777777" w:rsidR="004E4CC2" w:rsidRDefault="00000000">
            <w:pPr>
              <w:pStyle w:val="Compact"/>
            </w:pPr>
            <w:r>
              <w:t>Flächenentwicklung bis 2040</w:t>
            </w:r>
          </w:p>
        </w:tc>
        <w:tc>
          <w:tcPr>
            <w:tcW w:w="2640" w:type="dxa"/>
          </w:tcPr>
          <w:p w14:paraId="57031B8B" w14:textId="77777777" w:rsidR="004E4CC2" w:rsidRDefault="00000000">
            <w:pPr>
              <w:pStyle w:val="Compact"/>
            </w:pPr>
            <w:r>
              <w:t>Nationale Bezugsfläche 906,7 Mio. m² BGF</w:t>
            </w:r>
          </w:p>
        </w:tc>
        <w:tc>
          <w:tcPr>
            <w:tcW w:w="2640" w:type="dxa"/>
          </w:tcPr>
          <w:p w14:paraId="2D449610" w14:textId="77777777" w:rsidR="004E4CC2" w:rsidRDefault="00000000">
            <w:pPr>
              <w:pStyle w:val="Compact"/>
            </w:pPr>
            <w:r>
              <w:rPr>
                <w:b/>
                <w:bCs/>
              </w:rPr>
              <w:t>Noch zu ergänzen:</w:t>
            </w:r>
            <w:r>
              <w:t xml:space="preserve"> Aufteilung nach Nutzung, Bestand, Neubau, Abbruch und Sanierung mit Stützjahren</w:t>
            </w:r>
          </w:p>
        </w:tc>
      </w:tr>
    </w:tbl>
    <w:p w14:paraId="4911F351" w14:textId="77777777" w:rsidR="004E4CC2" w:rsidRDefault="00000000">
      <w:pPr>
        <w:pStyle w:val="berschrift2"/>
      </w:pPr>
      <w:bookmarkStart w:id="317" w:name="mobilitätsallokation-und-sanierung"/>
      <w:bookmarkStart w:id="318" w:name="_Toc243681341"/>
      <w:bookmarkEnd w:id="315"/>
      <w:r>
        <w:t>B.4 Mobilitätsallokation und Sanierung</w:t>
      </w:r>
      <w:bookmarkEnd w:id="318"/>
    </w:p>
    <w:p w14:paraId="50B04131" w14:textId="77777777" w:rsidR="004E4CC2" w:rsidRDefault="00000000">
      <w:pPr>
        <w:pStyle w:val="TableCaption"/>
      </w:pPr>
      <w:r>
        <w:t>Mobilitätsallokation nach Schneider u. a. (2023), Tab. 9. Die Gutschrift gilt gemeinsam mit dem zugeordneten MIV-Bedarf.</w:t>
      </w:r>
    </w:p>
    <w:tbl>
      <w:tblPr>
        <w:tblStyle w:val="Table"/>
        <w:tblW w:w="5000" w:type="pct"/>
        <w:tblLayout w:type="fixed"/>
        <w:tblLook w:val="0020" w:firstRow="1" w:lastRow="0" w:firstColumn="0" w:lastColumn="0" w:noHBand="0" w:noVBand="0"/>
      </w:tblPr>
      <w:tblGrid>
        <w:gridCol w:w="1924"/>
        <w:gridCol w:w="2566"/>
        <w:gridCol w:w="2566"/>
        <w:gridCol w:w="2566"/>
      </w:tblGrid>
      <w:tr w:rsidR="004E4CC2" w14:paraId="148740AB"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584" w:type="dxa"/>
          </w:tcPr>
          <w:p w14:paraId="14C1DBAE" w14:textId="77777777" w:rsidR="004E4CC2" w:rsidRDefault="00000000">
            <w:pPr>
              <w:pStyle w:val="Compact"/>
            </w:pPr>
            <w:r>
              <w:t>Nutzung</w:t>
            </w:r>
          </w:p>
        </w:tc>
        <w:tc>
          <w:tcPr>
            <w:tcW w:w="2112" w:type="dxa"/>
          </w:tcPr>
          <w:p w14:paraId="6C1564BF" w14:textId="77777777" w:rsidR="004E4CC2" w:rsidRDefault="00000000">
            <w:pPr>
              <w:pStyle w:val="Compact"/>
              <w:jc w:val="right"/>
            </w:pPr>
            <w:r>
              <w:t>MIV-Budget [TWh PE/a]</w:t>
            </w:r>
          </w:p>
        </w:tc>
        <w:tc>
          <w:tcPr>
            <w:tcW w:w="2112" w:type="dxa"/>
          </w:tcPr>
          <w:p w14:paraId="0BC6D89E" w14:textId="77777777" w:rsidR="004E4CC2" w:rsidRDefault="00000000">
            <w:pPr>
              <w:pStyle w:val="Compact"/>
              <w:jc w:val="right"/>
            </w:pPr>
            <w:r>
              <w:t>Bezugsfläche [Mio. m² NGF]</w:t>
            </w:r>
          </w:p>
        </w:tc>
        <w:tc>
          <w:tcPr>
            <w:tcW w:w="2112" w:type="dxa"/>
          </w:tcPr>
          <w:p w14:paraId="6670E828" w14:textId="77777777" w:rsidR="004E4CC2" w:rsidRDefault="00000000">
            <w:pPr>
              <w:pStyle w:val="Compact"/>
              <w:jc w:val="right"/>
            </w:pPr>
            <w:r>
              <w:t>Gutschrift [kWh PE/(m² NGF a)]</w:t>
            </w:r>
          </w:p>
        </w:tc>
      </w:tr>
      <w:tr w:rsidR="004E4CC2" w14:paraId="1DF755C8" w14:textId="77777777">
        <w:tc>
          <w:tcPr>
            <w:tcW w:w="1584" w:type="dxa"/>
          </w:tcPr>
          <w:p w14:paraId="23C89672" w14:textId="77777777" w:rsidR="004E4CC2" w:rsidRDefault="00000000">
            <w:pPr>
              <w:pStyle w:val="Compact"/>
            </w:pPr>
            <w:r>
              <w:t>Wohnen</w:t>
            </w:r>
          </w:p>
        </w:tc>
        <w:tc>
          <w:tcPr>
            <w:tcW w:w="2112" w:type="dxa"/>
          </w:tcPr>
          <w:p w14:paraId="61406156" w14:textId="77777777" w:rsidR="004E4CC2" w:rsidRDefault="00000000">
            <w:pPr>
              <w:pStyle w:val="Compact"/>
              <w:jc w:val="right"/>
            </w:pPr>
            <w:r>
              <w:t>5,30</w:t>
            </w:r>
          </w:p>
        </w:tc>
        <w:tc>
          <w:tcPr>
            <w:tcW w:w="2112" w:type="dxa"/>
          </w:tcPr>
          <w:p w14:paraId="7DE31CD8" w14:textId="77777777" w:rsidR="004E4CC2" w:rsidRDefault="00000000">
            <w:pPr>
              <w:pStyle w:val="Compact"/>
              <w:jc w:val="right"/>
            </w:pPr>
            <w:r>
              <w:t>375,6</w:t>
            </w:r>
          </w:p>
        </w:tc>
        <w:tc>
          <w:tcPr>
            <w:tcW w:w="2112" w:type="dxa"/>
          </w:tcPr>
          <w:p w14:paraId="0CD68D4C" w14:textId="77777777" w:rsidR="004E4CC2" w:rsidRDefault="00000000">
            <w:pPr>
              <w:pStyle w:val="Compact"/>
              <w:jc w:val="right"/>
            </w:pPr>
            <w:r>
              <w:t>14,11</w:t>
            </w:r>
          </w:p>
        </w:tc>
      </w:tr>
      <w:tr w:rsidR="004E4CC2" w14:paraId="3D711E43" w14:textId="77777777">
        <w:tc>
          <w:tcPr>
            <w:tcW w:w="1584" w:type="dxa"/>
          </w:tcPr>
          <w:p w14:paraId="34A2A3D6" w14:textId="77777777" w:rsidR="004E4CC2" w:rsidRDefault="00000000">
            <w:pPr>
              <w:pStyle w:val="Compact"/>
            </w:pPr>
            <w:r>
              <w:t>Büro und Gewerbe</w:t>
            </w:r>
          </w:p>
        </w:tc>
        <w:tc>
          <w:tcPr>
            <w:tcW w:w="2112" w:type="dxa"/>
          </w:tcPr>
          <w:p w14:paraId="5E741BD6" w14:textId="77777777" w:rsidR="004E4CC2" w:rsidRDefault="00000000">
            <w:pPr>
              <w:pStyle w:val="Compact"/>
              <w:jc w:val="right"/>
            </w:pPr>
            <w:r>
              <w:t>2,20</w:t>
            </w:r>
          </w:p>
        </w:tc>
        <w:tc>
          <w:tcPr>
            <w:tcW w:w="2112" w:type="dxa"/>
          </w:tcPr>
          <w:p w14:paraId="275CCB71" w14:textId="77777777" w:rsidR="004E4CC2" w:rsidRDefault="00000000">
            <w:pPr>
              <w:pStyle w:val="Compact"/>
              <w:jc w:val="right"/>
            </w:pPr>
            <w:r>
              <w:t>53,1</w:t>
            </w:r>
          </w:p>
        </w:tc>
        <w:tc>
          <w:tcPr>
            <w:tcW w:w="2112" w:type="dxa"/>
          </w:tcPr>
          <w:p w14:paraId="2DF57AB4" w14:textId="77777777" w:rsidR="004E4CC2" w:rsidRDefault="00000000">
            <w:pPr>
              <w:pStyle w:val="Compact"/>
              <w:jc w:val="right"/>
            </w:pPr>
            <w:r>
              <w:t>41,47</w:t>
            </w:r>
          </w:p>
        </w:tc>
      </w:tr>
      <w:tr w:rsidR="004E4CC2" w14:paraId="52695232" w14:textId="77777777">
        <w:tc>
          <w:tcPr>
            <w:tcW w:w="1584" w:type="dxa"/>
          </w:tcPr>
          <w:p w14:paraId="37A2C622" w14:textId="77777777" w:rsidR="004E4CC2" w:rsidRDefault="00000000">
            <w:pPr>
              <w:pStyle w:val="Compact"/>
            </w:pPr>
            <w:r>
              <w:t>Bildung</w:t>
            </w:r>
          </w:p>
        </w:tc>
        <w:tc>
          <w:tcPr>
            <w:tcW w:w="2112" w:type="dxa"/>
          </w:tcPr>
          <w:p w14:paraId="7A97DF5D" w14:textId="77777777" w:rsidR="004E4CC2" w:rsidRDefault="00000000">
            <w:pPr>
              <w:pStyle w:val="Compact"/>
              <w:jc w:val="right"/>
            </w:pPr>
            <w:r>
              <w:t>0,29</w:t>
            </w:r>
          </w:p>
        </w:tc>
        <w:tc>
          <w:tcPr>
            <w:tcW w:w="2112" w:type="dxa"/>
          </w:tcPr>
          <w:p w14:paraId="2F60EAE6" w14:textId="77777777" w:rsidR="004E4CC2" w:rsidRDefault="00000000">
            <w:pPr>
              <w:pStyle w:val="Compact"/>
              <w:jc w:val="right"/>
            </w:pPr>
            <w:r>
              <w:t>22,5</w:t>
            </w:r>
          </w:p>
        </w:tc>
        <w:tc>
          <w:tcPr>
            <w:tcW w:w="2112" w:type="dxa"/>
          </w:tcPr>
          <w:p w14:paraId="342033A0" w14:textId="77777777" w:rsidR="004E4CC2" w:rsidRDefault="00000000">
            <w:pPr>
              <w:pStyle w:val="Compact"/>
              <w:jc w:val="right"/>
            </w:pPr>
            <w:r>
              <w:t>12,93</w:t>
            </w:r>
          </w:p>
        </w:tc>
      </w:tr>
      <w:tr w:rsidR="004E4CC2" w14:paraId="7BD7FB9E" w14:textId="77777777">
        <w:tc>
          <w:tcPr>
            <w:tcW w:w="1584" w:type="dxa"/>
          </w:tcPr>
          <w:p w14:paraId="2D833689" w14:textId="77777777" w:rsidR="004E4CC2" w:rsidRDefault="00000000">
            <w:pPr>
              <w:pStyle w:val="Compact"/>
            </w:pPr>
            <w:r>
              <w:t>Handel und sonstige Nutzungen</w:t>
            </w:r>
          </w:p>
        </w:tc>
        <w:tc>
          <w:tcPr>
            <w:tcW w:w="2112" w:type="dxa"/>
          </w:tcPr>
          <w:p w14:paraId="1DCFEE9A" w14:textId="77777777" w:rsidR="004E4CC2" w:rsidRDefault="00000000">
            <w:pPr>
              <w:pStyle w:val="Compact"/>
              <w:jc w:val="right"/>
            </w:pPr>
            <w:r>
              <w:t>2,89</w:t>
            </w:r>
          </w:p>
        </w:tc>
        <w:tc>
          <w:tcPr>
            <w:tcW w:w="2112" w:type="dxa"/>
          </w:tcPr>
          <w:p w14:paraId="4D0152B3" w14:textId="77777777" w:rsidR="004E4CC2" w:rsidRDefault="00000000">
            <w:pPr>
              <w:pStyle w:val="Compact"/>
              <w:jc w:val="right"/>
            </w:pPr>
            <w:r>
              <w:t>96,5</w:t>
            </w:r>
          </w:p>
        </w:tc>
        <w:tc>
          <w:tcPr>
            <w:tcW w:w="2112" w:type="dxa"/>
          </w:tcPr>
          <w:p w14:paraId="46CE852D" w14:textId="77777777" w:rsidR="004E4CC2" w:rsidRDefault="00000000">
            <w:pPr>
              <w:pStyle w:val="Compact"/>
              <w:jc w:val="right"/>
            </w:pPr>
            <w:r>
              <w:t>29,97</w:t>
            </w:r>
          </w:p>
        </w:tc>
      </w:tr>
    </w:tbl>
    <w:p w14:paraId="27DCC84C" w14:textId="77777777" w:rsidR="004E4CC2" w:rsidRDefault="00000000">
      <w:pPr>
        <w:pStyle w:val="Textkrper"/>
      </w:pPr>
      <w:r>
        <w:t xml:space="preserve"> </w:t>
      </w:r>
    </w:p>
    <w:tbl>
      <w:tblPr>
        <w:tblStyle w:val="Table"/>
        <w:tblW w:w="5000" w:type="pct"/>
        <w:tblLayout w:type="fixed"/>
        <w:tblLook w:val="0020" w:firstRow="1" w:lastRow="0" w:firstColumn="0" w:lastColumn="0" w:noHBand="0" w:noVBand="0"/>
      </w:tblPr>
      <w:tblGrid>
        <w:gridCol w:w="3208"/>
        <w:gridCol w:w="3207"/>
        <w:gridCol w:w="3207"/>
      </w:tblGrid>
      <w:tr w:rsidR="004E4CC2" w14:paraId="5462616D"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5BFCD4AA" w14:textId="77777777" w:rsidR="004E4CC2" w:rsidRDefault="00000000">
            <w:pPr>
              <w:pStyle w:val="Compact"/>
            </w:pPr>
            <w:r>
              <w:t>Annahme</w:t>
            </w:r>
          </w:p>
        </w:tc>
        <w:tc>
          <w:tcPr>
            <w:tcW w:w="2640" w:type="dxa"/>
          </w:tcPr>
          <w:p w14:paraId="0D775B6C" w14:textId="77777777" w:rsidR="004E4CC2" w:rsidRDefault="00000000">
            <w:pPr>
              <w:pStyle w:val="Compact"/>
            </w:pPr>
            <w:r>
              <w:t>Ansatz</w:t>
            </w:r>
          </w:p>
        </w:tc>
        <w:tc>
          <w:tcPr>
            <w:tcW w:w="2640" w:type="dxa"/>
          </w:tcPr>
          <w:p w14:paraId="36FAF3A9" w14:textId="77777777" w:rsidR="004E4CC2" w:rsidRDefault="00000000">
            <w:pPr>
              <w:pStyle w:val="Compact"/>
            </w:pPr>
            <w:r>
              <w:t>Ergänzungs- oder Entwicklungsbedarf</w:t>
            </w:r>
          </w:p>
        </w:tc>
      </w:tr>
      <w:tr w:rsidR="004E4CC2" w14:paraId="67462E10" w14:textId="77777777">
        <w:tc>
          <w:tcPr>
            <w:tcW w:w="2640" w:type="dxa"/>
          </w:tcPr>
          <w:p w14:paraId="5D4073EE" w14:textId="77777777" w:rsidR="004E4CC2" w:rsidRDefault="00000000">
            <w:pPr>
              <w:pStyle w:val="Compact"/>
            </w:pPr>
            <w:r>
              <w:t>Verkehrszuordnung</w:t>
            </w:r>
          </w:p>
        </w:tc>
        <w:tc>
          <w:tcPr>
            <w:tcW w:w="2640" w:type="dxa"/>
          </w:tcPr>
          <w:p w14:paraId="0CAC496E" w14:textId="77777777" w:rsidR="004E4CC2" w:rsidRDefault="00000000">
            <w:pPr>
              <w:pStyle w:val="Compact"/>
            </w:pPr>
            <w:r>
              <w:t>Zielverkehr nach Nutzung; Datenbasis 2013/2014</w:t>
            </w:r>
          </w:p>
        </w:tc>
        <w:tc>
          <w:tcPr>
            <w:tcW w:w="2640" w:type="dxa"/>
          </w:tcPr>
          <w:p w14:paraId="4889BDE1" w14:textId="77777777" w:rsidR="004E4CC2" w:rsidRDefault="00000000">
            <w:pPr>
              <w:pStyle w:val="Compact"/>
            </w:pPr>
            <w:r>
              <w:rPr>
                <w:b/>
                <w:bCs/>
              </w:rPr>
              <w:t>Noch zu ergänzen:</w:t>
            </w:r>
            <w:r>
              <w:t xml:space="preserve"> vollständige Zuordnung der Verkehrsanteile zu den nationalen Nutzflächen; </w:t>
            </w:r>
            <w:r>
              <w:rPr>
                <w:b/>
                <w:bCs/>
              </w:rPr>
              <w:t>weiterzuentwickeln:</w:t>
            </w:r>
            <w:r>
              <w:t xml:space="preserve"> Aktualisierung mit neuer Mobilitätserhebung</w:t>
            </w:r>
          </w:p>
        </w:tc>
      </w:tr>
      <w:tr w:rsidR="004E4CC2" w14:paraId="5BCF2EFA" w14:textId="77777777">
        <w:tc>
          <w:tcPr>
            <w:tcW w:w="2640" w:type="dxa"/>
          </w:tcPr>
          <w:p w14:paraId="0A62070A" w14:textId="77777777" w:rsidR="004E4CC2" w:rsidRDefault="00000000">
            <w:pPr>
              <w:pStyle w:val="Compact"/>
            </w:pPr>
            <w:r>
              <w:t>Gemischte Nutzung</w:t>
            </w:r>
          </w:p>
        </w:tc>
        <w:tc>
          <w:tcPr>
            <w:tcW w:w="2640" w:type="dxa"/>
          </w:tcPr>
          <w:p w14:paraId="6DB4BB55" w14:textId="77777777" w:rsidR="004E4CC2" w:rsidRDefault="00000000">
            <w:pPr>
              <w:pStyle w:val="Compact"/>
            </w:pPr>
            <w:r>
              <w:t>Flächengewichteter Mittelwert der Gutschriften</w:t>
            </w:r>
          </w:p>
        </w:tc>
        <w:tc>
          <w:tcPr>
            <w:tcW w:w="2640" w:type="dxa"/>
          </w:tcPr>
          <w:p w14:paraId="4983AEA1" w14:textId="77777777" w:rsidR="004E4CC2" w:rsidRDefault="00000000">
            <w:pPr>
              <w:pStyle w:val="Compact"/>
            </w:pPr>
            <w:r>
              <w:t xml:space="preserve">Berechnung nach </w:t>
            </w:r>
            <w:hyperlink w:anchor="eq-mobilitaet-mischnutzung">
              <w:r>
                <w:rPr>
                  <w:rStyle w:val="Hyperlink"/>
                </w:rPr>
                <w:t>Gleichung 8.2</w:t>
              </w:r>
            </w:hyperlink>
          </w:p>
        </w:tc>
      </w:tr>
      <w:tr w:rsidR="004E4CC2" w14:paraId="0E1D6AA3" w14:textId="77777777">
        <w:tc>
          <w:tcPr>
            <w:tcW w:w="2640" w:type="dxa"/>
          </w:tcPr>
          <w:p w14:paraId="364A1A84" w14:textId="77777777" w:rsidR="004E4CC2" w:rsidRDefault="00000000">
            <w:pPr>
              <w:pStyle w:val="Compact"/>
            </w:pPr>
            <w:r>
              <w:t>Sanierungsgutschrift</w:t>
            </w:r>
          </w:p>
        </w:tc>
        <w:tc>
          <w:tcPr>
            <w:tcW w:w="2640" w:type="dxa"/>
          </w:tcPr>
          <w:p w14:paraId="53E810CB" w14:textId="77777777" w:rsidR="004E4CC2" w:rsidRDefault="00000000">
            <w:pPr>
              <w:pStyle w:val="Compact"/>
            </w:pPr>
            <w:r>
              <w:t xml:space="preserve">15 kWh PE/(m² NGF a), gewichtet mit dem </w:t>
            </w:r>
            <w:r>
              <w:lastRenderedPageBreak/>
              <w:t>Sanierungsanteil</w:t>
            </w:r>
          </w:p>
        </w:tc>
        <w:tc>
          <w:tcPr>
            <w:tcW w:w="2640" w:type="dxa"/>
          </w:tcPr>
          <w:p w14:paraId="08D92998" w14:textId="77777777" w:rsidR="004E4CC2" w:rsidRDefault="00000000">
            <w:pPr>
              <w:pStyle w:val="Compact"/>
            </w:pPr>
            <w:r>
              <w:lastRenderedPageBreak/>
              <w:t xml:space="preserve">Normative Festlegung nach Schneider u. a. (2026), S. 14; </w:t>
            </w:r>
            <w:r>
              <w:rPr>
                <w:b/>
                <w:bCs/>
              </w:rPr>
              <w:lastRenderedPageBreak/>
              <w:t>weiterzuentwickeln:</w:t>
            </w:r>
            <w:r>
              <w:t xml:space="preserve"> quantitative Kalibrierung und gegebenenfalls Differenzierung nach Sanierungserschwernis</w:t>
            </w:r>
          </w:p>
        </w:tc>
      </w:tr>
    </w:tbl>
    <w:p w14:paraId="1990AE75" w14:textId="77777777" w:rsidR="004E4CC2" w:rsidRDefault="00000000">
      <w:pPr>
        <w:pStyle w:val="berschrift2"/>
      </w:pPr>
      <w:bookmarkStart w:id="319" w:name="thg-budget-und-senkenannahmen"/>
      <w:bookmarkStart w:id="320" w:name="_Toc243681342"/>
      <w:bookmarkEnd w:id="317"/>
      <w:r>
        <w:lastRenderedPageBreak/>
        <w:t>B.5 THG-Budget und Senkenannahmen</w:t>
      </w:r>
      <w:bookmarkEnd w:id="320"/>
    </w:p>
    <w:p w14:paraId="5E817DAB" w14:textId="77777777" w:rsidR="004E4CC2" w:rsidRDefault="00000000">
      <w:pPr>
        <w:pStyle w:val="TableCaption"/>
      </w:pPr>
      <w:r>
        <w:t>Budgetgrundlagen nach Schneider u. a. (2025), Tab. 2 und A1. L1–L3 sind Budgetvarianten, keine PEQ-Qualitätsstufen.</w:t>
      </w:r>
    </w:p>
    <w:tbl>
      <w:tblPr>
        <w:tblStyle w:val="Table"/>
        <w:tblW w:w="5000" w:type="pct"/>
        <w:tblLayout w:type="fixed"/>
        <w:tblLook w:val="0020" w:firstRow="1" w:lastRow="0" w:firstColumn="0" w:lastColumn="0" w:noHBand="0" w:noVBand="0"/>
      </w:tblPr>
      <w:tblGrid>
        <w:gridCol w:w="3208"/>
        <w:gridCol w:w="3207"/>
        <w:gridCol w:w="3207"/>
      </w:tblGrid>
      <w:tr w:rsidR="004E4CC2" w14:paraId="2BC1972E"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28BEE7AF" w14:textId="77777777" w:rsidR="004E4CC2" w:rsidRDefault="00000000">
            <w:pPr>
              <w:pStyle w:val="Compact"/>
            </w:pPr>
            <w:r>
              <w:t>Größe</w:t>
            </w:r>
          </w:p>
        </w:tc>
        <w:tc>
          <w:tcPr>
            <w:tcW w:w="2640" w:type="dxa"/>
          </w:tcPr>
          <w:p w14:paraId="3ECAE0E4" w14:textId="77777777" w:rsidR="004E4CC2" w:rsidRDefault="00000000">
            <w:pPr>
              <w:pStyle w:val="Compact"/>
            </w:pPr>
            <w:r>
              <w:t>Ansatz</w:t>
            </w:r>
          </w:p>
        </w:tc>
        <w:tc>
          <w:tcPr>
            <w:tcW w:w="2640" w:type="dxa"/>
          </w:tcPr>
          <w:p w14:paraId="08226D23" w14:textId="77777777" w:rsidR="004E4CC2" w:rsidRDefault="00000000">
            <w:pPr>
              <w:pStyle w:val="Compact"/>
            </w:pPr>
            <w:r>
              <w:t>Funktion</w:t>
            </w:r>
          </w:p>
        </w:tc>
      </w:tr>
      <w:tr w:rsidR="004E4CC2" w14:paraId="737E43BD" w14:textId="77777777">
        <w:tc>
          <w:tcPr>
            <w:tcW w:w="2640" w:type="dxa"/>
          </w:tcPr>
          <w:p w14:paraId="3CD193C8" w14:textId="77777777" w:rsidR="004E4CC2" w:rsidRDefault="00000000">
            <w:pPr>
              <w:pStyle w:val="Compact"/>
            </w:pPr>
            <w:r>
              <w:t>Klimabudgetansatz</w:t>
            </w:r>
          </w:p>
        </w:tc>
        <w:tc>
          <w:tcPr>
            <w:tcW w:w="2640" w:type="dxa"/>
          </w:tcPr>
          <w:p w14:paraId="4F1F31DA" w14:textId="77777777" w:rsidR="004E4CC2" w:rsidRDefault="00000000">
            <w:pPr>
              <w:pStyle w:val="Compact"/>
            </w:pPr>
            <w:r>
              <w:t>1,5 °C mit 66 % Wahrscheinlichkeit, ohne temporäre Überschreitung</w:t>
            </w:r>
          </w:p>
        </w:tc>
        <w:tc>
          <w:tcPr>
            <w:tcW w:w="2640" w:type="dxa"/>
          </w:tcPr>
          <w:p w14:paraId="7AC85BFF" w14:textId="77777777" w:rsidR="004E4CC2" w:rsidRDefault="00000000">
            <w:pPr>
              <w:pStyle w:val="Compact"/>
            </w:pPr>
            <w:r>
              <w:t>Referenz der Budgetvarianten L1–L3</w:t>
            </w:r>
          </w:p>
        </w:tc>
      </w:tr>
      <w:tr w:rsidR="004E4CC2" w14:paraId="3EE00023" w14:textId="77777777">
        <w:tc>
          <w:tcPr>
            <w:tcW w:w="2640" w:type="dxa"/>
          </w:tcPr>
          <w:p w14:paraId="4DF99E79" w14:textId="77777777" w:rsidR="004E4CC2" w:rsidRDefault="00000000">
            <w:pPr>
              <w:pStyle w:val="Compact"/>
            </w:pPr>
            <w:r>
              <w:t>Nationales Ausgangsbudget ab 2022</w:t>
            </w:r>
          </w:p>
        </w:tc>
        <w:tc>
          <w:tcPr>
            <w:tcW w:w="2640" w:type="dxa"/>
          </w:tcPr>
          <w:p w14:paraId="7C4168B0" w14:textId="77777777" w:rsidR="004E4CC2" w:rsidRDefault="00000000">
            <w:pPr>
              <w:pStyle w:val="Compact"/>
            </w:pPr>
            <w:r>
              <w:t>280 Mt CO₂</w:t>
            </w:r>
          </w:p>
        </w:tc>
        <w:tc>
          <w:tcPr>
            <w:tcW w:w="2640" w:type="dxa"/>
          </w:tcPr>
          <w:p w14:paraId="745A14E1" w14:textId="77777777" w:rsidR="004E4CC2" w:rsidRDefault="00000000">
            <w:pPr>
              <w:pStyle w:val="Compact"/>
            </w:pPr>
            <w:r>
              <w:t>Vor Abzug der angesetzten Emissionen bis Ende 2024</w:t>
            </w:r>
          </w:p>
        </w:tc>
      </w:tr>
      <w:tr w:rsidR="004E4CC2" w14:paraId="18AA6252" w14:textId="77777777">
        <w:tc>
          <w:tcPr>
            <w:tcW w:w="2640" w:type="dxa"/>
          </w:tcPr>
          <w:p w14:paraId="3272170E" w14:textId="77777777" w:rsidR="004E4CC2" w:rsidRDefault="00000000">
            <w:pPr>
              <w:pStyle w:val="Compact"/>
            </w:pPr>
            <w:r>
              <w:t>Verbleibendes Budget ab 2025</w:t>
            </w:r>
          </w:p>
        </w:tc>
        <w:tc>
          <w:tcPr>
            <w:tcW w:w="2640" w:type="dxa"/>
          </w:tcPr>
          <w:p w14:paraId="5DEB53D8" w14:textId="77777777" w:rsidR="004E4CC2" w:rsidRDefault="00000000">
            <w:pPr>
              <w:pStyle w:val="Compact"/>
            </w:pPr>
            <w:r>
              <w:t>130 Mt CO₂</w:t>
            </w:r>
          </w:p>
        </w:tc>
        <w:tc>
          <w:tcPr>
            <w:tcW w:w="2640" w:type="dxa"/>
          </w:tcPr>
          <w:p w14:paraId="27FC648E" w14:textId="77777777" w:rsidR="004E4CC2" w:rsidRDefault="00000000">
            <w:pPr>
              <w:pStyle w:val="Compact"/>
            </w:pPr>
            <w:r>
              <w:t>Ausgangspunkt der Zuteilung</w:t>
            </w:r>
          </w:p>
        </w:tc>
      </w:tr>
      <w:tr w:rsidR="004E4CC2" w14:paraId="5AA680AA" w14:textId="77777777">
        <w:tc>
          <w:tcPr>
            <w:tcW w:w="2640" w:type="dxa"/>
          </w:tcPr>
          <w:p w14:paraId="5B8AA93F" w14:textId="77777777" w:rsidR="004E4CC2" w:rsidRDefault="00000000">
            <w:pPr>
              <w:pStyle w:val="Compact"/>
            </w:pPr>
            <w:r>
              <w:t>Bevölkerung</w:t>
            </w:r>
          </w:p>
        </w:tc>
        <w:tc>
          <w:tcPr>
            <w:tcW w:w="2640" w:type="dxa"/>
          </w:tcPr>
          <w:p w14:paraId="718BBE56" w14:textId="77777777" w:rsidR="004E4CC2" w:rsidRDefault="00000000">
            <w:pPr>
              <w:pStyle w:val="Compact"/>
            </w:pPr>
            <w:r>
              <w:t>9,0 Mio. Personen</w:t>
            </w:r>
          </w:p>
        </w:tc>
        <w:tc>
          <w:tcPr>
            <w:tcW w:w="2640" w:type="dxa"/>
          </w:tcPr>
          <w:p w14:paraId="1911CB07" w14:textId="77777777" w:rsidR="004E4CC2" w:rsidRDefault="00000000">
            <w:pPr>
              <w:pStyle w:val="Compact"/>
            </w:pPr>
            <w:r>
              <w:t>Bezug für die Senkenannahme</w:t>
            </w:r>
          </w:p>
        </w:tc>
      </w:tr>
      <w:tr w:rsidR="004E4CC2" w14:paraId="0C4F86E7" w14:textId="77777777">
        <w:tc>
          <w:tcPr>
            <w:tcW w:w="2640" w:type="dxa"/>
          </w:tcPr>
          <w:p w14:paraId="40A2F1A5" w14:textId="77777777" w:rsidR="004E4CC2" w:rsidRDefault="00000000">
            <w:pPr>
              <w:pStyle w:val="Compact"/>
            </w:pPr>
            <w:r>
              <w:t>Dauer der Senkenanrechnung</w:t>
            </w:r>
          </w:p>
        </w:tc>
        <w:tc>
          <w:tcPr>
            <w:tcW w:w="2640" w:type="dxa"/>
          </w:tcPr>
          <w:p w14:paraId="461D1265" w14:textId="77777777" w:rsidR="004E4CC2" w:rsidRDefault="00000000">
            <w:pPr>
              <w:pStyle w:val="Compact"/>
            </w:pPr>
            <w:r>
              <w:t>50 Jahre</w:t>
            </w:r>
          </w:p>
        </w:tc>
        <w:tc>
          <w:tcPr>
            <w:tcW w:w="2640" w:type="dxa"/>
          </w:tcPr>
          <w:p w14:paraId="64578328" w14:textId="77777777" w:rsidR="004E4CC2" w:rsidRDefault="00000000">
            <w:pPr>
              <w:pStyle w:val="Compact"/>
            </w:pPr>
            <w:r>
              <w:t>Kumulation über den Bewertungszeitraum</w:t>
            </w:r>
          </w:p>
        </w:tc>
      </w:tr>
      <w:tr w:rsidR="004E4CC2" w14:paraId="47A59E1F" w14:textId="77777777">
        <w:tc>
          <w:tcPr>
            <w:tcW w:w="2640" w:type="dxa"/>
          </w:tcPr>
          <w:p w14:paraId="61F6F893" w14:textId="77777777" w:rsidR="004E4CC2" w:rsidRDefault="00000000">
            <w:pPr>
              <w:pStyle w:val="Compact"/>
            </w:pPr>
            <w:r>
              <w:t>Anteil Gebäude und MIV</w:t>
            </w:r>
          </w:p>
        </w:tc>
        <w:tc>
          <w:tcPr>
            <w:tcW w:w="2640" w:type="dxa"/>
          </w:tcPr>
          <w:p w14:paraId="5AAB0321" w14:textId="77777777" w:rsidR="004E4CC2" w:rsidRDefault="00000000">
            <w:pPr>
              <w:pStyle w:val="Compact"/>
            </w:pPr>
            <w:r>
              <w:t>50 %</w:t>
            </w:r>
          </w:p>
        </w:tc>
        <w:tc>
          <w:tcPr>
            <w:tcW w:w="2640" w:type="dxa"/>
          </w:tcPr>
          <w:p w14:paraId="6DA4001F" w14:textId="77777777" w:rsidR="004E4CC2" w:rsidRDefault="00000000">
            <w:pPr>
              <w:pStyle w:val="Compact"/>
            </w:pPr>
            <w:r>
              <w:t>Normative sektorale Zuteilung</w:t>
            </w:r>
          </w:p>
        </w:tc>
      </w:tr>
      <w:tr w:rsidR="004E4CC2" w14:paraId="503D23F7" w14:textId="77777777">
        <w:tc>
          <w:tcPr>
            <w:tcW w:w="2640" w:type="dxa"/>
          </w:tcPr>
          <w:p w14:paraId="37AFE4A7" w14:textId="77777777" w:rsidR="004E4CC2" w:rsidRDefault="00000000">
            <w:pPr>
              <w:pStyle w:val="Compact"/>
            </w:pPr>
            <w:r>
              <w:t>L1: keine zusätzliche Senke</w:t>
            </w:r>
          </w:p>
        </w:tc>
        <w:tc>
          <w:tcPr>
            <w:tcW w:w="2640" w:type="dxa"/>
          </w:tcPr>
          <w:p w14:paraId="71E3A8E4" w14:textId="77777777" w:rsidR="004E4CC2" w:rsidRDefault="00000000">
            <w:pPr>
              <w:pStyle w:val="Compact"/>
            </w:pPr>
            <w:r>
              <w:t>0 t CO₂e/(Person a) → 72 kg CO₂e/m² BGF</w:t>
            </w:r>
          </w:p>
        </w:tc>
        <w:tc>
          <w:tcPr>
            <w:tcW w:w="2640" w:type="dxa"/>
          </w:tcPr>
          <w:p w14:paraId="45D324F2" w14:textId="77777777" w:rsidR="004E4CC2" w:rsidRDefault="00000000">
            <w:pPr>
              <w:pStyle w:val="Compact"/>
            </w:pPr>
            <w:r>
              <w:t>Budgetvariante</w:t>
            </w:r>
          </w:p>
        </w:tc>
      </w:tr>
      <w:tr w:rsidR="004E4CC2" w14:paraId="2E53C85F" w14:textId="77777777">
        <w:tc>
          <w:tcPr>
            <w:tcW w:w="2640" w:type="dxa"/>
          </w:tcPr>
          <w:p w14:paraId="5499A295" w14:textId="77777777" w:rsidR="004E4CC2" w:rsidRDefault="00000000">
            <w:pPr>
              <w:pStyle w:val="Compact"/>
            </w:pPr>
            <w:r>
              <w:t>L2: mittlere Senkenannahme</w:t>
            </w:r>
          </w:p>
        </w:tc>
        <w:tc>
          <w:tcPr>
            <w:tcW w:w="2640" w:type="dxa"/>
          </w:tcPr>
          <w:p w14:paraId="24FEFE87" w14:textId="77777777" w:rsidR="004E4CC2" w:rsidRDefault="00000000">
            <w:pPr>
              <w:pStyle w:val="Compact"/>
            </w:pPr>
            <w:r>
              <w:t>0,5 t CO₂e/(Person a) → 196 kg CO₂e/m² BGF</w:t>
            </w:r>
          </w:p>
        </w:tc>
        <w:tc>
          <w:tcPr>
            <w:tcW w:w="2640" w:type="dxa"/>
          </w:tcPr>
          <w:p w14:paraId="6577570F" w14:textId="77777777" w:rsidR="004E4CC2" w:rsidRDefault="00000000">
            <w:pPr>
              <w:pStyle w:val="Compact"/>
            </w:pPr>
            <w:r>
              <w:t>Budgetvariante</w:t>
            </w:r>
          </w:p>
        </w:tc>
      </w:tr>
      <w:tr w:rsidR="004E4CC2" w14:paraId="2ED5BC01" w14:textId="77777777">
        <w:tc>
          <w:tcPr>
            <w:tcW w:w="2640" w:type="dxa"/>
          </w:tcPr>
          <w:p w14:paraId="5F3AA9E5" w14:textId="77777777" w:rsidR="004E4CC2" w:rsidRDefault="00000000">
            <w:pPr>
              <w:pStyle w:val="Compact"/>
            </w:pPr>
            <w:r>
              <w:t>L3: Referenz der Zertifizierung</w:t>
            </w:r>
          </w:p>
        </w:tc>
        <w:tc>
          <w:tcPr>
            <w:tcW w:w="2640" w:type="dxa"/>
          </w:tcPr>
          <w:p w14:paraId="689497AC" w14:textId="77777777" w:rsidR="004E4CC2" w:rsidRDefault="00000000">
            <w:pPr>
              <w:pStyle w:val="Compact"/>
            </w:pPr>
            <w:r>
              <w:t>1,0 t CO₂e/(Person a) → 320 kg CO₂e/m² BGF</w:t>
            </w:r>
          </w:p>
        </w:tc>
        <w:tc>
          <w:tcPr>
            <w:tcW w:w="2640" w:type="dxa"/>
          </w:tcPr>
          <w:p w14:paraId="278B8763" w14:textId="77777777" w:rsidR="004E4CC2" w:rsidRDefault="00000000">
            <w:pPr>
              <w:pStyle w:val="Compact"/>
            </w:pPr>
            <w:r>
              <w:t>Referenzbudget dieses Berichts</w:t>
            </w:r>
          </w:p>
        </w:tc>
      </w:tr>
    </w:tbl>
    <w:p w14:paraId="589A4070" w14:textId="77777777" w:rsidR="004E4CC2" w:rsidRDefault="00000000">
      <w:pPr>
        <w:pStyle w:val="Textkrper"/>
      </w:pPr>
      <w:r>
        <w:t>Die natürliche Senkenleistung ist eine nationale Szenarioannahme, keine vom Quartier nachgewiesene Kompensation. Bei einer Rekalibrierung sind Restbudget, Senken, sektorale Zuteilung und Bezugsfläche gemeinsam zu behandeln. Mehr Baufläche erhöht das Gesamtbudget nicht.</w:t>
      </w:r>
    </w:p>
    <w:p w14:paraId="30A6ECDE" w14:textId="77777777" w:rsidR="004E4CC2" w:rsidRDefault="00000000">
      <w:pPr>
        <w:pStyle w:val="berschrift2"/>
      </w:pPr>
      <w:bookmarkStart w:id="321" w:name="thg-absenkpfade-und-sektorale-abgrenzung"/>
      <w:bookmarkStart w:id="322" w:name="_Toc243681343"/>
      <w:bookmarkEnd w:id="319"/>
      <w:r>
        <w:t>B.6 THG-Absenkpfade und sektorale Abgrenzung</w:t>
      </w:r>
      <w:bookmarkEnd w:id="322"/>
    </w:p>
    <w:tbl>
      <w:tblPr>
        <w:tblStyle w:val="Table"/>
        <w:tblW w:w="5000" w:type="pct"/>
        <w:tblLayout w:type="fixed"/>
        <w:tblLook w:val="0020" w:firstRow="1" w:lastRow="0" w:firstColumn="0" w:lastColumn="0" w:noHBand="0" w:noVBand="0"/>
      </w:tblPr>
      <w:tblGrid>
        <w:gridCol w:w="3208"/>
        <w:gridCol w:w="3207"/>
        <w:gridCol w:w="3207"/>
      </w:tblGrid>
      <w:tr w:rsidR="004E4CC2" w14:paraId="4CCBA8D5"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0ED9D4DF" w14:textId="77777777" w:rsidR="004E4CC2" w:rsidRDefault="00000000">
            <w:pPr>
              <w:pStyle w:val="Compact"/>
            </w:pPr>
            <w:r>
              <w:t>Gegenstand</w:t>
            </w:r>
          </w:p>
        </w:tc>
        <w:tc>
          <w:tcPr>
            <w:tcW w:w="2640" w:type="dxa"/>
          </w:tcPr>
          <w:p w14:paraId="55C828C8" w14:textId="77777777" w:rsidR="004E4CC2" w:rsidRDefault="00000000">
            <w:pPr>
              <w:pStyle w:val="Compact"/>
            </w:pPr>
            <w:r>
              <w:t>Ansatz im Verfahren</w:t>
            </w:r>
          </w:p>
        </w:tc>
        <w:tc>
          <w:tcPr>
            <w:tcW w:w="2640" w:type="dxa"/>
          </w:tcPr>
          <w:p w14:paraId="7AD15C37" w14:textId="77777777" w:rsidR="004E4CC2" w:rsidRDefault="00000000">
            <w:pPr>
              <w:pStyle w:val="Compact"/>
            </w:pPr>
            <w:r>
              <w:t>Noch benötigte Konkretisierung</w:t>
            </w:r>
          </w:p>
        </w:tc>
      </w:tr>
      <w:tr w:rsidR="004E4CC2" w14:paraId="157053A2" w14:textId="77777777">
        <w:tc>
          <w:tcPr>
            <w:tcW w:w="2640" w:type="dxa"/>
          </w:tcPr>
          <w:p w14:paraId="3C18E126" w14:textId="77777777" w:rsidR="004E4CC2" w:rsidRDefault="00000000">
            <w:pPr>
              <w:pStyle w:val="Compact"/>
            </w:pPr>
            <w:r>
              <w:t xml:space="preserve">Vollständige </w:t>
            </w:r>
            <w:r>
              <w:lastRenderedPageBreak/>
              <w:t>Dekarbonisierung</w:t>
            </w:r>
          </w:p>
        </w:tc>
        <w:tc>
          <w:tcPr>
            <w:tcW w:w="2640" w:type="dxa"/>
          </w:tcPr>
          <w:p w14:paraId="21824C9E" w14:textId="77777777" w:rsidR="004E4CC2" w:rsidRDefault="00000000">
            <w:pPr>
              <w:pStyle w:val="Compact"/>
            </w:pPr>
            <w:r>
              <w:lastRenderedPageBreak/>
              <w:t xml:space="preserve">Ab 2050 keine zusätzlichen </w:t>
            </w:r>
            <w:r>
              <w:lastRenderedPageBreak/>
              <w:t>Emissionen der betrachteten Prozesse</w:t>
            </w:r>
          </w:p>
        </w:tc>
        <w:tc>
          <w:tcPr>
            <w:tcW w:w="2640" w:type="dxa"/>
          </w:tcPr>
          <w:p w14:paraId="1EC20CC3" w14:textId="77777777" w:rsidR="004E4CC2" w:rsidRDefault="00000000">
            <w:pPr>
              <w:pStyle w:val="Compact"/>
            </w:pPr>
            <w:r>
              <w:rPr>
                <w:b/>
                <w:bCs/>
              </w:rPr>
              <w:lastRenderedPageBreak/>
              <w:t>Noch zu ergänzen:</w:t>
            </w:r>
            <w:r>
              <w:t xml:space="preserve"> </w:t>
            </w:r>
            <w:r>
              <w:lastRenderedPageBreak/>
              <w:t>zusammenhängende Pfadtabelle 2025–2050 mit Stützjahren und Interpolationsregel; der Endpunkt allein legt keinen Verlauf fest</w:t>
            </w:r>
          </w:p>
        </w:tc>
      </w:tr>
      <w:tr w:rsidR="004E4CC2" w14:paraId="0196F88D" w14:textId="77777777">
        <w:tc>
          <w:tcPr>
            <w:tcW w:w="2640" w:type="dxa"/>
          </w:tcPr>
          <w:p w14:paraId="11452993" w14:textId="77777777" w:rsidR="004E4CC2" w:rsidRDefault="00000000">
            <w:pPr>
              <w:pStyle w:val="Compact"/>
            </w:pPr>
            <w:r>
              <w:lastRenderedPageBreak/>
              <w:t>Betriebsenergie</w:t>
            </w:r>
          </w:p>
        </w:tc>
        <w:tc>
          <w:tcPr>
            <w:tcW w:w="2640" w:type="dxa"/>
          </w:tcPr>
          <w:p w14:paraId="255896F7" w14:textId="77777777" w:rsidR="004E4CC2" w:rsidRDefault="00000000">
            <w:pPr>
              <w:pStyle w:val="Compact"/>
            </w:pPr>
            <w:r>
              <w:t>Zeitabhängige Emissionsfaktoren der Energieträger</w:t>
            </w:r>
          </w:p>
        </w:tc>
        <w:tc>
          <w:tcPr>
            <w:tcW w:w="2640" w:type="dxa"/>
          </w:tcPr>
          <w:p w14:paraId="52A43BCD" w14:textId="77777777" w:rsidR="004E4CC2" w:rsidRDefault="00000000">
            <w:pPr>
              <w:pStyle w:val="Compact"/>
            </w:pPr>
            <w:r>
              <w:rPr>
                <w:b/>
                <w:bCs/>
              </w:rPr>
              <w:t>Noch zu ergänzen:</w:t>
            </w:r>
            <w:r>
              <w:t xml:space="preserve"> Ausgangswerte und Absenkpfade für Strom, Wärme und Brennstoffe samt Quellen</w:t>
            </w:r>
          </w:p>
        </w:tc>
      </w:tr>
      <w:tr w:rsidR="004E4CC2" w14:paraId="7A5A5F05" w14:textId="77777777">
        <w:tc>
          <w:tcPr>
            <w:tcW w:w="2640" w:type="dxa"/>
          </w:tcPr>
          <w:p w14:paraId="17C9DADE" w14:textId="77777777" w:rsidR="004E4CC2" w:rsidRDefault="00000000">
            <w:pPr>
              <w:pStyle w:val="Compact"/>
            </w:pPr>
            <w:r>
              <w:t>Bauliche Emissionen</w:t>
            </w:r>
          </w:p>
        </w:tc>
        <w:tc>
          <w:tcPr>
            <w:tcW w:w="2640" w:type="dxa"/>
          </w:tcPr>
          <w:p w14:paraId="35DE3F7B" w14:textId="77777777" w:rsidR="004E4CC2" w:rsidRDefault="00000000">
            <w:pPr>
              <w:pStyle w:val="Compact"/>
            </w:pPr>
            <w:r>
              <w:t>Bewertung zum Zeitpunkt von Errichtung, Ersatz und Erneuerung</w:t>
            </w:r>
          </w:p>
        </w:tc>
        <w:tc>
          <w:tcPr>
            <w:tcW w:w="2640" w:type="dxa"/>
          </w:tcPr>
          <w:p w14:paraId="2A3625F1" w14:textId="77777777" w:rsidR="004E4CC2" w:rsidRDefault="00000000">
            <w:pPr>
              <w:pStyle w:val="Compact"/>
            </w:pPr>
            <w:r>
              <w:rPr>
                <w:b/>
                <w:bCs/>
              </w:rPr>
              <w:t>Noch zu ergänzen:</w:t>
            </w:r>
            <w:r>
              <w:t xml:space="preserve"> material-/prozessbezogene Absenkpfade und Abgleich mit europäischen Gebäudestudien</w:t>
            </w:r>
          </w:p>
        </w:tc>
      </w:tr>
      <w:tr w:rsidR="004E4CC2" w14:paraId="3463E4FA" w14:textId="77777777">
        <w:tc>
          <w:tcPr>
            <w:tcW w:w="2640" w:type="dxa"/>
          </w:tcPr>
          <w:p w14:paraId="77FC462A" w14:textId="77777777" w:rsidR="004E4CC2" w:rsidRDefault="00000000">
            <w:pPr>
              <w:pStyle w:val="Compact"/>
            </w:pPr>
            <w:r>
              <w:t>Mobilität</w:t>
            </w:r>
          </w:p>
        </w:tc>
        <w:tc>
          <w:tcPr>
            <w:tcW w:w="2640" w:type="dxa"/>
          </w:tcPr>
          <w:p w14:paraId="241CA322" w14:textId="77777777" w:rsidR="004E4CC2" w:rsidRDefault="00000000">
            <w:pPr>
              <w:pStyle w:val="Compact"/>
            </w:pPr>
            <w:r>
              <w:t>Flottenentwicklung und Dekarbonisierung der zugeordneten Prozesse</w:t>
            </w:r>
          </w:p>
        </w:tc>
        <w:tc>
          <w:tcPr>
            <w:tcW w:w="2640" w:type="dxa"/>
          </w:tcPr>
          <w:p w14:paraId="79AB1C26" w14:textId="77777777" w:rsidR="004E4CC2" w:rsidRDefault="00000000">
            <w:pPr>
              <w:pStyle w:val="Compact"/>
            </w:pPr>
            <w:r>
              <w:rPr>
                <w:b/>
                <w:bCs/>
              </w:rPr>
              <w:t>Noch zu ergänzen:</w:t>
            </w:r>
            <w:r>
              <w:t xml:space="preserve"> Antriebsanteile, Energieverbräuche und Herstellungsemissionen nach Stützjahren</w:t>
            </w:r>
          </w:p>
        </w:tc>
      </w:tr>
      <w:tr w:rsidR="004E4CC2" w14:paraId="6DE35976" w14:textId="77777777">
        <w:tc>
          <w:tcPr>
            <w:tcW w:w="2640" w:type="dxa"/>
          </w:tcPr>
          <w:p w14:paraId="7754185E" w14:textId="77777777" w:rsidR="004E4CC2" w:rsidRDefault="00000000">
            <w:pPr>
              <w:pStyle w:val="Compact"/>
            </w:pPr>
            <w:r>
              <w:t>Etappen eines Renovierungsfahrplans</w:t>
            </w:r>
          </w:p>
        </w:tc>
        <w:tc>
          <w:tcPr>
            <w:tcW w:w="2640" w:type="dxa"/>
          </w:tcPr>
          <w:p w14:paraId="7037CE46" w14:textId="77777777" w:rsidR="004E4CC2" w:rsidRDefault="00000000">
            <w:pPr>
              <w:pStyle w:val="Compact"/>
            </w:pPr>
            <w:r>
              <w:t>Zeitliche Erfassung von Maßnahmen und verbleibenden Betriebsemissionen</w:t>
            </w:r>
          </w:p>
        </w:tc>
        <w:tc>
          <w:tcPr>
            <w:tcW w:w="2640" w:type="dxa"/>
          </w:tcPr>
          <w:p w14:paraId="27F144A6" w14:textId="77777777" w:rsidR="004E4CC2" w:rsidRDefault="00000000">
            <w:pPr>
              <w:pStyle w:val="Compact"/>
            </w:pPr>
            <w:r>
              <w:rPr>
                <w:b/>
                <w:bCs/>
              </w:rPr>
              <w:t>Weiterzuentwickeln:</w:t>
            </w:r>
            <w:r>
              <w:t xml:space="preserve"> quantitative Zwischenziele; noch keine festgelegten Deklarationsstufen</w:t>
            </w:r>
          </w:p>
        </w:tc>
      </w:tr>
      <w:tr w:rsidR="004E4CC2" w14:paraId="5E96BFD8" w14:textId="77777777">
        <w:tc>
          <w:tcPr>
            <w:tcW w:w="2640" w:type="dxa"/>
          </w:tcPr>
          <w:p w14:paraId="45EBF6CF" w14:textId="77777777" w:rsidR="004E4CC2" w:rsidRDefault="00000000">
            <w:pPr>
              <w:pStyle w:val="Compact"/>
            </w:pPr>
            <w:r>
              <w:t>PV-Errichtung</w:t>
            </w:r>
          </w:p>
        </w:tc>
        <w:tc>
          <w:tcPr>
            <w:tcW w:w="2640" w:type="dxa"/>
          </w:tcPr>
          <w:p w14:paraId="08682F41" w14:textId="77777777" w:rsidR="004E4CC2" w:rsidRDefault="00000000">
            <w:pPr>
              <w:pStyle w:val="Compact"/>
            </w:pPr>
            <w:r>
              <w:t>Zuordnung zum Energieversorgungssektor, außerhalb der Quartiers-THG-Bilanz</w:t>
            </w:r>
          </w:p>
        </w:tc>
        <w:tc>
          <w:tcPr>
            <w:tcW w:w="2640" w:type="dxa"/>
          </w:tcPr>
          <w:p w14:paraId="1FE9921A" w14:textId="77777777" w:rsidR="004E4CC2" w:rsidRDefault="00000000">
            <w:pPr>
              <w:pStyle w:val="Compact"/>
            </w:pPr>
            <w:r>
              <w:rPr>
                <w:b/>
                <w:bCs/>
              </w:rPr>
              <w:t>Weiterzuentwickeln:</w:t>
            </w:r>
            <w:r>
              <w:t xml:space="preserve"> konsistente Alternative mit Einbeziehung von PV-Emissionen und zugehörigem Budget im Gebäudesektor</w:t>
            </w:r>
          </w:p>
        </w:tc>
      </w:tr>
    </w:tbl>
    <w:p w14:paraId="584A977C" w14:textId="77777777" w:rsidR="004E4CC2" w:rsidRDefault="00000000">
      <w:pPr>
        <w:pStyle w:val="Textkrper"/>
      </w:pPr>
      <w:r>
        <w:t xml:space="preserve">Die Pfadannahmen gelten auch für die zeitliche Bewertung der Quartiersbilanz. Technische Nutzungsdauern bleiben davon unabhängig: Ersatzvorgänge bleiben erforderlich, auch wenn sie im Szenario keine zusätzlichen Emissionen mehr verursachen. Bilanzumfang und biogene Anrechnung stehen in </w:t>
      </w:r>
      <w:hyperlink w:anchor="sec-bilanzregeln">
        <w:r>
          <w:rPr>
            <w:rStyle w:val="Hyperlink"/>
          </w:rPr>
          <w:t>Kapitel 11</w:t>
        </w:r>
      </w:hyperlink>
      <w:r>
        <w:t>.</w:t>
      </w:r>
    </w:p>
    <w:p w14:paraId="40A25DF8" w14:textId="77777777" w:rsidR="004E4CC2" w:rsidRDefault="00000000">
      <w:pPr>
        <w:pStyle w:val="berschrift1"/>
      </w:pPr>
      <w:bookmarkStart w:id="323" w:name="X017a57f4fcf6146d36d483a9a69bea8d074d0c4"/>
      <w:bookmarkStart w:id="324" w:name="_Toc243681344"/>
      <w:bookmarkEnd w:id="309"/>
      <w:bookmarkEnd w:id="321"/>
      <w:r>
        <w:lastRenderedPageBreak/>
        <w:t>Appendix C — Ableitung der GFZ-Dichteverteilung des österreichischen Gebäudebestands 2021</w:t>
      </w:r>
      <w:bookmarkEnd w:id="324"/>
    </w:p>
    <w:p w14:paraId="2FFBB87B" w14:textId="77777777" w:rsidR="004E4CC2" w:rsidRDefault="00000000">
      <w:pPr>
        <w:pStyle w:val="FirstParagraph"/>
      </w:pPr>
      <w:r>
        <w:t>Methodischer Rechenanhang – Referenzdaten, Statistik, Kerndichteschätzung und Hochrechnung</w:t>
      </w:r>
    </w:p>
    <w:p w14:paraId="66E101CD" w14:textId="77777777" w:rsidR="004E4CC2" w:rsidRDefault="00000000">
      <w:pPr>
        <w:pStyle w:val="Textkrper"/>
      </w:pPr>
      <w:r>
        <w:br/>
      </w:r>
    </w:p>
    <w:p w14:paraId="610EFB60" w14:textId="77777777" w:rsidR="004E4CC2" w:rsidRDefault="00000000">
      <w:pPr>
        <w:pStyle w:val="berschrift1"/>
      </w:pPr>
      <w:bookmarkStart w:id="325" w:name="sec-gfz-methodenanhang"/>
      <w:bookmarkStart w:id="326" w:name="_Toc243681345"/>
      <w:bookmarkEnd w:id="323"/>
      <w:r>
        <w:t>Appendix C — Berechnung der österreichischen GFZ-Verteilung</w:t>
      </w:r>
      <w:bookmarkEnd w:id="326"/>
    </w:p>
    <w:p w14:paraId="16CE6CEA" w14:textId="77777777" w:rsidR="004E4CC2" w:rsidRDefault="00000000">
      <w:pPr>
        <w:pStyle w:val="FirstParagraph"/>
      </w:pPr>
      <w:r>
        <w:t xml:space="preserve">Dieser ausführbare Anhang dokumentiert die </w:t>
      </w:r>
      <w:r>
        <w:rPr>
          <w:b/>
          <w:bCs/>
        </w:rPr>
        <w:t>vollständige inhaltliche Rechenkette</w:t>
      </w:r>
      <w:r>
        <w:t xml:space="preserve"> der GFZ-Verteilung für den österreichischen Gebäudebestand mit Statistikbezug 2021. Er ergänzt die Erläuterungen zum Kontextfaktor Dichte im Hintergrundbericht (§ „Österreichische Dichteverteilung als aktualisierte Datengrundlage“). Alle wesentlichen Modellentscheidungen und Plot-Einstellungen stehen in den Notebook-Zellen, nicht in einem externen Berechnungsskript.</w:t>
      </w:r>
    </w:p>
    <w:p w14:paraId="08351B16" w14:textId="77777777" w:rsidR="004E4CC2" w:rsidRDefault="00000000">
      <w:pPr>
        <w:pStyle w:val="Textkrper"/>
      </w:pPr>
      <w:r>
        <w:rPr>
          <w:b/>
          <w:bCs/>
        </w:rPr>
        <w:t>Methodisches Ziel:</w:t>
      </w:r>
      <w:r>
        <w:t xml:space="preserve"> Die statistisch erfassten Gebäudeflächen nach Bundesland, Geschossklasse und Hauptnutzung werden einer aus Einzelgebäuden abgeleiteten GFZ-Verteilung zugewiesen. Daraus ergibt sich die modellierte österreichische Bruttogrundfläche (BGF) je GFZ-Intervall von 0,1.</w:t>
      </w:r>
    </w:p>
    <w:p w14:paraId="785CD8CE" w14:textId="77777777" w:rsidR="004E4CC2" w:rsidRDefault="00000000">
      <w:pPr>
        <w:pStyle w:val="Textkrper"/>
      </w:pPr>
      <w:r>
        <w:rPr>
          <w:b/>
          <w:bCs/>
        </w:rPr>
        <w:t>Abgrenzung:</w:t>
      </w:r>
      <w:r>
        <w:t xml:space="preserve"> Es handelt sich um eine hochgerechnete </w:t>
      </w:r>
      <w:r>
        <w:rPr>
          <w:i/>
          <w:iCs/>
        </w:rPr>
        <w:t>Bestandsverteilung</w:t>
      </w:r>
      <w:r>
        <w:t xml:space="preserve">, nicht um einen Gebäudekataster für Österreich und nicht um eine Prognose für 2040. Der Anhang umfasst keine nachgelagerte Allokation der energetischen Zielwerte. Die Statistik enthält ursprünglich </w:t>
      </w:r>
      <w:r>
        <w:rPr>
          <w:b/>
          <w:bCs/>
        </w:rPr>
        <w:t>NGF</w:t>
      </w:r>
      <w:r>
        <w:t xml:space="preserve"> (Nettogrundfläche); die hier verwendete BGF ist aus ihr umgerechnet.</w:t>
      </w:r>
    </w:p>
    <w:p w14:paraId="1CF6516C" w14:textId="77777777" w:rsidR="004E4CC2" w:rsidRDefault="00000000">
      <w:pPr>
        <w:pStyle w:val="berschrift2"/>
      </w:pPr>
      <w:bookmarkStart w:id="327" w:name="quellen-definitionen-und-modellparameter"/>
      <w:bookmarkStart w:id="328" w:name="_Toc243681346"/>
      <w:r>
        <w:t>C.1 1. Quellen, Definitionen und Modellparameter</w:t>
      </w:r>
      <w:bookmarkEnd w:id="328"/>
    </w:p>
    <w:p w14:paraId="309E5601" w14:textId="77777777" w:rsidR="004E4CC2" w:rsidRDefault="00000000">
      <w:pPr>
        <w:pStyle w:val="FirstParagraph"/>
      </w:pPr>
      <w:r>
        <w:t>Die Analyse verknüpft zwei unterschiedliche Datengrundlagen:</w:t>
      </w:r>
    </w:p>
    <w:p w14:paraId="45563FED" w14:textId="77777777" w:rsidR="004E4CC2" w:rsidRDefault="00000000">
      <w:pPr>
        <w:pStyle w:val="Compact"/>
        <w:numPr>
          <w:ilvl w:val="0"/>
          <w:numId w:val="8"/>
        </w:numPr>
      </w:pPr>
      <w:r>
        <w:rPr>
          <w:b/>
          <w:bCs/>
        </w:rPr>
        <w:t>Gebäudescharfe Referenzdaten</w:t>
      </w:r>
      <w:r>
        <w:t xml:space="preserve"> aus Wien und Salzburg (Blatt </w:t>
      </w:r>
      <w:r>
        <w:rPr>
          <w:rStyle w:val="VerbatimChar"/>
        </w:rPr>
        <w:t>Rohdaten</w:t>
      </w:r>
      <w:r>
        <w:t>): Bundesland, Geschossklasse (</w:t>
      </w:r>
      <w:r>
        <w:rPr>
          <w:rStyle w:val="VerbatimChar"/>
        </w:rPr>
        <w:t>GK</w:t>
      </w:r>
      <w:r>
        <w:t>), Gebäudehauptnutzung (</w:t>
      </w:r>
      <w:r>
        <w:rPr>
          <w:rStyle w:val="VerbatimChar"/>
        </w:rPr>
        <w:t>GWR_Nutzung</w:t>
      </w:r>
      <w:r>
        <w:t>), Geschossflächenzahl (</w:t>
      </w:r>
      <w:r>
        <w:rPr>
          <w:rStyle w:val="VerbatimChar"/>
        </w:rPr>
        <w:t>GFZ</w:t>
      </w:r>
      <w:r>
        <w:t>) und gebäudebezogene Bruttogrundfläche (</w:t>
      </w:r>
      <w:r>
        <w:rPr>
          <w:rStyle w:val="VerbatimChar"/>
        </w:rPr>
        <w:t>BGF</w:t>
      </w:r>
      <w:r>
        <w:t>). Die GFZ wird in diesen Rohdaten bereits bereitgestellt; ihre vorgelagerte geometrische Herleitung wird hier nicht erneut berechnet.</w:t>
      </w:r>
    </w:p>
    <w:p w14:paraId="18DF3F97" w14:textId="77777777" w:rsidR="004E4CC2" w:rsidRDefault="00000000">
      <w:pPr>
        <w:pStyle w:val="Compact"/>
        <w:numPr>
          <w:ilvl w:val="0"/>
          <w:numId w:val="8"/>
        </w:numPr>
      </w:pPr>
      <w:r>
        <w:rPr>
          <w:b/>
          <w:bCs/>
        </w:rPr>
        <w:t>Statistische Gebäudeflächen</w:t>
      </w:r>
      <w:r>
        <w:t xml:space="preserve"> mit Bezug zum Gebäudebestand 2021 (Blatt </w:t>
      </w:r>
      <w:r>
        <w:rPr>
          <w:rStyle w:val="VerbatimChar"/>
        </w:rPr>
        <w:t>python</w:t>
      </w:r>
      <w:r>
        <w:t>): österreichische Nettogrundflächen (</w:t>
      </w:r>
      <w:r>
        <w:rPr>
          <w:rStyle w:val="VerbatimChar"/>
        </w:rPr>
        <w:t>NGF</w:t>
      </w:r>
      <w:r>
        <w:t xml:space="preserve">) nach neun Bundesländern, sieben Geschossklassen und neun Hauptnutzungen. Die Zeile </w:t>
      </w:r>
      <w:r>
        <w:rPr>
          <w:rStyle w:val="VerbatimChar"/>
        </w:rPr>
        <w:t>AT</w:t>
      </w:r>
      <w:r>
        <w:t xml:space="preserve"> dient ausschließlich der Kontrollrechnung; andere aggregierte Zeilen werden nicht zusätzlich hochgerechnet.</w:t>
      </w:r>
    </w:p>
    <w:p w14:paraId="47974B30" w14:textId="77777777" w:rsidR="004E4CC2" w:rsidRDefault="00000000">
      <w:pPr>
        <w:pStyle w:val="FirstParagraph"/>
      </w:pPr>
      <w:r>
        <w:t>Die Geschossflächenzahl beschreibt das Verhältnis zwischen BGF und Grundstücksfläche eines Gebäudes bzw. einer Bezugsfläche:</w:t>
      </w:r>
    </w:p>
    <w:p w14:paraId="122C4748" w14:textId="77777777" w:rsidR="004E4CC2" w:rsidRDefault="00000000">
      <w:pPr>
        <w:pStyle w:val="Textkrper"/>
      </w:pPr>
      <m:oMathPara>
        <m:oMathParaPr>
          <m:jc m:val="center"/>
        </m:oMathParaPr>
        <m:oMath>
          <m:r>
            <m:rPr>
              <m:sty m:val="p"/>
            </m:rPr>
            <w:rPr>
              <w:rFonts w:ascii="Cambria Math" w:hAnsi="Cambria Math"/>
            </w:rPr>
            <w:lastRenderedPageBreak/>
            <m:t>GFZ=</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BGF</m:t>
                  </m:r>
                </m:sub>
              </m:sSub>
            </m:num>
            <m:den>
              <m:sSub>
                <m:sSubPr>
                  <m:ctrlPr>
                    <w:rPr>
                      <w:rFonts w:ascii="Cambria Math" w:hAnsi="Cambria Math"/>
                    </w:rPr>
                  </m:ctrlPr>
                </m:sSubPr>
                <m:e>
                  <m:r>
                    <w:rPr>
                      <w:rFonts w:ascii="Cambria Math" w:hAnsi="Cambria Math"/>
                    </w:rPr>
                    <m:t>A</m:t>
                  </m:r>
                </m:e>
                <m:sub>
                  <m:r>
                    <m:rPr>
                      <m:sty m:val="p"/>
                    </m:rPr>
                    <w:rPr>
                      <w:rFonts w:ascii="Cambria Math" w:hAnsi="Cambria Math"/>
                    </w:rPr>
                    <m:t>Grundstück</m:t>
                  </m:r>
                </m:sub>
              </m:sSub>
            </m:den>
          </m:f>
          <m:r>
            <m:rPr>
              <m:sty m:val="p"/>
            </m:rPr>
            <w:rPr>
              <w:rFonts w:ascii="Cambria Math" w:hAnsi="Cambria Math"/>
            </w:rPr>
            <m:t>.</m:t>
          </m:r>
        </m:oMath>
      </m:oMathPara>
    </w:p>
    <w:p w14:paraId="47B75CA3" w14:textId="77777777" w:rsidR="004E4CC2" w:rsidRDefault="00000000">
      <w:pPr>
        <w:pStyle w:val="FirstParagraph"/>
      </w:pPr>
      <w:r>
        <w:t>Die statistische Nettogrundfläche wird mit dem einheitlichen Modellfaktor umgerechnet:</w:t>
      </w:r>
    </w:p>
    <w:p w14:paraId="6069BDFE"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BGF,</m:t>
              </m:r>
              <m:r>
                <w:rPr>
                  <w:rFonts w:ascii="Cambria Math" w:hAnsi="Cambria Math"/>
                </w:rPr>
                <m:t>b</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u</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NGF,</m:t>
                  </m:r>
                  <m:r>
                    <w:rPr>
                      <w:rFonts w:ascii="Cambria Math" w:hAnsi="Cambria Math"/>
                    </w:rPr>
                    <m:t>b</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u</m:t>
                  </m:r>
                </m:sub>
              </m:sSub>
            </m:num>
            <m:den>
              <m:r>
                <w:rPr>
                  <w:rFonts w:ascii="Cambria Math" w:hAnsi="Cambria Math"/>
                </w:rPr>
                <m:t>0</m:t>
              </m:r>
              <m:r>
                <m:rPr>
                  <m:sty m:val="p"/>
                </m:rPr>
                <w:rPr>
                  <w:rFonts w:ascii="Cambria Math" w:hAnsi="Cambria Math"/>
                </w:rPr>
                <m:t>,</m:t>
              </m:r>
              <m:r>
                <w:rPr>
                  <w:rFonts w:ascii="Cambria Math" w:hAnsi="Cambria Math"/>
                </w:rPr>
                <m:t>8</m:t>
              </m:r>
            </m:den>
          </m:f>
          <m:r>
            <m:rPr>
              <m:sty m:val="p"/>
            </m:rPr>
            <w:rPr>
              <w:rFonts w:ascii="Cambria Math" w:hAnsi="Cambria Math"/>
            </w:rPr>
            <m:t>.</m:t>
          </m:r>
        </m:oMath>
      </m:oMathPara>
    </w:p>
    <w:p w14:paraId="53AA9EE0" w14:textId="77777777" w:rsidR="004E4CC2" w:rsidRDefault="00000000">
      <w:pPr>
        <w:pStyle w:val="FirstParagraph"/>
      </w:pPr>
      <w:r>
        <w:t xml:space="preserve">Hierbei sind </w:t>
      </w:r>
      <m:oMath>
        <m:r>
          <w:rPr>
            <w:rFonts w:ascii="Cambria Math" w:hAnsi="Cambria Math"/>
          </w:rPr>
          <m:t>b</m:t>
        </m:r>
      </m:oMath>
      <w:r>
        <w:t xml:space="preserve"> das Bundesland, </w:t>
      </w:r>
      <m:oMath>
        <m:r>
          <w:rPr>
            <w:rFonts w:ascii="Cambria Math" w:hAnsi="Cambria Math"/>
          </w:rPr>
          <m:t>g</m:t>
        </m:r>
      </m:oMath>
      <w:r>
        <w:t xml:space="preserve"> die Geschossklasse und </w:t>
      </w:r>
      <m:oMath>
        <m:r>
          <w:rPr>
            <w:rFonts w:ascii="Cambria Math" w:hAnsi="Cambria Math"/>
          </w:rPr>
          <m:t>u</m:t>
        </m:r>
      </m:oMath>
      <w:r>
        <w:t xml:space="preserve"> die Hauptnutzung. Der Faktor </w:t>
      </w:r>
      <w:r>
        <w:rPr>
          <w:b/>
          <w:bCs/>
        </w:rPr>
        <w:t>NGF/BGF = 0,8</w:t>
      </w:r>
      <w:r>
        <w:t xml:space="preserve"> ist eine übernommene, für alle Gruppen gleiche Modellannahme und kein in diesem Notebook ermittelter empirischer Faktor.</w:t>
      </w:r>
    </w:p>
    <w:p w14:paraId="539DDCE7" w14:textId="77777777" w:rsidR="004E4CC2" w:rsidRDefault="00000000">
      <w:pPr>
        <w:pStyle w:val="Textkrper"/>
      </w:pPr>
      <w:r>
        <w:t xml:space="preserve">Die Referenzzuordnung lautet grundsätzlich </w:t>
      </w:r>
      <w:r>
        <w:rPr>
          <w:b/>
          <w:bCs/>
        </w:rPr>
        <w:t>Wien → Wien</w:t>
      </w:r>
      <w:r>
        <w:t xml:space="preserve">, </w:t>
      </w:r>
      <w:r>
        <w:rPr>
          <w:b/>
          <w:bCs/>
        </w:rPr>
        <w:t>Salzburg → alle anderen Bundesländer</w:t>
      </w:r>
      <w:r>
        <w:t xml:space="preserve">. Pro Nutzung und Geschossklasse müssen mindestens fünf Referenzgebäude vorliegen. Falls nicht, wird die dokumentierte Ersatzregel verwendet (§ 5). Die Wahl </w:t>
      </w:r>
      <w:r>
        <w:rPr>
          <w:rStyle w:val="VerbatimChar"/>
        </w:rPr>
        <w:t>kde</w:t>
      </w:r>
      <w:r>
        <w:t xml:space="preserve"> bezeichnet eine flächengewichtete gaußsche Kerndichteschätzung mit Scott-Bandbreite.</w:t>
      </w:r>
    </w:p>
    <w:p w14:paraId="6A30687A" w14:textId="77777777" w:rsidR="004E4CC2" w:rsidRDefault="00000000">
      <w:pPr>
        <w:pStyle w:val="SourceCode"/>
      </w:pPr>
      <w:r>
        <w:rPr>
          <w:rStyle w:val="NormalTok"/>
        </w:rPr>
        <w:t>flowchart TB</w:t>
      </w:r>
      <w:r>
        <w:br/>
      </w:r>
      <w:r>
        <w:rPr>
          <w:rStyle w:val="NormalTok"/>
        </w:rPr>
        <w:t xml:space="preserve">  W["Einzelgebäude Wien"] --&gt; KW["BGF-gewichtete KDE je Nutzung und Geschossklasse"]</w:t>
      </w:r>
      <w:r>
        <w:br/>
      </w:r>
      <w:r>
        <w:rPr>
          <w:rStyle w:val="NormalTok"/>
        </w:rPr>
        <w:t xml:space="preserve">  S["Einzelgebäude Salzburg"] --&gt; KS["BGF-gewichtete KDE je Nutzung und Geschossklasse"]</w:t>
      </w:r>
      <w:r>
        <w:br/>
      </w:r>
      <w:r>
        <w:rPr>
          <w:rStyle w:val="NormalTok"/>
        </w:rPr>
        <w:t xml:space="preserve">  KW --&gt; V["Wien"]</w:t>
      </w:r>
      <w:r>
        <w:br/>
      </w:r>
      <w:r>
        <w:rPr>
          <w:rStyle w:val="NormalTok"/>
        </w:rPr>
        <w:t xml:space="preserve">  KS --&gt; L["Acht andere Bundesländer, jeweils separat"]</w:t>
      </w:r>
      <w:r>
        <w:br/>
      </w:r>
      <w:r>
        <w:rPr>
          <w:rStyle w:val="NormalTok"/>
        </w:rPr>
        <w:t xml:space="preserve">  T["Statistische NGF 2021 je Bundesland, Nutzung und Geschossklasse"] --&gt; U["BGF = NGF / 0,8"]</w:t>
      </w:r>
      <w:r>
        <w:br/>
      </w:r>
      <w:r>
        <w:rPr>
          <w:rStyle w:val="NormalTok"/>
        </w:rPr>
        <w:t xml:space="preserve">  U --&gt; V</w:t>
      </w:r>
      <w:r>
        <w:br/>
      </w:r>
      <w:r>
        <w:rPr>
          <w:rStyle w:val="NormalTok"/>
        </w:rPr>
        <w:t xml:space="preserve">  U --&gt; L</w:t>
      </w:r>
      <w:r>
        <w:br/>
      </w:r>
      <w:r>
        <w:rPr>
          <w:rStyle w:val="NormalTok"/>
        </w:rPr>
        <w:t xml:space="preserve">  E["Bei weniger als fünf Referenzgebäuden: gekennzeichnete Ersatzregel"] -.-&gt; V</w:t>
      </w:r>
      <w:r>
        <w:br/>
      </w:r>
      <w:r>
        <w:rPr>
          <w:rStyle w:val="NormalTok"/>
        </w:rPr>
        <w:t xml:space="preserve">  E -.-&gt; L</w:t>
      </w:r>
      <w:r>
        <w:br/>
      </w:r>
      <w:r>
        <w:rPr>
          <w:rStyle w:val="NormalTok"/>
        </w:rPr>
        <w:t xml:space="preserve">  V --&gt; AT["Österreich: Summe der neun BGF-Verteilungen"]</w:t>
      </w:r>
      <w:r>
        <w:br/>
      </w:r>
      <w:r>
        <w:rPr>
          <w:rStyle w:val="NormalTok"/>
        </w:rPr>
        <w:t xml:space="preserve">  L --&gt; AT</w:t>
      </w:r>
    </w:p>
    <w:tbl>
      <w:tblPr>
        <w:tblStyle w:val="Table"/>
        <w:tblW w:w="5000" w:type="pct"/>
        <w:tblLayout w:type="fixed"/>
        <w:tblLook w:val="0000" w:firstRow="0" w:lastRow="0" w:firstColumn="0" w:lastColumn="0" w:noHBand="0" w:noVBand="0"/>
      </w:tblPr>
      <w:tblGrid>
        <w:gridCol w:w="9622"/>
      </w:tblGrid>
      <w:tr w:rsidR="004E4CC2" w14:paraId="57BC7B2A" w14:textId="77777777">
        <w:tc>
          <w:tcPr>
            <w:tcW w:w="7920" w:type="dxa"/>
          </w:tcPr>
          <w:p w14:paraId="5E24F300" w14:textId="77777777" w:rsidR="004E4CC2" w:rsidRDefault="00000000">
            <w:pPr>
              <w:jc w:val="center"/>
            </w:pPr>
            <w:bookmarkStart w:id="329" w:name="fig-gfz-methodik"/>
            <w:r>
              <w:rPr>
                <w:noProof/>
              </w:rPr>
              <w:drawing>
                <wp:inline distT="0" distB="0" distL="0" distR="0" wp14:anchorId="5ABE3D4D" wp14:editId="4F42A7A3">
                  <wp:extent cx="5334000" cy="2525935"/>
                  <wp:effectExtent l="0" t="0" r="0" b="0"/>
                  <wp:docPr id="338" name="Picture"/>
                  <wp:cNvGraphicFramePr/>
                  <a:graphic xmlns:a="http://schemas.openxmlformats.org/drawingml/2006/main">
                    <a:graphicData uri="http://schemas.openxmlformats.org/drawingml/2006/picture">
                      <pic:pic xmlns:pic="http://schemas.openxmlformats.org/drawingml/2006/picture">
                        <pic:nvPicPr>
                          <pic:cNvPr id="339" name="Picture" descr="Berechnungen\gfz_at/GFZ_AT_Analyse_Anhang_files/figure-docx/mermaid-figure-1.png"/>
                          <pic:cNvPicPr>
                            <a:picLocks noChangeAspect="1" noChangeArrowheads="1"/>
                          </pic:cNvPicPr>
                        </pic:nvPicPr>
                        <pic:blipFill>
                          <a:blip r:embed="rId68"/>
                          <a:stretch>
                            <a:fillRect/>
                          </a:stretch>
                        </pic:blipFill>
                        <pic:spPr bwMode="auto">
                          <a:xfrm>
                            <a:off x="0" y="0"/>
                            <a:ext cx="5334000" cy="2525935"/>
                          </a:xfrm>
                          <a:prstGeom prst="rect">
                            <a:avLst/>
                          </a:prstGeom>
                          <a:noFill/>
                          <a:ln w="9525">
                            <a:noFill/>
                            <a:headEnd/>
                            <a:tailEnd/>
                          </a:ln>
                        </pic:spPr>
                      </pic:pic>
                    </a:graphicData>
                  </a:graphic>
                </wp:inline>
              </w:drawing>
            </w:r>
          </w:p>
          <w:p w14:paraId="4A8B294E" w14:textId="77777777" w:rsidR="004E4CC2" w:rsidRDefault="00000000">
            <w:pPr>
              <w:pStyle w:val="ImageCaption"/>
              <w:spacing w:before="200"/>
            </w:pPr>
            <w:r>
              <w:lastRenderedPageBreak/>
              <w:t>Abbildung D.1: Bundeslandweise Hochrechnung der GFZ-Verteilung. Ersatzreferenzen werden je Zielkombination ausdrücklich ausgewiesen.</w:t>
            </w:r>
          </w:p>
        </w:tc>
        <w:bookmarkEnd w:id="329"/>
      </w:tr>
    </w:tbl>
    <w:p w14:paraId="74CDCE53" w14:textId="77777777" w:rsidR="004E4CC2" w:rsidRDefault="00000000">
      <w:pPr>
        <w:pStyle w:val="SourceCode"/>
      </w:pPr>
      <w:r>
        <w:rPr>
          <w:rStyle w:val="CommentTok"/>
        </w:rPr>
        <w:lastRenderedPageBreak/>
        <w:t># Modellparameter – hier zentral editierbar</w:t>
      </w:r>
      <w:r>
        <w:br/>
      </w:r>
      <w:r>
        <w:rPr>
          <w:rStyle w:val="ImportTok"/>
        </w:rPr>
        <w:t>from</w:t>
      </w:r>
      <w:r>
        <w:rPr>
          <w:rStyle w:val="NormalTok"/>
        </w:rPr>
        <w:t xml:space="preserve"> pathlib </w:t>
      </w:r>
      <w:r>
        <w:rPr>
          <w:rStyle w:val="ImportTok"/>
        </w:rPr>
        <w:t>import</w:t>
      </w:r>
      <w:r>
        <w:rPr>
          <w:rStyle w:val="NormalTok"/>
        </w:rPr>
        <w:t xml:space="preserve"> Path</w:t>
      </w:r>
      <w:r>
        <w:br/>
      </w:r>
      <w:r>
        <w:rPr>
          <w:rStyle w:val="ImportTok"/>
        </w:rPr>
        <w:t>import</w:t>
      </w:r>
      <w:r>
        <w:rPr>
          <w:rStyle w:val="NormalTok"/>
        </w:rPr>
        <w:t xml:space="preserve"> hashlib</w:t>
      </w:r>
      <w:r>
        <w:br/>
      </w:r>
      <w:r>
        <w:rPr>
          <w:rStyle w:val="ImportTok"/>
        </w:rPr>
        <w:t>import</w:t>
      </w:r>
      <w:r>
        <w:rPr>
          <w:rStyle w:val="NormalTok"/>
        </w:rPr>
        <w:t xml:space="preserve"> json</w:t>
      </w:r>
      <w:r>
        <w:br/>
      </w:r>
      <w:r>
        <w:rPr>
          <w:rStyle w:val="ImportTok"/>
        </w:rPr>
        <w:t>import</w:t>
      </w:r>
      <w:r>
        <w:rPr>
          <w:rStyle w:val="NormalTok"/>
        </w:rPr>
        <w:t xml:space="preserve"> textwrap</w:t>
      </w:r>
      <w:r>
        <w:br/>
      </w:r>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import</w:t>
      </w:r>
      <w:r>
        <w:rPr>
          <w:rStyle w:val="NormalTok"/>
        </w:rPr>
        <w:t xml:space="preserve"> matplotlib.pyplot </w:t>
      </w:r>
      <w:r>
        <w:rPr>
          <w:rStyle w:val="ImportTok"/>
        </w:rPr>
        <w:t>as</w:t>
      </w:r>
      <w:r>
        <w:rPr>
          <w:rStyle w:val="NormalTok"/>
        </w:rPr>
        <w:t xml:space="preserve"> plt</w:t>
      </w:r>
      <w:r>
        <w:br/>
      </w:r>
      <w:r>
        <w:rPr>
          <w:rStyle w:val="ImportTok"/>
        </w:rPr>
        <w:t>from</w:t>
      </w:r>
      <w:r>
        <w:rPr>
          <w:rStyle w:val="NormalTok"/>
        </w:rPr>
        <w:t xml:space="preserve"> matplotlib.ticker </w:t>
      </w:r>
      <w:r>
        <w:rPr>
          <w:rStyle w:val="ImportTok"/>
        </w:rPr>
        <w:t>import</w:t>
      </w:r>
      <w:r>
        <w:rPr>
          <w:rStyle w:val="NormalTok"/>
        </w:rPr>
        <w:t xml:space="preserve"> MultipleLocator</w:t>
      </w:r>
      <w:r>
        <w:br/>
      </w:r>
      <w:r>
        <w:rPr>
          <w:rStyle w:val="ImportTok"/>
        </w:rPr>
        <w:t>from</w:t>
      </w:r>
      <w:r>
        <w:rPr>
          <w:rStyle w:val="NormalTok"/>
        </w:rPr>
        <w:t xml:space="preserve"> scipy.stats </w:t>
      </w:r>
      <w:r>
        <w:rPr>
          <w:rStyle w:val="ImportTok"/>
        </w:rPr>
        <w:t>import</w:t>
      </w:r>
      <w:r>
        <w:rPr>
          <w:rStyle w:val="NormalTok"/>
        </w:rPr>
        <w:t xml:space="preserve"> gaussian_kde</w:t>
      </w:r>
      <w:r>
        <w:br/>
      </w:r>
      <w:r>
        <w:rPr>
          <w:rStyle w:val="ImportTok"/>
        </w:rPr>
        <w:t>from</w:t>
      </w:r>
      <w:r>
        <w:rPr>
          <w:rStyle w:val="NormalTok"/>
        </w:rPr>
        <w:t xml:space="preserve"> IPython.display </w:t>
      </w:r>
      <w:r>
        <w:rPr>
          <w:rStyle w:val="ImportTok"/>
        </w:rPr>
        <w:t>import</w:t>
      </w:r>
      <w:r>
        <w:rPr>
          <w:rStyle w:val="NormalTok"/>
        </w:rPr>
        <w:t xml:space="preserve"> display</w:t>
      </w:r>
      <w:r>
        <w:br/>
      </w:r>
      <w:r>
        <w:br/>
      </w:r>
      <w:r>
        <w:rPr>
          <w:rStyle w:val="NormalTok"/>
        </w:rPr>
        <w:t xml:space="preserve">DATA </w:t>
      </w:r>
      <w:r>
        <w:rPr>
          <w:rStyle w:val="OperatorTok"/>
        </w:rPr>
        <w:t>=</w:t>
      </w:r>
      <w:r>
        <w:rPr>
          <w:rStyle w:val="NormalTok"/>
        </w:rPr>
        <w:t xml:space="preserve"> Path(</w:t>
      </w:r>
      <w:r>
        <w:rPr>
          <w:rStyle w:val="StringTok"/>
        </w:rPr>
        <w:t>"data"</w:t>
      </w:r>
      <w:r>
        <w:rPr>
          <w:rStyle w:val="NormalTok"/>
        </w:rPr>
        <w:t xml:space="preserve">)                    </w:t>
      </w:r>
      <w:r>
        <w:rPr>
          <w:rStyle w:val="CommentTok"/>
        </w:rPr>
        <w:t># ggf. an Quarto-Projektstruktur anpassen</w:t>
      </w:r>
      <w:r>
        <w:br/>
      </w:r>
      <w:r>
        <w:rPr>
          <w:rStyle w:val="NormalTok"/>
        </w:rPr>
        <w:t xml:space="preserve">BUILDINGS </w:t>
      </w:r>
      <w:r>
        <w:rPr>
          <w:rStyle w:val="OperatorTok"/>
        </w:rPr>
        <w:t>=</w:t>
      </w:r>
      <w:r>
        <w:rPr>
          <w:rStyle w:val="NormalTok"/>
        </w:rPr>
        <w:t xml:space="preserve"> DATA </w:t>
      </w:r>
      <w:r>
        <w:rPr>
          <w:rStyle w:val="OperatorTok"/>
        </w:rPr>
        <w:t>/</w:t>
      </w:r>
      <w:r>
        <w:rPr>
          <w:rStyle w:val="NormalTok"/>
        </w:rPr>
        <w:t xml:space="preserve"> </w:t>
      </w:r>
      <w:r>
        <w:rPr>
          <w:rStyle w:val="StringTok"/>
        </w:rPr>
        <w:t>"rohdaten_python.xlsx"</w:t>
      </w:r>
      <w:r>
        <w:br/>
      </w:r>
      <w:r>
        <w:rPr>
          <w:rStyle w:val="NormalTok"/>
        </w:rPr>
        <w:t xml:space="preserve">STATISTICS </w:t>
      </w:r>
      <w:r>
        <w:rPr>
          <w:rStyle w:val="OperatorTok"/>
        </w:rPr>
        <w:t>=</w:t>
      </w:r>
      <w:r>
        <w:rPr>
          <w:rStyle w:val="NormalTok"/>
        </w:rPr>
        <w:t xml:space="preserve"> DATA </w:t>
      </w:r>
      <w:r>
        <w:rPr>
          <w:rStyle w:val="OperatorTok"/>
        </w:rPr>
        <w:t>/</w:t>
      </w:r>
      <w:r>
        <w:rPr>
          <w:rStyle w:val="NormalTok"/>
        </w:rPr>
        <w:t xml:space="preserve"> </w:t>
      </w:r>
      <w:r>
        <w:rPr>
          <w:rStyle w:val="StringTok"/>
        </w:rPr>
        <w:t>"GFZ_Analyse_AT.xlsx"</w:t>
      </w:r>
      <w:r>
        <w:br/>
      </w:r>
      <w:r>
        <w:rPr>
          <w:rStyle w:val="NormalTok"/>
        </w:rPr>
        <w:t xml:space="preserve">OUT </w:t>
      </w:r>
      <w:r>
        <w:rPr>
          <w:rStyle w:val="OperatorTok"/>
        </w:rPr>
        <w:t>=</w:t>
      </w:r>
      <w:r>
        <w:rPr>
          <w:rStyle w:val="NormalTok"/>
        </w:rPr>
        <w:t xml:space="preserve"> Path(</w:t>
      </w:r>
      <w:r>
        <w:rPr>
          <w:rStyle w:val="StringTok"/>
        </w:rPr>
        <w:t>"outputs/recalculated"</w:t>
      </w:r>
      <w:r>
        <w:rPr>
          <w:rStyle w:val="NormalTok"/>
        </w:rPr>
        <w:t>)</w:t>
      </w:r>
      <w:r>
        <w:br/>
      </w:r>
      <w:r>
        <w:rPr>
          <w:rStyle w:val="NormalTok"/>
        </w:rPr>
        <w:t>OUT.mkdir(parents</w:t>
      </w:r>
      <w:r>
        <w:rPr>
          <w:rStyle w:val="OperatorTok"/>
        </w:rPr>
        <w:t>=</w:t>
      </w:r>
      <w:r>
        <w:rPr>
          <w:rStyle w:val="VariableTok"/>
        </w:rPr>
        <w:t>True</w:t>
      </w:r>
      <w:r>
        <w:rPr>
          <w:rStyle w:val="NormalTok"/>
        </w:rPr>
        <w:t>, exist_ok</w:t>
      </w:r>
      <w:r>
        <w:rPr>
          <w:rStyle w:val="OperatorTok"/>
        </w:rPr>
        <w:t>=</w:t>
      </w:r>
      <w:r>
        <w:rPr>
          <w:rStyle w:val="VariableTok"/>
        </w:rPr>
        <w:t>True</w:t>
      </w:r>
      <w:r>
        <w:rPr>
          <w:rStyle w:val="NormalTok"/>
        </w:rPr>
        <w:t>)</w:t>
      </w:r>
      <w:r>
        <w:br/>
      </w:r>
      <w:r>
        <w:br/>
      </w:r>
      <w:r>
        <w:rPr>
          <w:rStyle w:val="NormalTok"/>
        </w:rPr>
        <w:t xml:space="preserve">NGF_PER_BGF </w:t>
      </w:r>
      <w:r>
        <w:rPr>
          <w:rStyle w:val="OperatorTok"/>
        </w:rPr>
        <w:t>=</w:t>
      </w:r>
      <w:r>
        <w:rPr>
          <w:rStyle w:val="NormalTok"/>
        </w:rPr>
        <w:t xml:space="preserve"> </w:t>
      </w:r>
      <w:r>
        <w:rPr>
          <w:rStyle w:val="FloatTok"/>
        </w:rPr>
        <w:t>0.8</w:t>
      </w:r>
      <w:r>
        <w:br/>
      </w:r>
      <w:r>
        <w:rPr>
          <w:rStyle w:val="NormalTok"/>
        </w:rPr>
        <w:t xml:space="preserve">GFZ_STEP </w:t>
      </w:r>
      <w:r>
        <w:rPr>
          <w:rStyle w:val="OperatorTok"/>
        </w:rPr>
        <w:t>=</w:t>
      </w:r>
      <w:r>
        <w:rPr>
          <w:rStyle w:val="NormalTok"/>
        </w:rPr>
        <w:t xml:space="preserve"> </w:t>
      </w:r>
      <w:r>
        <w:rPr>
          <w:rStyle w:val="FloatTok"/>
        </w:rPr>
        <w:t>0.1</w:t>
      </w:r>
      <w:r>
        <w:br/>
      </w:r>
      <w:r>
        <w:rPr>
          <w:rStyle w:val="NormalTok"/>
        </w:rPr>
        <w:t xml:space="preserve">GFZ_MAX </w:t>
      </w:r>
      <w:r>
        <w:rPr>
          <w:rStyle w:val="OperatorTok"/>
        </w:rPr>
        <w:t>=</w:t>
      </w:r>
      <w:r>
        <w:rPr>
          <w:rStyle w:val="NormalTok"/>
        </w:rPr>
        <w:t xml:space="preserve"> </w:t>
      </w:r>
      <w:r>
        <w:rPr>
          <w:rStyle w:val="FloatTok"/>
        </w:rPr>
        <w:t>20.0</w:t>
      </w:r>
      <w:r>
        <w:br/>
      </w:r>
      <w:r>
        <w:rPr>
          <w:rStyle w:val="NormalTok"/>
        </w:rPr>
        <w:t xml:space="preserve">PLOT_GFZ_MAX </w:t>
      </w:r>
      <w:r>
        <w:rPr>
          <w:rStyle w:val="OperatorTok"/>
        </w:rPr>
        <w:t>=</w:t>
      </w:r>
      <w:r>
        <w:rPr>
          <w:rStyle w:val="NormalTok"/>
        </w:rPr>
        <w:t xml:space="preserve"> </w:t>
      </w:r>
      <w:r>
        <w:rPr>
          <w:rStyle w:val="FloatTok"/>
        </w:rPr>
        <w:t>8.0</w:t>
      </w:r>
      <w:r>
        <w:rPr>
          <w:rStyle w:val="NormalTok"/>
        </w:rPr>
        <w:t xml:space="preserve">                 </w:t>
      </w:r>
      <w:r>
        <w:rPr>
          <w:rStyle w:val="CommentTok"/>
        </w:rPr>
        <w:t># nur Sichtfenster, keine Kürzung der Bilanz</w:t>
      </w:r>
      <w:r>
        <w:br/>
      </w:r>
      <w:r>
        <w:rPr>
          <w:rStyle w:val="NormalTok"/>
        </w:rPr>
        <w:t xml:space="preserve">MIN_SAMPLES </w:t>
      </w:r>
      <w:r>
        <w:rPr>
          <w:rStyle w:val="OperatorTok"/>
        </w:rPr>
        <w:t>=</w:t>
      </w:r>
      <w:r>
        <w:rPr>
          <w:rStyle w:val="NormalTok"/>
        </w:rPr>
        <w:t xml:space="preserve"> </w:t>
      </w:r>
      <w:r>
        <w:rPr>
          <w:rStyle w:val="DecValTok"/>
        </w:rPr>
        <w:t>5</w:t>
      </w:r>
      <w:r>
        <w:br/>
      </w:r>
      <w:r>
        <w:rPr>
          <w:rStyle w:val="NormalTok"/>
        </w:rPr>
        <w:t xml:space="preserve">FALLBACK </w:t>
      </w:r>
      <w:r>
        <w:rPr>
          <w:rStyle w:val="OperatorTok"/>
        </w:rPr>
        <w:t>=</w:t>
      </w:r>
      <w:r>
        <w:rPr>
          <w:rStyle w:val="NormalTok"/>
        </w:rPr>
        <w:t xml:space="preserve"> </w:t>
      </w:r>
      <w:r>
        <w:rPr>
          <w:rStyle w:val="StringTok"/>
        </w:rPr>
        <w:t>"vienna"</w:t>
      </w:r>
      <w:r>
        <w:rPr>
          <w:rStyle w:val="NormalTok"/>
        </w:rPr>
        <w:t xml:space="preserve">                </w:t>
      </w:r>
      <w:r>
        <w:rPr>
          <w:rStyle w:val="CommentTok"/>
        </w:rPr>
        <w:t># "vienna": gekennzeichnete Ersatzregel; "error": Abbruch</w:t>
      </w:r>
      <w:r>
        <w:br/>
      </w:r>
      <w:r>
        <w:rPr>
          <w:rStyle w:val="NormalTok"/>
        </w:rPr>
        <w:t xml:space="preserve">METHOD </w:t>
      </w:r>
      <w:r>
        <w:rPr>
          <w:rStyle w:val="OperatorTok"/>
        </w:rPr>
        <w:t>=</w:t>
      </w:r>
      <w:r>
        <w:rPr>
          <w:rStyle w:val="NormalTok"/>
        </w:rPr>
        <w:t xml:space="preserve"> </w:t>
      </w:r>
      <w:r>
        <w:rPr>
          <w:rStyle w:val="StringTok"/>
        </w:rPr>
        <w:t>"kde"</w:t>
      </w:r>
      <w:r>
        <w:rPr>
          <w:rStyle w:val="NormalTok"/>
        </w:rPr>
        <w:t xml:space="preserve">                    </w:t>
      </w:r>
      <w:r>
        <w:rPr>
          <w:rStyle w:val="CommentTok"/>
        </w:rPr>
        <w:t># "kde" oder zu Diagnosezwecken "histogram"</w:t>
      </w:r>
      <w:r>
        <w:br/>
      </w:r>
      <w:r>
        <w:br/>
      </w:r>
      <w:r>
        <w:rPr>
          <w:rStyle w:val="NormalTok"/>
        </w:rPr>
        <w:t xml:space="preserve">PROVINCES </w:t>
      </w:r>
      <w:r>
        <w:rPr>
          <w:rStyle w:val="OperatorTok"/>
        </w:rPr>
        <w:t>=</w:t>
      </w:r>
      <w:r>
        <w:rPr>
          <w:rStyle w:val="NormalTok"/>
        </w:rPr>
        <w:t xml:space="preserve"> [</w:t>
      </w:r>
      <w:r>
        <w:rPr>
          <w:rStyle w:val="StringTok"/>
        </w:rPr>
        <w:t>"Burgenland"</w:t>
      </w:r>
      <w:r>
        <w:rPr>
          <w:rStyle w:val="NormalTok"/>
        </w:rPr>
        <w:t xml:space="preserve">, </w:t>
      </w:r>
      <w:r>
        <w:rPr>
          <w:rStyle w:val="StringTok"/>
        </w:rPr>
        <w:t>"Kärnten"</w:t>
      </w:r>
      <w:r>
        <w:rPr>
          <w:rStyle w:val="NormalTok"/>
        </w:rPr>
        <w:t xml:space="preserve">, </w:t>
      </w:r>
      <w:r>
        <w:rPr>
          <w:rStyle w:val="StringTok"/>
        </w:rPr>
        <w:t>"Niederösterreich"</w:t>
      </w:r>
      <w:r>
        <w:rPr>
          <w:rStyle w:val="NormalTok"/>
        </w:rPr>
        <w:t xml:space="preserve">, </w:t>
      </w:r>
      <w:r>
        <w:rPr>
          <w:rStyle w:val="StringTok"/>
        </w:rPr>
        <w:t>"Oberösterreich"</w:t>
      </w:r>
      <w:r>
        <w:rPr>
          <w:rStyle w:val="NormalTok"/>
        </w:rPr>
        <w:t>,</w:t>
      </w:r>
      <w:r>
        <w:br/>
      </w:r>
      <w:r>
        <w:rPr>
          <w:rStyle w:val="NormalTok"/>
        </w:rPr>
        <w:t xml:space="preserve">             </w:t>
      </w:r>
      <w:r>
        <w:rPr>
          <w:rStyle w:val="StringTok"/>
        </w:rPr>
        <w:t>"Salzburg"</w:t>
      </w:r>
      <w:r>
        <w:rPr>
          <w:rStyle w:val="NormalTok"/>
        </w:rPr>
        <w:t xml:space="preserve">, </w:t>
      </w:r>
      <w:r>
        <w:rPr>
          <w:rStyle w:val="StringTok"/>
        </w:rPr>
        <w:t>"Steiermark"</w:t>
      </w:r>
      <w:r>
        <w:rPr>
          <w:rStyle w:val="NormalTok"/>
        </w:rPr>
        <w:t xml:space="preserve">, </w:t>
      </w:r>
      <w:r>
        <w:rPr>
          <w:rStyle w:val="StringTok"/>
        </w:rPr>
        <w:t>"Tirol"</w:t>
      </w:r>
      <w:r>
        <w:rPr>
          <w:rStyle w:val="NormalTok"/>
        </w:rPr>
        <w:t xml:space="preserve">, </w:t>
      </w:r>
      <w:r>
        <w:rPr>
          <w:rStyle w:val="StringTok"/>
        </w:rPr>
        <w:t>"Vorarlberg"</w:t>
      </w:r>
      <w:r>
        <w:rPr>
          <w:rStyle w:val="NormalTok"/>
        </w:rPr>
        <w:t xml:space="preserve">, </w:t>
      </w:r>
      <w:r>
        <w:rPr>
          <w:rStyle w:val="StringTok"/>
        </w:rPr>
        <w:t>"Wien"</w:t>
      </w:r>
      <w:r>
        <w:rPr>
          <w:rStyle w:val="NormalTok"/>
        </w:rPr>
        <w:t>]</w:t>
      </w:r>
      <w:r>
        <w:br/>
      </w:r>
      <w:r>
        <w:rPr>
          <w:rStyle w:val="NormalTok"/>
        </w:rPr>
        <w:t xml:space="preserve">STOREYS </w:t>
      </w:r>
      <w:r>
        <w:rPr>
          <w:rStyle w:val="OperatorTok"/>
        </w:rPr>
        <w:t>=</w:t>
      </w:r>
      <w:r>
        <w:rPr>
          <w:rStyle w:val="NormalTok"/>
        </w:rPr>
        <w:t xml:space="preserve"> [</w:t>
      </w:r>
      <w:r>
        <w:rPr>
          <w:rStyle w:val="StringTok"/>
        </w:rPr>
        <w:t>"1"</w:t>
      </w:r>
      <w:r>
        <w:rPr>
          <w:rStyle w:val="NormalTok"/>
        </w:rPr>
        <w:t xml:space="preserve">, </w:t>
      </w:r>
      <w:r>
        <w:rPr>
          <w:rStyle w:val="StringTok"/>
        </w:rPr>
        <w:t>"2"</w:t>
      </w:r>
      <w:r>
        <w:rPr>
          <w:rStyle w:val="NormalTok"/>
        </w:rPr>
        <w:t xml:space="preserve">, </w:t>
      </w:r>
      <w:r>
        <w:rPr>
          <w:rStyle w:val="StringTok"/>
        </w:rPr>
        <w:t>"3"</w:t>
      </w:r>
      <w:r>
        <w:rPr>
          <w:rStyle w:val="NormalTok"/>
        </w:rPr>
        <w:t xml:space="preserve">, </w:t>
      </w:r>
      <w:r>
        <w:rPr>
          <w:rStyle w:val="StringTok"/>
        </w:rPr>
        <w:t>"4"</w:t>
      </w:r>
      <w:r>
        <w:rPr>
          <w:rStyle w:val="NormalTok"/>
        </w:rPr>
        <w:t xml:space="preserve">, </w:t>
      </w:r>
      <w:r>
        <w:rPr>
          <w:rStyle w:val="StringTok"/>
        </w:rPr>
        <w:t>"5"</w:t>
      </w:r>
      <w:r>
        <w:rPr>
          <w:rStyle w:val="NormalTok"/>
        </w:rPr>
        <w:t xml:space="preserve">, </w:t>
      </w:r>
      <w:r>
        <w:rPr>
          <w:rStyle w:val="StringTok"/>
        </w:rPr>
        <w:t>"6-10"</w:t>
      </w:r>
      <w:r>
        <w:rPr>
          <w:rStyle w:val="NormalTok"/>
        </w:rPr>
        <w:t xml:space="preserve">, </w:t>
      </w:r>
      <w:r>
        <w:rPr>
          <w:rStyle w:val="StringTok"/>
        </w:rPr>
        <w:t>"11+"</w:t>
      </w:r>
      <w:r>
        <w:rPr>
          <w:rStyle w:val="NormalTok"/>
        </w:rPr>
        <w:t>]</w:t>
      </w:r>
      <w:r>
        <w:br/>
      </w:r>
      <w:r>
        <w:rPr>
          <w:rStyle w:val="NormalTok"/>
        </w:rPr>
        <w:t xml:space="preserve">USES </w:t>
      </w:r>
      <w:r>
        <w:rPr>
          <w:rStyle w:val="OperatorTok"/>
        </w:rPr>
        <w:t>=</w:t>
      </w:r>
      <w:r>
        <w:rPr>
          <w:rStyle w:val="NormalTok"/>
        </w:rPr>
        <w:t xml:space="preserve"> [</w:t>
      </w:r>
      <w:r>
        <w:rPr>
          <w:rStyle w:val="StringTok"/>
        </w:rPr>
        <w:t>"Hotels o.Ä."</w:t>
      </w:r>
      <w:r>
        <w:rPr>
          <w:rStyle w:val="NormalTok"/>
        </w:rPr>
        <w:t xml:space="preserve">, </w:t>
      </w:r>
      <w:r>
        <w:rPr>
          <w:rStyle w:val="StringTok"/>
        </w:rPr>
        <w:t>"Büronutzung"</w:t>
      </w:r>
      <w:r>
        <w:rPr>
          <w:rStyle w:val="NormalTok"/>
        </w:rPr>
        <w:t xml:space="preserve">, </w:t>
      </w:r>
      <w:r>
        <w:rPr>
          <w:rStyle w:val="StringTok"/>
        </w:rPr>
        <w:t>"Groß- und Einzelhandelsgebäude"</w:t>
      </w:r>
      <w:r>
        <w:rPr>
          <w:rStyle w:val="NormalTok"/>
        </w:rPr>
        <w:t>,</w:t>
      </w:r>
      <w:r>
        <w:br/>
      </w:r>
      <w:r>
        <w:rPr>
          <w:rStyle w:val="NormalTok"/>
        </w:rPr>
        <w:t xml:space="preserve">        </w:t>
      </w:r>
      <w:r>
        <w:rPr>
          <w:rStyle w:val="StringTok"/>
        </w:rPr>
        <w:t>"Verkehrs- und Nachrichtenwesen"</w:t>
      </w:r>
      <w:r>
        <w:rPr>
          <w:rStyle w:val="NormalTok"/>
        </w:rPr>
        <w:t xml:space="preserve">, </w:t>
      </w:r>
      <w:r>
        <w:rPr>
          <w:rStyle w:val="StringTok"/>
        </w:rPr>
        <w:t>"Industrie und Lagerung"</w:t>
      </w:r>
      <w:r>
        <w:rPr>
          <w:rStyle w:val="NormalTok"/>
        </w:rPr>
        <w:t>,</w:t>
      </w:r>
      <w:r>
        <w:br/>
      </w:r>
      <w:r>
        <w:rPr>
          <w:rStyle w:val="NormalTok"/>
        </w:rPr>
        <w:t xml:space="preserve">        </w:t>
      </w:r>
      <w:r>
        <w:rPr>
          <w:rStyle w:val="StringTok"/>
        </w:rPr>
        <w:t>"Kultur, Freizeit, Bildung und Gesundheit"</w:t>
      </w:r>
      <w:r>
        <w:rPr>
          <w:rStyle w:val="NormalTok"/>
        </w:rPr>
        <w:t xml:space="preserve">, </w:t>
      </w:r>
      <w:r>
        <w:rPr>
          <w:rStyle w:val="StringTok"/>
        </w:rPr>
        <w:t>"Gemeinschaftsgebäude"</w:t>
      </w:r>
      <w:r>
        <w:rPr>
          <w:rStyle w:val="NormalTok"/>
        </w:rPr>
        <w:t>,</w:t>
      </w:r>
      <w:r>
        <w:br/>
      </w:r>
      <w:r>
        <w:rPr>
          <w:rStyle w:val="NormalTok"/>
        </w:rPr>
        <w:t xml:space="preserve">        </w:t>
      </w:r>
      <w:r>
        <w:rPr>
          <w:rStyle w:val="StringTok"/>
        </w:rPr>
        <w:t>"Mehrfamilienhaus"</w:t>
      </w:r>
      <w:r>
        <w:rPr>
          <w:rStyle w:val="NormalTok"/>
        </w:rPr>
        <w:t xml:space="preserve">, </w:t>
      </w:r>
      <w:r>
        <w:rPr>
          <w:rStyle w:val="StringTok"/>
        </w:rPr>
        <w:t>"Ein- und Zweifamilienhäuser"</w:t>
      </w:r>
      <w:r>
        <w:rPr>
          <w:rStyle w:val="NormalTok"/>
        </w:rPr>
        <w:t>]</w:t>
      </w:r>
      <w:r>
        <w:br/>
      </w:r>
      <w:r>
        <w:br/>
      </w:r>
      <w:r>
        <w:rPr>
          <w:rStyle w:val="CommentTok"/>
        </w:rPr>
        <w:t># Einheitliche Farben und Anordnung für ALLE Diagramme</w:t>
      </w:r>
      <w:r>
        <w:br/>
      </w:r>
      <w:r>
        <w:rPr>
          <w:rStyle w:val="NormalTok"/>
        </w:rPr>
        <w:t xml:space="preserve">COLORS </w:t>
      </w:r>
      <w:r>
        <w:rPr>
          <w:rStyle w:val="OperatorTok"/>
        </w:rPr>
        <w:t>=</w:t>
      </w:r>
      <w:r>
        <w:rPr>
          <w:rStyle w:val="NormalTok"/>
        </w:rPr>
        <w:t xml:space="preserve"> {</w:t>
      </w:r>
      <w:r>
        <w:br/>
      </w:r>
      <w:r>
        <w:rPr>
          <w:rStyle w:val="NormalTok"/>
        </w:rPr>
        <w:t xml:space="preserve">    </w:t>
      </w:r>
      <w:r>
        <w:rPr>
          <w:rStyle w:val="StringTok"/>
        </w:rPr>
        <w:t>"Groß- und Einzelhandelsgebäude"</w:t>
      </w:r>
      <w:r>
        <w:rPr>
          <w:rStyle w:val="NormalTok"/>
        </w:rPr>
        <w:t xml:space="preserve">: </w:t>
      </w:r>
      <w:r>
        <w:rPr>
          <w:rStyle w:val="StringTok"/>
        </w:rPr>
        <w:t>"#abd7e7"</w:t>
      </w:r>
      <w:r>
        <w:rPr>
          <w:rStyle w:val="NormalTok"/>
        </w:rPr>
        <w:t>,</w:t>
      </w:r>
      <w:r>
        <w:br/>
      </w:r>
      <w:r>
        <w:rPr>
          <w:rStyle w:val="NormalTok"/>
        </w:rPr>
        <w:t xml:space="preserve">    </w:t>
      </w:r>
      <w:r>
        <w:rPr>
          <w:rStyle w:val="StringTok"/>
        </w:rPr>
        <w:t>"Büronutzung"</w:t>
      </w:r>
      <w:r>
        <w:rPr>
          <w:rStyle w:val="NormalTok"/>
        </w:rPr>
        <w:t xml:space="preserve">: </w:t>
      </w:r>
      <w:r>
        <w:rPr>
          <w:rStyle w:val="StringTok"/>
        </w:rPr>
        <w:t>"#81c9e6"</w:t>
      </w:r>
      <w:r>
        <w:rPr>
          <w:rStyle w:val="NormalTok"/>
        </w:rPr>
        <w:t>,</w:t>
      </w:r>
      <w:r>
        <w:br/>
      </w:r>
      <w:r>
        <w:rPr>
          <w:rStyle w:val="NormalTok"/>
        </w:rPr>
        <w:t xml:space="preserve">    </w:t>
      </w:r>
      <w:r>
        <w:rPr>
          <w:rStyle w:val="StringTok"/>
        </w:rPr>
        <w:t>"Hotels o.Ä."</w:t>
      </w:r>
      <w:r>
        <w:rPr>
          <w:rStyle w:val="NormalTok"/>
        </w:rPr>
        <w:t xml:space="preserve">: </w:t>
      </w:r>
      <w:r>
        <w:rPr>
          <w:rStyle w:val="StringTok"/>
        </w:rPr>
        <w:t>"#3e82b8"</w:t>
      </w:r>
      <w:r>
        <w:rPr>
          <w:rStyle w:val="NormalTok"/>
        </w:rPr>
        <w:t>,</w:t>
      </w:r>
      <w:r>
        <w:br/>
      </w:r>
      <w:r>
        <w:rPr>
          <w:rStyle w:val="NormalTok"/>
        </w:rPr>
        <w:t xml:space="preserve">    </w:t>
      </w:r>
      <w:r>
        <w:rPr>
          <w:rStyle w:val="StringTok"/>
        </w:rPr>
        <w:t>"Industrie und Lagerung"</w:t>
      </w:r>
      <w:r>
        <w:rPr>
          <w:rStyle w:val="NormalTok"/>
        </w:rPr>
        <w:t xml:space="preserve">: </w:t>
      </w:r>
      <w:r>
        <w:rPr>
          <w:rStyle w:val="StringTok"/>
        </w:rPr>
        <w:t>"#405d77"</w:t>
      </w:r>
      <w:r>
        <w:rPr>
          <w:rStyle w:val="NormalTok"/>
        </w:rPr>
        <w:t>,</w:t>
      </w:r>
      <w:r>
        <w:br/>
      </w:r>
      <w:r>
        <w:rPr>
          <w:rStyle w:val="NormalTok"/>
        </w:rPr>
        <w:t xml:space="preserve">    </w:t>
      </w:r>
      <w:r>
        <w:rPr>
          <w:rStyle w:val="StringTok"/>
        </w:rPr>
        <w:t>"Ein- und Zweifamilienhäuser"</w:t>
      </w:r>
      <w:r>
        <w:rPr>
          <w:rStyle w:val="NormalTok"/>
        </w:rPr>
        <w:t xml:space="preserve">: </w:t>
      </w:r>
      <w:r>
        <w:rPr>
          <w:rStyle w:val="StringTok"/>
        </w:rPr>
        <w:t>"#ff9800"</w:t>
      </w:r>
      <w:r>
        <w:rPr>
          <w:rStyle w:val="NormalTok"/>
        </w:rPr>
        <w:t>,</w:t>
      </w:r>
      <w:r>
        <w:br/>
      </w:r>
      <w:r>
        <w:rPr>
          <w:rStyle w:val="NormalTok"/>
        </w:rPr>
        <w:t xml:space="preserve">    </w:t>
      </w:r>
      <w:r>
        <w:rPr>
          <w:rStyle w:val="StringTok"/>
        </w:rPr>
        <w:t>"Mehrfamilienhaus"</w:t>
      </w:r>
      <w:r>
        <w:rPr>
          <w:rStyle w:val="NormalTok"/>
        </w:rPr>
        <w:t xml:space="preserve">: </w:t>
      </w:r>
      <w:r>
        <w:rPr>
          <w:rStyle w:val="StringTok"/>
        </w:rPr>
        <w:t>"#ff5c48"</w:t>
      </w:r>
      <w:r>
        <w:rPr>
          <w:rStyle w:val="NormalTok"/>
        </w:rPr>
        <w:t>,</w:t>
      </w:r>
      <w:r>
        <w:br/>
      </w:r>
      <w:r>
        <w:rPr>
          <w:rStyle w:val="NormalTok"/>
        </w:rPr>
        <w:t xml:space="preserve">    </w:t>
      </w:r>
      <w:r>
        <w:rPr>
          <w:rStyle w:val="StringTok"/>
        </w:rPr>
        <w:t>"Gemeinschaftsgebäude"</w:t>
      </w:r>
      <w:r>
        <w:rPr>
          <w:rStyle w:val="NormalTok"/>
        </w:rPr>
        <w:t xml:space="preserve">: </w:t>
      </w:r>
      <w:r>
        <w:rPr>
          <w:rStyle w:val="StringTok"/>
        </w:rPr>
        <w:t>"#dca51b"</w:t>
      </w:r>
      <w:r>
        <w:rPr>
          <w:rStyle w:val="NormalTok"/>
        </w:rPr>
        <w:t>,</w:t>
      </w:r>
      <w:r>
        <w:br/>
      </w:r>
      <w:r>
        <w:rPr>
          <w:rStyle w:val="NormalTok"/>
        </w:rPr>
        <w:t xml:space="preserve">    </w:t>
      </w:r>
      <w:r>
        <w:rPr>
          <w:rStyle w:val="StringTok"/>
        </w:rPr>
        <w:t>"Kultur, Freizeit, Bildung und Gesundheit"</w:t>
      </w:r>
      <w:r>
        <w:rPr>
          <w:rStyle w:val="NormalTok"/>
        </w:rPr>
        <w:t xml:space="preserve">: </w:t>
      </w:r>
      <w:r>
        <w:rPr>
          <w:rStyle w:val="StringTok"/>
        </w:rPr>
        <w:t>"#92009a"</w:t>
      </w:r>
      <w:r>
        <w:rPr>
          <w:rStyle w:val="NormalTok"/>
        </w:rPr>
        <w:t>,</w:t>
      </w:r>
      <w:r>
        <w:br/>
      </w:r>
      <w:r>
        <w:rPr>
          <w:rStyle w:val="NormalTok"/>
        </w:rPr>
        <w:t xml:space="preserve">    </w:t>
      </w:r>
      <w:r>
        <w:rPr>
          <w:rStyle w:val="StringTok"/>
        </w:rPr>
        <w:t>"Verkehrs- und Nachrichtenwesen"</w:t>
      </w:r>
      <w:r>
        <w:rPr>
          <w:rStyle w:val="NormalTok"/>
        </w:rPr>
        <w:t xml:space="preserve">: </w:t>
      </w:r>
      <w:r>
        <w:rPr>
          <w:rStyle w:val="StringTok"/>
        </w:rPr>
        <w:t>"#a4a4a4"</w:t>
      </w:r>
      <w:r>
        <w:rPr>
          <w:rStyle w:val="NormalTok"/>
        </w:rPr>
        <w:t>,</w:t>
      </w:r>
      <w:r>
        <w:br/>
      </w:r>
      <w:r>
        <w:rPr>
          <w:rStyle w:val="NormalTok"/>
        </w:rPr>
        <w:lastRenderedPageBreak/>
        <w:t>}</w:t>
      </w:r>
      <w:r>
        <w:br/>
      </w:r>
      <w:r>
        <w:rPr>
          <w:rStyle w:val="NormalTok"/>
        </w:rPr>
        <w:t xml:space="preserve">PLOT_USE_ORDER </w:t>
      </w:r>
      <w:r>
        <w:rPr>
          <w:rStyle w:val="OperatorTok"/>
        </w:rPr>
        <w:t>=</w:t>
      </w:r>
      <w:r>
        <w:rPr>
          <w:rStyle w:val="NormalTok"/>
        </w:rPr>
        <w:t xml:space="preserve"> </w:t>
      </w:r>
      <w:r>
        <w:rPr>
          <w:rStyle w:val="BuiltInTok"/>
        </w:rPr>
        <w:t>list</w:t>
      </w:r>
      <w:r>
        <w:rPr>
          <w:rStyle w:val="NormalTok"/>
        </w:rPr>
        <w:t>(COLORS)</w:t>
      </w:r>
      <w:r>
        <w:br/>
      </w:r>
      <w:r>
        <w:rPr>
          <w:rStyle w:val="NormalTok"/>
        </w:rPr>
        <w:t>plt.rcParams.update({</w:t>
      </w:r>
      <w:r>
        <w:rPr>
          <w:rStyle w:val="StringTok"/>
        </w:rPr>
        <w:t>"font.size"</w:t>
      </w:r>
      <w:r>
        <w:rPr>
          <w:rStyle w:val="NormalTok"/>
        </w:rPr>
        <w:t xml:space="preserve">: </w:t>
      </w:r>
      <w:r>
        <w:rPr>
          <w:rStyle w:val="DecValTok"/>
        </w:rPr>
        <w:t>10</w:t>
      </w:r>
      <w:r>
        <w:rPr>
          <w:rStyle w:val="NormalTok"/>
        </w:rPr>
        <w:t xml:space="preserve">, </w:t>
      </w:r>
      <w:r>
        <w:rPr>
          <w:rStyle w:val="StringTok"/>
        </w:rPr>
        <w:t>"axes.spines.top"</w:t>
      </w:r>
      <w:r>
        <w:rPr>
          <w:rStyle w:val="NormalTok"/>
        </w:rPr>
        <w:t xml:space="preserve">: </w:t>
      </w:r>
      <w:r>
        <w:rPr>
          <w:rStyle w:val="VariableTok"/>
        </w:rPr>
        <w:t>False</w:t>
      </w:r>
      <w:r>
        <w:rPr>
          <w:rStyle w:val="NormalTok"/>
        </w:rPr>
        <w:t>,</w:t>
      </w:r>
      <w:r>
        <w:br/>
      </w:r>
      <w:r>
        <w:rPr>
          <w:rStyle w:val="NormalTok"/>
        </w:rPr>
        <w:t xml:space="preserve">                     </w:t>
      </w:r>
      <w:r>
        <w:rPr>
          <w:rStyle w:val="StringTok"/>
        </w:rPr>
        <w:t>"axes.spines.right"</w:t>
      </w:r>
      <w:r>
        <w:rPr>
          <w:rStyle w:val="NormalTok"/>
        </w:rPr>
        <w:t xml:space="preserve">: </w:t>
      </w:r>
      <w:r>
        <w:rPr>
          <w:rStyle w:val="VariableTok"/>
        </w:rPr>
        <w:t>False</w:t>
      </w:r>
      <w:r>
        <w:rPr>
          <w:rStyle w:val="NormalTok"/>
        </w:rPr>
        <w:t xml:space="preserve">, </w:t>
      </w:r>
      <w:r>
        <w:rPr>
          <w:rStyle w:val="StringTok"/>
        </w:rPr>
        <w:t>"figure.dpi"</w:t>
      </w:r>
      <w:r>
        <w:rPr>
          <w:rStyle w:val="NormalTok"/>
        </w:rPr>
        <w:t xml:space="preserve">: </w:t>
      </w:r>
      <w:r>
        <w:rPr>
          <w:rStyle w:val="DecValTok"/>
        </w:rPr>
        <w:t>120</w:t>
      </w:r>
      <w:r>
        <w:rPr>
          <w:rStyle w:val="NormalTok"/>
        </w:rPr>
        <w:t>})</w:t>
      </w:r>
      <w:r>
        <w:br/>
      </w:r>
      <w:r>
        <w:br/>
      </w:r>
      <w:r>
        <w:rPr>
          <w:rStyle w:val="ControlFlowTok"/>
        </w:rPr>
        <w:t>if</w:t>
      </w:r>
      <w:r>
        <w:rPr>
          <w:rStyle w:val="NormalTok"/>
        </w:rPr>
        <w:t xml:space="preserve"> </w:t>
      </w:r>
      <w:r>
        <w:rPr>
          <w:rStyle w:val="KeywordTok"/>
        </w:rPr>
        <w:t>not</w:t>
      </w:r>
      <w:r>
        <w:rPr>
          <w:rStyle w:val="NormalTok"/>
        </w:rPr>
        <w:t xml:space="preserve"> (</w:t>
      </w:r>
      <w:r>
        <w:rPr>
          <w:rStyle w:val="DecValTok"/>
        </w:rPr>
        <w:t>0</w:t>
      </w:r>
      <w:r>
        <w:rPr>
          <w:rStyle w:val="NormalTok"/>
        </w:rPr>
        <w:t xml:space="preserve"> </w:t>
      </w:r>
      <w:r>
        <w:rPr>
          <w:rStyle w:val="OperatorTok"/>
        </w:rPr>
        <w:t>&lt;</w:t>
      </w:r>
      <w:r>
        <w:rPr>
          <w:rStyle w:val="NormalTok"/>
        </w:rPr>
        <w:t xml:space="preserve"> NGF_PER_BGF </w:t>
      </w:r>
      <w:r>
        <w:rPr>
          <w:rStyle w:val="OperatorTok"/>
        </w:rPr>
        <w:t>&lt;=</w:t>
      </w:r>
      <w:r>
        <w:rPr>
          <w:rStyle w:val="NormalTok"/>
        </w:rPr>
        <w:t xml:space="preserve"> </w:t>
      </w:r>
      <w:r>
        <w:rPr>
          <w:rStyle w:val="DecValTok"/>
        </w:rPr>
        <w:t>1</w:t>
      </w:r>
      <w:r>
        <w:rPr>
          <w:rStyle w:val="NormalTok"/>
        </w:rPr>
        <w:t xml:space="preserve"> </w:t>
      </w:r>
      <w:r>
        <w:rPr>
          <w:rStyle w:val="KeywordTok"/>
        </w:rPr>
        <w:t>and</w:t>
      </w:r>
      <w:r>
        <w:rPr>
          <w:rStyle w:val="NormalTok"/>
        </w:rPr>
        <w:t xml:space="preserve"> MIN_SAMPLES </w:t>
      </w:r>
      <w:r>
        <w:rPr>
          <w:rStyle w:val="OperatorTok"/>
        </w:rPr>
        <w:t>&gt;=</w:t>
      </w:r>
      <w:r>
        <w:rPr>
          <w:rStyle w:val="NormalTok"/>
        </w:rPr>
        <w:t xml:space="preserve"> </w:t>
      </w:r>
      <w:r>
        <w:rPr>
          <w:rStyle w:val="DecValTok"/>
        </w:rPr>
        <w:t>2</w:t>
      </w:r>
      <w:r>
        <w:rPr>
          <w:rStyle w:val="NormalTok"/>
        </w:rPr>
        <w:t>):</w:t>
      </w:r>
      <w: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tringTok"/>
        </w:rPr>
        <w:t>"NGF/BGF bzw. Stichprobenminimum unzulässig"</w:t>
      </w:r>
      <w:r>
        <w:rPr>
          <w:rStyle w:val="NormalTok"/>
        </w:rPr>
        <w:t>)</w:t>
      </w:r>
      <w:r>
        <w:br/>
      </w:r>
      <w:r>
        <w:rPr>
          <w:rStyle w:val="ControlFlowTok"/>
        </w:rPr>
        <w:t>if</w:t>
      </w:r>
      <w:r>
        <w:rPr>
          <w:rStyle w:val="NormalTok"/>
        </w:rPr>
        <w:t xml:space="preserve"> </w:t>
      </w:r>
      <w:r>
        <w:rPr>
          <w:rStyle w:val="KeywordTok"/>
        </w:rPr>
        <w:t>not</w:t>
      </w:r>
      <w:r>
        <w:rPr>
          <w:rStyle w:val="NormalTok"/>
        </w:rPr>
        <w:t xml:space="preserve"> np.isclose(</w:t>
      </w:r>
      <w:r>
        <w:rPr>
          <w:rStyle w:val="BuiltInTok"/>
        </w:rPr>
        <w:t>round</w:t>
      </w:r>
      <w:r>
        <w:rPr>
          <w:rStyle w:val="NormalTok"/>
        </w:rPr>
        <w:t xml:space="preserve">(GFZ_MAX </w:t>
      </w:r>
      <w:r>
        <w:rPr>
          <w:rStyle w:val="OperatorTok"/>
        </w:rPr>
        <w:t>/</w:t>
      </w:r>
      <w:r>
        <w:rPr>
          <w:rStyle w:val="NormalTok"/>
        </w:rPr>
        <w:t xml:space="preserve"> GFZ_STEP) </w:t>
      </w:r>
      <w:r>
        <w:rPr>
          <w:rStyle w:val="OperatorTok"/>
        </w:rPr>
        <w:t>*</w:t>
      </w:r>
      <w:r>
        <w:rPr>
          <w:rStyle w:val="NormalTok"/>
        </w:rPr>
        <w:t xml:space="preserve"> GFZ_STEP, GFZ_MAX):</w:t>
      </w:r>
      <w: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tringTok"/>
        </w:rPr>
        <w:t>"GFZ_MAX muss ein Vielfaches von GFZ_STEP sein"</w:t>
      </w:r>
      <w:r>
        <w:rPr>
          <w:rStyle w:val="NormalTok"/>
        </w:rPr>
        <w:t>)</w:t>
      </w:r>
      <w:r>
        <w:br/>
      </w:r>
      <w:r>
        <w:rPr>
          <w:rStyle w:val="ControlFlowTok"/>
        </w:rPr>
        <w:t>for</w:t>
      </w:r>
      <w:r>
        <w:rPr>
          <w:rStyle w:val="NormalTok"/>
        </w:rPr>
        <w:t xml:space="preserve"> p </w:t>
      </w:r>
      <w:r>
        <w:rPr>
          <w:rStyle w:val="KeywordTok"/>
        </w:rPr>
        <w:t>in</w:t>
      </w:r>
      <w:r>
        <w:rPr>
          <w:rStyle w:val="NormalTok"/>
        </w:rPr>
        <w:t xml:space="preserve"> (BUILDINGS, STATISTICS):</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p.is_file():</w:t>
      </w:r>
      <w:r>
        <w:br/>
      </w:r>
      <w:r>
        <w:rPr>
          <w:rStyle w:val="NormalTok"/>
        </w:rPr>
        <w:t xml:space="preserve">        </w:t>
      </w:r>
      <w:r>
        <w:rPr>
          <w:rStyle w:val="ControlFlowTok"/>
        </w:rPr>
        <w:t>raise</w:t>
      </w:r>
      <w:r>
        <w:rPr>
          <w:rStyle w:val="NormalTok"/>
        </w:rPr>
        <w:t xml:space="preserve"> </w:t>
      </w:r>
      <w:r>
        <w:rPr>
          <w:rStyle w:val="PreprocessorTok"/>
        </w:rPr>
        <w:t>FileNotFoundError</w:t>
      </w:r>
      <w:r>
        <w:rPr>
          <w:rStyle w:val="NormalTok"/>
        </w:rPr>
        <w:t>(</w:t>
      </w:r>
      <w:r>
        <w:rPr>
          <w:rStyle w:val="SpecialStringTok"/>
        </w:rPr>
        <w:t xml:space="preserve">f"Quelldatei fehlt: </w:t>
      </w:r>
      <w:r>
        <w:rPr>
          <w:rStyle w:val="SpecialCharTok"/>
        </w:rPr>
        <w:t>{</w:t>
      </w:r>
      <w:r>
        <w:rPr>
          <w:rStyle w:val="NormalTok"/>
        </w:rPr>
        <w:t>p</w:t>
      </w:r>
      <w:r>
        <w:rPr>
          <w:rStyle w:val="SpecialCharTok"/>
        </w:rPr>
        <w:t>.</w:t>
      </w:r>
      <w:r>
        <w:rPr>
          <w:rStyle w:val="NormalTok"/>
        </w:rPr>
        <w:t>resolve()</w:t>
      </w:r>
      <w:r>
        <w:rPr>
          <w:rStyle w:val="SpecialCharTok"/>
        </w:rPr>
        <w:t>}</w:t>
      </w:r>
      <w:r>
        <w:rPr>
          <w:rStyle w:val="SpecialStringTok"/>
        </w:rPr>
        <w:t xml:space="preserve"> – Pfad in der Parameterzelle setzen"</w:t>
      </w:r>
      <w:r>
        <w:rPr>
          <w:rStyle w:val="NormalTok"/>
        </w:rPr>
        <w:t>)</w:t>
      </w:r>
    </w:p>
    <w:p w14:paraId="16713EB7" w14:textId="77777777" w:rsidR="004E4CC2" w:rsidRDefault="00000000">
      <w:pPr>
        <w:pStyle w:val="berschrift2"/>
      </w:pPr>
      <w:bookmarkStart w:id="330" w:name="X9ddb4cf4fb2e6f5a6aa24f37ba8232e36ff0da6"/>
      <w:bookmarkStart w:id="331" w:name="_Toc243681347"/>
      <w:bookmarkEnd w:id="327"/>
      <w:r>
        <w:t>C.2 2. Eingangsdaten und Plausibilisierung der Einzelgebäude</w:t>
      </w:r>
      <w:bookmarkEnd w:id="331"/>
    </w:p>
    <w:p w14:paraId="117FB000" w14:textId="77777777" w:rsidR="004E4CC2" w:rsidRDefault="00000000">
      <w:pPr>
        <w:pStyle w:val="FirstParagraph"/>
      </w:pPr>
      <w:r>
        <w:t>Die Originaldaten bleiben bei der Einlesung erhalten. Für die Verteilungsbildung werden nur Datensätze mit positiver, endlicher BGF und GFZ bis 20 berücksichtigt. Nicht zu den neun Zielgruppen gehörende Hauptnutzungen sowie nicht aus Wien oder Salzburg stammende Referenzgebäude werden ausgeschlossen. Diese Verluste werden explizit ausgewiesen.</w:t>
      </w:r>
    </w:p>
    <w:p w14:paraId="6A8FA858" w14:textId="77777777" w:rsidR="004E4CC2" w:rsidRDefault="00000000">
      <w:pPr>
        <w:pStyle w:val="Textkrper"/>
      </w:pPr>
      <w:r>
        <w:t xml:space="preserve">Die beiden Unterkategorien „Mehrfamilienhaus klein“ und „Mehrfamilienhaus groß“ der gebäudescharfen Daten werden für den Vergleich mit der statistischen Klassifikation als „Mehrfamilienhaus“ zusammengefasst. Die Zuordnung wird </w:t>
      </w:r>
      <w:r>
        <w:rPr>
          <w:b/>
          <w:bCs/>
        </w:rPr>
        <w:t>nicht</w:t>
      </w:r>
      <w:r>
        <w:t xml:space="preserve"> für andere unbekannte Nutzungsklassen stillschweigend ergänzt.</w:t>
      </w:r>
    </w:p>
    <w:p w14:paraId="243A2897" w14:textId="77777777" w:rsidR="004E4CC2" w:rsidRDefault="00000000">
      <w:pPr>
        <w:pStyle w:val="SourceCode"/>
      </w:pPr>
      <w:r>
        <w:rPr>
          <w:rStyle w:val="CommentTok"/>
        </w:rPr>
        <w:t># Eingabeformate CSV oder Excel (reiner Dateiimport; keine Modellrechnung)</w:t>
      </w:r>
      <w:r>
        <w:br/>
      </w:r>
      <w:r>
        <w:rPr>
          <w:rStyle w:val="ControlFlowTok"/>
        </w:rPr>
        <w:t>if</w:t>
      </w:r>
      <w:r>
        <w:rPr>
          <w:rStyle w:val="NormalTok"/>
        </w:rPr>
        <w:t xml:space="preserve"> BUILDINGS.suffix.lower() </w:t>
      </w:r>
      <w:r>
        <w:rPr>
          <w:rStyle w:val="OperatorTok"/>
        </w:rPr>
        <w:t>==</w:t>
      </w:r>
      <w:r>
        <w:rPr>
          <w:rStyle w:val="NormalTok"/>
        </w:rPr>
        <w:t xml:space="preserve"> </w:t>
      </w:r>
      <w:r>
        <w:rPr>
          <w:rStyle w:val="StringTok"/>
        </w:rPr>
        <w:t>".csv"</w:t>
      </w:r>
      <w:r>
        <w:rPr>
          <w:rStyle w:val="NormalTok"/>
        </w:rPr>
        <w:t>:</w:t>
      </w:r>
      <w:r>
        <w:br/>
      </w:r>
      <w:r>
        <w:rPr>
          <w:rStyle w:val="NormalTok"/>
        </w:rPr>
        <w:t xml:space="preserve">    samples_raw </w:t>
      </w:r>
      <w:r>
        <w:rPr>
          <w:rStyle w:val="OperatorTok"/>
        </w:rPr>
        <w:t>=</w:t>
      </w:r>
      <w:r>
        <w:rPr>
          <w:rStyle w:val="NormalTok"/>
        </w:rPr>
        <w:t xml:space="preserve"> pd.read_csv(BUILDINGS, dtype</w:t>
      </w:r>
      <w:r>
        <w:rPr>
          <w:rStyle w:val="OperatorTok"/>
        </w:rPr>
        <w:t>=</w:t>
      </w:r>
      <w:r>
        <w:rPr>
          <w:rStyle w:val="NormalTok"/>
        </w:rPr>
        <w:t>{</w:t>
      </w:r>
      <w:r>
        <w:rPr>
          <w:rStyle w:val="StringTok"/>
        </w:rPr>
        <w:t>"GK"</w:t>
      </w:r>
      <w:r>
        <w:rPr>
          <w:rStyle w:val="NormalTok"/>
        </w:rPr>
        <w:t xml:space="preserve">: </w:t>
      </w:r>
      <w:r>
        <w:rPr>
          <w:rStyle w:val="BuiltInTok"/>
        </w:rPr>
        <w:t>str</w:t>
      </w:r>
      <w:r>
        <w:rPr>
          <w:rStyle w:val="NormalTok"/>
        </w:rPr>
        <w:t>}, low_memory</w:t>
      </w:r>
      <w:r>
        <w:rPr>
          <w:rStyle w:val="OperatorTok"/>
        </w:rPr>
        <w:t>=</w:t>
      </w:r>
      <w:r>
        <w:rPr>
          <w:rStyle w:val="VariableTok"/>
        </w:rPr>
        <w:t>False</w:t>
      </w:r>
      <w:r>
        <w:rPr>
          <w:rStyle w:val="NormalTok"/>
        </w:rPr>
        <w:t>)</w:t>
      </w:r>
      <w:r>
        <w:br/>
      </w:r>
      <w:r>
        <w:rPr>
          <w:rStyle w:val="ControlFlowTok"/>
        </w:rPr>
        <w:t>else</w:t>
      </w:r>
      <w:r>
        <w:rPr>
          <w:rStyle w:val="NormalTok"/>
        </w:rPr>
        <w:t>:</w:t>
      </w:r>
      <w:r>
        <w:br/>
      </w:r>
      <w:r>
        <w:rPr>
          <w:rStyle w:val="NormalTok"/>
        </w:rPr>
        <w:t xml:space="preserve">    samples_raw </w:t>
      </w:r>
      <w:r>
        <w:rPr>
          <w:rStyle w:val="OperatorTok"/>
        </w:rPr>
        <w:t>=</w:t>
      </w:r>
      <w:r>
        <w:rPr>
          <w:rStyle w:val="NormalTok"/>
        </w:rPr>
        <w:t xml:space="preserve"> pd.read_excel(BUILDINGS, sheet_name</w:t>
      </w:r>
      <w:r>
        <w:rPr>
          <w:rStyle w:val="OperatorTok"/>
        </w:rPr>
        <w:t>=</w:t>
      </w:r>
      <w:r>
        <w:rPr>
          <w:rStyle w:val="StringTok"/>
        </w:rPr>
        <w:t>"Rohdaten"</w:t>
      </w:r>
      <w:r>
        <w:rPr>
          <w:rStyle w:val="NormalTok"/>
        </w:rPr>
        <w:t>, dtype</w:t>
      </w:r>
      <w:r>
        <w:rPr>
          <w:rStyle w:val="OperatorTok"/>
        </w:rPr>
        <w:t>=</w:t>
      </w:r>
      <w:r>
        <w:rPr>
          <w:rStyle w:val="NormalTok"/>
        </w:rPr>
        <w:t>{</w:t>
      </w:r>
      <w:r>
        <w:rPr>
          <w:rStyle w:val="StringTok"/>
        </w:rPr>
        <w:t>"GK"</w:t>
      </w:r>
      <w:r>
        <w:rPr>
          <w:rStyle w:val="NormalTok"/>
        </w:rPr>
        <w:t xml:space="preserve">: </w:t>
      </w:r>
      <w:r>
        <w:rPr>
          <w:rStyle w:val="BuiltInTok"/>
        </w:rPr>
        <w:t>str</w:t>
      </w:r>
      <w:r>
        <w:rPr>
          <w:rStyle w:val="NormalTok"/>
        </w:rPr>
        <w:t>})</w:t>
      </w:r>
      <w:r>
        <w:br/>
      </w:r>
      <w:r>
        <w:br/>
      </w:r>
      <w:r>
        <w:rPr>
          <w:rStyle w:val="NormalTok"/>
        </w:rPr>
        <w:t xml:space="preserve">required_samples </w:t>
      </w:r>
      <w:r>
        <w:rPr>
          <w:rStyle w:val="OperatorTok"/>
        </w:rPr>
        <w:t>=</w:t>
      </w:r>
      <w:r>
        <w:rPr>
          <w:rStyle w:val="NormalTok"/>
        </w:rPr>
        <w:t xml:space="preserve"> [</w:t>
      </w:r>
      <w:r>
        <w:rPr>
          <w:rStyle w:val="StringTok"/>
        </w:rPr>
        <w:t>"Bundesland"</w:t>
      </w:r>
      <w:r>
        <w:rPr>
          <w:rStyle w:val="NormalTok"/>
        </w:rPr>
        <w:t xml:space="preserve">, </w:t>
      </w:r>
      <w:r>
        <w:rPr>
          <w:rStyle w:val="StringTok"/>
        </w:rPr>
        <w:t>"GK"</w:t>
      </w:r>
      <w:r>
        <w:rPr>
          <w:rStyle w:val="NormalTok"/>
        </w:rPr>
        <w:t xml:space="preserve">, </w:t>
      </w:r>
      <w:r>
        <w:rPr>
          <w:rStyle w:val="StringTok"/>
        </w:rPr>
        <w:t>"GWR_Nutzung"</w:t>
      </w:r>
      <w:r>
        <w:rPr>
          <w:rStyle w:val="NormalTok"/>
        </w:rPr>
        <w:t xml:space="preserve">, </w:t>
      </w:r>
      <w:r>
        <w:rPr>
          <w:rStyle w:val="StringTok"/>
        </w:rPr>
        <w:t>"GFZ"</w:t>
      </w:r>
      <w:r>
        <w:rPr>
          <w:rStyle w:val="NormalTok"/>
        </w:rPr>
        <w:t xml:space="preserve">, </w:t>
      </w:r>
      <w:r>
        <w:rPr>
          <w:rStyle w:val="StringTok"/>
        </w:rPr>
        <w:t>"BGF"</w:t>
      </w:r>
      <w:r>
        <w:rPr>
          <w:rStyle w:val="NormalTok"/>
        </w:rPr>
        <w:t>]</w:t>
      </w:r>
      <w:r>
        <w:br/>
      </w:r>
      <w:r>
        <w:rPr>
          <w:rStyle w:val="NormalTok"/>
        </w:rPr>
        <w:t xml:space="preserve">missing </w:t>
      </w:r>
      <w:r>
        <w:rPr>
          <w:rStyle w:val="OperatorTok"/>
        </w:rPr>
        <w:t>=</w:t>
      </w:r>
      <w:r>
        <w:rPr>
          <w:rStyle w:val="NormalTok"/>
        </w:rPr>
        <w:t xml:space="preserve"> </w:t>
      </w:r>
      <w:r>
        <w:rPr>
          <w:rStyle w:val="BuiltInTok"/>
        </w:rPr>
        <w:t>sorted</w:t>
      </w:r>
      <w:r>
        <w:rPr>
          <w:rStyle w:val="NormalTok"/>
        </w:rPr>
        <w:t>(</w:t>
      </w:r>
      <w:r>
        <w:rPr>
          <w:rStyle w:val="BuiltInTok"/>
        </w:rPr>
        <w:t>set</w:t>
      </w:r>
      <w:r>
        <w:rPr>
          <w:rStyle w:val="NormalTok"/>
        </w:rPr>
        <w:t xml:space="preserve">(required_samples) </w:t>
      </w:r>
      <w:r>
        <w:rPr>
          <w:rStyle w:val="OperatorTok"/>
        </w:rPr>
        <w:t>-</w:t>
      </w:r>
      <w:r>
        <w:rPr>
          <w:rStyle w:val="NormalTok"/>
        </w:rPr>
        <w:t xml:space="preserve"> </w:t>
      </w:r>
      <w:r>
        <w:rPr>
          <w:rStyle w:val="BuiltInTok"/>
        </w:rPr>
        <w:t>set</w:t>
      </w:r>
      <w:r>
        <w:rPr>
          <w:rStyle w:val="NormalTok"/>
        </w:rPr>
        <w:t>(samples_raw))</w:t>
      </w:r>
      <w:r>
        <w:br/>
      </w:r>
      <w:r>
        <w:rPr>
          <w:rStyle w:val="ControlFlowTok"/>
        </w:rPr>
        <w:t>if</w:t>
      </w:r>
      <w:r>
        <w:rPr>
          <w:rStyle w:val="NormalTok"/>
        </w:rPr>
        <w:t xml:space="preserve"> missing:</w:t>
      </w:r>
      <w: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pecialStringTok"/>
        </w:rPr>
        <w:t xml:space="preserve">f"Referenzdatei: Spalten fehlen: </w:t>
      </w:r>
      <w:r>
        <w:rPr>
          <w:rStyle w:val="SpecialCharTok"/>
        </w:rPr>
        <w:t>{</w:t>
      </w:r>
      <w:r>
        <w:rPr>
          <w:rStyle w:val="NormalTok"/>
        </w:rPr>
        <w:t>missing</w:t>
      </w:r>
      <w:r>
        <w:rPr>
          <w:rStyle w:val="SpecialCharTok"/>
        </w:rPr>
        <w:t>}</w:t>
      </w:r>
      <w:r>
        <w:rPr>
          <w:rStyle w:val="SpecialStringTok"/>
        </w:rPr>
        <w:t>"</w:t>
      </w:r>
      <w:r>
        <w:rPr>
          <w:rStyle w:val="NormalTok"/>
        </w:rPr>
        <w:t>)</w:t>
      </w:r>
      <w:r>
        <w:br/>
      </w:r>
      <w:r>
        <w:br/>
      </w:r>
      <w:r>
        <w:rPr>
          <w:rStyle w:val="NormalTok"/>
        </w:rPr>
        <w:t xml:space="preserve">samples </w:t>
      </w:r>
      <w:r>
        <w:rPr>
          <w:rStyle w:val="OperatorTok"/>
        </w:rPr>
        <w:t>=</w:t>
      </w:r>
      <w:r>
        <w:rPr>
          <w:rStyle w:val="NormalTok"/>
        </w:rPr>
        <w:t xml:space="preserve"> samples_raw[required_samples].copy()</w:t>
      </w:r>
      <w:r>
        <w:br/>
      </w:r>
      <w:r>
        <w:rPr>
          <w:rStyle w:val="CommentTok"/>
        </w:rPr>
        <w:t># Normalisierung der in den Originaldateien vorkommenden Geschoss-Bezeichnungen</w:t>
      </w:r>
      <w:r>
        <w:br/>
      </w:r>
      <w:r>
        <w:rPr>
          <w:rStyle w:val="NormalTok"/>
        </w:rPr>
        <w:t>samples[</w:t>
      </w:r>
      <w:r>
        <w:rPr>
          <w:rStyle w:val="StringTok"/>
        </w:rPr>
        <w:t>"GK"</w:t>
      </w:r>
      <w:r>
        <w:rPr>
          <w:rStyle w:val="NormalTok"/>
        </w:rPr>
        <w:t xml:space="preserve">] </w:t>
      </w:r>
      <w:r>
        <w:rPr>
          <w:rStyle w:val="OperatorTok"/>
        </w:rPr>
        <w:t>=</w:t>
      </w:r>
      <w:r>
        <w:rPr>
          <w:rStyle w:val="NormalTok"/>
        </w:rPr>
        <w:t xml:space="preserve"> (samples[</w:t>
      </w:r>
      <w:r>
        <w:rPr>
          <w:rStyle w:val="StringTok"/>
        </w:rPr>
        <w:t>"GK"</w:t>
      </w:r>
      <w:r>
        <w:rPr>
          <w:rStyle w:val="NormalTok"/>
        </w:rPr>
        <w:t>].astype(</w:t>
      </w:r>
      <w:r>
        <w:rPr>
          <w:rStyle w:val="BuiltInTok"/>
        </w:rPr>
        <w:t>str</w:t>
      </w:r>
      <w:r>
        <w:rPr>
          <w:rStyle w:val="NormalTok"/>
        </w:rPr>
        <w:t>).</w:t>
      </w:r>
      <w:r>
        <w:rPr>
          <w:rStyle w:val="BuiltInTok"/>
        </w:rPr>
        <w:t>str</w:t>
      </w:r>
      <w:r>
        <w:rPr>
          <w:rStyle w:val="NormalTok"/>
        </w:rPr>
        <w:t>.strip().</w:t>
      </w:r>
      <w:r>
        <w:rPr>
          <w:rStyle w:val="BuiltInTok"/>
        </w:rPr>
        <w:t>str</w:t>
      </w:r>
      <w:r>
        <w:rPr>
          <w:rStyle w:val="NormalTok"/>
        </w:rPr>
        <w:t>.lower()</w:t>
      </w:r>
      <w:r>
        <w:br/>
      </w:r>
      <w:r>
        <w:rPr>
          <w:rStyle w:val="NormalTok"/>
        </w:rPr>
        <w:t xml:space="preserve">                 .</w:t>
      </w:r>
      <w:r>
        <w:rPr>
          <w:rStyle w:val="BuiltInTok"/>
        </w:rPr>
        <w:t>str</w:t>
      </w:r>
      <w:r>
        <w:rPr>
          <w:rStyle w:val="NormalTok"/>
        </w:rPr>
        <w:t>.replace(</w:t>
      </w:r>
      <w:r>
        <w:rPr>
          <w:rStyle w:val="VerbatimStringTok"/>
        </w:rPr>
        <w:t>r"</w:t>
      </w:r>
      <w:r>
        <w:rPr>
          <w:rStyle w:val="CharTok"/>
        </w:rPr>
        <w:t>\.</w:t>
      </w:r>
      <w:r>
        <w:rPr>
          <w:rStyle w:val="VerbatimStringTok"/>
        </w:rPr>
        <w:t>0</w:t>
      </w:r>
      <w:r>
        <w:rPr>
          <w:rStyle w:val="DecValTok"/>
        </w:rPr>
        <w:t>$</w:t>
      </w:r>
      <w:r>
        <w:rPr>
          <w:rStyle w:val="VerbatimStringTok"/>
        </w:rPr>
        <w:t>"</w:t>
      </w:r>
      <w:r>
        <w:rPr>
          <w:rStyle w:val="NormalTok"/>
        </w:rPr>
        <w:t xml:space="preserve">, </w:t>
      </w:r>
      <w:r>
        <w:rPr>
          <w:rStyle w:val="StringTok"/>
        </w:rPr>
        <w:t>""</w:t>
      </w:r>
      <w:r>
        <w:rPr>
          <w:rStyle w:val="NormalTok"/>
        </w:rPr>
        <w:t>, regex</w:t>
      </w:r>
      <w:r>
        <w:rPr>
          <w:rStyle w:val="OperatorTok"/>
        </w:rPr>
        <w:t>=</w:t>
      </w:r>
      <w:r>
        <w:rPr>
          <w:rStyle w:val="VariableTok"/>
        </w:rPr>
        <w:t>True</w:t>
      </w:r>
      <w:r>
        <w:rPr>
          <w:rStyle w:val="NormalTok"/>
        </w:rPr>
        <w:t>)</w:t>
      </w:r>
      <w:r>
        <w:br/>
      </w:r>
      <w:r>
        <w:rPr>
          <w:rStyle w:val="NormalTok"/>
        </w:rPr>
        <w:t xml:space="preserve">                 .replace({</w:t>
      </w:r>
      <w:r>
        <w:rPr>
          <w:rStyle w:val="StringTok"/>
        </w:rPr>
        <w:t>"6 bis 10"</w:t>
      </w:r>
      <w:r>
        <w:rPr>
          <w:rStyle w:val="NormalTok"/>
        </w:rPr>
        <w:t xml:space="preserve">: </w:t>
      </w:r>
      <w:r>
        <w:rPr>
          <w:rStyle w:val="StringTok"/>
        </w:rPr>
        <w:t>"6-10"</w:t>
      </w:r>
      <w:r>
        <w:rPr>
          <w:rStyle w:val="NormalTok"/>
        </w:rPr>
        <w:t xml:space="preserve">, </w:t>
      </w:r>
      <w:r>
        <w:rPr>
          <w:rStyle w:val="StringTok"/>
        </w:rPr>
        <w:t>"6–10"</w:t>
      </w:r>
      <w:r>
        <w:rPr>
          <w:rStyle w:val="NormalTok"/>
        </w:rPr>
        <w:t xml:space="preserve">: </w:t>
      </w:r>
      <w:r>
        <w:rPr>
          <w:rStyle w:val="StringTok"/>
        </w:rPr>
        <w:t>"6-10"</w:t>
      </w:r>
      <w:r>
        <w:rPr>
          <w:rStyle w:val="NormalTok"/>
        </w:rPr>
        <w:t xml:space="preserve">, </w:t>
      </w:r>
      <w:r>
        <w:rPr>
          <w:rStyle w:val="StringTok"/>
        </w:rPr>
        <w:t>"6010"</w:t>
      </w:r>
      <w:r>
        <w:rPr>
          <w:rStyle w:val="NormalTok"/>
        </w:rPr>
        <w:t xml:space="preserve">: </w:t>
      </w:r>
      <w:r>
        <w:rPr>
          <w:rStyle w:val="StringTok"/>
        </w:rPr>
        <w:t>"6-10"</w:t>
      </w:r>
      <w:r>
        <w:rPr>
          <w:rStyle w:val="NormalTok"/>
        </w:rPr>
        <w:t>,</w:t>
      </w:r>
      <w:r>
        <w:br/>
      </w:r>
      <w:r>
        <w:rPr>
          <w:rStyle w:val="NormalTok"/>
        </w:rPr>
        <w:t xml:space="preserve">                           </w:t>
      </w:r>
      <w:r>
        <w:rPr>
          <w:rStyle w:val="StringTok"/>
        </w:rPr>
        <w:t>"6.0 bis 10.0"</w:t>
      </w:r>
      <w:r>
        <w:rPr>
          <w:rStyle w:val="NormalTok"/>
        </w:rPr>
        <w:t xml:space="preserve">: </w:t>
      </w:r>
      <w:r>
        <w:rPr>
          <w:rStyle w:val="StringTok"/>
        </w:rPr>
        <w:t>"6-10"</w:t>
      </w:r>
      <w:r>
        <w:rPr>
          <w:rStyle w:val="NormalTok"/>
        </w:rPr>
        <w:t xml:space="preserve">, </w:t>
      </w:r>
      <w:r>
        <w:rPr>
          <w:rStyle w:val="StringTok"/>
        </w:rPr>
        <w:t>"11 und mehr"</w:t>
      </w:r>
      <w:r>
        <w:rPr>
          <w:rStyle w:val="NormalTok"/>
        </w:rPr>
        <w:t xml:space="preserve">: </w:t>
      </w:r>
      <w:r>
        <w:rPr>
          <w:rStyle w:val="StringTok"/>
        </w:rPr>
        <w:t>"11+"</w:t>
      </w:r>
      <w:r>
        <w:rPr>
          <w:rStyle w:val="NormalTok"/>
        </w:rPr>
        <w:t>,</w:t>
      </w:r>
      <w:r>
        <w:br/>
      </w:r>
      <w:r>
        <w:rPr>
          <w:rStyle w:val="NormalTok"/>
        </w:rPr>
        <w:t xml:space="preserve">                           </w:t>
      </w:r>
      <w:r>
        <w:rPr>
          <w:rStyle w:val="StringTok"/>
        </w:rPr>
        <w:t>"11 oder mehr"</w:t>
      </w:r>
      <w:r>
        <w:rPr>
          <w:rStyle w:val="NormalTok"/>
        </w:rPr>
        <w:t xml:space="preserve">: </w:t>
      </w:r>
      <w:r>
        <w:rPr>
          <w:rStyle w:val="StringTok"/>
        </w:rPr>
        <w:t>"11+"</w:t>
      </w:r>
      <w:r>
        <w:rPr>
          <w:rStyle w:val="NormalTok"/>
        </w:rPr>
        <w:t xml:space="preserve">, </w:t>
      </w:r>
      <w:r>
        <w:rPr>
          <w:rStyle w:val="StringTok"/>
        </w:rPr>
        <w:t>"11plus"</w:t>
      </w:r>
      <w:r>
        <w:rPr>
          <w:rStyle w:val="NormalTok"/>
        </w:rPr>
        <w:t xml:space="preserve">: </w:t>
      </w:r>
      <w:r>
        <w:rPr>
          <w:rStyle w:val="StringTok"/>
        </w:rPr>
        <w:t>"11+"</w:t>
      </w:r>
      <w:r>
        <w:rPr>
          <w:rStyle w:val="NormalTok"/>
        </w:rPr>
        <w:t>}))</w:t>
      </w:r>
      <w:r>
        <w:br/>
      </w:r>
      <w:r>
        <w:rPr>
          <w:rStyle w:val="NormalTok"/>
        </w:rPr>
        <w:t>samples[</w:t>
      </w:r>
      <w:r>
        <w:rPr>
          <w:rStyle w:val="StringTok"/>
        </w:rPr>
        <w:t>"GWR_Nutzung"</w:t>
      </w:r>
      <w:r>
        <w:rPr>
          <w:rStyle w:val="NormalTok"/>
        </w:rPr>
        <w:t xml:space="preserve">] </w:t>
      </w:r>
      <w:r>
        <w:rPr>
          <w:rStyle w:val="OperatorTok"/>
        </w:rPr>
        <w:t>=</w:t>
      </w:r>
      <w:r>
        <w:rPr>
          <w:rStyle w:val="NormalTok"/>
        </w:rPr>
        <w:t xml:space="preserve"> samples[</w:t>
      </w:r>
      <w:r>
        <w:rPr>
          <w:rStyle w:val="StringTok"/>
        </w:rPr>
        <w:t>"GWR_Nutzung"</w:t>
      </w:r>
      <w:r>
        <w:rPr>
          <w:rStyle w:val="NormalTok"/>
        </w:rPr>
        <w:t>].astype(</w:t>
      </w:r>
      <w:r>
        <w:rPr>
          <w:rStyle w:val="BuiltInTok"/>
        </w:rPr>
        <w:t>str</w:t>
      </w:r>
      <w:r>
        <w:rPr>
          <w:rStyle w:val="NormalTok"/>
        </w:rPr>
        <w:t>).</w:t>
      </w:r>
      <w:r>
        <w:rPr>
          <w:rStyle w:val="BuiltInTok"/>
        </w:rPr>
        <w:t>str</w:t>
      </w:r>
      <w:r>
        <w:rPr>
          <w:rStyle w:val="NormalTok"/>
        </w:rPr>
        <w:t>.strip().replace({</w:t>
      </w:r>
      <w:r>
        <w:br/>
      </w:r>
      <w:r>
        <w:rPr>
          <w:rStyle w:val="NormalTok"/>
        </w:rPr>
        <w:t xml:space="preserve">    </w:t>
      </w:r>
      <w:r>
        <w:rPr>
          <w:rStyle w:val="StringTok"/>
        </w:rPr>
        <w:t>"Mehrfamilienhaus klein"</w:t>
      </w:r>
      <w:r>
        <w:rPr>
          <w:rStyle w:val="NormalTok"/>
        </w:rPr>
        <w:t xml:space="preserve">: </w:t>
      </w:r>
      <w:r>
        <w:rPr>
          <w:rStyle w:val="StringTok"/>
        </w:rPr>
        <w:t>"Mehrfamilienhaus"</w:t>
      </w:r>
      <w:r>
        <w:rPr>
          <w:rStyle w:val="NormalTok"/>
        </w:rPr>
        <w:t>,</w:t>
      </w:r>
      <w:r>
        <w:br/>
      </w:r>
      <w:r>
        <w:rPr>
          <w:rStyle w:val="NormalTok"/>
        </w:rPr>
        <w:t xml:space="preserve">    </w:t>
      </w:r>
      <w:r>
        <w:rPr>
          <w:rStyle w:val="StringTok"/>
        </w:rPr>
        <w:t>"Mehrfamilienhaus groß"</w:t>
      </w:r>
      <w:r>
        <w:rPr>
          <w:rStyle w:val="NormalTok"/>
        </w:rPr>
        <w:t xml:space="preserve">: </w:t>
      </w:r>
      <w:r>
        <w:rPr>
          <w:rStyle w:val="StringTok"/>
        </w:rPr>
        <w:t>"Mehrfamilienhaus"</w:t>
      </w:r>
      <w:r>
        <w:rPr>
          <w:rStyle w:val="NormalTok"/>
        </w:rPr>
        <w:t>,</w:t>
      </w:r>
      <w:r>
        <w:br/>
      </w:r>
      <w:r>
        <w:rPr>
          <w:rStyle w:val="NormalTok"/>
        </w:rPr>
        <w:lastRenderedPageBreak/>
        <w:t>})</w:t>
      </w:r>
      <w:r>
        <w:br/>
      </w:r>
      <w:r>
        <w:rPr>
          <w:rStyle w:val="NormalTok"/>
        </w:rPr>
        <w:t>samples[</w:t>
      </w:r>
      <w:r>
        <w:rPr>
          <w:rStyle w:val="StringTok"/>
        </w:rPr>
        <w:t>"GFZ"</w:t>
      </w:r>
      <w:r>
        <w:rPr>
          <w:rStyle w:val="NormalTok"/>
        </w:rPr>
        <w:t xml:space="preserve">] </w:t>
      </w:r>
      <w:r>
        <w:rPr>
          <w:rStyle w:val="OperatorTok"/>
        </w:rPr>
        <w:t>=</w:t>
      </w:r>
      <w:r>
        <w:rPr>
          <w:rStyle w:val="NormalTok"/>
        </w:rPr>
        <w:t xml:space="preserve"> pd.to_numeric(samples[</w:t>
      </w:r>
      <w:r>
        <w:rPr>
          <w:rStyle w:val="StringTok"/>
        </w:rPr>
        <w:t>"GFZ"</w:t>
      </w:r>
      <w:r>
        <w:rPr>
          <w:rStyle w:val="NormalTok"/>
        </w:rPr>
        <w:t>], errors</w:t>
      </w:r>
      <w:r>
        <w:rPr>
          <w:rStyle w:val="OperatorTok"/>
        </w:rPr>
        <w:t>=</w:t>
      </w:r>
      <w:r>
        <w:rPr>
          <w:rStyle w:val="StringTok"/>
        </w:rPr>
        <w:t>"coerce"</w:t>
      </w:r>
      <w:r>
        <w:rPr>
          <w:rStyle w:val="NormalTok"/>
        </w:rPr>
        <w:t>)</w:t>
      </w:r>
      <w:r>
        <w:br/>
      </w:r>
      <w:r>
        <w:rPr>
          <w:rStyle w:val="NormalTok"/>
        </w:rPr>
        <w:t>samples[</w:t>
      </w:r>
      <w:r>
        <w:rPr>
          <w:rStyle w:val="StringTok"/>
        </w:rPr>
        <w:t>"BGF"</w:t>
      </w:r>
      <w:r>
        <w:rPr>
          <w:rStyle w:val="NormalTok"/>
        </w:rPr>
        <w:t xml:space="preserve">] </w:t>
      </w:r>
      <w:r>
        <w:rPr>
          <w:rStyle w:val="OperatorTok"/>
        </w:rPr>
        <w:t>=</w:t>
      </w:r>
      <w:r>
        <w:rPr>
          <w:rStyle w:val="NormalTok"/>
        </w:rPr>
        <w:t xml:space="preserve"> pd.to_numeric(samples[</w:t>
      </w:r>
      <w:r>
        <w:rPr>
          <w:rStyle w:val="StringTok"/>
        </w:rPr>
        <w:t>"BGF"</w:t>
      </w:r>
      <w:r>
        <w:rPr>
          <w:rStyle w:val="NormalTok"/>
        </w:rPr>
        <w:t>], errors</w:t>
      </w:r>
      <w:r>
        <w:rPr>
          <w:rStyle w:val="OperatorTok"/>
        </w:rPr>
        <w:t>=</w:t>
      </w:r>
      <w:r>
        <w:rPr>
          <w:rStyle w:val="StringTok"/>
        </w:rPr>
        <w:t>"coerce"</w:t>
      </w:r>
      <w:r>
        <w:rPr>
          <w:rStyle w:val="NormalTok"/>
        </w:rPr>
        <w:t>)</w:t>
      </w:r>
      <w:r>
        <w:br/>
      </w:r>
      <w:r>
        <w:br/>
      </w:r>
      <w:r>
        <w:rPr>
          <w:rStyle w:val="NormalTok"/>
        </w:rPr>
        <w:t xml:space="preserve">unknown_gk </w:t>
      </w:r>
      <w:r>
        <w:rPr>
          <w:rStyle w:val="OperatorTok"/>
        </w:rPr>
        <w:t>=</w:t>
      </w:r>
      <w:r>
        <w:rPr>
          <w:rStyle w:val="NormalTok"/>
        </w:rPr>
        <w:t xml:space="preserve"> </w:t>
      </w:r>
      <w:r>
        <w:rPr>
          <w:rStyle w:val="BuiltInTok"/>
        </w:rPr>
        <w:t>sorted</w:t>
      </w:r>
      <w:r>
        <w:rPr>
          <w:rStyle w:val="NormalTok"/>
        </w:rPr>
        <w:t>(</w:t>
      </w:r>
      <w:r>
        <w:rPr>
          <w:rStyle w:val="BuiltInTok"/>
        </w:rPr>
        <w:t>set</w:t>
      </w:r>
      <w:r>
        <w:rPr>
          <w:rStyle w:val="NormalTok"/>
        </w:rPr>
        <w:t>(samples[</w:t>
      </w:r>
      <w:r>
        <w:rPr>
          <w:rStyle w:val="StringTok"/>
        </w:rPr>
        <w:t>"GK"</w:t>
      </w:r>
      <w:r>
        <w:rPr>
          <w:rStyle w:val="NormalTok"/>
        </w:rPr>
        <w:t xml:space="preserve">]) </w:t>
      </w:r>
      <w:r>
        <w:rPr>
          <w:rStyle w:val="OperatorTok"/>
        </w:rPr>
        <w:t>-</w:t>
      </w:r>
      <w:r>
        <w:rPr>
          <w:rStyle w:val="NormalTok"/>
        </w:rPr>
        <w:t xml:space="preserve"> </w:t>
      </w:r>
      <w:r>
        <w:rPr>
          <w:rStyle w:val="BuiltInTok"/>
        </w:rPr>
        <w:t>set</w:t>
      </w:r>
      <w:r>
        <w:rPr>
          <w:rStyle w:val="NormalTok"/>
        </w:rPr>
        <w:t>(STOREYS))</w:t>
      </w:r>
      <w:r>
        <w:br/>
      </w:r>
      <w:r>
        <w:rPr>
          <w:rStyle w:val="ControlFlowTok"/>
        </w:rPr>
        <w:t>if</w:t>
      </w:r>
      <w:r>
        <w:rPr>
          <w:rStyle w:val="NormalTok"/>
        </w:rPr>
        <w:t xml:space="preserve"> unknown_gk:</w:t>
      </w:r>
      <w: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pecialStringTok"/>
        </w:rPr>
        <w:t xml:space="preserve">f"Unbekannte Geschossklassen in Gebäudedaten: </w:t>
      </w:r>
      <w:r>
        <w:rPr>
          <w:rStyle w:val="SpecialCharTok"/>
        </w:rPr>
        <w:t>{</w:t>
      </w:r>
      <w:r>
        <w:rPr>
          <w:rStyle w:val="NormalTok"/>
        </w:rPr>
        <w:t>unknown_gk</w:t>
      </w:r>
      <w:r>
        <w:rPr>
          <w:rStyle w:val="SpecialCharTok"/>
        </w:rPr>
        <w:t>}</w:t>
      </w:r>
      <w:r>
        <w:rPr>
          <w:rStyle w:val="SpecialStringTok"/>
        </w:rPr>
        <w:t>"</w:t>
      </w:r>
      <w:r>
        <w:rPr>
          <w:rStyle w:val="NormalTok"/>
        </w:rPr>
        <w:t>)</w:t>
      </w:r>
      <w:r>
        <w:br/>
      </w:r>
      <w:r>
        <w:br/>
      </w:r>
      <w:r>
        <w:rPr>
          <w:rStyle w:val="NormalTok"/>
        </w:rPr>
        <w:t xml:space="preserve">exclude_usage </w:t>
      </w:r>
      <w:r>
        <w:rPr>
          <w:rStyle w:val="OperatorTok"/>
        </w:rPr>
        <w:t>=</w:t>
      </w:r>
      <w:r>
        <w:rPr>
          <w:rStyle w:val="NormalTok"/>
        </w:rPr>
        <w:t xml:space="preserve"> </w:t>
      </w:r>
      <w:r>
        <w:rPr>
          <w:rStyle w:val="OperatorTok"/>
        </w:rPr>
        <w:t>~</w:t>
      </w:r>
      <w:r>
        <w:rPr>
          <w:rStyle w:val="NormalTok"/>
        </w:rPr>
        <w:t>samples[</w:t>
      </w:r>
      <w:r>
        <w:rPr>
          <w:rStyle w:val="StringTok"/>
        </w:rPr>
        <w:t>"GWR_Nutzung"</w:t>
      </w:r>
      <w:r>
        <w:rPr>
          <w:rStyle w:val="NormalTok"/>
        </w:rPr>
        <w:t>].isin(USES)</w:t>
      </w:r>
      <w:r>
        <w:br/>
      </w:r>
      <w:r>
        <w:rPr>
          <w:rStyle w:val="NormalTok"/>
        </w:rPr>
        <w:t xml:space="preserve">exclude_numeric </w:t>
      </w:r>
      <w:r>
        <w:rPr>
          <w:rStyle w:val="OperatorTok"/>
        </w:rPr>
        <w:t>=</w:t>
      </w:r>
      <w:r>
        <w:rPr>
          <w:rStyle w:val="NormalTok"/>
        </w:rPr>
        <w:t xml:space="preserve"> (</w:t>
      </w:r>
      <w:r>
        <w:rPr>
          <w:rStyle w:val="OperatorTok"/>
        </w:rPr>
        <w:t>~</w:t>
      </w:r>
      <w:r>
        <w:rPr>
          <w:rStyle w:val="NormalTok"/>
        </w:rPr>
        <w:t>np.isfinite(samples[</w:t>
      </w:r>
      <w:r>
        <w:rPr>
          <w:rStyle w:val="StringTok"/>
        </w:rPr>
        <w:t>"GFZ"</w:t>
      </w:r>
      <w:r>
        <w:rPr>
          <w:rStyle w:val="NormalTok"/>
        </w:rPr>
        <w:t xml:space="preserve">]) </w:t>
      </w:r>
      <w:r>
        <w:rPr>
          <w:rStyle w:val="OperatorTok"/>
        </w:rPr>
        <w:t>|</w:t>
      </w:r>
      <w:r>
        <w:rPr>
          <w:rStyle w:val="NormalTok"/>
        </w:rPr>
        <w:t xml:space="preserve"> </w:t>
      </w:r>
      <w:r>
        <w:rPr>
          <w:rStyle w:val="OperatorTok"/>
        </w:rPr>
        <w:t>~</w:t>
      </w:r>
      <w:r>
        <w:rPr>
          <w:rStyle w:val="NormalTok"/>
        </w:rPr>
        <w:t>np.isfinite(samples[</w:t>
      </w:r>
      <w:r>
        <w:rPr>
          <w:rStyle w:val="StringTok"/>
        </w:rPr>
        <w:t>"BGF"</w:t>
      </w:r>
      <w:r>
        <w:rPr>
          <w:rStyle w:val="NormalTok"/>
        </w:rPr>
        <w:t>])</w:t>
      </w:r>
      <w:r>
        <w:br/>
      </w:r>
      <w:r>
        <w:rPr>
          <w:rStyle w:val="NormalTok"/>
        </w:rPr>
        <w:t xml:space="preserve">                   </w:t>
      </w:r>
      <w:r>
        <w:rPr>
          <w:rStyle w:val="OperatorTok"/>
        </w:rPr>
        <w:t>|</w:t>
      </w:r>
      <w:r>
        <w:rPr>
          <w:rStyle w:val="NormalTok"/>
        </w:rPr>
        <w:t xml:space="preserve"> (samples[</w:t>
      </w:r>
      <w:r>
        <w:rPr>
          <w:rStyle w:val="StringTok"/>
        </w:rPr>
        <w:t>"GFZ"</w:t>
      </w:r>
      <w:r>
        <w:rPr>
          <w:rStyle w:val="NormalTok"/>
        </w:rPr>
        <w:t xml:space="preserve">] </w:t>
      </w:r>
      <w:r>
        <w:rPr>
          <w:rStyle w:val="OperatorTok"/>
        </w:rPr>
        <w:t>&lt;=</w:t>
      </w:r>
      <w:r>
        <w:rPr>
          <w:rStyle w:val="NormalTok"/>
        </w:rPr>
        <w:t xml:space="preserve"> </w:t>
      </w:r>
      <w:r>
        <w:rPr>
          <w:rStyle w:val="DecValTok"/>
        </w:rPr>
        <w:t>0</w:t>
      </w:r>
      <w:r>
        <w:rPr>
          <w:rStyle w:val="NormalTok"/>
        </w:rPr>
        <w:t xml:space="preserve">) </w:t>
      </w:r>
      <w:r>
        <w:rPr>
          <w:rStyle w:val="OperatorTok"/>
        </w:rPr>
        <w:t>|</w:t>
      </w:r>
      <w:r>
        <w:rPr>
          <w:rStyle w:val="NormalTok"/>
        </w:rPr>
        <w:t xml:space="preserve"> (samples[</w:t>
      </w:r>
      <w:r>
        <w:rPr>
          <w:rStyle w:val="StringTok"/>
        </w:rPr>
        <w:t>"BGF"</w:t>
      </w:r>
      <w:r>
        <w:rPr>
          <w:rStyle w:val="NormalTok"/>
        </w:rPr>
        <w:t xml:space="preserve">] </w:t>
      </w:r>
      <w:r>
        <w:rPr>
          <w:rStyle w:val="OperatorTok"/>
        </w:rPr>
        <w:t>&lt;=</w:t>
      </w:r>
      <w:r>
        <w:rPr>
          <w:rStyle w:val="NormalTok"/>
        </w:rPr>
        <w:t xml:space="preserve"> </w:t>
      </w:r>
      <w:r>
        <w:rPr>
          <w:rStyle w:val="DecValTok"/>
        </w:rPr>
        <w:t>0</w:t>
      </w:r>
      <w:r>
        <w:rPr>
          <w:rStyle w:val="NormalTok"/>
        </w:rPr>
        <w:t>))</w:t>
      </w:r>
      <w:r>
        <w:br/>
      </w:r>
      <w:r>
        <w:rPr>
          <w:rStyle w:val="NormalTok"/>
        </w:rPr>
        <w:t xml:space="preserve">exclude_max </w:t>
      </w:r>
      <w:r>
        <w:rPr>
          <w:rStyle w:val="OperatorTok"/>
        </w:rPr>
        <w:t>=</w:t>
      </w:r>
      <w:r>
        <w:rPr>
          <w:rStyle w:val="NormalTok"/>
        </w:rPr>
        <w:t xml:space="preserve"> samples[</w:t>
      </w:r>
      <w:r>
        <w:rPr>
          <w:rStyle w:val="StringTok"/>
        </w:rPr>
        <w:t>"GFZ"</w:t>
      </w:r>
      <w:r>
        <w:rPr>
          <w:rStyle w:val="NormalTok"/>
        </w:rPr>
        <w:t xml:space="preserve">] </w:t>
      </w:r>
      <w:r>
        <w:rPr>
          <w:rStyle w:val="OperatorTok"/>
        </w:rPr>
        <w:t>&gt;</w:t>
      </w:r>
      <w:r>
        <w:rPr>
          <w:rStyle w:val="NormalTok"/>
        </w:rPr>
        <w:t xml:space="preserve"> GFZ_MAX</w:t>
      </w:r>
      <w:r>
        <w:br/>
      </w:r>
      <w:r>
        <w:rPr>
          <w:rStyle w:val="NormalTok"/>
        </w:rPr>
        <w:t xml:space="preserve">exclude_region </w:t>
      </w:r>
      <w:r>
        <w:rPr>
          <w:rStyle w:val="OperatorTok"/>
        </w:rPr>
        <w:t>=</w:t>
      </w:r>
      <w:r>
        <w:rPr>
          <w:rStyle w:val="NormalTok"/>
        </w:rPr>
        <w:t xml:space="preserve"> </w:t>
      </w:r>
      <w:r>
        <w:rPr>
          <w:rStyle w:val="OperatorTok"/>
        </w:rPr>
        <w:t>~</w:t>
      </w:r>
      <w:r>
        <w:rPr>
          <w:rStyle w:val="NormalTok"/>
        </w:rPr>
        <w:t>samples[</w:t>
      </w:r>
      <w:r>
        <w:rPr>
          <w:rStyle w:val="StringTok"/>
        </w:rPr>
        <w:t>"Bundesland"</w:t>
      </w:r>
      <w:r>
        <w:rPr>
          <w:rStyle w:val="NormalTok"/>
        </w:rPr>
        <w:t>].isin([</w:t>
      </w:r>
      <w:r>
        <w:rPr>
          <w:rStyle w:val="StringTok"/>
        </w:rPr>
        <w:t>"Wien"</w:t>
      </w:r>
      <w:r>
        <w:rPr>
          <w:rStyle w:val="NormalTok"/>
        </w:rPr>
        <w:t xml:space="preserve">, </w:t>
      </w:r>
      <w:r>
        <w:rPr>
          <w:rStyle w:val="StringTok"/>
        </w:rPr>
        <w:t>"Salzburg"</w:t>
      </w:r>
      <w:r>
        <w:rPr>
          <w:rStyle w:val="NormalTok"/>
        </w:rPr>
        <w:t>])</w:t>
      </w:r>
      <w:r>
        <w:br/>
      </w:r>
      <w:r>
        <w:rPr>
          <w:rStyle w:val="NormalTok"/>
        </w:rPr>
        <w:t xml:space="preserve">exclude_any </w:t>
      </w:r>
      <w:r>
        <w:rPr>
          <w:rStyle w:val="OperatorTok"/>
        </w:rPr>
        <w:t>=</w:t>
      </w:r>
      <w:r>
        <w:rPr>
          <w:rStyle w:val="NormalTok"/>
        </w:rPr>
        <w:t xml:space="preserve"> exclude_usage </w:t>
      </w:r>
      <w:r>
        <w:rPr>
          <w:rStyle w:val="OperatorTok"/>
        </w:rPr>
        <w:t>|</w:t>
      </w:r>
      <w:r>
        <w:rPr>
          <w:rStyle w:val="NormalTok"/>
        </w:rPr>
        <w:t xml:space="preserve"> exclude_numeric </w:t>
      </w:r>
      <w:r>
        <w:rPr>
          <w:rStyle w:val="OperatorTok"/>
        </w:rPr>
        <w:t>|</w:t>
      </w:r>
      <w:r>
        <w:rPr>
          <w:rStyle w:val="NormalTok"/>
        </w:rPr>
        <w:t xml:space="preserve"> exclude_max </w:t>
      </w:r>
      <w:r>
        <w:rPr>
          <w:rStyle w:val="OperatorTok"/>
        </w:rPr>
        <w:t>|</w:t>
      </w:r>
      <w:r>
        <w:rPr>
          <w:rStyle w:val="NormalTok"/>
        </w:rPr>
        <w:t xml:space="preserve"> exclude_region</w:t>
      </w:r>
      <w:r>
        <w:br/>
      </w:r>
      <w:r>
        <w:br/>
      </w:r>
      <w:r>
        <w:rPr>
          <w:rStyle w:val="NormalTok"/>
        </w:rPr>
        <w:t xml:space="preserve">selection_report </w:t>
      </w:r>
      <w:r>
        <w:rPr>
          <w:rStyle w:val="OperatorTok"/>
        </w:rPr>
        <w:t>=</w:t>
      </w:r>
      <w:r>
        <w:rPr>
          <w:rStyle w:val="NormalTok"/>
        </w:rPr>
        <w:t xml:space="preserve"> pd.Series({</w:t>
      </w:r>
      <w:r>
        <w:br/>
      </w:r>
      <w:r>
        <w:rPr>
          <w:rStyle w:val="NormalTok"/>
        </w:rPr>
        <w:t xml:space="preserve">    </w:t>
      </w:r>
      <w:r>
        <w:rPr>
          <w:rStyle w:val="StringTok"/>
        </w:rPr>
        <w:t>"Originale Gebäudezeilen"</w:t>
      </w:r>
      <w:r>
        <w:rPr>
          <w:rStyle w:val="NormalTok"/>
        </w:rPr>
        <w:t xml:space="preserve">: </w:t>
      </w:r>
      <w:r>
        <w:rPr>
          <w:rStyle w:val="BuiltInTok"/>
        </w:rPr>
        <w:t>len</w:t>
      </w:r>
      <w:r>
        <w:rPr>
          <w:rStyle w:val="NormalTok"/>
        </w:rPr>
        <w:t>(samples),</w:t>
      </w:r>
      <w:r>
        <w:br/>
      </w:r>
      <w:r>
        <w:rPr>
          <w:rStyle w:val="NormalTok"/>
        </w:rPr>
        <w:t xml:space="preserve">    </w:t>
      </w:r>
      <w:r>
        <w:rPr>
          <w:rStyle w:val="StringTok"/>
        </w:rPr>
        <w:t>"Nicht abgedeckte Nutzungen"</w:t>
      </w:r>
      <w:r>
        <w:rPr>
          <w:rStyle w:val="NormalTok"/>
        </w:rPr>
        <w:t xml:space="preserve">: </w:t>
      </w:r>
      <w:r>
        <w:rPr>
          <w:rStyle w:val="BuiltInTok"/>
        </w:rPr>
        <w:t>int</w:t>
      </w:r>
      <w:r>
        <w:rPr>
          <w:rStyle w:val="NormalTok"/>
        </w:rPr>
        <w:t>(exclude_usage.</w:t>
      </w:r>
      <w:r>
        <w:rPr>
          <w:rStyle w:val="BuiltInTok"/>
        </w:rPr>
        <w:t>sum</w:t>
      </w:r>
      <w:r>
        <w:rPr>
          <w:rStyle w:val="NormalTok"/>
        </w:rPr>
        <w:t>()),</w:t>
      </w:r>
      <w:r>
        <w:br/>
      </w:r>
      <w:r>
        <w:rPr>
          <w:rStyle w:val="NormalTok"/>
        </w:rPr>
        <w:t xml:space="preserve">    </w:t>
      </w:r>
      <w:r>
        <w:rPr>
          <w:rStyle w:val="StringTok"/>
        </w:rPr>
        <w:t>"Ungültige GFZ/BGF"</w:t>
      </w:r>
      <w:r>
        <w:rPr>
          <w:rStyle w:val="NormalTok"/>
        </w:rPr>
        <w:t xml:space="preserve">: </w:t>
      </w:r>
      <w:r>
        <w:rPr>
          <w:rStyle w:val="BuiltInTok"/>
        </w:rPr>
        <w:t>int</w:t>
      </w:r>
      <w:r>
        <w:rPr>
          <w:rStyle w:val="NormalTok"/>
        </w:rPr>
        <w:t>(exclude_numeric.</w:t>
      </w:r>
      <w:r>
        <w:rPr>
          <w:rStyle w:val="BuiltInTok"/>
        </w:rPr>
        <w:t>sum</w:t>
      </w:r>
      <w:r>
        <w:rPr>
          <w:rStyle w:val="NormalTok"/>
        </w:rPr>
        <w:t>()),</w:t>
      </w:r>
      <w:r>
        <w:br/>
      </w:r>
      <w:r>
        <w:rPr>
          <w:rStyle w:val="NormalTok"/>
        </w:rPr>
        <w:t xml:space="preserve">    </w:t>
      </w:r>
      <w:r>
        <w:rPr>
          <w:rStyle w:val="StringTok"/>
        </w:rPr>
        <w:t>"GFZ über Modellgrenze"</w:t>
      </w:r>
      <w:r>
        <w:rPr>
          <w:rStyle w:val="NormalTok"/>
        </w:rPr>
        <w:t xml:space="preserve">: </w:t>
      </w:r>
      <w:r>
        <w:rPr>
          <w:rStyle w:val="BuiltInTok"/>
        </w:rPr>
        <w:t>int</w:t>
      </w:r>
      <w:r>
        <w:rPr>
          <w:rStyle w:val="NormalTok"/>
        </w:rPr>
        <w:t>(exclude_max.</w:t>
      </w:r>
      <w:r>
        <w:rPr>
          <w:rStyle w:val="BuiltInTok"/>
        </w:rPr>
        <w:t>sum</w:t>
      </w:r>
      <w:r>
        <w:rPr>
          <w:rStyle w:val="NormalTok"/>
        </w:rPr>
        <w:t>()),</w:t>
      </w:r>
      <w:r>
        <w:br/>
      </w:r>
      <w:r>
        <w:rPr>
          <w:rStyle w:val="NormalTok"/>
        </w:rPr>
        <w:t xml:space="preserve">    </w:t>
      </w:r>
      <w:r>
        <w:rPr>
          <w:rStyle w:val="StringTok"/>
        </w:rPr>
        <w:t>"Andere Referenzregionen"</w:t>
      </w:r>
      <w:r>
        <w:rPr>
          <w:rStyle w:val="NormalTok"/>
        </w:rPr>
        <w:t xml:space="preserve">: </w:t>
      </w:r>
      <w:r>
        <w:rPr>
          <w:rStyle w:val="BuiltInTok"/>
        </w:rPr>
        <w:t>int</w:t>
      </w:r>
      <w:r>
        <w:rPr>
          <w:rStyle w:val="NormalTok"/>
        </w:rPr>
        <w:t>(exclude_region.</w:t>
      </w:r>
      <w:r>
        <w:rPr>
          <w:rStyle w:val="BuiltInTok"/>
        </w:rPr>
        <w:t>sum</w:t>
      </w:r>
      <w:r>
        <w:rPr>
          <w:rStyle w:val="NormalTok"/>
        </w:rPr>
        <w:t>()),</w:t>
      </w:r>
      <w:r>
        <w:br/>
      </w:r>
      <w:r>
        <w:rPr>
          <w:rStyle w:val="NormalTok"/>
        </w:rPr>
        <w:t xml:space="preserve">    </w:t>
      </w:r>
      <w:r>
        <w:rPr>
          <w:rStyle w:val="StringTok"/>
        </w:rPr>
        <w:t>"Entfallene Zeilen (Vereinigung)"</w:t>
      </w:r>
      <w:r>
        <w:rPr>
          <w:rStyle w:val="NormalTok"/>
        </w:rPr>
        <w:t xml:space="preserve">: </w:t>
      </w:r>
      <w:r>
        <w:rPr>
          <w:rStyle w:val="BuiltInTok"/>
        </w:rPr>
        <w:t>int</w:t>
      </w:r>
      <w:r>
        <w:rPr>
          <w:rStyle w:val="NormalTok"/>
        </w:rPr>
        <w:t>(exclude_any.</w:t>
      </w:r>
      <w:r>
        <w:rPr>
          <w:rStyle w:val="BuiltInTok"/>
        </w:rPr>
        <w:t>sum</w:t>
      </w:r>
      <w:r>
        <w:rPr>
          <w:rStyle w:val="NormalTok"/>
        </w:rPr>
        <w:t>()),</w:t>
      </w:r>
      <w:r>
        <w:br/>
      </w:r>
      <w:r>
        <w:rPr>
          <w:rStyle w:val="NormalTok"/>
        </w:rPr>
        <w:t xml:space="preserve">    </w:t>
      </w:r>
      <w:r>
        <w:rPr>
          <w:rStyle w:val="StringTok"/>
        </w:rPr>
        <w:t>"Verwendete Referenzgebäude"</w:t>
      </w:r>
      <w:r>
        <w:rPr>
          <w:rStyle w:val="NormalTok"/>
        </w:rPr>
        <w:t xml:space="preserve">: </w:t>
      </w:r>
      <w:r>
        <w:rPr>
          <w:rStyle w:val="BuiltInTok"/>
        </w:rPr>
        <w:t>int</w:t>
      </w:r>
      <w:r>
        <w:rPr>
          <w:rStyle w:val="NormalTok"/>
        </w:rPr>
        <w:t>((</w:t>
      </w:r>
      <w:r>
        <w:rPr>
          <w:rStyle w:val="OperatorTok"/>
        </w:rPr>
        <w:t>~</w:t>
      </w:r>
      <w:r>
        <w:rPr>
          <w:rStyle w:val="NormalTok"/>
        </w:rPr>
        <w:t>exclude_any).</w:t>
      </w:r>
      <w:r>
        <w:rPr>
          <w:rStyle w:val="BuiltInTok"/>
        </w:rPr>
        <w:t>sum</w:t>
      </w:r>
      <w:r>
        <w:rPr>
          <w:rStyle w:val="NormalTok"/>
        </w:rPr>
        <w:t>()),</w:t>
      </w:r>
      <w:r>
        <w:br/>
      </w:r>
      <w:r>
        <w:rPr>
          <w:rStyle w:val="NormalTok"/>
        </w:rPr>
        <w:t>}, name</w:t>
      </w:r>
      <w:r>
        <w:rPr>
          <w:rStyle w:val="OperatorTok"/>
        </w:rPr>
        <w:t>=</w:t>
      </w:r>
      <w:r>
        <w:rPr>
          <w:rStyle w:val="StringTok"/>
        </w:rPr>
        <w:t>"Anzahl"</w:t>
      </w:r>
      <w:r>
        <w:rPr>
          <w:rStyle w:val="NormalTok"/>
        </w:rPr>
        <w:t>)</w:t>
      </w:r>
      <w:r>
        <w:br/>
      </w:r>
      <w:r>
        <w:rPr>
          <w:rStyle w:val="NormalTok"/>
        </w:rPr>
        <w:t>display(selection_report.to_frame())</w:t>
      </w:r>
      <w:r>
        <w:br/>
      </w:r>
      <w:r>
        <w:rPr>
          <w:rStyle w:val="NormalTok"/>
        </w:rPr>
        <w:t xml:space="preserve">samples </w:t>
      </w:r>
      <w:r>
        <w:rPr>
          <w:rStyle w:val="OperatorTok"/>
        </w:rPr>
        <w:t>=</w:t>
      </w:r>
      <w:r>
        <w:rPr>
          <w:rStyle w:val="NormalTok"/>
        </w:rPr>
        <w:t xml:space="preserve"> samples.loc[</w:t>
      </w:r>
      <w:r>
        <w:rPr>
          <w:rStyle w:val="OperatorTok"/>
        </w:rPr>
        <w:t>~</w:t>
      </w:r>
      <w:r>
        <w:rPr>
          <w:rStyle w:val="NormalTok"/>
        </w:rPr>
        <w:t>exclude_any].copy()</w:t>
      </w:r>
    </w:p>
    <w:tbl>
      <w:tblPr>
        <w:tblStyle w:val="Table"/>
        <w:tblW w:w="0" w:type="auto"/>
        <w:tblLook w:val="0020" w:firstRow="1" w:lastRow="0" w:firstColumn="0" w:lastColumn="0" w:noHBand="0" w:noVBand="0"/>
      </w:tblPr>
      <w:tblGrid>
        <w:gridCol w:w="3356"/>
        <w:gridCol w:w="986"/>
      </w:tblGrid>
      <w:tr w:rsidR="004E4CC2" w14:paraId="35758A49"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6633DC8E" w14:textId="77777777" w:rsidR="004E4CC2" w:rsidRDefault="004E4CC2">
            <w:pPr>
              <w:pStyle w:val="Compact"/>
            </w:pPr>
          </w:p>
        </w:tc>
        <w:tc>
          <w:tcPr>
            <w:tcW w:w="0" w:type="auto"/>
          </w:tcPr>
          <w:p w14:paraId="6EA11A29" w14:textId="77777777" w:rsidR="004E4CC2" w:rsidRDefault="00000000">
            <w:pPr>
              <w:pStyle w:val="Compact"/>
            </w:pPr>
            <w:r>
              <w:t>Anzahl</w:t>
            </w:r>
          </w:p>
        </w:tc>
      </w:tr>
      <w:tr w:rsidR="004E4CC2" w14:paraId="41262491" w14:textId="77777777">
        <w:tc>
          <w:tcPr>
            <w:tcW w:w="0" w:type="auto"/>
          </w:tcPr>
          <w:p w14:paraId="7946E1DE" w14:textId="77777777" w:rsidR="004E4CC2" w:rsidRDefault="00000000">
            <w:pPr>
              <w:pStyle w:val="Compact"/>
            </w:pPr>
            <w:r>
              <w:t>Originale Gebäudezeilen</w:t>
            </w:r>
          </w:p>
        </w:tc>
        <w:tc>
          <w:tcPr>
            <w:tcW w:w="0" w:type="auto"/>
          </w:tcPr>
          <w:p w14:paraId="2F53E933" w14:textId="77777777" w:rsidR="004E4CC2" w:rsidRDefault="00000000">
            <w:pPr>
              <w:pStyle w:val="Compact"/>
            </w:pPr>
            <w:r>
              <w:t>170163</w:t>
            </w:r>
          </w:p>
        </w:tc>
      </w:tr>
      <w:tr w:rsidR="004E4CC2" w14:paraId="2ACC5FC2" w14:textId="77777777">
        <w:tc>
          <w:tcPr>
            <w:tcW w:w="0" w:type="auto"/>
          </w:tcPr>
          <w:p w14:paraId="6F559CC0" w14:textId="77777777" w:rsidR="004E4CC2" w:rsidRDefault="00000000">
            <w:pPr>
              <w:pStyle w:val="Compact"/>
            </w:pPr>
            <w:r>
              <w:t>Nicht abgedeckte Nutzungen</w:t>
            </w:r>
          </w:p>
        </w:tc>
        <w:tc>
          <w:tcPr>
            <w:tcW w:w="0" w:type="auto"/>
          </w:tcPr>
          <w:p w14:paraId="426B55EE" w14:textId="77777777" w:rsidR="004E4CC2" w:rsidRDefault="00000000">
            <w:pPr>
              <w:pStyle w:val="Compact"/>
            </w:pPr>
            <w:r>
              <w:t>11811</w:t>
            </w:r>
          </w:p>
        </w:tc>
      </w:tr>
      <w:tr w:rsidR="004E4CC2" w14:paraId="01B72F2E" w14:textId="77777777">
        <w:tc>
          <w:tcPr>
            <w:tcW w:w="0" w:type="auto"/>
          </w:tcPr>
          <w:p w14:paraId="7D825636" w14:textId="77777777" w:rsidR="004E4CC2" w:rsidRDefault="00000000">
            <w:pPr>
              <w:pStyle w:val="Compact"/>
            </w:pPr>
            <w:r>
              <w:t>Ungültige GFZ/BGF</w:t>
            </w:r>
          </w:p>
        </w:tc>
        <w:tc>
          <w:tcPr>
            <w:tcW w:w="0" w:type="auto"/>
          </w:tcPr>
          <w:p w14:paraId="0C32536D" w14:textId="77777777" w:rsidR="004E4CC2" w:rsidRDefault="00000000">
            <w:pPr>
              <w:pStyle w:val="Compact"/>
            </w:pPr>
            <w:r>
              <w:t>0</w:t>
            </w:r>
          </w:p>
        </w:tc>
      </w:tr>
      <w:tr w:rsidR="004E4CC2" w14:paraId="5865588A" w14:textId="77777777">
        <w:tc>
          <w:tcPr>
            <w:tcW w:w="0" w:type="auto"/>
          </w:tcPr>
          <w:p w14:paraId="6B999C20" w14:textId="77777777" w:rsidR="004E4CC2" w:rsidRDefault="00000000">
            <w:pPr>
              <w:pStyle w:val="Compact"/>
            </w:pPr>
            <w:r>
              <w:t>GFZ über Modellgrenze</w:t>
            </w:r>
          </w:p>
        </w:tc>
        <w:tc>
          <w:tcPr>
            <w:tcW w:w="0" w:type="auto"/>
          </w:tcPr>
          <w:p w14:paraId="7F075C1A" w14:textId="77777777" w:rsidR="004E4CC2" w:rsidRDefault="00000000">
            <w:pPr>
              <w:pStyle w:val="Compact"/>
            </w:pPr>
            <w:r>
              <w:t>2</w:t>
            </w:r>
          </w:p>
        </w:tc>
      </w:tr>
      <w:tr w:rsidR="004E4CC2" w14:paraId="6976C063" w14:textId="77777777">
        <w:tc>
          <w:tcPr>
            <w:tcW w:w="0" w:type="auto"/>
          </w:tcPr>
          <w:p w14:paraId="43029327" w14:textId="77777777" w:rsidR="004E4CC2" w:rsidRDefault="00000000">
            <w:pPr>
              <w:pStyle w:val="Compact"/>
            </w:pPr>
            <w:r>
              <w:t>Andere Referenzregionen</w:t>
            </w:r>
          </w:p>
        </w:tc>
        <w:tc>
          <w:tcPr>
            <w:tcW w:w="0" w:type="auto"/>
          </w:tcPr>
          <w:p w14:paraId="54D42405" w14:textId="77777777" w:rsidR="004E4CC2" w:rsidRDefault="00000000">
            <w:pPr>
              <w:pStyle w:val="Compact"/>
            </w:pPr>
            <w:r>
              <w:t>0</w:t>
            </w:r>
          </w:p>
        </w:tc>
      </w:tr>
      <w:tr w:rsidR="004E4CC2" w14:paraId="57283292" w14:textId="77777777">
        <w:tc>
          <w:tcPr>
            <w:tcW w:w="0" w:type="auto"/>
          </w:tcPr>
          <w:p w14:paraId="0BBF7760" w14:textId="77777777" w:rsidR="004E4CC2" w:rsidRDefault="00000000">
            <w:pPr>
              <w:pStyle w:val="Compact"/>
            </w:pPr>
            <w:r>
              <w:t>Entfallene Zeilen (Vereinigung)</w:t>
            </w:r>
          </w:p>
        </w:tc>
        <w:tc>
          <w:tcPr>
            <w:tcW w:w="0" w:type="auto"/>
          </w:tcPr>
          <w:p w14:paraId="4B535672" w14:textId="77777777" w:rsidR="004E4CC2" w:rsidRDefault="00000000">
            <w:pPr>
              <w:pStyle w:val="Compact"/>
            </w:pPr>
            <w:r>
              <w:t>11813</w:t>
            </w:r>
          </w:p>
        </w:tc>
      </w:tr>
      <w:tr w:rsidR="004E4CC2" w14:paraId="300E2444" w14:textId="77777777">
        <w:tc>
          <w:tcPr>
            <w:tcW w:w="0" w:type="auto"/>
          </w:tcPr>
          <w:p w14:paraId="3C28FF1B" w14:textId="77777777" w:rsidR="004E4CC2" w:rsidRDefault="00000000">
            <w:pPr>
              <w:pStyle w:val="Compact"/>
            </w:pPr>
            <w:r>
              <w:t>Verwendete Referenzgebäude</w:t>
            </w:r>
          </w:p>
        </w:tc>
        <w:tc>
          <w:tcPr>
            <w:tcW w:w="0" w:type="auto"/>
          </w:tcPr>
          <w:p w14:paraId="0BCF7026" w14:textId="77777777" w:rsidR="004E4CC2" w:rsidRDefault="00000000">
            <w:pPr>
              <w:pStyle w:val="Compact"/>
            </w:pPr>
            <w:r>
              <w:t>158350</w:t>
            </w:r>
          </w:p>
        </w:tc>
      </w:tr>
    </w:tbl>
    <w:p w14:paraId="299222F7" w14:textId="77777777" w:rsidR="004E4CC2" w:rsidRDefault="00000000">
      <w:pPr>
        <w:pStyle w:val="berschrift3"/>
      </w:pPr>
      <w:bookmarkStart w:id="332" w:name="X0404eba28a28679dd385ba6150731f997d58c8d"/>
      <w:bookmarkStart w:id="333" w:name="_Toc243681348"/>
      <w:r>
        <w:t>C.2.1 Deskriptive Auswertung der Referenzstichproben</w:t>
      </w:r>
      <w:bookmarkEnd w:id="333"/>
    </w:p>
    <w:p w14:paraId="66542489" w14:textId="77777777" w:rsidR="004E4CC2" w:rsidRDefault="00000000">
      <w:pPr>
        <w:pStyle w:val="FirstParagraph"/>
      </w:pPr>
      <w:r>
        <w:t xml:space="preserve">Die nachfolgenden Tabellen berichten </w:t>
      </w:r>
      <w:r>
        <w:rPr>
          <w:b/>
          <w:bCs/>
        </w:rPr>
        <w:t>Gebäudezahlen, erfasste BGF und GFZ</w:t>
      </w:r>
      <w:r>
        <w:t xml:space="preserve"> der zwei Stichproben. Sie sind keine bundesweiten Gebäudeflächen. Die mittlere GFZ wird mit der BGF der Einzelgebäude gewichtet; dadurch entspricht sie dem Flächenbezug der späteren KDE. Die zusätzlich angegebenen Quartile sind ungewichtete Quantile der einzelnen Gebäude und dienen ausschließlich der Stichprobenbeschreibung.</w:t>
      </w:r>
    </w:p>
    <w:p w14:paraId="450A8E8F" w14:textId="77777777" w:rsidR="004E4CC2" w:rsidRDefault="00000000">
      <w:pPr>
        <w:pStyle w:val="SourceCode"/>
      </w:pPr>
      <w:r>
        <w:rPr>
          <w:rStyle w:val="CommentTok"/>
        </w:rPr>
        <w:t># Überblick nach Referenzregion und Nutzung</w:t>
      </w:r>
      <w:r>
        <w:br/>
      </w:r>
      <w:r>
        <w:rPr>
          <w:rStyle w:val="NormalTok"/>
        </w:rPr>
        <w:t xml:space="preserve">samples_desc </w:t>
      </w:r>
      <w:r>
        <w:rPr>
          <w:rStyle w:val="OperatorTok"/>
        </w:rPr>
        <w:t>=</w:t>
      </w:r>
      <w:r>
        <w:rPr>
          <w:rStyle w:val="NormalTok"/>
        </w:rPr>
        <w:t xml:space="preserve"> (samples.groupby([</w:t>
      </w:r>
      <w:r>
        <w:rPr>
          <w:rStyle w:val="StringTok"/>
        </w:rPr>
        <w:t>"Bundesland"</w:t>
      </w:r>
      <w:r>
        <w:rPr>
          <w:rStyle w:val="NormalTok"/>
        </w:rPr>
        <w:t xml:space="preserve">, </w:t>
      </w:r>
      <w:r>
        <w:rPr>
          <w:rStyle w:val="StringTok"/>
        </w:rPr>
        <w:t>"GWR_Nutzung"</w:t>
      </w:r>
      <w:r>
        <w:rPr>
          <w:rStyle w:val="NormalTok"/>
        </w:rPr>
        <w:t>], observed</w:t>
      </w:r>
      <w:r>
        <w:rPr>
          <w:rStyle w:val="OperatorTok"/>
        </w:rPr>
        <w:t>=</w:t>
      </w:r>
      <w:r>
        <w:rPr>
          <w:rStyle w:val="VariableTok"/>
        </w:rPr>
        <w:t>True</w:t>
      </w:r>
      <w:r>
        <w:rPr>
          <w:rStyle w:val="NormalTok"/>
        </w:rPr>
        <w:t>)</w:t>
      </w:r>
      <w:r>
        <w:br/>
      </w:r>
      <w:r>
        <w:rPr>
          <w:rStyle w:val="NormalTok"/>
        </w:rPr>
        <w:t xml:space="preserve">    .agg(Gebaeude</w:t>
      </w:r>
      <w:r>
        <w:rPr>
          <w:rStyle w:val="OperatorTok"/>
        </w:rPr>
        <w:t>=</w:t>
      </w:r>
      <w:r>
        <w:rPr>
          <w:rStyle w:val="NormalTok"/>
        </w:rPr>
        <w:t>(</w:t>
      </w:r>
      <w:r>
        <w:rPr>
          <w:rStyle w:val="StringTok"/>
        </w:rPr>
        <w:t>"GFZ"</w:t>
      </w:r>
      <w:r>
        <w:rPr>
          <w:rStyle w:val="NormalTok"/>
        </w:rPr>
        <w:t xml:space="preserve">, </w:t>
      </w:r>
      <w:r>
        <w:rPr>
          <w:rStyle w:val="StringTok"/>
        </w:rPr>
        <w:t>"size"</w:t>
      </w:r>
      <w:r>
        <w:rPr>
          <w:rStyle w:val="NormalTok"/>
        </w:rPr>
        <w:t>), BGF_m2</w:t>
      </w:r>
      <w:r>
        <w:rPr>
          <w:rStyle w:val="OperatorTok"/>
        </w:rPr>
        <w:t>=</w:t>
      </w:r>
      <w:r>
        <w:rPr>
          <w:rStyle w:val="NormalTok"/>
        </w:rPr>
        <w:t>(</w:t>
      </w:r>
      <w:r>
        <w:rPr>
          <w:rStyle w:val="StringTok"/>
        </w:rPr>
        <w:t>"BGF"</w:t>
      </w:r>
      <w:r>
        <w:rPr>
          <w:rStyle w:val="NormalTok"/>
        </w:rPr>
        <w:t xml:space="preserve">, </w:t>
      </w:r>
      <w:r>
        <w:rPr>
          <w:rStyle w:val="StringTok"/>
        </w:rPr>
        <w:t>"sum"</w:t>
      </w:r>
      <w:r>
        <w:rPr>
          <w:rStyle w:val="NormalTok"/>
        </w:rPr>
        <w:t>),</w:t>
      </w:r>
      <w:r>
        <w:br/>
      </w:r>
      <w:r>
        <w:rPr>
          <w:rStyle w:val="NormalTok"/>
        </w:rPr>
        <w:lastRenderedPageBreak/>
        <w:t xml:space="preserve">         GFZ_Median</w:t>
      </w:r>
      <w:r>
        <w:rPr>
          <w:rStyle w:val="OperatorTok"/>
        </w:rPr>
        <w:t>=</w:t>
      </w:r>
      <w:r>
        <w:rPr>
          <w:rStyle w:val="NormalTok"/>
        </w:rPr>
        <w:t>(</w:t>
      </w:r>
      <w:r>
        <w:rPr>
          <w:rStyle w:val="StringTok"/>
        </w:rPr>
        <w:t>"GFZ"</w:t>
      </w:r>
      <w:r>
        <w:rPr>
          <w:rStyle w:val="NormalTok"/>
        </w:rPr>
        <w:t xml:space="preserve">, </w:t>
      </w:r>
      <w:r>
        <w:rPr>
          <w:rStyle w:val="StringTok"/>
        </w:rPr>
        <w:t>"median"</w:t>
      </w:r>
      <w:r>
        <w:rPr>
          <w:rStyle w:val="NormalTok"/>
        </w:rPr>
        <w:t>), GFZ_P25</w:t>
      </w:r>
      <w:r>
        <w:rPr>
          <w:rStyle w:val="OperatorTok"/>
        </w:rPr>
        <w:t>=</w:t>
      </w:r>
      <w:r>
        <w:rPr>
          <w:rStyle w:val="NormalTok"/>
        </w:rPr>
        <w:t>(</w:t>
      </w:r>
      <w:r>
        <w:rPr>
          <w:rStyle w:val="StringTok"/>
        </w:rPr>
        <w:t>"GFZ"</w:t>
      </w:r>
      <w:r>
        <w:rPr>
          <w:rStyle w:val="NormalTok"/>
        </w:rPr>
        <w:t xml:space="preserve">, </w:t>
      </w:r>
      <w:r>
        <w:rPr>
          <w:rStyle w:val="KeywordTok"/>
        </w:rPr>
        <w:t>lambda</w:t>
      </w:r>
      <w:r>
        <w:rPr>
          <w:rStyle w:val="NormalTok"/>
        </w:rPr>
        <w:t xml:space="preserve"> x: x.quantile(</w:t>
      </w:r>
      <w:r>
        <w:rPr>
          <w:rStyle w:val="FloatTok"/>
        </w:rPr>
        <w:t>.25</w:t>
      </w:r>
      <w:r>
        <w:rPr>
          <w:rStyle w:val="NormalTok"/>
        </w:rPr>
        <w:t>)),</w:t>
      </w:r>
      <w:r>
        <w:br/>
      </w:r>
      <w:r>
        <w:rPr>
          <w:rStyle w:val="NormalTok"/>
        </w:rPr>
        <w:t xml:space="preserve">         GFZ_P75</w:t>
      </w:r>
      <w:r>
        <w:rPr>
          <w:rStyle w:val="OperatorTok"/>
        </w:rPr>
        <w:t>=</w:t>
      </w:r>
      <w:r>
        <w:rPr>
          <w:rStyle w:val="NormalTok"/>
        </w:rPr>
        <w:t>(</w:t>
      </w:r>
      <w:r>
        <w:rPr>
          <w:rStyle w:val="StringTok"/>
        </w:rPr>
        <w:t>"GFZ"</w:t>
      </w:r>
      <w:r>
        <w:rPr>
          <w:rStyle w:val="NormalTok"/>
        </w:rPr>
        <w:t xml:space="preserve">, </w:t>
      </w:r>
      <w:r>
        <w:rPr>
          <w:rStyle w:val="KeywordTok"/>
        </w:rPr>
        <w:t>lambda</w:t>
      </w:r>
      <w:r>
        <w:rPr>
          <w:rStyle w:val="NormalTok"/>
        </w:rPr>
        <w:t xml:space="preserve"> x: x.quantile(</w:t>
      </w:r>
      <w:r>
        <w:rPr>
          <w:rStyle w:val="FloatTok"/>
        </w:rPr>
        <w:t>.75</w:t>
      </w:r>
      <w:r>
        <w:rPr>
          <w:rStyle w:val="NormalTok"/>
        </w:rPr>
        <w:t>))).reset_index())</w:t>
      </w:r>
      <w:r>
        <w:br/>
      </w:r>
      <w:r>
        <w:rPr>
          <w:rStyle w:val="NormalTok"/>
        </w:rPr>
        <w:t xml:space="preserve">weighted_gfz </w:t>
      </w:r>
      <w:r>
        <w:rPr>
          <w:rStyle w:val="OperatorTok"/>
        </w:rPr>
        <w:t>=</w:t>
      </w:r>
      <w:r>
        <w:rPr>
          <w:rStyle w:val="NormalTok"/>
        </w:rPr>
        <w:t xml:space="preserve"> (samples.assign(GFZ_x_BGF</w:t>
      </w:r>
      <w:r>
        <w:rPr>
          <w:rStyle w:val="OperatorTok"/>
        </w:rPr>
        <w:t>=</w:t>
      </w:r>
      <w:r>
        <w:rPr>
          <w:rStyle w:val="NormalTok"/>
        </w:rPr>
        <w:t xml:space="preserve">samples.GFZ </w:t>
      </w:r>
      <w:r>
        <w:rPr>
          <w:rStyle w:val="OperatorTok"/>
        </w:rPr>
        <w:t>*</w:t>
      </w:r>
      <w:r>
        <w:rPr>
          <w:rStyle w:val="NormalTok"/>
        </w:rPr>
        <w:t xml:space="preserve"> samples.BGF)</w:t>
      </w:r>
      <w:r>
        <w:br/>
      </w:r>
      <w:r>
        <w:rPr>
          <w:rStyle w:val="NormalTok"/>
        </w:rPr>
        <w:t xml:space="preserve">    .groupby([</w:t>
      </w:r>
      <w:r>
        <w:rPr>
          <w:rStyle w:val="StringTok"/>
        </w:rPr>
        <w:t>"Bundesland"</w:t>
      </w:r>
      <w:r>
        <w:rPr>
          <w:rStyle w:val="NormalTok"/>
        </w:rPr>
        <w:t xml:space="preserve">, </w:t>
      </w:r>
      <w:r>
        <w:rPr>
          <w:rStyle w:val="StringTok"/>
        </w:rPr>
        <w:t>"GWR_Nutzung"</w:t>
      </w:r>
      <w:r>
        <w:rPr>
          <w:rStyle w:val="NormalTok"/>
        </w:rPr>
        <w:t>])[[</w:t>
      </w:r>
      <w:r>
        <w:rPr>
          <w:rStyle w:val="StringTok"/>
        </w:rPr>
        <w:t>"GFZ_x_BGF"</w:t>
      </w:r>
      <w:r>
        <w:rPr>
          <w:rStyle w:val="NormalTok"/>
        </w:rPr>
        <w:t xml:space="preserve">, </w:t>
      </w:r>
      <w:r>
        <w:rPr>
          <w:rStyle w:val="StringTok"/>
        </w:rPr>
        <w:t>"BGF"</w:t>
      </w:r>
      <w:r>
        <w:rPr>
          <w:rStyle w:val="NormalTok"/>
        </w:rPr>
        <w:t>]].</w:t>
      </w:r>
      <w:r>
        <w:rPr>
          <w:rStyle w:val="BuiltInTok"/>
        </w:rPr>
        <w:t>sum</w:t>
      </w:r>
      <w:r>
        <w:rPr>
          <w:rStyle w:val="NormalTok"/>
        </w:rPr>
        <w:t>())</w:t>
      </w:r>
      <w:r>
        <w:br/>
      </w:r>
      <w:r>
        <w:rPr>
          <w:rStyle w:val="NormalTok"/>
        </w:rPr>
        <w:t xml:space="preserve">weighted_gfz </w:t>
      </w:r>
      <w:r>
        <w:rPr>
          <w:rStyle w:val="OperatorTok"/>
        </w:rPr>
        <w:t>=</w:t>
      </w:r>
      <w:r>
        <w:rPr>
          <w:rStyle w:val="NormalTok"/>
        </w:rPr>
        <w:t xml:space="preserve"> (weighted_gfz.GFZ_x_BGF </w:t>
      </w:r>
      <w:r>
        <w:rPr>
          <w:rStyle w:val="OperatorTok"/>
        </w:rPr>
        <w:t>/</w:t>
      </w:r>
      <w:r>
        <w:rPr>
          <w:rStyle w:val="NormalTok"/>
        </w:rPr>
        <w:t xml:space="preserve"> weighted_gfz.BGF).rename(</w:t>
      </w:r>
      <w:r>
        <w:rPr>
          <w:rStyle w:val="StringTok"/>
        </w:rPr>
        <w:t>"GFZ_flächengewichtet"</w:t>
      </w:r>
      <w:r>
        <w:rPr>
          <w:rStyle w:val="NormalTok"/>
        </w:rPr>
        <w:t>)</w:t>
      </w:r>
      <w:r>
        <w:br/>
      </w:r>
      <w:r>
        <w:rPr>
          <w:rStyle w:val="NormalTok"/>
        </w:rPr>
        <w:t xml:space="preserve">samples_desc </w:t>
      </w:r>
      <w:r>
        <w:rPr>
          <w:rStyle w:val="OperatorTok"/>
        </w:rPr>
        <w:t>=</w:t>
      </w:r>
      <w:r>
        <w:rPr>
          <w:rStyle w:val="NormalTok"/>
        </w:rPr>
        <w:t xml:space="preserve"> samples_desc.merge(weighted_gfz.reset_index(), on</w:t>
      </w:r>
      <w:r>
        <w:rPr>
          <w:rStyle w:val="OperatorTok"/>
        </w:rPr>
        <w:t>=</w:t>
      </w:r>
      <w:r>
        <w:rPr>
          <w:rStyle w:val="NormalTok"/>
        </w:rPr>
        <w:t>[</w:t>
      </w:r>
      <w:r>
        <w:rPr>
          <w:rStyle w:val="StringTok"/>
        </w:rPr>
        <w:t>"Bundesland"</w:t>
      </w:r>
      <w:r>
        <w:rPr>
          <w:rStyle w:val="NormalTok"/>
        </w:rPr>
        <w:t xml:space="preserve">, </w:t>
      </w:r>
      <w:r>
        <w:rPr>
          <w:rStyle w:val="StringTok"/>
        </w:rPr>
        <w:t>"GWR_Nutzung"</w:t>
      </w:r>
      <w:r>
        <w:rPr>
          <w:rStyle w:val="NormalTok"/>
        </w:rPr>
        <w:t>])</w:t>
      </w:r>
      <w:r>
        <w:br/>
      </w:r>
      <w:r>
        <w:rPr>
          <w:rStyle w:val="NormalTok"/>
        </w:rPr>
        <w:t>samples_desc[</w:t>
      </w:r>
      <w:r>
        <w:rPr>
          <w:rStyle w:val="StringTok"/>
        </w:rPr>
        <w:t>"BGF_Mio_m2"</w:t>
      </w:r>
      <w:r>
        <w:rPr>
          <w:rStyle w:val="NormalTok"/>
        </w:rPr>
        <w:t xml:space="preserve">] </w:t>
      </w:r>
      <w:r>
        <w:rPr>
          <w:rStyle w:val="OperatorTok"/>
        </w:rPr>
        <w:t>=</w:t>
      </w:r>
      <w:r>
        <w:rPr>
          <w:rStyle w:val="NormalTok"/>
        </w:rPr>
        <w:t xml:space="preserve"> samples_desc[</w:t>
      </w:r>
      <w:r>
        <w:rPr>
          <w:rStyle w:val="StringTok"/>
        </w:rPr>
        <w:t>"BGF_m2"</w:t>
      </w:r>
      <w:r>
        <w:rPr>
          <w:rStyle w:val="NormalTok"/>
        </w:rPr>
        <w:t xml:space="preserve">] </w:t>
      </w:r>
      <w:r>
        <w:rPr>
          <w:rStyle w:val="OperatorTok"/>
        </w:rPr>
        <w:t>/</w:t>
      </w:r>
      <w:r>
        <w:rPr>
          <w:rStyle w:val="NormalTok"/>
        </w:rPr>
        <w:t xml:space="preserve"> </w:t>
      </w:r>
      <w:r>
        <w:rPr>
          <w:rStyle w:val="FloatTok"/>
        </w:rPr>
        <w:t>1e6</w:t>
      </w:r>
      <w:r>
        <w:br/>
      </w:r>
      <w:r>
        <w:rPr>
          <w:rStyle w:val="NormalTok"/>
        </w:rPr>
        <w:t>display(samples_desc[[</w:t>
      </w:r>
      <w:r>
        <w:rPr>
          <w:rStyle w:val="StringTok"/>
        </w:rPr>
        <w:t>"Bundesland"</w:t>
      </w:r>
      <w:r>
        <w:rPr>
          <w:rStyle w:val="NormalTok"/>
        </w:rPr>
        <w:t xml:space="preserve">, </w:t>
      </w:r>
      <w:r>
        <w:rPr>
          <w:rStyle w:val="StringTok"/>
        </w:rPr>
        <w:t>"GWR_Nutzung"</w:t>
      </w:r>
      <w:r>
        <w:rPr>
          <w:rStyle w:val="NormalTok"/>
        </w:rPr>
        <w:t xml:space="preserve">, </w:t>
      </w:r>
      <w:r>
        <w:rPr>
          <w:rStyle w:val="StringTok"/>
        </w:rPr>
        <w:t>"Gebaeude"</w:t>
      </w:r>
      <w:r>
        <w:rPr>
          <w:rStyle w:val="NormalTok"/>
        </w:rPr>
        <w:t xml:space="preserve">, </w:t>
      </w:r>
      <w:r>
        <w:rPr>
          <w:rStyle w:val="StringTok"/>
        </w:rPr>
        <w:t>"BGF_Mio_m2"</w:t>
      </w:r>
      <w:r>
        <w:rPr>
          <w:rStyle w:val="NormalTok"/>
        </w:rPr>
        <w:t>,</w:t>
      </w:r>
      <w:r>
        <w:br/>
      </w:r>
      <w:r>
        <w:rPr>
          <w:rStyle w:val="NormalTok"/>
        </w:rPr>
        <w:t xml:space="preserve">                      </w:t>
      </w:r>
      <w:r>
        <w:rPr>
          <w:rStyle w:val="StringTok"/>
        </w:rPr>
        <w:t>"GFZ_Median"</w:t>
      </w:r>
      <w:r>
        <w:rPr>
          <w:rStyle w:val="NormalTok"/>
        </w:rPr>
        <w:t xml:space="preserve">, </w:t>
      </w:r>
      <w:r>
        <w:rPr>
          <w:rStyle w:val="StringTok"/>
        </w:rPr>
        <w:t>"GFZ_flächengewichtet"</w:t>
      </w:r>
      <w:r>
        <w:rPr>
          <w:rStyle w:val="NormalTok"/>
        </w:rPr>
        <w:t xml:space="preserve">, </w:t>
      </w:r>
      <w:r>
        <w:rPr>
          <w:rStyle w:val="StringTok"/>
        </w:rPr>
        <w:t>"GFZ_P25"</w:t>
      </w:r>
      <w:r>
        <w:rPr>
          <w:rStyle w:val="NormalTok"/>
        </w:rPr>
        <w:t xml:space="preserve">, </w:t>
      </w:r>
      <w:r>
        <w:rPr>
          <w:rStyle w:val="StringTok"/>
        </w:rPr>
        <w:t>"GFZ_P75"</w:t>
      </w:r>
      <w:r>
        <w:rPr>
          <w:rStyle w:val="NormalTok"/>
        </w:rPr>
        <w:t>]].</w:t>
      </w:r>
      <w:r>
        <w:rPr>
          <w:rStyle w:val="BuiltInTok"/>
        </w:rPr>
        <w:t>round</w:t>
      </w:r>
      <w:r>
        <w:rPr>
          <w:rStyle w:val="NormalTok"/>
        </w:rPr>
        <w:t>(</w:t>
      </w:r>
      <w:r>
        <w:rPr>
          <w:rStyle w:val="DecValTok"/>
        </w:rPr>
        <w:t>3</w:t>
      </w:r>
      <w:r>
        <w:rPr>
          <w:rStyle w:val="NormalTok"/>
        </w:rPr>
        <w:t>))</w:t>
      </w:r>
      <w:r>
        <w:br/>
      </w:r>
      <w:r>
        <w:br/>
      </w:r>
      <w:r>
        <w:rPr>
          <w:rStyle w:val="CommentTok"/>
        </w:rPr>
        <w:t># Fallzahlen je Referenz-/Geschossklasse (wichtig für Ersatzregel)</w:t>
      </w:r>
      <w:r>
        <w:br/>
      </w:r>
      <w:r>
        <w:rPr>
          <w:rStyle w:val="NormalTok"/>
        </w:rPr>
        <w:t xml:space="preserve">reference_coverage </w:t>
      </w:r>
      <w:r>
        <w:rPr>
          <w:rStyle w:val="OperatorTok"/>
        </w:rPr>
        <w:t>=</w:t>
      </w:r>
      <w:r>
        <w:rPr>
          <w:rStyle w:val="NormalTok"/>
        </w:rPr>
        <w:t xml:space="preserve"> samples.groupby([</w:t>
      </w:r>
      <w:r>
        <w:rPr>
          <w:rStyle w:val="StringTok"/>
        </w:rPr>
        <w:t>"Bundesland"</w:t>
      </w:r>
      <w:r>
        <w:rPr>
          <w:rStyle w:val="NormalTok"/>
        </w:rPr>
        <w:t xml:space="preserve">, </w:t>
      </w:r>
      <w:r>
        <w:rPr>
          <w:rStyle w:val="StringTok"/>
        </w:rPr>
        <w:t>"GK"</w:t>
      </w:r>
      <w:r>
        <w:rPr>
          <w:rStyle w:val="NormalTok"/>
        </w:rPr>
        <w:t xml:space="preserve">, </w:t>
      </w:r>
      <w:r>
        <w:rPr>
          <w:rStyle w:val="StringTok"/>
        </w:rPr>
        <w:t>"GWR_Nutzung"</w:t>
      </w:r>
      <w:r>
        <w:rPr>
          <w:rStyle w:val="NormalTok"/>
        </w:rPr>
        <w:t>]).size().rename(</w:t>
      </w:r>
      <w:r>
        <w:rPr>
          <w:rStyle w:val="StringTok"/>
        </w:rPr>
        <w:t>"n"</w:t>
      </w:r>
      <w:r>
        <w:rPr>
          <w:rStyle w:val="NormalTok"/>
        </w:rPr>
        <w:t>).reset_index()</w:t>
      </w:r>
      <w:r>
        <w:br/>
      </w:r>
      <w:r>
        <w:rPr>
          <w:rStyle w:val="NormalTok"/>
        </w:rPr>
        <w:t>display(reference_coverage.pivot_table(index</w:t>
      </w:r>
      <w:r>
        <w:rPr>
          <w:rStyle w:val="OperatorTok"/>
        </w:rPr>
        <w:t>=</w:t>
      </w:r>
      <w:r>
        <w:rPr>
          <w:rStyle w:val="NormalTok"/>
        </w:rPr>
        <w:t>[</w:t>
      </w:r>
      <w:r>
        <w:rPr>
          <w:rStyle w:val="StringTok"/>
        </w:rPr>
        <w:t>"Bundesland"</w:t>
      </w:r>
      <w:r>
        <w:rPr>
          <w:rStyle w:val="NormalTok"/>
        </w:rPr>
        <w:t xml:space="preserve">, </w:t>
      </w:r>
      <w:r>
        <w:rPr>
          <w:rStyle w:val="StringTok"/>
        </w:rPr>
        <w:t>"GK"</w:t>
      </w:r>
      <w:r>
        <w:rPr>
          <w:rStyle w:val="NormalTok"/>
        </w:rPr>
        <w:t>], columns</w:t>
      </w:r>
      <w:r>
        <w:rPr>
          <w:rStyle w:val="OperatorTok"/>
        </w:rPr>
        <w:t>=</w:t>
      </w:r>
      <w:r>
        <w:rPr>
          <w:rStyle w:val="StringTok"/>
        </w:rPr>
        <w:t>"GWR_Nutzung"</w:t>
      </w:r>
      <w:r>
        <w:rPr>
          <w:rStyle w:val="NormalTok"/>
        </w:rPr>
        <w:t>,</w:t>
      </w:r>
      <w:r>
        <w:br/>
      </w:r>
      <w:r>
        <w:rPr>
          <w:rStyle w:val="NormalTok"/>
        </w:rPr>
        <w:t xml:space="preserve">                                       values</w:t>
      </w:r>
      <w:r>
        <w:rPr>
          <w:rStyle w:val="OperatorTok"/>
        </w:rPr>
        <w:t>=</w:t>
      </w:r>
      <w:r>
        <w:rPr>
          <w:rStyle w:val="StringTok"/>
        </w:rPr>
        <w:t>"n"</w:t>
      </w:r>
      <w:r>
        <w:rPr>
          <w:rStyle w:val="NormalTok"/>
        </w:rPr>
        <w:t>, aggfunc</w:t>
      </w:r>
      <w:r>
        <w:rPr>
          <w:rStyle w:val="OperatorTok"/>
        </w:rPr>
        <w:t>=</w:t>
      </w:r>
      <w:r>
        <w:rPr>
          <w:rStyle w:val="StringTok"/>
        </w:rPr>
        <w:t>"sum"</w:t>
      </w:r>
      <w:r>
        <w:rPr>
          <w:rStyle w:val="NormalTok"/>
        </w:rPr>
        <w:t>, fill_value</w:t>
      </w:r>
      <w:r>
        <w:rPr>
          <w:rStyle w:val="OperatorTok"/>
        </w:rPr>
        <w:t>=</w:t>
      </w:r>
      <w:r>
        <w:rPr>
          <w:rStyle w:val="DecValTok"/>
        </w:rPr>
        <w:t>0</w:t>
      </w:r>
      <w:r>
        <w:rPr>
          <w:rStyle w:val="NormalTok"/>
        </w:rPr>
        <w:t>).astype(</w:t>
      </w:r>
      <w:r>
        <w:rPr>
          <w:rStyle w:val="BuiltInTok"/>
        </w:rPr>
        <w:t>int</w:t>
      </w:r>
      <w:r>
        <w:rPr>
          <w:rStyle w:val="NormalTok"/>
        </w:rPr>
        <w:t>))</w:t>
      </w:r>
    </w:p>
    <w:tbl>
      <w:tblPr>
        <w:tblStyle w:val="Table"/>
        <w:tblW w:w="0" w:type="auto"/>
        <w:tblLook w:val="0020" w:firstRow="1" w:lastRow="0" w:firstColumn="0" w:lastColumn="0" w:noHBand="0" w:noVBand="0"/>
      </w:tblPr>
      <w:tblGrid>
        <w:gridCol w:w="938"/>
        <w:gridCol w:w="1090"/>
        <w:gridCol w:w="91"/>
        <w:gridCol w:w="91"/>
        <w:gridCol w:w="91"/>
        <w:gridCol w:w="91"/>
        <w:gridCol w:w="1658"/>
        <w:gridCol w:w="1579"/>
        <w:gridCol w:w="969"/>
        <w:gridCol w:w="91"/>
        <w:gridCol w:w="91"/>
        <w:gridCol w:w="91"/>
        <w:gridCol w:w="91"/>
        <w:gridCol w:w="1306"/>
        <w:gridCol w:w="1354"/>
      </w:tblGrid>
      <w:tr w:rsidR="004E4CC2" w14:paraId="13A63356"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410BE847" w14:textId="77777777" w:rsidR="004E4CC2" w:rsidRDefault="004E4CC2">
            <w:pPr>
              <w:pStyle w:val="Compact"/>
            </w:pPr>
          </w:p>
        </w:tc>
        <w:tc>
          <w:tcPr>
            <w:tcW w:w="0" w:type="auto"/>
            <w:gridSpan w:val="2"/>
          </w:tcPr>
          <w:p w14:paraId="00DACDF4" w14:textId="77777777" w:rsidR="004E4CC2" w:rsidRDefault="00000000">
            <w:pPr>
              <w:pStyle w:val="Compact"/>
            </w:pPr>
            <w:r>
              <w:t>Bundesland</w:t>
            </w:r>
          </w:p>
        </w:tc>
        <w:tc>
          <w:tcPr>
            <w:tcW w:w="0" w:type="auto"/>
            <w:gridSpan w:val="2"/>
          </w:tcPr>
          <w:p w14:paraId="651BBB2B" w14:textId="77777777" w:rsidR="004E4CC2" w:rsidRDefault="00000000">
            <w:pPr>
              <w:pStyle w:val="Compact"/>
            </w:pPr>
            <w:r>
              <w:t>GWR_Nutzung</w:t>
            </w:r>
          </w:p>
        </w:tc>
        <w:tc>
          <w:tcPr>
            <w:tcW w:w="0" w:type="auto"/>
            <w:gridSpan w:val="2"/>
          </w:tcPr>
          <w:p w14:paraId="73E83CEE" w14:textId="77777777" w:rsidR="004E4CC2" w:rsidRDefault="00000000">
            <w:pPr>
              <w:pStyle w:val="Compact"/>
            </w:pPr>
            <w:r>
              <w:t>Gebaeude</w:t>
            </w:r>
          </w:p>
        </w:tc>
        <w:tc>
          <w:tcPr>
            <w:tcW w:w="0" w:type="auto"/>
          </w:tcPr>
          <w:p w14:paraId="2F7679BD" w14:textId="77777777" w:rsidR="004E4CC2" w:rsidRDefault="00000000">
            <w:pPr>
              <w:pStyle w:val="Compact"/>
            </w:pPr>
            <w:r>
              <w:t>BGF_Mio_m2</w:t>
            </w:r>
          </w:p>
        </w:tc>
        <w:tc>
          <w:tcPr>
            <w:tcW w:w="0" w:type="auto"/>
            <w:gridSpan w:val="2"/>
          </w:tcPr>
          <w:p w14:paraId="6F290420" w14:textId="77777777" w:rsidR="004E4CC2" w:rsidRDefault="00000000">
            <w:pPr>
              <w:pStyle w:val="Compact"/>
            </w:pPr>
            <w:r>
              <w:t>GFZ_Median</w:t>
            </w:r>
          </w:p>
        </w:tc>
        <w:tc>
          <w:tcPr>
            <w:tcW w:w="0" w:type="auto"/>
            <w:gridSpan w:val="2"/>
          </w:tcPr>
          <w:p w14:paraId="13902FDF" w14:textId="77777777" w:rsidR="004E4CC2" w:rsidRDefault="00000000">
            <w:pPr>
              <w:pStyle w:val="Compact"/>
            </w:pPr>
            <w:r>
              <w:t>GFZ_flächengewichtet</w:t>
            </w:r>
          </w:p>
        </w:tc>
        <w:tc>
          <w:tcPr>
            <w:tcW w:w="0" w:type="auto"/>
            <w:gridSpan w:val="2"/>
          </w:tcPr>
          <w:p w14:paraId="1D893563" w14:textId="77777777" w:rsidR="004E4CC2" w:rsidRDefault="00000000">
            <w:pPr>
              <w:pStyle w:val="Compact"/>
            </w:pPr>
            <w:r>
              <w:t>GFZ_P25</w:t>
            </w:r>
          </w:p>
        </w:tc>
        <w:tc>
          <w:tcPr>
            <w:tcW w:w="0" w:type="auto"/>
          </w:tcPr>
          <w:p w14:paraId="33D1D35C" w14:textId="77777777" w:rsidR="004E4CC2" w:rsidRDefault="00000000">
            <w:pPr>
              <w:pStyle w:val="Compact"/>
            </w:pPr>
            <w:r>
              <w:t>GFZ_P75</w:t>
            </w:r>
          </w:p>
        </w:tc>
      </w:tr>
      <w:tr w:rsidR="004E4CC2" w14:paraId="5BE955B1" w14:textId="77777777">
        <w:tc>
          <w:tcPr>
            <w:tcW w:w="0" w:type="auto"/>
          </w:tcPr>
          <w:p w14:paraId="6A0C2595" w14:textId="77777777" w:rsidR="004E4CC2" w:rsidRDefault="00000000">
            <w:pPr>
              <w:pStyle w:val="Compact"/>
            </w:pPr>
            <w:r>
              <w:t>0</w:t>
            </w:r>
          </w:p>
        </w:tc>
        <w:tc>
          <w:tcPr>
            <w:tcW w:w="0" w:type="auto"/>
            <w:gridSpan w:val="2"/>
          </w:tcPr>
          <w:p w14:paraId="6F0ABFEF" w14:textId="77777777" w:rsidR="004E4CC2" w:rsidRDefault="00000000">
            <w:pPr>
              <w:pStyle w:val="Compact"/>
            </w:pPr>
            <w:r>
              <w:t>Salzburg</w:t>
            </w:r>
          </w:p>
        </w:tc>
        <w:tc>
          <w:tcPr>
            <w:tcW w:w="0" w:type="auto"/>
            <w:gridSpan w:val="2"/>
          </w:tcPr>
          <w:p w14:paraId="0A7228DE" w14:textId="77777777" w:rsidR="004E4CC2" w:rsidRDefault="00000000">
            <w:pPr>
              <w:pStyle w:val="Compact"/>
            </w:pPr>
            <w:r>
              <w:t>Büron</w:t>
            </w:r>
            <w:r>
              <w:lastRenderedPageBreak/>
              <w:t>utzung</w:t>
            </w:r>
          </w:p>
        </w:tc>
        <w:tc>
          <w:tcPr>
            <w:tcW w:w="0" w:type="auto"/>
            <w:gridSpan w:val="2"/>
          </w:tcPr>
          <w:p w14:paraId="589675A2" w14:textId="77777777" w:rsidR="004E4CC2" w:rsidRDefault="00000000">
            <w:pPr>
              <w:pStyle w:val="Compact"/>
            </w:pPr>
            <w:r>
              <w:lastRenderedPageBreak/>
              <w:t>1268</w:t>
            </w:r>
          </w:p>
        </w:tc>
        <w:tc>
          <w:tcPr>
            <w:tcW w:w="0" w:type="auto"/>
          </w:tcPr>
          <w:p w14:paraId="1F2BAF68" w14:textId="77777777" w:rsidR="004E4CC2" w:rsidRDefault="00000000">
            <w:pPr>
              <w:pStyle w:val="Compact"/>
            </w:pPr>
            <w:r>
              <w:t>1.770</w:t>
            </w:r>
          </w:p>
        </w:tc>
        <w:tc>
          <w:tcPr>
            <w:tcW w:w="0" w:type="auto"/>
            <w:gridSpan w:val="2"/>
          </w:tcPr>
          <w:p w14:paraId="69F4DD4E" w14:textId="77777777" w:rsidR="004E4CC2" w:rsidRDefault="00000000">
            <w:pPr>
              <w:pStyle w:val="Compact"/>
            </w:pPr>
            <w:r>
              <w:t>0.959</w:t>
            </w:r>
          </w:p>
        </w:tc>
        <w:tc>
          <w:tcPr>
            <w:tcW w:w="0" w:type="auto"/>
            <w:gridSpan w:val="2"/>
          </w:tcPr>
          <w:p w14:paraId="71DADFD6" w14:textId="77777777" w:rsidR="004E4CC2" w:rsidRDefault="00000000">
            <w:pPr>
              <w:pStyle w:val="Compact"/>
            </w:pPr>
            <w:r>
              <w:t>1.817</w:t>
            </w:r>
          </w:p>
        </w:tc>
        <w:tc>
          <w:tcPr>
            <w:tcW w:w="0" w:type="auto"/>
            <w:gridSpan w:val="2"/>
          </w:tcPr>
          <w:p w14:paraId="74CA0129" w14:textId="77777777" w:rsidR="004E4CC2" w:rsidRDefault="00000000">
            <w:pPr>
              <w:pStyle w:val="Compact"/>
            </w:pPr>
            <w:r>
              <w:t>0.598</w:t>
            </w:r>
          </w:p>
        </w:tc>
        <w:tc>
          <w:tcPr>
            <w:tcW w:w="0" w:type="auto"/>
          </w:tcPr>
          <w:p w14:paraId="049B7BCF" w14:textId="77777777" w:rsidR="004E4CC2" w:rsidRDefault="00000000">
            <w:pPr>
              <w:pStyle w:val="Compact"/>
            </w:pPr>
            <w:r>
              <w:t>1.705</w:t>
            </w:r>
          </w:p>
        </w:tc>
      </w:tr>
      <w:tr w:rsidR="004E4CC2" w14:paraId="5EC2D939" w14:textId="77777777">
        <w:tc>
          <w:tcPr>
            <w:tcW w:w="0" w:type="auto"/>
          </w:tcPr>
          <w:p w14:paraId="2189488F" w14:textId="77777777" w:rsidR="004E4CC2" w:rsidRDefault="00000000">
            <w:pPr>
              <w:pStyle w:val="Compact"/>
            </w:pPr>
            <w:r>
              <w:t>1</w:t>
            </w:r>
          </w:p>
        </w:tc>
        <w:tc>
          <w:tcPr>
            <w:tcW w:w="0" w:type="auto"/>
            <w:gridSpan w:val="2"/>
          </w:tcPr>
          <w:p w14:paraId="2AB166F3" w14:textId="77777777" w:rsidR="004E4CC2" w:rsidRDefault="00000000">
            <w:pPr>
              <w:pStyle w:val="Compact"/>
            </w:pPr>
            <w:r>
              <w:t>Salzburg</w:t>
            </w:r>
          </w:p>
        </w:tc>
        <w:tc>
          <w:tcPr>
            <w:tcW w:w="0" w:type="auto"/>
            <w:gridSpan w:val="2"/>
          </w:tcPr>
          <w:p w14:paraId="72C73950" w14:textId="77777777" w:rsidR="004E4CC2" w:rsidRDefault="00000000">
            <w:pPr>
              <w:pStyle w:val="Compact"/>
            </w:pPr>
            <w:r>
              <w:t>Ein- und Zweifamil</w:t>
            </w:r>
            <w:r>
              <w:lastRenderedPageBreak/>
              <w:t>ienhäuser</w:t>
            </w:r>
          </w:p>
        </w:tc>
        <w:tc>
          <w:tcPr>
            <w:tcW w:w="0" w:type="auto"/>
            <w:gridSpan w:val="2"/>
          </w:tcPr>
          <w:p w14:paraId="5FEEA560" w14:textId="77777777" w:rsidR="004E4CC2" w:rsidRDefault="00000000">
            <w:pPr>
              <w:pStyle w:val="Compact"/>
            </w:pPr>
            <w:r>
              <w:lastRenderedPageBreak/>
              <w:t>38063</w:t>
            </w:r>
          </w:p>
        </w:tc>
        <w:tc>
          <w:tcPr>
            <w:tcW w:w="0" w:type="auto"/>
          </w:tcPr>
          <w:p w14:paraId="614B42B1" w14:textId="77777777" w:rsidR="004E4CC2" w:rsidRDefault="00000000">
            <w:pPr>
              <w:pStyle w:val="Compact"/>
            </w:pPr>
            <w:r>
              <w:t>11.231</w:t>
            </w:r>
          </w:p>
        </w:tc>
        <w:tc>
          <w:tcPr>
            <w:tcW w:w="0" w:type="auto"/>
            <w:gridSpan w:val="2"/>
          </w:tcPr>
          <w:p w14:paraId="1F4A72F2" w14:textId="77777777" w:rsidR="004E4CC2" w:rsidRDefault="00000000">
            <w:pPr>
              <w:pStyle w:val="Compact"/>
            </w:pPr>
            <w:r>
              <w:t>0.460</w:t>
            </w:r>
          </w:p>
        </w:tc>
        <w:tc>
          <w:tcPr>
            <w:tcW w:w="0" w:type="auto"/>
            <w:gridSpan w:val="2"/>
          </w:tcPr>
          <w:p w14:paraId="06285DF2" w14:textId="77777777" w:rsidR="004E4CC2" w:rsidRDefault="00000000">
            <w:pPr>
              <w:pStyle w:val="Compact"/>
            </w:pPr>
            <w:r>
              <w:t>0.724</w:t>
            </w:r>
          </w:p>
        </w:tc>
        <w:tc>
          <w:tcPr>
            <w:tcW w:w="0" w:type="auto"/>
            <w:gridSpan w:val="2"/>
          </w:tcPr>
          <w:p w14:paraId="55A8D0F3" w14:textId="77777777" w:rsidR="004E4CC2" w:rsidRDefault="00000000">
            <w:pPr>
              <w:pStyle w:val="Compact"/>
            </w:pPr>
            <w:r>
              <w:t>0.335</w:t>
            </w:r>
          </w:p>
        </w:tc>
        <w:tc>
          <w:tcPr>
            <w:tcW w:w="0" w:type="auto"/>
          </w:tcPr>
          <w:p w14:paraId="4864D16B" w14:textId="77777777" w:rsidR="004E4CC2" w:rsidRDefault="00000000">
            <w:pPr>
              <w:pStyle w:val="Compact"/>
            </w:pPr>
            <w:r>
              <w:t>0.640</w:t>
            </w:r>
          </w:p>
        </w:tc>
      </w:tr>
      <w:tr w:rsidR="004E4CC2" w14:paraId="06432603" w14:textId="77777777">
        <w:tc>
          <w:tcPr>
            <w:tcW w:w="0" w:type="auto"/>
          </w:tcPr>
          <w:p w14:paraId="74145A5D" w14:textId="77777777" w:rsidR="004E4CC2" w:rsidRDefault="00000000">
            <w:pPr>
              <w:pStyle w:val="Compact"/>
            </w:pPr>
            <w:r>
              <w:t>2</w:t>
            </w:r>
          </w:p>
        </w:tc>
        <w:tc>
          <w:tcPr>
            <w:tcW w:w="0" w:type="auto"/>
            <w:gridSpan w:val="2"/>
          </w:tcPr>
          <w:p w14:paraId="4BDB88E3" w14:textId="77777777" w:rsidR="004E4CC2" w:rsidRDefault="00000000">
            <w:pPr>
              <w:pStyle w:val="Compact"/>
            </w:pPr>
            <w:r>
              <w:t>Salzburg</w:t>
            </w:r>
          </w:p>
        </w:tc>
        <w:tc>
          <w:tcPr>
            <w:tcW w:w="0" w:type="auto"/>
            <w:gridSpan w:val="2"/>
          </w:tcPr>
          <w:p w14:paraId="401F43E8" w14:textId="77777777" w:rsidR="004E4CC2" w:rsidRDefault="00000000">
            <w:pPr>
              <w:pStyle w:val="Compact"/>
            </w:pPr>
            <w:r>
              <w:t>Groß- und Einze</w:t>
            </w:r>
            <w:r>
              <w:lastRenderedPageBreak/>
              <w:t>lhandelsgebäude</w:t>
            </w:r>
          </w:p>
        </w:tc>
        <w:tc>
          <w:tcPr>
            <w:tcW w:w="0" w:type="auto"/>
            <w:gridSpan w:val="2"/>
          </w:tcPr>
          <w:p w14:paraId="0A7CF426" w14:textId="77777777" w:rsidR="004E4CC2" w:rsidRDefault="00000000">
            <w:pPr>
              <w:pStyle w:val="Compact"/>
            </w:pPr>
            <w:r>
              <w:lastRenderedPageBreak/>
              <w:t>1670</w:t>
            </w:r>
          </w:p>
        </w:tc>
        <w:tc>
          <w:tcPr>
            <w:tcW w:w="0" w:type="auto"/>
          </w:tcPr>
          <w:p w14:paraId="76AF199D" w14:textId="77777777" w:rsidR="004E4CC2" w:rsidRDefault="00000000">
            <w:pPr>
              <w:pStyle w:val="Compact"/>
            </w:pPr>
            <w:r>
              <w:t>1.900</w:t>
            </w:r>
          </w:p>
        </w:tc>
        <w:tc>
          <w:tcPr>
            <w:tcW w:w="0" w:type="auto"/>
            <w:gridSpan w:val="2"/>
          </w:tcPr>
          <w:p w14:paraId="367684A3" w14:textId="77777777" w:rsidR="004E4CC2" w:rsidRDefault="00000000">
            <w:pPr>
              <w:pStyle w:val="Compact"/>
            </w:pPr>
            <w:r>
              <w:t>0.872</w:t>
            </w:r>
          </w:p>
        </w:tc>
        <w:tc>
          <w:tcPr>
            <w:tcW w:w="0" w:type="auto"/>
            <w:gridSpan w:val="2"/>
          </w:tcPr>
          <w:p w14:paraId="7BCB2A91" w14:textId="77777777" w:rsidR="004E4CC2" w:rsidRDefault="00000000">
            <w:pPr>
              <w:pStyle w:val="Compact"/>
            </w:pPr>
            <w:r>
              <w:t>1.476</w:t>
            </w:r>
          </w:p>
        </w:tc>
        <w:tc>
          <w:tcPr>
            <w:tcW w:w="0" w:type="auto"/>
            <w:gridSpan w:val="2"/>
          </w:tcPr>
          <w:p w14:paraId="3C2CF636" w14:textId="77777777" w:rsidR="004E4CC2" w:rsidRDefault="00000000">
            <w:pPr>
              <w:pStyle w:val="Compact"/>
            </w:pPr>
            <w:r>
              <w:t>0.505</w:t>
            </w:r>
          </w:p>
        </w:tc>
        <w:tc>
          <w:tcPr>
            <w:tcW w:w="0" w:type="auto"/>
          </w:tcPr>
          <w:p w14:paraId="23EE4112" w14:textId="77777777" w:rsidR="004E4CC2" w:rsidRDefault="00000000">
            <w:pPr>
              <w:pStyle w:val="Compact"/>
            </w:pPr>
            <w:r>
              <w:t>1.619</w:t>
            </w:r>
          </w:p>
        </w:tc>
      </w:tr>
      <w:tr w:rsidR="004E4CC2" w14:paraId="02618519" w14:textId="77777777">
        <w:tc>
          <w:tcPr>
            <w:tcW w:w="0" w:type="auto"/>
          </w:tcPr>
          <w:p w14:paraId="5915E5BB" w14:textId="77777777" w:rsidR="004E4CC2" w:rsidRDefault="00000000">
            <w:pPr>
              <w:pStyle w:val="Compact"/>
            </w:pPr>
            <w:r>
              <w:t>3</w:t>
            </w:r>
          </w:p>
        </w:tc>
        <w:tc>
          <w:tcPr>
            <w:tcW w:w="0" w:type="auto"/>
            <w:gridSpan w:val="2"/>
          </w:tcPr>
          <w:p w14:paraId="381B09F4" w14:textId="77777777" w:rsidR="004E4CC2" w:rsidRDefault="00000000">
            <w:pPr>
              <w:pStyle w:val="Compact"/>
            </w:pPr>
            <w:r>
              <w:t>Salzburg</w:t>
            </w:r>
          </w:p>
        </w:tc>
        <w:tc>
          <w:tcPr>
            <w:tcW w:w="0" w:type="auto"/>
            <w:gridSpan w:val="2"/>
          </w:tcPr>
          <w:p w14:paraId="0059B960" w14:textId="77777777" w:rsidR="004E4CC2" w:rsidRDefault="00000000">
            <w:pPr>
              <w:pStyle w:val="Compact"/>
            </w:pPr>
            <w:r>
              <w:t>Hotels o.</w:t>
            </w:r>
            <w:r>
              <w:lastRenderedPageBreak/>
              <w:t>Ä.</w:t>
            </w:r>
          </w:p>
        </w:tc>
        <w:tc>
          <w:tcPr>
            <w:tcW w:w="0" w:type="auto"/>
            <w:gridSpan w:val="2"/>
          </w:tcPr>
          <w:p w14:paraId="0D29424A" w14:textId="77777777" w:rsidR="004E4CC2" w:rsidRDefault="00000000">
            <w:pPr>
              <w:pStyle w:val="Compact"/>
            </w:pPr>
            <w:r>
              <w:lastRenderedPageBreak/>
              <w:t>2971</w:t>
            </w:r>
          </w:p>
        </w:tc>
        <w:tc>
          <w:tcPr>
            <w:tcW w:w="0" w:type="auto"/>
          </w:tcPr>
          <w:p w14:paraId="02E0BD05" w14:textId="77777777" w:rsidR="004E4CC2" w:rsidRDefault="00000000">
            <w:pPr>
              <w:pStyle w:val="Compact"/>
            </w:pPr>
            <w:r>
              <w:t>3.063</w:t>
            </w:r>
          </w:p>
        </w:tc>
        <w:tc>
          <w:tcPr>
            <w:tcW w:w="0" w:type="auto"/>
            <w:gridSpan w:val="2"/>
          </w:tcPr>
          <w:p w14:paraId="02C02A26" w14:textId="77777777" w:rsidR="004E4CC2" w:rsidRDefault="00000000">
            <w:pPr>
              <w:pStyle w:val="Compact"/>
            </w:pPr>
            <w:r>
              <w:t>0.808</w:t>
            </w:r>
          </w:p>
        </w:tc>
        <w:tc>
          <w:tcPr>
            <w:tcW w:w="0" w:type="auto"/>
            <w:gridSpan w:val="2"/>
          </w:tcPr>
          <w:p w14:paraId="211DA703" w14:textId="77777777" w:rsidR="004E4CC2" w:rsidRDefault="00000000">
            <w:pPr>
              <w:pStyle w:val="Compact"/>
            </w:pPr>
            <w:r>
              <w:t>1.729</w:t>
            </w:r>
          </w:p>
        </w:tc>
        <w:tc>
          <w:tcPr>
            <w:tcW w:w="0" w:type="auto"/>
            <w:gridSpan w:val="2"/>
          </w:tcPr>
          <w:p w14:paraId="099CF24D" w14:textId="77777777" w:rsidR="004E4CC2" w:rsidRDefault="00000000">
            <w:pPr>
              <w:pStyle w:val="Compact"/>
            </w:pPr>
            <w:r>
              <w:t>0.489</w:t>
            </w:r>
          </w:p>
        </w:tc>
        <w:tc>
          <w:tcPr>
            <w:tcW w:w="0" w:type="auto"/>
          </w:tcPr>
          <w:p w14:paraId="650816DA" w14:textId="77777777" w:rsidR="004E4CC2" w:rsidRDefault="00000000">
            <w:pPr>
              <w:pStyle w:val="Compact"/>
            </w:pPr>
            <w:r>
              <w:t>1.541</w:t>
            </w:r>
          </w:p>
        </w:tc>
      </w:tr>
      <w:tr w:rsidR="004E4CC2" w14:paraId="292EA9FC" w14:textId="77777777">
        <w:tc>
          <w:tcPr>
            <w:tcW w:w="0" w:type="auto"/>
          </w:tcPr>
          <w:p w14:paraId="723BCE6B" w14:textId="77777777" w:rsidR="004E4CC2" w:rsidRDefault="00000000">
            <w:pPr>
              <w:pStyle w:val="Compact"/>
            </w:pPr>
            <w:r>
              <w:t>4</w:t>
            </w:r>
          </w:p>
        </w:tc>
        <w:tc>
          <w:tcPr>
            <w:tcW w:w="0" w:type="auto"/>
            <w:gridSpan w:val="2"/>
          </w:tcPr>
          <w:p w14:paraId="7B6AE3DE" w14:textId="77777777" w:rsidR="004E4CC2" w:rsidRDefault="00000000">
            <w:pPr>
              <w:pStyle w:val="Compact"/>
            </w:pPr>
            <w:r>
              <w:t>Salzburg</w:t>
            </w:r>
          </w:p>
        </w:tc>
        <w:tc>
          <w:tcPr>
            <w:tcW w:w="0" w:type="auto"/>
            <w:gridSpan w:val="2"/>
          </w:tcPr>
          <w:p w14:paraId="4EB4BC4D" w14:textId="77777777" w:rsidR="004E4CC2" w:rsidRDefault="00000000">
            <w:pPr>
              <w:pStyle w:val="Compact"/>
            </w:pPr>
            <w:r>
              <w:t>Industrie und Lagerung</w:t>
            </w:r>
          </w:p>
        </w:tc>
        <w:tc>
          <w:tcPr>
            <w:tcW w:w="0" w:type="auto"/>
            <w:gridSpan w:val="2"/>
          </w:tcPr>
          <w:p w14:paraId="06A8AB2C" w14:textId="77777777" w:rsidR="004E4CC2" w:rsidRDefault="00000000">
            <w:pPr>
              <w:pStyle w:val="Compact"/>
            </w:pPr>
            <w:r>
              <w:t>2397</w:t>
            </w:r>
          </w:p>
        </w:tc>
        <w:tc>
          <w:tcPr>
            <w:tcW w:w="0" w:type="auto"/>
          </w:tcPr>
          <w:p w14:paraId="0FBB5841" w14:textId="77777777" w:rsidR="004E4CC2" w:rsidRDefault="00000000">
            <w:pPr>
              <w:pStyle w:val="Compact"/>
            </w:pPr>
            <w:r>
              <w:t>3.337</w:t>
            </w:r>
          </w:p>
        </w:tc>
        <w:tc>
          <w:tcPr>
            <w:tcW w:w="0" w:type="auto"/>
            <w:gridSpan w:val="2"/>
          </w:tcPr>
          <w:p w14:paraId="213581F8" w14:textId="77777777" w:rsidR="004E4CC2" w:rsidRDefault="00000000">
            <w:pPr>
              <w:pStyle w:val="Compact"/>
            </w:pPr>
            <w:r>
              <w:t>0.554</w:t>
            </w:r>
          </w:p>
        </w:tc>
        <w:tc>
          <w:tcPr>
            <w:tcW w:w="0" w:type="auto"/>
            <w:gridSpan w:val="2"/>
          </w:tcPr>
          <w:p w14:paraId="1CC7BE18" w14:textId="77777777" w:rsidR="004E4CC2" w:rsidRDefault="00000000">
            <w:pPr>
              <w:pStyle w:val="Compact"/>
            </w:pPr>
            <w:r>
              <w:t>1.162</w:t>
            </w:r>
          </w:p>
        </w:tc>
        <w:tc>
          <w:tcPr>
            <w:tcW w:w="0" w:type="auto"/>
            <w:gridSpan w:val="2"/>
          </w:tcPr>
          <w:p w14:paraId="35D45EA2" w14:textId="77777777" w:rsidR="004E4CC2" w:rsidRDefault="00000000">
            <w:pPr>
              <w:pStyle w:val="Compact"/>
            </w:pPr>
            <w:r>
              <w:t>0.341</w:t>
            </w:r>
          </w:p>
        </w:tc>
        <w:tc>
          <w:tcPr>
            <w:tcW w:w="0" w:type="auto"/>
          </w:tcPr>
          <w:p w14:paraId="2F3F445F" w14:textId="77777777" w:rsidR="004E4CC2" w:rsidRDefault="00000000">
            <w:pPr>
              <w:pStyle w:val="Compact"/>
            </w:pPr>
            <w:r>
              <w:t>0.879</w:t>
            </w:r>
          </w:p>
        </w:tc>
      </w:tr>
      <w:tr w:rsidR="004E4CC2" w14:paraId="5159D26D" w14:textId="77777777">
        <w:tc>
          <w:tcPr>
            <w:tcW w:w="0" w:type="auto"/>
          </w:tcPr>
          <w:p w14:paraId="7E3BE83C" w14:textId="77777777" w:rsidR="004E4CC2" w:rsidRDefault="00000000">
            <w:pPr>
              <w:pStyle w:val="Compact"/>
            </w:pPr>
            <w:r>
              <w:lastRenderedPageBreak/>
              <w:t>5</w:t>
            </w:r>
          </w:p>
        </w:tc>
        <w:tc>
          <w:tcPr>
            <w:tcW w:w="0" w:type="auto"/>
            <w:gridSpan w:val="2"/>
          </w:tcPr>
          <w:p w14:paraId="5B492EC5" w14:textId="77777777" w:rsidR="004E4CC2" w:rsidRDefault="00000000">
            <w:pPr>
              <w:pStyle w:val="Compact"/>
            </w:pPr>
            <w:r>
              <w:t>Salzburg</w:t>
            </w:r>
          </w:p>
        </w:tc>
        <w:tc>
          <w:tcPr>
            <w:tcW w:w="0" w:type="auto"/>
            <w:gridSpan w:val="2"/>
          </w:tcPr>
          <w:p w14:paraId="219427D7" w14:textId="77777777" w:rsidR="004E4CC2" w:rsidRDefault="00000000">
            <w:pPr>
              <w:pStyle w:val="Compact"/>
            </w:pPr>
            <w:r>
              <w:t>Kultur, Freizeit, Bildun</w:t>
            </w:r>
            <w:r>
              <w:lastRenderedPageBreak/>
              <w:t>g und Gesundheit</w:t>
            </w:r>
          </w:p>
        </w:tc>
        <w:tc>
          <w:tcPr>
            <w:tcW w:w="0" w:type="auto"/>
            <w:gridSpan w:val="2"/>
          </w:tcPr>
          <w:p w14:paraId="4BC928A3" w14:textId="77777777" w:rsidR="004E4CC2" w:rsidRDefault="00000000">
            <w:pPr>
              <w:pStyle w:val="Compact"/>
            </w:pPr>
            <w:r>
              <w:lastRenderedPageBreak/>
              <w:t>681</w:t>
            </w:r>
          </w:p>
        </w:tc>
        <w:tc>
          <w:tcPr>
            <w:tcW w:w="0" w:type="auto"/>
          </w:tcPr>
          <w:p w14:paraId="7F28E4A1" w14:textId="77777777" w:rsidR="004E4CC2" w:rsidRDefault="00000000">
            <w:pPr>
              <w:pStyle w:val="Compact"/>
            </w:pPr>
            <w:r>
              <w:t>1.231</w:t>
            </w:r>
          </w:p>
        </w:tc>
        <w:tc>
          <w:tcPr>
            <w:tcW w:w="0" w:type="auto"/>
            <w:gridSpan w:val="2"/>
          </w:tcPr>
          <w:p w14:paraId="5ED7F883" w14:textId="77777777" w:rsidR="004E4CC2" w:rsidRDefault="00000000">
            <w:pPr>
              <w:pStyle w:val="Compact"/>
            </w:pPr>
            <w:r>
              <w:t>0.752</w:t>
            </w:r>
          </w:p>
        </w:tc>
        <w:tc>
          <w:tcPr>
            <w:tcW w:w="0" w:type="auto"/>
            <w:gridSpan w:val="2"/>
          </w:tcPr>
          <w:p w14:paraId="1E659587" w14:textId="77777777" w:rsidR="004E4CC2" w:rsidRDefault="00000000">
            <w:pPr>
              <w:pStyle w:val="Compact"/>
            </w:pPr>
            <w:r>
              <w:t>1.871</w:t>
            </w:r>
          </w:p>
        </w:tc>
        <w:tc>
          <w:tcPr>
            <w:tcW w:w="0" w:type="auto"/>
            <w:gridSpan w:val="2"/>
          </w:tcPr>
          <w:p w14:paraId="3A263103" w14:textId="77777777" w:rsidR="004E4CC2" w:rsidRDefault="00000000">
            <w:pPr>
              <w:pStyle w:val="Compact"/>
            </w:pPr>
            <w:r>
              <w:t>0.394</w:t>
            </w:r>
          </w:p>
        </w:tc>
        <w:tc>
          <w:tcPr>
            <w:tcW w:w="0" w:type="auto"/>
          </w:tcPr>
          <w:p w14:paraId="6633192D" w14:textId="77777777" w:rsidR="004E4CC2" w:rsidRDefault="00000000">
            <w:pPr>
              <w:pStyle w:val="Compact"/>
            </w:pPr>
            <w:r>
              <w:t>1.388</w:t>
            </w:r>
          </w:p>
        </w:tc>
      </w:tr>
      <w:tr w:rsidR="004E4CC2" w14:paraId="2F1F096D" w14:textId="77777777">
        <w:tc>
          <w:tcPr>
            <w:tcW w:w="0" w:type="auto"/>
          </w:tcPr>
          <w:p w14:paraId="7DEA7BD5" w14:textId="77777777" w:rsidR="004E4CC2" w:rsidRDefault="00000000">
            <w:pPr>
              <w:pStyle w:val="Compact"/>
            </w:pPr>
            <w:r>
              <w:t>6</w:t>
            </w:r>
          </w:p>
        </w:tc>
        <w:tc>
          <w:tcPr>
            <w:tcW w:w="0" w:type="auto"/>
            <w:gridSpan w:val="2"/>
          </w:tcPr>
          <w:p w14:paraId="279D8B39" w14:textId="77777777" w:rsidR="004E4CC2" w:rsidRDefault="00000000">
            <w:pPr>
              <w:pStyle w:val="Compact"/>
            </w:pPr>
            <w:r>
              <w:t>Salzburg</w:t>
            </w:r>
          </w:p>
        </w:tc>
        <w:tc>
          <w:tcPr>
            <w:tcW w:w="0" w:type="auto"/>
            <w:gridSpan w:val="2"/>
          </w:tcPr>
          <w:p w14:paraId="61F2D276" w14:textId="77777777" w:rsidR="004E4CC2" w:rsidRDefault="00000000">
            <w:pPr>
              <w:pStyle w:val="Compact"/>
            </w:pPr>
            <w:r>
              <w:t>Mehrfami</w:t>
            </w:r>
            <w:r>
              <w:lastRenderedPageBreak/>
              <w:t>lienhaus</w:t>
            </w:r>
          </w:p>
        </w:tc>
        <w:tc>
          <w:tcPr>
            <w:tcW w:w="0" w:type="auto"/>
            <w:gridSpan w:val="2"/>
          </w:tcPr>
          <w:p w14:paraId="3B80E105" w14:textId="77777777" w:rsidR="004E4CC2" w:rsidRDefault="00000000">
            <w:pPr>
              <w:pStyle w:val="Compact"/>
            </w:pPr>
            <w:r>
              <w:lastRenderedPageBreak/>
              <w:t>23238</w:t>
            </w:r>
          </w:p>
        </w:tc>
        <w:tc>
          <w:tcPr>
            <w:tcW w:w="0" w:type="auto"/>
          </w:tcPr>
          <w:p w14:paraId="5A4542B9" w14:textId="77777777" w:rsidR="004E4CC2" w:rsidRDefault="00000000">
            <w:pPr>
              <w:pStyle w:val="Compact"/>
            </w:pPr>
            <w:r>
              <w:t>16.104</w:t>
            </w:r>
          </w:p>
        </w:tc>
        <w:tc>
          <w:tcPr>
            <w:tcW w:w="0" w:type="auto"/>
            <w:gridSpan w:val="2"/>
          </w:tcPr>
          <w:p w14:paraId="2E1D9F1B" w14:textId="77777777" w:rsidR="004E4CC2" w:rsidRDefault="00000000">
            <w:pPr>
              <w:pStyle w:val="Compact"/>
            </w:pPr>
            <w:r>
              <w:t>0.673</w:t>
            </w:r>
          </w:p>
        </w:tc>
        <w:tc>
          <w:tcPr>
            <w:tcW w:w="0" w:type="auto"/>
            <w:gridSpan w:val="2"/>
          </w:tcPr>
          <w:p w14:paraId="416D97DD" w14:textId="77777777" w:rsidR="004E4CC2" w:rsidRDefault="00000000">
            <w:pPr>
              <w:pStyle w:val="Compact"/>
            </w:pPr>
            <w:r>
              <w:t>1.362</w:t>
            </w:r>
          </w:p>
        </w:tc>
        <w:tc>
          <w:tcPr>
            <w:tcW w:w="0" w:type="auto"/>
            <w:gridSpan w:val="2"/>
          </w:tcPr>
          <w:p w14:paraId="2467D6F3" w14:textId="77777777" w:rsidR="004E4CC2" w:rsidRDefault="00000000">
            <w:pPr>
              <w:pStyle w:val="Compact"/>
            </w:pPr>
            <w:r>
              <w:t>0.470</w:t>
            </w:r>
          </w:p>
        </w:tc>
        <w:tc>
          <w:tcPr>
            <w:tcW w:w="0" w:type="auto"/>
          </w:tcPr>
          <w:p w14:paraId="3EADDDB4" w14:textId="77777777" w:rsidR="004E4CC2" w:rsidRDefault="00000000">
            <w:pPr>
              <w:pStyle w:val="Compact"/>
            </w:pPr>
            <w:r>
              <w:t>1.112</w:t>
            </w:r>
          </w:p>
        </w:tc>
      </w:tr>
      <w:tr w:rsidR="004E4CC2" w14:paraId="38E19B7F" w14:textId="77777777">
        <w:tc>
          <w:tcPr>
            <w:tcW w:w="0" w:type="auto"/>
          </w:tcPr>
          <w:p w14:paraId="54B95591" w14:textId="77777777" w:rsidR="004E4CC2" w:rsidRDefault="00000000">
            <w:pPr>
              <w:pStyle w:val="Compact"/>
            </w:pPr>
            <w:r>
              <w:t>7</w:t>
            </w:r>
          </w:p>
        </w:tc>
        <w:tc>
          <w:tcPr>
            <w:tcW w:w="0" w:type="auto"/>
            <w:gridSpan w:val="2"/>
          </w:tcPr>
          <w:p w14:paraId="651473A4" w14:textId="77777777" w:rsidR="004E4CC2" w:rsidRDefault="00000000">
            <w:pPr>
              <w:pStyle w:val="Compact"/>
            </w:pPr>
            <w:r>
              <w:t>Salzburg</w:t>
            </w:r>
          </w:p>
        </w:tc>
        <w:tc>
          <w:tcPr>
            <w:tcW w:w="0" w:type="auto"/>
            <w:gridSpan w:val="2"/>
          </w:tcPr>
          <w:p w14:paraId="5CA53DDB" w14:textId="77777777" w:rsidR="004E4CC2" w:rsidRDefault="00000000">
            <w:pPr>
              <w:pStyle w:val="Compact"/>
            </w:pPr>
            <w:r>
              <w:t>Verkehrs- und Na</w:t>
            </w:r>
            <w:r>
              <w:lastRenderedPageBreak/>
              <w:t>chrichtenwesen</w:t>
            </w:r>
          </w:p>
        </w:tc>
        <w:tc>
          <w:tcPr>
            <w:tcW w:w="0" w:type="auto"/>
            <w:gridSpan w:val="2"/>
          </w:tcPr>
          <w:p w14:paraId="4A42EE3F" w14:textId="77777777" w:rsidR="004E4CC2" w:rsidRDefault="00000000">
            <w:pPr>
              <w:pStyle w:val="Compact"/>
            </w:pPr>
            <w:r>
              <w:lastRenderedPageBreak/>
              <w:t>78</w:t>
            </w:r>
          </w:p>
        </w:tc>
        <w:tc>
          <w:tcPr>
            <w:tcW w:w="0" w:type="auto"/>
          </w:tcPr>
          <w:p w14:paraId="04BAD21D" w14:textId="77777777" w:rsidR="004E4CC2" w:rsidRDefault="00000000">
            <w:pPr>
              <w:pStyle w:val="Compact"/>
            </w:pPr>
            <w:r>
              <w:t>0.084</w:t>
            </w:r>
          </w:p>
        </w:tc>
        <w:tc>
          <w:tcPr>
            <w:tcW w:w="0" w:type="auto"/>
            <w:gridSpan w:val="2"/>
          </w:tcPr>
          <w:p w14:paraId="0E1B533E" w14:textId="77777777" w:rsidR="004E4CC2" w:rsidRDefault="00000000">
            <w:pPr>
              <w:pStyle w:val="Compact"/>
            </w:pPr>
            <w:r>
              <w:t>0.398</w:t>
            </w:r>
          </w:p>
        </w:tc>
        <w:tc>
          <w:tcPr>
            <w:tcW w:w="0" w:type="auto"/>
            <w:gridSpan w:val="2"/>
          </w:tcPr>
          <w:p w14:paraId="4955278C" w14:textId="77777777" w:rsidR="004E4CC2" w:rsidRDefault="00000000">
            <w:pPr>
              <w:pStyle w:val="Compact"/>
            </w:pPr>
            <w:r>
              <w:t>1.604</w:t>
            </w:r>
          </w:p>
        </w:tc>
        <w:tc>
          <w:tcPr>
            <w:tcW w:w="0" w:type="auto"/>
            <w:gridSpan w:val="2"/>
          </w:tcPr>
          <w:p w14:paraId="62DAFE46" w14:textId="77777777" w:rsidR="004E4CC2" w:rsidRDefault="00000000">
            <w:pPr>
              <w:pStyle w:val="Compact"/>
            </w:pPr>
            <w:r>
              <w:t>0.241</w:t>
            </w:r>
          </w:p>
        </w:tc>
        <w:tc>
          <w:tcPr>
            <w:tcW w:w="0" w:type="auto"/>
          </w:tcPr>
          <w:p w14:paraId="0659AA29" w14:textId="77777777" w:rsidR="004E4CC2" w:rsidRDefault="00000000">
            <w:pPr>
              <w:pStyle w:val="Compact"/>
            </w:pPr>
            <w:r>
              <w:t>0.953</w:t>
            </w:r>
          </w:p>
        </w:tc>
      </w:tr>
      <w:tr w:rsidR="004E4CC2" w14:paraId="3423BFA3" w14:textId="77777777">
        <w:tc>
          <w:tcPr>
            <w:tcW w:w="0" w:type="auto"/>
          </w:tcPr>
          <w:p w14:paraId="42171E3E" w14:textId="77777777" w:rsidR="004E4CC2" w:rsidRDefault="00000000">
            <w:pPr>
              <w:pStyle w:val="Compact"/>
            </w:pPr>
            <w:r>
              <w:t>8</w:t>
            </w:r>
          </w:p>
        </w:tc>
        <w:tc>
          <w:tcPr>
            <w:tcW w:w="0" w:type="auto"/>
            <w:gridSpan w:val="2"/>
          </w:tcPr>
          <w:p w14:paraId="0BF018D4" w14:textId="77777777" w:rsidR="004E4CC2" w:rsidRDefault="00000000">
            <w:pPr>
              <w:pStyle w:val="Compact"/>
            </w:pPr>
            <w:r>
              <w:t>Wien</w:t>
            </w:r>
          </w:p>
        </w:tc>
        <w:tc>
          <w:tcPr>
            <w:tcW w:w="0" w:type="auto"/>
            <w:gridSpan w:val="2"/>
          </w:tcPr>
          <w:p w14:paraId="14F52A80" w14:textId="77777777" w:rsidR="004E4CC2" w:rsidRDefault="00000000">
            <w:pPr>
              <w:pStyle w:val="Compact"/>
            </w:pPr>
            <w:r>
              <w:t>Büronutzun</w:t>
            </w:r>
            <w:r>
              <w:lastRenderedPageBreak/>
              <w:t>g</w:t>
            </w:r>
          </w:p>
        </w:tc>
        <w:tc>
          <w:tcPr>
            <w:tcW w:w="0" w:type="auto"/>
            <w:gridSpan w:val="2"/>
          </w:tcPr>
          <w:p w14:paraId="1C6C2DCB" w14:textId="77777777" w:rsidR="004E4CC2" w:rsidRDefault="00000000">
            <w:pPr>
              <w:pStyle w:val="Compact"/>
            </w:pPr>
            <w:r>
              <w:lastRenderedPageBreak/>
              <w:t>4398</w:t>
            </w:r>
          </w:p>
        </w:tc>
        <w:tc>
          <w:tcPr>
            <w:tcW w:w="0" w:type="auto"/>
          </w:tcPr>
          <w:p w14:paraId="7D258E8C" w14:textId="77777777" w:rsidR="004E4CC2" w:rsidRDefault="00000000">
            <w:pPr>
              <w:pStyle w:val="Compact"/>
            </w:pPr>
            <w:r>
              <w:t>15.717</w:t>
            </w:r>
          </w:p>
        </w:tc>
        <w:tc>
          <w:tcPr>
            <w:tcW w:w="0" w:type="auto"/>
            <w:gridSpan w:val="2"/>
          </w:tcPr>
          <w:p w14:paraId="24DA8DD7" w14:textId="77777777" w:rsidR="004E4CC2" w:rsidRDefault="00000000">
            <w:pPr>
              <w:pStyle w:val="Compact"/>
            </w:pPr>
            <w:r>
              <w:t>3.320</w:t>
            </w:r>
          </w:p>
        </w:tc>
        <w:tc>
          <w:tcPr>
            <w:tcW w:w="0" w:type="auto"/>
            <w:gridSpan w:val="2"/>
          </w:tcPr>
          <w:p w14:paraId="6F804A0B" w14:textId="77777777" w:rsidR="004E4CC2" w:rsidRDefault="00000000">
            <w:pPr>
              <w:pStyle w:val="Compact"/>
            </w:pPr>
            <w:r>
              <w:t>4.636</w:t>
            </w:r>
          </w:p>
        </w:tc>
        <w:tc>
          <w:tcPr>
            <w:tcW w:w="0" w:type="auto"/>
            <w:gridSpan w:val="2"/>
          </w:tcPr>
          <w:p w14:paraId="27A57924" w14:textId="77777777" w:rsidR="004E4CC2" w:rsidRDefault="00000000">
            <w:pPr>
              <w:pStyle w:val="Compact"/>
            </w:pPr>
            <w:r>
              <w:t>1.713</w:t>
            </w:r>
          </w:p>
        </w:tc>
        <w:tc>
          <w:tcPr>
            <w:tcW w:w="0" w:type="auto"/>
          </w:tcPr>
          <w:p w14:paraId="12251859" w14:textId="77777777" w:rsidR="004E4CC2" w:rsidRDefault="00000000">
            <w:pPr>
              <w:pStyle w:val="Compact"/>
            </w:pPr>
            <w:r>
              <w:t>4.816</w:t>
            </w:r>
          </w:p>
        </w:tc>
      </w:tr>
      <w:tr w:rsidR="004E4CC2" w14:paraId="4B5C308F" w14:textId="77777777">
        <w:tc>
          <w:tcPr>
            <w:tcW w:w="0" w:type="auto"/>
          </w:tcPr>
          <w:p w14:paraId="5A7B979F" w14:textId="77777777" w:rsidR="004E4CC2" w:rsidRDefault="00000000">
            <w:pPr>
              <w:pStyle w:val="Compact"/>
            </w:pPr>
            <w:r>
              <w:t>9</w:t>
            </w:r>
          </w:p>
        </w:tc>
        <w:tc>
          <w:tcPr>
            <w:tcW w:w="0" w:type="auto"/>
            <w:gridSpan w:val="2"/>
          </w:tcPr>
          <w:p w14:paraId="52748C92" w14:textId="77777777" w:rsidR="004E4CC2" w:rsidRDefault="00000000">
            <w:pPr>
              <w:pStyle w:val="Compact"/>
            </w:pPr>
            <w:r>
              <w:t>Wien</w:t>
            </w:r>
          </w:p>
        </w:tc>
        <w:tc>
          <w:tcPr>
            <w:tcW w:w="0" w:type="auto"/>
            <w:gridSpan w:val="2"/>
          </w:tcPr>
          <w:p w14:paraId="5C41A6C3" w14:textId="77777777" w:rsidR="004E4CC2" w:rsidRDefault="00000000">
            <w:pPr>
              <w:pStyle w:val="Compact"/>
            </w:pPr>
            <w:r>
              <w:t>Ein- und Zweifamilienhä</w:t>
            </w:r>
            <w:r>
              <w:lastRenderedPageBreak/>
              <w:t>user</w:t>
            </w:r>
          </w:p>
        </w:tc>
        <w:tc>
          <w:tcPr>
            <w:tcW w:w="0" w:type="auto"/>
            <w:gridSpan w:val="2"/>
          </w:tcPr>
          <w:p w14:paraId="5DA76BFE" w14:textId="77777777" w:rsidR="004E4CC2" w:rsidRDefault="00000000">
            <w:pPr>
              <w:pStyle w:val="Compact"/>
            </w:pPr>
            <w:r>
              <w:lastRenderedPageBreak/>
              <w:t>52141</w:t>
            </w:r>
          </w:p>
        </w:tc>
        <w:tc>
          <w:tcPr>
            <w:tcW w:w="0" w:type="auto"/>
          </w:tcPr>
          <w:p w14:paraId="7AE6D15A" w14:textId="77777777" w:rsidR="004E4CC2" w:rsidRDefault="00000000">
            <w:pPr>
              <w:pStyle w:val="Compact"/>
            </w:pPr>
            <w:r>
              <w:t>15.382</w:t>
            </w:r>
          </w:p>
        </w:tc>
        <w:tc>
          <w:tcPr>
            <w:tcW w:w="0" w:type="auto"/>
            <w:gridSpan w:val="2"/>
          </w:tcPr>
          <w:p w14:paraId="03FA60FC" w14:textId="77777777" w:rsidR="004E4CC2" w:rsidRDefault="00000000">
            <w:pPr>
              <w:pStyle w:val="Compact"/>
            </w:pPr>
            <w:r>
              <w:t>0.454</w:t>
            </w:r>
          </w:p>
        </w:tc>
        <w:tc>
          <w:tcPr>
            <w:tcW w:w="0" w:type="auto"/>
            <w:gridSpan w:val="2"/>
          </w:tcPr>
          <w:p w14:paraId="37675D9E" w14:textId="77777777" w:rsidR="004E4CC2" w:rsidRDefault="00000000">
            <w:pPr>
              <w:pStyle w:val="Compact"/>
            </w:pPr>
            <w:r>
              <w:t>1.880</w:t>
            </w:r>
          </w:p>
        </w:tc>
        <w:tc>
          <w:tcPr>
            <w:tcW w:w="0" w:type="auto"/>
            <w:gridSpan w:val="2"/>
          </w:tcPr>
          <w:p w14:paraId="137F4779" w14:textId="77777777" w:rsidR="004E4CC2" w:rsidRDefault="00000000">
            <w:pPr>
              <w:pStyle w:val="Compact"/>
            </w:pPr>
            <w:r>
              <w:t>0.258</w:t>
            </w:r>
          </w:p>
        </w:tc>
        <w:tc>
          <w:tcPr>
            <w:tcW w:w="0" w:type="auto"/>
          </w:tcPr>
          <w:p w14:paraId="14E5B4F7" w14:textId="77777777" w:rsidR="004E4CC2" w:rsidRDefault="00000000">
            <w:pPr>
              <w:pStyle w:val="Compact"/>
            </w:pPr>
            <w:r>
              <w:t>1.292</w:t>
            </w:r>
          </w:p>
        </w:tc>
      </w:tr>
      <w:tr w:rsidR="004E4CC2" w14:paraId="61DFD953" w14:textId="77777777">
        <w:tc>
          <w:tcPr>
            <w:tcW w:w="0" w:type="auto"/>
          </w:tcPr>
          <w:p w14:paraId="2ABFCD12" w14:textId="77777777" w:rsidR="004E4CC2" w:rsidRDefault="00000000">
            <w:pPr>
              <w:pStyle w:val="Compact"/>
            </w:pPr>
            <w:r>
              <w:t>10</w:t>
            </w:r>
          </w:p>
        </w:tc>
        <w:tc>
          <w:tcPr>
            <w:tcW w:w="0" w:type="auto"/>
            <w:gridSpan w:val="2"/>
          </w:tcPr>
          <w:p w14:paraId="1B2AED54" w14:textId="77777777" w:rsidR="004E4CC2" w:rsidRDefault="00000000">
            <w:pPr>
              <w:pStyle w:val="Compact"/>
            </w:pPr>
            <w:r>
              <w:t>Wien</w:t>
            </w:r>
          </w:p>
        </w:tc>
        <w:tc>
          <w:tcPr>
            <w:tcW w:w="0" w:type="auto"/>
            <w:gridSpan w:val="2"/>
          </w:tcPr>
          <w:p w14:paraId="58DF756C" w14:textId="77777777" w:rsidR="004E4CC2" w:rsidRDefault="00000000">
            <w:pPr>
              <w:pStyle w:val="Compact"/>
            </w:pPr>
            <w:r>
              <w:t>Gemeinschaftsgebäude</w:t>
            </w:r>
          </w:p>
        </w:tc>
        <w:tc>
          <w:tcPr>
            <w:tcW w:w="0" w:type="auto"/>
            <w:gridSpan w:val="2"/>
          </w:tcPr>
          <w:p w14:paraId="0FA89C22" w14:textId="77777777" w:rsidR="004E4CC2" w:rsidRDefault="00000000">
            <w:pPr>
              <w:pStyle w:val="Compact"/>
            </w:pPr>
            <w:r>
              <w:t>104</w:t>
            </w:r>
          </w:p>
        </w:tc>
        <w:tc>
          <w:tcPr>
            <w:tcW w:w="0" w:type="auto"/>
          </w:tcPr>
          <w:p w14:paraId="527A8D68" w14:textId="77777777" w:rsidR="004E4CC2" w:rsidRDefault="00000000">
            <w:pPr>
              <w:pStyle w:val="Compact"/>
            </w:pPr>
            <w:r>
              <w:t>0.425</w:t>
            </w:r>
          </w:p>
        </w:tc>
        <w:tc>
          <w:tcPr>
            <w:tcW w:w="0" w:type="auto"/>
            <w:gridSpan w:val="2"/>
          </w:tcPr>
          <w:p w14:paraId="428FAC71" w14:textId="77777777" w:rsidR="004E4CC2" w:rsidRDefault="00000000">
            <w:pPr>
              <w:pStyle w:val="Compact"/>
            </w:pPr>
            <w:r>
              <w:t>2.214</w:t>
            </w:r>
          </w:p>
        </w:tc>
        <w:tc>
          <w:tcPr>
            <w:tcW w:w="0" w:type="auto"/>
            <w:gridSpan w:val="2"/>
          </w:tcPr>
          <w:p w14:paraId="1CD746D7" w14:textId="77777777" w:rsidR="004E4CC2" w:rsidRDefault="00000000">
            <w:pPr>
              <w:pStyle w:val="Compact"/>
            </w:pPr>
            <w:r>
              <w:t>3.672</w:t>
            </w:r>
          </w:p>
        </w:tc>
        <w:tc>
          <w:tcPr>
            <w:tcW w:w="0" w:type="auto"/>
            <w:gridSpan w:val="2"/>
          </w:tcPr>
          <w:p w14:paraId="09C56D24" w14:textId="77777777" w:rsidR="004E4CC2" w:rsidRDefault="00000000">
            <w:pPr>
              <w:pStyle w:val="Compact"/>
            </w:pPr>
            <w:r>
              <w:t>0.793</w:t>
            </w:r>
          </w:p>
        </w:tc>
        <w:tc>
          <w:tcPr>
            <w:tcW w:w="0" w:type="auto"/>
          </w:tcPr>
          <w:p w14:paraId="75F8B90B" w14:textId="77777777" w:rsidR="004E4CC2" w:rsidRDefault="00000000">
            <w:pPr>
              <w:pStyle w:val="Compact"/>
            </w:pPr>
            <w:r>
              <w:t>4.012</w:t>
            </w:r>
          </w:p>
        </w:tc>
      </w:tr>
      <w:tr w:rsidR="004E4CC2" w14:paraId="0D8183A1" w14:textId="77777777">
        <w:tc>
          <w:tcPr>
            <w:tcW w:w="0" w:type="auto"/>
          </w:tcPr>
          <w:p w14:paraId="63A12895" w14:textId="77777777" w:rsidR="004E4CC2" w:rsidRDefault="00000000">
            <w:pPr>
              <w:pStyle w:val="Compact"/>
            </w:pPr>
            <w:r>
              <w:lastRenderedPageBreak/>
              <w:t>11</w:t>
            </w:r>
          </w:p>
        </w:tc>
        <w:tc>
          <w:tcPr>
            <w:tcW w:w="0" w:type="auto"/>
            <w:gridSpan w:val="2"/>
          </w:tcPr>
          <w:p w14:paraId="389EB764" w14:textId="77777777" w:rsidR="004E4CC2" w:rsidRDefault="00000000">
            <w:pPr>
              <w:pStyle w:val="Compact"/>
            </w:pPr>
            <w:r>
              <w:t>Wien</w:t>
            </w:r>
          </w:p>
        </w:tc>
        <w:tc>
          <w:tcPr>
            <w:tcW w:w="0" w:type="auto"/>
            <w:gridSpan w:val="2"/>
          </w:tcPr>
          <w:p w14:paraId="3BEE5A4F" w14:textId="77777777" w:rsidR="004E4CC2" w:rsidRDefault="00000000">
            <w:pPr>
              <w:pStyle w:val="Compact"/>
            </w:pPr>
            <w:r>
              <w:t>Groß- und Einzelhandelsg</w:t>
            </w:r>
            <w:r>
              <w:lastRenderedPageBreak/>
              <w:t>ebäude</w:t>
            </w:r>
          </w:p>
        </w:tc>
        <w:tc>
          <w:tcPr>
            <w:tcW w:w="0" w:type="auto"/>
            <w:gridSpan w:val="2"/>
          </w:tcPr>
          <w:p w14:paraId="420B6084" w14:textId="77777777" w:rsidR="004E4CC2" w:rsidRDefault="00000000">
            <w:pPr>
              <w:pStyle w:val="Compact"/>
            </w:pPr>
            <w:r>
              <w:lastRenderedPageBreak/>
              <w:t>631</w:t>
            </w:r>
          </w:p>
        </w:tc>
        <w:tc>
          <w:tcPr>
            <w:tcW w:w="0" w:type="auto"/>
          </w:tcPr>
          <w:p w14:paraId="49827D4C" w14:textId="77777777" w:rsidR="004E4CC2" w:rsidRDefault="00000000">
            <w:pPr>
              <w:pStyle w:val="Compact"/>
            </w:pPr>
            <w:r>
              <w:t>1.877</w:t>
            </w:r>
          </w:p>
        </w:tc>
        <w:tc>
          <w:tcPr>
            <w:tcW w:w="0" w:type="auto"/>
            <w:gridSpan w:val="2"/>
          </w:tcPr>
          <w:p w14:paraId="2E0DA22E" w14:textId="77777777" w:rsidR="004E4CC2" w:rsidRDefault="00000000">
            <w:pPr>
              <w:pStyle w:val="Compact"/>
            </w:pPr>
            <w:r>
              <w:t>0.891</w:t>
            </w:r>
          </w:p>
        </w:tc>
        <w:tc>
          <w:tcPr>
            <w:tcW w:w="0" w:type="auto"/>
            <w:gridSpan w:val="2"/>
          </w:tcPr>
          <w:p w14:paraId="5C1382D2" w14:textId="77777777" w:rsidR="004E4CC2" w:rsidRDefault="00000000">
            <w:pPr>
              <w:pStyle w:val="Compact"/>
            </w:pPr>
            <w:r>
              <w:t>2.599</w:t>
            </w:r>
          </w:p>
        </w:tc>
        <w:tc>
          <w:tcPr>
            <w:tcW w:w="0" w:type="auto"/>
            <w:gridSpan w:val="2"/>
          </w:tcPr>
          <w:p w14:paraId="738E9065" w14:textId="77777777" w:rsidR="004E4CC2" w:rsidRDefault="00000000">
            <w:pPr>
              <w:pStyle w:val="Compact"/>
            </w:pPr>
            <w:r>
              <w:t>0.398</w:t>
            </w:r>
          </w:p>
        </w:tc>
        <w:tc>
          <w:tcPr>
            <w:tcW w:w="0" w:type="auto"/>
          </w:tcPr>
          <w:p w14:paraId="3F46784A" w14:textId="77777777" w:rsidR="004E4CC2" w:rsidRDefault="00000000">
            <w:pPr>
              <w:pStyle w:val="Compact"/>
            </w:pPr>
            <w:r>
              <w:t>1.824</w:t>
            </w:r>
          </w:p>
        </w:tc>
      </w:tr>
      <w:tr w:rsidR="004E4CC2" w14:paraId="5EC3352B" w14:textId="77777777">
        <w:tc>
          <w:tcPr>
            <w:tcW w:w="0" w:type="auto"/>
          </w:tcPr>
          <w:p w14:paraId="3CA37BAC" w14:textId="77777777" w:rsidR="004E4CC2" w:rsidRDefault="00000000">
            <w:pPr>
              <w:pStyle w:val="Compact"/>
            </w:pPr>
            <w:r>
              <w:t>12</w:t>
            </w:r>
          </w:p>
        </w:tc>
        <w:tc>
          <w:tcPr>
            <w:tcW w:w="0" w:type="auto"/>
            <w:gridSpan w:val="2"/>
          </w:tcPr>
          <w:p w14:paraId="66CC5A90" w14:textId="77777777" w:rsidR="004E4CC2" w:rsidRDefault="00000000">
            <w:pPr>
              <w:pStyle w:val="Compact"/>
            </w:pPr>
            <w:r>
              <w:t>Wien</w:t>
            </w:r>
          </w:p>
        </w:tc>
        <w:tc>
          <w:tcPr>
            <w:tcW w:w="0" w:type="auto"/>
            <w:gridSpan w:val="2"/>
          </w:tcPr>
          <w:p w14:paraId="48BB216D" w14:textId="77777777" w:rsidR="004E4CC2" w:rsidRDefault="00000000">
            <w:pPr>
              <w:pStyle w:val="Compact"/>
            </w:pPr>
            <w:r>
              <w:t>Hotels o.Ä.</w:t>
            </w:r>
          </w:p>
        </w:tc>
        <w:tc>
          <w:tcPr>
            <w:tcW w:w="0" w:type="auto"/>
            <w:gridSpan w:val="2"/>
          </w:tcPr>
          <w:p w14:paraId="4DFE27A4" w14:textId="77777777" w:rsidR="004E4CC2" w:rsidRDefault="00000000">
            <w:pPr>
              <w:pStyle w:val="Compact"/>
            </w:pPr>
            <w:r>
              <w:t>707</w:t>
            </w:r>
          </w:p>
        </w:tc>
        <w:tc>
          <w:tcPr>
            <w:tcW w:w="0" w:type="auto"/>
          </w:tcPr>
          <w:p w14:paraId="2A439EA3" w14:textId="77777777" w:rsidR="004E4CC2" w:rsidRDefault="00000000">
            <w:pPr>
              <w:pStyle w:val="Compact"/>
            </w:pPr>
            <w:r>
              <w:t>2.667</w:t>
            </w:r>
          </w:p>
        </w:tc>
        <w:tc>
          <w:tcPr>
            <w:tcW w:w="0" w:type="auto"/>
            <w:gridSpan w:val="2"/>
          </w:tcPr>
          <w:p w14:paraId="7F29A7CE" w14:textId="77777777" w:rsidR="004E4CC2" w:rsidRDefault="00000000">
            <w:pPr>
              <w:pStyle w:val="Compact"/>
            </w:pPr>
            <w:r>
              <w:t>2.531</w:t>
            </w:r>
          </w:p>
        </w:tc>
        <w:tc>
          <w:tcPr>
            <w:tcW w:w="0" w:type="auto"/>
            <w:gridSpan w:val="2"/>
          </w:tcPr>
          <w:p w14:paraId="7C178CCF" w14:textId="77777777" w:rsidR="004E4CC2" w:rsidRDefault="00000000">
            <w:pPr>
              <w:pStyle w:val="Compact"/>
            </w:pPr>
            <w:r>
              <w:t>6.534</w:t>
            </w:r>
          </w:p>
        </w:tc>
        <w:tc>
          <w:tcPr>
            <w:tcW w:w="0" w:type="auto"/>
            <w:gridSpan w:val="2"/>
          </w:tcPr>
          <w:p w14:paraId="2E81CE85" w14:textId="77777777" w:rsidR="004E4CC2" w:rsidRDefault="00000000">
            <w:pPr>
              <w:pStyle w:val="Compact"/>
            </w:pPr>
            <w:r>
              <w:t>0.992</w:t>
            </w:r>
          </w:p>
        </w:tc>
        <w:tc>
          <w:tcPr>
            <w:tcW w:w="0" w:type="auto"/>
          </w:tcPr>
          <w:p w14:paraId="44DC9EC1" w14:textId="77777777" w:rsidR="004E4CC2" w:rsidRDefault="00000000">
            <w:pPr>
              <w:pStyle w:val="Compact"/>
            </w:pPr>
            <w:r>
              <w:t>4.534</w:t>
            </w:r>
          </w:p>
        </w:tc>
      </w:tr>
      <w:tr w:rsidR="004E4CC2" w14:paraId="71DA00F5" w14:textId="77777777">
        <w:tc>
          <w:tcPr>
            <w:tcW w:w="0" w:type="auto"/>
          </w:tcPr>
          <w:p w14:paraId="01DB9169" w14:textId="77777777" w:rsidR="004E4CC2" w:rsidRDefault="00000000">
            <w:pPr>
              <w:pStyle w:val="Compact"/>
            </w:pPr>
            <w:r>
              <w:t>13</w:t>
            </w:r>
          </w:p>
        </w:tc>
        <w:tc>
          <w:tcPr>
            <w:tcW w:w="0" w:type="auto"/>
            <w:gridSpan w:val="2"/>
          </w:tcPr>
          <w:p w14:paraId="5F661400" w14:textId="77777777" w:rsidR="004E4CC2" w:rsidRDefault="00000000">
            <w:pPr>
              <w:pStyle w:val="Compact"/>
            </w:pPr>
            <w:r>
              <w:t>Wien</w:t>
            </w:r>
          </w:p>
        </w:tc>
        <w:tc>
          <w:tcPr>
            <w:tcW w:w="0" w:type="auto"/>
            <w:gridSpan w:val="2"/>
          </w:tcPr>
          <w:p w14:paraId="6A1A404E" w14:textId="77777777" w:rsidR="004E4CC2" w:rsidRDefault="00000000">
            <w:pPr>
              <w:pStyle w:val="Compact"/>
            </w:pPr>
            <w:r>
              <w:t>Industr</w:t>
            </w:r>
            <w:r>
              <w:lastRenderedPageBreak/>
              <w:t>ie und Lagerung</w:t>
            </w:r>
          </w:p>
        </w:tc>
        <w:tc>
          <w:tcPr>
            <w:tcW w:w="0" w:type="auto"/>
            <w:gridSpan w:val="2"/>
          </w:tcPr>
          <w:p w14:paraId="0C21EE4B" w14:textId="77777777" w:rsidR="004E4CC2" w:rsidRDefault="00000000">
            <w:pPr>
              <w:pStyle w:val="Compact"/>
            </w:pPr>
            <w:r>
              <w:lastRenderedPageBreak/>
              <w:t>1437</w:t>
            </w:r>
          </w:p>
        </w:tc>
        <w:tc>
          <w:tcPr>
            <w:tcW w:w="0" w:type="auto"/>
          </w:tcPr>
          <w:p w14:paraId="0CBF73B0" w14:textId="77777777" w:rsidR="004E4CC2" w:rsidRDefault="00000000">
            <w:pPr>
              <w:pStyle w:val="Compact"/>
            </w:pPr>
            <w:r>
              <w:t>3.176</w:t>
            </w:r>
          </w:p>
        </w:tc>
        <w:tc>
          <w:tcPr>
            <w:tcW w:w="0" w:type="auto"/>
            <w:gridSpan w:val="2"/>
          </w:tcPr>
          <w:p w14:paraId="27C5E282" w14:textId="77777777" w:rsidR="004E4CC2" w:rsidRDefault="00000000">
            <w:pPr>
              <w:pStyle w:val="Compact"/>
            </w:pPr>
            <w:r>
              <w:t>1.066</w:t>
            </w:r>
          </w:p>
        </w:tc>
        <w:tc>
          <w:tcPr>
            <w:tcW w:w="0" w:type="auto"/>
            <w:gridSpan w:val="2"/>
          </w:tcPr>
          <w:p w14:paraId="6D8F5836" w14:textId="77777777" w:rsidR="004E4CC2" w:rsidRDefault="00000000">
            <w:pPr>
              <w:pStyle w:val="Compact"/>
            </w:pPr>
            <w:r>
              <w:t>2.402</w:t>
            </w:r>
          </w:p>
        </w:tc>
        <w:tc>
          <w:tcPr>
            <w:tcW w:w="0" w:type="auto"/>
            <w:gridSpan w:val="2"/>
          </w:tcPr>
          <w:p w14:paraId="2F37F84B" w14:textId="77777777" w:rsidR="004E4CC2" w:rsidRDefault="00000000">
            <w:pPr>
              <w:pStyle w:val="Compact"/>
            </w:pPr>
            <w:r>
              <w:t>0.600</w:t>
            </w:r>
          </w:p>
        </w:tc>
        <w:tc>
          <w:tcPr>
            <w:tcW w:w="0" w:type="auto"/>
          </w:tcPr>
          <w:p w14:paraId="113D25A6" w14:textId="77777777" w:rsidR="004E4CC2" w:rsidRDefault="00000000">
            <w:pPr>
              <w:pStyle w:val="Compact"/>
            </w:pPr>
            <w:r>
              <w:t>1.916</w:t>
            </w:r>
          </w:p>
        </w:tc>
      </w:tr>
      <w:tr w:rsidR="004E4CC2" w14:paraId="1CC793A2" w14:textId="77777777">
        <w:tc>
          <w:tcPr>
            <w:tcW w:w="0" w:type="auto"/>
          </w:tcPr>
          <w:p w14:paraId="5363A4EC" w14:textId="77777777" w:rsidR="004E4CC2" w:rsidRDefault="00000000">
            <w:pPr>
              <w:pStyle w:val="Compact"/>
            </w:pPr>
            <w:r>
              <w:t>14</w:t>
            </w:r>
          </w:p>
        </w:tc>
        <w:tc>
          <w:tcPr>
            <w:tcW w:w="0" w:type="auto"/>
            <w:gridSpan w:val="2"/>
          </w:tcPr>
          <w:p w14:paraId="30BADD8F" w14:textId="77777777" w:rsidR="004E4CC2" w:rsidRDefault="00000000">
            <w:pPr>
              <w:pStyle w:val="Compact"/>
            </w:pPr>
            <w:r>
              <w:t>Wien</w:t>
            </w:r>
          </w:p>
        </w:tc>
        <w:tc>
          <w:tcPr>
            <w:tcW w:w="0" w:type="auto"/>
            <w:gridSpan w:val="2"/>
          </w:tcPr>
          <w:p w14:paraId="0BD2790A" w14:textId="77777777" w:rsidR="004E4CC2" w:rsidRDefault="00000000">
            <w:pPr>
              <w:pStyle w:val="Compact"/>
            </w:pPr>
            <w:r>
              <w:t>Kultur, F</w:t>
            </w:r>
            <w:r>
              <w:lastRenderedPageBreak/>
              <w:t>reizeit, Bildung und Gesu</w:t>
            </w:r>
            <w:r>
              <w:lastRenderedPageBreak/>
              <w:t>ndheit</w:t>
            </w:r>
          </w:p>
        </w:tc>
        <w:tc>
          <w:tcPr>
            <w:tcW w:w="0" w:type="auto"/>
            <w:gridSpan w:val="2"/>
          </w:tcPr>
          <w:p w14:paraId="247A300E" w14:textId="77777777" w:rsidR="004E4CC2" w:rsidRDefault="00000000">
            <w:pPr>
              <w:pStyle w:val="Compact"/>
            </w:pPr>
            <w:r>
              <w:lastRenderedPageBreak/>
              <w:t>661</w:t>
            </w:r>
          </w:p>
        </w:tc>
        <w:tc>
          <w:tcPr>
            <w:tcW w:w="0" w:type="auto"/>
          </w:tcPr>
          <w:p w14:paraId="7E923E22" w14:textId="77777777" w:rsidR="004E4CC2" w:rsidRDefault="00000000">
            <w:pPr>
              <w:pStyle w:val="Compact"/>
            </w:pPr>
            <w:r>
              <w:t>4.363</w:t>
            </w:r>
          </w:p>
        </w:tc>
        <w:tc>
          <w:tcPr>
            <w:tcW w:w="0" w:type="auto"/>
            <w:gridSpan w:val="2"/>
          </w:tcPr>
          <w:p w14:paraId="4B668F45" w14:textId="77777777" w:rsidR="004E4CC2" w:rsidRDefault="00000000">
            <w:pPr>
              <w:pStyle w:val="Compact"/>
            </w:pPr>
            <w:r>
              <w:t>2.884</w:t>
            </w:r>
          </w:p>
        </w:tc>
        <w:tc>
          <w:tcPr>
            <w:tcW w:w="0" w:type="auto"/>
            <w:gridSpan w:val="2"/>
          </w:tcPr>
          <w:p w14:paraId="389319B7" w14:textId="77777777" w:rsidR="004E4CC2" w:rsidRDefault="00000000">
            <w:pPr>
              <w:pStyle w:val="Compact"/>
            </w:pPr>
            <w:r>
              <w:t>3.531</w:t>
            </w:r>
          </w:p>
        </w:tc>
        <w:tc>
          <w:tcPr>
            <w:tcW w:w="0" w:type="auto"/>
            <w:gridSpan w:val="2"/>
          </w:tcPr>
          <w:p w14:paraId="7E4E5E8A" w14:textId="77777777" w:rsidR="004E4CC2" w:rsidRDefault="00000000">
            <w:pPr>
              <w:pStyle w:val="Compact"/>
            </w:pPr>
            <w:r>
              <w:t>0.969</w:t>
            </w:r>
          </w:p>
        </w:tc>
        <w:tc>
          <w:tcPr>
            <w:tcW w:w="0" w:type="auto"/>
          </w:tcPr>
          <w:p w14:paraId="1F8DC4E7" w14:textId="77777777" w:rsidR="004E4CC2" w:rsidRDefault="00000000">
            <w:pPr>
              <w:pStyle w:val="Compact"/>
            </w:pPr>
            <w:r>
              <w:t>4.135</w:t>
            </w:r>
          </w:p>
        </w:tc>
      </w:tr>
      <w:tr w:rsidR="004E4CC2" w14:paraId="0D2BEF6F" w14:textId="77777777">
        <w:tc>
          <w:tcPr>
            <w:tcW w:w="0" w:type="auto"/>
          </w:tcPr>
          <w:p w14:paraId="2F776CCB" w14:textId="77777777" w:rsidR="004E4CC2" w:rsidRDefault="00000000">
            <w:pPr>
              <w:pStyle w:val="Compact"/>
            </w:pPr>
            <w:r>
              <w:lastRenderedPageBreak/>
              <w:t>15</w:t>
            </w:r>
          </w:p>
        </w:tc>
        <w:tc>
          <w:tcPr>
            <w:tcW w:w="0" w:type="auto"/>
            <w:gridSpan w:val="2"/>
          </w:tcPr>
          <w:p w14:paraId="13957167" w14:textId="77777777" w:rsidR="004E4CC2" w:rsidRDefault="00000000">
            <w:pPr>
              <w:pStyle w:val="Compact"/>
            </w:pPr>
            <w:r>
              <w:t>Wien</w:t>
            </w:r>
          </w:p>
        </w:tc>
        <w:tc>
          <w:tcPr>
            <w:tcW w:w="0" w:type="auto"/>
            <w:gridSpan w:val="2"/>
          </w:tcPr>
          <w:p w14:paraId="672C4519" w14:textId="77777777" w:rsidR="004E4CC2" w:rsidRDefault="00000000">
            <w:pPr>
              <w:pStyle w:val="Compact"/>
            </w:pPr>
            <w:r>
              <w:t>Mehrfamilienhaus</w:t>
            </w:r>
          </w:p>
        </w:tc>
        <w:tc>
          <w:tcPr>
            <w:tcW w:w="0" w:type="auto"/>
            <w:gridSpan w:val="2"/>
          </w:tcPr>
          <w:p w14:paraId="2863B144" w14:textId="77777777" w:rsidR="004E4CC2" w:rsidRDefault="00000000">
            <w:pPr>
              <w:pStyle w:val="Compact"/>
            </w:pPr>
            <w:r>
              <w:t>27589</w:t>
            </w:r>
          </w:p>
        </w:tc>
        <w:tc>
          <w:tcPr>
            <w:tcW w:w="0" w:type="auto"/>
          </w:tcPr>
          <w:p w14:paraId="139447BC" w14:textId="77777777" w:rsidR="004E4CC2" w:rsidRDefault="00000000">
            <w:pPr>
              <w:pStyle w:val="Compact"/>
            </w:pPr>
            <w:r>
              <w:t>64.627</w:t>
            </w:r>
          </w:p>
        </w:tc>
        <w:tc>
          <w:tcPr>
            <w:tcW w:w="0" w:type="auto"/>
            <w:gridSpan w:val="2"/>
          </w:tcPr>
          <w:p w14:paraId="3A90BC75" w14:textId="77777777" w:rsidR="004E4CC2" w:rsidRDefault="00000000">
            <w:pPr>
              <w:pStyle w:val="Compact"/>
            </w:pPr>
            <w:r>
              <w:t>3.782</w:t>
            </w:r>
          </w:p>
        </w:tc>
        <w:tc>
          <w:tcPr>
            <w:tcW w:w="0" w:type="auto"/>
            <w:gridSpan w:val="2"/>
          </w:tcPr>
          <w:p w14:paraId="5D9AA114" w14:textId="77777777" w:rsidR="004E4CC2" w:rsidRDefault="00000000">
            <w:pPr>
              <w:pStyle w:val="Compact"/>
            </w:pPr>
            <w:r>
              <w:t>4.233</w:t>
            </w:r>
          </w:p>
        </w:tc>
        <w:tc>
          <w:tcPr>
            <w:tcW w:w="0" w:type="auto"/>
            <w:gridSpan w:val="2"/>
          </w:tcPr>
          <w:p w14:paraId="10226E89" w14:textId="77777777" w:rsidR="004E4CC2" w:rsidRDefault="00000000">
            <w:pPr>
              <w:pStyle w:val="Compact"/>
            </w:pPr>
            <w:r>
              <w:t>2.647</w:t>
            </w:r>
          </w:p>
        </w:tc>
        <w:tc>
          <w:tcPr>
            <w:tcW w:w="0" w:type="auto"/>
          </w:tcPr>
          <w:p w14:paraId="13F73153" w14:textId="77777777" w:rsidR="004E4CC2" w:rsidRDefault="00000000">
            <w:pPr>
              <w:pStyle w:val="Compact"/>
            </w:pPr>
            <w:r>
              <w:t>4.707</w:t>
            </w:r>
          </w:p>
        </w:tc>
      </w:tr>
      <w:tr w:rsidR="004E4CC2" w14:paraId="7C743FEB" w14:textId="77777777">
        <w:tc>
          <w:tcPr>
            <w:tcW w:w="0" w:type="auto"/>
          </w:tcPr>
          <w:p w14:paraId="698D243A" w14:textId="77777777" w:rsidR="004E4CC2" w:rsidRDefault="00000000">
            <w:pPr>
              <w:pStyle w:val="Compact"/>
            </w:pPr>
            <w:r>
              <w:t>16</w:t>
            </w:r>
          </w:p>
        </w:tc>
        <w:tc>
          <w:tcPr>
            <w:tcW w:w="0" w:type="auto"/>
            <w:gridSpan w:val="2"/>
          </w:tcPr>
          <w:p w14:paraId="66B3BA08" w14:textId="77777777" w:rsidR="004E4CC2" w:rsidRDefault="00000000">
            <w:pPr>
              <w:pStyle w:val="Compact"/>
            </w:pPr>
            <w:r>
              <w:t>Wien</w:t>
            </w:r>
          </w:p>
        </w:tc>
        <w:tc>
          <w:tcPr>
            <w:tcW w:w="0" w:type="auto"/>
            <w:gridSpan w:val="2"/>
          </w:tcPr>
          <w:p w14:paraId="17F4B381" w14:textId="77777777" w:rsidR="004E4CC2" w:rsidRDefault="00000000">
            <w:pPr>
              <w:pStyle w:val="Compact"/>
            </w:pPr>
            <w:r>
              <w:t>Ve</w:t>
            </w:r>
            <w:r>
              <w:lastRenderedPageBreak/>
              <w:t>rkehrs- und Nachrichtenwe</w:t>
            </w:r>
            <w:r>
              <w:lastRenderedPageBreak/>
              <w:t>sen</w:t>
            </w:r>
          </w:p>
        </w:tc>
        <w:tc>
          <w:tcPr>
            <w:tcW w:w="0" w:type="auto"/>
            <w:gridSpan w:val="2"/>
          </w:tcPr>
          <w:p w14:paraId="2197133D" w14:textId="77777777" w:rsidR="004E4CC2" w:rsidRDefault="00000000">
            <w:pPr>
              <w:pStyle w:val="Compact"/>
            </w:pPr>
            <w:r>
              <w:lastRenderedPageBreak/>
              <w:t>316</w:t>
            </w:r>
          </w:p>
        </w:tc>
        <w:tc>
          <w:tcPr>
            <w:tcW w:w="0" w:type="auto"/>
          </w:tcPr>
          <w:p w14:paraId="3BC9C78E" w14:textId="77777777" w:rsidR="004E4CC2" w:rsidRDefault="00000000">
            <w:pPr>
              <w:pStyle w:val="Compact"/>
            </w:pPr>
            <w:r>
              <w:t>0.580</w:t>
            </w:r>
          </w:p>
        </w:tc>
        <w:tc>
          <w:tcPr>
            <w:tcW w:w="0" w:type="auto"/>
            <w:gridSpan w:val="2"/>
          </w:tcPr>
          <w:p w14:paraId="46F9557F" w14:textId="77777777" w:rsidR="004E4CC2" w:rsidRDefault="00000000">
            <w:pPr>
              <w:pStyle w:val="Compact"/>
            </w:pPr>
            <w:r>
              <w:t>0.772</w:t>
            </w:r>
          </w:p>
        </w:tc>
        <w:tc>
          <w:tcPr>
            <w:tcW w:w="0" w:type="auto"/>
            <w:gridSpan w:val="2"/>
          </w:tcPr>
          <w:p w14:paraId="6651CAD7" w14:textId="77777777" w:rsidR="004E4CC2" w:rsidRDefault="00000000">
            <w:pPr>
              <w:pStyle w:val="Compact"/>
            </w:pPr>
            <w:r>
              <w:t>2.</w:t>
            </w:r>
            <w:r>
              <w:lastRenderedPageBreak/>
              <w:t>304</w:t>
            </w:r>
          </w:p>
        </w:tc>
        <w:tc>
          <w:tcPr>
            <w:tcW w:w="0" w:type="auto"/>
            <w:gridSpan w:val="2"/>
          </w:tcPr>
          <w:p w14:paraId="6ADF94E9" w14:textId="77777777" w:rsidR="004E4CC2" w:rsidRDefault="00000000">
            <w:pPr>
              <w:pStyle w:val="Compact"/>
            </w:pPr>
            <w:r>
              <w:lastRenderedPageBreak/>
              <w:t>0.384</w:t>
            </w:r>
          </w:p>
        </w:tc>
        <w:tc>
          <w:tcPr>
            <w:tcW w:w="0" w:type="auto"/>
          </w:tcPr>
          <w:p w14:paraId="1E60A3AF" w14:textId="77777777" w:rsidR="004E4CC2" w:rsidRDefault="00000000">
            <w:pPr>
              <w:pStyle w:val="Compact"/>
            </w:pPr>
            <w:r>
              <w:t>1.541</w:t>
            </w:r>
          </w:p>
        </w:tc>
      </w:tr>
      <w:tr w:rsidR="004E4CC2" w14:paraId="4246F6AC" w14:textId="77777777" w:rsidTr="004E4CC2">
        <w:trPr>
          <w:tblHeader/>
        </w:trPr>
        <w:tc>
          <w:tcPr>
            <w:tcW w:w="0" w:type="auto"/>
          </w:tcPr>
          <w:p w14:paraId="12C5284A" w14:textId="77777777" w:rsidR="004E4CC2" w:rsidRDefault="004E4CC2">
            <w:pPr>
              <w:pStyle w:val="Compact"/>
            </w:pPr>
          </w:p>
        </w:tc>
        <w:tc>
          <w:tcPr>
            <w:tcW w:w="0" w:type="auto"/>
          </w:tcPr>
          <w:p w14:paraId="30A7538F" w14:textId="77777777" w:rsidR="004E4CC2" w:rsidRDefault="00000000">
            <w:pPr>
              <w:pStyle w:val="Compact"/>
            </w:pPr>
            <w:r>
              <w:t>GWR_Nutzung</w:t>
            </w:r>
          </w:p>
        </w:tc>
        <w:tc>
          <w:tcPr>
            <w:tcW w:w="0" w:type="auto"/>
            <w:gridSpan w:val="2"/>
          </w:tcPr>
          <w:p w14:paraId="1E3D6307" w14:textId="77777777" w:rsidR="004E4CC2" w:rsidRDefault="00000000">
            <w:pPr>
              <w:pStyle w:val="Compact"/>
            </w:pPr>
            <w:r>
              <w:t>Büronutzung</w:t>
            </w:r>
          </w:p>
        </w:tc>
        <w:tc>
          <w:tcPr>
            <w:tcW w:w="0" w:type="auto"/>
            <w:gridSpan w:val="2"/>
          </w:tcPr>
          <w:p w14:paraId="340CC15C" w14:textId="77777777" w:rsidR="004E4CC2" w:rsidRDefault="00000000">
            <w:pPr>
              <w:pStyle w:val="Compact"/>
            </w:pPr>
            <w:r>
              <w:t>Ein- und Zweifamilienhäuser</w:t>
            </w:r>
          </w:p>
        </w:tc>
        <w:tc>
          <w:tcPr>
            <w:tcW w:w="0" w:type="auto"/>
          </w:tcPr>
          <w:p w14:paraId="6862BAA4" w14:textId="77777777" w:rsidR="004E4CC2" w:rsidRDefault="00000000">
            <w:pPr>
              <w:pStyle w:val="Compact"/>
            </w:pPr>
            <w:r>
              <w:t>Gemeinschaftsgebäude</w:t>
            </w:r>
          </w:p>
        </w:tc>
        <w:tc>
          <w:tcPr>
            <w:tcW w:w="0" w:type="auto"/>
          </w:tcPr>
          <w:p w14:paraId="2E9F05B6" w14:textId="77777777" w:rsidR="004E4CC2" w:rsidRDefault="00000000">
            <w:pPr>
              <w:pStyle w:val="Compact"/>
            </w:pPr>
            <w:r>
              <w:t>Groß- und Einzelhandelsgebäude</w:t>
            </w:r>
          </w:p>
        </w:tc>
        <w:tc>
          <w:tcPr>
            <w:tcW w:w="0" w:type="auto"/>
          </w:tcPr>
          <w:p w14:paraId="25AAF2AE" w14:textId="77777777" w:rsidR="004E4CC2" w:rsidRDefault="00000000">
            <w:pPr>
              <w:pStyle w:val="Compact"/>
            </w:pPr>
            <w:r>
              <w:t>Hotels o.Ä.</w:t>
            </w:r>
          </w:p>
        </w:tc>
        <w:tc>
          <w:tcPr>
            <w:tcW w:w="0" w:type="auto"/>
            <w:gridSpan w:val="2"/>
          </w:tcPr>
          <w:p w14:paraId="2A2CD5B4" w14:textId="77777777" w:rsidR="004E4CC2" w:rsidRDefault="00000000">
            <w:pPr>
              <w:pStyle w:val="Compact"/>
            </w:pPr>
            <w:r>
              <w:t>Industrie und Lagerung</w:t>
            </w:r>
          </w:p>
        </w:tc>
        <w:tc>
          <w:tcPr>
            <w:tcW w:w="0" w:type="auto"/>
            <w:gridSpan w:val="2"/>
          </w:tcPr>
          <w:p w14:paraId="150F21BA" w14:textId="77777777" w:rsidR="004E4CC2" w:rsidRDefault="00000000">
            <w:pPr>
              <w:pStyle w:val="Compact"/>
            </w:pPr>
            <w:r>
              <w:t>Kultur, Freizeit, Bildung und Gesundheit</w:t>
            </w:r>
          </w:p>
        </w:tc>
        <w:tc>
          <w:tcPr>
            <w:tcW w:w="0" w:type="auto"/>
          </w:tcPr>
          <w:p w14:paraId="008D8D0E" w14:textId="77777777" w:rsidR="004E4CC2" w:rsidRDefault="00000000">
            <w:pPr>
              <w:pStyle w:val="Compact"/>
            </w:pPr>
            <w:r>
              <w:t>Mehrfamilienhaus</w:t>
            </w:r>
          </w:p>
        </w:tc>
        <w:tc>
          <w:tcPr>
            <w:tcW w:w="0" w:type="auto"/>
          </w:tcPr>
          <w:p w14:paraId="5168F334" w14:textId="77777777" w:rsidR="004E4CC2" w:rsidRDefault="00000000">
            <w:pPr>
              <w:pStyle w:val="Compact"/>
            </w:pPr>
            <w:r>
              <w:t>Verkehrs- und Nachrichtenwesen</w:t>
            </w:r>
          </w:p>
        </w:tc>
      </w:tr>
      <w:tr w:rsidR="004E4CC2" w14:paraId="79D0E441" w14:textId="77777777" w:rsidTr="004E4CC2">
        <w:trPr>
          <w:tblHeader/>
        </w:trPr>
        <w:tc>
          <w:tcPr>
            <w:tcW w:w="0" w:type="auto"/>
          </w:tcPr>
          <w:p w14:paraId="3771EF30" w14:textId="77777777" w:rsidR="004E4CC2" w:rsidRDefault="00000000">
            <w:pPr>
              <w:pStyle w:val="Compact"/>
            </w:pPr>
            <w:r>
              <w:t>Bundesland</w:t>
            </w:r>
          </w:p>
        </w:tc>
        <w:tc>
          <w:tcPr>
            <w:tcW w:w="0" w:type="auto"/>
          </w:tcPr>
          <w:p w14:paraId="28F1E1F3" w14:textId="77777777" w:rsidR="004E4CC2" w:rsidRDefault="00000000">
            <w:pPr>
              <w:pStyle w:val="Compact"/>
            </w:pPr>
            <w:r>
              <w:t>GK</w:t>
            </w:r>
          </w:p>
        </w:tc>
        <w:tc>
          <w:tcPr>
            <w:tcW w:w="0" w:type="auto"/>
            <w:gridSpan w:val="2"/>
          </w:tcPr>
          <w:p w14:paraId="6275F520" w14:textId="77777777" w:rsidR="004E4CC2" w:rsidRDefault="004E4CC2">
            <w:pPr>
              <w:pStyle w:val="Compact"/>
            </w:pPr>
          </w:p>
        </w:tc>
        <w:tc>
          <w:tcPr>
            <w:tcW w:w="0" w:type="auto"/>
            <w:gridSpan w:val="2"/>
          </w:tcPr>
          <w:p w14:paraId="6249C243" w14:textId="77777777" w:rsidR="004E4CC2" w:rsidRDefault="004E4CC2">
            <w:pPr>
              <w:pStyle w:val="Compact"/>
            </w:pPr>
          </w:p>
        </w:tc>
        <w:tc>
          <w:tcPr>
            <w:tcW w:w="0" w:type="auto"/>
          </w:tcPr>
          <w:p w14:paraId="42AE64EC" w14:textId="77777777" w:rsidR="004E4CC2" w:rsidRDefault="004E4CC2">
            <w:pPr>
              <w:pStyle w:val="Compact"/>
            </w:pPr>
          </w:p>
        </w:tc>
        <w:tc>
          <w:tcPr>
            <w:tcW w:w="0" w:type="auto"/>
          </w:tcPr>
          <w:p w14:paraId="376290BF" w14:textId="77777777" w:rsidR="004E4CC2" w:rsidRDefault="004E4CC2">
            <w:pPr>
              <w:pStyle w:val="Compact"/>
            </w:pPr>
          </w:p>
        </w:tc>
        <w:tc>
          <w:tcPr>
            <w:tcW w:w="0" w:type="auto"/>
          </w:tcPr>
          <w:p w14:paraId="5B57AF26" w14:textId="77777777" w:rsidR="004E4CC2" w:rsidRDefault="004E4CC2">
            <w:pPr>
              <w:pStyle w:val="Compact"/>
            </w:pPr>
          </w:p>
        </w:tc>
        <w:tc>
          <w:tcPr>
            <w:tcW w:w="0" w:type="auto"/>
            <w:gridSpan w:val="2"/>
          </w:tcPr>
          <w:p w14:paraId="4DE734BF" w14:textId="77777777" w:rsidR="004E4CC2" w:rsidRDefault="004E4CC2">
            <w:pPr>
              <w:pStyle w:val="Compact"/>
            </w:pPr>
          </w:p>
        </w:tc>
        <w:tc>
          <w:tcPr>
            <w:tcW w:w="0" w:type="auto"/>
            <w:gridSpan w:val="2"/>
          </w:tcPr>
          <w:p w14:paraId="39DF6B76" w14:textId="77777777" w:rsidR="004E4CC2" w:rsidRDefault="004E4CC2">
            <w:pPr>
              <w:pStyle w:val="Compact"/>
            </w:pPr>
          </w:p>
        </w:tc>
        <w:tc>
          <w:tcPr>
            <w:tcW w:w="0" w:type="auto"/>
          </w:tcPr>
          <w:p w14:paraId="4B2A732B" w14:textId="77777777" w:rsidR="004E4CC2" w:rsidRDefault="004E4CC2">
            <w:pPr>
              <w:pStyle w:val="Compact"/>
            </w:pPr>
          </w:p>
        </w:tc>
        <w:tc>
          <w:tcPr>
            <w:tcW w:w="0" w:type="auto"/>
          </w:tcPr>
          <w:p w14:paraId="369128A4" w14:textId="77777777" w:rsidR="004E4CC2" w:rsidRDefault="004E4CC2">
            <w:pPr>
              <w:pStyle w:val="Compact"/>
            </w:pPr>
          </w:p>
        </w:tc>
      </w:tr>
      <w:tr w:rsidR="004E4CC2" w14:paraId="60D153A8" w14:textId="77777777">
        <w:tc>
          <w:tcPr>
            <w:tcW w:w="0" w:type="auto"/>
            <w:vMerge w:val="restart"/>
          </w:tcPr>
          <w:p w14:paraId="5DD19928" w14:textId="77777777" w:rsidR="004E4CC2" w:rsidRDefault="00000000">
            <w:pPr>
              <w:pStyle w:val="Compact"/>
            </w:pPr>
            <w:r>
              <w:t>Salzburg</w:t>
            </w:r>
          </w:p>
        </w:tc>
        <w:tc>
          <w:tcPr>
            <w:tcW w:w="0" w:type="auto"/>
          </w:tcPr>
          <w:p w14:paraId="4CED8400" w14:textId="77777777" w:rsidR="004E4CC2" w:rsidRDefault="00000000">
            <w:pPr>
              <w:pStyle w:val="Compact"/>
            </w:pPr>
            <w:r>
              <w:t>1</w:t>
            </w:r>
          </w:p>
        </w:tc>
        <w:tc>
          <w:tcPr>
            <w:tcW w:w="0" w:type="auto"/>
            <w:gridSpan w:val="2"/>
          </w:tcPr>
          <w:p w14:paraId="4EEDC020" w14:textId="77777777" w:rsidR="004E4CC2" w:rsidRDefault="00000000">
            <w:pPr>
              <w:pStyle w:val="Compact"/>
            </w:pPr>
            <w:r>
              <w:t>63</w:t>
            </w:r>
          </w:p>
        </w:tc>
        <w:tc>
          <w:tcPr>
            <w:tcW w:w="0" w:type="auto"/>
            <w:gridSpan w:val="2"/>
          </w:tcPr>
          <w:p w14:paraId="11F07A72" w14:textId="77777777" w:rsidR="004E4CC2" w:rsidRDefault="00000000">
            <w:pPr>
              <w:pStyle w:val="Compact"/>
            </w:pPr>
            <w:r>
              <w:t>57</w:t>
            </w:r>
            <w:r>
              <w:lastRenderedPageBreak/>
              <w:t>6</w:t>
            </w:r>
          </w:p>
        </w:tc>
        <w:tc>
          <w:tcPr>
            <w:tcW w:w="0" w:type="auto"/>
          </w:tcPr>
          <w:p w14:paraId="519633B1" w14:textId="77777777" w:rsidR="004E4CC2" w:rsidRDefault="00000000">
            <w:pPr>
              <w:pStyle w:val="Compact"/>
            </w:pPr>
            <w:r>
              <w:lastRenderedPageBreak/>
              <w:t>0</w:t>
            </w:r>
          </w:p>
        </w:tc>
        <w:tc>
          <w:tcPr>
            <w:tcW w:w="0" w:type="auto"/>
          </w:tcPr>
          <w:p w14:paraId="0A49E3B2" w14:textId="77777777" w:rsidR="004E4CC2" w:rsidRDefault="00000000">
            <w:pPr>
              <w:pStyle w:val="Compact"/>
            </w:pPr>
            <w:r>
              <w:t>240</w:t>
            </w:r>
          </w:p>
        </w:tc>
        <w:tc>
          <w:tcPr>
            <w:tcW w:w="0" w:type="auto"/>
          </w:tcPr>
          <w:p w14:paraId="4FB0E7B3" w14:textId="77777777" w:rsidR="004E4CC2" w:rsidRDefault="00000000">
            <w:pPr>
              <w:pStyle w:val="Compact"/>
            </w:pPr>
            <w:r>
              <w:t>113</w:t>
            </w:r>
          </w:p>
        </w:tc>
        <w:tc>
          <w:tcPr>
            <w:tcW w:w="0" w:type="auto"/>
            <w:gridSpan w:val="2"/>
          </w:tcPr>
          <w:p w14:paraId="50B5952B" w14:textId="77777777" w:rsidR="004E4CC2" w:rsidRDefault="00000000">
            <w:pPr>
              <w:pStyle w:val="Compact"/>
            </w:pPr>
            <w:r>
              <w:t>66</w:t>
            </w:r>
            <w:r>
              <w:lastRenderedPageBreak/>
              <w:t>5</w:t>
            </w:r>
          </w:p>
        </w:tc>
        <w:tc>
          <w:tcPr>
            <w:tcW w:w="0" w:type="auto"/>
            <w:gridSpan w:val="2"/>
          </w:tcPr>
          <w:p w14:paraId="612875F9" w14:textId="77777777" w:rsidR="004E4CC2" w:rsidRDefault="00000000">
            <w:pPr>
              <w:pStyle w:val="Compact"/>
            </w:pPr>
            <w:r>
              <w:lastRenderedPageBreak/>
              <w:t>85</w:t>
            </w:r>
          </w:p>
        </w:tc>
        <w:tc>
          <w:tcPr>
            <w:tcW w:w="0" w:type="auto"/>
          </w:tcPr>
          <w:p w14:paraId="6842CC1D" w14:textId="77777777" w:rsidR="004E4CC2" w:rsidRDefault="00000000">
            <w:pPr>
              <w:pStyle w:val="Compact"/>
            </w:pPr>
            <w:r>
              <w:t>127</w:t>
            </w:r>
          </w:p>
        </w:tc>
        <w:tc>
          <w:tcPr>
            <w:tcW w:w="0" w:type="auto"/>
          </w:tcPr>
          <w:p w14:paraId="659D5BA2" w14:textId="77777777" w:rsidR="004E4CC2" w:rsidRDefault="00000000">
            <w:pPr>
              <w:pStyle w:val="Compact"/>
            </w:pPr>
            <w:r>
              <w:t>29</w:t>
            </w:r>
          </w:p>
        </w:tc>
      </w:tr>
      <w:tr w:rsidR="004E4CC2" w14:paraId="4BD75D61" w14:textId="77777777">
        <w:tc>
          <w:tcPr>
            <w:tcW w:w="0" w:type="auto"/>
            <w:vMerge/>
          </w:tcPr>
          <w:p w14:paraId="59832CE5" w14:textId="77777777" w:rsidR="004E4CC2" w:rsidRDefault="004E4CC2"/>
        </w:tc>
        <w:tc>
          <w:tcPr>
            <w:tcW w:w="0" w:type="auto"/>
          </w:tcPr>
          <w:p w14:paraId="185E375E" w14:textId="77777777" w:rsidR="004E4CC2" w:rsidRDefault="00000000">
            <w:pPr>
              <w:pStyle w:val="Compact"/>
            </w:pPr>
            <w:r>
              <w:t>11+</w:t>
            </w:r>
          </w:p>
        </w:tc>
        <w:tc>
          <w:tcPr>
            <w:tcW w:w="0" w:type="auto"/>
            <w:gridSpan w:val="2"/>
          </w:tcPr>
          <w:p w14:paraId="717ED362" w14:textId="77777777" w:rsidR="004E4CC2" w:rsidRDefault="00000000">
            <w:pPr>
              <w:pStyle w:val="Compact"/>
            </w:pPr>
            <w:r>
              <w:t>0</w:t>
            </w:r>
          </w:p>
        </w:tc>
        <w:tc>
          <w:tcPr>
            <w:tcW w:w="0" w:type="auto"/>
            <w:gridSpan w:val="2"/>
          </w:tcPr>
          <w:p w14:paraId="29804652" w14:textId="77777777" w:rsidR="004E4CC2" w:rsidRDefault="00000000">
            <w:pPr>
              <w:pStyle w:val="Compact"/>
            </w:pPr>
            <w:r>
              <w:t>0</w:t>
            </w:r>
          </w:p>
        </w:tc>
        <w:tc>
          <w:tcPr>
            <w:tcW w:w="0" w:type="auto"/>
          </w:tcPr>
          <w:p w14:paraId="39168B09" w14:textId="77777777" w:rsidR="004E4CC2" w:rsidRDefault="00000000">
            <w:pPr>
              <w:pStyle w:val="Compact"/>
            </w:pPr>
            <w:r>
              <w:t>0</w:t>
            </w:r>
          </w:p>
        </w:tc>
        <w:tc>
          <w:tcPr>
            <w:tcW w:w="0" w:type="auto"/>
          </w:tcPr>
          <w:p w14:paraId="30E0AA8B" w14:textId="77777777" w:rsidR="004E4CC2" w:rsidRDefault="00000000">
            <w:pPr>
              <w:pStyle w:val="Compact"/>
            </w:pPr>
            <w:r>
              <w:t>0</w:t>
            </w:r>
          </w:p>
        </w:tc>
        <w:tc>
          <w:tcPr>
            <w:tcW w:w="0" w:type="auto"/>
          </w:tcPr>
          <w:p w14:paraId="35FB5AE8" w14:textId="77777777" w:rsidR="004E4CC2" w:rsidRDefault="00000000">
            <w:pPr>
              <w:pStyle w:val="Compact"/>
            </w:pPr>
            <w:r>
              <w:t>0</w:t>
            </w:r>
          </w:p>
        </w:tc>
        <w:tc>
          <w:tcPr>
            <w:tcW w:w="0" w:type="auto"/>
            <w:gridSpan w:val="2"/>
          </w:tcPr>
          <w:p w14:paraId="06DB49E8" w14:textId="77777777" w:rsidR="004E4CC2" w:rsidRDefault="00000000">
            <w:pPr>
              <w:pStyle w:val="Compact"/>
            </w:pPr>
            <w:r>
              <w:t>0</w:t>
            </w:r>
          </w:p>
        </w:tc>
        <w:tc>
          <w:tcPr>
            <w:tcW w:w="0" w:type="auto"/>
            <w:gridSpan w:val="2"/>
          </w:tcPr>
          <w:p w14:paraId="25AEF1AB" w14:textId="77777777" w:rsidR="004E4CC2" w:rsidRDefault="00000000">
            <w:pPr>
              <w:pStyle w:val="Compact"/>
            </w:pPr>
            <w:r>
              <w:t>0</w:t>
            </w:r>
          </w:p>
        </w:tc>
        <w:tc>
          <w:tcPr>
            <w:tcW w:w="0" w:type="auto"/>
          </w:tcPr>
          <w:p w14:paraId="437A034A" w14:textId="77777777" w:rsidR="004E4CC2" w:rsidRDefault="00000000">
            <w:pPr>
              <w:pStyle w:val="Compact"/>
            </w:pPr>
            <w:r>
              <w:t>1</w:t>
            </w:r>
          </w:p>
        </w:tc>
        <w:tc>
          <w:tcPr>
            <w:tcW w:w="0" w:type="auto"/>
          </w:tcPr>
          <w:p w14:paraId="3ADD0360" w14:textId="77777777" w:rsidR="004E4CC2" w:rsidRDefault="00000000">
            <w:pPr>
              <w:pStyle w:val="Compact"/>
            </w:pPr>
            <w:r>
              <w:t>0</w:t>
            </w:r>
          </w:p>
        </w:tc>
      </w:tr>
      <w:tr w:rsidR="004E4CC2" w14:paraId="6EB7E792" w14:textId="77777777">
        <w:tc>
          <w:tcPr>
            <w:tcW w:w="0" w:type="auto"/>
            <w:vMerge/>
          </w:tcPr>
          <w:p w14:paraId="20263479" w14:textId="77777777" w:rsidR="004E4CC2" w:rsidRDefault="004E4CC2"/>
        </w:tc>
        <w:tc>
          <w:tcPr>
            <w:tcW w:w="0" w:type="auto"/>
          </w:tcPr>
          <w:p w14:paraId="74B7BE73" w14:textId="77777777" w:rsidR="004E4CC2" w:rsidRDefault="00000000">
            <w:pPr>
              <w:pStyle w:val="Compact"/>
            </w:pPr>
            <w:r>
              <w:t>2</w:t>
            </w:r>
          </w:p>
        </w:tc>
        <w:tc>
          <w:tcPr>
            <w:tcW w:w="0" w:type="auto"/>
            <w:gridSpan w:val="2"/>
          </w:tcPr>
          <w:p w14:paraId="48124055" w14:textId="77777777" w:rsidR="004E4CC2" w:rsidRDefault="00000000">
            <w:pPr>
              <w:pStyle w:val="Compact"/>
            </w:pPr>
            <w:r>
              <w:t>334</w:t>
            </w:r>
          </w:p>
        </w:tc>
        <w:tc>
          <w:tcPr>
            <w:tcW w:w="0" w:type="auto"/>
            <w:gridSpan w:val="2"/>
          </w:tcPr>
          <w:p w14:paraId="7F3ACEC6" w14:textId="77777777" w:rsidR="004E4CC2" w:rsidRDefault="00000000">
            <w:pPr>
              <w:pStyle w:val="Compact"/>
            </w:pPr>
            <w:r>
              <w:t>19517</w:t>
            </w:r>
          </w:p>
        </w:tc>
        <w:tc>
          <w:tcPr>
            <w:tcW w:w="0" w:type="auto"/>
          </w:tcPr>
          <w:p w14:paraId="0E1B703A" w14:textId="77777777" w:rsidR="004E4CC2" w:rsidRDefault="00000000">
            <w:pPr>
              <w:pStyle w:val="Compact"/>
            </w:pPr>
            <w:r>
              <w:t>0</w:t>
            </w:r>
          </w:p>
        </w:tc>
        <w:tc>
          <w:tcPr>
            <w:tcW w:w="0" w:type="auto"/>
          </w:tcPr>
          <w:p w14:paraId="4DAD22EF" w14:textId="77777777" w:rsidR="004E4CC2" w:rsidRDefault="00000000">
            <w:pPr>
              <w:pStyle w:val="Compact"/>
            </w:pPr>
            <w:r>
              <w:t>601</w:t>
            </w:r>
          </w:p>
        </w:tc>
        <w:tc>
          <w:tcPr>
            <w:tcW w:w="0" w:type="auto"/>
          </w:tcPr>
          <w:p w14:paraId="0621F7B4" w14:textId="77777777" w:rsidR="004E4CC2" w:rsidRDefault="00000000">
            <w:pPr>
              <w:pStyle w:val="Compact"/>
            </w:pPr>
            <w:r>
              <w:t>906</w:t>
            </w:r>
          </w:p>
        </w:tc>
        <w:tc>
          <w:tcPr>
            <w:tcW w:w="0" w:type="auto"/>
            <w:gridSpan w:val="2"/>
          </w:tcPr>
          <w:p w14:paraId="602875CD" w14:textId="77777777" w:rsidR="004E4CC2" w:rsidRDefault="00000000">
            <w:pPr>
              <w:pStyle w:val="Compact"/>
            </w:pPr>
            <w:r>
              <w:t>1118</w:t>
            </w:r>
          </w:p>
        </w:tc>
        <w:tc>
          <w:tcPr>
            <w:tcW w:w="0" w:type="auto"/>
            <w:gridSpan w:val="2"/>
          </w:tcPr>
          <w:p w14:paraId="0B3C2945" w14:textId="77777777" w:rsidR="004E4CC2" w:rsidRDefault="00000000">
            <w:pPr>
              <w:pStyle w:val="Compact"/>
            </w:pPr>
            <w:r>
              <w:t>206</w:t>
            </w:r>
          </w:p>
        </w:tc>
        <w:tc>
          <w:tcPr>
            <w:tcW w:w="0" w:type="auto"/>
          </w:tcPr>
          <w:p w14:paraId="1E07EFD8" w14:textId="77777777" w:rsidR="004E4CC2" w:rsidRDefault="00000000">
            <w:pPr>
              <w:pStyle w:val="Compact"/>
            </w:pPr>
            <w:r>
              <w:t>5019</w:t>
            </w:r>
          </w:p>
        </w:tc>
        <w:tc>
          <w:tcPr>
            <w:tcW w:w="0" w:type="auto"/>
          </w:tcPr>
          <w:p w14:paraId="3188F8A7" w14:textId="77777777" w:rsidR="004E4CC2" w:rsidRDefault="00000000">
            <w:pPr>
              <w:pStyle w:val="Compact"/>
            </w:pPr>
            <w:r>
              <w:t>23</w:t>
            </w:r>
          </w:p>
        </w:tc>
      </w:tr>
      <w:tr w:rsidR="004E4CC2" w14:paraId="56B20697" w14:textId="77777777">
        <w:tc>
          <w:tcPr>
            <w:tcW w:w="0" w:type="auto"/>
            <w:vMerge/>
          </w:tcPr>
          <w:p w14:paraId="203BC221" w14:textId="77777777" w:rsidR="004E4CC2" w:rsidRDefault="004E4CC2"/>
        </w:tc>
        <w:tc>
          <w:tcPr>
            <w:tcW w:w="0" w:type="auto"/>
          </w:tcPr>
          <w:p w14:paraId="2F9329A8" w14:textId="77777777" w:rsidR="004E4CC2" w:rsidRDefault="00000000">
            <w:pPr>
              <w:pStyle w:val="Compact"/>
            </w:pPr>
            <w:r>
              <w:t>3</w:t>
            </w:r>
          </w:p>
        </w:tc>
        <w:tc>
          <w:tcPr>
            <w:tcW w:w="0" w:type="auto"/>
            <w:gridSpan w:val="2"/>
          </w:tcPr>
          <w:p w14:paraId="3BB1D851" w14:textId="77777777" w:rsidR="004E4CC2" w:rsidRDefault="00000000">
            <w:pPr>
              <w:pStyle w:val="Compact"/>
            </w:pPr>
            <w:r>
              <w:t>431</w:t>
            </w:r>
          </w:p>
        </w:tc>
        <w:tc>
          <w:tcPr>
            <w:tcW w:w="0" w:type="auto"/>
            <w:gridSpan w:val="2"/>
          </w:tcPr>
          <w:p w14:paraId="30C45D70" w14:textId="77777777" w:rsidR="004E4CC2" w:rsidRDefault="00000000">
            <w:pPr>
              <w:pStyle w:val="Compact"/>
            </w:pPr>
            <w:r>
              <w:t>15912</w:t>
            </w:r>
          </w:p>
        </w:tc>
        <w:tc>
          <w:tcPr>
            <w:tcW w:w="0" w:type="auto"/>
          </w:tcPr>
          <w:p w14:paraId="78416C7F" w14:textId="77777777" w:rsidR="004E4CC2" w:rsidRDefault="00000000">
            <w:pPr>
              <w:pStyle w:val="Compact"/>
            </w:pPr>
            <w:r>
              <w:t>0</w:t>
            </w:r>
          </w:p>
        </w:tc>
        <w:tc>
          <w:tcPr>
            <w:tcW w:w="0" w:type="auto"/>
          </w:tcPr>
          <w:p w14:paraId="00EC4A0A" w14:textId="77777777" w:rsidR="004E4CC2" w:rsidRDefault="00000000">
            <w:pPr>
              <w:pStyle w:val="Compact"/>
            </w:pPr>
            <w:r>
              <w:t>551</w:t>
            </w:r>
          </w:p>
        </w:tc>
        <w:tc>
          <w:tcPr>
            <w:tcW w:w="0" w:type="auto"/>
          </w:tcPr>
          <w:p w14:paraId="03E10587" w14:textId="77777777" w:rsidR="004E4CC2" w:rsidRDefault="00000000">
            <w:pPr>
              <w:pStyle w:val="Compact"/>
            </w:pPr>
            <w:r>
              <w:t>1173</w:t>
            </w:r>
          </w:p>
        </w:tc>
        <w:tc>
          <w:tcPr>
            <w:tcW w:w="0" w:type="auto"/>
            <w:gridSpan w:val="2"/>
          </w:tcPr>
          <w:p w14:paraId="6A9DBFBE" w14:textId="77777777" w:rsidR="004E4CC2" w:rsidRDefault="00000000">
            <w:pPr>
              <w:pStyle w:val="Compact"/>
            </w:pPr>
            <w:r>
              <w:t>401</w:t>
            </w:r>
          </w:p>
        </w:tc>
        <w:tc>
          <w:tcPr>
            <w:tcW w:w="0" w:type="auto"/>
            <w:gridSpan w:val="2"/>
          </w:tcPr>
          <w:p w14:paraId="40D1CE19" w14:textId="77777777" w:rsidR="004E4CC2" w:rsidRDefault="00000000">
            <w:pPr>
              <w:pStyle w:val="Compact"/>
            </w:pPr>
            <w:r>
              <w:t>198</w:t>
            </w:r>
          </w:p>
        </w:tc>
        <w:tc>
          <w:tcPr>
            <w:tcW w:w="0" w:type="auto"/>
          </w:tcPr>
          <w:p w14:paraId="4BDC6927" w14:textId="77777777" w:rsidR="004E4CC2" w:rsidRDefault="00000000">
            <w:pPr>
              <w:pStyle w:val="Compact"/>
            </w:pPr>
            <w:r>
              <w:t>11496</w:t>
            </w:r>
          </w:p>
        </w:tc>
        <w:tc>
          <w:tcPr>
            <w:tcW w:w="0" w:type="auto"/>
          </w:tcPr>
          <w:p w14:paraId="61BACF5D" w14:textId="77777777" w:rsidR="004E4CC2" w:rsidRDefault="00000000">
            <w:pPr>
              <w:pStyle w:val="Compact"/>
            </w:pPr>
            <w:r>
              <w:t>13</w:t>
            </w:r>
          </w:p>
        </w:tc>
      </w:tr>
      <w:tr w:rsidR="004E4CC2" w14:paraId="28953D91" w14:textId="77777777">
        <w:tc>
          <w:tcPr>
            <w:tcW w:w="0" w:type="auto"/>
            <w:vMerge/>
          </w:tcPr>
          <w:p w14:paraId="06B3A69A" w14:textId="77777777" w:rsidR="004E4CC2" w:rsidRDefault="004E4CC2"/>
        </w:tc>
        <w:tc>
          <w:tcPr>
            <w:tcW w:w="0" w:type="auto"/>
          </w:tcPr>
          <w:p w14:paraId="350B09F5" w14:textId="77777777" w:rsidR="004E4CC2" w:rsidRDefault="00000000">
            <w:pPr>
              <w:pStyle w:val="Compact"/>
            </w:pPr>
            <w:r>
              <w:t>4</w:t>
            </w:r>
          </w:p>
        </w:tc>
        <w:tc>
          <w:tcPr>
            <w:tcW w:w="0" w:type="auto"/>
            <w:gridSpan w:val="2"/>
          </w:tcPr>
          <w:p w14:paraId="0389D5B2" w14:textId="77777777" w:rsidR="004E4CC2" w:rsidRDefault="00000000">
            <w:pPr>
              <w:pStyle w:val="Compact"/>
            </w:pPr>
            <w:r>
              <w:t>218</w:t>
            </w:r>
          </w:p>
        </w:tc>
        <w:tc>
          <w:tcPr>
            <w:tcW w:w="0" w:type="auto"/>
            <w:gridSpan w:val="2"/>
          </w:tcPr>
          <w:p w14:paraId="59D7D166" w14:textId="77777777" w:rsidR="004E4CC2" w:rsidRDefault="00000000">
            <w:pPr>
              <w:pStyle w:val="Compact"/>
            </w:pPr>
            <w:r>
              <w:t>1471</w:t>
            </w:r>
          </w:p>
        </w:tc>
        <w:tc>
          <w:tcPr>
            <w:tcW w:w="0" w:type="auto"/>
          </w:tcPr>
          <w:p w14:paraId="478917B0" w14:textId="77777777" w:rsidR="004E4CC2" w:rsidRDefault="00000000">
            <w:pPr>
              <w:pStyle w:val="Compact"/>
            </w:pPr>
            <w:r>
              <w:t>0</w:t>
            </w:r>
          </w:p>
        </w:tc>
        <w:tc>
          <w:tcPr>
            <w:tcW w:w="0" w:type="auto"/>
          </w:tcPr>
          <w:p w14:paraId="715E8869" w14:textId="77777777" w:rsidR="004E4CC2" w:rsidRDefault="00000000">
            <w:pPr>
              <w:pStyle w:val="Compact"/>
            </w:pPr>
            <w:r>
              <w:t>166</w:t>
            </w:r>
          </w:p>
        </w:tc>
        <w:tc>
          <w:tcPr>
            <w:tcW w:w="0" w:type="auto"/>
          </w:tcPr>
          <w:p w14:paraId="52A41D4E" w14:textId="77777777" w:rsidR="004E4CC2" w:rsidRDefault="00000000">
            <w:pPr>
              <w:pStyle w:val="Compact"/>
            </w:pPr>
            <w:r>
              <w:t>539</w:t>
            </w:r>
          </w:p>
        </w:tc>
        <w:tc>
          <w:tcPr>
            <w:tcW w:w="0" w:type="auto"/>
            <w:gridSpan w:val="2"/>
          </w:tcPr>
          <w:p w14:paraId="7D05083B" w14:textId="77777777" w:rsidR="004E4CC2" w:rsidRDefault="00000000">
            <w:pPr>
              <w:pStyle w:val="Compact"/>
            </w:pPr>
            <w:r>
              <w:t>129</w:t>
            </w:r>
          </w:p>
        </w:tc>
        <w:tc>
          <w:tcPr>
            <w:tcW w:w="0" w:type="auto"/>
            <w:gridSpan w:val="2"/>
          </w:tcPr>
          <w:p w14:paraId="4519C9E7" w14:textId="77777777" w:rsidR="004E4CC2" w:rsidRDefault="00000000">
            <w:pPr>
              <w:pStyle w:val="Compact"/>
            </w:pPr>
            <w:r>
              <w:t>110</w:t>
            </w:r>
          </w:p>
        </w:tc>
        <w:tc>
          <w:tcPr>
            <w:tcW w:w="0" w:type="auto"/>
          </w:tcPr>
          <w:p w14:paraId="0963702C" w14:textId="77777777" w:rsidR="004E4CC2" w:rsidRDefault="00000000">
            <w:pPr>
              <w:pStyle w:val="Compact"/>
            </w:pPr>
            <w:r>
              <w:t>3877</w:t>
            </w:r>
          </w:p>
        </w:tc>
        <w:tc>
          <w:tcPr>
            <w:tcW w:w="0" w:type="auto"/>
          </w:tcPr>
          <w:p w14:paraId="46D305E0" w14:textId="77777777" w:rsidR="004E4CC2" w:rsidRDefault="00000000">
            <w:pPr>
              <w:pStyle w:val="Compact"/>
            </w:pPr>
            <w:r>
              <w:t>9</w:t>
            </w:r>
          </w:p>
        </w:tc>
      </w:tr>
      <w:tr w:rsidR="004E4CC2" w14:paraId="331FD03E" w14:textId="77777777">
        <w:tc>
          <w:tcPr>
            <w:tcW w:w="0" w:type="auto"/>
            <w:vMerge/>
          </w:tcPr>
          <w:p w14:paraId="00679954" w14:textId="77777777" w:rsidR="004E4CC2" w:rsidRDefault="004E4CC2"/>
        </w:tc>
        <w:tc>
          <w:tcPr>
            <w:tcW w:w="0" w:type="auto"/>
          </w:tcPr>
          <w:p w14:paraId="2171E117" w14:textId="77777777" w:rsidR="004E4CC2" w:rsidRDefault="00000000">
            <w:pPr>
              <w:pStyle w:val="Compact"/>
            </w:pPr>
            <w:r>
              <w:t>5</w:t>
            </w:r>
          </w:p>
        </w:tc>
        <w:tc>
          <w:tcPr>
            <w:tcW w:w="0" w:type="auto"/>
            <w:gridSpan w:val="2"/>
          </w:tcPr>
          <w:p w14:paraId="28D50454" w14:textId="77777777" w:rsidR="004E4CC2" w:rsidRDefault="00000000">
            <w:pPr>
              <w:pStyle w:val="Compact"/>
            </w:pPr>
            <w:r>
              <w:t>115</w:t>
            </w:r>
          </w:p>
        </w:tc>
        <w:tc>
          <w:tcPr>
            <w:tcW w:w="0" w:type="auto"/>
            <w:gridSpan w:val="2"/>
          </w:tcPr>
          <w:p w14:paraId="0F13CBA2" w14:textId="77777777" w:rsidR="004E4CC2" w:rsidRDefault="00000000">
            <w:pPr>
              <w:pStyle w:val="Compact"/>
            </w:pPr>
            <w:r>
              <w:t>303</w:t>
            </w:r>
          </w:p>
        </w:tc>
        <w:tc>
          <w:tcPr>
            <w:tcW w:w="0" w:type="auto"/>
          </w:tcPr>
          <w:p w14:paraId="0577B369" w14:textId="77777777" w:rsidR="004E4CC2" w:rsidRDefault="00000000">
            <w:pPr>
              <w:pStyle w:val="Compact"/>
            </w:pPr>
            <w:r>
              <w:t>0</w:t>
            </w:r>
          </w:p>
        </w:tc>
        <w:tc>
          <w:tcPr>
            <w:tcW w:w="0" w:type="auto"/>
          </w:tcPr>
          <w:p w14:paraId="5C2A8767" w14:textId="77777777" w:rsidR="004E4CC2" w:rsidRDefault="00000000">
            <w:pPr>
              <w:pStyle w:val="Compact"/>
            </w:pPr>
            <w:r>
              <w:t>65</w:t>
            </w:r>
          </w:p>
        </w:tc>
        <w:tc>
          <w:tcPr>
            <w:tcW w:w="0" w:type="auto"/>
          </w:tcPr>
          <w:p w14:paraId="66996676" w14:textId="77777777" w:rsidR="004E4CC2" w:rsidRDefault="00000000">
            <w:pPr>
              <w:pStyle w:val="Compact"/>
            </w:pPr>
            <w:r>
              <w:t>175</w:t>
            </w:r>
          </w:p>
        </w:tc>
        <w:tc>
          <w:tcPr>
            <w:tcW w:w="0" w:type="auto"/>
            <w:gridSpan w:val="2"/>
          </w:tcPr>
          <w:p w14:paraId="25FCBA39" w14:textId="77777777" w:rsidR="004E4CC2" w:rsidRDefault="00000000">
            <w:pPr>
              <w:pStyle w:val="Compact"/>
            </w:pPr>
            <w:r>
              <w:t>50</w:t>
            </w:r>
          </w:p>
        </w:tc>
        <w:tc>
          <w:tcPr>
            <w:tcW w:w="0" w:type="auto"/>
            <w:gridSpan w:val="2"/>
          </w:tcPr>
          <w:p w14:paraId="6B80F21F" w14:textId="77777777" w:rsidR="004E4CC2" w:rsidRDefault="00000000">
            <w:pPr>
              <w:pStyle w:val="Compact"/>
            </w:pPr>
            <w:r>
              <w:t>49</w:t>
            </w:r>
          </w:p>
        </w:tc>
        <w:tc>
          <w:tcPr>
            <w:tcW w:w="0" w:type="auto"/>
          </w:tcPr>
          <w:p w14:paraId="4CD59229" w14:textId="77777777" w:rsidR="004E4CC2" w:rsidRDefault="00000000">
            <w:pPr>
              <w:pStyle w:val="Compact"/>
            </w:pPr>
            <w:r>
              <w:t>1521</w:t>
            </w:r>
          </w:p>
        </w:tc>
        <w:tc>
          <w:tcPr>
            <w:tcW w:w="0" w:type="auto"/>
          </w:tcPr>
          <w:p w14:paraId="38551553" w14:textId="77777777" w:rsidR="004E4CC2" w:rsidRDefault="00000000">
            <w:pPr>
              <w:pStyle w:val="Compact"/>
            </w:pPr>
            <w:r>
              <w:t>1</w:t>
            </w:r>
          </w:p>
        </w:tc>
      </w:tr>
      <w:tr w:rsidR="004E4CC2" w14:paraId="56A97F5E" w14:textId="77777777">
        <w:tc>
          <w:tcPr>
            <w:tcW w:w="0" w:type="auto"/>
            <w:vMerge/>
          </w:tcPr>
          <w:p w14:paraId="6684B21D" w14:textId="77777777" w:rsidR="004E4CC2" w:rsidRDefault="004E4CC2"/>
        </w:tc>
        <w:tc>
          <w:tcPr>
            <w:tcW w:w="0" w:type="auto"/>
          </w:tcPr>
          <w:p w14:paraId="0BB1E957" w14:textId="77777777" w:rsidR="004E4CC2" w:rsidRDefault="00000000">
            <w:pPr>
              <w:pStyle w:val="Compact"/>
            </w:pPr>
            <w:r>
              <w:t>6-10</w:t>
            </w:r>
          </w:p>
        </w:tc>
        <w:tc>
          <w:tcPr>
            <w:tcW w:w="0" w:type="auto"/>
            <w:gridSpan w:val="2"/>
          </w:tcPr>
          <w:p w14:paraId="43516A2C" w14:textId="77777777" w:rsidR="004E4CC2" w:rsidRDefault="00000000">
            <w:pPr>
              <w:pStyle w:val="Compact"/>
            </w:pPr>
            <w:r>
              <w:t>107</w:t>
            </w:r>
          </w:p>
        </w:tc>
        <w:tc>
          <w:tcPr>
            <w:tcW w:w="0" w:type="auto"/>
            <w:gridSpan w:val="2"/>
          </w:tcPr>
          <w:p w14:paraId="25630356" w14:textId="77777777" w:rsidR="004E4CC2" w:rsidRDefault="00000000">
            <w:pPr>
              <w:pStyle w:val="Compact"/>
            </w:pPr>
            <w:r>
              <w:t>284</w:t>
            </w:r>
          </w:p>
        </w:tc>
        <w:tc>
          <w:tcPr>
            <w:tcW w:w="0" w:type="auto"/>
          </w:tcPr>
          <w:p w14:paraId="6283BC8D" w14:textId="77777777" w:rsidR="004E4CC2" w:rsidRDefault="00000000">
            <w:pPr>
              <w:pStyle w:val="Compact"/>
            </w:pPr>
            <w:r>
              <w:t>0</w:t>
            </w:r>
          </w:p>
        </w:tc>
        <w:tc>
          <w:tcPr>
            <w:tcW w:w="0" w:type="auto"/>
          </w:tcPr>
          <w:p w14:paraId="72E563E8" w14:textId="77777777" w:rsidR="004E4CC2" w:rsidRDefault="00000000">
            <w:pPr>
              <w:pStyle w:val="Compact"/>
            </w:pPr>
            <w:r>
              <w:t>47</w:t>
            </w:r>
          </w:p>
        </w:tc>
        <w:tc>
          <w:tcPr>
            <w:tcW w:w="0" w:type="auto"/>
          </w:tcPr>
          <w:p w14:paraId="6536B0B1" w14:textId="77777777" w:rsidR="004E4CC2" w:rsidRDefault="00000000">
            <w:pPr>
              <w:pStyle w:val="Compact"/>
            </w:pPr>
            <w:r>
              <w:t>65</w:t>
            </w:r>
          </w:p>
        </w:tc>
        <w:tc>
          <w:tcPr>
            <w:tcW w:w="0" w:type="auto"/>
            <w:gridSpan w:val="2"/>
          </w:tcPr>
          <w:p w14:paraId="7E25686A" w14:textId="77777777" w:rsidR="004E4CC2" w:rsidRDefault="00000000">
            <w:pPr>
              <w:pStyle w:val="Compact"/>
            </w:pPr>
            <w:r>
              <w:t>34</w:t>
            </w:r>
          </w:p>
        </w:tc>
        <w:tc>
          <w:tcPr>
            <w:tcW w:w="0" w:type="auto"/>
            <w:gridSpan w:val="2"/>
          </w:tcPr>
          <w:p w14:paraId="7C239CD8" w14:textId="77777777" w:rsidR="004E4CC2" w:rsidRDefault="00000000">
            <w:pPr>
              <w:pStyle w:val="Compact"/>
            </w:pPr>
            <w:r>
              <w:t>33</w:t>
            </w:r>
          </w:p>
        </w:tc>
        <w:tc>
          <w:tcPr>
            <w:tcW w:w="0" w:type="auto"/>
          </w:tcPr>
          <w:p w14:paraId="7D4511DC" w14:textId="77777777" w:rsidR="004E4CC2" w:rsidRDefault="00000000">
            <w:pPr>
              <w:pStyle w:val="Compact"/>
            </w:pPr>
            <w:r>
              <w:t>1197</w:t>
            </w:r>
          </w:p>
        </w:tc>
        <w:tc>
          <w:tcPr>
            <w:tcW w:w="0" w:type="auto"/>
          </w:tcPr>
          <w:p w14:paraId="5DCB2DD0" w14:textId="77777777" w:rsidR="004E4CC2" w:rsidRDefault="00000000">
            <w:pPr>
              <w:pStyle w:val="Compact"/>
            </w:pPr>
            <w:r>
              <w:t>3</w:t>
            </w:r>
          </w:p>
        </w:tc>
      </w:tr>
      <w:tr w:rsidR="004E4CC2" w14:paraId="7B7C935E" w14:textId="77777777">
        <w:tc>
          <w:tcPr>
            <w:tcW w:w="0" w:type="auto"/>
            <w:vMerge w:val="restart"/>
          </w:tcPr>
          <w:p w14:paraId="3F882E30" w14:textId="77777777" w:rsidR="004E4CC2" w:rsidRDefault="00000000">
            <w:pPr>
              <w:pStyle w:val="Compact"/>
            </w:pPr>
            <w:r>
              <w:t>Wien</w:t>
            </w:r>
          </w:p>
        </w:tc>
        <w:tc>
          <w:tcPr>
            <w:tcW w:w="0" w:type="auto"/>
          </w:tcPr>
          <w:p w14:paraId="6660B6A2" w14:textId="77777777" w:rsidR="004E4CC2" w:rsidRDefault="00000000">
            <w:pPr>
              <w:pStyle w:val="Compact"/>
            </w:pPr>
            <w:r>
              <w:t>1</w:t>
            </w:r>
          </w:p>
        </w:tc>
        <w:tc>
          <w:tcPr>
            <w:tcW w:w="0" w:type="auto"/>
            <w:gridSpan w:val="2"/>
          </w:tcPr>
          <w:p w14:paraId="274B64D5" w14:textId="77777777" w:rsidR="004E4CC2" w:rsidRDefault="00000000">
            <w:pPr>
              <w:pStyle w:val="Compact"/>
            </w:pPr>
            <w:r>
              <w:t>1</w:t>
            </w:r>
            <w:r>
              <w:lastRenderedPageBreak/>
              <w:t>37</w:t>
            </w:r>
          </w:p>
        </w:tc>
        <w:tc>
          <w:tcPr>
            <w:tcW w:w="0" w:type="auto"/>
            <w:gridSpan w:val="2"/>
          </w:tcPr>
          <w:p w14:paraId="1267FC26" w14:textId="77777777" w:rsidR="004E4CC2" w:rsidRDefault="00000000">
            <w:pPr>
              <w:pStyle w:val="Compact"/>
            </w:pPr>
            <w:r>
              <w:lastRenderedPageBreak/>
              <w:t>1</w:t>
            </w:r>
            <w:r>
              <w:lastRenderedPageBreak/>
              <w:t>5342</w:t>
            </w:r>
          </w:p>
        </w:tc>
        <w:tc>
          <w:tcPr>
            <w:tcW w:w="0" w:type="auto"/>
          </w:tcPr>
          <w:p w14:paraId="3A40FD32" w14:textId="77777777" w:rsidR="004E4CC2" w:rsidRDefault="00000000">
            <w:pPr>
              <w:pStyle w:val="Compact"/>
            </w:pPr>
            <w:r>
              <w:lastRenderedPageBreak/>
              <w:t>5</w:t>
            </w:r>
          </w:p>
        </w:tc>
        <w:tc>
          <w:tcPr>
            <w:tcW w:w="0" w:type="auto"/>
          </w:tcPr>
          <w:p w14:paraId="6A3E3443" w14:textId="77777777" w:rsidR="004E4CC2" w:rsidRDefault="00000000">
            <w:pPr>
              <w:pStyle w:val="Compact"/>
            </w:pPr>
            <w:r>
              <w:t>164</w:t>
            </w:r>
          </w:p>
        </w:tc>
        <w:tc>
          <w:tcPr>
            <w:tcW w:w="0" w:type="auto"/>
          </w:tcPr>
          <w:p w14:paraId="6F67EB05" w14:textId="77777777" w:rsidR="004E4CC2" w:rsidRDefault="00000000">
            <w:pPr>
              <w:pStyle w:val="Compact"/>
            </w:pPr>
            <w:r>
              <w:t>56</w:t>
            </w:r>
          </w:p>
        </w:tc>
        <w:tc>
          <w:tcPr>
            <w:tcW w:w="0" w:type="auto"/>
            <w:gridSpan w:val="2"/>
          </w:tcPr>
          <w:p w14:paraId="00B00240" w14:textId="77777777" w:rsidR="004E4CC2" w:rsidRDefault="00000000">
            <w:pPr>
              <w:pStyle w:val="Compact"/>
            </w:pPr>
            <w:r>
              <w:t>3</w:t>
            </w:r>
            <w:r>
              <w:lastRenderedPageBreak/>
              <w:t>10</w:t>
            </w:r>
          </w:p>
        </w:tc>
        <w:tc>
          <w:tcPr>
            <w:tcW w:w="0" w:type="auto"/>
            <w:gridSpan w:val="2"/>
          </w:tcPr>
          <w:p w14:paraId="7B530639" w14:textId="77777777" w:rsidR="004E4CC2" w:rsidRDefault="00000000">
            <w:pPr>
              <w:pStyle w:val="Compact"/>
            </w:pPr>
            <w:r>
              <w:lastRenderedPageBreak/>
              <w:t>4</w:t>
            </w:r>
            <w:r>
              <w:lastRenderedPageBreak/>
              <w:t>5</w:t>
            </w:r>
          </w:p>
        </w:tc>
        <w:tc>
          <w:tcPr>
            <w:tcW w:w="0" w:type="auto"/>
          </w:tcPr>
          <w:p w14:paraId="3B22A2A8" w14:textId="77777777" w:rsidR="004E4CC2" w:rsidRDefault="00000000">
            <w:pPr>
              <w:pStyle w:val="Compact"/>
            </w:pPr>
            <w:r>
              <w:lastRenderedPageBreak/>
              <w:t>100</w:t>
            </w:r>
          </w:p>
        </w:tc>
        <w:tc>
          <w:tcPr>
            <w:tcW w:w="0" w:type="auto"/>
          </w:tcPr>
          <w:p w14:paraId="3AC6E644" w14:textId="77777777" w:rsidR="004E4CC2" w:rsidRDefault="00000000">
            <w:pPr>
              <w:pStyle w:val="Compact"/>
            </w:pPr>
            <w:r>
              <w:t>59</w:t>
            </w:r>
          </w:p>
        </w:tc>
      </w:tr>
      <w:tr w:rsidR="004E4CC2" w14:paraId="72D7AFD3" w14:textId="77777777">
        <w:tc>
          <w:tcPr>
            <w:tcW w:w="0" w:type="auto"/>
            <w:vMerge/>
          </w:tcPr>
          <w:p w14:paraId="752E8717" w14:textId="77777777" w:rsidR="004E4CC2" w:rsidRDefault="004E4CC2"/>
        </w:tc>
        <w:tc>
          <w:tcPr>
            <w:tcW w:w="0" w:type="auto"/>
          </w:tcPr>
          <w:p w14:paraId="150166A2" w14:textId="77777777" w:rsidR="004E4CC2" w:rsidRDefault="00000000">
            <w:pPr>
              <w:pStyle w:val="Compact"/>
            </w:pPr>
            <w:r>
              <w:t>11+</w:t>
            </w:r>
          </w:p>
        </w:tc>
        <w:tc>
          <w:tcPr>
            <w:tcW w:w="0" w:type="auto"/>
            <w:gridSpan w:val="2"/>
          </w:tcPr>
          <w:p w14:paraId="71CB1044" w14:textId="77777777" w:rsidR="004E4CC2" w:rsidRDefault="00000000">
            <w:pPr>
              <w:pStyle w:val="Compact"/>
            </w:pPr>
            <w:r>
              <w:t>103</w:t>
            </w:r>
          </w:p>
        </w:tc>
        <w:tc>
          <w:tcPr>
            <w:tcW w:w="0" w:type="auto"/>
            <w:gridSpan w:val="2"/>
          </w:tcPr>
          <w:p w14:paraId="163C027B" w14:textId="77777777" w:rsidR="004E4CC2" w:rsidRDefault="00000000">
            <w:pPr>
              <w:pStyle w:val="Compact"/>
            </w:pPr>
            <w:r>
              <w:t>32</w:t>
            </w:r>
          </w:p>
        </w:tc>
        <w:tc>
          <w:tcPr>
            <w:tcW w:w="0" w:type="auto"/>
          </w:tcPr>
          <w:p w14:paraId="1737F33D" w14:textId="77777777" w:rsidR="004E4CC2" w:rsidRDefault="00000000">
            <w:pPr>
              <w:pStyle w:val="Compact"/>
            </w:pPr>
            <w:r>
              <w:t>2</w:t>
            </w:r>
          </w:p>
        </w:tc>
        <w:tc>
          <w:tcPr>
            <w:tcW w:w="0" w:type="auto"/>
          </w:tcPr>
          <w:p w14:paraId="587B3ABC" w14:textId="77777777" w:rsidR="004E4CC2" w:rsidRDefault="00000000">
            <w:pPr>
              <w:pStyle w:val="Compact"/>
            </w:pPr>
            <w:r>
              <w:t>4</w:t>
            </w:r>
          </w:p>
        </w:tc>
        <w:tc>
          <w:tcPr>
            <w:tcW w:w="0" w:type="auto"/>
          </w:tcPr>
          <w:p w14:paraId="0A891465" w14:textId="77777777" w:rsidR="004E4CC2" w:rsidRDefault="00000000">
            <w:pPr>
              <w:pStyle w:val="Compact"/>
            </w:pPr>
            <w:r>
              <w:t>20</w:t>
            </w:r>
          </w:p>
        </w:tc>
        <w:tc>
          <w:tcPr>
            <w:tcW w:w="0" w:type="auto"/>
            <w:gridSpan w:val="2"/>
          </w:tcPr>
          <w:p w14:paraId="47E00EDA" w14:textId="77777777" w:rsidR="004E4CC2" w:rsidRDefault="00000000">
            <w:pPr>
              <w:pStyle w:val="Compact"/>
            </w:pPr>
            <w:r>
              <w:t>5</w:t>
            </w:r>
          </w:p>
        </w:tc>
        <w:tc>
          <w:tcPr>
            <w:tcW w:w="0" w:type="auto"/>
            <w:gridSpan w:val="2"/>
          </w:tcPr>
          <w:p w14:paraId="79A6A8D1" w14:textId="77777777" w:rsidR="004E4CC2" w:rsidRDefault="00000000">
            <w:pPr>
              <w:pStyle w:val="Compact"/>
            </w:pPr>
            <w:r>
              <w:t>40</w:t>
            </w:r>
          </w:p>
        </w:tc>
        <w:tc>
          <w:tcPr>
            <w:tcW w:w="0" w:type="auto"/>
          </w:tcPr>
          <w:p w14:paraId="09A76226" w14:textId="77777777" w:rsidR="004E4CC2" w:rsidRDefault="00000000">
            <w:pPr>
              <w:pStyle w:val="Compact"/>
            </w:pPr>
            <w:r>
              <w:t>234</w:t>
            </w:r>
          </w:p>
        </w:tc>
        <w:tc>
          <w:tcPr>
            <w:tcW w:w="0" w:type="auto"/>
          </w:tcPr>
          <w:p w14:paraId="756D07F8" w14:textId="77777777" w:rsidR="004E4CC2" w:rsidRDefault="00000000">
            <w:pPr>
              <w:pStyle w:val="Compact"/>
            </w:pPr>
            <w:r>
              <w:t>1</w:t>
            </w:r>
          </w:p>
        </w:tc>
      </w:tr>
      <w:tr w:rsidR="004E4CC2" w14:paraId="333C7E5E" w14:textId="77777777">
        <w:tc>
          <w:tcPr>
            <w:tcW w:w="0" w:type="auto"/>
            <w:vMerge/>
          </w:tcPr>
          <w:p w14:paraId="57811FDF" w14:textId="77777777" w:rsidR="004E4CC2" w:rsidRDefault="004E4CC2"/>
        </w:tc>
        <w:tc>
          <w:tcPr>
            <w:tcW w:w="0" w:type="auto"/>
          </w:tcPr>
          <w:p w14:paraId="0FB08F59" w14:textId="77777777" w:rsidR="004E4CC2" w:rsidRDefault="00000000">
            <w:pPr>
              <w:pStyle w:val="Compact"/>
            </w:pPr>
            <w:r>
              <w:t>2</w:t>
            </w:r>
          </w:p>
        </w:tc>
        <w:tc>
          <w:tcPr>
            <w:tcW w:w="0" w:type="auto"/>
            <w:gridSpan w:val="2"/>
          </w:tcPr>
          <w:p w14:paraId="0377FAF0" w14:textId="77777777" w:rsidR="004E4CC2" w:rsidRDefault="00000000">
            <w:pPr>
              <w:pStyle w:val="Compact"/>
            </w:pPr>
            <w:r>
              <w:t>398</w:t>
            </w:r>
          </w:p>
        </w:tc>
        <w:tc>
          <w:tcPr>
            <w:tcW w:w="0" w:type="auto"/>
            <w:gridSpan w:val="2"/>
          </w:tcPr>
          <w:p w14:paraId="2CE2861B" w14:textId="77777777" w:rsidR="004E4CC2" w:rsidRDefault="00000000">
            <w:pPr>
              <w:pStyle w:val="Compact"/>
            </w:pPr>
            <w:r>
              <w:t>16886</w:t>
            </w:r>
          </w:p>
        </w:tc>
        <w:tc>
          <w:tcPr>
            <w:tcW w:w="0" w:type="auto"/>
          </w:tcPr>
          <w:p w14:paraId="093F8723" w14:textId="77777777" w:rsidR="004E4CC2" w:rsidRDefault="00000000">
            <w:pPr>
              <w:pStyle w:val="Compact"/>
            </w:pPr>
            <w:r>
              <w:t>11</w:t>
            </w:r>
          </w:p>
        </w:tc>
        <w:tc>
          <w:tcPr>
            <w:tcW w:w="0" w:type="auto"/>
          </w:tcPr>
          <w:p w14:paraId="65300E92" w14:textId="77777777" w:rsidR="004E4CC2" w:rsidRDefault="00000000">
            <w:pPr>
              <w:pStyle w:val="Compact"/>
            </w:pPr>
            <w:r>
              <w:t>153</w:t>
            </w:r>
          </w:p>
        </w:tc>
        <w:tc>
          <w:tcPr>
            <w:tcW w:w="0" w:type="auto"/>
          </w:tcPr>
          <w:p w14:paraId="7FABF477" w14:textId="77777777" w:rsidR="004E4CC2" w:rsidRDefault="00000000">
            <w:pPr>
              <w:pStyle w:val="Compact"/>
            </w:pPr>
            <w:r>
              <w:t>124</w:t>
            </w:r>
          </w:p>
        </w:tc>
        <w:tc>
          <w:tcPr>
            <w:tcW w:w="0" w:type="auto"/>
            <w:gridSpan w:val="2"/>
          </w:tcPr>
          <w:p w14:paraId="02CE7BFC" w14:textId="77777777" w:rsidR="004E4CC2" w:rsidRDefault="00000000">
            <w:pPr>
              <w:pStyle w:val="Compact"/>
            </w:pPr>
            <w:r>
              <w:t>356</w:t>
            </w:r>
          </w:p>
        </w:tc>
        <w:tc>
          <w:tcPr>
            <w:tcW w:w="0" w:type="auto"/>
            <w:gridSpan w:val="2"/>
          </w:tcPr>
          <w:p w14:paraId="467724AD" w14:textId="77777777" w:rsidR="004E4CC2" w:rsidRDefault="00000000">
            <w:pPr>
              <w:pStyle w:val="Compact"/>
            </w:pPr>
            <w:r>
              <w:t>56</w:t>
            </w:r>
          </w:p>
        </w:tc>
        <w:tc>
          <w:tcPr>
            <w:tcW w:w="0" w:type="auto"/>
          </w:tcPr>
          <w:p w14:paraId="63C6C82E" w14:textId="77777777" w:rsidR="004E4CC2" w:rsidRDefault="00000000">
            <w:pPr>
              <w:pStyle w:val="Compact"/>
            </w:pPr>
            <w:r>
              <w:t>820</w:t>
            </w:r>
          </w:p>
        </w:tc>
        <w:tc>
          <w:tcPr>
            <w:tcW w:w="0" w:type="auto"/>
          </w:tcPr>
          <w:p w14:paraId="5BFA7A8E" w14:textId="77777777" w:rsidR="004E4CC2" w:rsidRDefault="00000000">
            <w:pPr>
              <w:pStyle w:val="Compact"/>
            </w:pPr>
            <w:r>
              <w:t>75</w:t>
            </w:r>
          </w:p>
        </w:tc>
      </w:tr>
      <w:tr w:rsidR="004E4CC2" w14:paraId="41489449" w14:textId="77777777">
        <w:tc>
          <w:tcPr>
            <w:tcW w:w="0" w:type="auto"/>
            <w:vMerge/>
          </w:tcPr>
          <w:p w14:paraId="32C89B64" w14:textId="77777777" w:rsidR="004E4CC2" w:rsidRDefault="004E4CC2"/>
        </w:tc>
        <w:tc>
          <w:tcPr>
            <w:tcW w:w="0" w:type="auto"/>
          </w:tcPr>
          <w:p w14:paraId="54FE0A7E" w14:textId="77777777" w:rsidR="004E4CC2" w:rsidRDefault="00000000">
            <w:pPr>
              <w:pStyle w:val="Compact"/>
            </w:pPr>
            <w:r>
              <w:t>3</w:t>
            </w:r>
          </w:p>
        </w:tc>
        <w:tc>
          <w:tcPr>
            <w:tcW w:w="0" w:type="auto"/>
            <w:gridSpan w:val="2"/>
          </w:tcPr>
          <w:p w14:paraId="30E56256" w14:textId="77777777" w:rsidR="004E4CC2" w:rsidRDefault="00000000">
            <w:pPr>
              <w:pStyle w:val="Compact"/>
            </w:pPr>
            <w:r>
              <w:t>457</w:t>
            </w:r>
          </w:p>
        </w:tc>
        <w:tc>
          <w:tcPr>
            <w:tcW w:w="0" w:type="auto"/>
            <w:gridSpan w:val="2"/>
          </w:tcPr>
          <w:p w14:paraId="6AFA398F" w14:textId="77777777" w:rsidR="004E4CC2" w:rsidRDefault="00000000">
            <w:pPr>
              <w:pStyle w:val="Compact"/>
            </w:pPr>
            <w:r>
              <w:t>14311</w:t>
            </w:r>
          </w:p>
        </w:tc>
        <w:tc>
          <w:tcPr>
            <w:tcW w:w="0" w:type="auto"/>
          </w:tcPr>
          <w:p w14:paraId="1C7F0542" w14:textId="77777777" w:rsidR="004E4CC2" w:rsidRDefault="00000000">
            <w:pPr>
              <w:pStyle w:val="Compact"/>
            </w:pPr>
            <w:r>
              <w:t>13</w:t>
            </w:r>
          </w:p>
        </w:tc>
        <w:tc>
          <w:tcPr>
            <w:tcW w:w="0" w:type="auto"/>
          </w:tcPr>
          <w:p w14:paraId="4FF97471" w14:textId="77777777" w:rsidR="004E4CC2" w:rsidRDefault="00000000">
            <w:pPr>
              <w:pStyle w:val="Compact"/>
            </w:pPr>
            <w:r>
              <w:t>102</w:t>
            </w:r>
          </w:p>
        </w:tc>
        <w:tc>
          <w:tcPr>
            <w:tcW w:w="0" w:type="auto"/>
          </w:tcPr>
          <w:p w14:paraId="2FF4E71F" w14:textId="77777777" w:rsidR="004E4CC2" w:rsidRDefault="00000000">
            <w:pPr>
              <w:pStyle w:val="Compact"/>
            </w:pPr>
            <w:r>
              <w:t>94</w:t>
            </w:r>
          </w:p>
        </w:tc>
        <w:tc>
          <w:tcPr>
            <w:tcW w:w="0" w:type="auto"/>
            <w:gridSpan w:val="2"/>
          </w:tcPr>
          <w:p w14:paraId="61536275" w14:textId="77777777" w:rsidR="004E4CC2" w:rsidRDefault="00000000">
            <w:pPr>
              <w:pStyle w:val="Compact"/>
            </w:pPr>
            <w:r>
              <w:t>215</w:t>
            </w:r>
          </w:p>
        </w:tc>
        <w:tc>
          <w:tcPr>
            <w:tcW w:w="0" w:type="auto"/>
            <w:gridSpan w:val="2"/>
          </w:tcPr>
          <w:p w14:paraId="56F5064F" w14:textId="77777777" w:rsidR="004E4CC2" w:rsidRDefault="00000000">
            <w:pPr>
              <w:pStyle w:val="Compact"/>
            </w:pPr>
            <w:r>
              <w:t>50</w:t>
            </w:r>
          </w:p>
        </w:tc>
        <w:tc>
          <w:tcPr>
            <w:tcW w:w="0" w:type="auto"/>
          </w:tcPr>
          <w:p w14:paraId="10FFDC72" w14:textId="77777777" w:rsidR="004E4CC2" w:rsidRDefault="00000000">
            <w:pPr>
              <w:pStyle w:val="Compact"/>
            </w:pPr>
            <w:r>
              <w:t>1632</w:t>
            </w:r>
          </w:p>
        </w:tc>
        <w:tc>
          <w:tcPr>
            <w:tcW w:w="0" w:type="auto"/>
          </w:tcPr>
          <w:p w14:paraId="42B8A96D" w14:textId="77777777" w:rsidR="004E4CC2" w:rsidRDefault="00000000">
            <w:pPr>
              <w:pStyle w:val="Compact"/>
            </w:pPr>
            <w:r>
              <w:t>79</w:t>
            </w:r>
          </w:p>
        </w:tc>
      </w:tr>
      <w:tr w:rsidR="004E4CC2" w14:paraId="3905573C" w14:textId="77777777">
        <w:tc>
          <w:tcPr>
            <w:tcW w:w="0" w:type="auto"/>
            <w:vMerge/>
          </w:tcPr>
          <w:p w14:paraId="186D9E9F" w14:textId="77777777" w:rsidR="004E4CC2" w:rsidRDefault="004E4CC2"/>
        </w:tc>
        <w:tc>
          <w:tcPr>
            <w:tcW w:w="0" w:type="auto"/>
          </w:tcPr>
          <w:p w14:paraId="406AF508" w14:textId="77777777" w:rsidR="004E4CC2" w:rsidRDefault="00000000">
            <w:pPr>
              <w:pStyle w:val="Compact"/>
            </w:pPr>
            <w:r>
              <w:t>4</w:t>
            </w:r>
          </w:p>
        </w:tc>
        <w:tc>
          <w:tcPr>
            <w:tcW w:w="0" w:type="auto"/>
            <w:gridSpan w:val="2"/>
          </w:tcPr>
          <w:p w14:paraId="62470161" w14:textId="77777777" w:rsidR="004E4CC2" w:rsidRDefault="00000000">
            <w:pPr>
              <w:pStyle w:val="Compact"/>
            </w:pPr>
            <w:r>
              <w:t>434</w:t>
            </w:r>
          </w:p>
        </w:tc>
        <w:tc>
          <w:tcPr>
            <w:tcW w:w="0" w:type="auto"/>
            <w:gridSpan w:val="2"/>
          </w:tcPr>
          <w:p w14:paraId="590CDF65" w14:textId="77777777" w:rsidR="004E4CC2" w:rsidRDefault="00000000">
            <w:pPr>
              <w:pStyle w:val="Compact"/>
            </w:pPr>
            <w:r>
              <w:t>3622</w:t>
            </w:r>
          </w:p>
        </w:tc>
        <w:tc>
          <w:tcPr>
            <w:tcW w:w="0" w:type="auto"/>
          </w:tcPr>
          <w:p w14:paraId="5DE31AE1" w14:textId="77777777" w:rsidR="004E4CC2" w:rsidRDefault="00000000">
            <w:pPr>
              <w:pStyle w:val="Compact"/>
            </w:pPr>
            <w:r>
              <w:t>12</w:t>
            </w:r>
          </w:p>
        </w:tc>
        <w:tc>
          <w:tcPr>
            <w:tcW w:w="0" w:type="auto"/>
          </w:tcPr>
          <w:p w14:paraId="6C8B06DF" w14:textId="77777777" w:rsidR="004E4CC2" w:rsidRDefault="00000000">
            <w:pPr>
              <w:pStyle w:val="Compact"/>
            </w:pPr>
            <w:r>
              <w:t>71</w:t>
            </w:r>
          </w:p>
        </w:tc>
        <w:tc>
          <w:tcPr>
            <w:tcW w:w="0" w:type="auto"/>
          </w:tcPr>
          <w:p w14:paraId="2C9390C0" w14:textId="77777777" w:rsidR="004E4CC2" w:rsidRDefault="00000000">
            <w:pPr>
              <w:pStyle w:val="Compact"/>
            </w:pPr>
            <w:r>
              <w:t>46</w:t>
            </w:r>
          </w:p>
        </w:tc>
        <w:tc>
          <w:tcPr>
            <w:tcW w:w="0" w:type="auto"/>
            <w:gridSpan w:val="2"/>
          </w:tcPr>
          <w:p w14:paraId="3424D36B" w14:textId="77777777" w:rsidR="004E4CC2" w:rsidRDefault="00000000">
            <w:pPr>
              <w:pStyle w:val="Compact"/>
            </w:pPr>
            <w:r>
              <w:t>190</w:t>
            </w:r>
          </w:p>
        </w:tc>
        <w:tc>
          <w:tcPr>
            <w:tcW w:w="0" w:type="auto"/>
            <w:gridSpan w:val="2"/>
          </w:tcPr>
          <w:p w14:paraId="03CF7628" w14:textId="77777777" w:rsidR="004E4CC2" w:rsidRDefault="00000000">
            <w:pPr>
              <w:pStyle w:val="Compact"/>
            </w:pPr>
            <w:r>
              <w:t>69</w:t>
            </w:r>
          </w:p>
        </w:tc>
        <w:tc>
          <w:tcPr>
            <w:tcW w:w="0" w:type="auto"/>
          </w:tcPr>
          <w:p w14:paraId="48F49E8B" w14:textId="77777777" w:rsidR="004E4CC2" w:rsidRDefault="00000000">
            <w:pPr>
              <w:pStyle w:val="Compact"/>
            </w:pPr>
            <w:r>
              <w:t>2191</w:t>
            </w:r>
          </w:p>
        </w:tc>
        <w:tc>
          <w:tcPr>
            <w:tcW w:w="0" w:type="auto"/>
          </w:tcPr>
          <w:p w14:paraId="6B73154F" w14:textId="77777777" w:rsidR="004E4CC2" w:rsidRDefault="00000000">
            <w:pPr>
              <w:pStyle w:val="Compact"/>
            </w:pPr>
            <w:r>
              <w:t>42</w:t>
            </w:r>
          </w:p>
        </w:tc>
      </w:tr>
      <w:tr w:rsidR="004E4CC2" w14:paraId="32E33BEB" w14:textId="77777777">
        <w:tc>
          <w:tcPr>
            <w:tcW w:w="0" w:type="auto"/>
            <w:vMerge/>
          </w:tcPr>
          <w:p w14:paraId="1CF0630E" w14:textId="77777777" w:rsidR="004E4CC2" w:rsidRDefault="004E4CC2"/>
        </w:tc>
        <w:tc>
          <w:tcPr>
            <w:tcW w:w="0" w:type="auto"/>
          </w:tcPr>
          <w:p w14:paraId="4D14C3C9" w14:textId="77777777" w:rsidR="004E4CC2" w:rsidRDefault="00000000">
            <w:pPr>
              <w:pStyle w:val="Compact"/>
            </w:pPr>
            <w:r>
              <w:t>5</w:t>
            </w:r>
          </w:p>
        </w:tc>
        <w:tc>
          <w:tcPr>
            <w:tcW w:w="0" w:type="auto"/>
            <w:gridSpan w:val="2"/>
          </w:tcPr>
          <w:p w14:paraId="30A7DC99" w14:textId="77777777" w:rsidR="004E4CC2" w:rsidRDefault="00000000">
            <w:pPr>
              <w:pStyle w:val="Compact"/>
            </w:pPr>
            <w:r>
              <w:t>57</w:t>
            </w:r>
            <w:r>
              <w:lastRenderedPageBreak/>
              <w:t>2</w:t>
            </w:r>
          </w:p>
        </w:tc>
        <w:tc>
          <w:tcPr>
            <w:tcW w:w="0" w:type="auto"/>
            <w:gridSpan w:val="2"/>
          </w:tcPr>
          <w:p w14:paraId="32C6A69C" w14:textId="77777777" w:rsidR="004E4CC2" w:rsidRDefault="00000000">
            <w:pPr>
              <w:pStyle w:val="Compact"/>
            </w:pPr>
            <w:r>
              <w:lastRenderedPageBreak/>
              <w:t>95</w:t>
            </w:r>
            <w:r>
              <w:lastRenderedPageBreak/>
              <w:t>6</w:t>
            </w:r>
          </w:p>
        </w:tc>
        <w:tc>
          <w:tcPr>
            <w:tcW w:w="0" w:type="auto"/>
          </w:tcPr>
          <w:p w14:paraId="09F27E06" w14:textId="77777777" w:rsidR="004E4CC2" w:rsidRDefault="00000000">
            <w:pPr>
              <w:pStyle w:val="Compact"/>
            </w:pPr>
            <w:r>
              <w:lastRenderedPageBreak/>
              <w:t>16</w:t>
            </w:r>
          </w:p>
        </w:tc>
        <w:tc>
          <w:tcPr>
            <w:tcW w:w="0" w:type="auto"/>
          </w:tcPr>
          <w:p w14:paraId="36D96D5E" w14:textId="77777777" w:rsidR="004E4CC2" w:rsidRDefault="00000000">
            <w:pPr>
              <w:pStyle w:val="Compact"/>
            </w:pPr>
            <w:r>
              <w:t>57</w:t>
            </w:r>
          </w:p>
        </w:tc>
        <w:tc>
          <w:tcPr>
            <w:tcW w:w="0" w:type="auto"/>
          </w:tcPr>
          <w:p w14:paraId="4E458A09" w14:textId="77777777" w:rsidR="004E4CC2" w:rsidRDefault="00000000">
            <w:pPr>
              <w:pStyle w:val="Compact"/>
            </w:pPr>
            <w:r>
              <w:t>70</w:t>
            </w:r>
          </w:p>
        </w:tc>
        <w:tc>
          <w:tcPr>
            <w:tcW w:w="0" w:type="auto"/>
            <w:gridSpan w:val="2"/>
          </w:tcPr>
          <w:p w14:paraId="5CCD61C5" w14:textId="77777777" w:rsidR="004E4CC2" w:rsidRDefault="00000000">
            <w:pPr>
              <w:pStyle w:val="Compact"/>
            </w:pPr>
            <w:r>
              <w:t>19</w:t>
            </w:r>
            <w:r>
              <w:lastRenderedPageBreak/>
              <w:t>4</w:t>
            </w:r>
          </w:p>
        </w:tc>
        <w:tc>
          <w:tcPr>
            <w:tcW w:w="0" w:type="auto"/>
            <w:gridSpan w:val="2"/>
          </w:tcPr>
          <w:p w14:paraId="4E2CAEFD" w14:textId="77777777" w:rsidR="004E4CC2" w:rsidRDefault="00000000">
            <w:pPr>
              <w:pStyle w:val="Compact"/>
            </w:pPr>
            <w:r>
              <w:lastRenderedPageBreak/>
              <w:t>61</w:t>
            </w:r>
          </w:p>
        </w:tc>
        <w:tc>
          <w:tcPr>
            <w:tcW w:w="0" w:type="auto"/>
          </w:tcPr>
          <w:p w14:paraId="2341F362" w14:textId="77777777" w:rsidR="004E4CC2" w:rsidRDefault="00000000">
            <w:pPr>
              <w:pStyle w:val="Compact"/>
            </w:pPr>
            <w:r>
              <w:t>3322</w:t>
            </w:r>
          </w:p>
        </w:tc>
        <w:tc>
          <w:tcPr>
            <w:tcW w:w="0" w:type="auto"/>
          </w:tcPr>
          <w:p w14:paraId="3422B76A" w14:textId="77777777" w:rsidR="004E4CC2" w:rsidRDefault="00000000">
            <w:pPr>
              <w:pStyle w:val="Compact"/>
            </w:pPr>
            <w:r>
              <w:t>19</w:t>
            </w:r>
          </w:p>
        </w:tc>
      </w:tr>
      <w:tr w:rsidR="004E4CC2" w14:paraId="543BCD79" w14:textId="77777777">
        <w:tc>
          <w:tcPr>
            <w:tcW w:w="0" w:type="auto"/>
            <w:vMerge/>
          </w:tcPr>
          <w:p w14:paraId="527E7B1D" w14:textId="77777777" w:rsidR="004E4CC2" w:rsidRDefault="004E4CC2"/>
        </w:tc>
        <w:tc>
          <w:tcPr>
            <w:tcW w:w="0" w:type="auto"/>
          </w:tcPr>
          <w:p w14:paraId="5945F215" w14:textId="77777777" w:rsidR="004E4CC2" w:rsidRDefault="00000000">
            <w:pPr>
              <w:pStyle w:val="Compact"/>
            </w:pPr>
            <w:r>
              <w:t>6-10</w:t>
            </w:r>
          </w:p>
        </w:tc>
        <w:tc>
          <w:tcPr>
            <w:tcW w:w="0" w:type="auto"/>
            <w:gridSpan w:val="2"/>
          </w:tcPr>
          <w:p w14:paraId="6B64F4B4" w14:textId="77777777" w:rsidR="004E4CC2" w:rsidRDefault="00000000">
            <w:pPr>
              <w:pStyle w:val="Compact"/>
            </w:pPr>
            <w:r>
              <w:t>2297</w:t>
            </w:r>
          </w:p>
        </w:tc>
        <w:tc>
          <w:tcPr>
            <w:tcW w:w="0" w:type="auto"/>
            <w:gridSpan w:val="2"/>
          </w:tcPr>
          <w:p w14:paraId="1B0C9EDF" w14:textId="77777777" w:rsidR="004E4CC2" w:rsidRDefault="00000000">
            <w:pPr>
              <w:pStyle w:val="Compact"/>
            </w:pPr>
            <w:r>
              <w:t>992</w:t>
            </w:r>
          </w:p>
        </w:tc>
        <w:tc>
          <w:tcPr>
            <w:tcW w:w="0" w:type="auto"/>
          </w:tcPr>
          <w:p w14:paraId="4E377FB1" w14:textId="77777777" w:rsidR="004E4CC2" w:rsidRDefault="00000000">
            <w:pPr>
              <w:pStyle w:val="Compact"/>
            </w:pPr>
            <w:r>
              <w:t>45</w:t>
            </w:r>
          </w:p>
        </w:tc>
        <w:tc>
          <w:tcPr>
            <w:tcW w:w="0" w:type="auto"/>
          </w:tcPr>
          <w:p w14:paraId="422A895C" w14:textId="77777777" w:rsidR="004E4CC2" w:rsidRDefault="00000000">
            <w:pPr>
              <w:pStyle w:val="Compact"/>
            </w:pPr>
            <w:r>
              <w:t>80</w:t>
            </w:r>
          </w:p>
        </w:tc>
        <w:tc>
          <w:tcPr>
            <w:tcW w:w="0" w:type="auto"/>
          </w:tcPr>
          <w:p w14:paraId="74E46303" w14:textId="77777777" w:rsidR="004E4CC2" w:rsidRDefault="00000000">
            <w:pPr>
              <w:pStyle w:val="Compact"/>
            </w:pPr>
            <w:r>
              <w:t>297</w:t>
            </w:r>
          </w:p>
        </w:tc>
        <w:tc>
          <w:tcPr>
            <w:tcW w:w="0" w:type="auto"/>
            <w:gridSpan w:val="2"/>
          </w:tcPr>
          <w:p w14:paraId="78B76D10" w14:textId="77777777" w:rsidR="004E4CC2" w:rsidRDefault="00000000">
            <w:pPr>
              <w:pStyle w:val="Compact"/>
            </w:pPr>
            <w:r>
              <w:t>167</w:t>
            </w:r>
          </w:p>
        </w:tc>
        <w:tc>
          <w:tcPr>
            <w:tcW w:w="0" w:type="auto"/>
            <w:gridSpan w:val="2"/>
          </w:tcPr>
          <w:p w14:paraId="2FDFEC22" w14:textId="77777777" w:rsidR="004E4CC2" w:rsidRDefault="00000000">
            <w:pPr>
              <w:pStyle w:val="Compact"/>
            </w:pPr>
            <w:r>
              <w:t>340</w:t>
            </w:r>
          </w:p>
        </w:tc>
        <w:tc>
          <w:tcPr>
            <w:tcW w:w="0" w:type="auto"/>
          </w:tcPr>
          <w:p w14:paraId="3C72AECA" w14:textId="77777777" w:rsidR="004E4CC2" w:rsidRDefault="00000000">
            <w:pPr>
              <w:pStyle w:val="Compact"/>
            </w:pPr>
            <w:r>
              <w:t>19290</w:t>
            </w:r>
          </w:p>
        </w:tc>
        <w:tc>
          <w:tcPr>
            <w:tcW w:w="0" w:type="auto"/>
          </w:tcPr>
          <w:p w14:paraId="16A85E71" w14:textId="77777777" w:rsidR="004E4CC2" w:rsidRDefault="00000000">
            <w:pPr>
              <w:pStyle w:val="Compact"/>
            </w:pPr>
            <w:r>
              <w:t>41</w:t>
            </w:r>
          </w:p>
        </w:tc>
      </w:tr>
    </w:tbl>
    <w:p w14:paraId="15466C2F" w14:textId="77777777" w:rsidR="004E4CC2" w:rsidRDefault="00000000">
      <w:pPr>
        <w:pStyle w:val="SourceCode"/>
      </w:pPr>
      <w:r>
        <w:rPr>
          <w:rStyle w:val="NormalTok"/>
        </w:rPr>
        <w:t xml:space="preserve">fig, ax </w:t>
      </w:r>
      <w:r>
        <w:rPr>
          <w:rStyle w:val="OperatorTok"/>
        </w:rPr>
        <w:t>=</w:t>
      </w:r>
      <w:r>
        <w:rPr>
          <w:rStyle w:val="NormalTok"/>
        </w:rPr>
        <w:t xml:space="preserve"> plt.subplots(figsize</w:t>
      </w:r>
      <w:r>
        <w:rPr>
          <w:rStyle w:val="OperatorTok"/>
        </w:rPr>
        <w:t>=</w:t>
      </w:r>
      <w:r>
        <w:rPr>
          <w:rStyle w:val="NormalTok"/>
        </w:rPr>
        <w:t>(</w:t>
      </w:r>
      <w:r>
        <w:rPr>
          <w:rStyle w:val="DecValTok"/>
        </w:rPr>
        <w:t>12</w:t>
      </w:r>
      <w:r>
        <w:rPr>
          <w:rStyle w:val="NormalTok"/>
        </w:rPr>
        <w:t xml:space="preserve">, </w:t>
      </w:r>
      <w:r>
        <w:rPr>
          <w:rStyle w:val="FloatTok"/>
        </w:rPr>
        <w:t>4.5</w:t>
      </w:r>
      <w:r>
        <w:rPr>
          <w:rStyle w:val="NormalTok"/>
        </w:rPr>
        <w:t>), layout</w:t>
      </w:r>
      <w:r>
        <w:rPr>
          <w:rStyle w:val="OperatorTok"/>
        </w:rPr>
        <w:t>=</w:t>
      </w:r>
      <w:r>
        <w:rPr>
          <w:rStyle w:val="StringTok"/>
        </w:rPr>
        <w:t>"constrained"</w:t>
      </w:r>
      <w:r>
        <w:rPr>
          <w:rStyle w:val="NormalTok"/>
        </w:rPr>
        <w:t>)</w:t>
      </w:r>
      <w:r>
        <w:br/>
      </w:r>
      <w:r>
        <w:rPr>
          <w:rStyle w:val="NormalTok"/>
        </w:rPr>
        <w:t xml:space="preserve">raw_edges </w:t>
      </w:r>
      <w:r>
        <w:rPr>
          <w:rStyle w:val="OperatorTok"/>
        </w:rPr>
        <w:t>=</w:t>
      </w:r>
      <w:r>
        <w:rPr>
          <w:rStyle w:val="NormalTok"/>
        </w:rPr>
        <w:t xml:space="preserve"> np.arange(</w:t>
      </w:r>
      <w:r>
        <w:rPr>
          <w:rStyle w:val="DecValTok"/>
        </w:rPr>
        <w:t>0</w:t>
      </w:r>
      <w:r>
        <w:rPr>
          <w:rStyle w:val="NormalTok"/>
        </w:rPr>
        <w:t xml:space="preserve">, </w:t>
      </w:r>
      <w:r>
        <w:rPr>
          <w:rStyle w:val="DecValTok"/>
        </w:rPr>
        <w:t>5</w:t>
      </w:r>
      <w:r>
        <w:rPr>
          <w:rStyle w:val="NormalTok"/>
        </w:rPr>
        <w:t xml:space="preserve"> </w:t>
      </w:r>
      <w:r>
        <w:rPr>
          <w:rStyle w:val="OperatorTok"/>
        </w:rPr>
        <w:t>+</w:t>
      </w:r>
      <w:r>
        <w:rPr>
          <w:rStyle w:val="NormalTok"/>
        </w:rPr>
        <w:t xml:space="preserve"> GFZ_STEP </w:t>
      </w:r>
      <w:r>
        <w:rPr>
          <w:rStyle w:val="OperatorTok"/>
        </w:rPr>
        <w:t>/</w:t>
      </w:r>
      <w:r>
        <w:rPr>
          <w:rStyle w:val="NormalTok"/>
        </w:rPr>
        <w:t xml:space="preserve"> </w:t>
      </w:r>
      <w:r>
        <w:rPr>
          <w:rStyle w:val="DecValTok"/>
        </w:rPr>
        <w:t>2</w:t>
      </w:r>
      <w:r>
        <w:rPr>
          <w:rStyle w:val="NormalTok"/>
        </w:rPr>
        <w:t>, GFZ_STEP)</w:t>
      </w:r>
      <w:r>
        <w:br/>
      </w:r>
      <w:r>
        <w:rPr>
          <w:rStyle w:val="ControlFlowTok"/>
        </w:rPr>
        <w:t>for</w:t>
      </w:r>
      <w:r>
        <w:rPr>
          <w:rStyle w:val="NormalTok"/>
        </w:rPr>
        <w:t xml:space="preserve"> region, color </w:t>
      </w:r>
      <w:r>
        <w:rPr>
          <w:rStyle w:val="KeywordTok"/>
        </w:rPr>
        <w:t>in</w:t>
      </w:r>
      <w:r>
        <w:rPr>
          <w:rStyle w:val="NormalTok"/>
        </w:rPr>
        <w:t xml:space="preserve"> [(</w:t>
      </w:r>
      <w:r>
        <w:rPr>
          <w:rStyle w:val="StringTok"/>
        </w:rPr>
        <w:t>"Wien"</w:t>
      </w:r>
      <w:r>
        <w:rPr>
          <w:rStyle w:val="NormalTok"/>
        </w:rPr>
        <w:t xml:space="preserve">, </w:t>
      </w:r>
      <w:r>
        <w:rPr>
          <w:rStyle w:val="StringTok"/>
        </w:rPr>
        <w:t>"#955196"</w:t>
      </w:r>
      <w:r>
        <w:rPr>
          <w:rStyle w:val="NormalTok"/>
        </w:rPr>
        <w:t>), (</w:t>
      </w:r>
      <w:r>
        <w:rPr>
          <w:rStyle w:val="StringTok"/>
        </w:rPr>
        <w:t>"Salzburg"</w:t>
      </w:r>
      <w:r>
        <w:rPr>
          <w:rStyle w:val="NormalTok"/>
        </w:rPr>
        <w:t xml:space="preserve">, </w:t>
      </w:r>
      <w:r>
        <w:rPr>
          <w:rStyle w:val="StringTok"/>
        </w:rPr>
        <w:t>"#007c83"</w:t>
      </w:r>
      <w:r>
        <w:rPr>
          <w:rStyle w:val="NormalTok"/>
        </w:rPr>
        <w:t>)]:</w:t>
      </w:r>
      <w:r>
        <w:br/>
      </w:r>
      <w:r>
        <w:rPr>
          <w:rStyle w:val="NormalTok"/>
        </w:rPr>
        <w:t xml:space="preserve">    g </w:t>
      </w:r>
      <w:r>
        <w:rPr>
          <w:rStyle w:val="OperatorTok"/>
        </w:rPr>
        <w:t>=</w:t>
      </w:r>
      <w:r>
        <w:rPr>
          <w:rStyle w:val="NormalTok"/>
        </w:rPr>
        <w:t xml:space="preserve"> samples.loc[samples.Bundesland </w:t>
      </w:r>
      <w:r>
        <w:rPr>
          <w:rStyle w:val="OperatorTok"/>
        </w:rPr>
        <w:t>==</w:t>
      </w:r>
      <w:r>
        <w:rPr>
          <w:rStyle w:val="NormalTok"/>
        </w:rPr>
        <w:t xml:space="preserve"> region]</w:t>
      </w:r>
      <w:r>
        <w:br/>
      </w:r>
      <w:r>
        <w:rPr>
          <w:rStyle w:val="NormalTok"/>
        </w:rPr>
        <w:t xml:space="preserve">    counts, _ </w:t>
      </w:r>
      <w:r>
        <w:rPr>
          <w:rStyle w:val="OperatorTok"/>
        </w:rPr>
        <w:t>=</w:t>
      </w:r>
      <w:r>
        <w:rPr>
          <w:rStyle w:val="NormalTok"/>
        </w:rPr>
        <w:t xml:space="preserve"> np.histogram(g.GFZ, bins</w:t>
      </w:r>
      <w:r>
        <w:rPr>
          <w:rStyle w:val="OperatorTok"/>
        </w:rPr>
        <w:t>=</w:t>
      </w:r>
      <w:r>
        <w:rPr>
          <w:rStyle w:val="NormalTok"/>
        </w:rPr>
        <w:t>raw_edges, weights</w:t>
      </w:r>
      <w:r>
        <w:rPr>
          <w:rStyle w:val="OperatorTok"/>
        </w:rPr>
        <w:t>=</w:t>
      </w:r>
      <w:r>
        <w:rPr>
          <w:rStyle w:val="NormalTok"/>
        </w:rPr>
        <w:t>g.BGF)</w:t>
      </w:r>
      <w:r>
        <w:br/>
      </w:r>
      <w:r>
        <w:rPr>
          <w:rStyle w:val="NormalTok"/>
        </w:rPr>
        <w:t xml:space="preserve">    </w:t>
      </w:r>
      <w:r>
        <w:rPr>
          <w:rStyle w:val="CommentTok"/>
        </w:rPr>
        <w:t># normiert auf die GESAMTE Referenz-BGF (einschließlich GFZ &gt; 5)</w:t>
      </w:r>
      <w:r>
        <w:br/>
      </w:r>
      <w:r>
        <w:rPr>
          <w:rStyle w:val="NormalTok"/>
        </w:rPr>
        <w:t xml:space="preserve">    ax.step(raw_edges[:</w:t>
      </w:r>
      <w:r>
        <w:rPr>
          <w:rStyle w:val="OperatorTok"/>
        </w:rPr>
        <w:t>-</w:t>
      </w:r>
      <w:r>
        <w:rPr>
          <w:rStyle w:val="DecValTok"/>
        </w:rPr>
        <w:t>1</w:t>
      </w:r>
      <w:r>
        <w:rPr>
          <w:rStyle w:val="NormalTok"/>
        </w:rPr>
        <w:t xml:space="preserve">], </w:t>
      </w:r>
      <w:r>
        <w:rPr>
          <w:rStyle w:val="DecValTok"/>
        </w:rPr>
        <w:t>100</w:t>
      </w:r>
      <w:r>
        <w:rPr>
          <w:rStyle w:val="NormalTok"/>
        </w:rPr>
        <w:t xml:space="preserve"> </w:t>
      </w:r>
      <w:r>
        <w:rPr>
          <w:rStyle w:val="OperatorTok"/>
        </w:rPr>
        <w:t>*</w:t>
      </w:r>
      <w:r>
        <w:rPr>
          <w:rStyle w:val="NormalTok"/>
        </w:rPr>
        <w:t xml:space="preserve"> counts </w:t>
      </w:r>
      <w:r>
        <w:rPr>
          <w:rStyle w:val="OperatorTok"/>
        </w:rPr>
        <w:t>/</w:t>
      </w:r>
      <w:r>
        <w:rPr>
          <w:rStyle w:val="NormalTok"/>
        </w:rPr>
        <w:t xml:space="preserve"> g.BGF.</w:t>
      </w:r>
      <w:r>
        <w:rPr>
          <w:rStyle w:val="BuiltInTok"/>
        </w:rPr>
        <w:t>sum</w:t>
      </w:r>
      <w:r>
        <w:rPr>
          <w:rStyle w:val="NormalTok"/>
        </w:rPr>
        <w:t>(), where</w:t>
      </w:r>
      <w:r>
        <w:rPr>
          <w:rStyle w:val="OperatorTok"/>
        </w:rPr>
        <w:t>=</w:t>
      </w:r>
      <w:r>
        <w:rPr>
          <w:rStyle w:val="StringTok"/>
        </w:rPr>
        <w:t>"post"</w:t>
      </w:r>
      <w:r>
        <w:rPr>
          <w:rStyle w:val="NormalTok"/>
        </w:rPr>
        <w:t>,</w:t>
      </w:r>
      <w:r>
        <w:br/>
      </w:r>
      <w:r>
        <w:rPr>
          <w:rStyle w:val="NormalTok"/>
        </w:rPr>
        <w:t xml:space="preserve">            linewidth</w:t>
      </w:r>
      <w:r>
        <w:rPr>
          <w:rStyle w:val="OperatorTok"/>
        </w:rPr>
        <w:t>=</w:t>
      </w:r>
      <w:r>
        <w:rPr>
          <w:rStyle w:val="FloatTok"/>
        </w:rPr>
        <w:t>1.6</w:t>
      </w:r>
      <w:r>
        <w:rPr>
          <w:rStyle w:val="NormalTok"/>
        </w:rPr>
        <w:t>, label</w:t>
      </w:r>
      <w:r>
        <w:rPr>
          <w:rStyle w:val="OperatorTok"/>
        </w:rPr>
        <w:t>=</w:t>
      </w:r>
      <w:r>
        <w:rPr>
          <w:rStyle w:val="NormalTok"/>
        </w:rPr>
        <w:t>region, color</w:t>
      </w:r>
      <w:r>
        <w:rPr>
          <w:rStyle w:val="OperatorTok"/>
        </w:rPr>
        <w:t>=</w:t>
      </w:r>
      <w:r>
        <w:rPr>
          <w:rStyle w:val="NormalTok"/>
        </w:rPr>
        <w:t>color)</w:t>
      </w:r>
      <w:r>
        <w:br/>
      </w:r>
      <w:r>
        <w:rPr>
          <w:rStyle w:val="NormalTok"/>
        </w:rPr>
        <w:t>ax.</w:t>
      </w:r>
      <w:r>
        <w:rPr>
          <w:rStyle w:val="BuiltInTok"/>
        </w:rPr>
        <w:t>set</w:t>
      </w:r>
      <w:r>
        <w:rPr>
          <w:rStyle w:val="NormalTok"/>
        </w:rPr>
        <w:t>(xlim</w:t>
      </w:r>
      <w:r>
        <w:rPr>
          <w:rStyle w:val="OperatorTok"/>
        </w:rPr>
        <w:t>=</w:t>
      </w:r>
      <w:r>
        <w:rPr>
          <w:rStyle w:val="NormalTok"/>
        </w:rPr>
        <w:t>(</w:t>
      </w:r>
      <w:r>
        <w:rPr>
          <w:rStyle w:val="DecValTok"/>
        </w:rPr>
        <w:t>0</w:t>
      </w:r>
      <w:r>
        <w:rPr>
          <w:rStyle w:val="NormalTok"/>
        </w:rPr>
        <w:t xml:space="preserve">, </w:t>
      </w:r>
      <w:r>
        <w:rPr>
          <w:rStyle w:val="DecValTok"/>
        </w:rPr>
        <w:t>5</w:t>
      </w:r>
      <w:r>
        <w:rPr>
          <w:rStyle w:val="NormalTok"/>
        </w:rPr>
        <w:t>), ylim</w:t>
      </w:r>
      <w:r>
        <w:rPr>
          <w:rStyle w:val="OperatorTok"/>
        </w:rPr>
        <w:t>=</w:t>
      </w:r>
      <w:r>
        <w:rPr>
          <w:rStyle w:val="NormalTok"/>
        </w:rPr>
        <w:t>(</w:t>
      </w:r>
      <w:r>
        <w:rPr>
          <w:rStyle w:val="DecValTok"/>
        </w:rPr>
        <w:t>0</w:t>
      </w:r>
      <w:r>
        <w:rPr>
          <w:rStyle w:val="NormalTok"/>
        </w:rPr>
        <w:t xml:space="preserve">, </w:t>
      </w:r>
      <w:r>
        <w:rPr>
          <w:rStyle w:val="VariableTok"/>
        </w:rPr>
        <w:t>None</w:t>
      </w:r>
      <w:r>
        <w:rPr>
          <w:rStyle w:val="NormalTok"/>
        </w:rPr>
        <w:t>), xlabel</w:t>
      </w:r>
      <w:r>
        <w:rPr>
          <w:rStyle w:val="OperatorTok"/>
        </w:rPr>
        <w:t>=</w:t>
      </w:r>
      <w:r>
        <w:rPr>
          <w:rStyle w:val="StringTok"/>
        </w:rPr>
        <w:t>"Geschossflächenzahl (GFZ)"</w:t>
      </w:r>
      <w:r>
        <w:rPr>
          <w:rStyle w:val="NormalTok"/>
        </w:rPr>
        <w:t>,</w:t>
      </w:r>
      <w:r>
        <w:br/>
      </w:r>
      <w:r>
        <w:rPr>
          <w:rStyle w:val="NormalTok"/>
        </w:rPr>
        <w:t xml:space="preserve">       ylabel</w:t>
      </w:r>
      <w:r>
        <w:rPr>
          <w:rStyle w:val="OperatorTok"/>
        </w:rPr>
        <w:t>=</w:t>
      </w:r>
      <w:r>
        <w:rPr>
          <w:rStyle w:val="StringTok"/>
        </w:rPr>
        <w:t>"Anteil Referenz-BGF [% je 0,1 GFZ]"</w:t>
      </w:r>
      <w:r>
        <w:rPr>
          <w:rStyle w:val="NormalTok"/>
        </w:rPr>
        <w:t>)</w:t>
      </w:r>
      <w:r>
        <w:br/>
      </w:r>
      <w:r>
        <w:rPr>
          <w:rStyle w:val="NormalTok"/>
        </w:rPr>
        <w:t>ax.xaxis.set_major_locator(MultipleLocator(</w:t>
      </w:r>
      <w:r>
        <w:rPr>
          <w:rStyle w:val="DecValTok"/>
        </w:rPr>
        <w:t>1</w:t>
      </w:r>
      <w:r>
        <w:rPr>
          <w:rStyle w:val="NormalTok"/>
        </w:rPr>
        <w:t>))</w:t>
      </w:r>
      <w:r>
        <w:br/>
      </w:r>
      <w:r>
        <w:rPr>
          <w:rStyle w:val="NormalTok"/>
        </w:rPr>
        <w:t>ax.xaxis.set_minor_locator(MultipleLocator(GFZ_STEP))</w:t>
      </w:r>
      <w:r>
        <w:br/>
      </w:r>
      <w:r>
        <w:rPr>
          <w:rStyle w:val="NormalTok"/>
        </w:rPr>
        <w:t>ax.grid(axis</w:t>
      </w:r>
      <w:r>
        <w:rPr>
          <w:rStyle w:val="OperatorTok"/>
        </w:rPr>
        <w:t>=</w:t>
      </w:r>
      <w:r>
        <w:rPr>
          <w:rStyle w:val="StringTok"/>
        </w:rPr>
        <w:t>"x"</w:t>
      </w:r>
      <w:r>
        <w:rPr>
          <w:rStyle w:val="NormalTok"/>
        </w:rPr>
        <w:t>, alpha</w:t>
      </w:r>
      <w:r>
        <w:rPr>
          <w:rStyle w:val="OperatorTok"/>
        </w:rPr>
        <w:t>=</w:t>
      </w:r>
      <w:r>
        <w:rPr>
          <w:rStyle w:val="FloatTok"/>
        </w:rPr>
        <w:t>.15</w:t>
      </w:r>
      <w:r>
        <w:rPr>
          <w:rStyle w:val="NormalTok"/>
        </w:rPr>
        <w:t>)</w:t>
      </w:r>
      <w:r>
        <w:br/>
      </w:r>
      <w:r>
        <w:rPr>
          <w:rStyle w:val="NormalTok"/>
        </w:rPr>
        <w:t>ax.legend()</w:t>
      </w:r>
      <w:r>
        <w:br/>
      </w:r>
      <w:r>
        <w:rPr>
          <w:rStyle w:val="NormalTok"/>
        </w:rPr>
        <w:t xml:space="preserve">fig.savefig(OUT </w:t>
      </w:r>
      <w:r>
        <w:rPr>
          <w:rStyle w:val="OperatorTok"/>
        </w:rPr>
        <w:t>/</w:t>
      </w:r>
      <w:r>
        <w:rPr>
          <w:rStyle w:val="NormalTok"/>
        </w:rPr>
        <w:t xml:space="preserve"> </w:t>
      </w:r>
      <w:r>
        <w:rPr>
          <w:rStyle w:val="StringTok"/>
        </w:rPr>
        <w:t>"gfz_referenz_rohstichproben.png"</w:t>
      </w:r>
      <w:r>
        <w:rPr>
          <w:rStyle w:val="NormalTok"/>
        </w:rPr>
        <w:t>, dpi</w:t>
      </w:r>
      <w:r>
        <w:rPr>
          <w:rStyle w:val="OperatorTok"/>
        </w:rPr>
        <w:t>=</w:t>
      </w:r>
      <w:r>
        <w:rPr>
          <w:rStyle w:val="DecValTok"/>
        </w:rPr>
        <w:t>180</w:t>
      </w:r>
      <w:r>
        <w:rPr>
          <w:rStyle w:val="NormalTok"/>
        </w:rPr>
        <w:t>, bbox_inches</w:t>
      </w:r>
      <w:r>
        <w:rPr>
          <w:rStyle w:val="OperatorTok"/>
        </w:rPr>
        <w:t>=</w:t>
      </w:r>
      <w:r>
        <w:rPr>
          <w:rStyle w:val="StringTok"/>
        </w:rPr>
        <w:t>"tight"</w:t>
      </w:r>
      <w:r>
        <w:rPr>
          <w:rStyle w:val="NormalTok"/>
        </w:rPr>
        <w:t>)</w:t>
      </w:r>
      <w:r>
        <w:br/>
      </w:r>
      <w:r>
        <w:rPr>
          <w:rStyle w:val="NormalTok"/>
        </w:rPr>
        <w:t>plt.show()</w:t>
      </w:r>
    </w:p>
    <w:tbl>
      <w:tblPr>
        <w:tblStyle w:val="Table"/>
        <w:tblW w:w="5000" w:type="pct"/>
        <w:tblLayout w:type="fixed"/>
        <w:tblLook w:val="0000" w:firstRow="0" w:lastRow="0" w:firstColumn="0" w:lastColumn="0" w:noHBand="0" w:noVBand="0"/>
      </w:tblPr>
      <w:tblGrid>
        <w:gridCol w:w="9622"/>
      </w:tblGrid>
      <w:tr w:rsidR="004E4CC2" w14:paraId="24A8DC45" w14:textId="77777777">
        <w:tc>
          <w:tcPr>
            <w:tcW w:w="7920" w:type="dxa"/>
          </w:tcPr>
          <w:p w14:paraId="49B0F6A7" w14:textId="77777777" w:rsidR="004E4CC2" w:rsidRDefault="00000000">
            <w:pPr>
              <w:pStyle w:val="Compact"/>
              <w:jc w:val="center"/>
            </w:pPr>
            <w:bookmarkStart w:id="334" w:name="fig-gfz-rohstichproben"/>
            <w:r>
              <w:rPr>
                <w:noProof/>
              </w:rPr>
              <w:lastRenderedPageBreak/>
              <w:drawing>
                <wp:inline distT="0" distB="0" distL="0" distR="0" wp14:anchorId="4B25EAEF" wp14:editId="08B2C10C">
                  <wp:extent cx="5334000" cy="2030077"/>
                  <wp:effectExtent l="0" t="0" r="0" b="0"/>
                  <wp:docPr id="343" name="Picture"/>
                  <wp:cNvGraphicFramePr/>
                  <a:graphic xmlns:a="http://schemas.openxmlformats.org/drawingml/2006/main">
                    <a:graphicData uri="http://schemas.openxmlformats.org/drawingml/2006/picture">
                      <pic:pic xmlns:pic="http://schemas.openxmlformats.org/drawingml/2006/picture">
                        <pic:nvPicPr>
                          <pic:cNvPr id="344" name="Picture" descr="Berechnungen\gfz_at/GFZ_AT_Analyse_Anhang_files/figure-docx/fig-gfz-rohstichproben-output-1.png"/>
                          <pic:cNvPicPr>
                            <a:picLocks noChangeAspect="1" noChangeArrowheads="1"/>
                          </pic:cNvPicPr>
                        </pic:nvPicPr>
                        <pic:blipFill>
                          <a:blip r:embed="rId69"/>
                          <a:stretch>
                            <a:fillRect/>
                          </a:stretch>
                        </pic:blipFill>
                        <pic:spPr bwMode="auto">
                          <a:xfrm>
                            <a:off x="0" y="0"/>
                            <a:ext cx="5334000" cy="2030077"/>
                          </a:xfrm>
                          <a:prstGeom prst="rect">
                            <a:avLst/>
                          </a:prstGeom>
                          <a:noFill/>
                          <a:ln w="9525">
                            <a:noFill/>
                            <a:headEnd/>
                            <a:tailEnd/>
                          </a:ln>
                        </pic:spPr>
                      </pic:pic>
                    </a:graphicData>
                  </a:graphic>
                </wp:inline>
              </w:drawing>
            </w:r>
          </w:p>
          <w:p w14:paraId="24F34B9F" w14:textId="77777777" w:rsidR="004E4CC2" w:rsidRDefault="00000000">
            <w:pPr>
              <w:pStyle w:val="ImageCaption"/>
              <w:spacing w:before="200"/>
            </w:pPr>
            <w:r>
              <w:t>Abbildung D.2: BGF-gewichtete GFZ-Häufigkeit der bereinigten Referenzgebäude aus Wien und Salzburg. Das Histogramm beschreibt die Stichprobe, nicht die hochgerechnete österreichische BGF.</w:t>
            </w:r>
          </w:p>
        </w:tc>
        <w:bookmarkEnd w:id="334"/>
      </w:tr>
    </w:tbl>
    <w:p w14:paraId="7D16FDCF" w14:textId="77777777" w:rsidR="004E4CC2" w:rsidRDefault="00000000">
      <w:pPr>
        <w:pStyle w:val="berschrift2"/>
      </w:pPr>
      <w:bookmarkStart w:id="335" w:name="Xc54a97cb5d95ce7cc0e0508c1a00a433b490b08"/>
      <w:bookmarkStart w:id="336" w:name="_Toc243681349"/>
      <w:bookmarkEnd w:id="330"/>
      <w:bookmarkEnd w:id="332"/>
      <w:r>
        <w:t>C.3 3. Statistische Bestandsdaten 2021: Herkunft, Flächen und Struktur</w:t>
      </w:r>
      <w:bookmarkEnd w:id="336"/>
    </w:p>
    <w:p w14:paraId="7613D79F" w14:textId="77777777" w:rsidR="004E4CC2" w:rsidRDefault="00000000">
      <w:pPr>
        <w:pStyle w:val="FirstParagraph"/>
      </w:pPr>
      <w:r>
        <w:t xml:space="preserve">Für die nationale Hochrechnung bildet die Statistik die verbindliche </w:t>
      </w:r>
      <w:r>
        <w:rPr>
          <w:b/>
          <w:bCs/>
        </w:rPr>
        <w:t>Mengenbasis</w:t>
      </w:r>
      <w:r>
        <w:t xml:space="preserve">. Aus dem Tabellenblatt </w:t>
      </w:r>
      <w:r>
        <w:rPr>
          <w:rStyle w:val="VerbatimChar"/>
        </w:rPr>
        <w:t>python</w:t>
      </w:r>
      <w:r>
        <w:t xml:space="preserve"> werden die neun Bundesländer und sieben Geschossklassen mit den neun Nutzungsgruppen entnommen. Zusätzliche historische Aggregatzeilen („AT ohne Wien und Salzburg“, „Alles“) werden herausgenommen, damit keine Doppelzählung entsteht. Die nationale Zeile </w:t>
      </w:r>
      <w:r>
        <w:rPr>
          <w:rStyle w:val="VerbatimChar"/>
        </w:rPr>
        <w:t>AT</w:t>
      </w:r>
      <w:r>
        <w:t xml:space="preserve"> wird nur zur Kontrolle verwendet.</w:t>
      </w:r>
    </w:p>
    <w:p w14:paraId="7243DE7A" w14:textId="77777777" w:rsidR="004E4CC2" w:rsidRDefault="00000000">
      <w:pPr>
        <w:pStyle w:val="Textkrper"/>
      </w:pPr>
      <w:r>
        <w:rPr>
          <w:b/>
          <w:bCs/>
        </w:rPr>
        <w:t>Wichtig für die Diagramme:</w:t>
      </w:r>
      <w:r>
        <w:t xml:space="preserve"> Die statistischen Eingangsdaten sind als </w:t>
      </w:r>
      <w:r>
        <w:rPr>
          <w:b/>
          <w:bCs/>
        </w:rPr>
        <w:t>NGF</w:t>
      </w:r>
      <w:r>
        <w:t xml:space="preserve"> abgelegt. Erst die Umrechnung mit </w:t>
      </w:r>
      <w:r>
        <w:rPr>
          <w:rStyle w:val="VerbatimChar"/>
        </w:rPr>
        <w:t>NGF_PER_BGF = 0.8</w:t>
      </w:r>
      <w:r>
        <w:t xml:space="preserve"> erzeugt die im Anschluss als </w:t>
      </w:r>
      <w:r>
        <w:rPr>
          <w:b/>
          <w:bCs/>
        </w:rPr>
        <w:t>BGF</w:t>
      </w:r>
      <w:r>
        <w:t xml:space="preserve"> dargestellten Flächen. In den Diagrammen wird somit die </w:t>
      </w:r>
      <w:r>
        <w:rPr>
          <w:i/>
          <w:iCs/>
        </w:rPr>
        <w:t>statistisch verankerte, modellierte BGF</w:t>
      </w:r>
      <w:r>
        <w:t xml:space="preserve"> gezeigt, nicht eine ursprünglich als BGF veröffentlichte Größe.</w:t>
      </w:r>
    </w:p>
    <w:p w14:paraId="30BAE7EE" w14:textId="77777777" w:rsidR="004E4CC2" w:rsidRDefault="00000000">
      <w:pPr>
        <w:pStyle w:val="SourceCode"/>
      </w:pPr>
      <w:r>
        <w:rPr>
          <w:rStyle w:val="ControlFlowTok"/>
        </w:rPr>
        <w:t>if</w:t>
      </w:r>
      <w:r>
        <w:rPr>
          <w:rStyle w:val="NormalTok"/>
        </w:rPr>
        <w:t xml:space="preserve"> STATISTICS.suffix.lower() </w:t>
      </w:r>
      <w:r>
        <w:rPr>
          <w:rStyle w:val="OperatorTok"/>
        </w:rPr>
        <w:t>==</w:t>
      </w:r>
      <w:r>
        <w:rPr>
          <w:rStyle w:val="NormalTok"/>
        </w:rPr>
        <w:t xml:space="preserve"> </w:t>
      </w:r>
      <w:r>
        <w:rPr>
          <w:rStyle w:val="StringTok"/>
        </w:rPr>
        <w:t>".csv"</w:t>
      </w:r>
      <w:r>
        <w:rPr>
          <w:rStyle w:val="NormalTok"/>
        </w:rPr>
        <w:t>:</w:t>
      </w:r>
      <w:r>
        <w:br/>
      </w:r>
      <w:r>
        <w:rPr>
          <w:rStyle w:val="NormalTok"/>
        </w:rPr>
        <w:t xml:space="preserve">    stats_raw </w:t>
      </w:r>
      <w:r>
        <w:rPr>
          <w:rStyle w:val="OperatorTok"/>
        </w:rPr>
        <w:t>=</w:t>
      </w:r>
      <w:r>
        <w:rPr>
          <w:rStyle w:val="NormalTok"/>
        </w:rPr>
        <w:t xml:space="preserve"> pd.read_csv(STATISTICS, dtype</w:t>
      </w:r>
      <w:r>
        <w:rPr>
          <w:rStyle w:val="OperatorTok"/>
        </w:rPr>
        <w:t>=</w:t>
      </w:r>
      <w:r>
        <w:rPr>
          <w:rStyle w:val="NormalTok"/>
        </w:rPr>
        <w:t>{</w:t>
      </w:r>
      <w:r>
        <w:rPr>
          <w:rStyle w:val="StringTok"/>
        </w:rPr>
        <w:t>"GK"</w:t>
      </w:r>
      <w:r>
        <w:rPr>
          <w:rStyle w:val="NormalTok"/>
        </w:rPr>
        <w:t xml:space="preserve">: </w:t>
      </w:r>
      <w:r>
        <w:rPr>
          <w:rStyle w:val="BuiltInTok"/>
        </w:rPr>
        <w:t>str</w:t>
      </w:r>
      <w:r>
        <w:rPr>
          <w:rStyle w:val="NormalTok"/>
        </w:rPr>
        <w:t>}, low_memory</w:t>
      </w:r>
      <w:r>
        <w:rPr>
          <w:rStyle w:val="OperatorTok"/>
        </w:rPr>
        <w:t>=</w:t>
      </w:r>
      <w:r>
        <w:rPr>
          <w:rStyle w:val="VariableTok"/>
        </w:rPr>
        <w:t>False</w:t>
      </w:r>
      <w:r>
        <w:rPr>
          <w:rStyle w:val="NormalTok"/>
        </w:rPr>
        <w:t>)</w:t>
      </w:r>
      <w:r>
        <w:br/>
      </w:r>
      <w:r>
        <w:rPr>
          <w:rStyle w:val="ControlFlowTok"/>
        </w:rPr>
        <w:t>else</w:t>
      </w:r>
      <w:r>
        <w:rPr>
          <w:rStyle w:val="NormalTok"/>
        </w:rPr>
        <w:t>:</w:t>
      </w:r>
      <w:r>
        <w:br/>
      </w:r>
      <w:r>
        <w:rPr>
          <w:rStyle w:val="NormalTok"/>
        </w:rPr>
        <w:t xml:space="preserve">    stats_raw </w:t>
      </w:r>
      <w:r>
        <w:rPr>
          <w:rStyle w:val="OperatorTok"/>
        </w:rPr>
        <w:t>=</w:t>
      </w:r>
      <w:r>
        <w:rPr>
          <w:rStyle w:val="NormalTok"/>
        </w:rPr>
        <w:t xml:space="preserve"> pd.read_excel(STATISTICS, sheet_name</w:t>
      </w:r>
      <w:r>
        <w:rPr>
          <w:rStyle w:val="OperatorTok"/>
        </w:rPr>
        <w:t>=</w:t>
      </w:r>
      <w:r>
        <w:rPr>
          <w:rStyle w:val="StringTok"/>
        </w:rPr>
        <w:t>"python"</w:t>
      </w:r>
      <w:r>
        <w:rPr>
          <w:rStyle w:val="NormalTok"/>
        </w:rPr>
        <w:t>, dtype</w:t>
      </w:r>
      <w:r>
        <w:rPr>
          <w:rStyle w:val="OperatorTok"/>
        </w:rPr>
        <w:t>=</w:t>
      </w:r>
      <w:r>
        <w:rPr>
          <w:rStyle w:val="NormalTok"/>
        </w:rPr>
        <w:t>{</w:t>
      </w:r>
      <w:r>
        <w:rPr>
          <w:rStyle w:val="StringTok"/>
        </w:rPr>
        <w:t>"GK"</w:t>
      </w:r>
      <w:r>
        <w:rPr>
          <w:rStyle w:val="NormalTok"/>
        </w:rPr>
        <w:t xml:space="preserve">: </w:t>
      </w:r>
      <w:r>
        <w:rPr>
          <w:rStyle w:val="BuiltInTok"/>
        </w:rPr>
        <w:t>str</w:t>
      </w:r>
      <w:r>
        <w:rPr>
          <w:rStyle w:val="NormalTok"/>
        </w:rPr>
        <w:t>})</w:t>
      </w:r>
      <w:r>
        <w:br/>
      </w:r>
      <w:r>
        <w:br/>
      </w:r>
      <w:r>
        <w:rPr>
          <w:rStyle w:val="NormalTok"/>
        </w:rPr>
        <w:t xml:space="preserve">missing </w:t>
      </w:r>
      <w:r>
        <w:rPr>
          <w:rStyle w:val="OperatorTok"/>
        </w:rPr>
        <w:t>=</w:t>
      </w:r>
      <w:r>
        <w:rPr>
          <w:rStyle w:val="NormalTok"/>
        </w:rPr>
        <w:t xml:space="preserve"> </w:t>
      </w:r>
      <w:r>
        <w:rPr>
          <w:rStyle w:val="BuiltInTok"/>
        </w:rPr>
        <w:t>sorted</w:t>
      </w:r>
      <w:r>
        <w:rPr>
          <w:rStyle w:val="NormalTok"/>
        </w:rPr>
        <w:t>(</w:t>
      </w:r>
      <w:r>
        <w:rPr>
          <w:rStyle w:val="BuiltInTok"/>
        </w:rPr>
        <w:t>set</w:t>
      </w:r>
      <w:r>
        <w:rPr>
          <w:rStyle w:val="NormalTok"/>
        </w:rPr>
        <w:t>([</w:t>
      </w:r>
      <w:r>
        <w:rPr>
          <w:rStyle w:val="StringTok"/>
        </w:rPr>
        <w:t>"NUTS"</w:t>
      </w:r>
      <w:r>
        <w:rPr>
          <w:rStyle w:val="NormalTok"/>
        </w:rPr>
        <w:t xml:space="preserve">, </w:t>
      </w:r>
      <w:r>
        <w:rPr>
          <w:rStyle w:val="StringTok"/>
        </w:rPr>
        <w:t>"GK"</w:t>
      </w:r>
      <w:r>
        <w:rPr>
          <w:rStyle w:val="NormalTok"/>
        </w:rPr>
        <w:t xml:space="preserve">, </w:t>
      </w:r>
      <w:r>
        <w:rPr>
          <w:rStyle w:val="OperatorTok"/>
        </w:rPr>
        <w:t>*</w:t>
      </w:r>
      <w:r>
        <w:rPr>
          <w:rStyle w:val="NormalTok"/>
        </w:rPr>
        <w:t xml:space="preserve">USES]) </w:t>
      </w:r>
      <w:r>
        <w:rPr>
          <w:rStyle w:val="OperatorTok"/>
        </w:rPr>
        <w:t>-</w:t>
      </w:r>
      <w:r>
        <w:rPr>
          <w:rStyle w:val="NormalTok"/>
        </w:rPr>
        <w:t xml:space="preserve"> </w:t>
      </w:r>
      <w:r>
        <w:rPr>
          <w:rStyle w:val="BuiltInTok"/>
        </w:rPr>
        <w:t>set</w:t>
      </w:r>
      <w:r>
        <w:rPr>
          <w:rStyle w:val="NormalTok"/>
        </w:rPr>
        <w:t>(stats_raw.columns))</w:t>
      </w:r>
      <w:r>
        <w:br/>
      </w:r>
      <w:r>
        <w:rPr>
          <w:rStyle w:val="ControlFlowTok"/>
        </w:rPr>
        <w:t>if</w:t>
      </w:r>
      <w:r>
        <w:rPr>
          <w:rStyle w:val="NormalTok"/>
        </w:rPr>
        <w:t xml:space="preserve"> missing:</w:t>
      </w:r>
      <w: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pecialStringTok"/>
        </w:rPr>
        <w:t xml:space="preserve">f"Statistikdatei: Spalten fehlen: </w:t>
      </w:r>
      <w:r>
        <w:rPr>
          <w:rStyle w:val="SpecialCharTok"/>
        </w:rPr>
        <w:t>{</w:t>
      </w:r>
      <w:r>
        <w:rPr>
          <w:rStyle w:val="NormalTok"/>
        </w:rPr>
        <w:t>missing</w:t>
      </w:r>
      <w:r>
        <w:rPr>
          <w:rStyle w:val="SpecialCharTok"/>
        </w:rPr>
        <w:t>}</w:t>
      </w:r>
      <w:r>
        <w:rPr>
          <w:rStyle w:val="SpecialStringTok"/>
        </w:rPr>
        <w:t>"</w:t>
      </w:r>
      <w:r>
        <w:rPr>
          <w:rStyle w:val="NormalTok"/>
        </w:rPr>
        <w:t>)</w:t>
      </w:r>
      <w:r>
        <w:br/>
      </w:r>
      <w:r>
        <w:br/>
      </w:r>
      <w:r>
        <w:rPr>
          <w:rStyle w:val="NormalTok"/>
        </w:rPr>
        <w:t xml:space="preserve">legacy_aggregates </w:t>
      </w:r>
      <w:r>
        <w:rPr>
          <w:rStyle w:val="OperatorTok"/>
        </w:rPr>
        <w:t>=</w:t>
      </w:r>
      <w:r>
        <w:rPr>
          <w:rStyle w:val="NormalTok"/>
        </w:rPr>
        <w:t xml:space="preserve"> [</w:t>
      </w:r>
      <w:r>
        <w:rPr>
          <w:rStyle w:val="StringTok"/>
        </w:rPr>
        <w:t>"AT ohne Wien und Salzburg"</w:t>
      </w:r>
      <w:r>
        <w:rPr>
          <w:rStyle w:val="NormalTok"/>
        </w:rPr>
        <w:t xml:space="preserve">, </w:t>
      </w:r>
      <w:r>
        <w:rPr>
          <w:rStyle w:val="StringTok"/>
        </w:rPr>
        <w:t>"Alles"</w:t>
      </w:r>
      <w:r>
        <w:rPr>
          <w:rStyle w:val="NormalTok"/>
        </w:rPr>
        <w:t>]</w:t>
      </w:r>
      <w:r>
        <w:br/>
      </w:r>
      <w:r>
        <w:rPr>
          <w:rStyle w:val="NormalTok"/>
        </w:rPr>
        <w:t xml:space="preserve">removed_aggregates </w:t>
      </w:r>
      <w:r>
        <w:rPr>
          <w:rStyle w:val="OperatorTok"/>
        </w:rPr>
        <w:t>=</w:t>
      </w:r>
      <w:r>
        <w:rPr>
          <w:rStyle w:val="NormalTok"/>
        </w:rPr>
        <w:t xml:space="preserve"> stats_raw.loc[stats_raw.NUTS.isin(legacy_aggregates), </w:t>
      </w:r>
      <w:r>
        <w:rPr>
          <w:rStyle w:val="StringTok"/>
        </w:rPr>
        <w:t>"NUTS"</w:t>
      </w:r>
      <w:r>
        <w:rPr>
          <w:rStyle w:val="NormalTok"/>
        </w:rPr>
        <w:t>].value_counts()</w:t>
      </w:r>
      <w:r>
        <w:br/>
      </w:r>
      <w:r>
        <w:rPr>
          <w:rStyle w:val="NormalTok"/>
        </w:rPr>
        <w:t xml:space="preserve">stats </w:t>
      </w:r>
      <w:r>
        <w:rPr>
          <w:rStyle w:val="OperatorTok"/>
        </w:rPr>
        <w:t>=</w:t>
      </w:r>
      <w:r>
        <w:rPr>
          <w:rStyle w:val="NormalTok"/>
        </w:rPr>
        <w:t xml:space="preserve"> stats_raw.loc[</w:t>
      </w:r>
      <w:r>
        <w:rPr>
          <w:rStyle w:val="OperatorTok"/>
        </w:rPr>
        <w:t>~</w:t>
      </w:r>
      <w:r>
        <w:rPr>
          <w:rStyle w:val="NormalTok"/>
        </w:rPr>
        <w:t>stats_raw.NUTS.isin(legacy_aggregates), [</w:t>
      </w:r>
      <w:r>
        <w:rPr>
          <w:rStyle w:val="StringTok"/>
        </w:rPr>
        <w:t>"NUTS"</w:t>
      </w:r>
      <w:r>
        <w:rPr>
          <w:rStyle w:val="NormalTok"/>
        </w:rPr>
        <w:t xml:space="preserve">, </w:t>
      </w:r>
      <w:r>
        <w:rPr>
          <w:rStyle w:val="StringTok"/>
        </w:rPr>
        <w:t>"GK"</w:t>
      </w:r>
      <w:r>
        <w:rPr>
          <w:rStyle w:val="NormalTok"/>
        </w:rPr>
        <w:t xml:space="preserve">, </w:t>
      </w:r>
      <w:r>
        <w:rPr>
          <w:rStyle w:val="OperatorTok"/>
        </w:rPr>
        <w:t>*</w:t>
      </w:r>
      <w:r>
        <w:rPr>
          <w:rStyle w:val="NormalTok"/>
        </w:rPr>
        <w:t>USES]].copy()</w:t>
      </w:r>
      <w:r>
        <w:br/>
      </w:r>
      <w:r>
        <w:rPr>
          <w:rStyle w:val="NormalTok"/>
        </w:rPr>
        <w:t>stats[</w:t>
      </w:r>
      <w:r>
        <w:rPr>
          <w:rStyle w:val="StringTok"/>
        </w:rPr>
        <w:t>"GK"</w:t>
      </w:r>
      <w:r>
        <w:rPr>
          <w:rStyle w:val="NormalTok"/>
        </w:rPr>
        <w:t xml:space="preserve">] </w:t>
      </w:r>
      <w:r>
        <w:rPr>
          <w:rStyle w:val="OperatorTok"/>
        </w:rPr>
        <w:t>=</w:t>
      </w:r>
      <w:r>
        <w:rPr>
          <w:rStyle w:val="NormalTok"/>
        </w:rPr>
        <w:t xml:space="preserve"> (stats[</w:t>
      </w:r>
      <w:r>
        <w:rPr>
          <w:rStyle w:val="StringTok"/>
        </w:rPr>
        <w:t>"GK"</w:t>
      </w:r>
      <w:r>
        <w:rPr>
          <w:rStyle w:val="NormalTok"/>
        </w:rPr>
        <w:t>].astype(</w:t>
      </w:r>
      <w:r>
        <w:rPr>
          <w:rStyle w:val="BuiltInTok"/>
        </w:rPr>
        <w:t>str</w:t>
      </w:r>
      <w:r>
        <w:rPr>
          <w:rStyle w:val="NormalTok"/>
        </w:rPr>
        <w:t>).</w:t>
      </w:r>
      <w:r>
        <w:rPr>
          <w:rStyle w:val="BuiltInTok"/>
        </w:rPr>
        <w:t>str</w:t>
      </w:r>
      <w:r>
        <w:rPr>
          <w:rStyle w:val="NormalTok"/>
        </w:rPr>
        <w:t>.strip().</w:t>
      </w:r>
      <w:r>
        <w:rPr>
          <w:rStyle w:val="BuiltInTok"/>
        </w:rPr>
        <w:t>str</w:t>
      </w:r>
      <w:r>
        <w:rPr>
          <w:rStyle w:val="NormalTok"/>
        </w:rPr>
        <w:t>.lower()</w:t>
      </w:r>
      <w:r>
        <w:br/>
      </w:r>
      <w:r>
        <w:rPr>
          <w:rStyle w:val="NormalTok"/>
        </w:rPr>
        <w:t xml:space="preserve">                .</w:t>
      </w:r>
      <w:r>
        <w:rPr>
          <w:rStyle w:val="BuiltInTok"/>
        </w:rPr>
        <w:t>str</w:t>
      </w:r>
      <w:r>
        <w:rPr>
          <w:rStyle w:val="NormalTok"/>
        </w:rPr>
        <w:t>.replace(</w:t>
      </w:r>
      <w:r>
        <w:rPr>
          <w:rStyle w:val="VerbatimStringTok"/>
        </w:rPr>
        <w:t>r"</w:t>
      </w:r>
      <w:r>
        <w:rPr>
          <w:rStyle w:val="CharTok"/>
        </w:rPr>
        <w:t>\.</w:t>
      </w:r>
      <w:r>
        <w:rPr>
          <w:rStyle w:val="VerbatimStringTok"/>
        </w:rPr>
        <w:t>0</w:t>
      </w:r>
      <w:r>
        <w:rPr>
          <w:rStyle w:val="DecValTok"/>
        </w:rPr>
        <w:t>$</w:t>
      </w:r>
      <w:r>
        <w:rPr>
          <w:rStyle w:val="VerbatimStringTok"/>
        </w:rPr>
        <w:t>"</w:t>
      </w:r>
      <w:r>
        <w:rPr>
          <w:rStyle w:val="NormalTok"/>
        </w:rPr>
        <w:t xml:space="preserve">, </w:t>
      </w:r>
      <w:r>
        <w:rPr>
          <w:rStyle w:val="StringTok"/>
        </w:rPr>
        <w:t>""</w:t>
      </w:r>
      <w:r>
        <w:rPr>
          <w:rStyle w:val="NormalTok"/>
        </w:rPr>
        <w:t>, regex</w:t>
      </w:r>
      <w:r>
        <w:rPr>
          <w:rStyle w:val="OperatorTok"/>
        </w:rPr>
        <w:t>=</w:t>
      </w:r>
      <w:r>
        <w:rPr>
          <w:rStyle w:val="VariableTok"/>
        </w:rPr>
        <w:t>True</w:t>
      </w:r>
      <w:r>
        <w:rPr>
          <w:rStyle w:val="NormalTok"/>
        </w:rPr>
        <w:t>)</w:t>
      </w:r>
      <w:r>
        <w:br/>
      </w:r>
      <w:r>
        <w:rPr>
          <w:rStyle w:val="NormalTok"/>
        </w:rPr>
        <w:t xml:space="preserve">                .replace({</w:t>
      </w:r>
      <w:r>
        <w:rPr>
          <w:rStyle w:val="StringTok"/>
        </w:rPr>
        <w:t>"6 bis 10"</w:t>
      </w:r>
      <w:r>
        <w:rPr>
          <w:rStyle w:val="NormalTok"/>
        </w:rPr>
        <w:t xml:space="preserve">: </w:t>
      </w:r>
      <w:r>
        <w:rPr>
          <w:rStyle w:val="StringTok"/>
        </w:rPr>
        <w:t>"6-10"</w:t>
      </w:r>
      <w:r>
        <w:rPr>
          <w:rStyle w:val="NormalTok"/>
        </w:rPr>
        <w:t xml:space="preserve">, </w:t>
      </w:r>
      <w:r>
        <w:rPr>
          <w:rStyle w:val="StringTok"/>
        </w:rPr>
        <w:t>"6–10"</w:t>
      </w:r>
      <w:r>
        <w:rPr>
          <w:rStyle w:val="NormalTok"/>
        </w:rPr>
        <w:t xml:space="preserve">: </w:t>
      </w:r>
      <w:r>
        <w:rPr>
          <w:rStyle w:val="StringTok"/>
        </w:rPr>
        <w:t>"6-10"</w:t>
      </w:r>
      <w:r>
        <w:rPr>
          <w:rStyle w:val="NormalTok"/>
        </w:rPr>
        <w:t xml:space="preserve">, </w:t>
      </w:r>
      <w:r>
        <w:rPr>
          <w:rStyle w:val="StringTok"/>
        </w:rPr>
        <w:t>"6010"</w:t>
      </w:r>
      <w:r>
        <w:rPr>
          <w:rStyle w:val="NormalTok"/>
        </w:rPr>
        <w:t xml:space="preserve">: </w:t>
      </w:r>
      <w:r>
        <w:rPr>
          <w:rStyle w:val="StringTok"/>
        </w:rPr>
        <w:t>"6-10"</w:t>
      </w:r>
      <w:r>
        <w:rPr>
          <w:rStyle w:val="NormalTok"/>
        </w:rPr>
        <w:t>,</w:t>
      </w:r>
      <w:r>
        <w:br/>
      </w:r>
      <w:r>
        <w:rPr>
          <w:rStyle w:val="NormalTok"/>
        </w:rPr>
        <w:t xml:space="preserve">                          </w:t>
      </w:r>
      <w:r>
        <w:rPr>
          <w:rStyle w:val="StringTok"/>
        </w:rPr>
        <w:t>"6.0 bis 10.0"</w:t>
      </w:r>
      <w:r>
        <w:rPr>
          <w:rStyle w:val="NormalTok"/>
        </w:rPr>
        <w:t xml:space="preserve">: </w:t>
      </w:r>
      <w:r>
        <w:rPr>
          <w:rStyle w:val="StringTok"/>
        </w:rPr>
        <w:t>"6-10"</w:t>
      </w:r>
      <w:r>
        <w:rPr>
          <w:rStyle w:val="NormalTok"/>
        </w:rPr>
        <w:t xml:space="preserve">, </w:t>
      </w:r>
      <w:r>
        <w:rPr>
          <w:rStyle w:val="StringTok"/>
        </w:rPr>
        <w:t>"11 und mehr"</w:t>
      </w:r>
      <w:r>
        <w:rPr>
          <w:rStyle w:val="NormalTok"/>
        </w:rPr>
        <w:t xml:space="preserve">: </w:t>
      </w:r>
      <w:r>
        <w:rPr>
          <w:rStyle w:val="StringTok"/>
        </w:rPr>
        <w:t>"11+"</w:t>
      </w:r>
      <w:r>
        <w:rPr>
          <w:rStyle w:val="NormalTok"/>
        </w:rPr>
        <w:t>,</w:t>
      </w:r>
      <w:r>
        <w:br/>
      </w:r>
      <w:r>
        <w:rPr>
          <w:rStyle w:val="NormalTok"/>
        </w:rPr>
        <w:lastRenderedPageBreak/>
        <w:t xml:space="preserve">                          </w:t>
      </w:r>
      <w:r>
        <w:rPr>
          <w:rStyle w:val="StringTok"/>
        </w:rPr>
        <w:t>"11 oder mehr"</w:t>
      </w:r>
      <w:r>
        <w:rPr>
          <w:rStyle w:val="NormalTok"/>
        </w:rPr>
        <w:t xml:space="preserve">: </w:t>
      </w:r>
      <w:r>
        <w:rPr>
          <w:rStyle w:val="StringTok"/>
        </w:rPr>
        <w:t>"11+"</w:t>
      </w:r>
      <w:r>
        <w:rPr>
          <w:rStyle w:val="NormalTok"/>
        </w:rPr>
        <w:t xml:space="preserve">, </w:t>
      </w:r>
      <w:r>
        <w:rPr>
          <w:rStyle w:val="StringTok"/>
        </w:rPr>
        <w:t>"11plus"</w:t>
      </w:r>
      <w:r>
        <w:rPr>
          <w:rStyle w:val="NormalTok"/>
        </w:rPr>
        <w:t xml:space="preserve">: </w:t>
      </w:r>
      <w:r>
        <w:rPr>
          <w:rStyle w:val="StringTok"/>
        </w:rPr>
        <w:t>"11+"</w:t>
      </w:r>
      <w:r>
        <w:rPr>
          <w:rStyle w:val="NormalTok"/>
        </w:rPr>
        <w:t>}))</w:t>
      </w:r>
      <w:r>
        <w:br/>
      </w:r>
      <w:r>
        <w:br/>
      </w:r>
      <w:r>
        <w:rPr>
          <w:rStyle w:val="NormalTok"/>
        </w:rPr>
        <w:t xml:space="preserve">bad_regions </w:t>
      </w:r>
      <w:r>
        <w:rPr>
          <w:rStyle w:val="OperatorTok"/>
        </w:rPr>
        <w:t>=</w:t>
      </w:r>
      <w:r>
        <w:rPr>
          <w:rStyle w:val="NormalTok"/>
        </w:rPr>
        <w:t xml:space="preserve"> </w:t>
      </w:r>
      <w:r>
        <w:rPr>
          <w:rStyle w:val="BuiltInTok"/>
        </w:rPr>
        <w:t>set</w:t>
      </w:r>
      <w:r>
        <w:rPr>
          <w:rStyle w:val="NormalTok"/>
        </w:rPr>
        <w:t>(stats.NUTS.dropna().astype(</w:t>
      </w:r>
      <w:r>
        <w:rPr>
          <w:rStyle w:val="BuiltInTok"/>
        </w:rPr>
        <w:t>str</w:t>
      </w:r>
      <w:r>
        <w:rPr>
          <w:rStyle w:val="NormalTok"/>
        </w:rPr>
        <w:t xml:space="preserve">)) </w:t>
      </w:r>
      <w:r>
        <w:rPr>
          <w:rStyle w:val="OperatorTok"/>
        </w:rPr>
        <w:t>-</w:t>
      </w:r>
      <w:r>
        <w:rPr>
          <w:rStyle w:val="NormalTok"/>
        </w:rPr>
        <w:t xml:space="preserve"> </w:t>
      </w:r>
      <w:r>
        <w:rPr>
          <w:rStyle w:val="BuiltInTok"/>
        </w:rPr>
        <w:t>set</w:t>
      </w:r>
      <w:r>
        <w:rPr>
          <w:rStyle w:val="NormalTok"/>
        </w:rPr>
        <w:t xml:space="preserve">(PROVINCES </w:t>
      </w:r>
      <w:r>
        <w:rPr>
          <w:rStyle w:val="OperatorTok"/>
        </w:rPr>
        <w:t>+</w:t>
      </w:r>
      <w:r>
        <w:rPr>
          <w:rStyle w:val="NormalTok"/>
        </w:rPr>
        <w:t xml:space="preserve"> [</w:t>
      </w:r>
      <w:r>
        <w:rPr>
          <w:rStyle w:val="StringTok"/>
        </w:rPr>
        <w:t>"AT"</w:t>
      </w:r>
      <w:r>
        <w:rPr>
          <w:rStyle w:val="NormalTok"/>
        </w:rPr>
        <w:t>])</w:t>
      </w:r>
      <w:r>
        <w:br/>
      </w:r>
      <w:r>
        <w:rPr>
          <w:rStyle w:val="ControlFlowTok"/>
        </w:rPr>
        <w:t>if</w:t>
      </w:r>
      <w:r>
        <w:rPr>
          <w:rStyle w:val="NormalTok"/>
        </w:rPr>
        <w:t xml:space="preserve"> bad_regions:</w:t>
      </w:r>
      <w: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pecialStringTok"/>
        </w:rPr>
        <w:t xml:space="preserve">f"Unbekannte Regionen in Statistik: </w:t>
      </w:r>
      <w:r>
        <w:rPr>
          <w:rStyle w:val="SpecialCharTok"/>
        </w:rPr>
        <w:t>{</w:t>
      </w:r>
      <w:r>
        <w:rPr>
          <w:rStyle w:val="NormalTok"/>
        </w:rPr>
        <w:t>bad_regions</w:t>
      </w:r>
      <w:r>
        <w:rPr>
          <w:rStyle w:val="SpecialCharTok"/>
        </w:rPr>
        <w:t>}</w:t>
      </w:r>
      <w:r>
        <w:rPr>
          <w:rStyle w:val="SpecialStringTok"/>
        </w:rPr>
        <w:t>"</w:t>
      </w:r>
      <w:r>
        <w:rPr>
          <w:rStyle w:val="NormalTok"/>
        </w:rPr>
        <w:t>)</w:t>
      </w:r>
      <w:r>
        <w:br/>
      </w:r>
      <w:r>
        <w:rPr>
          <w:rStyle w:val="ControlFlowTok"/>
        </w:rPr>
        <w:t>if</w:t>
      </w:r>
      <w:r>
        <w:rPr>
          <w:rStyle w:val="NormalTok"/>
        </w:rPr>
        <w:t xml:space="preserve"> stats.duplicated([</w:t>
      </w:r>
      <w:r>
        <w:rPr>
          <w:rStyle w:val="StringTok"/>
        </w:rPr>
        <w:t>"NUTS"</w:t>
      </w:r>
      <w:r>
        <w:rPr>
          <w:rStyle w:val="NormalTok"/>
        </w:rPr>
        <w:t xml:space="preserve">, </w:t>
      </w:r>
      <w:r>
        <w:rPr>
          <w:rStyle w:val="StringTok"/>
        </w:rPr>
        <w:t>"GK"</w:t>
      </w:r>
      <w:r>
        <w:rPr>
          <w:rStyle w:val="NormalTok"/>
        </w:rPr>
        <w:t>]).</w:t>
      </w:r>
      <w:r>
        <w:rPr>
          <w:rStyle w:val="BuiltInTok"/>
        </w:rPr>
        <w:t>any</w:t>
      </w:r>
      <w:r>
        <w:rPr>
          <w:rStyle w:val="NormalTok"/>
        </w:rPr>
        <w:t>():</w:t>
      </w:r>
      <w: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tringTok"/>
        </w:rPr>
        <w:t>"Doppelte Statistikzeilen mit identischem NUTS/GK"</w:t>
      </w:r>
      <w:r>
        <w:rPr>
          <w:rStyle w:val="NormalTok"/>
        </w:rPr>
        <w:t>)</w:t>
      </w:r>
      <w:r>
        <w:br/>
      </w:r>
      <w:r>
        <w:rPr>
          <w:rStyle w:val="NormalTok"/>
        </w:rPr>
        <w:t xml:space="preserve">missing_pairs </w:t>
      </w:r>
      <w:r>
        <w:rPr>
          <w:rStyle w:val="OperatorTok"/>
        </w:rPr>
        <w:t>=</w:t>
      </w:r>
      <w:r>
        <w:rPr>
          <w:rStyle w:val="NormalTok"/>
        </w:rPr>
        <w:t xml:space="preserve"> {(b, g) </w:t>
      </w:r>
      <w:r>
        <w:rPr>
          <w:rStyle w:val="ControlFlowTok"/>
        </w:rPr>
        <w:t>for</w:t>
      </w:r>
      <w:r>
        <w:rPr>
          <w:rStyle w:val="NormalTok"/>
        </w:rPr>
        <w:t xml:space="preserve"> b </w:t>
      </w:r>
      <w:r>
        <w:rPr>
          <w:rStyle w:val="KeywordTok"/>
        </w:rPr>
        <w:t>in</w:t>
      </w:r>
      <w:r>
        <w:rPr>
          <w:rStyle w:val="NormalTok"/>
        </w:rPr>
        <w:t xml:space="preserve"> PROVINCES </w:t>
      </w:r>
      <w:r>
        <w:rPr>
          <w:rStyle w:val="OperatorTok"/>
        </w:rPr>
        <w:t>+</w:t>
      </w:r>
      <w:r>
        <w:rPr>
          <w:rStyle w:val="NormalTok"/>
        </w:rPr>
        <w:t xml:space="preserve"> [</w:t>
      </w:r>
      <w:r>
        <w:rPr>
          <w:rStyle w:val="StringTok"/>
        </w:rPr>
        <w:t>"AT"</w:t>
      </w:r>
      <w:r>
        <w:rPr>
          <w:rStyle w:val="NormalTok"/>
        </w:rPr>
        <w:t xml:space="preserve">] </w:t>
      </w:r>
      <w:r>
        <w:rPr>
          <w:rStyle w:val="ControlFlowTok"/>
        </w:rPr>
        <w:t>for</w:t>
      </w:r>
      <w:r>
        <w:rPr>
          <w:rStyle w:val="NormalTok"/>
        </w:rPr>
        <w:t xml:space="preserve"> g </w:t>
      </w:r>
      <w:r>
        <w:rPr>
          <w:rStyle w:val="KeywordTok"/>
        </w:rPr>
        <w:t>in</w:t>
      </w:r>
      <w:r>
        <w:rPr>
          <w:rStyle w:val="NormalTok"/>
        </w:rPr>
        <w:t xml:space="preserve"> STOREYS} </w:t>
      </w:r>
      <w:r>
        <w:rPr>
          <w:rStyle w:val="OperatorTok"/>
        </w:rPr>
        <w:t>-</w:t>
      </w:r>
      <w:r>
        <w:rPr>
          <w:rStyle w:val="NormalTok"/>
        </w:rPr>
        <w:t xml:space="preserve"> </w:t>
      </w:r>
      <w:r>
        <w:rPr>
          <w:rStyle w:val="BuiltInTok"/>
        </w:rPr>
        <w:t>set</w:t>
      </w:r>
      <w:r>
        <w:rPr>
          <w:rStyle w:val="NormalTok"/>
        </w:rPr>
        <w:t>(</w:t>
      </w:r>
      <w:r>
        <w:rPr>
          <w:rStyle w:val="BuiltInTok"/>
        </w:rPr>
        <w:t>zip</w:t>
      </w:r>
      <w:r>
        <w:rPr>
          <w:rStyle w:val="NormalTok"/>
        </w:rPr>
        <w:t>(stats.NUTS, stats.GK))</w:t>
      </w:r>
      <w:r>
        <w:br/>
      </w:r>
      <w:r>
        <w:rPr>
          <w:rStyle w:val="ControlFlowTok"/>
        </w:rPr>
        <w:t>if</w:t>
      </w:r>
      <w:r>
        <w:rPr>
          <w:rStyle w:val="NormalTok"/>
        </w:rPr>
        <w:t xml:space="preserve"> missing_pairs:</w:t>
      </w:r>
      <w: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pecialStringTok"/>
        </w:rPr>
        <w:t xml:space="preserve">f"Geschossklassen in Statistik nicht vollständig: </w:t>
      </w:r>
      <w:r>
        <w:rPr>
          <w:rStyle w:val="SpecialCharTok"/>
        </w:rPr>
        <w:t>{</w:t>
      </w:r>
      <w:r>
        <w:rPr>
          <w:rStyle w:val="BuiltInTok"/>
        </w:rPr>
        <w:t>sorted</w:t>
      </w:r>
      <w:r>
        <w:rPr>
          <w:rStyle w:val="NormalTok"/>
        </w:rPr>
        <w:t>(missing_pairs)</w:t>
      </w:r>
      <w:r>
        <w:rPr>
          <w:rStyle w:val="SpecialCharTok"/>
        </w:rPr>
        <w:t>}</w:t>
      </w:r>
      <w:r>
        <w:rPr>
          <w:rStyle w:val="SpecialStringTok"/>
        </w:rPr>
        <w:t>"</w:t>
      </w:r>
      <w:r>
        <w:rPr>
          <w:rStyle w:val="NormalTok"/>
        </w:rPr>
        <w:t>)</w:t>
      </w:r>
      <w:r>
        <w:br/>
      </w:r>
      <w:r>
        <w:br/>
      </w:r>
      <w:r>
        <w:rPr>
          <w:rStyle w:val="ControlFlowTok"/>
        </w:rPr>
        <w:t>for</w:t>
      </w:r>
      <w:r>
        <w:rPr>
          <w:rStyle w:val="NormalTok"/>
        </w:rPr>
        <w:t xml:space="preserve"> u </w:t>
      </w:r>
      <w:r>
        <w:rPr>
          <w:rStyle w:val="KeywordTok"/>
        </w:rPr>
        <w:t>in</w:t>
      </w:r>
      <w:r>
        <w:rPr>
          <w:rStyle w:val="NormalTok"/>
        </w:rPr>
        <w:t xml:space="preserve"> USES:</w:t>
      </w:r>
      <w:r>
        <w:br/>
      </w:r>
      <w:r>
        <w:rPr>
          <w:rStyle w:val="NormalTok"/>
        </w:rPr>
        <w:t xml:space="preserve">    stats[u] </w:t>
      </w:r>
      <w:r>
        <w:rPr>
          <w:rStyle w:val="OperatorTok"/>
        </w:rPr>
        <w:t>=</w:t>
      </w:r>
      <w:r>
        <w:rPr>
          <w:rStyle w:val="NormalTok"/>
        </w:rPr>
        <w:t xml:space="preserve"> pd.to_numeric(stats[u], errors</w:t>
      </w:r>
      <w:r>
        <w:rPr>
          <w:rStyle w:val="OperatorTok"/>
        </w:rPr>
        <w:t>=</w:t>
      </w:r>
      <w:r>
        <w:rPr>
          <w:rStyle w:val="StringTok"/>
        </w:rPr>
        <w:t>"raise"</w:t>
      </w:r>
      <w:r>
        <w:rPr>
          <w:rStyle w:val="NormalTok"/>
        </w:rPr>
        <w:t>).fillna(</w:t>
      </w:r>
      <w:r>
        <w:rPr>
          <w:rStyle w:val="DecValTok"/>
        </w:rPr>
        <w:t>0</w:t>
      </w:r>
      <w:r>
        <w:rPr>
          <w:rStyle w:val="NormalTok"/>
        </w:rPr>
        <w:t>)</w:t>
      </w:r>
      <w:r>
        <w:br/>
      </w:r>
      <w:r>
        <w:rPr>
          <w:rStyle w:val="ControlFlowTok"/>
        </w:rPr>
        <w:t>if</w:t>
      </w:r>
      <w:r>
        <w:rPr>
          <w:rStyle w:val="NormalTok"/>
        </w:rPr>
        <w:t xml:space="preserve"> stats[USES].lt(</w:t>
      </w:r>
      <w:r>
        <w:rPr>
          <w:rStyle w:val="DecValTok"/>
        </w:rPr>
        <w:t>0</w:t>
      </w:r>
      <w:r>
        <w:rPr>
          <w:rStyle w:val="NormalTok"/>
        </w:rPr>
        <w:t>).</w:t>
      </w:r>
      <w:r>
        <w:rPr>
          <w:rStyle w:val="BuiltInTok"/>
        </w:rPr>
        <w:t>any</w:t>
      </w:r>
      <w:r>
        <w:rPr>
          <w:rStyle w:val="NormalTok"/>
        </w:rPr>
        <w:t>().</w:t>
      </w:r>
      <w:r>
        <w:rPr>
          <w:rStyle w:val="BuiltInTok"/>
        </w:rPr>
        <w:t>any</w:t>
      </w:r>
      <w:r>
        <w:rPr>
          <w:rStyle w:val="NormalTok"/>
        </w:rPr>
        <w:t>():</w:t>
      </w:r>
      <w: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tringTok"/>
        </w:rPr>
        <w:t>"Statistische NGF enthält negative Werte"</w:t>
      </w:r>
      <w:r>
        <w:rPr>
          <w:rStyle w:val="NormalTok"/>
        </w:rPr>
        <w:t>)</w:t>
      </w:r>
      <w:r>
        <w:br/>
      </w:r>
      <w:r>
        <w:br/>
      </w:r>
      <w:r>
        <w:rPr>
          <w:rStyle w:val="CommentTok"/>
        </w:rPr>
        <w:t># Statistik: breites Eingangsschema in Bundesland × GK × Nutzung überführen</w:t>
      </w:r>
      <w:r>
        <w:br/>
      </w:r>
      <w:r>
        <w:rPr>
          <w:rStyle w:val="NormalTok"/>
        </w:rPr>
        <w:t xml:space="preserve">stats_long </w:t>
      </w:r>
      <w:r>
        <w:rPr>
          <w:rStyle w:val="OperatorTok"/>
        </w:rPr>
        <w:t>=</w:t>
      </w:r>
      <w:r>
        <w:rPr>
          <w:rStyle w:val="NormalTok"/>
        </w:rPr>
        <w:t xml:space="preserve"> stats.melt(id_vars</w:t>
      </w:r>
      <w:r>
        <w:rPr>
          <w:rStyle w:val="OperatorTok"/>
        </w:rPr>
        <w:t>=</w:t>
      </w:r>
      <w:r>
        <w:rPr>
          <w:rStyle w:val="NormalTok"/>
        </w:rPr>
        <w:t>[</w:t>
      </w:r>
      <w:r>
        <w:rPr>
          <w:rStyle w:val="StringTok"/>
        </w:rPr>
        <w:t>"NUTS"</w:t>
      </w:r>
      <w:r>
        <w:rPr>
          <w:rStyle w:val="NormalTok"/>
        </w:rPr>
        <w:t xml:space="preserve">, </w:t>
      </w:r>
      <w:r>
        <w:rPr>
          <w:rStyle w:val="StringTok"/>
        </w:rPr>
        <w:t>"GK"</w:t>
      </w:r>
      <w:r>
        <w:rPr>
          <w:rStyle w:val="NormalTok"/>
        </w:rPr>
        <w:t>], value_vars</w:t>
      </w:r>
      <w:r>
        <w:rPr>
          <w:rStyle w:val="OperatorTok"/>
        </w:rPr>
        <w:t>=</w:t>
      </w:r>
      <w:r>
        <w:rPr>
          <w:rStyle w:val="NormalTok"/>
        </w:rPr>
        <w:t>USES,</w:t>
      </w:r>
      <w:r>
        <w:br/>
      </w:r>
      <w:r>
        <w:rPr>
          <w:rStyle w:val="NormalTok"/>
        </w:rPr>
        <w:t xml:space="preserve">                        var_name</w:t>
      </w:r>
      <w:r>
        <w:rPr>
          <w:rStyle w:val="OperatorTok"/>
        </w:rPr>
        <w:t>=</w:t>
      </w:r>
      <w:r>
        <w:rPr>
          <w:rStyle w:val="StringTok"/>
        </w:rPr>
        <w:t>"GWR_Nutzung"</w:t>
      </w:r>
      <w:r>
        <w:rPr>
          <w:rStyle w:val="NormalTok"/>
        </w:rPr>
        <w:t>, value_name</w:t>
      </w:r>
      <w:r>
        <w:rPr>
          <w:rStyle w:val="OperatorTok"/>
        </w:rPr>
        <w:t>=</w:t>
      </w:r>
      <w:r>
        <w:rPr>
          <w:rStyle w:val="StringTok"/>
        </w:rPr>
        <w:t>"NGF_m2"</w:t>
      </w:r>
      <w:r>
        <w:rPr>
          <w:rStyle w:val="NormalTok"/>
        </w:rPr>
        <w:t>)</w:t>
      </w:r>
      <w:r>
        <w:br/>
      </w:r>
      <w:r>
        <w:rPr>
          <w:rStyle w:val="NormalTok"/>
        </w:rPr>
        <w:t xml:space="preserve">control_at </w:t>
      </w:r>
      <w:r>
        <w:rPr>
          <w:rStyle w:val="OperatorTok"/>
        </w:rPr>
        <w:t>=</w:t>
      </w:r>
      <w:r>
        <w:rPr>
          <w:rStyle w:val="NormalTok"/>
        </w:rPr>
        <w:t xml:space="preserve"> (stats_long.loc[stats_long.NUTS </w:t>
      </w:r>
      <w:r>
        <w:rPr>
          <w:rStyle w:val="OperatorTok"/>
        </w:rPr>
        <w:t>==</w:t>
      </w:r>
      <w:r>
        <w:rPr>
          <w:rStyle w:val="NormalTok"/>
        </w:rPr>
        <w:t xml:space="preserve"> </w:t>
      </w:r>
      <w:r>
        <w:rPr>
          <w:rStyle w:val="StringTok"/>
        </w:rPr>
        <w:t>"AT"</w:t>
      </w:r>
      <w:r>
        <w:rPr>
          <w:rStyle w:val="NormalTok"/>
        </w:rPr>
        <w:t>]</w:t>
      </w:r>
      <w:r>
        <w:br/>
      </w:r>
      <w:r>
        <w:rPr>
          <w:rStyle w:val="NormalTok"/>
        </w:rPr>
        <w:t xml:space="preserve">              .set_index([</w:t>
      </w:r>
      <w:r>
        <w:rPr>
          <w:rStyle w:val="StringTok"/>
        </w:rPr>
        <w:t>"GK"</w:t>
      </w:r>
      <w:r>
        <w:rPr>
          <w:rStyle w:val="NormalTok"/>
        </w:rPr>
        <w:t xml:space="preserve">, </w:t>
      </w:r>
      <w:r>
        <w:rPr>
          <w:rStyle w:val="StringTok"/>
        </w:rPr>
        <w:t>"GWR_Nutzung"</w:t>
      </w:r>
      <w:r>
        <w:rPr>
          <w:rStyle w:val="NormalTok"/>
        </w:rPr>
        <w:t>])[</w:t>
      </w:r>
      <w:r>
        <w:rPr>
          <w:rStyle w:val="StringTok"/>
        </w:rPr>
        <w:t>"NGF_m2"</w:t>
      </w:r>
      <w:r>
        <w:rPr>
          <w:rStyle w:val="NormalTok"/>
        </w:rPr>
        <w:t>])</w:t>
      </w:r>
      <w:r>
        <w:br/>
      </w:r>
      <w:r>
        <w:rPr>
          <w:rStyle w:val="NormalTok"/>
        </w:rPr>
        <w:t xml:space="preserve">provinces_ngf </w:t>
      </w:r>
      <w:r>
        <w:rPr>
          <w:rStyle w:val="OperatorTok"/>
        </w:rPr>
        <w:t>=</w:t>
      </w:r>
      <w:r>
        <w:rPr>
          <w:rStyle w:val="NormalTok"/>
        </w:rPr>
        <w:t xml:space="preserve"> stats_long.loc[stats_long.NUTS.isin(PROVINCES)].copy()</w:t>
      </w:r>
      <w:r>
        <w:br/>
      </w:r>
      <w:r>
        <w:rPr>
          <w:rStyle w:val="NormalTok"/>
        </w:rPr>
        <w:t xml:space="preserve">control_regions </w:t>
      </w:r>
      <w:r>
        <w:rPr>
          <w:rStyle w:val="OperatorTok"/>
        </w:rPr>
        <w:t>=</w:t>
      </w:r>
      <w:r>
        <w:rPr>
          <w:rStyle w:val="NormalTok"/>
        </w:rPr>
        <w:t xml:space="preserve"> provinces_ngf.groupby([</w:t>
      </w:r>
      <w:r>
        <w:rPr>
          <w:rStyle w:val="StringTok"/>
        </w:rPr>
        <w:t>"GK"</w:t>
      </w:r>
      <w:r>
        <w:rPr>
          <w:rStyle w:val="NormalTok"/>
        </w:rPr>
        <w:t xml:space="preserve">, </w:t>
      </w:r>
      <w:r>
        <w:rPr>
          <w:rStyle w:val="StringTok"/>
        </w:rPr>
        <w:t>"GWR_Nutzung"</w:t>
      </w:r>
      <w:r>
        <w:rPr>
          <w:rStyle w:val="NormalTok"/>
        </w:rPr>
        <w:t>])[</w:t>
      </w:r>
      <w:r>
        <w:rPr>
          <w:rStyle w:val="StringTok"/>
        </w:rPr>
        <w:t>"NGF_m2"</w:t>
      </w:r>
      <w:r>
        <w:rPr>
          <w:rStyle w:val="NormalTok"/>
        </w:rPr>
        <w:t>].</w:t>
      </w:r>
      <w:r>
        <w:rPr>
          <w:rStyle w:val="BuiltInTok"/>
        </w:rPr>
        <w:t>sum</w:t>
      </w:r>
      <w:r>
        <w:rPr>
          <w:rStyle w:val="NormalTok"/>
        </w:rPr>
        <w:t>()</w:t>
      </w:r>
      <w:r>
        <w:br/>
      </w:r>
      <w:r>
        <w:rPr>
          <w:rStyle w:val="NormalTok"/>
        </w:rPr>
        <w:t xml:space="preserve">control_delta </w:t>
      </w:r>
      <w:r>
        <w:rPr>
          <w:rStyle w:val="OperatorTok"/>
        </w:rPr>
        <w:t>=</w:t>
      </w:r>
      <w:r>
        <w:rPr>
          <w:rStyle w:val="NormalTok"/>
        </w:rPr>
        <w:t xml:space="preserve"> control_regions.sub(control_at, fill_value</w:t>
      </w:r>
      <w:r>
        <w:rPr>
          <w:rStyle w:val="OperatorTok"/>
        </w:rPr>
        <w:t>=</w:t>
      </w:r>
      <w:r>
        <w:rPr>
          <w:rStyle w:val="DecValTok"/>
        </w:rPr>
        <w:t>0</w:t>
      </w:r>
      <w:r>
        <w:rPr>
          <w:rStyle w:val="NormalTok"/>
        </w:rPr>
        <w:t>)</w:t>
      </w:r>
      <w:r>
        <w:br/>
      </w:r>
      <w:r>
        <w:rPr>
          <w:rStyle w:val="ControlFlowTok"/>
        </w:rPr>
        <w:t>if</w:t>
      </w:r>
      <w:r>
        <w:rPr>
          <w:rStyle w:val="NormalTok"/>
        </w:rPr>
        <w:t xml:space="preserve"> </w:t>
      </w:r>
      <w:r>
        <w:rPr>
          <w:rStyle w:val="KeywordTok"/>
        </w:rPr>
        <w:t>not</w:t>
      </w:r>
      <w:r>
        <w:rPr>
          <w:rStyle w:val="NormalTok"/>
        </w:rPr>
        <w:t xml:space="preserve"> np.allclose(control_delta.to_numpy(), </w:t>
      </w:r>
      <w:r>
        <w:rPr>
          <w:rStyle w:val="DecValTok"/>
        </w:rPr>
        <w:t>0</w:t>
      </w:r>
      <w:r>
        <w:rPr>
          <w:rStyle w:val="NormalTok"/>
        </w:rPr>
        <w:t>, rtol</w:t>
      </w:r>
      <w:r>
        <w:rPr>
          <w:rStyle w:val="OperatorTok"/>
        </w:rPr>
        <w:t>=</w:t>
      </w:r>
      <w:r>
        <w:rPr>
          <w:rStyle w:val="DecValTok"/>
        </w:rPr>
        <w:t>0</w:t>
      </w:r>
      <w:r>
        <w:rPr>
          <w:rStyle w:val="NormalTok"/>
        </w:rPr>
        <w:t>, atol</w:t>
      </w:r>
      <w:r>
        <w:rPr>
          <w:rStyle w:val="OperatorTok"/>
        </w:rPr>
        <w:t>=</w:t>
      </w:r>
      <w:r>
        <w:rPr>
          <w:rStyle w:val="FloatTok"/>
        </w:rPr>
        <w:t>0.01</w:t>
      </w:r>
      <w:r>
        <w:rPr>
          <w:rStyle w:val="NormalTok"/>
        </w:rPr>
        <w:t>):</w:t>
      </w:r>
      <w:r>
        <w:br/>
      </w:r>
      <w:r>
        <w:rPr>
          <w:rStyle w:val="NormalTok"/>
        </w:rPr>
        <w:t xml:space="preserve">    </w:t>
      </w:r>
      <w:r>
        <w:rPr>
          <w:rStyle w:val="ControlFlowTok"/>
        </w:rPr>
        <w:t>raise</w:t>
      </w:r>
      <w:r>
        <w:rPr>
          <w:rStyle w:val="NormalTok"/>
        </w:rPr>
        <w:t xml:space="preserve"> </w:t>
      </w:r>
      <w:r>
        <w:rPr>
          <w:rStyle w:val="PreprocessorTok"/>
        </w:rPr>
        <w:t>AssertionError</w:t>
      </w:r>
      <w:r>
        <w:rPr>
          <w:rStyle w:val="NormalTok"/>
        </w:rPr>
        <w:t>(</w:t>
      </w:r>
      <w:r>
        <w:rPr>
          <w:rStyle w:val="SpecialStringTok"/>
        </w:rPr>
        <w:t xml:space="preserve">f"Bundesländer ≠ AT-Zeile; Beispiele: </w:t>
      </w:r>
      <w:r>
        <w:rPr>
          <w:rStyle w:val="SpecialCharTok"/>
        </w:rPr>
        <w:t>{</w:t>
      </w:r>
      <w:r>
        <w:rPr>
          <w:rStyle w:val="NormalTok"/>
        </w:rPr>
        <w:t>control_delta[control_delta.</w:t>
      </w:r>
      <w:r>
        <w:rPr>
          <w:rStyle w:val="BuiltInTok"/>
        </w:rPr>
        <w:t>abs</w:t>
      </w:r>
      <w:r>
        <w:rPr>
          <w:rStyle w:val="NormalTok"/>
        </w:rPr>
        <w:t xml:space="preserve">() </w:t>
      </w:r>
      <w:r>
        <w:rPr>
          <w:rStyle w:val="OperatorTok"/>
        </w:rPr>
        <w:t>&gt;</w:t>
      </w:r>
      <w:r>
        <w:rPr>
          <w:rStyle w:val="NormalTok"/>
        </w:rPr>
        <w:t xml:space="preserve"> </w:t>
      </w:r>
      <w:r>
        <w:rPr>
          <w:rStyle w:val="FloatTok"/>
        </w:rPr>
        <w:t>.01</w:t>
      </w:r>
      <w:r>
        <w:rPr>
          <w:rStyle w:val="NormalTok"/>
        </w:rPr>
        <w:t>]</w:t>
      </w:r>
      <w:r>
        <w:rPr>
          <w:rStyle w:val="SpecialCharTok"/>
        </w:rPr>
        <w:t>.</w:t>
      </w:r>
      <w:r>
        <w:rPr>
          <w:rStyle w:val="NormalTok"/>
        </w:rPr>
        <w:t>head()</w:t>
      </w:r>
      <w:r>
        <w:rPr>
          <w:rStyle w:val="SpecialCharTok"/>
        </w:rPr>
        <w:t>.</w:t>
      </w:r>
      <w:r>
        <w:rPr>
          <w:rStyle w:val="NormalTok"/>
        </w:rPr>
        <w:t>to_dict()</w:t>
      </w:r>
      <w:r>
        <w:rPr>
          <w:rStyle w:val="SpecialCharTok"/>
        </w:rPr>
        <w:t>}</w:t>
      </w:r>
      <w:r>
        <w:rPr>
          <w:rStyle w:val="SpecialStringTok"/>
        </w:rPr>
        <w:t>"</w:t>
      </w:r>
      <w:r>
        <w:rPr>
          <w:rStyle w:val="NormalTok"/>
        </w:rPr>
        <w:t>)</w:t>
      </w:r>
      <w:r>
        <w:br/>
      </w:r>
      <w:r>
        <w:br/>
      </w:r>
      <w:r>
        <w:rPr>
          <w:rStyle w:val="CommentTok"/>
        </w:rPr>
        <w:t># Der explizite Umrechnungsschritt: aus statistischer NGF wird Modell-BGF.</w:t>
      </w:r>
      <w:r>
        <w:br/>
      </w:r>
      <w:r>
        <w:rPr>
          <w:rStyle w:val="NormalTok"/>
        </w:rPr>
        <w:t xml:space="preserve">targets </w:t>
      </w:r>
      <w:r>
        <w:rPr>
          <w:rStyle w:val="OperatorTok"/>
        </w:rPr>
        <w:t>=</w:t>
      </w:r>
      <w:r>
        <w:rPr>
          <w:rStyle w:val="NormalTok"/>
        </w:rPr>
        <w:t xml:space="preserve"> provinces_ngf.rename(columns</w:t>
      </w:r>
      <w:r>
        <w:rPr>
          <w:rStyle w:val="OperatorTok"/>
        </w:rPr>
        <w:t>=</w:t>
      </w:r>
      <w:r>
        <w:rPr>
          <w:rStyle w:val="NormalTok"/>
        </w:rPr>
        <w:t>{</w:t>
      </w:r>
      <w:r>
        <w:rPr>
          <w:rStyle w:val="StringTok"/>
        </w:rPr>
        <w:t>"NUTS"</w:t>
      </w:r>
      <w:r>
        <w:rPr>
          <w:rStyle w:val="NormalTok"/>
        </w:rPr>
        <w:t xml:space="preserve">: </w:t>
      </w:r>
      <w:r>
        <w:rPr>
          <w:rStyle w:val="StringTok"/>
        </w:rPr>
        <w:t>"Bundesland"</w:t>
      </w:r>
      <w:r>
        <w:rPr>
          <w:rStyle w:val="NormalTok"/>
        </w:rPr>
        <w:t>}).copy()</w:t>
      </w:r>
      <w:r>
        <w:br/>
      </w:r>
      <w:r>
        <w:rPr>
          <w:rStyle w:val="NormalTok"/>
        </w:rPr>
        <w:t>targets[</w:t>
      </w:r>
      <w:r>
        <w:rPr>
          <w:rStyle w:val="StringTok"/>
        </w:rPr>
        <w:t>"BGF_target_m2"</w:t>
      </w:r>
      <w:r>
        <w:rPr>
          <w:rStyle w:val="NormalTok"/>
        </w:rPr>
        <w:t xml:space="preserve">] </w:t>
      </w:r>
      <w:r>
        <w:rPr>
          <w:rStyle w:val="OperatorTok"/>
        </w:rPr>
        <w:t>=</w:t>
      </w:r>
      <w:r>
        <w:rPr>
          <w:rStyle w:val="NormalTok"/>
        </w:rPr>
        <w:t xml:space="preserve"> targets[</w:t>
      </w:r>
      <w:r>
        <w:rPr>
          <w:rStyle w:val="StringTok"/>
        </w:rPr>
        <w:t>"NGF_m2"</w:t>
      </w:r>
      <w:r>
        <w:rPr>
          <w:rStyle w:val="NormalTok"/>
        </w:rPr>
        <w:t xml:space="preserve">] </w:t>
      </w:r>
      <w:r>
        <w:rPr>
          <w:rStyle w:val="OperatorTok"/>
        </w:rPr>
        <w:t>/</w:t>
      </w:r>
      <w:r>
        <w:rPr>
          <w:rStyle w:val="NormalTok"/>
        </w:rPr>
        <w:t xml:space="preserve"> NGF_PER_BGF</w:t>
      </w:r>
      <w:r>
        <w:br/>
      </w:r>
      <w:r>
        <w:rPr>
          <w:rStyle w:val="BuiltInTok"/>
        </w:rPr>
        <w:t>print</w:t>
      </w:r>
      <w:r>
        <w:rPr>
          <w:rStyle w:val="NormalTok"/>
        </w:rPr>
        <w:t>(</w:t>
      </w:r>
      <w:r>
        <w:rPr>
          <w:rStyle w:val="StringTok"/>
        </w:rPr>
        <w:t>"Historische Summenzeilen ausgeschlossen:"</w:t>
      </w:r>
      <w:r>
        <w:rPr>
          <w:rStyle w:val="NormalTok"/>
        </w:rPr>
        <w:t>, removed_aggregates.to_dict())</w:t>
      </w:r>
      <w:r>
        <w:br/>
      </w:r>
      <w:r>
        <w:rPr>
          <w:rStyle w:val="BuiltInTok"/>
        </w:rPr>
        <w:t>print</w:t>
      </w:r>
      <w:r>
        <w:rPr>
          <w:rStyle w:val="NormalTok"/>
        </w:rPr>
        <w:t>(</w:t>
      </w:r>
      <w:r>
        <w:rPr>
          <w:rStyle w:val="SpecialStringTok"/>
        </w:rPr>
        <w:t xml:space="preserve">f"AT-NGF nach Kontrollzeile: </w:t>
      </w:r>
      <w:r>
        <w:rPr>
          <w:rStyle w:val="SpecialCharTok"/>
        </w:rPr>
        <w:t>{</w:t>
      </w:r>
      <w:r>
        <w:rPr>
          <w:rStyle w:val="NormalTok"/>
        </w:rPr>
        <w:t>control_at</w:t>
      </w:r>
      <w:r>
        <w:rPr>
          <w:rStyle w:val="SpecialCharTok"/>
        </w:rPr>
        <w:t>.</w:t>
      </w:r>
      <w:r>
        <w:rPr>
          <w:rStyle w:val="BuiltInTok"/>
        </w:rPr>
        <w:t>sum</w:t>
      </w:r>
      <w:r>
        <w:rPr>
          <w:rStyle w:val="NormalTok"/>
        </w:rPr>
        <w:t>()</w:t>
      </w:r>
      <w:r>
        <w:rPr>
          <w:rStyle w:val="OperatorTok"/>
        </w:rPr>
        <w:t>/</w:t>
      </w:r>
      <w:r>
        <w:rPr>
          <w:rStyle w:val="FloatTok"/>
        </w:rPr>
        <w:t>1e6</w:t>
      </w:r>
      <w:r>
        <w:rPr>
          <w:rStyle w:val="SpecialCharTok"/>
        </w:rPr>
        <w:t>:,.3f}</w:t>
      </w:r>
      <w:r>
        <w:rPr>
          <w:rStyle w:val="SpecialStringTok"/>
        </w:rPr>
        <w:t xml:space="preserve"> Mio. m²"</w:t>
      </w:r>
      <w:r>
        <w:rPr>
          <w:rStyle w:val="NormalTok"/>
        </w:rPr>
        <w:t>)</w:t>
      </w:r>
      <w:r>
        <w:br/>
      </w:r>
      <w:r>
        <w:rPr>
          <w:rStyle w:val="BuiltInTok"/>
        </w:rPr>
        <w:t>print</w:t>
      </w:r>
      <w:r>
        <w:rPr>
          <w:rStyle w:val="NormalTok"/>
        </w:rPr>
        <w:t>(</w:t>
      </w:r>
      <w:r>
        <w:rPr>
          <w:rStyle w:val="SpecialStringTok"/>
        </w:rPr>
        <w:t xml:space="preserve">f"AT-BGF aus NGF/0,8: </w:t>
      </w:r>
      <w:r>
        <w:rPr>
          <w:rStyle w:val="SpecialCharTok"/>
        </w:rPr>
        <w:t>{</w:t>
      </w:r>
      <w:r>
        <w:rPr>
          <w:rStyle w:val="NormalTok"/>
        </w:rPr>
        <w:t>targets</w:t>
      </w:r>
      <w:r>
        <w:rPr>
          <w:rStyle w:val="SpecialCharTok"/>
        </w:rPr>
        <w:t>.</w:t>
      </w:r>
      <w:r>
        <w:rPr>
          <w:rStyle w:val="NormalTok"/>
        </w:rPr>
        <w:t>BGF_target_m2</w:t>
      </w:r>
      <w:r>
        <w:rPr>
          <w:rStyle w:val="SpecialCharTok"/>
        </w:rPr>
        <w:t>.</w:t>
      </w:r>
      <w:r>
        <w:rPr>
          <w:rStyle w:val="BuiltInTok"/>
        </w:rPr>
        <w:t>sum</w:t>
      </w:r>
      <w:r>
        <w:rPr>
          <w:rStyle w:val="NormalTok"/>
        </w:rPr>
        <w:t>()</w:t>
      </w:r>
      <w:r>
        <w:rPr>
          <w:rStyle w:val="OperatorTok"/>
        </w:rPr>
        <w:t>/</w:t>
      </w:r>
      <w:r>
        <w:rPr>
          <w:rStyle w:val="FloatTok"/>
        </w:rPr>
        <w:t>1e6</w:t>
      </w:r>
      <w:r>
        <w:rPr>
          <w:rStyle w:val="SpecialCharTok"/>
        </w:rPr>
        <w:t>:,.3f}</w:t>
      </w:r>
      <w:r>
        <w:rPr>
          <w:rStyle w:val="SpecialStringTok"/>
        </w:rPr>
        <w:t xml:space="preserve"> Mio. m²"</w:t>
      </w:r>
      <w:r>
        <w:rPr>
          <w:rStyle w:val="NormalTok"/>
        </w:rPr>
        <w:t>)</w:t>
      </w:r>
      <w:r>
        <w:br/>
      </w:r>
      <w:r>
        <w:rPr>
          <w:rStyle w:val="BuiltInTok"/>
        </w:rPr>
        <w:t>print</w:t>
      </w:r>
      <w:r>
        <w:rPr>
          <w:rStyle w:val="NormalTok"/>
        </w:rPr>
        <w:t>(</w:t>
      </w:r>
      <w:r>
        <w:rPr>
          <w:rStyle w:val="SpecialStringTok"/>
        </w:rPr>
        <w:t xml:space="preserve">f"Maximale Differenz zur AT-Kontrollzeile: </w:t>
      </w:r>
      <w:r>
        <w:rPr>
          <w:rStyle w:val="SpecialCharTok"/>
        </w:rPr>
        <w:t>{</w:t>
      </w:r>
      <w:r>
        <w:rPr>
          <w:rStyle w:val="NormalTok"/>
        </w:rPr>
        <w:t>control_delta</w:t>
      </w:r>
      <w:r>
        <w:rPr>
          <w:rStyle w:val="SpecialCharTok"/>
        </w:rPr>
        <w:t>.</w:t>
      </w:r>
      <w:r>
        <w:rPr>
          <w:rStyle w:val="BuiltInTok"/>
        </w:rPr>
        <w:t>abs</w:t>
      </w:r>
      <w:r>
        <w:rPr>
          <w:rStyle w:val="NormalTok"/>
        </w:rPr>
        <w:t>()</w:t>
      </w:r>
      <w:r>
        <w:rPr>
          <w:rStyle w:val="SpecialCharTok"/>
        </w:rPr>
        <w:t>.</w:t>
      </w:r>
      <w:r>
        <w:rPr>
          <w:rStyle w:val="BuiltInTok"/>
        </w:rPr>
        <w:t>max</w:t>
      </w:r>
      <w:r>
        <w:rPr>
          <w:rStyle w:val="NormalTok"/>
        </w:rPr>
        <w:t>()</w:t>
      </w:r>
      <w:r>
        <w:rPr>
          <w:rStyle w:val="SpecialCharTok"/>
        </w:rPr>
        <w:t>:.6f}</w:t>
      </w:r>
      <w:r>
        <w:rPr>
          <w:rStyle w:val="SpecialStringTok"/>
        </w:rPr>
        <w:t xml:space="preserve"> m² NGF"</w:t>
      </w:r>
      <w:r>
        <w:rPr>
          <w:rStyle w:val="NormalTok"/>
        </w:rPr>
        <w:t>)</w:t>
      </w:r>
    </w:p>
    <w:p w14:paraId="0D6067CF" w14:textId="77777777" w:rsidR="004E4CC2" w:rsidRDefault="00000000">
      <w:pPr>
        <w:pStyle w:val="SourceCode"/>
      </w:pPr>
      <w:r>
        <w:rPr>
          <w:rStyle w:val="VerbatimChar"/>
        </w:rPr>
        <w:t>Historische Summenzeilen ausgeschlossen: {'AT ohne Wien und Salzburg': 7, 'Alles': 1}</w:t>
      </w:r>
      <w:r>
        <w:br/>
      </w:r>
      <w:r>
        <w:rPr>
          <w:rStyle w:val="VerbatimChar"/>
        </w:rPr>
        <w:t>AT-NGF nach Kontrollzeile: 847.148 Mio. m²</w:t>
      </w:r>
      <w:r>
        <w:br/>
      </w:r>
      <w:r>
        <w:rPr>
          <w:rStyle w:val="VerbatimChar"/>
        </w:rPr>
        <w:t>AT-BGF aus NGF/0,8: 1,058.935 Mio. m²</w:t>
      </w:r>
      <w:r>
        <w:br/>
      </w:r>
      <w:r>
        <w:rPr>
          <w:rStyle w:val="VerbatimChar"/>
        </w:rPr>
        <w:t>Maximale Differenz zur AT-Kontrollzeile: 0.000000 m² NGF</w:t>
      </w:r>
    </w:p>
    <w:p w14:paraId="467B3B94" w14:textId="77777777" w:rsidR="004E4CC2" w:rsidRDefault="00000000">
      <w:pPr>
        <w:pStyle w:val="berschrift3"/>
      </w:pPr>
      <w:bookmarkStart w:id="337" w:name="X51d8b9a8f2678efdbd2ef3734ae7dc46b7cd812"/>
      <w:bookmarkStart w:id="338" w:name="_Toc243681350"/>
      <w:r>
        <w:t>C.3.1 Deskriptive Statistik des nationalen Bestandsmodells</w:t>
      </w:r>
      <w:bookmarkEnd w:id="338"/>
    </w:p>
    <w:p w14:paraId="00A96C45" w14:textId="77777777" w:rsidR="004E4CC2" w:rsidRDefault="00000000">
      <w:pPr>
        <w:pStyle w:val="FirstParagraph"/>
      </w:pPr>
      <w:r>
        <w:t xml:space="preserve">Die erste Tabelle weist je Bundesland die NGF aus der Statistik, die daraus abgeleitete BGF und den Anteil an der nationalen Modell-BGF aus. Anschließend werden die Flächen nach Geschossklasse und Nutzung ausgewertet. Alle folgenden Flächenbalken verwenden die </w:t>
      </w:r>
      <w:r>
        <w:rPr>
          <w:b/>
          <w:bCs/>
        </w:rPr>
        <w:lastRenderedPageBreak/>
        <w:t>gleichen neun Nutzungsfarben</w:t>
      </w:r>
      <w:r>
        <w:t>, die später auch für die österreichische GFZ-Verteilung gelten. Ein gestapelter Balken zeigt die absoluten, summierbaren BGF-Beiträge, keine Gebäudeanzahlen.</w:t>
      </w:r>
    </w:p>
    <w:p w14:paraId="7EAB3BD3" w14:textId="77777777" w:rsidR="004E4CC2" w:rsidRDefault="00000000">
      <w:pPr>
        <w:pStyle w:val="SourceCode"/>
      </w:pPr>
      <w:r>
        <w:rPr>
          <w:rStyle w:val="NormalTok"/>
        </w:rPr>
        <w:t xml:space="preserve">stats_province </w:t>
      </w:r>
      <w:r>
        <w:rPr>
          <w:rStyle w:val="OperatorTok"/>
        </w:rPr>
        <w:t>=</w:t>
      </w:r>
      <w:r>
        <w:rPr>
          <w:rStyle w:val="NormalTok"/>
        </w:rPr>
        <w:t xml:space="preserve"> (targets.groupby(</w:t>
      </w:r>
      <w:r>
        <w:rPr>
          <w:rStyle w:val="StringTok"/>
        </w:rPr>
        <w:t>"Bundesland"</w:t>
      </w:r>
      <w:r>
        <w:rPr>
          <w:rStyle w:val="NormalTok"/>
        </w:rPr>
        <w:t>, as_index</w:t>
      </w:r>
      <w:r>
        <w:rPr>
          <w:rStyle w:val="OperatorTok"/>
        </w:rPr>
        <w:t>=</w:t>
      </w:r>
      <w:r>
        <w:rPr>
          <w:rStyle w:val="VariableTok"/>
        </w:rPr>
        <w:t>False</w:t>
      </w:r>
      <w:r>
        <w:rPr>
          <w:rStyle w:val="NormalTok"/>
        </w:rPr>
        <w:t>)[[</w:t>
      </w:r>
      <w:r>
        <w:rPr>
          <w:rStyle w:val="StringTok"/>
        </w:rPr>
        <w:t>"NGF_m2"</w:t>
      </w:r>
      <w:r>
        <w:rPr>
          <w:rStyle w:val="NormalTok"/>
        </w:rPr>
        <w:t xml:space="preserve">, </w:t>
      </w:r>
      <w:r>
        <w:rPr>
          <w:rStyle w:val="StringTok"/>
        </w:rPr>
        <w:t>"BGF_target_m2"</w:t>
      </w:r>
      <w:r>
        <w:rPr>
          <w:rStyle w:val="NormalTok"/>
        </w:rPr>
        <w:t>]]</w:t>
      </w:r>
      <w:r>
        <w:br/>
      </w:r>
      <w:r>
        <w:rPr>
          <w:rStyle w:val="NormalTok"/>
        </w:rPr>
        <w:t xml:space="preserve">                  .</w:t>
      </w:r>
      <w:r>
        <w:rPr>
          <w:rStyle w:val="BuiltInTok"/>
        </w:rPr>
        <w:t>sum</w:t>
      </w:r>
      <w:r>
        <w:rPr>
          <w:rStyle w:val="NormalTok"/>
        </w:rPr>
        <w:t>().set_index(</w:t>
      </w:r>
      <w:r>
        <w:rPr>
          <w:rStyle w:val="StringTok"/>
        </w:rPr>
        <w:t>"Bundesland"</w:t>
      </w:r>
      <w:r>
        <w:rPr>
          <w:rStyle w:val="NormalTok"/>
        </w:rPr>
        <w:t>).reindex(PROVINCES))</w:t>
      </w:r>
      <w:r>
        <w:br/>
      </w:r>
      <w:r>
        <w:rPr>
          <w:rStyle w:val="NormalTok"/>
        </w:rPr>
        <w:t>stats_province[</w:t>
      </w:r>
      <w:r>
        <w:rPr>
          <w:rStyle w:val="StringTok"/>
        </w:rPr>
        <w:t>"Anteil_AT_%"</w:t>
      </w:r>
      <w:r>
        <w:rPr>
          <w:rStyle w:val="NormalTok"/>
        </w:rPr>
        <w:t xml:space="preserve">]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stats_province.BGF_target_m2 </w:t>
      </w:r>
      <w:r>
        <w:rPr>
          <w:rStyle w:val="OperatorTok"/>
        </w:rPr>
        <w:t>/</w:t>
      </w:r>
      <w:r>
        <w:rPr>
          <w:rStyle w:val="NormalTok"/>
        </w:rPr>
        <w:t xml:space="preserve"> stats_province.BGF_target_m2.</w:t>
      </w:r>
      <w:r>
        <w:rPr>
          <w:rStyle w:val="BuiltInTok"/>
        </w:rPr>
        <w:t>sum</w:t>
      </w:r>
      <w:r>
        <w:rPr>
          <w:rStyle w:val="NormalTok"/>
        </w:rPr>
        <w:t>()</w:t>
      </w:r>
      <w:r>
        <w:br/>
      </w:r>
      <w:r>
        <w:rPr>
          <w:rStyle w:val="NormalTok"/>
        </w:rPr>
        <w:t xml:space="preserve">stats_display </w:t>
      </w:r>
      <w:r>
        <w:rPr>
          <w:rStyle w:val="OperatorTok"/>
        </w:rPr>
        <w:t>=</w:t>
      </w:r>
      <w:r>
        <w:rPr>
          <w:rStyle w:val="NormalTok"/>
        </w:rPr>
        <w:t xml:space="preserve"> stats_province.copy()</w:t>
      </w:r>
      <w:r>
        <w:br/>
      </w:r>
      <w:r>
        <w:rPr>
          <w:rStyle w:val="NormalTok"/>
        </w:rPr>
        <w:t>stats_display[</w:t>
      </w:r>
      <w:r>
        <w:rPr>
          <w:rStyle w:val="StringTok"/>
        </w:rPr>
        <w:t>"NGF_Mio_m2"</w:t>
      </w:r>
      <w:r>
        <w:rPr>
          <w:rStyle w:val="NormalTok"/>
        </w:rPr>
        <w:t xml:space="preserve">] </w:t>
      </w:r>
      <w:r>
        <w:rPr>
          <w:rStyle w:val="OperatorTok"/>
        </w:rPr>
        <w:t>=</w:t>
      </w:r>
      <w:r>
        <w:rPr>
          <w:rStyle w:val="NormalTok"/>
        </w:rPr>
        <w:t xml:space="preserve"> stats_display.NGF_m2 </w:t>
      </w:r>
      <w:r>
        <w:rPr>
          <w:rStyle w:val="OperatorTok"/>
        </w:rPr>
        <w:t>/</w:t>
      </w:r>
      <w:r>
        <w:rPr>
          <w:rStyle w:val="NormalTok"/>
        </w:rPr>
        <w:t xml:space="preserve"> </w:t>
      </w:r>
      <w:r>
        <w:rPr>
          <w:rStyle w:val="FloatTok"/>
        </w:rPr>
        <w:t>1e6</w:t>
      </w:r>
      <w:r>
        <w:br/>
      </w:r>
      <w:r>
        <w:rPr>
          <w:rStyle w:val="NormalTok"/>
        </w:rPr>
        <w:t>stats_display[</w:t>
      </w:r>
      <w:r>
        <w:rPr>
          <w:rStyle w:val="StringTok"/>
        </w:rPr>
        <w:t>"BGF_Mio_m2"</w:t>
      </w:r>
      <w:r>
        <w:rPr>
          <w:rStyle w:val="NormalTok"/>
        </w:rPr>
        <w:t xml:space="preserve">] </w:t>
      </w:r>
      <w:r>
        <w:rPr>
          <w:rStyle w:val="OperatorTok"/>
        </w:rPr>
        <w:t>=</w:t>
      </w:r>
      <w:r>
        <w:rPr>
          <w:rStyle w:val="NormalTok"/>
        </w:rPr>
        <w:t xml:space="preserve"> stats_display.BGF_target_m2 </w:t>
      </w:r>
      <w:r>
        <w:rPr>
          <w:rStyle w:val="OperatorTok"/>
        </w:rPr>
        <w:t>/</w:t>
      </w:r>
      <w:r>
        <w:rPr>
          <w:rStyle w:val="NormalTok"/>
        </w:rPr>
        <w:t xml:space="preserve"> </w:t>
      </w:r>
      <w:r>
        <w:rPr>
          <w:rStyle w:val="FloatTok"/>
        </w:rPr>
        <w:t>1e6</w:t>
      </w:r>
      <w:r>
        <w:br/>
      </w:r>
      <w:r>
        <w:rPr>
          <w:rStyle w:val="NormalTok"/>
        </w:rPr>
        <w:t>display(stats_display[[</w:t>
      </w:r>
      <w:r>
        <w:rPr>
          <w:rStyle w:val="StringTok"/>
        </w:rPr>
        <w:t>"NGF_Mio_m2"</w:t>
      </w:r>
      <w:r>
        <w:rPr>
          <w:rStyle w:val="NormalTok"/>
        </w:rPr>
        <w:t xml:space="preserve">, </w:t>
      </w:r>
      <w:r>
        <w:rPr>
          <w:rStyle w:val="StringTok"/>
        </w:rPr>
        <w:t>"BGF_Mio_m2"</w:t>
      </w:r>
      <w:r>
        <w:rPr>
          <w:rStyle w:val="NormalTok"/>
        </w:rPr>
        <w:t xml:space="preserve">, </w:t>
      </w:r>
      <w:r>
        <w:rPr>
          <w:rStyle w:val="StringTok"/>
        </w:rPr>
        <w:t>"Anteil_AT_%"</w:t>
      </w:r>
      <w:r>
        <w:rPr>
          <w:rStyle w:val="NormalTok"/>
        </w:rPr>
        <w:t>]].</w:t>
      </w:r>
      <w:r>
        <w:rPr>
          <w:rStyle w:val="BuiltInTok"/>
        </w:rPr>
        <w:t>round</w:t>
      </w:r>
      <w:r>
        <w:rPr>
          <w:rStyle w:val="NormalTok"/>
        </w:rPr>
        <w:t>(</w:t>
      </w:r>
      <w:r>
        <w:rPr>
          <w:rStyle w:val="DecValTok"/>
        </w:rPr>
        <w:t>3</w:t>
      </w:r>
      <w:r>
        <w:rPr>
          <w:rStyle w:val="NormalTok"/>
        </w:rPr>
        <w:t>))</w:t>
      </w:r>
      <w:r>
        <w:br/>
      </w:r>
      <w:r>
        <w:br/>
      </w:r>
      <w:r>
        <w:rPr>
          <w:rStyle w:val="NormalTok"/>
        </w:rPr>
        <w:t xml:space="preserve">stats_gk </w:t>
      </w:r>
      <w:r>
        <w:rPr>
          <w:rStyle w:val="OperatorTok"/>
        </w:rPr>
        <w:t>=</w:t>
      </w:r>
      <w:r>
        <w:rPr>
          <w:rStyle w:val="NormalTok"/>
        </w:rPr>
        <w:t xml:space="preserve"> (targets.groupby(</w:t>
      </w:r>
      <w:r>
        <w:rPr>
          <w:rStyle w:val="StringTok"/>
        </w:rPr>
        <w:t>"GK"</w:t>
      </w:r>
      <w:r>
        <w:rPr>
          <w:rStyle w:val="NormalTok"/>
        </w:rPr>
        <w:t>)[</w:t>
      </w:r>
      <w:r>
        <w:rPr>
          <w:rStyle w:val="StringTok"/>
        </w:rPr>
        <w:t>"BGF_target_m2"</w:t>
      </w:r>
      <w:r>
        <w:rPr>
          <w:rStyle w:val="NormalTok"/>
        </w:rPr>
        <w:t>].</w:t>
      </w:r>
      <w:r>
        <w:rPr>
          <w:rStyle w:val="BuiltInTok"/>
        </w:rPr>
        <w:t>sum</w:t>
      </w:r>
      <w:r>
        <w:rPr>
          <w:rStyle w:val="NormalTok"/>
        </w:rPr>
        <w:t>()</w:t>
      </w:r>
      <w:r>
        <w:br/>
      </w:r>
      <w:r>
        <w:rPr>
          <w:rStyle w:val="NormalTok"/>
        </w:rPr>
        <w:t xml:space="preserve">            .reindex(STOREYS).div(</w:t>
      </w:r>
      <w:r>
        <w:rPr>
          <w:rStyle w:val="FloatTok"/>
        </w:rPr>
        <w:t>1e6</w:t>
      </w:r>
      <w:r>
        <w:rPr>
          <w:rStyle w:val="NormalTok"/>
        </w:rPr>
        <w:t>).rename(</w:t>
      </w:r>
      <w:r>
        <w:rPr>
          <w:rStyle w:val="StringTok"/>
        </w:rPr>
        <w:t>"BGF_Mio_m2"</w:t>
      </w:r>
      <w:r>
        <w:rPr>
          <w:rStyle w:val="NormalTok"/>
        </w:rPr>
        <w:t>))</w:t>
      </w:r>
      <w:r>
        <w:br/>
      </w:r>
      <w:r>
        <w:rPr>
          <w:rStyle w:val="NormalTok"/>
        </w:rPr>
        <w:t xml:space="preserve">stats_use </w:t>
      </w:r>
      <w:r>
        <w:rPr>
          <w:rStyle w:val="OperatorTok"/>
        </w:rPr>
        <w:t>=</w:t>
      </w:r>
      <w:r>
        <w:rPr>
          <w:rStyle w:val="NormalTok"/>
        </w:rPr>
        <w:t xml:space="preserve"> (targets.groupby(</w:t>
      </w:r>
      <w:r>
        <w:rPr>
          <w:rStyle w:val="StringTok"/>
        </w:rPr>
        <w:t>"GWR_Nutzung"</w:t>
      </w:r>
      <w:r>
        <w:rPr>
          <w:rStyle w:val="NormalTok"/>
        </w:rPr>
        <w:t>)[</w:t>
      </w:r>
      <w:r>
        <w:rPr>
          <w:rStyle w:val="StringTok"/>
        </w:rPr>
        <w:t>"BGF_target_m2"</w:t>
      </w:r>
      <w:r>
        <w:rPr>
          <w:rStyle w:val="NormalTok"/>
        </w:rPr>
        <w:t>].</w:t>
      </w:r>
      <w:r>
        <w:rPr>
          <w:rStyle w:val="BuiltInTok"/>
        </w:rPr>
        <w:t>sum</w:t>
      </w:r>
      <w:r>
        <w:rPr>
          <w:rStyle w:val="NormalTok"/>
        </w:rPr>
        <w:t>()</w:t>
      </w:r>
      <w:r>
        <w:br/>
      </w:r>
      <w:r>
        <w:rPr>
          <w:rStyle w:val="NormalTok"/>
        </w:rPr>
        <w:t xml:space="preserve">             .reindex(PLOT_USE_ORDER).div(</w:t>
      </w:r>
      <w:r>
        <w:rPr>
          <w:rStyle w:val="FloatTok"/>
        </w:rPr>
        <w:t>1e6</w:t>
      </w:r>
      <w:r>
        <w:rPr>
          <w:rStyle w:val="NormalTok"/>
        </w:rPr>
        <w:t>).rename(</w:t>
      </w:r>
      <w:r>
        <w:rPr>
          <w:rStyle w:val="StringTok"/>
        </w:rPr>
        <w:t>"BGF_Mio_m2"</w:t>
      </w:r>
      <w:r>
        <w:rPr>
          <w:rStyle w:val="NormalTok"/>
        </w:rPr>
        <w:t>))</w:t>
      </w:r>
      <w:r>
        <w:br/>
      </w:r>
      <w:r>
        <w:rPr>
          <w:rStyle w:val="NormalTok"/>
        </w:rPr>
        <w:t>display(pd.DataFrame({</w:t>
      </w:r>
      <w:r>
        <w:rPr>
          <w:rStyle w:val="StringTok"/>
        </w:rPr>
        <w:t>"BGF Mio. m² nach Geschossklasse"</w:t>
      </w:r>
      <w:r>
        <w:rPr>
          <w:rStyle w:val="NormalTok"/>
        </w:rPr>
        <w:t>: stats_gk}))</w:t>
      </w:r>
      <w:r>
        <w:br/>
      </w:r>
      <w:r>
        <w:rPr>
          <w:rStyle w:val="NormalTok"/>
        </w:rPr>
        <w:t>display(pd.DataFrame({</w:t>
      </w:r>
      <w:r>
        <w:rPr>
          <w:rStyle w:val="StringTok"/>
        </w:rPr>
        <w:t>"BGF Mio. m² nach Hauptnutzung"</w:t>
      </w:r>
      <w:r>
        <w:rPr>
          <w:rStyle w:val="NormalTok"/>
        </w:rPr>
        <w:t>: stats_use}).sort_values(</w:t>
      </w:r>
      <w:r>
        <w:rPr>
          <w:rStyle w:val="StringTok"/>
        </w:rPr>
        <w:t>"BGF Mio. m² nach Hauptnutzung"</w:t>
      </w:r>
      <w:r>
        <w:rPr>
          <w:rStyle w:val="NormalTok"/>
        </w:rPr>
        <w:t>, ascending</w:t>
      </w:r>
      <w:r>
        <w:rPr>
          <w:rStyle w:val="OperatorTok"/>
        </w:rPr>
        <w:t>=</w:t>
      </w:r>
      <w:r>
        <w:rPr>
          <w:rStyle w:val="VariableTok"/>
        </w:rPr>
        <w:t>False</w:t>
      </w:r>
      <w:r>
        <w:rPr>
          <w:rStyle w:val="NormalTok"/>
        </w:rPr>
        <w:t>))</w:t>
      </w:r>
    </w:p>
    <w:tbl>
      <w:tblPr>
        <w:tblStyle w:val="Table"/>
        <w:tblW w:w="0" w:type="auto"/>
        <w:tblLook w:val="0020" w:firstRow="1" w:lastRow="0" w:firstColumn="0" w:lastColumn="0" w:noHBand="0" w:noVBand="0"/>
      </w:tblPr>
      <w:tblGrid>
        <w:gridCol w:w="2372"/>
        <w:gridCol w:w="1948"/>
        <w:gridCol w:w="1966"/>
        <w:gridCol w:w="1842"/>
      </w:tblGrid>
      <w:tr w:rsidR="004E4CC2" w14:paraId="35498792"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0A2306AB" w14:textId="77777777" w:rsidR="004E4CC2" w:rsidRDefault="004E4CC2">
            <w:pPr>
              <w:pStyle w:val="Compact"/>
            </w:pPr>
          </w:p>
        </w:tc>
        <w:tc>
          <w:tcPr>
            <w:tcW w:w="0" w:type="auto"/>
          </w:tcPr>
          <w:p w14:paraId="7CC37442" w14:textId="77777777" w:rsidR="004E4CC2" w:rsidRDefault="00000000">
            <w:pPr>
              <w:pStyle w:val="Compact"/>
            </w:pPr>
            <w:r>
              <w:t>NGF_Mio_m2</w:t>
            </w:r>
          </w:p>
        </w:tc>
        <w:tc>
          <w:tcPr>
            <w:tcW w:w="0" w:type="auto"/>
          </w:tcPr>
          <w:p w14:paraId="714FF345" w14:textId="77777777" w:rsidR="004E4CC2" w:rsidRDefault="00000000">
            <w:pPr>
              <w:pStyle w:val="Compact"/>
            </w:pPr>
            <w:r>
              <w:t>BGF_Mio_m2</w:t>
            </w:r>
          </w:p>
        </w:tc>
        <w:tc>
          <w:tcPr>
            <w:tcW w:w="0" w:type="auto"/>
          </w:tcPr>
          <w:p w14:paraId="2334A277" w14:textId="77777777" w:rsidR="004E4CC2" w:rsidRDefault="00000000">
            <w:pPr>
              <w:pStyle w:val="Compact"/>
            </w:pPr>
            <w:r>
              <w:t>Anteil_AT_%</w:t>
            </w:r>
          </w:p>
        </w:tc>
      </w:tr>
      <w:tr w:rsidR="004E4CC2" w14:paraId="4757D88A"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60E2CBCC" w14:textId="77777777" w:rsidR="004E4CC2" w:rsidRDefault="00000000">
            <w:pPr>
              <w:pStyle w:val="Compact"/>
            </w:pPr>
            <w:r>
              <w:t>Bundesland</w:t>
            </w:r>
          </w:p>
        </w:tc>
        <w:tc>
          <w:tcPr>
            <w:tcW w:w="0" w:type="auto"/>
          </w:tcPr>
          <w:p w14:paraId="77B13031" w14:textId="77777777" w:rsidR="004E4CC2" w:rsidRDefault="004E4CC2">
            <w:pPr>
              <w:pStyle w:val="Compact"/>
            </w:pPr>
          </w:p>
        </w:tc>
        <w:tc>
          <w:tcPr>
            <w:tcW w:w="0" w:type="auto"/>
          </w:tcPr>
          <w:p w14:paraId="6392B4E5" w14:textId="77777777" w:rsidR="004E4CC2" w:rsidRDefault="004E4CC2">
            <w:pPr>
              <w:pStyle w:val="Compact"/>
            </w:pPr>
          </w:p>
        </w:tc>
        <w:tc>
          <w:tcPr>
            <w:tcW w:w="0" w:type="auto"/>
          </w:tcPr>
          <w:p w14:paraId="0E32A104" w14:textId="77777777" w:rsidR="004E4CC2" w:rsidRDefault="004E4CC2">
            <w:pPr>
              <w:pStyle w:val="Compact"/>
            </w:pPr>
          </w:p>
        </w:tc>
      </w:tr>
      <w:tr w:rsidR="004E4CC2" w14:paraId="3598850B" w14:textId="77777777">
        <w:tc>
          <w:tcPr>
            <w:tcW w:w="0" w:type="auto"/>
          </w:tcPr>
          <w:p w14:paraId="101B07EB" w14:textId="77777777" w:rsidR="004E4CC2" w:rsidRDefault="00000000">
            <w:pPr>
              <w:pStyle w:val="Compact"/>
            </w:pPr>
            <w:r>
              <w:t>Burgenland</w:t>
            </w:r>
          </w:p>
        </w:tc>
        <w:tc>
          <w:tcPr>
            <w:tcW w:w="0" w:type="auto"/>
          </w:tcPr>
          <w:p w14:paraId="780B776B" w14:textId="77777777" w:rsidR="004E4CC2" w:rsidRDefault="00000000">
            <w:pPr>
              <w:pStyle w:val="Compact"/>
            </w:pPr>
            <w:r>
              <w:t>30.434</w:t>
            </w:r>
          </w:p>
        </w:tc>
        <w:tc>
          <w:tcPr>
            <w:tcW w:w="0" w:type="auto"/>
          </w:tcPr>
          <w:p w14:paraId="6AF134C9" w14:textId="77777777" w:rsidR="004E4CC2" w:rsidRDefault="00000000">
            <w:pPr>
              <w:pStyle w:val="Compact"/>
            </w:pPr>
            <w:r>
              <w:t>38.043</w:t>
            </w:r>
          </w:p>
        </w:tc>
        <w:tc>
          <w:tcPr>
            <w:tcW w:w="0" w:type="auto"/>
          </w:tcPr>
          <w:p w14:paraId="4282F908" w14:textId="77777777" w:rsidR="004E4CC2" w:rsidRDefault="00000000">
            <w:pPr>
              <w:pStyle w:val="Compact"/>
            </w:pPr>
            <w:r>
              <w:t>3.593</w:t>
            </w:r>
          </w:p>
        </w:tc>
      </w:tr>
      <w:tr w:rsidR="004E4CC2" w14:paraId="1B39D6CA" w14:textId="77777777">
        <w:tc>
          <w:tcPr>
            <w:tcW w:w="0" w:type="auto"/>
          </w:tcPr>
          <w:p w14:paraId="3734C85E" w14:textId="77777777" w:rsidR="004E4CC2" w:rsidRDefault="00000000">
            <w:pPr>
              <w:pStyle w:val="Compact"/>
            </w:pPr>
            <w:r>
              <w:t>Kärnten</w:t>
            </w:r>
          </w:p>
        </w:tc>
        <w:tc>
          <w:tcPr>
            <w:tcW w:w="0" w:type="auto"/>
          </w:tcPr>
          <w:p w14:paraId="7EF7A206" w14:textId="77777777" w:rsidR="004E4CC2" w:rsidRDefault="00000000">
            <w:pPr>
              <w:pStyle w:val="Compact"/>
            </w:pPr>
            <w:r>
              <w:t>54.446</w:t>
            </w:r>
          </w:p>
        </w:tc>
        <w:tc>
          <w:tcPr>
            <w:tcW w:w="0" w:type="auto"/>
          </w:tcPr>
          <w:p w14:paraId="7D0FC540" w14:textId="77777777" w:rsidR="004E4CC2" w:rsidRDefault="00000000">
            <w:pPr>
              <w:pStyle w:val="Compact"/>
            </w:pPr>
            <w:r>
              <w:t>68.058</w:t>
            </w:r>
          </w:p>
        </w:tc>
        <w:tc>
          <w:tcPr>
            <w:tcW w:w="0" w:type="auto"/>
          </w:tcPr>
          <w:p w14:paraId="610F18DE" w14:textId="77777777" w:rsidR="004E4CC2" w:rsidRDefault="00000000">
            <w:pPr>
              <w:pStyle w:val="Compact"/>
            </w:pPr>
            <w:r>
              <w:t>6.427</w:t>
            </w:r>
          </w:p>
        </w:tc>
      </w:tr>
      <w:tr w:rsidR="004E4CC2" w14:paraId="32FA5E5B" w14:textId="77777777">
        <w:tc>
          <w:tcPr>
            <w:tcW w:w="0" w:type="auto"/>
          </w:tcPr>
          <w:p w14:paraId="14F1CA91" w14:textId="77777777" w:rsidR="004E4CC2" w:rsidRDefault="00000000">
            <w:pPr>
              <w:pStyle w:val="Compact"/>
            </w:pPr>
            <w:r>
              <w:t>Niederösterreich</w:t>
            </w:r>
          </w:p>
        </w:tc>
        <w:tc>
          <w:tcPr>
            <w:tcW w:w="0" w:type="auto"/>
          </w:tcPr>
          <w:p w14:paraId="1AF4E595" w14:textId="77777777" w:rsidR="004E4CC2" w:rsidRDefault="00000000">
            <w:pPr>
              <w:pStyle w:val="Compact"/>
            </w:pPr>
            <w:r>
              <w:t>171.910</w:t>
            </w:r>
          </w:p>
        </w:tc>
        <w:tc>
          <w:tcPr>
            <w:tcW w:w="0" w:type="auto"/>
          </w:tcPr>
          <w:p w14:paraId="401854DA" w14:textId="77777777" w:rsidR="004E4CC2" w:rsidRDefault="00000000">
            <w:pPr>
              <w:pStyle w:val="Compact"/>
            </w:pPr>
            <w:r>
              <w:t>214.888</w:t>
            </w:r>
          </w:p>
        </w:tc>
        <w:tc>
          <w:tcPr>
            <w:tcW w:w="0" w:type="auto"/>
          </w:tcPr>
          <w:p w14:paraId="007C133B" w14:textId="77777777" w:rsidR="004E4CC2" w:rsidRDefault="00000000">
            <w:pPr>
              <w:pStyle w:val="Compact"/>
            </w:pPr>
            <w:r>
              <w:t>20.293</w:t>
            </w:r>
          </w:p>
        </w:tc>
      </w:tr>
      <w:tr w:rsidR="004E4CC2" w14:paraId="43193163" w14:textId="77777777">
        <w:tc>
          <w:tcPr>
            <w:tcW w:w="0" w:type="auto"/>
          </w:tcPr>
          <w:p w14:paraId="4A028B12" w14:textId="77777777" w:rsidR="004E4CC2" w:rsidRDefault="00000000">
            <w:pPr>
              <w:pStyle w:val="Compact"/>
            </w:pPr>
            <w:r>
              <w:t>Oberösterreich</w:t>
            </w:r>
          </w:p>
        </w:tc>
        <w:tc>
          <w:tcPr>
            <w:tcW w:w="0" w:type="auto"/>
          </w:tcPr>
          <w:p w14:paraId="5E9E17DA" w14:textId="77777777" w:rsidR="004E4CC2" w:rsidRDefault="00000000">
            <w:pPr>
              <w:pStyle w:val="Compact"/>
            </w:pPr>
            <w:r>
              <w:t>157.719</w:t>
            </w:r>
          </w:p>
        </w:tc>
        <w:tc>
          <w:tcPr>
            <w:tcW w:w="0" w:type="auto"/>
          </w:tcPr>
          <w:p w14:paraId="7205F456" w14:textId="77777777" w:rsidR="004E4CC2" w:rsidRDefault="00000000">
            <w:pPr>
              <w:pStyle w:val="Compact"/>
            </w:pPr>
            <w:r>
              <w:t>197.149</w:t>
            </w:r>
          </w:p>
        </w:tc>
        <w:tc>
          <w:tcPr>
            <w:tcW w:w="0" w:type="auto"/>
          </w:tcPr>
          <w:p w14:paraId="697B87E4" w14:textId="77777777" w:rsidR="004E4CC2" w:rsidRDefault="00000000">
            <w:pPr>
              <w:pStyle w:val="Compact"/>
            </w:pPr>
            <w:r>
              <w:t>18.618</w:t>
            </w:r>
          </w:p>
        </w:tc>
      </w:tr>
      <w:tr w:rsidR="004E4CC2" w14:paraId="380CA64A" w14:textId="77777777">
        <w:tc>
          <w:tcPr>
            <w:tcW w:w="0" w:type="auto"/>
          </w:tcPr>
          <w:p w14:paraId="38886A99" w14:textId="77777777" w:rsidR="004E4CC2" w:rsidRDefault="00000000">
            <w:pPr>
              <w:pStyle w:val="Compact"/>
            </w:pPr>
            <w:r>
              <w:t>Salzburg</w:t>
            </w:r>
          </w:p>
        </w:tc>
        <w:tc>
          <w:tcPr>
            <w:tcW w:w="0" w:type="auto"/>
          </w:tcPr>
          <w:p w14:paraId="646E3BEF" w14:textId="77777777" w:rsidR="004E4CC2" w:rsidRDefault="00000000">
            <w:pPr>
              <w:pStyle w:val="Compact"/>
            </w:pPr>
            <w:r>
              <w:t>55.595</w:t>
            </w:r>
          </w:p>
        </w:tc>
        <w:tc>
          <w:tcPr>
            <w:tcW w:w="0" w:type="auto"/>
          </w:tcPr>
          <w:p w14:paraId="73FE1D2F" w14:textId="77777777" w:rsidR="004E4CC2" w:rsidRDefault="00000000">
            <w:pPr>
              <w:pStyle w:val="Compact"/>
            </w:pPr>
            <w:r>
              <w:t>69.494</w:t>
            </w:r>
          </w:p>
        </w:tc>
        <w:tc>
          <w:tcPr>
            <w:tcW w:w="0" w:type="auto"/>
          </w:tcPr>
          <w:p w14:paraId="76B27A59" w14:textId="77777777" w:rsidR="004E4CC2" w:rsidRDefault="00000000">
            <w:pPr>
              <w:pStyle w:val="Compact"/>
            </w:pPr>
            <w:r>
              <w:t>6.563</w:t>
            </w:r>
          </w:p>
        </w:tc>
      </w:tr>
      <w:tr w:rsidR="004E4CC2" w14:paraId="6D9B9803" w14:textId="77777777">
        <w:tc>
          <w:tcPr>
            <w:tcW w:w="0" w:type="auto"/>
          </w:tcPr>
          <w:p w14:paraId="58542565" w14:textId="77777777" w:rsidR="004E4CC2" w:rsidRDefault="00000000">
            <w:pPr>
              <w:pStyle w:val="Compact"/>
            </w:pPr>
            <w:r>
              <w:t>Steiermark</w:t>
            </w:r>
          </w:p>
        </w:tc>
        <w:tc>
          <w:tcPr>
            <w:tcW w:w="0" w:type="auto"/>
          </w:tcPr>
          <w:p w14:paraId="2F2B7C98" w14:textId="77777777" w:rsidR="004E4CC2" w:rsidRDefault="00000000">
            <w:pPr>
              <w:pStyle w:val="Compact"/>
            </w:pPr>
            <w:r>
              <w:t>120.031</w:t>
            </w:r>
          </w:p>
        </w:tc>
        <w:tc>
          <w:tcPr>
            <w:tcW w:w="0" w:type="auto"/>
          </w:tcPr>
          <w:p w14:paraId="32579216" w14:textId="77777777" w:rsidR="004E4CC2" w:rsidRDefault="00000000">
            <w:pPr>
              <w:pStyle w:val="Compact"/>
            </w:pPr>
            <w:r>
              <w:t>150.038</w:t>
            </w:r>
          </w:p>
        </w:tc>
        <w:tc>
          <w:tcPr>
            <w:tcW w:w="0" w:type="auto"/>
          </w:tcPr>
          <w:p w14:paraId="648C18AD" w14:textId="77777777" w:rsidR="004E4CC2" w:rsidRDefault="00000000">
            <w:pPr>
              <w:pStyle w:val="Compact"/>
            </w:pPr>
            <w:r>
              <w:t>14.169</w:t>
            </w:r>
          </w:p>
        </w:tc>
      </w:tr>
      <w:tr w:rsidR="004E4CC2" w14:paraId="69FDD464" w14:textId="77777777">
        <w:tc>
          <w:tcPr>
            <w:tcW w:w="0" w:type="auto"/>
          </w:tcPr>
          <w:p w14:paraId="05238BE7" w14:textId="77777777" w:rsidR="004E4CC2" w:rsidRDefault="00000000">
            <w:pPr>
              <w:pStyle w:val="Compact"/>
            </w:pPr>
            <w:r>
              <w:t>Tirol</w:t>
            </w:r>
          </w:p>
        </w:tc>
        <w:tc>
          <w:tcPr>
            <w:tcW w:w="0" w:type="auto"/>
          </w:tcPr>
          <w:p w14:paraId="3FBAC41B" w14:textId="77777777" w:rsidR="004E4CC2" w:rsidRDefault="00000000">
            <w:pPr>
              <w:pStyle w:val="Compact"/>
            </w:pPr>
            <w:r>
              <w:t>79.835</w:t>
            </w:r>
          </w:p>
        </w:tc>
        <w:tc>
          <w:tcPr>
            <w:tcW w:w="0" w:type="auto"/>
          </w:tcPr>
          <w:p w14:paraId="7B021992" w14:textId="77777777" w:rsidR="004E4CC2" w:rsidRDefault="00000000">
            <w:pPr>
              <w:pStyle w:val="Compact"/>
            </w:pPr>
            <w:r>
              <w:t>99.794</w:t>
            </w:r>
          </w:p>
        </w:tc>
        <w:tc>
          <w:tcPr>
            <w:tcW w:w="0" w:type="auto"/>
          </w:tcPr>
          <w:p w14:paraId="1A9BE71C" w14:textId="77777777" w:rsidR="004E4CC2" w:rsidRDefault="00000000">
            <w:pPr>
              <w:pStyle w:val="Compact"/>
            </w:pPr>
            <w:r>
              <w:t>9.424</w:t>
            </w:r>
          </w:p>
        </w:tc>
      </w:tr>
      <w:tr w:rsidR="004E4CC2" w14:paraId="7D5D1801" w14:textId="77777777">
        <w:tc>
          <w:tcPr>
            <w:tcW w:w="0" w:type="auto"/>
          </w:tcPr>
          <w:p w14:paraId="49C9FB83" w14:textId="77777777" w:rsidR="004E4CC2" w:rsidRDefault="00000000">
            <w:pPr>
              <w:pStyle w:val="Compact"/>
            </w:pPr>
            <w:r>
              <w:t>Vorarlberg</w:t>
            </w:r>
          </w:p>
        </w:tc>
        <w:tc>
          <w:tcPr>
            <w:tcW w:w="0" w:type="auto"/>
          </w:tcPr>
          <w:p w14:paraId="64C29BBE" w14:textId="77777777" w:rsidR="004E4CC2" w:rsidRDefault="00000000">
            <w:pPr>
              <w:pStyle w:val="Compact"/>
            </w:pPr>
            <w:r>
              <w:t>37.347</w:t>
            </w:r>
          </w:p>
        </w:tc>
        <w:tc>
          <w:tcPr>
            <w:tcW w:w="0" w:type="auto"/>
          </w:tcPr>
          <w:p w14:paraId="18DDA8FC" w14:textId="77777777" w:rsidR="004E4CC2" w:rsidRDefault="00000000">
            <w:pPr>
              <w:pStyle w:val="Compact"/>
            </w:pPr>
            <w:r>
              <w:t>46.683</w:t>
            </w:r>
          </w:p>
        </w:tc>
        <w:tc>
          <w:tcPr>
            <w:tcW w:w="0" w:type="auto"/>
          </w:tcPr>
          <w:p w14:paraId="0AA880AD" w14:textId="77777777" w:rsidR="004E4CC2" w:rsidRDefault="00000000">
            <w:pPr>
              <w:pStyle w:val="Compact"/>
            </w:pPr>
            <w:r>
              <w:t>4.409</w:t>
            </w:r>
          </w:p>
        </w:tc>
      </w:tr>
      <w:tr w:rsidR="004E4CC2" w14:paraId="68F86D31" w14:textId="77777777">
        <w:tc>
          <w:tcPr>
            <w:tcW w:w="0" w:type="auto"/>
          </w:tcPr>
          <w:p w14:paraId="776ED02D" w14:textId="77777777" w:rsidR="004E4CC2" w:rsidRDefault="00000000">
            <w:pPr>
              <w:pStyle w:val="Compact"/>
            </w:pPr>
            <w:r>
              <w:t>Wien</w:t>
            </w:r>
          </w:p>
        </w:tc>
        <w:tc>
          <w:tcPr>
            <w:tcW w:w="0" w:type="auto"/>
          </w:tcPr>
          <w:p w14:paraId="71354B40" w14:textId="77777777" w:rsidR="004E4CC2" w:rsidRDefault="00000000">
            <w:pPr>
              <w:pStyle w:val="Compact"/>
            </w:pPr>
            <w:r>
              <w:t>139.830</w:t>
            </w:r>
          </w:p>
        </w:tc>
        <w:tc>
          <w:tcPr>
            <w:tcW w:w="0" w:type="auto"/>
          </w:tcPr>
          <w:p w14:paraId="2494CEA9" w14:textId="77777777" w:rsidR="004E4CC2" w:rsidRDefault="00000000">
            <w:pPr>
              <w:pStyle w:val="Compact"/>
            </w:pPr>
            <w:r>
              <w:t>174.787</w:t>
            </w:r>
          </w:p>
        </w:tc>
        <w:tc>
          <w:tcPr>
            <w:tcW w:w="0" w:type="auto"/>
          </w:tcPr>
          <w:p w14:paraId="7BC8FF55" w14:textId="77777777" w:rsidR="004E4CC2" w:rsidRDefault="00000000">
            <w:pPr>
              <w:pStyle w:val="Compact"/>
            </w:pPr>
            <w:r>
              <w:t>16.506</w:t>
            </w:r>
          </w:p>
        </w:tc>
      </w:tr>
      <w:tr w:rsidR="004E4CC2" w14:paraId="391E2B47" w14:textId="77777777" w:rsidTr="004E4CC2">
        <w:trPr>
          <w:tblHeader/>
        </w:trPr>
        <w:tc>
          <w:tcPr>
            <w:tcW w:w="0" w:type="auto"/>
            <w:gridSpan w:val="2"/>
          </w:tcPr>
          <w:p w14:paraId="1D81E0D2" w14:textId="77777777" w:rsidR="004E4CC2" w:rsidRDefault="004E4CC2">
            <w:pPr>
              <w:pStyle w:val="Compact"/>
            </w:pPr>
          </w:p>
        </w:tc>
        <w:tc>
          <w:tcPr>
            <w:tcW w:w="0" w:type="auto"/>
            <w:gridSpan w:val="2"/>
          </w:tcPr>
          <w:p w14:paraId="1A9AA0F9" w14:textId="77777777" w:rsidR="004E4CC2" w:rsidRDefault="00000000">
            <w:pPr>
              <w:pStyle w:val="Compact"/>
            </w:pPr>
            <w:r>
              <w:t>BGF Mio. m² nach Geschossklasse</w:t>
            </w:r>
          </w:p>
        </w:tc>
      </w:tr>
      <w:tr w:rsidR="004E4CC2" w14:paraId="150A5B24" w14:textId="77777777" w:rsidTr="004E4CC2">
        <w:trPr>
          <w:tblHeader/>
        </w:trPr>
        <w:tc>
          <w:tcPr>
            <w:tcW w:w="0" w:type="auto"/>
            <w:gridSpan w:val="2"/>
          </w:tcPr>
          <w:p w14:paraId="556F0CD2" w14:textId="77777777" w:rsidR="004E4CC2" w:rsidRDefault="00000000">
            <w:pPr>
              <w:pStyle w:val="Compact"/>
            </w:pPr>
            <w:r>
              <w:t>GK</w:t>
            </w:r>
          </w:p>
        </w:tc>
        <w:tc>
          <w:tcPr>
            <w:tcW w:w="0" w:type="auto"/>
            <w:gridSpan w:val="2"/>
          </w:tcPr>
          <w:p w14:paraId="204BBFD0" w14:textId="77777777" w:rsidR="004E4CC2" w:rsidRDefault="004E4CC2">
            <w:pPr>
              <w:pStyle w:val="Compact"/>
            </w:pPr>
          </w:p>
        </w:tc>
      </w:tr>
      <w:tr w:rsidR="004E4CC2" w14:paraId="7A1349B8" w14:textId="77777777">
        <w:tc>
          <w:tcPr>
            <w:tcW w:w="0" w:type="auto"/>
            <w:gridSpan w:val="2"/>
          </w:tcPr>
          <w:p w14:paraId="49573FFB" w14:textId="77777777" w:rsidR="004E4CC2" w:rsidRDefault="00000000">
            <w:pPr>
              <w:pStyle w:val="Compact"/>
            </w:pPr>
            <w:r>
              <w:t>1</w:t>
            </w:r>
          </w:p>
        </w:tc>
        <w:tc>
          <w:tcPr>
            <w:tcW w:w="0" w:type="auto"/>
            <w:gridSpan w:val="2"/>
          </w:tcPr>
          <w:p w14:paraId="333E5A19" w14:textId="77777777" w:rsidR="004E4CC2" w:rsidRDefault="00000000">
            <w:pPr>
              <w:pStyle w:val="Compact"/>
            </w:pPr>
            <w:r>
              <w:t>216.827551</w:t>
            </w:r>
          </w:p>
        </w:tc>
      </w:tr>
      <w:tr w:rsidR="004E4CC2" w14:paraId="66DACEB4" w14:textId="77777777">
        <w:tc>
          <w:tcPr>
            <w:tcW w:w="0" w:type="auto"/>
            <w:gridSpan w:val="2"/>
          </w:tcPr>
          <w:p w14:paraId="5100137A" w14:textId="77777777" w:rsidR="004E4CC2" w:rsidRDefault="00000000">
            <w:pPr>
              <w:pStyle w:val="Compact"/>
            </w:pPr>
            <w:r>
              <w:t>2</w:t>
            </w:r>
          </w:p>
        </w:tc>
        <w:tc>
          <w:tcPr>
            <w:tcW w:w="0" w:type="auto"/>
            <w:gridSpan w:val="2"/>
          </w:tcPr>
          <w:p w14:paraId="0AF7FE13" w14:textId="77777777" w:rsidR="004E4CC2" w:rsidRDefault="00000000">
            <w:pPr>
              <w:pStyle w:val="Compact"/>
            </w:pPr>
            <w:r>
              <w:t>382.613315</w:t>
            </w:r>
          </w:p>
        </w:tc>
      </w:tr>
      <w:tr w:rsidR="004E4CC2" w14:paraId="1D26C590" w14:textId="77777777">
        <w:tc>
          <w:tcPr>
            <w:tcW w:w="0" w:type="auto"/>
            <w:gridSpan w:val="2"/>
          </w:tcPr>
          <w:p w14:paraId="7338CB3F" w14:textId="77777777" w:rsidR="004E4CC2" w:rsidRDefault="00000000">
            <w:pPr>
              <w:pStyle w:val="Compact"/>
            </w:pPr>
            <w:r>
              <w:t>3</w:t>
            </w:r>
          </w:p>
        </w:tc>
        <w:tc>
          <w:tcPr>
            <w:tcW w:w="0" w:type="auto"/>
            <w:gridSpan w:val="2"/>
          </w:tcPr>
          <w:p w14:paraId="64DA1364" w14:textId="77777777" w:rsidR="004E4CC2" w:rsidRDefault="00000000">
            <w:pPr>
              <w:pStyle w:val="Compact"/>
            </w:pPr>
            <w:r>
              <w:t>179.588949</w:t>
            </w:r>
          </w:p>
        </w:tc>
      </w:tr>
      <w:tr w:rsidR="004E4CC2" w14:paraId="0B8C9C3A" w14:textId="77777777">
        <w:tc>
          <w:tcPr>
            <w:tcW w:w="0" w:type="auto"/>
            <w:gridSpan w:val="2"/>
          </w:tcPr>
          <w:p w14:paraId="7375DDCE" w14:textId="77777777" w:rsidR="004E4CC2" w:rsidRDefault="00000000">
            <w:pPr>
              <w:pStyle w:val="Compact"/>
            </w:pPr>
            <w:r>
              <w:t>4</w:t>
            </w:r>
          </w:p>
        </w:tc>
        <w:tc>
          <w:tcPr>
            <w:tcW w:w="0" w:type="auto"/>
            <w:gridSpan w:val="2"/>
          </w:tcPr>
          <w:p w14:paraId="0BCB2665" w14:textId="77777777" w:rsidR="004E4CC2" w:rsidRDefault="00000000">
            <w:pPr>
              <w:pStyle w:val="Compact"/>
            </w:pPr>
            <w:r>
              <w:t>104.302704</w:t>
            </w:r>
          </w:p>
        </w:tc>
      </w:tr>
      <w:tr w:rsidR="004E4CC2" w14:paraId="6605D2F2" w14:textId="77777777">
        <w:tc>
          <w:tcPr>
            <w:tcW w:w="0" w:type="auto"/>
            <w:gridSpan w:val="2"/>
          </w:tcPr>
          <w:p w14:paraId="2C522501" w14:textId="77777777" w:rsidR="004E4CC2" w:rsidRDefault="00000000">
            <w:pPr>
              <w:pStyle w:val="Compact"/>
            </w:pPr>
            <w:r>
              <w:t>5</w:t>
            </w:r>
          </w:p>
        </w:tc>
        <w:tc>
          <w:tcPr>
            <w:tcW w:w="0" w:type="auto"/>
            <w:gridSpan w:val="2"/>
          </w:tcPr>
          <w:p w14:paraId="66625939" w14:textId="77777777" w:rsidR="004E4CC2" w:rsidRDefault="00000000">
            <w:pPr>
              <w:pStyle w:val="Compact"/>
            </w:pPr>
            <w:r>
              <w:t>60.409821</w:t>
            </w:r>
          </w:p>
        </w:tc>
      </w:tr>
      <w:tr w:rsidR="004E4CC2" w14:paraId="29B17013" w14:textId="77777777">
        <w:tc>
          <w:tcPr>
            <w:tcW w:w="0" w:type="auto"/>
            <w:gridSpan w:val="2"/>
          </w:tcPr>
          <w:p w14:paraId="087A75B2" w14:textId="77777777" w:rsidR="004E4CC2" w:rsidRDefault="00000000">
            <w:pPr>
              <w:pStyle w:val="Compact"/>
            </w:pPr>
            <w:r>
              <w:t>6-10</w:t>
            </w:r>
          </w:p>
        </w:tc>
        <w:tc>
          <w:tcPr>
            <w:tcW w:w="0" w:type="auto"/>
            <w:gridSpan w:val="2"/>
          </w:tcPr>
          <w:p w14:paraId="5D01D0BB" w14:textId="77777777" w:rsidR="004E4CC2" w:rsidRDefault="00000000">
            <w:pPr>
              <w:pStyle w:val="Compact"/>
            </w:pPr>
            <w:r>
              <w:t>103.898680</w:t>
            </w:r>
          </w:p>
        </w:tc>
      </w:tr>
      <w:tr w:rsidR="004E4CC2" w14:paraId="3B5A5B47" w14:textId="77777777">
        <w:tc>
          <w:tcPr>
            <w:tcW w:w="0" w:type="auto"/>
            <w:gridSpan w:val="2"/>
          </w:tcPr>
          <w:p w14:paraId="17255016" w14:textId="77777777" w:rsidR="004E4CC2" w:rsidRDefault="00000000">
            <w:pPr>
              <w:pStyle w:val="Compact"/>
            </w:pPr>
            <w:r>
              <w:t>11+</w:t>
            </w:r>
          </w:p>
        </w:tc>
        <w:tc>
          <w:tcPr>
            <w:tcW w:w="0" w:type="auto"/>
            <w:gridSpan w:val="2"/>
          </w:tcPr>
          <w:p w14:paraId="0D7E24E7" w14:textId="77777777" w:rsidR="004E4CC2" w:rsidRDefault="00000000">
            <w:pPr>
              <w:pStyle w:val="Compact"/>
            </w:pPr>
            <w:r>
              <w:t>11.293873</w:t>
            </w:r>
          </w:p>
        </w:tc>
      </w:tr>
      <w:tr w:rsidR="004E4CC2" w14:paraId="2F28D333" w14:textId="77777777" w:rsidTr="004E4CC2">
        <w:trPr>
          <w:tblHeader/>
        </w:trPr>
        <w:tc>
          <w:tcPr>
            <w:tcW w:w="0" w:type="auto"/>
            <w:gridSpan w:val="2"/>
          </w:tcPr>
          <w:p w14:paraId="146C96D3" w14:textId="77777777" w:rsidR="004E4CC2" w:rsidRDefault="004E4CC2">
            <w:pPr>
              <w:pStyle w:val="Compact"/>
            </w:pPr>
          </w:p>
        </w:tc>
        <w:tc>
          <w:tcPr>
            <w:tcW w:w="0" w:type="auto"/>
            <w:gridSpan w:val="2"/>
          </w:tcPr>
          <w:p w14:paraId="24E2E2F0" w14:textId="77777777" w:rsidR="004E4CC2" w:rsidRDefault="00000000">
            <w:pPr>
              <w:pStyle w:val="Compact"/>
            </w:pPr>
            <w:r>
              <w:t>BGF Mio. m² nach Hauptnutzung</w:t>
            </w:r>
          </w:p>
        </w:tc>
      </w:tr>
      <w:tr w:rsidR="004E4CC2" w14:paraId="2B90AA42" w14:textId="77777777" w:rsidTr="004E4CC2">
        <w:trPr>
          <w:tblHeader/>
        </w:trPr>
        <w:tc>
          <w:tcPr>
            <w:tcW w:w="0" w:type="auto"/>
            <w:gridSpan w:val="2"/>
          </w:tcPr>
          <w:p w14:paraId="4C3B2657" w14:textId="77777777" w:rsidR="004E4CC2" w:rsidRDefault="00000000">
            <w:pPr>
              <w:pStyle w:val="Compact"/>
            </w:pPr>
            <w:r>
              <w:t>GWR_Nutzung</w:t>
            </w:r>
          </w:p>
        </w:tc>
        <w:tc>
          <w:tcPr>
            <w:tcW w:w="0" w:type="auto"/>
            <w:gridSpan w:val="2"/>
          </w:tcPr>
          <w:p w14:paraId="143AB724" w14:textId="77777777" w:rsidR="004E4CC2" w:rsidRDefault="004E4CC2">
            <w:pPr>
              <w:pStyle w:val="Compact"/>
            </w:pPr>
          </w:p>
        </w:tc>
      </w:tr>
      <w:tr w:rsidR="004E4CC2" w14:paraId="50A3FAD0" w14:textId="77777777">
        <w:tc>
          <w:tcPr>
            <w:tcW w:w="0" w:type="auto"/>
            <w:gridSpan w:val="2"/>
          </w:tcPr>
          <w:p w14:paraId="67E07912" w14:textId="77777777" w:rsidR="004E4CC2" w:rsidRDefault="00000000">
            <w:pPr>
              <w:pStyle w:val="Compact"/>
            </w:pPr>
            <w:r>
              <w:t>Ein- und Zweifamilienhäuser</w:t>
            </w:r>
          </w:p>
        </w:tc>
        <w:tc>
          <w:tcPr>
            <w:tcW w:w="0" w:type="auto"/>
            <w:gridSpan w:val="2"/>
          </w:tcPr>
          <w:p w14:paraId="2991923D" w14:textId="77777777" w:rsidR="004E4CC2" w:rsidRDefault="00000000">
            <w:pPr>
              <w:pStyle w:val="Compact"/>
            </w:pPr>
            <w:r>
              <w:t>375.776284</w:t>
            </w:r>
          </w:p>
        </w:tc>
      </w:tr>
      <w:tr w:rsidR="004E4CC2" w14:paraId="632A3FE9" w14:textId="77777777">
        <w:tc>
          <w:tcPr>
            <w:tcW w:w="0" w:type="auto"/>
            <w:gridSpan w:val="2"/>
          </w:tcPr>
          <w:p w14:paraId="3DD9D06F" w14:textId="77777777" w:rsidR="004E4CC2" w:rsidRDefault="00000000">
            <w:pPr>
              <w:pStyle w:val="Compact"/>
            </w:pPr>
            <w:r>
              <w:t>Mehrfamilienhaus</w:t>
            </w:r>
          </w:p>
        </w:tc>
        <w:tc>
          <w:tcPr>
            <w:tcW w:w="0" w:type="auto"/>
            <w:gridSpan w:val="2"/>
          </w:tcPr>
          <w:p w14:paraId="681E081D" w14:textId="77777777" w:rsidR="004E4CC2" w:rsidRDefault="00000000">
            <w:pPr>
              <w:pStyle w:val="Compact"/>
            </w:pPr>
            <w:r>
              <w:t>271.624840</w:t>
            </w:r>
          </w:p>
        </w:tc>
      </w:tr>
      <w:tr w:rsidR="004E4CC2" w14:paraId="5C13B50F" w14:textId="77777777">
        <w:tc>
          <w:tcPr>
            <w:tcW w:w="0" w:type="auto"/>
            <w:gridSpan w:val="2"/>
          </w:tcPr>
          <w:p w14:paraId="66E2C5C1" w14:textId="77777777" w:rsidR="004E4CC2" w:rsidRDefault="00000000">
            <w:pPr>
              <w:pStyle w:val="Compact"/>
            </w:pPr>
            <w:r>
              <w:t>Industrie und Lagerung</w:t>
            </w:r>
          </w:p>
        </w:tc>
        <w:tc>
          <w:tcPr>
            <w:tcW w:w="0" w:type="auto"/>
            <w:gridSpan w:val="2"/>
          </w:tcPr>
          <w:p w14:paraId="24C95D79" w14:textId="77777777" w:rsidR="004E4CC2" w:rsidRDefault="00000000">
            <w:pPr>
              <w:pStyle w:val="Compact"/>
            </w:pPr>
            <w:r>
              <w:t>122.853401</w:t>
            </w:r>
          </w:p>
        </w:tc>
      </w:tr>
      <w:tr w:rsidR="004E4CC2" w14:paraId="23D9A915" w14:textId="77777777">
        <w:tc>
          <w:tcPr>
            <w:tcW w:w="0" w:type="auto"/>
            <w:gridSpan w:val="2"/>
          </w:tcPr>
          <w:p w14:paraId="7B15F2F0" w14:textId="77777777" w:rsidR="004E4CC2" w:rsidRDefault="00000000">
            <w:pPr>
              <w:pStyle w:val="Compact"/>
            </w:pPr>
            <w:r>
              <w:t>Büronutzung</w:t>
            </w:r>
          </w:p>
        </w:tc>
        <w:tc>
          <w:tcPr>
            <w:tcW w:w="0" w:type="auto"/>
            <w:gridSpan w:val="2"/>
          </w:tcPr>
          <w:p w14:paraId="1415D002" w14:textId="77777777" w:rsidR="004E4CC2" w:rsidRDefault="00000000">
            <w:pPr>
              <w:pStyle w:val="Compact"/>
            </w:pPr>
            <w:r>
              <w:t>76.624895</w:t>
            </w:r>
          </w:p>
        </w:tc>
      </w:tr>
      <w:tr w:rsidR="004E4CC2" w14:paraId="13E9B003" w14:textId="77777777">
        <w:tc>
          <w:tcPr>
            <w:tcW w:w="0" w:type="auto"/>
            <w:gridSpan w:val="2"/>
          </w:tcPr>
          <w:p w14:paraId="703841A0" w14:textId="77777777" w:rsidR="004E4CC2" w:rsidRDefault="00000000">
            <w:pPr>
              <w:pStyle w:val="Compact"/>
            </w:pPr>
            <w:r>
              <w:t>Kultur, Freizeit, Bildung und Gesundheit</w:t>
            </w:r>
          </w:p>
        </w:tc>
        <w:tc>
          <w:tcPr>
            <w:tcW w:w="0" w:type="auto"/>
            <w:gridSpan w:val="2"/>
          </w:tcPr>
          <w:p w14:paraId="393A7D67" w14:textId="77777777" w:rsidR="004E4CC2" w:rsidRDefault="00000000">
            <w:pPr>
              <w:pStyle w:val="Compact"/>
            </w:pPr>
            <w:r>
              <w:t>65.894111</w:t>
            </w:r>
          </w:p>
        </w:tc>
      </w:tr>
      <w:tr w:rsidR="004E4CC2" w14:paraId="6E75E0CE" w14:textId="77777777">
        <w:tc>
          <w:tcPr>
            <w:tcW w:w="0" w:type="auto"/>
            <w:gridSpan w:val="2"/>
          </w:tcPr>
          <w:p w14:paraId="07122388" w14:textId="77777777" w:rsidR="004E4CC2" w:rsidRDefault="00000000">
            <w:pPr>
              <w:pStyle w:val="Compact"/>
            </w:pPr>
            <w:r>
              <w:t>Groß- und Einzelhandelsgebäude</w:t>
            </w:r>
          </w:p>
        </w:tc>
        <w:tc>
          <w:tcPr>
            <w:tcW w:w="0" w:type="auto"/>
            <w:gridSpan w:val="2"/>
          </w:tcPr>
          <w:p w14:paraId="5DE9D3F9" w14:textId="77777777" w:rsidR="004E4CC2" w:rsidRDefault="00000000">
            <w:pPr>
              <w:pStyle w:val="Compact"/>
            </w:pPr>
            <w:r>
              <w:t>64.865034</w:t>
            </w:r>
          </w:p>
        </w:tc>
      </w:tr>
      <w:tr w:rsidR="004E4CC2" w14:paraId="46596BEE" w14:textId="77777777">
        <w:tc>
          <w:tcPr>
            <w:tcW w:w="0" w:type="auto"/>
            <w:gridSpan w:val="2"/>
          </w:tcPr>
          <w:p w14:paraId="3B3E2783" w14:textId="77777777" w:rsidR="004E4CC2" w:rsidRDefault="00000000">
            <w:pPr>
              <w:pStyle w:val="Compact"/>
            </w:pPr>
            <w:r>
              <w:t>Hotels o.Ä.</w:t>
            </w:r>
          </w:p>
        </w:tc>
        <w:tc>
          <w:tcPr>
            <w:tcW w:w="0" w:type="auto"/>
            <w:gridSpan w:val="2"/>
          </w:tcPr>
          <w:p w14:paraId="5A7E9CFD" w14:textId="77777777" w:rsidR="004E4CC2" w:rsidRDefault="00000000">
            <w:pPr>
              <w:pStyle w:val="Compact"/>
            </w:pPr>
            <w:r>
              <w:t>51.366923</w:t>
            </w:r>
          </w:p>
        </w:tc>
      </w:tr>
      <w:tr w:rsidR="004E4CC2" w14:paraId="0846702A" w14:textId="77777777">
        <w:tc>
          <w:tcPr>
            <w:tcW w:w="0" w:type="auto"/>
            <w:gridSpan w:val="2"/>
          </w:tcPr>
          <w:p w14:paraId="6F8E5104" w14:textId="77777777" w:rsidR="004E4CC2" w:rsidRDefault="00000000">
            <w:pPr>
              <w:pStyle w:val="Compact"/>
            </w:pPr>
            <w:r>
              <w:t>Gemeinschaftsgebäude</w:t>
            </w:r>
          </w:p>
        </w:tc>
        <w:tc>
          <w:tcPr>
            <w:tcW w:w="0" w:type="auto"/>
            <w:gridSpan w:val="2"/>
          </w:tcPr>
          <w:p w14:paraId="41C6F233" w14:textId="77777777" w:rsidR="004E4CC2" w:rsidRDefault="00000000">
            <w:pPr>
              <w:pStyle w:val="Compact"/>
            </w:pPr>
            <w:r>
              <w:t>17.056024</w:t>
            </w:r>
          </w:p>
        </w:tc>
      </w:tr>
      <w:tr w:rsidR="004E4CC2" w14:paraId="45914A86" w14:textId="77777777">
        <w:tc>
          <w:tcPr>
            <w:tcW w:w="0" w:type="auto"/>
            <w:gridSpan w:val="2"/>
          </w:tcPr>
          <w:p w14:paraId="1149A260" w14:textId="77777777" w:rsidR="004E4CC2" w:rsidRDefault="00000000">
            <w:pPr>
              <w:pStyle w:val="Compact"/>
            </w:pPr>
            <w:r>
              <w:t>Verkehrs- und Nachrichtenwesen</w:t>
            </w:r>
          </w:p>
        </w:tc>
        <w:tc>
          <w:tcPr>
            <w:tcW w:w="0" w:type="auto"/>
            <w:gridSpan w:val="2"/>
          </w:tcPr>
          <w:p w14:paraId="50E6E94F" w14:textId="77777777" w:rsidR="004E4CC2" w:rsidRDefault="00000000">
            <w:pPr>
              <w:pStyle w:val="Compact"/>
            </w:pPr>
            <w:r>
              <w:t>12.873381</w:t>
            </w:r>
          </w:p>
        </w:tc>
      </w:tr>
    </w:tbl>
    <w:p w14:paraId="71E4D3D0" w14:textId="77777777" w:rsidR="004E4CC2" w:rsidRDefault="00000000">
      <w:pPr>
        <w:pStyle w:val="SourceCode"/>
      </w:pPr>
      <w:r>
        <w:rPr>
          <w:rStyle w:val="CommentTok"/>
        </w:rPr>
        <w:t># Statistische BGF nach Bundesland × Hauptnutzung (keine KDE beteiligt)</w:t>
      </w:r>
      <w:r>
        <w:br/>
      </w:r>
      <w:r>
        <w:rPr>
          <w:rStyle w:val="NormalTok"/>
        </w:rPr>
        <w:t xml:space="preserve">by_province_use </w:t>
      </w:r>
      <w:r>
        <w:rPr>
          <w:rStyle w:val="OperatorTok"/>
        </w:rPr>
        <w:t>=</w:t>
      </w:r>
      <w:r>
        <w:rPr>
          <w:rStyle w:val="NormalTok"/>
        </w:rPr>
        <w:t xml:space="preserve"> (targets.pivot_table(index</w:t>
      </w:r>
      <w:r>
        <w:rPr>
          <w:rStyle w:val="OperatorTok"/>
        </w:rPr>
        <w:t>=</w:t>
      </w:r>
      <w:r>
        <w:rPr>
          <w:rStyle w:val="StringTok"/>
        </w:rPr>
        <w:t>"Bundesland"</w:t>
      </w:r>
      <w:r>
        <w:rPr>
          <w:rStyle w:val="NormalTok"/>
        </w:rPr>
        <w:t>, columns</w:t>
      </w:r>
      <w:r>
        <w:rPr>
          <w:rStyle w:val="OperatorTok"/>
        </w:rPr>
        <w:t>=</w:t>
      </w:r>
      <w:r>
        <w:rPr>
          <w:rStyle w:val="StringTok"/>
        </w:rPr>
        <w:t>"GWR_Nutzung"</w:t>
      </w:r>
      <w:r>
        <w:rPr>
          <w:rStyle w:val="NormalTok"/>
        </w:rPr>
        <w:t>,</w:t>
      </w:r>
      <w:r>
        <w:br/>
      </w:r>
      <w:r>
        <w:rPr>
          <w:rStyle w:val="NormalTok"/>
        </w:rPr>
        <w:t xml:space="preserve">                values</w:t>
      </w:r>
      <w:r>
        <w:rPr>
          <w:rStyle w:val="OperatorTok"/>
        </w:rPr>
        <w:t>=</w:t>
      </w:r>
      <w:r>
        <w:rPr>
          <w:rStyle w:val="StringTok"/>
        </w:rPr>
        <w:t>"BGF_target_m2"</w:t>
      </w:r>
      <w:r>
        <w:rPr>
          <w:rStyle w:val="NormalTok"/>
        </w:rPr>
        <w:t>, aggfunc</w:t>
      </w:r>
      <w:r>
        <w:rPr>
          <w:rStyle w:val="OperatorTok"/>
        </w:rPr>
        <w:t>=</w:t>
      </w:r>
      <w:r>
        <w:rPr>
          <w:rStyle w:val="StringTok"/>
        </w:rPr>
        <w:t>"sum"</w:t>
      </w:r>
      <w:r>
        <w:rPr>
          <w:rStyle w:val="NormalTok"/>
        </w:rPr>
        <w:t>, fill_value</w:t>
      </w:r>
      <w:r>
        <w:rPr>
          <w:rStyle w:val="OperatorTok"/>
        </w:rPr>
        <w:t>=</w:t>
      </w:r>
      <w:r>
        <w:rPr>
          <w:rStyle w:val="DecValTok"/>
        </w:rPr>
        <w:t>0</w:t>
      </w:r>
      <w:r>
        <w:rPr>
          <w:rStyle w:val="NormalTok"/>
        </w:rPr>
        <w:t>)</w:t>
      </w:r>
      <w:r>
        <w:br/>
      </w:r>
      <w:r>
        <w:rPr>
          <w:rStyle w:val="NormalTok"/>
        </w:rPr>
        <w:t xml:space="preserve">            .reindex(index</w:t>
      </w:r>
      <w:r>
        <w:rPr>
          <w:rStyle w:val="OperatorTok"/>
        </w:rPr>
        <w:t>=</w:t>
      </w:r>
      <w:r>
        <w:rPr>
          <w:rStyle w:val="NormalTok"/>
        </w:rPr>
        <w:t>PROVINCES, columns</w:t>
      </w:r>
      <w:r>
        <w:rPr>
          <w:rStyle w:val="OperatorTok"/>
        </w:rPr>
        <w:t>=</w:t>
      </w:r>
      <w:r>
        <w:rPr>
          <w:rStyle w:val="NormalTok"/>
        </w:rPr>
        <w:t>PLOT_USE_ORDER, fill_value</w:t>
      </w:r>
      <w:r>
        <w:rPr>
          <w:rStyle w:val="OperatorTok"/>
        </w:rPr>
        <w:t>=</w:t>
      </w:r>
      <w:r>
        <w:rPr>
          <w:rStyle w:val="DecValTok"/>
        </w:rPr>
        <w:t>0</w:t>
      </w:r>
      <w:r>
        <w:rPr>
          <w:rStyle w:val="NormalTok"/>
        </w:rPr>
        <w:t xml:space="preserve">) </w:t>
      </w:r>
      <w:r>
        <w:rPr>
          <w:rStyle w:val="OperatorTok"/>
        </w:rPr>
        <w:t>/</w:t>
      </w:r>
      <w:r>
        <w:rPr>
          <w:rStyle w:val="NormalTok"/>
        </w:rPr>
        <w:t xml:space="preserve"> </w:t>
      </w:r>
      <w:r>
        <w:rPr>
          <w:rStyle w:val="FloatTok"/>
        </w:rPr>
        <w:t>1e6</w:t>
      </w:r>
      <w:r>
        <w:rPr>
          <w:rStyle w:val="NormalTok"/>
        </w:rPr>
        <w:t>)</w:t>
      </w:r>
      <w:r>
        <w:br/>
      </w:r>
      <w:r>
        <w:rPr>
          <w:rStyle w:val="NormalTok"/>
        </w:rPr>
        <w:t xml:space="preserve">fig, ax </w:t>
      </w:r>
      <w:r>
        <w:rPr>
          <w:rStyle w:val="OperatorTok"/>
        </w:rPr>
        <w:t>=</w:t>
      </w:r>
      <w:r>
        <w:rPr>
          <w:rStyle w:val="NormalTok"/>
        </w:rPr>
        <w:t xml:space="preserve"> plt.subplots(figsize</w:t>
      </w:r>
      <w:r>
        <w:rPr>
          <w:rStyle w:val="OperatorTok"/>
        </w:rPr>
        <w:t>=</w:t>
      </w:r>
      <w:r>
        <w:rPr>
          <w:rStyle w:val="NormalTok"/>
        </w:rPr>
        <w:t>(</w:t>
      </w:r>
      <w:r>
        <w:rPr>
          <w:rStyle w:val="DecValTok"/>
        </w:rPr>
        <w:t>13</w:t>
      </w:r>
      <w:r>
        <w:rPr>
          <w:rStyle w:val="NormalTok"/>
        </w:rPr>
        <w:t xml:space="preserve">, </w:t>
      </w:r>
      <w:r>
        <w:rPr>
          <w:rStyle w:val="FloatTok"/>
        </w:rPr>
        <w:t>6.5</w:t>
      </w:r>
      <w:r>
        <w:rPr>
          <w:rStyle w:val="NormalTok"/>
        </w:rPr>
        <w:t>), layout</w:t>
      </w:r>
      <w:r>
        <w:rPr>
          <w:rStyle w:val="OperatorTok"/>
        </w:rPr>
        <w:t>=</w:t>
      </w:r>
      <w:r>
        <w:rPr>
          <w:rStyle w:val="StringTok"/>
        </w:rPr>
        <w:t>"constrained"</w:t>
      </w:r>
      <w:r>
        <w:rPr>
          <w:rStyle w:val="NormalTok"/>
        </w:rPr>
        <w:t>)</w:t>
      </w:r>
      <w:r>
        <w:br/>
      </w:r>
      <w:r>
        <w:rPr>
          <w:rStyle w:val="NormalTok"/>
        </w:rPr>
        <w:t xml:space="preserve">left </w:t>
      </w:r>
      <w:r>
        <w:rPr>
          <w:rStyle w:val="OperatorTok"/>
        </w:rPr>
        <w:t>=</w:t>
      </w:r>
      <w:r>
        <w:rPr>
          <w:rStyle w:val="NormalTok"/>
        </w:rPr>
        <w:t xml:space="preserve"> np.zeros(</w:t>
      </w:r>
      <w:r>
        <w:rPr>
          <w:rStyle w:val="BuiltInTok"/>
        </w:rPr>
        <w:t>len</w:t>
      </w:r>
      <w:r>
        <w:rPr>
          <w:rStyle w:val="NormalTok"/>
        </w:rPr>
        <w:t>(PROVINCES))</w:t>
      </w:r>
      <w:r>
        <w:br/>
      </w:r>
      <w:r>
        <w:rPr>
          <w:rStyle w:val="ControlFlowTok"/>
        </w:rPr>
        <w:t>for</w:t>
      </w:r>
      <w:r>
        <w:rPr>
          <w:rStyle w:val="NormalTok"/>
        </w:rPr>
        <w:t xml:space="preserve"> usage </w:t>
      </w:r>
      <w:r>
        <w:rPr>
          <w:rStyle w:val="KeywordTok"/>
        </w:rPr>
        <w:t>in</w:t>
      </w:r>
      <w:r>
        <w:rPr>
          <w:rStyle w:val="NormalTok"/>
        </w:rPr>
        <w:t xml:space="preserve"> PLOT_USE_ORDER:</w:t>
      </w:r>
      <w:r>
        <w:br/>
      </w:r>
      <w:r>
        <w:rPr>
          <w:rStyle w:val="NormalTok"/>
        </w:rPr>
        <w:t xml:space="preserve">    vals </w:t>
      </w:r>
      <w:r>
        <w:rPr>
          <w:rStyle w:val="OperatorTok"/>
        </w:rPr>
        <w:t>=</w:t>
      </w:r>
      <w:r>
        <w:rPr>
          <w:rStyle w:val="NormalTok"/>
        </w:rPr>
        <w:t xml:space="preserve"> by_province_use[usage].to_numpy()</w:t>
      </w:r>
      <w:r>
        <w:br/>
      </w:r>
      <w:r>
        <w:rPr>
          <w:rStyle w:val="NormalTok"/>
        </w:rPr>
        <w:t xml:space="preserve">    ax.barh(PROVINCES, vals, left</w:t>
      </w:r>
      <w:r>
        <w:rPr>
          <w:rStyle w:val="OperatorTok"/>
        </w:rPr>
        <w:t>=</w:t>
      </w:r>
      <w:r>
        <w:rPr>
          <w:rStyle w:val="NormalTok"/>
        </w:rPr>
        <w:t>left, label</w:t>
      </w:r>
      <w:r>
        <w:rPr>
          <w:rStyle w:val="OperatorTok"/>
        </w:rPr>
        <w:t>=</w:t>
      </w:r>
      <w:r>
        <w:rPr>
          <w:rStyle w:val="NormalTok"/>
        </w:rPr>
        <w:t>usage, color</w:t>
      </w:r>
      <w:r>
        <w:rPr>
          <w:rStyle w:val="OperatorTok"/>
        </w:rPr>
        <w:t>=</w:t>
      </w:r>
      <w:r>
        <w:rPr>
          <w:rStyle w:val="NormalTok"/>
        </w:rPr>
        <w:t>COLORS[usage],</w:t>
      </w:r>
      <w:r>
        <w:br/>
      </w:r>
      <w:r>
        <w:rPr>
          <w:rStyle w:val="NormalTok"/>
        </w:rPr>
        <w:t xml:space="preserve">            height</w:t>
      </w:r>
      <w:r>
        <w:rPr>
          <w:rStyle w:val="OperatorTok"/>
        </w:rPr>
        <w:t>=</w:t>
      </w:r>
      <w:r>
        <w:rPr>
          <w:rStyle w:val="FloatTok"/>
        </w:rPr>
        <w:t>.75</w:t>
      </w:r>
      <w:r>
        <w:rPr>
          <w:rStyle w:val="NormalTok"/>
        </w:rPr>
        <w:t>, edgecolor</w:t>
      </w:r>
      <w:r>
        <w:rPr>
          <w:rStyle w:val="OperatorTok"/>
        </w:rPr>
        <w:t>=</w:t>
      </w:r>
      <w:r>
        <w:rPr>
          <w:rStyle w:val="StringTok"/>
        </w:rPr>
        <w:t>"white"</w:t>
      </w:r>
      <w:r>
        <w:rPr>
          <w:rStyle w:val="NormalTok"/>
        </w:rPr>
        <w:t>, linewidth</w:t>
      </w:r>
      <w:r>
        <w:rPr>
          <w:rStyle w:val="OperatorTok"/>
        </w:rPr>
        <w:t>=</w:t>
      </w:r>
      <w:r>
        <w:rPr>
          <w:rStyle w:val="FloatTok"/>
        </w:rPr>
        <w:t>.25</w:t>
      </w:r>
      <w:r>
        <w:rPr>
          <w:rStyle w:val="NormalTok"/>
        </w:rPr>
        <w:t>)</w:t>
      </w:r>
      <w:r>
        <w:br/>
      </w:r>
      <w:r>
        <w:rPr>
          <w:rStyle w:val="NormalTok"/>
        </w:rPr>
        <w:t xml:space="preserve">    left </w:t>
      </w:r>
      <w:r>
        <w:rPr>
          <w:rStyle w:val="OperatorTok"/>
        </w:rPr>
        <w:t>+=</w:t>
      </w:r>
      <w:r>
        <w:rPr>
          <w:rStyle w:val="NormalTok"/>
        </w:rPr>
        <w:t xml:space="preserve"> vals</w:t>
      </w:r>
      <w:r>
        <w:br/>
      </w:r>
      <w:r>
        <w:rPr>
          <w:rStyle w:val="CommentTok"/>
        </w:rPr>
        <w:t># Gesamtsummen neben den Balken</w:t>
      </w:r>
      <w:r>
        <w:br/>
      </w:r>
      <w:r>
        <w:rPr>
          <w:rStyle w:val="ControlFlowTok"/>
        </w:rPr>
        <w:t>for</w:t>
      </w:r>
      <w:r>
        <w:rPr>
          <w:rStyle w:val="NormalTok"/>
        </w:rPr>
        <w:t xml:space="preserve"> y, total </w:t>
      </w:r>
      <w:r>
        <w:rPr>
          <w:rStyle w:val="KeywordTok"/>
        </w:rPr>
        <w:t>in</w:t>
      </w:r>
      <w:r>
        <w:rPr>
          <w:rStyle w:val="NormalTok"/>
        </w:rPr>
        <w:t xml:space="preserve"> </w:t>
      </w:r>
      <w:r>
        <w:rPr>
          <w:rStyle w:val="BuiltInTok"/>
        </w:rPr>
        <w:t>enumerate</w:t>
      </w:r>
      <w:r>
        <w:rPr>
          <w:rStyle w:val="NormalTok"/>
        </w:rPr>
        <w:t>(left):</w:t>
      </w:r>
      <w:r>
        <w:br/>
      </w:r>
      <w:r>
        <w:rPr>
          <w:rStyle w:val="NormalTok"/>
        </w:rPr>
        <w:t xml:space="preserve">    ax.text(total </w:t>
      </w:r>
      <w:r>
        <w:rPr>
          <w:rStyle w:val="OperatorTok"/>
        </w:rPr>
        <w:t>+</w:t>
      </w:r>
      <w:r>
        <w:rPr>
          <w:rStyle w:val="NormalTok"/>
        </w:rPr>
        <w:t xml:space="preserve"> </w:t>
      </w:r>
      <w:r>
        <w:rPr>
          <w:rStyle w:val="DecValTok"/>
        </w:rPr>
        <w:t>2</w:t>
      </w:r>
      <w:r>
        <w:rPr>
          <w:rStyle w:val="NormalTok"/>
        </w:rPr>
        <w:t xml:space="preserve">, y, </w:t>
      </w:r>
      <w:r>
        <w:rPr>
          <w:rStyle w:val="SpecialStringTok"/>
        </w:rPr>
        <w:t>f"</w:t>
      </w:r>
      <w:r>
        <w:rPr>
          <w:rStyle w:val="SpecialCharTok"/>
        </w:rPr>
        <w:t>{</w:t>
      </w:r>
      <w:r>
        <w:rPr>
          <w:rStyle w:val="NormalTok"/>
        </w:rPr>
        <w:t>total</w:t>
      </w:r>
      <w:r>
        <w:rPr>
          <w:rStyle w:val="SpecialCharTok"/>
        </w:rPr>
        <w:t>:,.1f}</w:t>
      </w:r>
      <w:r>
        <w:rPr>
          <w:rStyle w:val="SpecialStringTok"/>
        </w:rPr>
        <w:t>"</w:t>
      </w:r>
      <w:r>
        <w:rPr>
          <w:rStyle w:val="NormalTok"/>
        </w:rPr>
        <w:t>, fontsize</w:t>
      </w:r>
      <w:r>
        <w:rPr>
          <w:rStyle w:val="OperatorTok"/>
        </w:rPr>
        <w:t>=</w:t>
      </w:r>
      <w:r>
        <w:rPr>
          <w:rStyle w:val="DecValTok"/>
        </w:rPr>
        <w:t>8</w:t>
      </w:r>
      <w:r>
        <w:rPr>
          <w:rStyle w:val="NormalTok"/>
        </w:rPr>
        <w:t>, va</w:t>
      </w:r>
      <w:r>
        <w:rPr>
          <w:rStyle w:val="OperatorTok"/>
        </w:rPr>
        <w:t>=</w:t>
      </w:r>
      <w:r>
        <w:rPr>
          <w:rStyle w:val="StringTok"/>
        </w:rPr>
        <w:t>"center"</w:t>
      </w:r>
      <w:r>
        <w:rPr>
          <w:rStyle w:val="NormalTok"/>
        </w:rPr>
        <w:t>)</w:t>
      </w:r>
      <w:r>
        <w:br/>
      </w:r>
      <w:r>
        <w:rPr>
          <w:rStyle w:val="NormalTok"/>
        </w:rPr>
        <w:t>ax.set_xlim(</w:t>
      </w:r>
      <w:r>
        <w:rPr>
          <w:rStyle w:val="DecValTok"/>
        </w:rPr>
        <w:t>0</w:t>
      </w:r>
      <w:r>
        <w:rPr>
          <w:rStyle w:val="NormalTok"/>
        </w:rPr>
        <w:t xml:space="preserve">, </w:t>
      </w:r>
      <w:r>
        <w:rPr>
          <w:rStyle w:val="BuiltInTok"/>
        </w:rPr>
        <w:t>max</w:t>
      </w:r>
      <w:r>
        <w:rPr>
          <w:rStyle w:val="NormalTok"/>
        </w:rPr>
        <w:t xml:space="preserve">(left) </w:t>
      </w:r>
      <w:r>
        <w:rPr>
          <w:rStyle w:val="OperatorTok"/>
        </w:rPr>
        <w:t>*</w:t>
      </w:r>
      <w:r>
        <w:rPr>
          <w:rStyle w:val="NormalTok"/>
        </w:rPr>
        <w:t xml:space="preserve"> </w:t>
      </w:r>
      <w:r>
        <w:rPr>
          <w:rStyle w:val="FloatTok"/>
        </w:rPr>
        <w:t>1.17</w:t>
      </w:r>
      <w:r>
        <w:rPr>
          <w:rStyle w:val="NormalTok"/>
        </w:rPr>
        <w:t>)</w:t>
      </w:r>
      <w:r>
        <w:br/>
      </w:r>
      <w:r>
        <w:rPr>
          <w:rStyle w:val="NormalTok"/>
        </w:rPr>
        <w:t>ax.</w:t>
      </w:r>
      <w:r>
        <w:rPr>
          <w:rStyle w:val="BuiltInTok"/>
        </w:rPr>
        <w:t>set</w:t>
      </w:r>
      <w:r>
        <w:rPr>
          <w:rStyle w:val="NormalTok"/>
        </w:rPr>
        <w:t>(xlabel</w:t>
      </w:r>
      <w:r>
        <w:rPr>
          <w:rStyle w:val="OperatorTok"/>
        </w:rPr>
        <w:t>=</w:t>
      </w:r>
      <w:r>
        <w:rPr>
          <w:rStyle w:val="StringTok"/>
        </w:rPr>
        <w:t>"BGF [Mio. m²]"</w:t>
      </w:r>
      <w:r>
        <w:rPr>
          <w:rStyle w:val="NormalTok"/>
        </w:rPr>
        <w:t>, ylabel</w:t>
      </w:r>
      <w:r>
        <w:rPr>
          <w:rStyle w:val="OperatorTok"/>
        </w:rPr>
        <w:t>=</w:t>
      </w:r>
      <w:r>
        <w:rPr>
          <w:rStyle w:val="StringTok"/>
        </w:rPr>
        <w:t>"Bundesland"</w:t>
      </w:r>
      <w:r>
        <w:rPr>
          <w:rStyle w:val="NormalTok"/>
        </w:rPr>
        <w:t>)</w:t>
      </w:r>
      <w:r>
        <w:br/>
      </w:r>
      <w:r>
        <w:rPr>
          <w:rStyle w:val="NormalTok"/>
        </w:rPr>
        <w:t>ax.invert_yaxis()</w:t>
      </w:r>
      <w:r>
        <w:br/>
      </w:r>
      <w:r>
        <w:rPr>
          <w:rStyle w:val="NormalTok"/>
        </w:rPr>
        <w:t>ax.grid(axis</w:t>
      </w:r>
      <w:r>
        <w:rPr>
          <w:rStyle w:val="OperatorTok"/>
        </w:rPr>
        <w:t>=</w:t>
      </w:r>
      <w:r>
        <w:rPr>
          <w:rStyle w:val="StringTok"/>
        </w:rPr>
        <w:t>"x"</w:t>
      </w:r>
      <w:r>
        <w:rPr>
          <w:rStyle w:val="NormalTok"/>
        </w:rPr>
        <w:t>, alpha</w:t>
      </w:r>
      <w:r>
        <w:rPr>
          <w:rStyle w:val="OperatorTok"/>
        </w:rPr>
        <w:t>=</w:t>
      </w:r>
      <w:r>
        <w:rPr>
          <w:rStyle w:val="FloatTok"/>
        </w:rPr>
        <w:t>.18</w:t>
      </w:r>
      <w:r>
        <w:rPr>
          <w:rStyle w:val="NormalTok"/>
        </w:rPr>
        <w:t>)</w:t>
      </w:r>
      <w:r>
        <w:br/>
      </w:r>
      <w:r>
        <w:rPr>
          <w:rStyle w:val="NormalTok"/>
        </w:rPr>
        <w:t>ax.set_axisbelow(</w:t>
      </w:r>
      <w:r>
        <w:rPr>
          <w:rStyle w:val="VariableTok"/>
        </w:rPr>
        <w:t>True</w:t>
      </w:r>
      <w:r>
        <w:rPr>
          <w:rStyle w:val="NormalTok"/>
        </w:rPr>
        <w:t>)</w:t>
      </w:r>
      <w:r>
        <w:br/>
      </w:r>
      <w:r>
        <w:rPr>
          <w:rStyle w:val="NormalTok"/>
        </w:rPr>
        <w:t>ax.legend(title</w:t>
      </w:r>
      <w:r>
        <w:rPr>
          <w:rStyle w:val="OperatorTok"/>
        </w:rPr>
        <w:t>=</w:t>
      </w:r>
      <w:r>
        <w:rPr>
          <w:rStyle w:val="StringTok"/>
        </w:rPr>
        <w:t>"Hauptnutzung"</w:t>
      </w:r>
      <w:r>
        <w:rPr>
          <w:rStyle w:val="NormalTok"/>
        </w:rPr>
        <w:t>, loc</w:t>
      </w:r>
      <w:r>
        <w:rPr>
          <w:rStyle w:val="OperatorTok"/>
        </w:rPr>
        <w:t>=</w:t>
      </w:r>
      <w:r>
        <w:rPr>
          <w:rStyle w:val="StringTok"/>
        </w:rPr>
        <w:t>"upper left"</w:t>
      </w:r>
      <w:r>
        <w:rPr>
          <w:rStyle w:val="NormalTok"/>
        </w:rPr>
        <w:t>, bbox_to_anchor</w:t>
      </w:r>
      <w:r>
        <w:rPr>
          <w:rStyle w:val="OperatorTok"/>
        </w:rPr>
        <w:t>=</w:t>
      </w:r>
      <w:r>
        <w:rPr>
          <w:rStyle w:val="NormalTok"/>
        </w:rPr>
        <w:t>(</w:t>
      </w:r>
      <w:r>
        <w:rPr>
          <w:rStyle w:val="FloatTok"/>
        </w:rPr>
        <w:t>1.01</w:t>
      </w:r>
      <w:r>
        <w:rPr>
          <w:rStyle w:val="NormalTok"/>
        </w:rPr>
        <w:t xml:space="preserve">, </w:t>
      </w:r>
      <w:r>
        <w:rPr>
          <w:rStyle w:val="DecValTok"/>
        </w:rPr>
        <w:t>1</w:t>
      </w:r>
      <w:r>
        <w:rPr>
          <w:rStyle w:val="NormalTok"/>
        </w:rPr>
        <w:t>), fontsize</w:t>
      </w:r>
      <w:r>
        <w:rPr>
          <w:rStyle w:val="OperatorTok"/>
        </w:rPr>
        <w:t>=</w:t>
      </w:r>
      <w:r>
        <w:rPr>
          <w:rStyle w:val="DecValTok"/>
        </w:rPr>
        <w:t>8</w:t>
      </w:r>
      <w:r>
        <w:rPr>
          <w:rStyle w:val="NormalTok"/>
        </w:rPr>
        <w:t>)</w:t>
      </w:r>
      <w:r>
        <w:br/>
      </w:r>
      <w:r>
        <w:rPr>
          <w:rStyle w:val="NormalTok"/>
        </w:rPr>
        <w:t xml:space="preserve">fig.savefig(OUT </w:t>
      </w:r>
      <w:r>
        <w:rPr>
          <w:rStyle w:val="OperatorTok"/>
        </w:rPr>
        <w:t>/</w:t>
      </w:r>
      <w:r>
        <w:rPr>
          <w:rStyle w:val="NormalTok"/>
        </w:rPr>
        <w:t xml:space="preserve"> </w:t>
      </w:r>
      <w:r>
        <w:rPr>
          <w:rStyle w:val="StringTok"/>
        </w:rPr>
        <w:t>"gfz_statistik_bgf_bundeslaender.png"</w:t>
      </w:r>
      <w:r>
        <w:rPr>
          <w:rStyle w:val="NormalTok"/>
        </w:rPr>
        <w:t>, dpi</w:t>
      </w:r>
      <w:r>
        <w:rPr>
          <w:rStyle w:val="OperatorTok"/>
        </w:rPr>
        <w:t>=</w:t>
      </w:r>
      <w:r>
        <w:rPr>
          <w:rStyle w:val="DecValTok"/>
        </w:rPr>
        <w:t>180</w:t>
      </w:r>
      <w:r>
        <w:rPr>
          <w:rStyle w:val="NormalTok"/>
        </w:rPr>
        <w:t>, bbox_inches</w:t>
      </w:r>
      <w:r>
        <w:rPr>
          <w:rStyle w:val="OperatorTok"/>
        </w:rPr>
        <w:t>=</w:t>
      </w:r>
      <w:r>
        <w:rPr>
          <w:rStyle w:val="StringTok"/>
        </w:rPr>
        <w:t>"tight"</w:t>
      </w:r>
      <w:r>
        <w:rPr>
          <w:rStyle w:val="NormalTok"/>
        </w:rPr>
        <w:t>)</w:t>
      </w:r>
      <w:r>
        <w:br/>
      </w:r>
      <w:r>
        <w:rPr>
          <w:rStyle w:val="NormalTok"/>
        </w:rPr>
        <w:t>plt.show()</w:t>
      </w:r>
    </w:p>
    <w:tbl>
      <w:tblPr>
        <w:tblStyle w:val="Table"/>
        <w:tblW w:w="5000" w:type="pct"/>
        <w:tblLayout w:type="fixed"/>
        <w:tblLook w:val="0000" w:firstRow="0" w:lastRow="0" w:firstColumn="0" w:lastColumn="0" w:noHBand="0" w:noVBand="0"/>
      </w:tblPr>
      <w:tblGrid>
        <w:gridCol w:w="9622"/>
      </w:tblGrid>
      <w:tr w:rsidR="004E4CC2" w14:paraId="7D4FBEEF" w14:textId="77777777">
        <w:tc>
          <w:tcPr>
            <w:tcW w:w="7920" w:type="dxa"/>
          </w:tcPr>
          <w:p w14:paraId="729ECA4C" w14:textId="77777777" w:rsidR="004E4CC2" w:rsidRDefault="00000000">
            <w:pPr>
              <w:pStyle w:val="Compact"/>
              <w:jc w:val="center"/>
            </w:pPr>
            <w:bookmarkStart w:id="339" w:name="fig-gfz-statistik-bundesland"/>
            <w:r>
              <w:rPr>
                <w:noProof/>
              </w:rPr>
              <w:lastRenderedPageBreak/>
              <w:drawing>
                <wp:inline distT="0" distB="0" distL="0" distR="0" wp14:anchorId="4CA4A441" wp14:editId="633E229C">
                  <wp:extent cx="5334000" cy="2689041"/>
                  <wp:effectExtent l="0" t="0" r="0" b="0"/>
                  <wp:docPr id="349" name="Picture"/>
                  <wp:cNvGraphicFramePr/>
                  <a:graphic xmlns:a="http://schemas.openxmlformats.org/drawingml/2006/main">
                    <a:graphicData uri="http://schemas.openxmlformats.org/drawingml/2006/picture">
                      <pic:pic xmlns:pic="http://schemas.openxmlformats.org/drawingml/2006/picture">
                        <pic:nvPicPr>
                          <pic:cNvPr id="350" name="Picture" descr="Berechnungen\gfz_at/GFZ_AT_Analyse_Anhang_files/figure-docx/fig-gfz-statistik-bundesland-output-1.png"/>
                          <pic:cNvPicPr>
                            <a:picLocks noChangeAspect="1" noChangeArrowheads="1"/>
                          </pic:cNvPicPr>
                        </pic:nvPicPr>
                        <pic:blipFill>
                          <a:blip r:embed="rId70"/>
                          <a:stretch>
                            <a:fillRect/>
                          </a:stretch>
                        </pic:blipFill>
                        <pic:spPr bwMode="auto">
                          <a:xfrm>
                            <a:off x="0" y="0"/>
                            <a:ext cx="5334000" cy="2689041"/>
                          </a:xfrm>
                          <a:prstGeom prst="rect">
                            <a:avLst/>
                          </a:prstGeom>
                          <a:noFill/>
                          <a:ln w="9525">
                            <a:noFill/>
                            <a:headEnd/>
                            <a:tailEnd/>
                          </a:ln>
                        </pic:spPr>
                      </pic:pic>
                    </a:graphicData>
                  </a:graphic>
                </wp:inline>
              </w:drawing>
            </w:r>
          </w:p>
          <w:p w14:paraId="50C3A9A3" w14:textId="77777777" w:rsidR="004E4CC2" w:rsidRDefault="00000000">
            <w:pPr>
              <w:pStyle w:val="ImageCaption"/>
              <w:spacing w:before="200"/>
            </w:pPr>
            <w:r>
              <w:t>Abbildung D.3: Statistisch verankerte Bruttogrundfläche 2021 nach Bundesland und Gebäudehauptnutzung. Die BGF wird aus der statistischen NGF mit NGF/BGF = 0,8 abgeleitet; gestapelte Balken, absolute Flächen in Mio. m².</w:t>
            </w:r>
          </w:p>
        </w:tc>
        <w:bookmarkEnd w:id="339"/>
      </w:tr>
    </w:tbl>
    <w:p w14:paraId="775CC62A" w14:textId="77777777" w:rsidR="004E4CC2" w:rsidRDefault="00000000">
      <w:pPr>
        <w:pStyle w:val="SourceCode"/>
      </w:pPr>
      <w:r>
        <w:rPr>
          <w:rStyle w:val="CommentTok"/>
        </w:rPr>
        <w:t># Statistische BGF nach Geschossklasse × Hauptnutzung (keine GFZ-Modellierung beteiligt)</w:t>
      </w:r>
      <w:r>
        <w:br/>
      </w:r>
      <w:r>
        <w:rPr>
          <w:rStyle w:val="NormalTok"/>
        </w:rPr>
        <w:t xml:space="preserve">by_gk_use </w:t>
      </w:r>
      <w:r>
        <w:rPr>
          <w:rStyle w:val="OperatorTok"/>
        </w:rPr>
        <w:t>=</w:t>
      </w:r>
      <w:r>
        <w:rPr>
          <w:rStyle w:val="NormalTok"/>
        </w:rPr>
        <w:t xml:space="preserve"> (targets.pivot_table(index</w:t>
      </w:r>
      <w:r>
        <w:rPr>
          <w:rStyle w:val="OperatorTok"/>
        </w:rPr>
        <w:t>=</w:t>
      </w:r>
      <w:r>
        <w:rPr>
          <w:rStyle w:val="StringTok"/>
        </w:rPr>
        <w:t>"GK"</w:t>
      </w:r>
      <w:r>
        <w:rPr>
          <w:rStyle w:val="NormalTok"/>
        </w:rPr>
        <w:t>, columns</w:t>
      </w:r>
      <w:r>
        <w:rPr>
          <w:rStyle w:val="OperatorTok"/>
        </w:rPr>
        <w:t>=</w:t>
      </w:r>
      <w:r>
        <w:rPr>
          <w:rStyle w:val="StringTok"/>
        </w:rPr>
        <w:t>"GWR_Nutzung"</w:t>
      </w:r>
      <w:r>
        <w:rPr>
          <w:rStyle w:val="NormalTok"/>
        </w:rPr>
        <w:t>,</w:t>
      </w:r>
      <w:r>
        <w:br/>
      </w:r>
      <w:r>
        <w:rPr>
          <w:rStyle w:val="NormalTok"/>
        </w:rPr>
        <w:t xml:space="preserve">                values</w:t>
      </w:r>
      <w:r>
        <w:rPr>
          <w:rStyle w:val="OperatorTok"/>
        </w:rPr>
        <w:t>=</w:t>
      </w:r>
      <w:r>
        <w:rPr>
          <w:rStyle w:val="StringTok"/>
        </w:rPr>
        <w:t>"BGF_target_m2"</w:t>
      </w:r>
      <w:r>
        <w:rPr>
          <w:rStyle w:val="NormalTok"/>
        </w:rPr>
        <w:t>, aggfunc</w:t>
      </w:r>
      <w:r>
        <w:rPr>
          <w:rStyle w:val="OperatorTok"/>
        </w:rPr>
        <w:t>=</w:t>
      </w:r>
      <w:r>
        <w:rPr>
          <w:rStyle w:val="StringTok"/>
        </w:rPr>
        <w:t>"sum"</w:t>
      </w:r>
      <w:r>
        <w:rPr>
          <w:rStyle w:val="NormalTok"/>
        </w:rPr>
        <w:t>, fill_value</w:t>
      </w:r>
      <w:r>
        <w:rPr>
          <w:rStyle w:val="OperatorTok"/>
        </w:rPr>
        <w:t>=</w:t>
      </w:r>
      <w:r>
        <w:rPr>
          <w:rStyle w:val="DecValTok"/>
        </w:rPr>
        <w:t>0</w:t>
      </w:r>
      <w:r>
        <w:rPr>
          <w:rStyle w:val="NormalTok"/>
        </w:rPr>
        <w:t>)</w:t>
      </w:r>
      <w:r>
        <w:br/>
      </w:r>
      <w:r>
        <w:rPr>
          <w:rStyle w:val="NormalTok"/>
        </w:rPr>
        <w:t xml:space="preserve">           .reindex(index</w:t>
      </w:r>
      <w:r>
        <w:rPr>
          <w:rStyle w:val="OperatorTok"/>
        </w:rPr>
        <w:t>=</w:t>
      </w:r>
      <w:r>
        <w:rPr>
          <w:rStyle w:val="NormalTok"/>
        </w:rPr>
        <w:t>STOREYS, columns</w:t>
      </w:r>
      <w:r>
        <w:rPr>
          <w:rStyle w:val="OperatorTok"/>
        </w:rPr>
        <w:t>=</w:t>
      </w:r>
      <w:r>
        <w:rPr>
          <w:rStyle w:val="NormalTok"/>
        </w:rPr>
        <w:t>PLOT_USE_ORDER, fill_value</w:t>
      </w:r>
      <w:r>
        <w:rPr>
          <w:rStyle w:val="OperatorTok"/>
        </w:rPr>
        <w:t>=</w:t>
      </w:r>
      <w:r>
        <w:rPr>
          <w:rStyle w:val="DecValTok"/>
        </w:rPr>
        <w:t>0</w:t>
      </w:r>
      <w:r>
        <w:rPr>
          <w:rStyle w:val="NormalTok"/>
        </w:rPr>
        <w:t xml:space="preserve">) </w:t>
      </w:r>
      <w:r>
        <w:rPr>
          <w:rStyle w:val="OperatorTok"/>
        </w:rPr>
        <w:t>/</w:t>
      </w:r>
      <w:r>
        <w:rPr>
          <w:rStyle w:val="NormalTok"/>
        </w:rPr>
        <w:t xml:space="preserve"> </w:t>
      </w:r>
      <w:r>
        <w:rPr>
          <w:rStyle w:val="FloatTok"/>
        </w:rPr>
        <w:t>1e6</w:t>
      </w:r>
      <w:r>
        <w:rPr>
          <w:rStyle w:val="NormalTok"/>
        </w:rPr>
        <w:t>)</w:t>
      </w:r>
      <w:r>
        <w:br/>
      </w:r>
      <w:r>
        <w:rPr>
          <w:rStyle w:val="NormalTok"/>
        </w:rPr>
        <w:t xml:space="preserve">fig, ax </w:t>
      </w:r>
      <w:r>
        <w:rPr>
          <w:rStyle w:val="OperatorTok"/>
        </w:rPr>
        <w:t>=</w:t>
      </w:r>
      <w:r>
        <w:rPr>
          <w:rStyle w:val="NormalTok"/>
        </w:rPr>
        <w:t xml:space="preserve"> plt.subplots(figsize</w:t>
      </w:r>
      <w:r>
        <w:rPr>
          <w:rStyle w:val="OperatorTok"/>
        </w:rPr>
        <w:t>=</w:t>
      </w:r>
      <w:r>
        <w:rPr>
          <w:rStyle w:val="NormalTok"/>
        </w:rPr>
        <w:t>(</w:t>
      </w:r>
      <w:r>
        <w:rPr>
          <w:rStyle w:val="DecValTok"/>
        </w:rPr>
        <w:t>12</w:t>
      </w:r>
      <w:r>
        <w:rPr>
          <w:rStyle w:val="NormalTok"/>
        </w:rPr>
        <w:t xml:space="preserve">, </w:t>
      </w:r>
      <w:r>
        <w:rPr>
          <w:rStyle w:val="FloatTok"/>
        </w:rPr>
        <w:t>5.5</w:t>
      </w:r>
      <w:r>
        <w:rPr>
          <w:rStyle w:val="NormalTok"/>
        </w:rPr>
        <w:t>), layout</w:t>
      </w:r>
      <w:r>
        <w:rPr>
          <w:rStyle w:val="OperatorTok"/>
        </w:rPr>
        <w:t>=</w:t>
      </w:r>
      <w:r>
        <w:rPr>
          <w:rStyle w:val="StringTok"/>
        </w:rPr>
        <w:t>"constrained"</w:t>
      </w:r>
      <w:r>
        <w:rPr>
          <w:rStyle w:val="NormalTok"/>
        </w:rPr>
        <w:t>)</w:t>
      </w:r>
      <w:r>
        <w:br/>
      </w:r>
      <w:r>
        <w:rPr>
          <w:rStyle w:val="NormalTok"/>
        </w:rPr>
        <w:t xml:space="preserve">bottom </w:t>
      </w:r>
      <w:r>
        <w:rPr>
          <w:rStyle w:val="OperatorTok"/>
        </w:rPr>
        <w:t>=</w:t>
      </w:r>
      <w:r>
        <w:rPr>
          <w:rStyle w:val="NormalTok"/>
        </w:rPr>
        <w:t xml:space="preserve"> np.zeros(</w:t>
      </w:r>
      <w:r>
        <w:rPr>
          <w:rStyle w:val="BuiltInTok"/>
        </w:rPr>
        <w:t>len</w:t>
      </w:r>
      <w:r>
        <w:rPr>
          <w:rStyle w:val="NormalTok"/>
        </w:rPr>
        <w:t>(STOREYS))</w:t>
      </w:r>
      <w:r>
        <w:br/>
      </w:r>
      <w:r>
        <w:rPr>
          <w:rStyle w:val="ControlFlowTok"/>
        </w:rPr>
        <w:t>for</w:t>
      </w:r>
      <w:r>
        <w:rPr>
          <w:rStyle w:val="NormalTok"/>
        </w:rPr>
        <w:t xml:space="preserve"> usage </w:t>
      </w:r>
      <w:r>
        <w:rPr>
          <w:rStyle w:val="KeywordTok"/>
        </w:rPr>
        <w:t>in</w:t>
      </w:r>
      <w:r>
        <w:rPr>
          <w:rStyle w:val="NormalTok"/>
        </w:rPr>
        <w:t xml:space="preserve"> PLOT_USE_ORDER:</w:t>
      </w:r>
      <w:r>
        <w:br/>
      </w:r>
      <w:r>
        <w:rPr>
          <w:rStyle w:val="NormalTok"/>
        </w:rPr>
        <w:t xml:space="preserve">    vals </w:t>
      </w:r>
      <w:r>
        <w:rPr>
          <w:rStyle w:val="OperatorTok"/>
        </w:rPr>
        <w:t>=</w:t>
      </w:r>
      <w:r>
        <w:rPr>
          <w:rStyle w:val="NormalTok"/>
        </w:rPr>
        <w:t xml:space="preserve"> by_gk_use[usage].to_numpy()</w:t>
      </w:r>
      <w:r>
        <w:br/>
      </w:r>
      <w:r>
        <w:rPr>
          <w:rStyle w:val="NormalTok"/>
        </w:rPr>
        <w:t xml:space="preserve">    ax.bar(STOREYS, vals, bottom</w:t>
      </w:r>
      <w:r>
        <w:rPr>
          <w:rStyle w:val="OperatorTok"/>
        </w:rPr>
        <w:t>=</w:t>
      </w:r>
      <w:r>
        <w:rPr>
          <w:rStyle w:val="NormalTok"/>
        </w:rPr>
        <w:t>bottom, label</w:t>
      </w:r>
      <w:r>
        <w:rPr>
          <w:rStyle w:val="OperatorTok"/>
        </w:rPr>
        <w:t>=</w:t>
      </w:r>
      <w:r>
        <w:rPr>
          <w:rStyle w:val="NormalTok"/>
        </w:rPr>
        <w:t>usage, color</w:t>
      </w:r>
      <w:r>
        <w:rPr>
          <w:rStyle w:val="OperatorTok"/>
        </w:rPr>
        <w:t>=</w:t>
      </w:r>
      <w:r>
        <w:rPr>
          <w:rStyle w:val="NormalTok"/>
        </w:rPr>
        <w:t>COLORS[usage],</w:t>
      </w:r>
      <w:r>
        <w:br/>
      </w:r>
      <w:r>
        <w:rPr>
          <w:rStyle w:val="NormalTok"/>
        </w:rPr>
        <w:t xml:space="preserve">           edgecolor</w:t>
      </w:r>
      <w:r>
        <w:rPr>
          <w:rStyle w:val="OperatorTok"/>
        </w:rPr>
        <w:t>=</w:t>
      </w:r>
      <w:r>
        <w:rPr>
          <w:rStyle w:val="StringTok"/>
        </w:rPr>
        <w:t>"white"</w:t>
      </w:r>
      <w:r>
        <w:rPr>
          <w:rStyle w:val="NormalTok"/>
        </w:rPr>
        <w:t>, linewidth</w:t>
      </w:r>
      <w:r>
        <w:rPr>
          <w:rStyle w:val="OperatorTok"/>
        </w:rPr>
        <w:t>=</w:t>
      </w:r>
      <w:r>
        <w:rPr>
          <w:rStyle w:val="FloatTok"/>
        </w:rPr>
        <w:t>.25</w:t>
      </w:r>
      <w:r>
        <w:rPr>
          <w:rStyle w:val="NormalTok"/>
        </w:rPr>
        <w:t>, width</w:t>
      </w:r>
      <w:r>
        <w:rPr>
          <w:rStyle w:val="OperatorTok"/>
        </w:rPr>
        <w:t>=</w:t>
      </w:r>
      <w:r>
        <w:rPr>
          <w:rStyle w:val="FloatTok"/>
        </w:rPr>
        <w:t>.78</w:t>
      </w:r>
      <w:r>
        <w:rPr>
          <w:rStyle w:val="NormalTok"/>
        </w:rPr>
        <w:t>)</w:t>
      </w:r>
      <w:r>
        <w:br/>
      </w:r>
      <w:r>
        <w:rPr>
          <w:rStyle w:val="NormalTok"/>
        </w:rPr>
        <w:t xml:space="preserve">    bottom </w:t>
      </w:r>
      <w:r>
        <w:rPr>
          <w:rStyle w:val="OperatorTok"/>
        </w:rPr>
        <w:t>+=</w:t>
      </w:r>
      <w:r>
        <w:rPr>
          <w:rStyle w:val="NormalTok"/>
        </w:rPr>
        <w:t xml:space="preserve"> vals</w:t>
      </w:r>
      <w:r>
        <w:br/>
      </w:r>
      <w:r>
        <w:rPr>
          <w:rStyle w:val="NormalTok"/>
        </w:rPr>
        <w:t>ax.</w:t>
      </w:r>
      <w:r>
        <w:rPr>
          <w:rStyle w:val="BuiltInTok"/>
        </w:rPr>
        <w:t>set</w:t>
      </w:r>
      <w:r>
        <w:rPr>
          <w:rStyle w:val="NormalTok"/>
        </w:rPr>
        <w:t>(xlabel</w:t>
      </w:r>
      <w:r>
        <w:rPr>
          <w:rStyle w:val="OperatorTok"/>
        </w:rPr>
        <w:t>=</w:t>
      </w:r>
      <w:r>
        <w:rPr>
          <w:rStyle w:val="StringTok"/>
        </w:rPr>
        <w:t>"Geschossklasse"</w:t>
      </w:r>
      <w:r>
        <w:rPr>
          <w:rStyle w:val="NormalTok"/>
        </w:rPr>
        <w:t>, ylabel</w:t>
      </w:r>
      <w:r>
        <w:rPr>
          <w:rStyle w:val="OperatorTok"/>
        </w:rPr>
        <w:t>=</w:t>
      </w:r>
      <w:r>
        <w:rPr>
          <w:rStyle w:val="StringTok"/>
        </w:rPr>
        <w:t>"BGF [Mio. m²]"</w:t>
      </w:r>
      <w:r>
        <w:rPr>
          <w:rStyle w:val="NormalTok"/>
        </w:rPr>
        <w:t>)</w:t>
      </w:r>
      <w:r>
        <w:br/>
      </w:r>
      <w:r>
        <w:rPr>
          <w:rStyle w:val="NormalTok"/>
        </w:rPr>
        <w:t>ax.set_ylim(bottom</w:t>
      </w:r>
      <w:r>
        <w:rPr>
          <w:rStyle w:val="OperatorTok"/>
        </w:rPr>
        <w:t>=</w:t>
      </w:r>
      <w:r>
        <w:rPr>
          <w:rStyle w:val="DecValTok"/>
        </w:rPr>
        <w:t>0</w:t>
      </w:r>
      <w:r>
        <w:rPr>
          <w:rStyle w:val="NormalTok"/>
        </w:rPr>
        <w:t>)</w:t>
      </w:r>
      <w:r>
        <w:br/>
      </w:r>
      <w:r>
        <w:rPr>
          <w:rStyle w:val="NormalTok"/>
        </w:rPr>
        <w:t>ax.grid(axis</w:t>
      </w:r>
      <w:r>
        <w:rPr>
          <w:rStyle w:val="OperatorTok"/>
        </w:rPr>
        <w:t>=</w:t>
      </w:r>
      <w:r>
        <w:rPr>
          <w:rStyle w:val="StringTok"/>
        </w:rPr>
        <w:t>"y"</w:t>
      </w:r>
      <w:r>
        <w:rPr>
          <w:rStyle w:val="NormalTok"/>
        </w:rPr>
        <w:t>, alpha</w:t>
      </w:r>
      <w:r>
        <w:rPr>
          <w:rStyle w:val="OperatorTok"/>
        </w:rPr>
        <w:t>=</w:t>
      </w:r>
      <w:r>
        <w:rPr>
          <w:rStyle w:val="FloatTok"/>
        </w:rPr>
        <w:t>.15</w:t>
      </w:r>
      <w:r>
        <w:rPr>
          <w:rStyle w:val="NormalTok"/>
        </w:rPr>
        <w:t>)</w:t>
      </w:r>
      <w:r>
        <w:br/>
      </w:r>
      <w:r>
        <w:rPr>
          <w:rStyle w:val="NormalTok"/>
        </w:rPr>
        <w:t>ax.set_axisbelow(</w:t>
      </w:r>
      <w:r>
        <w:rPr>
          <w:rStyle w:val="VariableTok"/>
        </w:rPr>
        <w:t>True</w:t>
      </w:r>
      <w:r>
        <w:rPr>
          <w:rStyle w:val="NormalTok"/>
        </w:rPr>
        <w:t>)</w:t>
      </w:r>
      <w:r>
        <w:br/>
      </w:r>
      <w:r>
        <w:rPr>
          <w:rStyle w:val="NormalTok"/>
        </w:rPr>
        <w:t>ax.legend(title</w:t>
      </w:r>
      <w:r>
        <w:rPr>
          <w:rStyle w:val="OperatorTok"/>
        </w:rPr>
        <w:t>=</w:t>
      </w:r>
      <w:r>
        <w:rPr>
          <w:rStyle w:val="StringTok"/>
        </w:rPr>
        <w:t>"Hauptnutzung"</w:t>
      </w:r>
      <w:r>
        <w:rPr>
          <w:rStyle w:val="NormalTok"/>
        </w:rPr>
        <w:t>, loc</w:t>
      </w:r>
      <w:r>
        <w:rPr>
          <w:rStyle w:val="OperatorTok"/>
        </w:rPr>
        <w:t>=</w:t>
      </w:r>
      <w:r>
        <w:rPr>
          <w:rStyle w:val="StringTok"/>
        </w:rPr>
        <w:t>"upper left"</w:t>
      </w:r>
      <w:r>
        <w:rPr>
          <w:rStyle w:val="NormalTok"/>
        </w:rPr>
        <w:t>, bbox_to_anchor</w:t>
      </w:r>
      <w:r>
        <w:rPr>
          <w:rStyle w:val="OperatorTok"/>
        </w:rPr>
        <w:t>=</w:t>
      </w:r>
      <w:r>
        <w:rPr>
          <w:rStyle w:val="NormalTok"/>
        </w:rPr>
        <w:t>(</w:t>
      </w:r>
      <w:r>
        <w:rPr>
          <w:rStyle w:val="FloatTok"/>
        </w:rPr>
        <w:t>1.01</w:t>
      </w:r>
      <w:r>
        <w:rPr>
          <w:rStyle w:val="NormalTok"/>
        </w:rPr>
        <w:t xml:space="preserve">, </w:t>
      </w:r>
      <w:r>
        <w:rPr>
          <w:rStyle w:val="DecValTok"/>
        </w:rPr>
        <w:t>1</w:t>
      </w:r>
      <w:r>
        <w:rPr>
          <w:rStyle w:val="NormalTok"/>
        </w:rPr>
        <w:t>), fontsize</w:t>
      </w:r>
      <w:r>
        <w:rPr>
          <w:rStyle w:val="OperatorTok"/>
        </w:rPr>
        <w:t>=</w:t>
      </w:r>
      <w:r>
        <w:rPr>
          <w:rStyle w:val="DecValTok"/>
        </w:rPr>
        <w:t>8</w:t>
      </w:r>
      <w:r>
        <w:rPr>
          <w:rStyle w:val="NormalTok"/>
        </w:rPr>
        <w:t>)</w:t>
      </w:r>
      <w:r>
        <w:br/>
      </w:r>
      <w:r>
        <w:rPr>
          <w:rStyle w:val="NormalTok"/>
        </w:rPr>
        <w:t xml:space="preserve">fig.savefig(OUT </w:t>
      </w:r>
      <w:r>
        <w:rPr>
          <w:rStyle w:val="OperatorTok"/>
        </w:rPr>
        <w:t>/</w:t>
      </w:r>
      <w:r>
        <w:rPr>
          <w:rStyle w:val="NormalTok"/>
        </w:rPr>
        <w:t xml:space="preserve"> </w:t>
      </w:r>
      <w:r>
        <w:rPr>
          <w:rStyle w:val="StringTok"/>
        </w:rPr>
        <w:t>"gfz_statistik_bgf_geschosse.png"</w:t>
      </w:r>
      <w:r>
        <w:rPr>
          <w:rStyle w:val="NormalTok"/>
        </w:rPr>
        <w:t>, dpi</w:t>
      </w:r>
      <w:r>
        <w:rPr>
          <w:rStyle w:val="OperatorTok"/>
        </w:rPr>
        <w:t>=</w:t>
      </w:r>
      <w:r>
        <w:rPr>
          <w:rStyle w:val="DecValTok"/>
        </w:rPr>
        <w:t>180</w:t>
      </w:r>
      <w:r>
        <w:rPr>
          <w:rStyle w:val="NormalTok"/>
        </w:rPr>
        <w:t>, bbox_inches</w:t>
      </w:r>
      <w:r>
        <w:rPr>
          <w:rStyle w:val="OperatorTok"/>
        </w:rPr>
        <w:t>=</w:t>
      </w:r>
      <w:r>
        <w:rPr>
          <w:rStyle w:val="StringTok"/>
        </w:rPr>
        <w:t>"tight"</w:t>
      </w:r>
      <w:r>
        <w:rPr>
          <w:rStyle w:val="NormalTok"/>
        </w:rPr>
        <w:t>)</w:t>
      </w:r>
      <w:r>
        <w:br/>
      </w:r>
      <w:r>
        <w:rPr>
          <w:rStyle w:val="NormalTok"/>
        </w:rPr>
        <w:t>plt.show()</w:t>
      </w:r>
    </w:p>
    <w:tbl>
      <w:tblPr>
        <w:tblStyle w:val="Table"/>
        <w:tblW w:w="5000" w:type="pct"/>
        <w:tblLayout w:type="fixed"/>
        <w:tblLook w:val="0000" w:firstRow="0" w:lastRow="0" w:firstColumn="0" w:lastColumn="0" w:noHBand="0" w:noVBand="0"/>
      </w:tblPr>
      <w:tblGrid>
        <w:gridCol w:w="9622"/>
      </w:tblGrid>
      <w:tr w:rsidR="004E4CC2" w14:paraId="383D1CC4" w14:textId="77777777">
        <w:tc>
          <w:tcPr>
            <w:tcW w:w="7920" w:type="dxa"/>
          </w:tcPr>
          <w:p w14:paraId="3D2B3677" w14:textId="77777777" w:rsidR="004E4CC2" w:rsidRDefault="00000000">
            <w:pPr>
              <w:pStyle w:val="Compact"/>
              <w:jc w:val="center"/>
            </w:pPr>
            <w:bookmarkStart w:id="340" w:name="fig-gfz-statistik-geschosse"/>
            <w:r>
              <w:rPr>
                <w:noProof/>
              </w:rPr>
              <w:lastRenderedPageBreak/>
              <w:drawing>
                <wp:inline distT="0" distB="0" distL="0" distR="0" wp14:anchorId="61C2A212" wp14:editId="02D07FDC">
                  <wp:extent cx="5334000" cy="2470600"/>
                  <wp:effectExtent l="0" t="0" r="0" b="0"/>
                  <wp:docPr id="353" name="Picture"/>
                  <wp:cNvGraphicFramePr/>
                  <a:graphic xmlns:a="http://schemas.openxmlformats.org/drawingml/2006/main">
                    <a:graphicData uri="http://schemas.openxmlformats.org/drawingml/2006/picture">
                      <pic:pic xmlns:pic="http://schemas.openxmlformats.org/drawingml/2006/picture">
                        <pic:nvPicPr>
                          <pic:cNvPr id="354" name="Picture" descr="Berechnungen\gfz_at/GFZ_AT_Analyse_Anhang_files/figure-docx/fig-gfz-statistik-geschosse-output-1.png"/>
                          <pic:cNvPicPr>
                            <a:picLocks noChangeAspect="1" noChangeArrowheads="1"/>
                          </pic:cNvPicPr>
                        </pic:nvPicPr>
                        <pic:blipFill>
                          <a:blip r:embed="rId71"/>
                          <a:stretch>
                            <a:fillRect/>
                          </a:stretch>
                        </pic:blipFill>
                        <pic:spPr bwMode="auto">
                          <a:xfrm>
                            <a:off x="0" y="0"/>
                            <a:ext cx="5334000" cy="2470600"/>
                          </a:xfrm>
                          <a:prstGeom prst="rect">
                            <a:avLst/>
                          </a:prstGeom>
                          <a:noFill/>
                          <a:ln w="9525">
                            <a:noFill/>
                            <a:headEnd/>
                            <a:tailEnd/>
                          </a:ln>
                        </pic:spPr>
                      </pic:pic>
                    </a:graphicData>
                  </a:graphic>
                </wp:inline>
              </w:drawing>
            </w:r>
          </w:p>
          <w:p w14:paraId="3DD53ACA" w14:textId="77777777" w:rsidR="004E4CC2" w:rsidRDefault="00000000">
            <w:pPr>
              <w:pStyle w:val="ImageCaption"/>
              <w:spacing w:before="200"/>
            </w:pPr>
            <w:r>
              <w:t>Abbildung D.4: Statistisch verankerte Bruttogrundfläche 2021 nach sieben Geschossklassen und Hauptnutzung, österreichweit. Jede Säule summiert die BGF aller neun Bundesländer der betreffenden Geschossklasse.</w:t>
            </w:r>
          </w:p>
        </w:tc>
        <w:bookmarkEnd w:id="340"/>
      </w:tr>
    </w:tbl>
    <w:p w14:paraId="1B856CB0" w14:textId="77777777" w:rsidR="004E4CC2" w:rsidRDefault="00000000">
      <w:pPr>
        <w:pStyle w:val="berschrift2"/>
      </w:pPr>
      <w:bookmarkStart w:id="341" w:name="X982d1cc0ed0dd1dcc3af3fd94e37f6ce8d32797"/>
      <w:bookmarkStart w:id="342" w:name="_Toc243681351"/>
      <w:bookmarkEnd w:id="335"/>
      <w:bookmarkEnd w:id="337"/>
      <w:r>
        <w:t>C.4 4. Bestimmung der verfügbaren Referenzgruppen</w:t>
      </w:r>
      <w:bookmarkEnd w:id="342"/>
    </w:p>
    <w:p w14:paraId="68A75B79" w14:textId="77777777" w:rsidR="004E4CC2" w:rsidRDefault="00000000">
      <w:pPr>
        <w:pStyle w:val="FirstParagraph"/>
      </w:pPr>
      <w:r>
        <w:t xml:space="preserve">Die Hochrechnung erfolgt für jede positive Kombination aus Bundesland, Geschossklasse und Hauptnutzung. Die statistische Fläche der Zielkombination wird unverändert übernommen. Zur Ermittlung ihrer Dichteverteilung wird jeweils eine gebäudescharfe </w:t>
      </w:r>
      <w:r>
        <w:rPr>
          <w:b/>
          <w:bCs/>
        </w:rPr>
        <w:t>Referenzgruppe</w:t>
      </w:r>
      <w:r>
        <w:t xml:space="preserve"> ausgewählt:</w:t>
      </w:r>
    </w:p>
    <w:p w14:paraId="776D325B" w14:textId="77777777" w:rsidR="004E4CC2" w:rsidRDefault="00000000">
      <w:pPr>
        <w:pStyle w:val="Compact"/>
        <w:numPr>
          <w:ilvl w:val="0"/>
          <w:numId w:val="9"/>
        </w:numPr>
      </w:pPr>
      <w:r>
        <w:t>Für Wien: gleiche Nutzung und Geschossklasse aus Wien. Für die übrigen Bundesländer: gleiche Nutzung und Geschossklasse aus Salzburg.</w:t>
      </w:r>
    </w:p>
    <w:p w14:paraId="3331C180" w14:textId="77777777" w:rsidR="004E4CC2" w:rsidRDefault="00000000">
      <w:pPr>
        <w:pStyle w:val="Compact"/>
        <w:numPr>
          <w:ilvl w:val="0"/>
          <w:numId w:val="9"/>
        </w:numPr>
      </w:pPr>
      <w:r>
        <w:t>Sind weniger als fünf Gebäude verfügbar: gleiche Nutzung und Geschossklasse aus Wien (sofern ausreichend belegt).</w:t>
      </w:r>
    </w:p>
    <w:p w14:paraId="16D90978" w14:textId="77777777" w:rsidR="004E4CC2" w:rsidRDefault="00000000">
      <w:pPr>
        <w:pStyle w:val="Compact"/>
        <w:numPr>
          <w:ilvl w:val="0"/>
          <w:numId w:val="9"/>
        </w:numPr>
      </w:pPr>
      <w:r>
        <w:t xml:space="preserve">Falls weiterhin unzureichend: gleiche Nutzung aus einer </w:t>
      </w:r>
      <w:r>
        <w:rPr>
          <w:b/>
          <w:bCs/>
        </w:rPr>
        <w:t>nächstgelegenen Geschossklasse</w:t>
      </w:r>
      <w:r>
        <w:t>, zuerst in der vorgesehenen Referenzregion, dann in Wien. Die Auswahl erfolgt anhand des Indexabstands der sieben Geschossklassen; die Klassenfolge ist oben definiert.</w:t>
      </w:r>
    </w:p>
    <w:p w14:paraId="1F4CFC64" w14:textId="77777777" w:rsidR="004E4CC2" w:rsidRDefault="00000000">
      <w:pPr>
        <w:pStyle w:val="FirstParagraph"/>
      </w:pPr>
      <w:r>
        <w:t>Jede Ersatzzuordnung wird als eigener Status und mit ihrer Referenzregion/-geschossklasse protokolliert. Wenn keine ausreichend große Referenzstichprobe gefunden wird, bricht die Rechnung ab. Die Ersatzregel für diesen Arbeitsstand ist freigegeben; sie ist keine zusätzliche statistische Messung.</w:t>
      </w:r>
    </w:p>
    <w:p w14:paraId="677B39DB" w14:textId="77777777" w:rsidR="004E4CC2" w:rsidRDefault="00000000">
      <w:pPr>
        <w:pStyle w:val="SourceCode"/>
      </w:pPr>
      <w:r>
        <w:rPr>
          <w:rStyle w:val="CommentTok"/>
        </w:rPr>
        <w:t># Explizite Zuordnung je positiver Bundesland/GK/Nutzung-Zielkombination</w:t>
      </w:r>
      <w:r>
        <w:br/>
      </w:r>
      <w:r>
        <w:rPr>
          <w:rStyle w:val="NormalTok"/>
        </w:rPr>
        <w:t xml:space="preserve">reference_groups </w:t>
      </w:r>
      <w:r>
        <w:rPr>
          <w:rStyle w:val="OperatorTok"/>
        </w:rPr>
        <w:t>=</w:t>
      </w:r>
      <w:r>
        <w:rPr>
          <w:rStyle w:val="NormalTok"/>
        </w:rPr>
        <w:t xml:space="preserve"> {</w:t>
      </w:r>
      <w:r>
        <w:br/>
      </w:r>
      <w:r>
        <w:rPr>
          <w:rStyle w:val="NormalTok"/>
        </w:rPr>
        <w:t xml:space="preserve">    key: group </w:t>
      </w:r>
      <w:r>
        <w:rPr>
          <w:rStyle w:val="ControlFlowTok"/>
        </w:rPr>
        <w:t>for</w:t>
      </w:r>
      <w:r>
        <w:rPr>
          <w:rStyle w:val="NormalTok"/>
        </w:rPr>
        <w:t xml:space="preserve"> key, group </w:t>
      </w:r>
      <w:r>
        <w:rPr>
          <w:rStyle w:val="KeywordTok"/>
        </w:rPr>
        <w:t>in</w:t>
      </w:r>
      <w:r>
        <w:rPr>
          <w:rStyle w:val="NormalTok"/>
        </w:rPr>
        <w:t xml:space="preserve"> samples.groupby([</w:t>
      </w:r>
      <w:r>
        <w:rPr>
          <w:rStyle w:val="StringTok"/>
        </w:rPr>
        <w:t>"Bundesland"</w:t>
      </w:r>
      <w:r>
        <w:rPr>
          <w:rStyle w:val="NormalTok"/>
        </w:rPr>
        <w:t xml:space="preserve">, </w:t>
      </w:r>
      <w:r>
        <w:rPr>
          <w:rStyle w:val="StringTok"/>
        </w:rPr>
        <w:t>"GK"</w:t>
      </w:r>
      <w:r>
        <w:rPr>
          <w:rStyle w:val="NormalTok"/>
        </w:rPr>
        <w:t xml:space="preserve">, </w:t>
      </w:r>
      <w:r>
        <w:rPr>
          <w:rStyle w:val="StringTok"/>
        </w:rPr>
        <w:t>"GWR_Nutzung"</w:t>
      </w:r>
      <w:r>
        <w:rPr>
          <w:rStyle w:val="NormalTok"/>
        </w:rPr>
        <w:t>], sort</w:t>
      </w:r>
      <w:r>
        <w:rPr>
          <w:rStyle w:val="OperatorTok"/>
        </w:rPr>
        <w:t>=</w:t>
      </w:r>
      <w:r>
        <w:rPr>
          <w:rStyle w:val="VariableTok"/>
        </w:rPr>
        <w:t>False</w:t>
      </w:r>
      <w:r>
        <w:rPr>
          <w:rStyle w:val="NormalTok"/>
        </w:rPr>
        <w:t>)</w:t>
      </w:r>
      <w:r>
        <w:br/>
      </w:r>
      <w:r>
        <w:rPr>
          <w:rStyle w:val="NormalTok"/>
        </w:rPr>
        <w:t>}</w:t>
      </w:r>
      <w:r>
        <w:br/>
      </w:r>
      <w:r>
        <w:rPr>
          <w:rStyle w:val="NormalTok"/>
        </w:rPr>
        <w:t xml:space="preserve">coverage_rows </w:t>
      </w:r>
      <w:r>
        <w:rPr>
          <w:rStyle w:val="OperatorTok"/>
        </w:rPr>
        <w:t>=</w:t>
      </w:r>
      <w:r>
        <w:rPr>
          <w:rStyle w:val="NormalTok"/>
        </w:rPr>
        <w:t xml:space="preserve"> []</w:t>
      </w:r>
      <w:r>
        <w:br/>
      </w:r>
      <w:r>
        <w:rPr>
          <w:rStyle w:val="ControlFlowTok"/>
        </w:rPr>
        <w:t>for</w:t>
      </w:r>
      <w:r>
        <w:rPr>
          <w:rStyle w:val="NormalTok"/>
        </w:rPr>
        <w:t xml:space="preserve"> row </w:t>
      </w:r>
      <w:r>
        <w:rPr>
          <w:rStyle w:val="KeywordTok"/>
        </w:rPr>
        <w:t>in</w:t>
      </w:r>
      <w:r>
        <w:rPr>
          <w:rStyle w:val="NormalTok"/>
        </w:rPr>
        <w:t xml:space="preserve"> targets.itertuples(index</w:t>
      </w:r>
      <w:r>
        <w:rPr>
          <w:rStyle w:val="OperatorTok"/>
        </w:rPr>
        <w:t>=</w:t>
      </w:r>
      <w:r>
        <w:rPr>
          <w:rStyle w:val="VariableTok"/>
        </w:rPr>
        <w:t>False</w:t>
      </w:r>
      <w:r>
        <w:rPr>
          <w:rStyle w:val="NormalTok"/>
        </w:rPr>
        <w:t>):</w:t>
      </w:r>
      <w:r>
        <w:br/>
      </w:r>
      <w:r>
        <w:rPr>
          <w:rStyle w:val="NormalTok"/>
        </w:rPr>
        <w:t xml:space="preserve">    </w:t>
      </w:r>
      <w:r>
        <w:rPr>
          <w:rStyle w:val="ControlFlowTok"/>
        </w:rPr>
        <w:t>if</w:t>
      </w:r>
      <w:r>
        <w:rPr>
          <w:rStyle w:val="NormalTok"/>
        </w:rPr>
        <w:t xml:space="preserve"> row.BGF_target_m2 </w:t>
      </w:r>
      <w:r>
        <w:rPr>
          <w:rStyle w:val="OperatorTok"/>
        </w:rPr>
        <w:t>&lt;=</w:t>
      </w:r>
      <w:r>
        <w:rPr>
          <w:rStyle w:val="NormalTok"/>
        </w:rPr>
        <w:t xml:space="preserve"> </w:t>
      </w:r>
      <w:r>
        <w:rPr>
          <w:rStyle w:val="DecValTok"/>
        </w:rPr>
        <w:t>0</w:t>
      </w:r>
      <w:r>
        <w:rPr>
          <w:rStyle w:val="NormalTok"/>
        </w:rPr>
        <w:t>:</w:t>
      </w:r>
      <w:r>
        <w:br/>
      </w:r>
      <w:r>
        <w:rPr>
          <w:rStyle w:val="NormalTok"/>
        </w:rPr>
        <w:lastRenderedPageBreak/>
        <w:t xml:space="preserve">        </w:t>
      </w:r>
      <w:r>
        <w:rPr>
          <w:rStyle w:val="ControlFlowTok"/>
        </w:rPr>
        <w:t>continue</w:t>
      </w:r>
      <w:r>
        <w:br/>
      </w:r>
      <w:r>
        <w:rPr>
          <w:rStyle w:val="NormalTok"/>
        </w:rPr>
        <w:t xml:space="preserve">    primary_region </w:t>
      </w:r>
      <w:r>
        <w:rPr>
          <w:rStyle w:val="OperatorTok"/>
        </w:rPr>
        <w:t>=</w:t>
      </w:r>
      <w:r>
        <w:rPr>
          <w:rStyle w:val="NormalTok"/>
        </w:rPr>
        <w:t xml:space="preserve"> </w:t>
      </w:r>
      <w:r>
        <w:rPr>
          <w:rStyle w:val="StringTok"/>
        </w:rPr>
        <w:t>"Wien"</w:t>
      </w:r>
      <w:r>
        <w:rPr>
          <w:rStyle w:val="NormalTok"/>
        </w:rPr>
        <w:t xml:space="preserve"> </w:t>
      </w:r>
      <w:r>
        <w:rPr>
          <w:rStyle w:val="ControlFlowTok"/>
        </w:rPr>
        <w:t>if</w:t>
      </w:r>
      <w:r>
        <w:rPr>
          <w:rStyle w:val="NormalTok"/>
        </w:rPr>
        <w:t xml:space="preserve"> row.Bundesland </w:t>
      </w:r>
      <w:r>
        <w:rPr>
          <w:rStyle w:val="OperatorTok"/>
        </w:rPr>
        <w:t>==</w:t>
      </w:r>
      <w:r>
        <w:rPr>
          <w:rStyle w:val="NormalTok"/>
        </w:rPr>
        <w:t xml:space="preserve"> </w:t>
      </w:r>
      <w:r>
        <w:rPr>
          <w:rStyle w:val="StringTok"/>
        </w:rPr>
        <w:t>"Wien"</w:t>
      </w:r>
      <w:r>
        <w:rPr>
          <w:rStyle w:val="NormalTok"/>
        </w:rPr>
        <w:t xml:space="preserve"> </w:t>
      </w:r>
      <w:r>
        <w:rPr>
          <w:rStyle w:val="ControlFlowTok"/>
        </w:rPr>
        <w:t>else</w:t>
      </w:r>
      <w:r>
        <w:rPr>
          <w:rStyle w:val="NormalTok"/>
        </w:rPr>
        <w:t xml:space="preserve"> </w:t>
      </w:r>
      <w:r>
        <w:rPr>
          <w:rStyle w:val="StringTok"/>
        </w:rPr>
        <w:t>"Salzburg"</w:t>
      </w:r>
      <w:r>
        <w:br/>
      </w:r>
      <w:r>
        <w:rPr>
          <w:rStyle w:val="NormalTok"/>
        </w:rPr>
        <w:t xml:space="preserve">    primary </w:t>
      </w:r>
      <w:r>
        <w:rPr>
          <w:rStyle w:val="OperatorTok"/>
        </w:rPr>
        <w:t>=</w:t>
      </w:r>
      <w:r>
        <w:rPr>
          <w:rStyle w:val="NormalTok"/>
        </w:rPr>
        <w:t xml:space="preserve"> (primary_region, row.GK, row.GWR_Nutzung)</w:t>
      </w:r>
      <w:r>
        <w:br/>
      </w:r>
      <w:r>
        <w:rPr>
          <w:rStyle w:val="NormalTok"/>
        </w:rPr>
        <w:t xml:space="preserve">    primary_n </w:t>
      </w:r>
      <w:r>
        <w:rPr>
          <w:rStyle w:val="OperatorTok"/>
        </w:rPr>
        <w:t>=</w:t>
      </w:r>
      <w:r>
        <w:rPr>
          <w:rStyle w:val="NormalTok"/>
        </w:rPr>
        <w:t xml:space="preserve"> </w:t>
      </w:r>
      <w:r>
        <w:rPr>
          <w:rStyle w:val="BuiltInTok"/>
        </w:rPr>
        <w:t>len</w:t>
      </w:r>
      <w:r>
        <w:rPr>
          <w:rStyle w:val="NormalTok"/>
        </w:rPr>
        <w:t>(reference_groups.get(primary, ()))</w:t>
      </w:r>
      <w:r>
        <w:br/>
      </w:r>
      <w:r>
        <w:rPr>
          <w:rStyle w:val="NormalTok"/>
        </w:rPr>
        <w:t xml:space="preserve">    source, status </w:t>
      </w:r>
      <w:r>
        <w:rPr>
          <w:rStyle w:val="OperatorTok"/>
        </w:rPr>
        <w:t>=</w:t>
      </w:r>
      <w:r>
        <w:rPr>
          <w:rStyle w:val="NormalTok"/>
        </w:rPr>
        <w:t xml:space="preserve"> </w:t>
      </w:r>
      <w:r>
        <w:rPr>
          <w:rStyle w:val="VariableTok"/>
        </w:rPr>
        <w:t>None</w:t>
      </w:r>
      <w:r>
        <w:rPr>
          <w:rStyle w:val="NormalTok"/>
        </w:rPr>
        <w:t xml:space="preserve">, </w:t>
      </w:r>
      <w:r>
        <w:rPr>
          <w:rStyle w:val="VariableTok"/>
        </w:rPr>
        <w:t>None</w:t>
      </w:r>
      <w:r>
        <w:br/>
      </w:r>
      <w:r>
        <w:rPr>
          <w:rStyle w:val="NormalTok"/>
        </w:rPr>
        <w:t xml:space="preserve">    </w:t>
      </w:r>
      <w:r>
        <w:rPr>
          <w:rStyle w:val="ControlFlowTok"/>
        </w:rPr>
        <w:t>if</w:t>
      </w:r>
      <w:r>
        <w:rPr>
          <w:rStyle w:val="NormalTok"/>
        </w:rPr>
        <w:t xml:space="preserve"> primary_n </w:t>
      </w:r>
      <w:r>
        <w:rPr>
          <w:rStyle w:val="OperatorTok"/>
        </w:rPr>
        <w:t>&gt;=</w:t>
      </w:r>
      <w:r>
        <w:rPr>
          <w:rStyle w:val="NormalTok"/>
        </w:rPr>
        <w:t xml:space="preserve"> MIN_SAMPLES:</w:t>
      </w:r>
      <w:r>
        <w:br/>
      </w:r>
      <w:r>
        <w:rPr>
          <w:rStyle w:val="NormalTok"/>
        </w:rPr>
        <w:t xml:space="preserve">        source, status </w:t>
      </w:r>
      <w:r>
        <w:rPr>
          <w:rStyle w:val="OperatorTok"/>
        </w:rPr>
        <w:t>=</w:t>
      </w:r>
      <w:r>
        <w:rPr>
          <w:rStyle w:val="NormalTok"/>
        </w:rPr>
        <w:t xml:space="preserve"> primary, </w:t>
      </w:r>
      <w:r>
        <w:rPr>
          <w:rStyle w:val="StringTok"/>
        </w:rPr>
        <w:t>"reference-exact"</w:t>
      </w:r>
      <w:r>
        <w:br/>
      </w:r>
      <w:r>
        <w:rPr>
          <w:rStyle w:val="NormalTok"/>
        </w:rPr>
        <w:t xml:space="preserve">    </w:t>
      </w:r>
      <w:r>
        <w:rPr>
          <w:rStyle w:val="ControlFlowTok"/>
        </w:rPr>
        <w:t>else</w:t>
      </w:r>
      <w:r>
        <w:rPr>
          <w:rStyle w:val="NormalTok"/>
        </w:rPr>
        <w:t>:</w:t>
      </w:r>
      <w:r>
        <w:br/>
      </w:r>
      <w:r>
        <w:rPr>
          <w:rStyle w:val="NormalTok"/>
        </w:rPr>
        <w:t xml:space="preserve">        </w:t>
      </w:r>
      <w:r>
        <w:rPr>
          <w:rStyle w:val="ControlFlowTok"/>
        </w:rPr>
        <w:t>if</w:t>
      </w:r>
      <w:r>
        <w:rPr>
          <w:rStyle w:val="NormalTok"/>
        </w:rPr>
        <w:t xml:space="preserve"> FALLBACK </w:t>
      </w:r>
      <w:r>
        <w:rPr>
          <w:rStyle w:val="OperatorTok"/>
        </w:rPr>
        <w:t>==</w:t>
      </w:r>
      <w:r>
        <w:rPr>
          <w:rStyle w:val="NormalTok"/>
        </w:rPr>
        <w:t xml:space="preserve"> </w:t>
      </w:r>
      <w:r>
        <w:rPr>
          <w:rStyle w:val="StringTok"/>
        </w:rPr>
        <w:t>"error"</w:t>
      </w:r>
      <w:r>
        <w:rPr>
          <w:rStyle w:val="NormalTok"/>
        </w:rPr>
        <w:t>:</w:t>
      </w:r>
      <w: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pecialStringTok"/>
        </w:rPr>
        <w:t xml:space="preserve">f"Nicht ausreichende Referenzgruppe: </w:t>
      </w:r>
      <w:r>
        <w:rPr>
          <w:rStyle w:val="SpecialCharTok"/>
        </w:rPr>
        <w:t>{</w:t>
      </w:r>
      <w:r>
        <w:rPr>
          <w:rStyle w:val="NormalTok"/>
        </w:rPr>
        <w:t>primary</w:t>
      </w:r>
      <w:r>
        <w:rPr>
          <w:rStyle w:val="SpecialCharTok"/>
        </w:rPr>
        <w:t>}</w:t>
      </w:r>
      <w:r>
        <w:rPr>
          <w:rStyle w:val="SpecialStringTok"/>
        </w:rPr>
        <w:t>, n=</w:t>
      </w:r>
      <w:r>
        <w:rPr>
          <w:rStyle w:val="SpecialCharTok"/>
        </w:rPr>
        <w:t>{</w:t>
      </w:r>
      <w:r>
        <w:rPr>
          <w:rStyle w:val="NormalTok"/>
        </w:rPr>
        <w:t>primary_n</w:t>
      </w:r>
      <w:r>
        <w:rPr>
          <w:rStyle w:val="SpecialCharTok"/>
        </w:rPr>
        <w:t>}</w:t>
      </w:r>
      <w:r>
        <w:rPr>
          <w:rStyle w:val="SpecialStringTok"/>
        </w:rPr>
        <w:t>"</w:t>
      </w:r>
      <w:r>
        <w:rPr>
          <w:rStyle w:val="NormalTok"/>
        </w:rPr>
        <w:t>)</w:t>
      </w:r>
      <w:r>
        <w:br/>
      </w:r>
      <w:r>
        <w:rPr>
          <w:rStyle w:val="NormalTok"/>
        </w:rPr>
        <w:t xml:space="preserve">        vienna_exact </w:t>
      </w:r>
      <w:r>
        <w:rPr>
          <w:rStyle w:val="OperatorTok"/>
        </w:rPr>
        <w:t>=</w:t>
      </w:r>
      <w:r>
        <w:rPr>
          <w:rStyle w:val="NormalTok"/>
        </w:rPr>
        <w:t xml:space="preserve"> (</w:t>
      </w:r>
      <w:r>
        <w:rPr>
          <w:rStyle w:val="StringTok"/>
        </w:rPr>
        <w:t>"Wien"</w:t>
      </w:r>
      <w:r>
        <w:rPr>
          <w:rStyle w:val="NormalTok"/>
        </w:rPr>
        <w:t>, row.GK, row.GWR_Nutzung)</w:t>
      </w:r>
      <w:r>
        <w:br/>
      </w:r>
      <w:r>
        <w:rPr>
          <w:rStyle w:val="NormalTok"/>
        </w:rPr>
        <w:t xml:space="preserve">        </w:t>
      </w:r>
      <w:r>
        <w:rPr>
          <w:rStyle w:val="ControlFlowTok"/>
        </w:rPr>
        <w:t>if</w:t>
      </w:r>
      <w:r>
        <w:rPr>
          <w:rStyle w:val="NormalTok"/>
        </w:rPr>
        <w:t xml:space="preserve"> </w:t>
      </w:r>
      <w:r>
        <w:rPr>
          <w:rStyle w:val="BuiltInTok"/>
        </w:rPr>
        <w:t>len</w:t>
      </w:r>
      <w:r>
        <w:rPr>
          <w:rStyle w:val="NormalTok"/>
        </w:rPr>
        <w:t xml:space="preserve">(reference_groups.get(vienna_exact, ())) </w:t>
      </w:r>
      <w:r>
        <w:rPr>
          <w:rStyle w:val="OperatorTok"/>
        </w:rPr>
        <w:t>&gt;=</w:t>
      </w:r>
      <w:r>
        <w:rPr>
          <w:rStyle w:val="NormalTok"/>
        </w:rPr>
        <w:t xml:space="preserve"> MIN_SAMPLES:</w:t>
      </w:r>
      <w:r>
        <w:br/>
      </w:r>
      <w:r>
        <w:rPr>
          <w:rStyle w:val="NormalTok"/>
        </w:rPr>
        <w:t xml:space="preserve">            source, status </w:t>
      </w:r>
      <w:r>
        <w:rPr>
          <w:rStyle w:val="OperatorTok"/>
        </w:rPr>
        <w:t>=</w:t>
      </w:r>
      <w:r>
        <w:rPr>
          <w:rStyle w:val="NormalTok"/>
        </w:rPr>
        <w:t xml:space="preserve"> vienna_exact, </w:t>
      </w:r>
      <w:r>
        <w:rPr>
          <w:rStyle w:val="StringTok"/>
        </w:rPr>
        <w:t>"fallback-vienna-exact"</w:t>
      </w:r>
      <w:r>
        <w:br/>
      </w:r>
      <w:r>
        <w:rPr>
          <w:rStyle w:val="NormalTok"/>
        </w:rPr>
        <w:t xml:space="preserve">        </w:t>
      </w:r>
      <w:r>
        <w:rPr>
          <w:rStyle w:val="ControlFlowTok"/>
        </w:rPr>
        <w:t>else</w:t>
      </w:r>
      <w:r>
        <w:rPr>
          <w:rStyle w:val="NormalTok"/>
        </w:rPr>
        <w:t>:</w:t>
      </w:r>
      <w:r>
        <w:br/>
      </w:r>
      <w:r>
        <w:rPr>
          <w:rStyle w:val="NormalTok"/>
        </w:rPr>
        <w:t xml:space="preserve">            </w:t>
      </w:r>
      <w:r>
        <w:rPr>
          <w:rStyle w:val="CommentTok"/>
        </w:rPr>
        <w:t># Gleiche Hauptnutzung, minimale Distanz der Geschossklassen</w:t>
      </w:r>
      <w:r>
        <w:br/>
      </w:r>
      <w:r>
        <w:rPr>
          <w:rStyle w:val="NormalTok"/>
        </w:rPr>
        <w:t xml:space="preserve">            </w:t>
      </w:r>
      <w:r>
        <w:rPr>
          <w:rStyle w:val="ControlFlowTok"/>
        </w:rPr>
        <w:t>for</w:t>
      </w:r>
      <w:r>
        <w:rPr>
          <w:rStyle w:val="NormalTok"/>
        </w:rPr>
        <w:t xml:space="preserve"> candidate_region </w:t>
      </w:r>
      <w:r>
        <w:rPr>
          <w:rStyle w:val="KeywordTok"/>
        </w:rPr>
        <w:t>in</w:t>
      </w:r>
      <w:r>
        <w:rPr>
          <w:rStyle w:val="NormalTok"/>
        </w:rPr>
        <w:t xml:space="preserve"> </w:t>
      </w:r>
      <w:r>
        <w:rPr>
          <w:rStyle w:val="BuiltInTok"/>
        </w:rPr>
        <w:t>dict</w:t>
      </w:r>
      <w:r>
        <w:rPr>
          <w:rStyle w:val="NormalTok"/>
        </w:rPr>
        <w:t xml:space="preserve">.fromkeys([primary_region, </w:t>
      </w:r>
      <w:r>
        <w:rPr>
          <w:rStyle w:val="StringTok"/>
        </w:rPr>
        <w:t>"Wien"</w:t>
      </w:r>
      <w:r>
        <w:rPr>
          <w:rStyle w:val="NormalTok"/>
        </w:rPr>
        <w:t>]):</w:t>
      </w:r>
      <w:r>
        <w:br/>
      </w:r>
      <w:r>
        <w:rPr>
          <w:rStyle w:val="NormalTok"/>
        </w:rPr>
        <w:t xml:space="preserve">                candidates </w:t>
      </w:r>
      <w:r>
        <w:rPr>
          <w:rStyle w:val="OperatorTok"/>
        </w:rPr>
        <w:t>=</w:t>
      </w:r>
      <w:r>
        <w:rPr>
          <w:rStyle w:val="NormalTok"/>
        </w:rPr>
        <w:t xml:space="preserve"> [</w:t>
      </w:r>
      <w:r>
        <w:br/>
      </w:r>
      <w:r>
        <w:rPr>
          <w:rStyle w:val="NormalTok"/>
        </w:rPr>
        <w:t xml:space="preserve">                    (</w:t>
      </w:r>
      <w:r>
        <w:rPr>
          <w:rStyle w:val="BuiltInTok"/>
        </w:rPr>
        <w:t>abs</w:t>
      </w:r>
      <w:r>
        <w:rPr>
          <w:rStyle w:val="NormalTok"/>
        </w:rPr>
        <w:t xml:space="preserve">(STOREYS.index(row.GK) </w:t>
      </w:r>
      <w:r>
        <w:rPr>
          <w:rStyle w:val="OperatorTok"/>
        </w:rPr>
        <w:t>-</w:t>
      </w:r>
      <w:r>
        <w:rPr>
          <w:rStyle w:val="NormalTok"/>
        </w:rPr>
        <w:t xml:space="preserve"> STOREYS.index(other_gk)), other_gk)</w:t>
      </w:r>
      <w:r>
        <w:br/>
      </w:r>
      <w:r>
        <w:rPr>
          <w:rStyle w:val="NormalTok"/>
        </w:rPr>
        <w:t xml:space="preserve">                    </w:t>
      </w:r>
      <w:r>
        <w:rPr>
          <w:rStyle w:val="ControlFlowTok"/>
        </w:rPr>
        <w:t>for</w:t>
      </w:r>
      <w:r>
        <w:rPr>
          <w:rStyle w:val="NormalTok"/>
        </w:rPr>
        <w:t xml:space="preserve"> other_gk </w:t>
      </w:r>
      <w:r>
        <w:rPr>
          <w:rStyle w:val="KeywordTok"/>
        </w:rPr>
        <w:t>in</w:t>
      </w:r>
      <w:r>
        <w:rPr>
          <w:rStyle w:val="NormalTok"/>
        </w:rPr>
        <w:t xml:space="preserve"> STOREYS</w:t>
      </w:r>
      <w:r>
        <w:br/>
      </w:r>
      <w:r>
        <w:rPr>
          <w:rStyle w:val="NormalTok"/>
        </w:rPr>
        <w:t xml:space="preserve">                    </w:t>
      </w:r>
      <w:r>
        <w:rPr>
          <w:rStyle w:val="ControlFlowTok"/>
        </w:rPr>
        <w:t>if</w:t>
      </w:r>
      <w:r>
        <w:rPr>
          <w:rStyle w:val="NormalTok"/>
        </w:rPr>
        <w:t xml:space="preserve"> </w:t>
      </w:r>
      <w:r>
        <w:rPr>
          <w:rStyle w:val="BuiltInTok"/>
        </w:rPr>
        <w:t>len</w:t>
      </w:r>
      <w:r>
        <w:rPr>
          <w:rStyle w:val="NormalTok"/>
        </w:rPr>
        <w:t xml:space="preserve">(reference_groups.get((candidate_region, other_gk, row.GWR_Nutzung), ())) </w:t>
      </w:r>
      <w:r>
        <w:rPr>
          <w:rStyle w:val="OperatorTok"/>
        </w:rPr>
        <w:t>&gt;=</w:t>
      </w:r>
      <w:r>
        <w:rPr>
          <w:rStyle w:val="NormalTok"/>
        </w:rPr>
        <w:t xml:space="preserve"> MIN_SAMPLES</w:t>
      </w:r>
      <w:r>
        <w:br/>
      </w:r>
      <w:r>
        <w:rPr>
          <w:rStyle w:val="NormalTok"/>
        </w:rPr>
        <w:t xml:space="preserve">                ]</w:t>
      </w:r>
      <w:r>
        <w:br/>
      </w:r>
      <w:r>
        <w:rPr>
          <w:rStyle w:val="NormalTok"/>
        </w:rPr>
        <w:t xml:space="preserve">                </w:t>
      </w:r>
      <w:r>
        <w:rPr>
          <w:rStyle w:val="ControlFlowTok"/>
        </w:rPr>
        <w:t>if</w:t>
      </w:r>
      <w:r>
        <w:rPr>
          <w:rStyle w:val="NormalTok"/>
        </w:rPr>
        <w:t xml:space="preserve"> candidates:</w:t>
      </w:r>
      <w:r>
        <w:br/>
      </w:r>
      <w:r>
        <w:rPr>
          <w:rStyle w:val="NormalTok"/>
        </w:rPr>
        <w:t xml:space="preserve">                    _, nearest_gk </w:t>
      </w:r>
      <w:r>
        <w:rPr>
          <w:rStyle w:val="OperatorTok"/>
        </w:rPr>
        <w:t>=</w:t>
      </w:r>
      <w:r>
        <w:rPr>
          <w:rStyle w:val="NormalTok"/>
        </w:rPr>
        <w:t xml:space="preserve"> </w:t>
      </w:r>
      <w:r>
        <w:rPr>
          <w:rStyle w:val="BuiltInTok"/>
        </w:rPr>
        <w:t>min</w:t>
      </w:r>
      <w:r>
        <w:rPr>
          <w:rStyle w:val="NormalTok"/>
        </w:rPr>
        <w:t>(candidates)</w:t>
      </w:r>
      <w:r>
        <w:br/>
      </w:r>
      <w:r>
        <w:rPr>
          <w:rStyle w:val="NormalTok"/>
        </w:rPr>
        <w:t xml:space="preserve">                    source </w:t>
      </w:r>
      <w:r>
        <w:rPr>
          <w:rStyle w:val="OperatorTok"/>
        </w:rPr>
        <w:t>=</w:t>
      </w:r>
      <w:r>
        <w:rPr>
          <w:rStyle w:val="NormalTok"/>
        </w:rPr>
        <w:t xml:space="preserve"> (candidate_region, nearest_gk, row.GWR_Nutzung)</w:t>
      </w:r>
      <w:r>
        <w:br/>
      </w:r>
      <w:r>
        <w:rPr>
          <w:rStyle w:val="NormalTok"/>
        </w:rPr>
        <w:t xml:space="preserve">                    status </w:t>
      </w:r>
      <w:r>
        <w:rPr>
          <w:rStyle w:val="OperatorTok"/>
        </w:rPr>
        <w:t>=</w:t>
      </w:r>
      <w:r>
        <w:rPr>
          <w:rStyle w:val="NormalTok"/>
        </w:rPr>
        <w:t xml:space="preserve"> </w:t>
      </w:r>
      <w:r>
        <w:rPr>
          <w:rStyle w:val="SpecialStringTok"/>
        </w:rPr>
        <w:t>f"fallback-</w:t>
      </w:r>
      <w:r>
        <w:rPr>
          <w:rStyle w:val="SpecialCharTok"/>
        </w:rPr>
        <w:t>{</w:t>
      </w:r>
      <w:r>
        <w:rPr>
          <w:rStyle w:val="NormalTok"/>
        </w:rPr>
        <w:t>candidate_region</w:t>
      </w:r>
      <w:r>
        <w:rPr>
          <w:rStyle w:val="SpecialCharTok"/>
        </w:rPr>
        <w:t>.</w:t>
      </w:r>
      <w:r>
        <w:rPr>
          <w:rStyle w:val="NormalTok"/>
        </w:rPr>
        <w:t>lower()</w:t>
      </w:r>
      <w:r>
        <w:rPr>
          <w:rStyle w:val="SpecialCharTok"/>
        </w:rPr>
        <w:t>}</w:t>
      </w:r>
      <w:r>
        <w:rPr>
          <w:rStyle w:val="SpecialStringTok"/>
        </w:rPr>
        <w:t>-nearest-storey"</w:t>
      </w:r>
      <w:r>
        <w:br/>
      </w:r>
      <w:r>
        <w:rPr>
          <w:rStyle w:val="NormalTok"/>
        </w:rPr>
        <w:t xml:space="preserve">                    </w:t>
      </w:r>
      <w:r>
        <w:rPr>
          <w:rStyle w:val="ControlFlowTok"/>
        </w:rPr>
        <w:t>break</w:t>
      </w:r>
      <w:r>
        <w:br/>
      </w:r>
      <w:r>
        <w:rPr>
          <w:rStyle w:val="NormalTok"/>
        </w:rPr>
        <w:t xml:space="preserve">        </w:t>
      </w:r>
      <w:r>
        <w:rPr>
          <w:rStyle w:val="ControlFlowTok"/>
        </w:rPr>
        <w:t>if</w:t>
      </w:r>
      <w:r>
        <w:rPr>
          <w:rStyle w:val="NormalTok"/>
        </w:rPr>
        <w:t xml:space="preserve"> source </w:t>
      </w:r>
      <w:r>
        <w:rPr>
          <w:rStyle w:val="KeywordTok"/>
        </w:rPr>
        <w:t>is</w:t>
      </w:r>
      <w:r>
        <w:rPr>
          <w:rStyle w:val="NormalTok"/>
        </w:rPr>
        <w:t xml:space="preserve"> </w:t>
      </w:r>
      <w:r>
        <w:rPr>
          <w:rStyle w:val="VariableTok"/>
        </w:rPr>
        <w:t>None</w:t>
      </w:r>
      <w:r>
        <w:rPr>
          <w:rStyle w:val="NormalTok"/>
        </w:rPr>
        <w:t>:</w:t>
      </w:r>
      <w: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pecialStringTok"/>
        </w:rPr>
        <w:t xml:space="preserve">f"Keine gültige Referenz für </w:t>
      </w:r>
      <w:r>
        <w:rPr>
          <w:rStyle w:val="SpecialCharTok"/>
        </w:rPr>
        <w:t>{</w:t>
      </w:r>
      <w:r>
        <w:rPr>
          <w:rStyle w:val="NormalTok"/>
        </w:rPr>
        <w:t>row</w:t>
      </w:r>
      <w:r>
        <w:rPr>
          <w:rStyle w:val="SpecialCharTok"/>
        </w:rPr>
        <w:t>.</w:t>
      </w:r>
      <w:r>
        <w:rPr>
          <w:rStyle w:val="NormalTok"/>
        </w:rPr>
        <w:t>Bundesland</w:t>
      </w:r>
      <w:r>
        <w:rPr>
          <w:rStyle w:val="SpecialCharTok"/>
        </w:rPr>
        <w:t>}</w:t>
      </w:r>
      <w:r>
        <w:rPr>
          <w:rStyle w:val="SpecialStringTok"/>
        </w:rPr>
        <w:t>/</w:t>
      </w:r>
      <w:r>
        <w:rPr>
          <w:rStyle w:val="SpecialCharTok"/>
        </w:rPr>
        <w:t>{</w:t>
      </w:r>
      <w:r>
        <w:rPr>
          <w:rStyle w:val="NormalTok"/>
        </w:rPr>
        <w:t>row</w:t>
      </w:r>
      <w:r>
        <w:rPr>
          <w:rStyle w:val="SpecialCharTok"/>
        </w:rPr>
        <w:t>.</w:t>
      </w:r>
      <w:r>
        <w:rPr>
          <w:rStyle w:val="NormalTok"/>
        </w:rPr>
        <w:t>GK</w:t>
      </w:r>
      <w:r>
        <w:rPr>
          <w:rStyle w:val="SpecialCharTok"/>
        </w:rPr>
        <w:t>}</w:t>
      </w:r>
      <w:r>
        <w:rPr>
          <w:rStyle w:val="SpecialStringTok"/>
        </w:rPr>
        <w:t>/</w:t>
      </w:r>
      <w:r>
        <w:rPr>
          <w:rStyle w:val="SpecialCharTok"/>
        </w:rPr>
        <w:t>{</w:t>
      </w:r>
      <w:r>
        <w:rPr>
          <w:rStyle w:val="NormalTok"/>
        </w:rPr>
        <w:t>row</w:t>
      </w:r>
      <w:r>
        <w:rPr>
          <w:rStyle w:val="SpecialCharTok"/>
        </w:rPr>
        <w:t>.</w:t>
      </w:r>
      <w:r>
        <w:rPr>
          <w:rStyle w:val="NormalTok"/>
        </w:rPr>
        <w:t>GWR_Nutzung</w:t>
      </w:r>
      <w:r>
        <w:rPr>
          <w:rStyle w:val="SpecialCharTok"/>
        </w:rPr>
        <w:t>}</w:t>
      </w:r>
      <w:r>
        <w:rPr>
          <w:rStyle w:val="SpecialStringTok"/>
        </w:rPr>
        <w:t>"</w:t>
      </w:r>
      <w:r>
        <w:rPr>
          <w:rStyle w:val="NormalTok"/>
        </w:rPr>
        <w:t>)</w:t>
      </w:r>
      <w:r>
        <w:br/>
      </w:r>
      <w:r>
        <w:br/>
      </w:r>
      <w:r>
        <w:rPr>
          <w:rStyle w:val="NormalTok"/>
        </w:rPr>
        <w:t xml:space="preserve">    coverage_rows.append({</w:t>
      </w:r>
      <w:r>
        <w:br/>
      </w:r>
      <w:r>
        <w:rPr>
          <w:rStyle w:val="NormalTok"/>
        </w:rPr>
        <w:t xml:space="preserve">        </w:t>
      </w:r>
      <w:r>
        <w:rPr>
          <w:rStyle w:val="StringTok"/>
        </w:rPr>
        <w:t>"Bundesland"</w:t>
      </w:r>
      <w:r>
        <w:rPr>
          <w:rStyle w:val="NormalTok"/>
        </w:rPr>
        <w:t xml:space="preserve">: row.Bundesland, </w:t>
      </w:r>
      <w:r>
        <w:rPr>
          <w:rStyle w:val="StringTok"/>
        </w:rPr>
        <w:t>"GK"</w:t>
      </w:r>
      <w:r>
        <w:rPr>
          <w:rStyle w:val="NormalTok"/>
        </w:rPr>
        <w:t xml:space="preserve">: row.GK, </w:t>
      </w:r>
      <w:r>
        <w:rPr>
          <w:rStyle w:val="StringTok"/>
        </w:rPr>
        <w:t>"GWR_Nutzung"</w:t>
      </w:r>
      <w:r>
        <w:rPr>
          <w:rStyle w:val="NormalTok"/>
        </w:rPr>
        <w:t>: row.GWR_Nutzung,</w:t>
      </w:r>
      <w:r>
        <w:br/>
      </w:r>
      <w:r>
        <w:rPr>
          <w:rStyle w:val="NormalTok"/>
        </w:rPr>
        <w:t xml:space="preserve">        </w:t>
      </w:r>
      <w:r>
        <w:rPr>
          <w:rStyle w:val="StringTok"/>
        </w:rPr>
        <w:t>"NGF_m2"</w:t>
      </w:r>
      <w:r>
        <w:rPr>
          <w:rStyle w:val="NormalTok"/>
        </w:rPr>
        <w:t xml:space="preserve">: row.NGF_m2, </w:t>
      </w:r>
      <w:r>
        <w:rPr>
          <w:rStyle w:val="StringTok"/>
        </w:rPr>
        <w:t>"BGF_target_m2"</w:t>
      </w:r>
      <w:r>
        <w:rPr>
          <w:rStyle w:val="NormalTok"/>
        </w:rPr>
        <w:t>: row.BGF_target_m2,</w:t>
      </w:r>
      <w:r>
        <w:br/>
      </w:r>
      <w:r>
        <w:rPr>
          <w:rStyle w:val="NormalTok"/>
        </w:rPr>
        <w:t xml:space="preserve">        </w:t>
      </w:r>
      <w:r>
        <w:rPr>
          <w:rStyle w:val="StringTok"/>
        </w:rPr>
        <w:t>"primary_region"</w:t>
      </w:r>
      <w:r>
        <w:rPr>
          <w:rStyle w:val="NormalTok"/>
        </w:rPr>
        <w:t xml:space="preserve">: primary_region, </w:t>
      </w:r>
      <w:r>
        <w:rPr>
          <w:rStyle w:val="StringTok"/>
        </w:rPr>
        <w:t>"primary_n"</w:t>
      </w:r>
      <w:r>
        <w:rPr>
          <w:rStyle w:val="NormalTok"/>
        </w:rPr>
        <w:t>: primary_n,</w:t>
      </w:r>
      <w:r>
        <w:br/>
      </w:r>
      <w:r>
        <w:rPr>
          <w:rStyle w:val="NormalTok"/>
        </w:rPr>
        <w:t xml:space="preserve">        </w:t>
      </w:r>
      <w:r>
        <w:rPr>
          <w:rStyle w:val="StringTok"/>
        </w:rPr>
        <w:t>"reference_region"</w:t>
      </w:r>
      <w:r>
        <w:rPr>
          <w:rStyle w:val="NormalTok"/>
        </w:rPr>
        <w:t>: source[</w:t>
      </w:r>
      <w:r>
        <w:rPr>
          <w:rStyle w:val="DecValTok"/>
        </w:rPr>
        <w:t>0</w:t>
      </w:r>
      <w:r>
        <w:rPr>
          <w:rStyle w:val="NormalTok"/>
        </w:rPr>
        <w:t xml:space="preserve">], </w:t>
      </w:r>
      <w:r>
        <w:rPr>
          <w:rStyle w:val="StringTok"/>
        </w:rPr>
        <w:t>"reference_gk"</w:t>
      </w:r>
      <w:r>
        <w:rPr>
          <w:rStyle w:val="NormalTok"/>
        </w:rPr>
        <w:t>: source[</w:t>
      </w:r>
      <w:r>
        <w:rPr>
          <w:rStyle w:val="DecValTok"/>
        </w:rPr>
        <w:t>1</w:t>
      </w:r>
      <w:r>
        <w:rPr>
          <w:rStyle w:val="NormalTok"/>
        </w:rPr>
        <w:t>],</w:t>
      </w:r>
      <w:r>
        <w:br/>
      </w:r>
      <w:r>
        <w:rPr>
          <w:rStyle w:val="NormalTok"/>
        </w:rPr>
        <w:t xml:space="preserve">        </w:t>
      </w:r>
      <w:r>
        <w:rPr>
          <w:rStyle w:val="StringTok"/>
        </w:rPr>
        <w:t>"status"</w:t>
      </w:r>
      <w:r>
        <w:rPr>
          <w:rStyle w:val="NormalTok"/>
        </w:rPr>
        <w:t xml:space="preserve">: status, </w:t>
      </w:r>
      <w:r>
        <w:rPr>
          <w:rStyle w:val="StringTok"/>
        </w:rPr>
        <w:t>"n_reference_buildings"</w:t>
      </w:r>
      <w:r>
        <w:rPr>
          <w:rStyle w:val="NormalTok"/>
        </w:rPr>
        <w:t xml:space="preserve">: </w:t>
      </w:r>
      <w:r>
        <w:rPr>
          <w:rStyle w:val="BuiltInTok"/>
        </w:rPr>
        <w:t>len</w:t>
      </w:r>
      <w:r>
        <w:rPr>
          <w:rStyle w:val="NormalTok"/>
        </w:rPr>
        <w:t>(reference_groups[source]),</w:t>
      </w:r>
      <w:r>
        <w:br/>
      </w:r>
      <w:r>
        <w:rPr>
          <w:rStyle w:val="NormalTok"/>
        </w:rPr>
        <w:t xml:space="preserve">    })</w:t>
      </w:r>
      <w:r>
        <w:br/>
      </w:r>
      <w:r>
        <w:rPr>
          <w:rStyle w:val="NormalTok"/>
        </w:rPr>
        <w:t xml:space="preserve">coverage </w:t>
      </w:r>
      <w:r>
        <w:rPr>
          <w:rStyle w:val="OperatorTok"/>
        </w:rPr>
        <w:t>=</w:t>
      </w:r>
      <w:r>
        <w:rPr>
          <w:rStyle w:val="NormalTok"/>
        </w:rPr>
        <w:t xml:space="preserve"> pd.DataFrame(coverage_rows)</w:t>
      </w:r>
      <w:r>
        <w:br/>
      </w:r>
      <w:r>
        <w:rPr>
          <w:rStyle w:val="BuiltInTok"/>
        </w:rPr>
        <w:t>print</w:t>
      </w:r>
      <w:r>
        <w:rPr>
          <w:rStyle w:val="NormalTok"/>
        </w:rPr>
        <w:t>(</w:t>
      </w:r>
      <w:r>
        <w:rPr>
          <w:rStyle w:val="StringTok"/>
        </w:rPr>
        <w:t>"Positive statistische Zielkombinationen:"</w:t>
      </w:r>
      <w:r>
        <w:rPr>
          <w:rStyle w:val="NormalTok"/>
        </w:rPr>
        <w:t xml:space="preserve">, </w:t>
      </w:r>
      <w:r>
        <w:rPr>
          <w:rStyle w:val="BuiltInTok"/>
        </w:rPr>
        <w:t>len</w:t>
      </w:r>
      <w:r>
        <w:rPr>
          <w:rStyle w:val="NormalTok"/>
        </w:rPr>
        <w:t>(coverage))</w:t>
      </w:r>
      <w:r>
        <w:br/>
      </w:r>
      <w:r>
        <w:rPr>
          <w:rStyle w:val="BuiltInTok"/>
        </w:rPr>
        <w:t>print</w:t>
      </w:r>
      <w:r>
        <w:rPr>
          <w:rStyle w:val="NormalTok"/>
        </w:rPr>
        <w:t>(</w:t>
      </w:r>
      <w:r>
        <w:rPr>
          <w:rStyle w:val="StringTok"/>
        </w:rPr>
        <w:t>"Unmittelbare Referenzen:"</w:t>
      </w:r>
      <w:r>
        <w:rPr>
          <w:rStyle w:val="NormalTok"/>
        </w:rPr>
        <w:t xml:space="preserve">, </w:t>
      </w:r>
      <w:r>
        <w:rPr>
          <w:rStyle w:val="BuiltInTok"/>
        </w:rPr>
        <w:t>int</w:t>
      </w:r>
      <w:r>
        <w:rPr>
          <w:rStyle w:val="NormalTok"/>
        </w:rPr>
        <w:t xml:space="preserve">((coverage.status </w:t>
      </w:r>
      <w:r>
        <w:rPr>
          <w:rStyle w:val="OperatorTok"/>
        </w:rPr>
        <w:t>==</w:t>
      </w:r>
      <w:r>
        <w:rPr>
          <w:rStyle w:val="NormalTok"/>
        </w:rPr>
        <w:t xml:space="preserve"> </w:t>
      </w:r>
      <w:r>
        <w:rPr>
          <w:rStyle w:val="StringTok"/>
        </w:rPr>
        <w:t>"reference-exact"</w:t>
      </w:r>
      <w:r>
        <w:rPr>
          <w:rStyle w:val="NormalTok"/>
        </w:rPr>
        <w:t>).</w:t>
      </w:r>
      <w:r>
        <w:rPr>
          <w:rStyle w:val="BuiltInTok"/>
        </w:rPr>
        <w:t>sum</w:t>
      </w:r>
      <w:r>
        <w:rPr>
          <w:rStyle w:val="NormalTok"/>
        </w:rPr>
        <w:t>()))</w:t>
      </w:r>
      <w:r>
        <w:br/>
      </w:r>
      <w:r>
        <w:rPr>
          <w:rStyle w:val="BuiltInTok"/>
        </w:rPr>
        <w:t>print</w:t>
      </w:r>
      <w:r>
        <w:rPr>
          <w:rStyle w:val="NormalTok"/>
        </w:rPr>
        <w:t>(</w:t>
      </w:r>
      <w:r>
        <w:rPr>
          <w:rStyle w:val="StringTok"/>
        </w:rPr>
        <w:t>"Ersatzreferenzen:"</w:t>
      </w:r>
      <w:r>
        <w:rPr>
          <w:rStyle w:val="NormalTok"/>
        </w:rPr>
        <w:t xml:space="preserve">, </w:t>
      </w:r>
      <w:r>
        <w:rPr>
          <w:rStyle w:val="BuiltInTok"/>
        </w:rPr>
        <w:t>int</w:t>
      </w:r>
      <w:r>
        <w:rPr>
          <w:rStyle w:val="NormalTok"/>
        </w:rPr>
        <w:t xml:space="preserve">((coverage.status </w:t>
      </w:r>
      <w:r>
        <w:rPr>
          <w:rStyle w:val="OperatorTok"/>
        </w:rPr>
        <w:t>!=</w:t>
      </w:r>
      <w:r>
        <w:rPr>
          <w:rStyle w:val="NormalTok"/>
        </w:rPr>
        <w:t xml:space="preserve"> </w:t>
      </w:r>
      <w:r>
        <w:rPr>
          <w:rStyle w:val="StringTok"/>
        </w:rPr>
        <w:t>"reference-exact"</w:t>
      </w:r>
      <w:r>
        <w:rPr>
          <w:rStyle w:val="NormalTok"/>
        </w:rPr>
        <w:t>).</w:t>
      </w:r>
      <w:r>
        <w:rPr>
          <w:rStyle w:val="BuiltInTok"/>
        </w:rPr>
        <w:t>sum</w:t>
      </w:r>
      <w:r>
        <w:rPr>
          <w:rStyle w:val="NormalTok"/>
        </w:rPr>
        <w:t>()))</w:t>
      </w:r>
      <w:r>
        <w:br/>
      </w:r>
      <w:r>
        <w:rPr>
          <w:rStyle w:val="NormalTok"/>
        </w:rPr>
        <w:t>display(coverage.groupby(</w:t>
      </w:r>
      <w:r>
        <w:rPr>
          <w:rStyle w:val="StringTok"/>
        </w:rPr>
        <w:t>"status"</w:t>
      </w:r>
      <w:r>
        <w:rPr>
          <w:rStyle w:val="NormalTok"/>
        </w:rPr>
        <w:t>).agg(Kombinationen</w:t>
      </w:r>
      <w:r>
        <w:rPr>
          <w:rStyle w:val="OperatorTok"/>
        </w:rPr>
        <w:t>=</w:t>
      </w:r>
      <w:r>
        <w:rPr>
          <w:rStyle w:val="NormalTok"/>
        </w:rPr>
        <w:t>(</w:t>
      </w:r>
      <w:r>
        <w:rPr>
          <w:rStyle w:val="StringTok"/>
        </w:rPr>
        <w:t>"status"</w:t>
      </w:r>
      <w:r>
        <w:rPr>
          <w:rStyle w:val="NormalTok"/>
        </w:rPr>
        <w:t xml:space="preserve">, </w:t>
      </w:r>
      <w:r>
        <w:rPr>
          <w:rStyle w:val="StringTok"/>
        </w:rPr>
        <w:t>"size"</w:t>
      </w:r>
      <w:r>
        <w:rPr>
          <w:rStyle w:val="NormalTok"/>
        </w:rPr>
        <w:t>),</w:t>
      </w:r>
      <w:r>
        <w:br/>
      </w:r>
      <w:r>
        <w:rPr>
          <w:rStyle w:val="NormalTok"/>
        </w:rPr>
        <w:t xml:space="preserve">                    BGF_Mio_m2</w:t>
      </w:r>
      <w:r>
        <w:rPr>
          <w:rStyle w:val="OperatorTok"/>
        </w:rPr>
        <w:t>=</w:t>
      </w:r>
      <w:r>
        <w:rPr>
          <w:rStyle w:val="NormalTok"/>
        </w:rPr>
        <w:t>(</w:t>
      </w:r>
      <w:r>
        <w:rPr>
          <w:rStyle w:val="StringTok"/>
        </w:rPr>
        <w:t>"BGF_target_m2"</w:t>
      </w:r>
      <w:r>
        <w:rPr>
          <w:rStyle w:val="NormalTok"/>
        </w:rPr>
        <w:t xml:space="preserve">, </w:t>
      </w:r>
      <w:r>
        <w:rPr>
          <w:rStyle w:val="KeywordTok"/>
        </w:rPr>
        <w:t>lambda</w:t>
      </w:r>
      <w:r>
        <w:rPr>
          <w:rStyle w:val="NormalTok"/>
        </w:rPr>
        <w:t xml:space="preserve"> s: s.</w:t>
      </w:r>
      <w:r>
        <w:rPr>
          <w:rStyle w:val="BuiltInTok"/>
        </w:rPr>
        <w:t>sum</w:t>
      </w:r>
      <w:r>
        <w:rPr>
          <w:rStyle w:val="NormalTok"/>
        </w:rPr>
        <w:t xml:space="preserve">() </w:t>
      </w:r>
      <w:r>
        <w:rPr>
          <w:rStyle w:val="OperatorTok"/>
        </w:rPr>
        <w:t>/</w:t>
      </w:r>
      <w:r>
        <w:rPr>
          <w:rStyle w:val="NormalTok"/>
        </w:rPr>
        <w:t xml:space="preserve"> </w:t>
      </w:r>
      <w:r>
        <w:rPr>
          <w:rStyle w:val="FloatTok"/>
        </w:rPr>
        <w:t>1e6</w:t>
      </w:r>
      <w:r>
        <w:rPr>
          <w:rStyle w:val="NormalTok"/>
        </w:rPr>
        <w:t>)).</w:t>
      </w:r>
      <w:r>
        <w:rPr>
          <w:rStyle w:val="BuiltInTok"/>
        </w:rPr>
        <w:t>round</w:t>
      </w:r>
      <w:r>
        <w:rPr>
          <w:rStyle w:val="NormalTok"/>
        </w:rPr>
        <w:t>(</w:t>
      </w:r>
      <w:r>
        <w:rPr>
          <w:rStyle w:val="DecValTok"/>
        </w:rPr>
        <w:t>3</w:t>
      </w:r>
      <w:r>
        <w:rPr>
          <w:rStyle w:val="NormalTok"/>
        </w:rPr>
        <w:t>))</w:t>
      </w:r>
      <w:r>
        <w:br/>
      </w:r>
      <w:r>
        <w:rPr>
          <w:rStyle w:val="NormalTok"/>
        </w:rPr>
        <w:lastRenderedPageBreak/>
        <w:t xml:space="preserve">display(coverage.loc[coverage.status </w:t>
      </w:r>
      <w:r>
        <w:rPr>
          <w:rStyle w:val="OperatorTok"/>
        </w:rPr>
        <w:t>!=</w:t>
      </w:r>
      <w:r>
        <w:rPr>
          <w:rStyle w:val="NormalTok"/>
        </w:rPr>
        <w:t xml:space="preserve"> </w:t>
      </w:r>
      <w:r>
        <w:rPr>
          <w:rStyle w:val="StringTok"/>
        </w:rPr>
        <w:t>"reference-exact"</w:t>
      </w:r>
      <w:r>
        <w:rPr>
          <w:rStyle w:val="NormalTok"/>
        </w:rPr>
        <w:t>, [</w:t>
      </w:r>
      <w:r>
        <w:rPr>
          <w:rStyle w:val="StringTok"/>
        </w:rPr>
        <w:t>"Bundesland"</w:t>
      </w:r>
      <w:r>
        <w:rPr>
          <w:rStyle w:val="NormalTok"/>
        </w:rPr>
        <w:t xml:space="preserve">, </w:t>
      </w:r>
      <w:r>
        <w:rPr>
          <w:rStyle w:val="StringTok"/>
        </w:rPr>
        <w:t>"GK"</w:t>
      </w:r>
      <w:r>
        <w:rPr>
          <w:rStyle w:val="NormalTok"/>
        </w:rPr>
        <w:t xml:space="preserve">, </w:t>
      </w:r>
      <w:r>
        <w:rPr>
          <w:rStyle w:val="StringTok"/>
        </w:rPr>
        <w:t>"GWR_Nutzung"</w:t>
      </w:r>
      <w:r>
        <w:rPr>
          <w:rStyle w:val="NormalTok"/>
        </w:rPr>
        <w:t>,</w:t>
      </w:r>
      <w:r>
        <w:br/>
      </w:r>
      <w:r>
        <w:rPr>
          <w:rStyle w:val="NormalTok"/>
        </w:rPr>
        <w:t xml:space="preserve">               </w:t>
      </w:r>
      <w:r>
        <w:rPr>
          <w:rStyle w:val="StringTok"/>
        </w:rPr>
        <w:t>"primary_n"</w:t>
      </w:r>
      <w:r>
        <w:rPr>
          <w:rStyle w:val="NormalTok"/>
        </w:rPr>
        <w:t xml:space="preserve">, </w:t>
      </w:r>
      <w:r>
        <w:rPr>
          <w:rStyle w:val="StringTok"/>
        </w:rPr>
        <w:t>"reference_region"</w:t>
      </w:r>
      <w:r>
        <w:rPr>
          <w:rStyle w:val="NormalTok"/>
        </w:rPr>
        <w:t xml:space="preserve">, </w:t>
      </w:r>
      <w:r>
        <w:rPr>
          <w:rStyle w:val="StringTok"/>
        </w:rPr>
        <w:t>"reference_gk"</w:t>
      </w:r>
      <w:r>
        <w:rPr>
          <w:rStyle w:val="NormalTok"/>
        </w:rPr>
        <w:t xml:space="preserve">, </w:t>
      </w:r>
      <w:r>
        <w:rPr>
          <w:rStyle w:val="StringTok"/>
        </w:rPr>
        <w:t>"n_reference_buildings"</w:t>
      </w:r>
      <w:r>
        <w:rPr>
          <w:rStyle w:val="NormalTok"/>
        </w:rPr>
        <w:t xml:space="preserve">, </w:t>
      </w:r>
      <w:r>
        <w:rPr>
          <w:rStyle w:val="StringTok"/>
        </w:rPr>
        <w:t>"status"</w:t>
      </w:r>
      <w:r>
        <w:rPr>
          <w:rStyle w:val="NormalTok"/>
        </w:rPr>
        <w:t>]].head(</w:t>
      </w:r>
      <w:r>
        <w:rPr>
          <w:rStyle w:val="DecValTok"/>
        </w:rPr>
        <w:t>30</w:t>
      </w:r>
      <w:r>
        <w:rPr>
          <w:rStyle w:val="NormalTok"/>
        </w:rPr>
        <w:t>))</w:t>
      </w:r>
    </w:p>
    <w:p w14:paraId="7D6762DE" w14:textId="77777777" w:rsidR="004E4CC2" w:rsidRDefault="00000000">
      <w:pPr>
        <w:pStyle w:val="SourceCode"/>
      </w:pPr>
      <w:r>
        <w:rPr>
          <w:rStyle w:val="VerbatimChar"/>
        </w:rPr>
        <w:t>Positive statistische Zielkombinationen: 516</w:t>
      </w:r>
      <w:r>
        <w:br/>
      </w:r>
      <w:r>
        <w:rPr>
          <w:rStyle w:val="VerbatimChar"/>
        </w:rPr>
        <w:t>Unmittelbare Referenzen: 425</w:t>
      </w:r>
      <w:r>
        <w:br/>
      </w:r>
      <w:r>
        <w:rPr>
          <w:rStyle w:val="VerbatimChar"/>
        </w:rPr>
        <w:t>Ersatzreferenzen: 91</w:t>
      </w:r>
    </w:p>
    <w:tbl>
      <w:tblPr>
        <w:tblStyle w:val="Table"/>
        <w:tblW w:w="0" w:type="auto"/>
        <w:tblLook w:val="0020" w:firstRow="1" w:lastRow="0" w:firstColumn="0" w:lastColumn="0" w:noHBand="0" w:noVBand="0"/>
      </w:tblPr>
      <w:tblGrid>
        <w:gridCol w:w="458"/>
        <w:gridCol w:w="1313"/>
        <w:gridCol w:w="457"/>
        <w:gridCol w:w="1688"/>
        <w:gridCol w:w="865"/>
        <w:gridCol w:w="1314"/>
        <w:gridCol w:w="1056"/>
        <w:gridCol w:w="1654"/>
        <w:gridCol w:w="817"/>
      </w:tblGrid>
      <w:tr w:rsidR="004E4CC2" w14:paraId="3245500B"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0248D676" w14:textId="77777777" w:rsidR="004E4CC2" w:rsidRDefault="004E4CC2">
            <w:pPr>
              <w:pStyle w:val="Compact"/>
            </w:pPr>
          </w:p>
        </w:tc>
        <w:tc>
          <w:tcPr>
            <w:tcW w:w="0" w:type="auto"/>
            <w:gridSpan w:val="3"/>
          </w:tcPr>
          <w:p w14:paraId="3F58316D" w14:textId="77777777" w:rsidR="004E4CC2" w:rsidRDefault="00000000">
            <w:pPr>
              <w:pStyle w:val="Compact"/>
            </w:pPr>
            <w:r>
              <w:t>Kombinationen</w:t>
            </w:r>
          </w:p>
        </w:tc>
        <w:tc>
          <w:tcPr>
            <w:tcW w:w="0" w:type="auto"/>
            <w:gridSpan w:val="3"/>
          </w:tcPr>
          <w:p w14:paraId="356D0428" w14:textId="77777777" w:rsidR="004E4CC2" w:rsidRDefault="00000000">
            <w:pPr>
              <w:pStyle w:val="Compact"/>
            </w:pPr>
            <w:r>
              <w:t>BGF_Mio_m2</w:t>
            </w:r>
          </w:p>
        </w:tc>
      </w:tr>
      <w:tr w:rsidR="004E4CC2" w14:paraId="74CB1A56"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281C83D9" w14:textId="77777777" w:rsidR="004E4CC2" w:rsidRDefault="00000000">
            <w:pPr>
              <w:pStyle w:val="Compact"/>
            </w:pPr>
            <w:r>
              <w:t>status</w:t>
            </w:r>
          </w:p>
        </w:tc>
        <w:tc>
          <w:tcPr>
            <w:tcW w:w="0" w:type="auto"/>
            <w:gridSpan w:val="3"/>
          </w:tcPr>
          <w:p w14:paraId="68FAEB1B" w14:textId="77777777" w:rsidR="004E4CC2" w:rsidRDefault="004E4CC2">
            <w:pPr>
              <w:pStyle w:val="Compact"/>
            </w:pPr>
          </w:p>
        </w:tc>
        <w:tc>
          <w:tcPr>
            <w:tcW w:w="0" w:type="auto"/>
            <w:gridSpan w:val="3"/>
          </w:tcPr>
          <w:p w14:paraId="7D1A4B63" w14:textId="77777777" w:rsidR="004E4CC2" w:rsidRDefault="004E4CC2">
            <w:pPr>
              <w:pStyle w:val="Compact"/>
            </w:pPr>
          </w:p>
        </w:tc>
      </w:tr>
      <w:tr w:rsidR="004E4CC2" w14:paraId="2A255A28" w14:textId="77777777">
        <w:tc>
          <w:tcPr>
            <w:tcW w:w="0" w:type="auto"/>
            <w:gridSpan w:val="3"/>
          </w:tcPr>
          <w:p w14:paraId="2EBE3B5F" w14:textId="77777777" w:rsidR="004E4CC2" w:rsidRDefault="00000000">
            <w:pPr>
              <w:pStyle w:val="Compact"/>
            </w:pPr>
            <w:r>
              <w:t>fallback-salzburg-nearest-storey</w:t>
            </w:r>
          </w:p>
        </w:tc>
        <w:tc>
          <w:tcPr>
            <w:tcW w:w="0" w:type="auto"/>
            <w:gridSpan w:val="3"/>
          </w:tcPr>
          <w:p w14:paraId="52F8752A" w14:textId="77777777" w:rsidR="004E4CC2" w:rsidRDefault="00000000">
            <w:pPr>
              <w:pStyle w:val="Compact"/>
            </w:pPr>
            <w:r>
              <w:t>3</w:t>
            </w:r>
          </w:p>
        </w:tc>
        <w:tc>
          <w:tcPr>
            <w:tcW w:w="0" w:type="auto"/>
            <w:gridSpan w:val="3"/>
          </w:tcPr>
          <w:p w14:paraId="20B3BB4E" w14:textId="77777777" w:rsidR="004E4CC2" w:rsidRDefault="00000000">
            <w:pPr>
              <w:pStyle w:val="Compact"/>
            </w:pPr>
            <w:r>
              <w:t>0.066</w:t>
            </w:r>
          </w:p>
        </w:tc>
      </w:tr>
      <w:tr w:rsidR="004E4CC2" w14:paraId="58B3EC8B" w14:textId="77777777">
        <w:tc>
          <w:tcPr>
            <w:tcW w:w="0" w:type="auto"/>
            <w:gridSpan w:val="3"/>
          </w:tcPr>
          <w:p w14:paraId="76007A8F" w14:textId="77777777" w:rsidR="004E4CC2" w:rsidRDefault="00000000">
            <w:pPr>
              <w:pStyle w:val="Compact"/>
            </w:pPr>
            <w:r>
              <w:t>fallback-vienna-exact</w:t>
            </w:r>
          </w:p>
        </w:tc>
        <w:tc>
          <w:tcPr>
            <w:tcW w:w="0" w:type="auto"/>
            <w:gridSpan w:val="3"/>
          </w:tcPr>
          <w:p w14:paraId="0B6AAB7A" w14:textId="77777777" w:rsidR="004E4CC2" w:rsidRDefault="00000000">
            <w:pPr>
              <w:pStyle w:val="Compact"/>
            </w:pPr>
            <w:r>
              <w:t>84</w:t>
            </w:r>
          </w:p>
        </w:tc>
        <w:tc>
          <w:tcPr>
            <w:tcW w:w="0" w:type="auto"/>
            <w:gridSpan w:val="3"/>
          </w:tcPr>
          <w:p w14:paraId="16410D9D" w14:textId="77777777" w:rsidR="004E4CC2" w:rsidRDefault="00000000">
            <w:pPr>
              <w:pStyle w:val="Compact"/>
            </w:pPr>
            <w:r>
              <w:t>17.362</w:t>
            </w:r>
          </w:p>
        </w:tc>
      </w:tr>
      <w:tr w:rsidR="004E4CC2" w14:paraId="03A99456" w14:textId="77777777">
        <w:tc>
          <w:tcPr>
            <w:tcW w:w="0" w:type="auto"/>
            <w:gridSpan w:val="3"/>
          </w:tcPr>
          <w:p w14:paraId="0986664B" w14:textId="77777777" w:rsidR="004E4CC2" w:rsidRDefault="00000000">
            <w:pPr>
              <w:pStyle w:val="Compact"/>
            </w:pPr>
            <w:r>
              <w:t>fallback-wien-nearest-storey</w:t>
            </w:r>
          </w:p>
        </w:tc>
        <w:tc>
          <w:tcPr>
            <w:tcW w:w="0" w:type="auto"/>
            <w:gridSpan w:val="3"/>
          </w:tcPr>
          <w:p w14:paraId="040EFDE7" w14:textId="77777777" w:rsidR="004E4CC2" w:rsidRDefault="00000000">
            <w:pPr>
              <w:pStyle w:val="Compact"/>
            </w:pPr>
            <w:r>
              <w:t>4</w:t>
            </w:r>
          </w:p>
        </w:tc>
        <w:tc>
          <w:tcPr>
            <w:tcW w:w="0" w:type="auto"/>
            <w:gridSpan w:val="3"/>
          </w:tcPr>
          <w:p w14:paraId="4E2F324D" w14:textId="77777777" w:rsidR="004E4CC2" w:rsidRDefault="00000000">
            <w:pPr>
              <w:pStyle w:val="Compact"/>
            </w:pPr>
            <w:r>
              <w:t>0.532</w:t>
            </w:r>
          </w:p>
        </w:tc>
      </w:tr>
      <w:tr w:rsidR="004E4CC2" w14:paraId="3878F69D" w14:textId="77777777">
        <w:tc>
          <w:tcPr>
            <w:tcW w:w="0" w:type="auto"/>
            <w:gridSpan w:val="3"/>
          </w:tcPr>
          <w:p w14:paraId="1BAC4AFC" w14:textId="77777777" w:rsidR="004E4CC2" w:rsidRDefault="00000000">
            <w:pPr>
              <w:pStyle w:val="Compact"/>
            </w:pPr>
            <w:r>
              <w:t>reference-exact</w:t>
            </w:r>
          </w:p>
        </w:tc>
        <w:tc>
          <w:tcPr>
            <w:tcW w:w="0" w:type="auto"/>
            <w:gridSpan w:val="3"/>
          </w:tcPr>
          <w:p w14:paraId="3BC571AD" w14:textId="77777777" w:rsidR="004E4CC2" w:rsidRDefault="00000000">
            <w:pPr>
              <w:pStyle w:val="Compact"/>
            </w:pPr>
            <w:r>
              <w:t>425</w:t>
            </w:r>
          </w:p>
        </w:tc>
        <w:tc>
          <w:tcPr>
            <w:tcW w:w="0" w:type="auto"/>
            <w:gridSpan w:val="3"/>
          </w:tcPr>
          <w:p w14:paraId="20A6C24E" w14:textId="77777777" w:rsidR="004E4CC2" w:rsidRDefault="00000000">
            <w:pPr>
              <w:pStyle w:val="Compact"/>
            </w:pPr>
            <w:r>
              <w:t>1040.974</w:t>
            </w:r>
          </w:p>
        </w:tc>
      </w:tr>
      <w:tr w:rsidR="004E4CC2" w14:paraId="53A6CA2E" w14:textId="77777777" w:rsidTr="004E4CC2">
        <w:trPr>
          <w:tblHeader/>
        </w:trPr>
        <w:tc>
          <w:tcPr>
            <w:tcW w:w="0" w:type="auto"/>
          </w:tcPr>
          <w:p w14:paraId="1399BB6E" w14:textId="77777777" w:rsidR="004E4CC2" w:rsidRDefault="004E4CC2">
            <w:pPr>
              <w:pStyle w:val="Compact"/>
            </w:pPr>
          </w:p>
        </w:tc>
        <w:tc>
          <w:tcPr>
            <w:tcW w:w="0" w:type="auto"/>
          </w:tcPr>
          <w:p w14:paraId="0BB82F00" w14:textId="77777777" w:rsidR="004E4CC2" w:rsidRDefault="00000000">
            <w:pPr>
              <w:pStyle w:val="Compact"/>
            </w:pPr>
            <w:r>
              <w:t>Bundesland</w:t>
            </w:r>
          </w:p>
        </w:tc>
        <w:tc>
          <w:tcPr>
            <w:tcW w:w="0" w:type="auto"/>
          </w:tcPr>
          <w:p w14:paraId="33EFC3C8" w14:textId="77777777" w:rsidR="004E4CC2" w:rsidRDefault="00000000">
            <w:pPr>
              <w:pStyle w:val="Compact"/>
            </w:pPr>
            <w:r>
              <w:t>GK</w:t>
            </w:r>
          </w:p>
        </w:tc>
        <w:tc>
          <w:tcPr>
            <w:tcW w:w="0" w:type="auto"/>
          </w:tcPr>
          <w:p w14:paraId="10368CA7" w14:textId="77777777" w:rsidR="004E4CC2" w:rsidRDefault="00000000">
            <w:pPr>
              <w:pStyle w:val="Compact"/>
            </w:pPr>
            <w:r>
              <w:t>GWR_Nutzung</w:t>
            </w:r>
          </w:p>
        </w:tc>
        <w:tc>
          <w:tcPr>
            <w:tcW w:w="0" w:type="auto"/>
          </w:tcPr>
          <w:p w14:paraId="17BE909A" w14:textId="77777777" w:rsidR="004E4CC2" w:rsidRDefault="00000000">
            <w:pPr>
              <w:pStyle w:val="Compact"/>
            </w:pPr>
            <w:r>
              <w:t>primary_n</w:t>
            </w:r>
          </w:p>
        </w:tc>
        <w:tc>
          <w:tcPr>
            <w:tcW w:w="0" w:type="auto"/>
          </w:tcPr>
          <w:p w14:paraId="04BE24B0" w14:textId="77777777" w:rsidR="004E4CC2" w:rsidRDefault="00000000">
            <w:pPr>
              <w:pStyle w:val="Compact"/>
            </w:pPr>
            <w:r>
              <w:t>reference_region</w:t>
            </w:r>
          </w:p>
        </w:tc>
        <w:tc>
          <w:tcPr>
            <w:tcW w:w="0" w:type="auto"/>
          </w:tcPr>
          <w:p w14:paraId="0D922505" w14:textId="77777777" w:rsidR="004E4CC2" w:rsidRDefault="00000000">
            <w:pPr>
              <w:pStyle w:val="Compact"/>
            </w:pPr>
            <w:r>
              <w:t>reference_gk</w:t>
            </w:r>
          </w:p>
        </w:tc>
        <w:tc>
          <w:tcPr>
            <w:tcW w:w="0" w:type="auto"/>
          </w:tcPr>
          <w:p w14:paraId="3AA2E352" w14:textId="77777777" w:rsidR="004E4CC2" w:rsidRDefault="00000000">
            <w:pPr>
              <w:pStyle w:val="Compact"/>
            </w:pPr>
            <w:r>
              <w:t>n_reference_buildings</w:t>
            </w:r>
          </w:p>
        </w:tc>
        <w:tc>
          <w:tcPr>
            <w:tcW w:w="0" w:type="auto"/>
          </w:tcPr>
          <w:p w14:paraId="15F7849A" w14:textId="77777777" w:rsidR="004E4CC2" w:rsidRDefault="00000000">
            <w:pPr>
              <w:pStyle w:val="Compact"/>
            </w:pPr>
            <w:r>
              <w:t>status</w:t>
            </w:r>
          </w:p>
        </w:tc>
      </w:tr>
      <w:tr w:rsidR="004E4CC2" w14:paraId="04DA761C" w14:textId="77777777">
        <w:tc>
          <w:tcPr>
            <w:tcW w:w="0" w:type="auto"/>
          </w:tcPr>
          <w:p w14:paraId="40A7366E" w14:textId="77777777" w:rsidR="004E4CC2" w:rsidRDefault="00000000">
            <w:pPr>
              <w:pStyle w:val="Compact"/>
            </w:pPr>
            <w:r>
              <w:t>24</w:t>
            </w:r>
          </w:p>
        </w:tc>
        <w:tc>
          <w:tcPr>
            <w:tcW w:w="0" w:type="auto"/>
          </w:tcPr>
          <w:p w14:paraId="69DFED21" w14:textId="77777777" w:rsidR="004E4CC2" w:rsidRDefault="00000000">
            <w:pPr>
              <w:pStyle w:val="Compact"/>
            </w:pPr>
            <w:r>
              <w:t>Oberösterreich</w:t>
            </w:r>
          </w:p>
        </w:tc>
        <w:tc>
          <w:tcPr>
            <w:tcW w:w="0" w:type="auto"/>
          </w:tcPr>
          <w:p w14:paraId="4E98FCA7" w14:textId="77777777" w:rsidR="004E4CC2" w:rsidRDefault="00000000">
            <w:pPr>
              <w:pStyle w:val="Compact"/>
            </w:pPr>
            <w:r>
              <w:t>11+</w:t>
            </w:r>
          </w:p>
        </w:tc>
        <w:tc>
          <w:tcPr>
            <w:tcW w:w="0" w:type="auto"/>
          </w:tcPr>
          <w:p w14:paraId="5E21818F" w14:textId="77777777" w:rsidR="004E4CC2" w:rsidRDefault="00000000">
            <w:pPr>
              <w:pStyle w:val="Compact"/>
            </w:pPr>
            <w:r>
              <w:t>Hotels o.Ä.</w:t>
            </w:r>
          </w:p>
        </w:tc>
        <w:tc>
          <w:tcPr>
            <w:tcW w:w="0" w:type="auto"/>
          </w:tcPr>
          <w:p w14:paraId="4674448F" w14:textId="77777777" w:rsidR="004E4CC2" w:rsidRDefault="00000000">
            <w:pPr>
              <w:pStyle w:val="Compact"/>
            </w:pPr>
            <w:r>
              <w:t>0</w:t>
            </w:r>
          </w:p>
        </w:tc>
        <w:tc>
          <w:tcPr>
            <w:tcW w:w="0" w:type="auto"/>
          </w:tcPr>
          <w:p w14:paraId="7576F438" w14:textId="77777777" w:rsidR="004E4CC2" w:rsidRDefault="00000000">
            <w:pPr>
              <w:pStyle w:val="Compact"/>
            </w:pPr>
            <w:r>
              <w:t>Wien</w:t>
            </w:r>
          </w:p>
        </w:tc>
        <w:tc>
          <w:tcPr>
            <w:tcW w:w="0" w:type="auto"/>
          </w:tcPr>
          <w:p w14:paraId="6F83F31D" w14:textId="77777777" w:rsidR="004E4CC2" w:rsidRDefault="00000000">
            <w:pPr>
              <w:pStyle w:val="Compact"/>
            </w:pPr>
            <w:r>
              <w:t>11+</w:t>
            </w:r>
          </w:p>
        </w:tc>
        <w:tc>
          <w:tcPr>
            <w:tcW w:w="0" w:type="auto"/>
          </w:tcPr>
          <w:p w14:paraId="34129998" w14:textId="77777777" w:rsidR="004E4CC2" w:rsidRDefault="00000000">
            <w:pPr>
              <w:pStyle w:val="Compact"/>
            </w:pPr>
            <w:r>
              <w:t>20</w:t>
            </w:r>
          </w:p>
        </w:tc>
        <w:tc>
          <w:tcPr>
            <w:tcW w:w="0" w:type="auto"/>
          </w:tcPr>
          <w:p w14:paraId="489B3203" w14:textId="77777777" w:rsidR="004E4CC2" w:rsidRDefault="00000000">
            <w:pPr>
              <w:pStyle w:val="Compact"/>
            </w:pPr>
            <w:r>
              <w:t>fallback-vienna-exact</w:t>
            </w:r>
          </w:p>
        </w:tc>
      </w:tr>
      <w:tr w:rsidR="004E4CC2" w14:paraId="4FD5C9DE" w14:textId="77777777">
        <w:tc>
          <w:tcPr>
            <w:tcW w:w="0" w:type="auto"/>
          </w:tcPr>
          <w:p w14:paraId="4BF1BB8E" w14:textId="77777777" w:rsidR="004E4CC2" w:rsidRDefault="00000000">
            <w:pPr>
              <w:pStyle w:val="Compact"/>
            </w:pPr>
            <w:r>
              <w:t>43</w:t>
            </w:r>
          </w:p>
        </w:tc>
        <w:tc>
          <w:tcPr>
            <w:tcW w:w="0" w:type="auto"/>
          </w:tcPr>
          <w:p w14:paraId="13B516F2" w14:textId="77777777" w:rsidR="004E4CC2" w:rsidRDefault="00000000">
            <w:pPr>
              <w:pStyle w:val="Compact"/>
            </w:pPr>
            <w:r>
              <w:t>Tirol</w:t>
            </w:r>
          </w:p>
        </w:tc>
        <w:tc>
          <w:tcPr>
            <w:tcW w:w="0" w:type="auto"/>
          </w:tcPr>
          <w:p w14:paraId="253E0C05" w14:textId="77777777" w:rsidR="004E4CC2" w:rsidRDefault="00000000">
            <w:pPr>
              <w:pStyle w:val="Compact"/>
            </w:pPr>
            <w:r>
              <w:t>11+</w:t>
            </w:r>
          </w:p>
        </w:tc>
        <w:tc>
          <w:tcPr>
            <w:tcW w:w="0" w:type="auto"/>
          </w:tcPr>
          <w:p w14:paraId="585FE7F1" w14:textId="77777777" w:rsidR="004E4CC2" w:rsidRDefault="00000000">
            <w:pPr>
              <w:pStyle w:val="Compact"/>
            </w:pPr>
            <w:r>
              <w:t>Hotels o.Ä.</w:t>
            </w:r>
          </w:p>
        </w:tc>
        <w:tc>
          <w:tcPr>
            <w:tcW w:w="0" w:type="auto"/>
          </w:tcPr>
          <w:p w14:paraId="7251F75E" w14:textId="77777777" w:rsidR="004E4CC2" w:rsidRDefault="00000000">
            <w:pPr>
              <w:pStyle w:val="Compact"/>
            </w:pPr>
            <w:r>
              <w:t>0</w:t>
            </w:r>
          </w:p>
        </w:tc>
        <w:tc>
          <w:tcPr>
            <w:tcW w:w="0" w:type="auto"/>
          </w:tcPr>
          <w:p w14:paraId="4D8BC3CA" w14:textId="77777777" w:rsidR="004E4CC2" w:rsidRDefault="00000000">
            <w:pPr>
              <w:pStyle w:val="Compact"/>
            </w:pPr>
            <w:r>
              <w:t>Wien</w:t>
            </w:r>
          </w:p>
        </w:tc>
        <w:tc>
          <w:tcPr>
            <w:tcW w:w="0" w:type="auto"/>
          </w:tcPr>
          <w:p w14:paraId="05E2F2EE" w14:textId="77777777" w:rsidR="004E4CC2" w:rsidRDefault="00000000">
            <w:pPr>
              <w:pStyle w:val="Compact"/>
            </w:pPr>
            <w:r>
              <w:t>11+</w:t>
            </w:r>
          </w:p>
        </w:tc>
        <w:tc>
          <w:tcPr>
            <w:tcW w:w="0" w:type="auto"/>
          </w:tcPr>
          <w:p w14:paraId="6E8E4011" w14:textId="77777777" w:rsidR="004E4CC2" w:rsidRDefault="00000000">
            <w:pPr>
              <w:pStyle w:val="Compact"/>
            </w:pPr>
            <w:r>
              <w:t>20</w:t>
            </w:r>
          </w:p>
        </w:tc>
        <w:tc>
          <w:tcPr>
            <w:tcW w:w="0" w:type="auto"/>
          </w:tcPr>
          <w:p w14:paraId="623CC170" w14:textId="77777777" w:rsidR="004E4CC2" w:rsidRDefault="00000000">
            <w:pPr>
              <w:pStyle w:val="Compact"/>
            </w:pPr>
            <w:r>
              <w:t>fallback-vienna-exact</w:t>
            </w:r>
          </w:p>
        </w:tc>
      </w:tr>
      <w:tr w:rsidR="004E4CC2" w14:paraId="5AF1F90E" w14:textId="77777777">
        <w:tc>
          <w:tcPr>
            <w:tcW w:w="0" w:type="auto"/>
          </w:tcPr>
          <w:p w14:paraId="57AE1DDE" w14:textId="77777777" w:rsidR="004E4CC2" w:rsidRDefault="00000000">
            <w:pPr>
              <w:pStyle w:val="Compact"/>
            </w:pPr>
            <w:r>
              <w:t>50</w:t>
            </w:r>
          </w:p>
        </w:tc>
        <w:tc>
          <w:tcPr>
            <w:tcW w:w="0" w:type="auto"/>
          </w:tcPr>
          <w:p w14:paraId="4DBCADC8" w14:textId="77777777" w:rsidR="004E4CC2" w:rsidRDefault="00000000">
            <w:pPr>
              <w:pStyle w:val="Compact"/>
            </w:pPr>
            <w:r>
              <w:t>Vorarlberg</w:t>
            </w:r>
          </w:p>
        </w:tc>
        <w:tc>
          <w:tcPr>
            <w:tcW w:w="0" w:type="auto"/>
          </w:tcPr>
          <w:p w14:paraId="5A63AD38" w14:textId="77777777" w:rsidR="004E4CC2" w:rsidRDefault="00000000">
            <w:pPr>
              <w:pStyle w:val="Compact"/>
            </w:pPr>
            <w:r>
              <w:t>11+</w:t>
            </w:r>
          </w:p>
        </w:tc>
        <w:tc>
          <w:tcPr>
            <w:tcW w:w="0" w:type="auto"/>
          </w:tcPr>
          <w:p w14:paraId="3CF915D6" w14:textId="77777777" w:rsidR="004E4CC2" w:rsidRDefault="00000000">
            <w:pPr>
              <w:pStyle w:val="Compact"/>
            </w:pPr>
            <w:r>
              <w:t>Hotels o.Ä.</w:t>
            </w:r>
          </w:p>
        </w:tc>
        <w:tc>
          <w:tcPr>
            <w:tcW w:w="0" w:type="auto"/>
          </w:tcPr>
          <w:p w14:paraId="3AC77A13" w14:textId="77777777" w:rsidR="004E4CC2" w:rsidRDefault="00000000">
            <w:pPr>
              <w:pStyle w:val="Compact"/>
            </w:pPr>
            <w:r>
              <w:t>0</w:t>
            </w:r>
          </w:p>
        </w:tc>
        <w:tc>
          <w:tcPr>
            <w:tcW w:w="0" w:type="auto"/>
          </w:tcPr>
          <w:p w14:paraId="11A301BF" w14:textId="77777777" w:rsidR="004E4CC2" w:rsidRDefault="00000000">
            <w:pPr>
              <w:pStyle w:val="Compact"/>
            </w:pPr>
            <w:r>
              <w:t>Wien</w:t>
            </w:r>
          </w:p>
        </w:tc>
        <w:tc>
          <w:tcPr>
            <w:tcW w:w="0" w:type="auto"/>
          </w:tcPr>
          <w:p w14:paraId="3586C3DF" w14:textId="77777777" w:rsidR="004E4CC2" w:rsidRDefault="00000000">
            <w:pPr>
              <w:pStyle w:val="Compact"/>
            </w:pPr>
            <w:r>
              <w:t>11+</w:t>
            </w:r>
          </w:p>
        </w:tc>
        <w:tc>
          <w:tcPr>
            <w:tcW w:w="0" w:type="auto"/>
          </w:tcPr>
          <w:p w14:paraId="0E15006E" w14:textId="77777777" w:rsidR="004E4CC2" w:rsidRDefault="00000000">
            <w:pPr>
              <w:pStyle w:val="Compact"/>
            </w:pPr>
            <w:r>
              <w:t>20</w:t>
            </w:r>
          </w:p>
        </w:tc>
        <w:tc>
          <w:tcPr>
            <w:tcW w:w="0" w:type="auto"/>
          </w:tcPr>
          <w:p w14:paraId="56BE3B33" w14:textId="77777777" w:rsidR="004E4CC2" w:rsidRDefault="00000000">
            <w:pPr>
              <w:pStyle w:val="Compact"/>
            </w:pPr>
            <w:r>
              <w:t>fallback-vienna-exact</w:t>
            </w:r>
          </w:p>
        </w:tc>
      </w:tr>
      <w:tr w:rsidR="004E4CC2" w14:paraId="608CABF5" w14:textId="77777777">
        <w:tc>
          <w:tcPr>
            <w:tcW w:w="0" w:type="auto"/>
          </w:tcPr>
          <w:p w14:paraId="0FEC6CA6" w14:textId="77777777" w:rsidR="004E4CC2" w:rsidRDefault="00000000">
            <w:pPr>
              <w:pStyle w:val="Compact"/>
            </w:pPr>
            <w:r>
              <w:t>70</w:t>
            </w:r>
          </w:p>
        </w:tc>
        <w:tc>
          <w:tcPr>
            <w:tcW w:w="0" w:type="auto"/>
          </w:tcPr>
          <w:p w14:paraId="7C10D89E" w14:textId="77777777" w:rsidR="004E4CC2" w:rsidRDefault="00000000">
            <w:pPr>
              <w:pStyle w:val="Compact"/>
            </w:pPr>
            <w:r>
              <w:t>Kärnten</w:t>
            </w:r>
          </w:p>
        </w:tc>
        <w:tc>
          <w:tcPr>
            <w:tcW w:w="0" w:type="auto"/>
          </w:tcPr>
          <w:p w14:paraId="2D532E12" w14:textId="77777777" w:rsidR="004E4CC2" w:rsidRDefault="00000000">
            <w:pPr>
              <w:pStyle w:val="Compact"/>
            </w:pPr>
            <w:r>
              <w:t>11+</w:t>
            </w:r>
          </w:p>
        </w:tc>
        <w:tc>
          <w:tcPr>
            <w:tcW w:w="0" w:type="auto"/>
          </w:tcPr>
          <w:p w14:paraId="6B1B2800" w14:textId="77777777" w:rsidR="004E4CC2" w:rsidRDefault="00000000">
            <w:pPr>
              <w:pStyle w:val="Compact"/>
            </w:pPr>
            <w:r>
              <w:t>Büronutzung</w:t>
            </w:r>
          </w:p>
        </w:tc>
        <w:tc>
          <w:tcPr>
            <w:tcW w:w="0" w:type="auto"/>
          </w:tcPr>
          <w:p w14:paraId="0BDA8270" w14:textId="77777777" w:rsidR="004E4CC2" w:rsidRDefault="00000000">
            <w:pPr>
              <w:pStyle w:val="Compact"/>
            </w:pPr>
            <w:r>
              <w:t>0</w:t>
            </w:r>
          </w:p>
        </w:tc>
        <w:tc>
          <w:tcPr>
            <w:tcW w:w="0" w:type="auto"/>
          </w:tcPr>
          <w:p w14:paraId="58CAAEAB" w14:textId="77777777" w:rsidR="004E4CC2" w:rsidRDefault="00000000">
            <w:pPr>
              <w:pStyle w:val="Compact"/>
            </w:pPr>
            <w:r>
              <w:t>Wien</w:t>
            </w:r>
          </w:p>
        </w:tc>
        <w:tc>
          <w:tcPr>
            <w:tcW w:w="0" w:type="auto"/>
          </w:tcPr>
          <w:p w14:paraId="729BC7DC" w14:textId="77777777" w:rsidR="004E4CC2" w:rsidRDefault="00000000">
            <w:pPr>
              <w:pStyle w:val="Compact"/>
            </w:pPr>
            <w:r>
              <w:t>11+</w:t>
            </w:r>
          </w:p>
        </w:tc>
        <w:tc>
          <w:tcPr>
            <w:tcW w:w="0" w:type="auto"/>
          </w:tcPr>
          <w:p w14:paraId="5D4F38C8" w14:textId="77777777" w:rsidR="004E4CC2" w:rsidRDefault="00000000">
            <w:pPr>
              <w:pStyle w:val="Compact"/>
            </w:pPr>
            <w:r>
              <w:t>103</w:t>
            </w:r>
          </w:p>
        </w:tc>
        <w:tc>
          <w:tcPr>
            <w:tcW w:w="0" w:type="auto"/>
          </w:tcPr>
          <w:p w14:paraId="43424638" w14:textId="77777777" w:rsidR="004E4CC2" w:rsidRDefault="00000000">
            <w:pPr>
              <w:pStyle w:val="Compact"/>
            </w:pPr>
            <w:r>
              <w:t>fallback-vienna-exact</w:t>
            </w:r>
          </w:p>
        </w:tc>
      </w:tr>
      <w:tr w:rsidR="004E4CC2" w14:paraId="63B83355" w14:textId="77777777">
        <w:tc>
          <w:tcPr>
            <w:tcW w:w="0" w:type="auto"/>
          </w:tcPr>
          <w:p w14:paraId="0FADB923" w14:textId="77777777" w:rsidR="004E4CC2" w:rsidRDefault="00000000">
            <w:pPr>
              <w:pStyle w:val="Compact"/>
            </w:pPr>
            <w:r>
              <w:t>77</w:t>
            </w:r>
          </w:p>
        </w:tc>
        <w:tc>
          <w:tcPr>
            <w:tcW w:w="0" w:type="auto"/>
          </w:tcPr>
          <w:p w14:paraId="16A4331B" w14:textId="77777777" w:rsidR="004E4CC2" w:rsidRDefault="00000000">
            <w:pPr>
              <w:pStyle w:val="Compact"/>
            </w:pPr>
            <w:r>
              <w:t>Niederösterreich</w:t>
            </w:r>
          </w:p>
        </w:tc>
        <w:tc>
          <w:tcPr>
            <w:tcW w:w="0" w:type="auto"/>
          </w:tcPr>
          <w:p w14:paraId="34495FE9" w14:textId="77777777" w:rsidR="004E4CC2" w:rsidRDefault="00000000">
            <w:pPr>
              <w:pStyle w:val="Compact"/>
            </w:pPr>
            <w:r>
              <w:t>11+</w:t>
            </w:r>
          </w:p>
        </w:tc>
        <w:tc>
          <w:tcPr>
            <w:tcW w:w="0" w:type="auto"/>
          </w:tcPr>
          <w:p w14:paraId="7DF143F5" w14:textId="77777777" w:rsidR="004E4CC2" w:rsidRDefault="00000000">
            <w:pPr>
              <w:pStyle w:val="Compact"/>
            </w:pPr>
            <w:r>
              <w:t>Büronutzung</w:t>
            </w:r>
          </w:p>
        </w:tc>
        <w:tc>
          <w:tcPr>
            <w:tcW w:w="0" w:type="auto"/>
          </w:tcPr>
          <w:p w14:paraId="2BC917CC" w14:textId="77777777" w:rsidR="004E4CC2" w:rsidRDefault="00000000">
            <w:pPr>
              <w:pStyle w:val="Compact"/>
            </w:pPr>
            <w:r>
              <w:t>0</w:t>
            </w:r>
          </w:p>
        </w:tc>
        <w:tc>
          <w:tcPr>
            <w:tcW w:w="0" w:type="auto"/>
          </w:tcPr>
          <w:p w14:paraId="5CA2C872" w14:textId="77777777" w:rsidR="004E4CC2" w:rsidRDefault="00000000">
            <w:pPr>
              <w:pStyle w:val="Compact"/>
            </w:pPr>
            <w:r>
              <w:t>Wien</w:t>
            </w:r>
          </w:p>
        </w:tc>
        <w:tc>
          <w:tcPr>
            <w:tcW w:w="0" w:type="auto"/>
          </w:tcPr>
          <w:p w14:paraId="6BF0A75C" w14:textId="77777777" w:rsidR="004E4CC2" w:rsidRDefault="00000000">
            <w:pPr>
              <w:pStyle w:val="Compact"/>
            </w:pPr>
            <w:r>
              <w:t>11+</w:t>
            </w:r>
          </w:p>
        </w:tc>
        <w:tc>
          <w:tcPr>
            <w:tcW w:w="0" w:type="auto"/>
          </w:tcPr>
          <w:p w14:paraId="0A516E7C" w14:textId="77777777" w:rsidR="004E4CC2" w:rsidRDefault="00000000">
            <w:pPr>
              <w:pStyle w:val="Compact"/>
            </w:pPr>
            <w:r>
              <w:t>103</w:t>
            </w:r>
          </w:p>
        </w:tc>
        <w:tc>
          <w:tcPr>
            <w:tcW w:w="0" w:type="auto"/>
          </w:tcPr>
          <w:p w14:paraId="71083A79" w14:textId="77777777" w:rsidR="004E4CC2" w:rsidRDefault="00000000">
            <w:pPr>
              <w:pStyle w:val="Compact"/>
            </w:pPr>
            <w:r>
              <w:t>fallback-vienna-</w:t>
            </w:r>
            <w:r>
              <w:lastRenderedPageBreak/>
              <w:t>exact</w:t>
            </w:r>
          </w:p>
        </w:tc>
      </w:tr>
      <w:tr w:rsidR="004E4CC2" w14:paraId="34D6C796" w14:textId="77777777">
        <w:tc>
          <w:tcPr>
            <w:tcW w:w="0" w:type="auto"/>
          </w:tcPr>
          <w:p w14:paraId="2C963BFE" w14:textId="77777777" w:rsidR="004E4CC2" w:rsidRDefault="00000000">
            <w:pPr>
              <w:pStyle w:val="Compact"/>
            </w:pPr>
            <w:r>
              <w:lastRenderedPageBreak/>
              <w:t>84</w:t>
            </w:r>
          </w:p>
        </w:tc>
        <w:tc>
          <w:tcPr>
            <w:tcW w:w="0" w:type="auto"/>
          </w:tcPr>
          <w:p w14:paraId="1A883945" w14:textId="77777777" w:rsidR="004E4CC2" w:rsidRDefault="00000000">
            <w:pPr>
              <w:pStyle w:val="Compact"/>
            </w:pPr>
            <w:r>
              <w:t>Oberösterreich</w:t>
            </w:r>
          </w:p>
        </w:tc>
        <w:tc>
          <w:tcPr>
            <w:tcW w:w="0" w:type="auto"/>
          </w:tcPr>
          <w:p w14:paraId="7709D62B" w14:textId="77777777" w:rsidR="004E4CC2" w:rsidRDefault="00000000">
            <w:pPr>
              <w:pStyle w:val="Compact"/>
            </w:pPr>
            <w:r>
              <w:t>11+</w:t>
            </w:r>
          </w:p>
        </w:tc>
        <w:tc>
          <w:tcPr>
            <w:tcW w:w="0" w:type="auto"/>
          </w:tcPr>
          <w:p w14:paraId="4F6A221C" w14:textId="77777777" w:rsidR="004E4CC2" w:rsidRDefault="00000000">
            <w:pPr>
              <w:pStyle w:val="Compact"/>
            </w:pPr>
            <w:r>
              <w:t>Büronutzung</w:t>
            </w:r>
          </w:p>
        </w:tc>
        <w:tc>
          <w:tcPr>
            <w:tcW w:w="0" w:type="auto"/>
          </w:tcPr>
          <w:p w14:paraId="35AB7AFE" w14:textId="77777777" w:rsidR="004E4CC2" w:rsidRDefault="00000000">
            <w:pPr>
              <w:pStyle w:val="Compact"/>
            </w:pPr>
            <w:r>
              <w:t>0</w:t>
            </w:r>
          </w:p>
        </w:tc>
        <w:tc>
          <w:tcPr>
            <w:tcW w:w="0" w:type="auto"/>
          </w:tcPr>
          <w:p w14:paraId="0E9A2E8E" w14:textId="77777777" w:rsidR="004E4CC2" w:rsidRDefault="00000000">
            <w:pPr>
              <w:pStyle w:val="Compact"/>
            </w:pPr>
            <w:r>
              <w:t>Wien</w:t>
            </w:r>
          </w:p>
        </w:tc>
        <w:tc>
          <w:tcPr>
            <w:tcW w:w="0" w:type="auto"/>
          </w:tcPr>
          <w:p w14:paraId="4BF8AD9D" w14:textId="77777777" w:rsidR="004E4CC2" w:rsidRDefault="00000000">
            <w:pPr>
              <w:pStyle w:val="Compact"/>
            </w:pPr>
            <w:r>
              <w:t>11+</w:t>
            </w:r>
          </w:p>
        </w:tc>
        <w:tc>
          <w:tcPr>
            <w:tcW w:w="0" w:type="auto"/>
          </w:tcPr>
          <w:p w14:paraId="1E294A70" w14:textId="77777777" w:rsidR="004E4CC2" w:rsidRDefault="00000000">
            <w:pPr>
              <w:pStyle w:val="Compact"/>
            </w:pPr>
            <w:r>
              <w:t>103</w:t>
            </w:r>
          </w:p>
        </w:tc>
        <w:tc>
          <w:tcPr>
            <w:tcW w:w="0" w:type="auto"/>
          </w:tcPr>
          <w:p w14:paraId="31195B78" w14:textId="77777777" w:rsidR="004E4CC2" w:rsidRDefault="00000000">
            <w:pPr>
              <w:pStyle w:val="Compact"/>
            </w:pPr>
            <w:r>
              <w:t>fallback-vienna-exact</w:t>
            </w:r>
          </w:p>
        </w:tc>
      </w:tr>
      <w:tr w:rsidR="004E4CC2" w14:paraId="10EC555F" w14:textId="77777777">
        <w:tc>
          <w:tcPr>
            <w:tcW w:w="0" w:type="auto"/>
          </w:tcPr>
          <w:p w14:paraId="2EB399CA" w14:textId="77777777" w:rsidR="004E4CC2" w:rsidRDefault="00000000">
            <w:pPr>
              <w:pStyle w:val="Compact"/>
            </w:pPr>
            <w:r>
              <w:t>97</w:t>
            </w:r>
          </w:p>
        </w:tc>
        <w:tc>
          <w:tcPr>
            <w:tcW w:w="0" w:type="auto"/>
          </w:tcPr>
          <w:p w14:paraId="3B1F9B1F" w14:textId="77777777" w:rsidR="004E4CC2" w:rsidRDefault="00000000">
            <w:pPr>
              <w:pStyle w:val="Compact"/>
            </w:pPr>
            <w:r>
              <w:t>Steiermark</w:t>
            </w:r>
          </w:p>
        </w:tc>
        <w:tc>
          <w:tcPr>
            <w:tcW w:w="0" w:type="auto"/>
          </w:tcPr>
          <w:p w14:paraId="468ECBB4" w14:textId="77777777" w:rsidR="004E4CC2" w:rsidRDefault="00000000">
            <w:pPr>
              <w:pStyle w:val="Compact"/>
            </w:pPr>
            <w:r>
              <w:t>11+</w:t>
            </w:r>
          </w:p>
        </w:tc>
        <w:tc>
          <w:tcPr>
            <w:tcW w:w="0" w:type="auto"/>
          </w:tcPr>
          <w:p w14:paraId="6F299141" w14:textId="77777777" w:rsidR="004E4CC2" w:rsidRDefault="00000000">
            <w:pPr>
              <w:pStyle w:val="Compact"/>
            </w:pPr>
            <w:r>
              <w:t>Büronutzung</w:t>
            </w:r>
          </w:p>
        </w:tc>
        <w:tc>
          <w:tcPr>
            <w:tcW w:w="0" w:type="auto"/>
          </w:tcPr>
          <w:p w14:paraId="28B654CA" w14:textId="77777777" w:rsidR="004E4CC2" w:rsidRDefault="00000000">
            <w:pPr>
              <w:pStyle w:val="Compact"/>
            </w:pPr>
            <w:r>
              <w:t>0</w:t>
            </w:r>
          </w:p>
        </w:tc>
        <w:tc>
          <w:tcPr>
            <w:tcW w:w="0" w:type="auto"/>
          </w:tcPr>
          <w:p w14:paraId="75DF8BB1" w14:textId="77777777" w:rsidR="004E4CC2" w:rsidRDefault="00000000">
            <w:pPr>
              <w:pStyle w:val="Compact"/>
            </w:pPr>
            <w:r>
              <w:t>Wien</w:t>
            </w:r>
          </w:p>
        </w:tc>
        <w:tc>
          <w:tcPr>
            <w:tcW w:w="0" w:type="auto"/>
          </w:tcPr>
          <w:p w14:paraId="1BFEFBFD" w14:textId="77777777" w:rsidR="004E4CC2" w:rsidRDefault="00000000">
            <w:pPr>
              <w:pStyle w:val="Compact"/>
            </w:pPr>
            <w:r>
              <w:t>11+</w:t>
            </w:r>
          </w:p>
        </w:tc>
        <w:tc>
          <w:tcPr>
            <w:tcW w:w="0" w:type="auto"/>
          </w:tcPr>
          <w:p w14:paraId="2015E7F6" w14:textId="77777777" w:rsidR="004E4CC2" w:rsidRDefault="00000000">
            <w:pPr>
              <w:pStyle w:val="Compact"/>
            </w:pPr>
            <w:r>
              <w:t>103</w:t>
            </w:r>
          </w:p>
        </w:tc>
        <w:tc>
          <w:tcPr>
            <w:tcW w:w="0" w:type="auto"/>
          </w:tcPr>
          <w:p w14:paraId="0370940C" w14:textId="77777777" w:rsidR="004E4CC2" w:rsidRDefault="00000000">
            <w:pPr>
              <w:pStyle w:val="Compact"/>
            </w:pPr>
            <w:r>
              <w:t>fallback-vienna-exact</w:t>
            </w:r>
          </w:p>
        </w:tc>
      </w:tr>
      <w:tr w:rsidR="004E4CC2" w14:paraId="27F17AEB" w14:textId="77777777">
        <w:tc>
          <w:tcPr>
            <w:tcW w:w="0" w:type="auto"/>
          </w:tcPr>
          <w:p w14:paraId="5593DC27" w14:textId="77777777" w:rsidR="004E4CC2" w:rsidRDefault="00000000">
            <w:pPr>
              <w:pStyle w:val="Compact"/>
            </w:pPr>
            <w:r>
              <w:t>104</w:t>
            </w:r>
          </w:p>
        </w:tc>
        <w:tc>
          <w:tcPr>
            <w:tcW w:w="0" w:type="auto"/>
          </w:tcPr>
          <w:p w14:paraId="24719850" w14:textId="77777777" w:rsidR="004E4CC2" w:rsidRDefault="00000000">
            <w:pPr>
              <w:pStyle w:val="Compact"/>
            </w:pPr>
            <w:r>
              <w:t>Tirol</w:t>
            </w:r>
          </w:p>
        </w:tc>
        <w:tc>
          <w:tcPr>
            <w:tcW w:w="0" w:type="auto"/>
          </w:tcPr>
          <w:p w14:paraId="34ED0E3A" w14:textId="77777777" w:rsidR="004E4CC2" w:rsidRDefault="00000000">
            <w:pPr>
              <w:pStyle w:val="Compact"/>
            </w:pPr>
            <w:r>
              <w:t>11+</w:t>
            </w:r>
          </w:p>
        </w:tc>
        <w:tc>
          <w:tcPr>
            <w:tcW w:w="0" w:type="auto"/>
          </w:tcPr>
          <w:p w14:paraId="0547A6C2" w14:textId="77777777" w:rsidR="004E4CC2" w:rsidRDefault="00000000">
            <w:pPr>
              <w:pStyle w:val="Compact"/>
            </w:pPr>
            <w:r>
              <w:t>Büronutzung</w:t>
            </w:r>
          </w:p>
        </w:tc>
        <w:tc>
          <w:tcPr>
            <w:tcW w:w="0" w:type="auto"/>
          </w:tcPr>
          <w:p w14:paraId="28D5123B" w14:textId="77777777" w:rsidR="004E4CC2" w:rsidRDefault="00000000">
            <w:pPr>
              <w:pStyle w:val="Compact"/>
            </w:pPr>
            <w:r>
              <w:t>0</w:t>
            </w:r>
          </w:p>
        </w:tc>
        <w:tc>
          <w:tcPr>
            <w:tcW w:w="0" w:type="auto"/>
          </w:tcPr>
          <w:p w14:paraId="11292C4A" w14:textId="77777777" w:rsidR="004E4CC2" w:rsidRDefault="00000000">
            <w:pPr>
              <w:pStyle w:val="Compact"/>
            </w:pPr>
            <w:r>
              <w:t>Wien</w:t>
            </w:r>
          </w:p>
        </w:tc>
        <w:tc>
          <w:tcPr>
            <w:tcW w:w="0" w:type="auto"/>
          </w:tcPr>
          <w:p w14:paraId="7394D7F7" w14:textId="77777777" w:rsidR="004E4CC2" w:rsidRDefault="00000000">
            <w:pPr>
              <w:pStyle w:val="Compact"/>
            </w:pPr>
            <w:r>
              <w:t>11+</w:t>
            </w:r>
          </w:p>
        </w:tc>
        <w:tc>
          <w:tcPr>
            <w:tcW w:w="0" w:type="auto"/>
          </w:tcPr>
          <w:p w14:paraId="302E0AB4" w14:textId="77777777" w:rsidR="004E4CC2" w:rsidRDefault="00000000">
            <w:pPr>
              <w:pStyle w:val="Compact"/>
            </w:pPr>
            <w:r>
              <w:t>103</w:t>
            </w:r>
          </w:p>
        </w:tc>
        <w:tc>
          <w:tcPr>
            <w:tcW w:w="0" w:type="auto"/>
          </w:tcPr>
          <w:p w14:paraId="715D6B7C" w14:textId="77777777" w:rsidR="004E4CC2" w:rsidRDefault="00000000">
            <w:pPr>
              <w:pStyle w:val="Compact"/>
            </w:pPr>
            <w:r>
              <w:t>fallback-vienna-exact</w:t>
            </w:r>
          </w:p>
        </w:tc>
      </w:tr>
      <w:tr w:rsidR="004E4CC2" w14:paraId="5B446E85" w14:textId="77777777">
        <w:tc>
          <w:tcPr>
            <w:tcW w:w="0" w:type="auto"/>
          </w:tcPr>
          <w:p w14:paraId="76056169" w14:textId="77777777" w:rsidR="004E4CC2" w:rsidRDefault="00000000">
            <w:pPr>
              <w:pStyle w:val="Compact"/>
            </w:pPr>
            <w:r>
              <w:t>142</w:t>
            </w:r>
          </w:p>
        </w:tc>
        <w:tc>
          <w:tcPr>
            <w:tcW w:w="0" w:type="auto"/>
          </w:tcPr>
          <w:p w14:paraId="4776E365" w14:textId="77777777" w:rsidR="004E4CC2" w:rsidRDefault="00000000">
            <w:pPr>
              <w:pStyle w:val="Compact"/>
            </w:pPr>
            <w:r>
              <w:t>Oberösterreich</w:t>
            </w:r>
          </w:p>
        </w:tc>
        <w:tc>
          <w:tcPr>
            <w:tcW w:w="0" w:type="auto"/>
          </w:tcPr>
          <w:p w14:paraId="36FE630C" w14:textId="77777777" w:rsidR="004E4CC2" w:rsidRDefault="00000000">
            <w:pPr>
              <w:pStyle w:val="Compact"/>
            </w:pPr>
            <w:r>
              <w:t>11+</w:t>
            </w:r>
          </w:p>
        </w:tc>
        <w:tc>
          <w:tcPr>
            <w:tcW w:w="0" w:type="auto"/>
          </w:tcPr>
          <w:p w14:paraId="582A9687" w14:textId="77777777" w:rsidR="004E4CC2" w:rsidRDefault="00000000">
            <w:pPr>
              <w:pStyle w:val="Compact"/>
            </w:pPr>
            <w:r>
              <w:t>Groß- und Einzelhandelsgebäude</w:t>
            </w:r>
          </w:p>
        </w:tc>
        <w:tc>
          <w:tcPr>
            <w:tcW w:w="0" w:type="auto"/>
          </w:tcPr>
          <w:p w14:paraId="74DDAAB5" w14:textId="77777777" w:rsidR="004E4CC2" w:rsidRDefault="00000000">
            <w:pPr>
              <w:pStyle w:val="Compact"/>
            </w:pPr>
            <w:r>
              <w:t>0</w:t>
            </w:r>
          </w:p>
        </w:tc>
        <w:tc>
          <w:tcPr>
            <w:tcW w:w="0" w:type="auto"/>
          </w:tcPr>
          <w:p w14:paraId="76EAD0A5" w14:textId="77777777" w:rsidR="004E4CC2" w:rsidRDefault="00000000">
            <w:pPr>
              <w:pStyle w:val="Compact"/>
            </w:pPr>
            <w:r>
              <w:t>Salzburg</w:t>
            </w:r>
          </w:p>
        </w:tc>
        <w:tc>
          <w:tcPr>
            <w:tcW w:w="0" w:type="auto"/>
          </w:tcPr>
          <w:p w14:paraId="2953438D" w14:textId="77777777" w:rsidR="004E4CC2" w:rsidRDefault="00000000">
            <w:pPr>
              <w:pStyle w:val="Compact"/>
            </w:pPr>
            <w:r>
              <w:t>6-10</w:t>
            </w:r>
          </w:p>
        </w:tc>
        <w:tc>
          <w:tcPr>
            <w:tcW w:w="0" w:type="auto"/>
          </w:tcPr>
          <w:p w14:paraId="7A534A91" w14:textId="77777777" w:rsidR="004E4CC2" w:rsidRDefault="00000000">
            <w:pPr>
              <w:pStyle w:val="Compact"/>
            </w:pPr>
            <w:r>
              <w:t>47</w:t>
            </w:r>
          </w:p>
        </w:tc>
        <w:tc>
          <w:tcPr>
            <w:tcW w:w="0" w:type="auto"/>
          </w:tcPr>
          <w:p w14:paraId="68608E6A" w14:textId="77777777" w:rsidR="004E4CC2" w:rsidRDefault="00000000">
            <w:pPr>
              <w:pStyle w:val="Compact"/>
            </w:pPr>
            <w:r>
              <w:t>fallback-salzburg-nearest-storey</w:t>
            </w:r>
          </w:p>
        </w:tc>
      </w:tr>
      <w:tr w:rsidR="004E4CC2" w14:paraId="0825F3A7" w14:textId="77777777">
        <w:tc>
          <w:tcPr>
            <w:tcW w:w="0" w:type="auto"/>
          </w:tcPr>
          <w:p w14:paraId="6B50C160" w14:textId="77777777" w:rsidR="004E4CC2" w:rsidRDefault="00000000">
            <w:pPr>
              <w:pStyle w:val="Compact"/>
            </w:pPr>
            <w:r>
              <w:t>161</w:t>
            </w:r>
          </w:p>
        </w:tc>
        <w:tc>
          <w:tcPr>
            <w:tcW w:w="0" w:type="auto"/>
          </w:tcPr>
          <w:p w14:paraId="141770A5" w14:textId="77777777" w:rsidR="004E4CC2" w:rsidRDefault="00000000">
            <w:pPr>
              <w:pStyle w:val="Compact"/>
            </w:pPr>
            <w:r>
              <w:t>Tirol</w:t>
            </w:r>
          </w:p>
        </w:tc>
        <w:tc>
          <w:tcPr>
            <w:tcW w:w="0" w:type="auto"/>
          </w:tcPr>
          <w:p w14:paraId="62492BA7" w14:textId="77777777" w:rsidR="004E4CC2" w:rsidRDefault="00000000">
            <w:pPr>
              <w:pStyle w:val="Compact"/>
            </w:pPr>
            <w:r>
              <w:t>11+</w:t>
            </w:r>
          </w:p>
        </w:tc>
        <w:tc>
          <w:tcPr>
            <w:tcW w:w="0" w:type="auto"/>
          </w:tcPr>
          <w:p w14:paraId="2C1C8AF9" w14:textId="77777777" w:rsidR="004E4CC2" w:rsidRDefault="00000000">
            <w:pPr>
              <w:pStyle w:val="Compact"/>
            </w:pPr>
            <w:r>
              <w:t>Groß- und Einzelhandelsgebäude</w:t>
            </w:r>
          </w:p>
        </w:tc>
        <w:tc>
          <w:tcPr>
            <w:tcW w:w="0" w:type="auto"/>
          </w:tcPr>
          <w:p w14:paraId="5E0C3C1C" w14:textId="77777777" w:rsidR="004E4CC2" w:rsidRDefault="00000000">
            <w:pPr>
              <w:pStyle w:val="Compact"/>
            </w:pPr>
            <w:r>
              <w:t>0</w:t>
            </w:r>
          </w:p>
        </w:tc>
        <w:tc>
          <w:tcPr>
            <w:tcW w:w="0" w:type="auto"/>
          </w:tcPr>
          <w:p w14:paraId="166AED38" w14:textId="77777777" w:rsidR="004E4CC2" w:rsidRDefault="00000000">
            <w:pPr>
              <w:pStyle w:val="Compact"/>
            </w:pPr>
            <w:r>
              <w:t>Salzburg</w:t>
            </w:r>
          </w:p>
        </w:tc>
        <w:tc>
          <w:tcPr>
            <w:tcW w:w="0" w:type="auto"/>
          </w:tcPr>
          <w:p w14:paraId="1F1B382A" w14:textId="77777777" w:rsidR="004E4CC2" w:rsidRDefault="00000000">
            <w:pPr>
              <w:pStyle w:val="Compact"/>
            </w:pPr>
            <w:r>
              <w:t>6-10</w:t>
            </w:r>
          </w:p>
        </w:tc>
        <w:tc>
          <w:tcPr>
            <w:tcW w:w="0" w:type="auto"/>
          </w:tcPr>
          <w:p w14:paraId="72466D49" w14:textId="77777777" w:rsidR="004E4CC2" w:rsidRDefault="00000000">
            <w:pPr>
              <w:pStyle w:val="Compact"/>
            </w:pPr>
            <w:r>
              <w:t>47</w:t>
            </w:r>
          </w:p>
        </w:tc>
        <w:tc>
          <w:tcPr>
            <w:tcW w:w="0" w:type="auto"/>
          </w:tcPr>
          <w:p w14:paraId="12DB750B" w14:textId="77777777" w:rsidR="004E4CC2" w:rsidRDefault="00000000">
            <w:pPr>
              <w:pStyle w:val="Compact"/>
            </w:pPr>
            <w:r>
              <w:t>fallback-salzburg-nearest-storey</w:t>
            </w:r>
          </w:p>
        </w:tc>
      </w:tr>
      <w:tr w:rsidR="004E4CC2" w14:paraId="5013E3BB" w14:textId="77777777">
        <w:tc>
          <w:tcPr>
            <w:tcW w:w="0" w:type="auto"/>
          </w:tcPr>
          <w:p w14:paraId="3300FA2D" w14:textId="77777777" w:rsidR="004E4CC2" w:rsidRDefault="00000000">
            <w:pPr>
              <w:pStyle w:val="Compact"/>
            </w:pPr>
            <w:r>
              <w:t>174</w:t>
            </w:r>
          </w:p>
        </w:tc>
        <w:tc>
          <w:tcPr>
            <w:tcW w:w="0" w:type="auto"/>
          </w:tcPr>
          <w:p w14:paraId="478A6624" w14:textId="77777777" w:rsidR="004E4CC2" w:rsidRDefault="00000000">
            <w:pPr>
              <w:pStyle w:val="Compact"/>
            </w:pPr>
            <w:r>
              <w:t>Wien</w:t>
            </w:r>
          </w:p>
        </w:tc>
        <w:tc>
          <w:tcPr>
            <w:tcW w:w="0" w:type="auto"/>
          </w:tcPr>
          <w:p w14:paraId="237D4C18" w14:textId="77777777" w:rsidR="004E4CC2" w:rsidRDefault="00000000">
            <w:pPr>
              <w:pStyle w:val="Compact"/>
            </w:pPr>
            <w:r>
              <w:t>11+</w:t>
            </w:r>
          </w:p>
        </w:tc>
        <w:tc>
          <w:tcPr>
            <w:tcW w:w="0" w:type="auto"/>
          </w:tcPr>
          <w:p w14:paraId="18DD0678" w14:textId="77777777" w:rsidR="004E4CC2" w:rsidRDefault="00000000">
            <w:pPr>
              <w:pStyle w:val="Compact"/>
            </w:pPr>
            <w:r>
              <w:t>Groß- und Einzelhandelsgebäude</w:t>
            </w:r>
          </w:p>
        </w:tc>
        <w:tc>
          <w:tcPr>
            <w:tcW w:w="0" w:type="auto"/>
          </w:tcPr>
          <w:p w14:paraId="724DE396" w14:textId="77777777" w:rsidR="004E4CC2" w:rsidRDefault="00000000">
            <w:pPr>
              <w:pStyle w:val="Compact"/>
            </w:pPr>
            <w:r>
              <w:t>4</w:t>
            </w:r>
          </w:p>
        </w:tc>
        <w:tc>
          <w:tcPr>
            <w:tcW w:w="0" w:type="auto"/>
          </w:tcPr>
          <w:p w14:paraId="3120E1F6" w14:textId="77777777" w:rsidR="004E4CC2" w:rsidRDefault="00000000">
            <w:pPr>
              <w:pStyle w:val="Compact"/>
            </w:pPr>
            <w:r>
              <w:t>Wien</w:t>
            </w:r>
          </w:p>
        </w:tc>
        <w:tc>
          <w:tcPr>
            <w:tcW w:w="0" w:type="auto"/>
          </w:tcPr>
          <w:p w14:paraId="55896691" w14:textId="77777777" w:rsidR="004E4CC2" w:rsidRDefault="00000000">
            <w:pPr>
              <w:pStyle w:val="Compact"/>
            </w:pPr>
            <w:r>
              <w:t>6-10</w:t>
            </w:r>
          </w:p>
        </w:tc>
        <w:tc>
          <w:tcPr>
            <w:tcW w:w="0" w:type="auto"/>
          </w:tcPr>
          <w:p w14:paraId="1330BE77" w14:textId="77777777" w:rsidR="004E4CC2" w:rsidRDefault="00000000">
            <w:pPr>
              <w:pStyle w:val="Compact"/>
            </w:pPr>
            <w:r>
              <w:t>80</w:t>
            </w:r>
          </w:p>
        </w:tc>
        <w:tc>
          <w:tcPr>
            <w:tcW w:w="0" w:type="auto"/>
          </w:tcPr>
          <w:p w14:paraId="5007A363" w14:textId="77777777" w:rsidR="004E4CC2" w:rsidRDefault="00000000">
            <w:pPr>
              <w:pStyle w:val="Compact"/>
            </w:pPr>
            <w:r>
              <w:t>fallback-wien-nearest-storey</w:t>
            </w:r>
          </w:p>
        </w:tc>
      </w:tr>
      <w:tr w:rsidR="004E4CC2" w14:paraId="1910DE1B" w14:textId="77777777">
        <w:tc>
          <w:tcPr>
            <w:tcW w:w="0" w:type="auto"/>
          </w:tcPr>
          <w:p w14:paraId="261463D0" w14:textId="77777777" w:rsidR="004E4CC2" w:rsidRDefault="00000000">
            <w:pPr>
              <w:pStyle w:val="Compact"/>
            </w:pPr>
            <w:r>
              <w:t>18</w:t>
            </w:r>
            <w:r>
              <w:lastRenderedPageBreak/>
              <w:t>2</w:t>
            </w:r>
          </w:p>
        </w:tc>
        <w:tc>
          <w:tcPr>
            <w:tcW w:w="0" w:type="auto"/>
          </w:tcPr>
          <w:p w14:paraId="7745E519" w14:textId="77777777" w:rsidR="004E4CC2" w:rsidRDefault="00000000">
            <w:pPr>
              <w:pStyle w:val="Compact"/>
            </w:pPr>
            <w:r>
              <w:lastRenderedPageBreak/>
              <w:t>Kärnten</w:t>
            </w:r>
          </w:p>
        </w:tc>
        <w:tc>
          <w:tcPr>
            <w:tcW w:w="0" w:type="auto"/>
          </w:tcPr>
          <w:p w14:paraId="4F72D54F" w14:textId="77777777" w:rsidR="004E4CC2" w:rsidRDefault="00000000">
            <w:pPr>
              <w:pStyle w:val="Compact"/>
            </w:pPr>
            <w:r>
              <w:t>5</w:t>
            </w:r>
          </w:p>
        </w:tc>
        <w:tc>
          <w:tcPr>
            <w:tcW w:w="0" w:type="auto"/>
          </w:tcPr>
          <w:p w14:paraId="036E20D4" w14:textId="77777777" w:rsidR="004E4CC2" w:rsidRDefault="00000000">
            <w:pPr>
              <w:pStyle w:val="Compact"/>
            </w:pPr>
            <w:r>
              <w:t>Verkehrs- und Nachrichtenw</w:t>
            </w:r>
            <w:r>
              <w:lastRenderedPageBreak/>
              <w:t>esen</w:t>
            </w:r>
          </w:p>
        </w:tc>
        <w:tc>
          <w:tcPr>
            <w:tcW w:w="0" w:type="auto"/>
          </w:tcPr>
          <w:p w14:paraId="32EE126C" w14:textId="77777777" w:rsidR="004E4CC2" w:rsidRDefault="00000000">
            <w:pPr>
              <w:pStyle w:val="Compact"/>
            </w:pPr>
            <w:r>
              <w:lastRenderedPageBreak/>
              <w:t>1</w:t>
            </w:r>
          </w:p>
        </w:tc>
        <w:tc>
          <w:tcPr>
            <w:tcW w:w="0" w:type="auto"/>
          </w:tcPr>
          <w:p w14:paraId="724595EB" w14:textId="77777777" w:rsidR="004E4CC2" w:rsidRDefault="00000000">
            <w:pPr>
              <w:pStyle w:val="Compact"/>
            </w:pPr>
            <w:r>
              <w:t>Wien</w:t>
            </w:r>
          </w:p>
        </w:tc>
        <w:tc>
          <w:tcPr>
            <w:tcW w:w="0" w:type="auto"/>
          </w:tcPr>
          <w:p w14:paraId="72954CA8" w14:textId="77777777" w:rsidR="004E4CC2" w:rsidRDefault="00000000">
            <w:pPr>
              <w:pStyle w:val="Compact"/>
            </w:pPr>
            <w:r>
              <w:t>5</w:t>
            </w:r>
          </w:p>
        </w:tc>
        <w:tc>
          <w:tcPr>
            <w:tcW w:w="0" w:type="auto"/>
          </w:tcPr>
          <w:p w14:paraId="64AAC5A3" w14:textId="77777777" w:rsidR="004E4CC2" w:rsidRDefault="00000000">
            <w:pPr>
              <w:pStyle w:val="Compact"/>
            </w:pPr>
            <w:r>
              <w:t>19</w:t>
            </w:r>
          </w:p>
        </w:tc>
        <w:tc>
          <w:tcPr>
            <w:tcW w:w="0" w:type="auto"/>
          </w:tcPr>
          <w:p w14:paraId="066CDAC1" w14:textId="77777777" w:rsidR="004E4CC2" w:rsidRDefault="00000000">
            <w:pPr>
              <w:pStyle w:val="Compact"/>
            </w:pPr>
            <w:r>
              <w:t>fallback-</w:t>
            </w:r>
            <w:r>
              <w:lastRenderedPageBreak/>
              <w:t>vienna-exact</w:t>
            </w:r>
          </w:p>
        </w:tc>
      </w:tr>
      <w:tr w:rsidR="004E4CC2" w14:paraId="2807CD17" w14:textId="77777777">
        <w:tc>
          <w:tcPr>
            <w:tcW w:w="0" w:type="auto"/>
          </w:tcPr>
          <w:p w14:paraId="372569EE" w14:textId="77777777" w:rsidR="004E4CC2" w:rsidRDefault="00000000">
            <w:pPr>
              <w:pStyle w:val="Compact"/>
            </w:pPr>
            <w:r>
              <w:lastRenderedPageBreak/>
              <w:t>183</w:t>
            </w:r>
          </w:p>
        </w:tc>
        <w:tc>
          <w:tcPr>
            <w:tcW w:w="0" w:type="auto"/>
          </w:tcPr>
          <w:p w14:paraId="315DAB2D" w14:textId="77777777" w:rsidR="004E4CC2" w:rsidRDefault="00000000">
            <w:pPr>
              <w:pStyle w:val="Compact"/>
            </w:pPr>
            <w:r>
              <w:t>Kärnten</w:t>
            </w:r>
          </w:p>
        </w:tc>
        <w:tc>
          <w:tcPr>
            <w:tcW w:w="0" w:type="auto"/>
          </w:tcPr>
          <w:p w14:paraId="717C9D69" w14:textId="77777777" w:rsidR="004E4CC2" w:rsidRDefault="00000000">
            <w:pPr>
              <w:pStyle w:val="Compact"/>
            </w:pPr>
            <w:r>
              <w:t>6-10</w:t>
            </w:r>
          </w:p>
        </w:tc>
        <w:tc>
          <w:tcPr>
            <w:tcW w:w="0" w:type="auto"/>
          </w:tcPr>
          <w:p w14:paraId="54AFAA99" w14:textId="77777777" w:rsidR="004E4CC2" w:rsidRDefault="00000000">
            <w:pPr>
              <w:pStyle w:val="Compact"/>
            </w:pPr>
            <w:r>
              <w:t>Verkehrs- und Nachrichtenwesen</w:t>
            </w:r>
          </w:p>
        </w:tc>
        <w:tc>
          <w:tcPr>
            <w:tcW w:w="0" w:type="auto"/>
          </w:tcPr>
          <w:p w14:paraId="72308752" w14:textId="77777777" w:rsidR="004E4CC2" w:rsidRDefault="00000000">
            <w:pPr>
              <w:pStyle w:val="Compact"/>
            </w:pPr>
            <w:r>
              <w:t>3</w:t>
            </w:r>
          </w:p>
        </w:tc>
        <w:tc>
          <w:tcPr>
            <w:tcW w:w="0" w:type="auto"/>
          </w:tcPr>
          <w:p w14:paraId="4AC44987" w14:textId="77777777" w:rsidR="004E4CC2" w:rsidRDefault="00000000">
            <w:pPr>
              <w:pStyle w:val="Compact"/>
            </w:pPr>
            <w:r>
              <w:t>Wien</w:t>
            </w:r>
          </w:p>
        </w:tc>
        <w:tc>
          <w:tcPr>
            <w:tcW w:w="0" w:type="auto"/>
          </w:tcPr>
          <w:p w14:paraId="674599E1" w14:textId="77777777" w:rsidR="004E4CC2" w:rsidRDefault="00000000">
            <w:pPr>
              <w:pStyle w:val="Compact"/>
            </w:pPr>
            <w:r>
              <w:t>6-10</w:t>
            </w:r>
          </w:p>
        </w:tc>
        <w:tc>
          <w:tcPr>
            <w:tcW w:w="0" w:type="auto"/>
          </w:tcPr>
          <w:p w14:paraId="742D44C5" w14:textId="77777777" w:rsidR="004E4CC2" w:rsidRDefault="00000000">
            <w:pPr>
              <w:pStyle w:val="Compact"/>
            </w:pPr>
            <w:r>
              <w:t>41</w:t>
            </w:r>
          </w:p>
        </w:tc>
        <w:tc>
          <w:tcPr>
            <w:tcW w:w="0" w:type="auto"/>
          </w:tcPr>
          <w:p w14:paraId="07B43953" w14:textId="77777777" w:rsidR="004E4CC2" w:rsidRDefault="00000000">
            <w:pPr>
              <w:pStyle w:val="Compact"/>
            </w:pPr>
            <w:r>
              <w:t>fallback-vienna-exact</w:t>
            </w:r>
          </w:p>
        </w:tc>
      </w:tr>
      <w:tr w:rsidR="004E4CC2" w14:paraId="5F9B9BF9" w14:textId="77777777">
        <w:tc>
          <w:tcPr>
            <w:tcW w:w="0" w:type="auto"/>
          </w:tcPr>
          <w:p w14:paraId="4E53BE13" w14:textId="77777777" w:rsidR="004E4CC2" w:rsidRDefault="00000000">
            <w:pPr>
              <w:pStyle w:val="Compact"/>
            </w:pPr>
            <w:r>
              <w:t>188</w:t>
            </w:r>
          </w:p>
        </w:tc>
        <w:tc>
          <w:tcPr>
            <w:tcW w:w="0" w:type="auto"/>
          </w:tcPr>
          <w:p w14:paraId="7DAFCD1E" w14:textId="77777777" w:rsidR="004E4CC2" w:rsidRDefault="00000000">
            <w:pPr>
              <w:pStyle w:val="Compact"/>
            </w:pPr>
            <w:r>
              <w:t>Niederösterreich</w:t>
            </w:r>
          </w:p>
        </w:tc>
        <w:tc>
          <w:tcPr>
            <w:tcW w:w="0" w:type="auto"/>
          </w:tcPr>
          <w:p w14:paraId="5C5CFF84" w14:textId="77777777" w:rsidR="004E4CC2" w:rsidRDefault="00000000">
            <w:pPr>
              <w:pStyle w:val="Compact"/>
            </w:pPr>
            <w:r>
              <w:t>5</w:t>
            </w:r>
          </w:p>
        </w:tc>
        <w:tc>
          <w:tcPr>
            <w:tcW w:w="0" w:type="auto"/>
          </w:tcPr>
          <w:p w14:paraId="76C36276" w14:textId="77777777" w:rsidR="004E4CC2" w:rsidRDefault="00000000">
            <w:pPr>
              <w:pStyle w:val="Compact"/>
            </w:pPr>
            <w:r>
              <w:t>Verkehrs- und Nachrichtenwesen</w:t>
            </w:r>
          </w:p>
        </w:tc>
        <w:tc>
          <w:tcPr>
            <w:tcW w:w="0" w:type="auto"/>
          </w:tcPr>
          <w:p w14:paraId="40A53E35" w14:textId="77777777" w:rsidR="004E4CC2" w:rsidRDefault="00000000">
            <w:pPr>
              <w:pStyle w:val="Compact"/>
            </w:pPr>
            <w:r>
              <w:t>1</w:t>
            </w:r>
          </w:p>
        </w:tc>
        <w:tc>
          <w:tcPr>
            <w:tcW w:w="0" w:type="auto"/>
          </w:tcPr>
          <w:p w14:paraId="1E503C1E" w14:textId="77777777" w:rsidR="004E4CC2" w:rsidRDefault="00000000">
            <w:pPr>
              <w:pStyle w:val="Compact"/>
            </w:pPr>
            <w:r>
              <w:t>Wien</w:t>
            </w:r>
          </w:p>
        </w:tc>
        <w:tc>
          <w:tcPr>
            <w:tcW w:w="0" w:type="auto"/>
          </w:tcPr>
          <w:p w14:paraId="071EFB9B" w14:textId="77777777" w:rsidR="004E4CC2" w:rsidRDefault="00000000">
            <w:pPr>
              <w:pStyle w:val="Compact"/>
            </w:pPr>
            <w:r>
              <w:t>5</w:t>
            </w:r>
          </w:p>
        </w:tc>
        <w:tc>
          <w:tcPr>
            <w:tcW w:w="0" w:type="auto"/>
          </w:tcPr>
          <w:p w14:paraId="4AA71F55" w14:textId="77777777" w:rsidR="004E4CC2" w:rsidRDefault="00000000">
            <w:pPr>
              <w:pStyle w:val="Compact"/>
            </w:pPr>
            <w:r>
              <w:t>19</w:t>
            </w:r>
          </w:p>
        </w:tc>
        <w:tc>
          <w:tcPr>
            <w:tcW w:w="0" w:type="auto"/>
          </w:tcPr>
          <w:p w14:paraId="0869D84C" w14:textId="77777777" w:rsidR="004E4CC2" w:rsidRDefault="00000000">
            <w:pPr>
              <w:pStyle w:val="Compact"/>
            </w:pPr>
            <w:r>
              <w:t>fallback-vienna-exact</w:t>
            </w:r>
          </w:p>
        </w:tc>
      </w:tr>
      <w:tr w:rsidR="004E4CC2" w14:paraId="7B28C0BA" w14:textId="77777777">
        <w:tc>
          <w:tcPr>
            <w:tcW w:w="0" w:type="auto"/>
          </w:tcPr>
          <w:p w14:paraId="6FBB7A6B" w14:textId="77777777" w:rsidR="004E4CC2" w:rsidRDefault="00000000">
            <w:pPr>
              <w:pStyle w:val="Compact"/>
            </w:pPr>
            <w:r>
              <w:t>189</w:t>
            </w:r>
          </w:p>
        </w:tc>
        <w:tc>
          <w:tcPr>
            <w:tcW w:w="0" w:type="auto"/>
          </w:tcPr>
          <w:p w14:paraId="06544858" w14:textId="77777777" w:rsidR="004E4CC2" w:rsidRDefault="00000000">
            <w:pPr>
              <w:pStyle w:val="Compact"/>
            </w:pPr>
            <w:r>
              <w:t>Niederösterreich</w:t>
            </w:r>
          </w:p>
        </w:tc>
        <w:tc>
          <w:tcPr>
            <w:tcW w:w="0" w:type="auto"/>
          </w:tcPr>
          <w:p w14:paraId="6A6819FA" w14:textId="77777777" w:rsidR="004E4CC2" w:rsidRDefault="00000000">
            <w:pPr>
              <w:pStyle w:val="Compact"/>
            </w:pPr>
            <w:r>
              <w:t>6-10</w:t>
            </w:r>
          </w:p>
        </w:tc>
        <w:tc>
          <w:tcPr>
            <w:tcW w:w="0" w:type="auto"/>
          </w:tcPr>
          <w:p w14:paraId="36B98CFF" w14:textId="77777777" w:rsidR="004E4CC2" w:rsidRDefault="00000000">
            <w:pPr>
              <w:pStyle w:val="Compact"/>
            </w:pPr>
            <w:r>
              <w:t>Verkehrs- und Nachrichtenwesen</w:t>
            </w:r>
          </w:p>
        </w:tc>
        <w:tc>
          <w:tcPr>
            <w:tcW w:w="0" w:type="auto"/>
          </w:tcPr>
          <w:p w14:paraId="0762F22D" w14:textId="77777777" w:rsidR="004E4CC2" w:rsidRDefault="00000000">
            <w:pPr>
              <w:pStyle w:val="Compact"/>
            </w:pPr>
            <w:r>
              <w:t>3</w:t>
            </w:r>
          </w:p>
        </w:tc>
        <w:tc>
          <w:tcPr>
            <w:tcW w:w="0" w:type="auto"/>
          </w:tcPr>
          <w:p w14:paraId="79F14C29" w14:textId="77777777" w:rsidR="004E4CC2" w:rsidRDefault="00000000">
            <w:pPr>
              <w:pStyle w:val="Compact"/>
            </w:pPr>
            <w:r>
              <w:t>Wien</w:t>
            </w:r>
          </w:p>
        </w:tc>
        <w:tc>
          <w:tcPr>
            <w:tcW w:w="0" w:type="auto"/>
          </w:tcPr>
          <w:p w14:paraId="3903BA5B" w14:textId="77777777" w:rsidR="004E4CC2" w:rsidRDefault="00000000">
            <w:pPr>
              <w:pStyle w:val="Compact"/>
            </w:pPr>
            <w:r>
              <w:t>6-10</w:t>
            </w:r>
          </w:p>
        </w:tc>
        <w:tc>
          <w:tcPr>
            <w:tcW w:w="0" w:type="auto"/>
          </w:tcPr>
          <w:p w14:paraId="5F10F977" w14:textId="77777777" w:rsidR="004E4CC2" w:rsidRDefault="00000000">
            <w:pPr>
              <w:pStyle w:val="Compact"/>
            </w:pPr>
            <w:r>
              <w:t>41</w:t>
            </w:r>
          </w:p>
        </w:tc>
        <w:tc>
          <w:tcPr>
            <w:tcW w:w="0" w:type="auto"/>
          </w:tcPr>
          <w:p w14:paraId="293F4437" w14:textId="77777777" w:rsidR="004E4CC2" w:rsidRDefault="00000000">
            <w:pPr>
              <w:pStyle w:val="Compact"/>
            </w:pPr>
            <w:r>
              <w:t>fallback-vienna-exact</w:t>
            </w:r>
          </w:p>
        </w:tc>
      </w:tr>
      <w:tr w:rsidR="004E4CC2" w14:paraId="201E6497" w14:textId="77777777">
        <w:tc>
          <w:tcPr>
            <w:tcW w:w="0" w:type="auto"/>
          </w:tcPr>
          <w:p w14:paraId="65769C19" w14:textId="77777777" w:rsidR="004E4CC2" w:rsidRDefault="00000000">
            <w:pPr>
              <w:pStyle w:val="Compact"/>
            </w:pPr>
            <w:r>
              <w:t>194</w:t>
            </w:r>
          </w:p>
        </w:tc>
        <w:tc>
          <w:tcPr>
            <w:tcW w:w="0" w:type="auto"/>
          </w:tcPr>
          <w:p w14:paraId="124F6717" w14:textId="77777777" w:rsidR="004E4CC2" w:rsidRDefault="00000000">
            <w:pPr>
              <w:pStyle w:val="Compact"/>
            </w:pPr>
            <w:r>
              <w:t>Oberösterreich</w:t>
            </w:r>
          </w:p>
        </w:tc>
        <w:tc>
          <w:tcPr>
            <w:tcW w:w="0" w:type="auto"/>
          </w:tcPr>
          <w:p w14:paraId="0B32A870" w14:textId="77777777" w:rsidR="004E4CC2" w:rsidRDefault="00000000">
            <w:pPr>
              <w:pStyle w:val="Compact"/>
            </w:pPr>
            <w:r>
              <w:t>5</w:t>
            </w:r>
          </w:p>
        </w:tc>
        <w:tc>
          <w:tcPr>
            <w:tcW w:w="0" w:type="auto"/>
          </w:tcPr>
          <w:p w14:paraId="31748450" w14:textId="77777777" w:rsidR="004E4CC2" w:rsidRDefault="00000000">
            <w:pPr>
              <w:pStyle w:val="Compact"/>
            </w:pPr>
            <w:r>
              <w:t>Verkehrs- und Nachrichtenwesen</w:t>
            </w:r>
          </w:p>
        </w:tc>
        <w:tc>
          <w:tcPr>
            <w:tcW w:w="0" w:type="auto"/>
          </w:tcPr>
          <w:p w14:paraId="5E04D0AB" w14:textId="77777777" w:rsidR="004E4CC2" w:rsidRDefault="00000000">
            <w:pPr>
              <w:pStyle w:val="Compact"/>
            </w:pPr>
            <w:r>
              <w:t>1</w:t>
            </w:r>
          </w:p>
        </w:tc>
        <w:tc>
          <w:tcPr>
            <w:tcW w:w="0" w:type="auto"/>
          </w:tcPr>
          <w:p w14:paraId="79C627A1" w14:textId="77777777" w:rsidR="004E4CC2" w:rsidRDefault="00000000">
            <w:pPr>
              <w:pStyle w:val="Compact"/>
            </w:pPr>
            <w:r>
              <w:t>Wien</w:t>
            </w:r>
          </w:p>
        </w:tc>
        <w:tc>
          <w:tcPr>
            <w:tcW w:w="0" w:type="auto"/>
          </w:tcPr>
          <w:p w14:paraId="41EB40D4" w14:textId="77777777" w:rsidR="004E4CC2" w:rsidRDefault="00000000">
            <w:pPr>
              <w:pStyle w:val="Compact"/>
            </w:pPr>
            <w:r>
              <w:t>5</w:t>
            </w:r>
          </w:p>
        </w:tc>
        <w:tc>
          <w:tcPr>
            <w:tcW w:w="0" w:type="auto"/>
          </w:tcPr>
          <w:p w14:paraId="7922C9DF" w14:textId="77777777" w:rsidR="004E4CC2" w:rsidRDefault="00000000">
            <w:pPr>
              <w:pStyle w:val="Compact"/>
            </w:pPr>
            <w:r>
              <w:t>19</w:t>
            </w:r>
          </w:p>
        </w:tc>
        <w:tc>
          <w:tcPr>
            <w:tcW w:w="0" w:type="auto"/>
          </w:tcPr>
          <w:p w14:paraId="46A76D71" w14:textId="77777777" w:rsidR="004E4CC2" w:rsidRDefault="00000000">
            <w:pPr>
              <w:pStyle w:val="Compact"/>
            </w:pPr>
            <w:r>
              <w:t>fallback-vienna-exact</w:t>
            </w:r>
          </w:p>
        </w:tc>
      </w:tr>
      <w:tr w:rsidR="004E4CC2" w14:paraId="7E9D6192" w14:textId="77777777">
        <w:tc>
          <w:tcPr>
            <w:tcW w:w="0" w:type="auto"/>
          </w:tcPr>
          <w:p w14:paraId="4905B4D8" w14:textId="77777777" w:rsidR="004E4CC2" w:rsidRDefault="00000000">
            <w:pPr>
              <w:pStyle w:val="Compact"/>
            </w:pPr>
            <w:r>
              <w:t>195</w:t>
            </w:r>
          </w:p>
        </w:tc>
        <w:tc>
          <w:tcPr>
            <w:tcW w:w="0" w:type="auto"/>
          </w:tcPr>
          <w:p w14:paraId="7AF7A0F3" w14:textId="77777777" w:rsidR="004E4CC2" w:rsidRDefault="00000000">
            <w:pPr>
              <w:pStyle w:val="Compact"/>
            </w:pPr>
            <w:r>
              <w:t>Oberösterreich</w:t>
            </w:r>
          </w:p>
        </w:tc>
        <w:tc>
          <w:tcPr>
            <w:tcW w:w="0" w:type="auto"/>
          </w:tcPr>
          <w:p w14:paraId="08E68C5B" w14:textId="77777777" w:rsidR="004E4CC2" w:rsidRDefault="00000000">
            <w:pPr>
              <w:pStyle w:val="Compact"/>
            </w:pPr>
            <w:r>
              <w:t>6-10</w:t>
            </w:r>
          </w:p>
        </w:tc>
        <w:tc>
          <w:tcPr>
            <w:tcW w:w="0" w:type="auto"/>
          </w:tcPr>
          <w:p w14:paraId="0FA33F20" w14:textId="77777777" w:rsidR="004E4CC2" w:rsidRDefault="00000000">
            <w:pPr>
              <w:pStyle w:val="Compact"/>
            </w:pPr>
            <w:r>
              <w:t>Verkehrs- und Nachrichtenwesen</w:t>
            </w:r>
          </w:p>
        </w:tc>
        <w:tc>
          <w:tcPr>
            <w:tcW w:w="0" w:type="auto"/>
          </w:tcPr>
          <w:p w14:paraId="04B96DB8" w14:textId="77777777" w:rsidR="004E4CC2" w:rsidRDefault="00000000">
            <w:pPr>
              <w:pStyle w:val="Compact"/>
            </w:pPr>
            <w:r>
              <w:t>3</w:t>
            </w:r>
          </w:p>
        </w:tc>
        <w:tc>
          <w:tcPr>
            <w:tcW w:w="0" w:type="auto"/>
          </w:tcPr>
          <w:p w14:paraId="58B2DD12" w14:textId="77777777" w:rsidR="004E4CC2" w:rsidRDefault="00000000">
            <w:pPr>
              <w:pStyle w:val="Compact"/>
            </w:pPr>
            <w:r>
              <w:t>Wien</w:t>
            </w:r>
          </w:p>
        </w:tc>
        <w:tc>
          <w:tcPr>
            <w:tcW w:w="0" w:type="auto"/>
          </w:tcPr>
          <w:p w14:paraId="60D7E257" w14:textId="77777777" w:rsidR="004E4CC2" w:rsidRDefault="00000000">
            <w:pPr>
              <w:pStyle w:val="Compact"/>
            </w:pPr>
            <w:r>
              <w:t>6-10</w:t>
            </w:r>
          </w:p>
        </w:tc>
        <w:tc>
          <w:tcPr>
            <w:tcW w:w="0" w:type="auto"/>
          </w:tcPr>
          <w:p w14:paraId="55130589" w14:textId="77777777" w:rsidR="004E4CC2" w:rsidRDefault="00000000">
            <w:pPr>
              <w:pStyle w:val="Compact"/>
            </w:pPr>
            <w:r>
              <w:t>41</w:t>
            </w:r>
          </w:p>
        </w:tc>
        <w:tc>
          <w:tcPr>
            <w:tcW w:w="0" w:type="auto"/>
          </w:tcPr>
          <w:p w14:paraId="55C8421E" w14:textId="77777777" w:rsidR="004E4CC2" w:rsidRDefault="00000000">
            <w:pPr>
              <w:pStyle w:val="Compact"/>
            </w:pPr>
            <w:r>
              <w:t>fallback-vienna-exact</w:t>
            </w:r>
          </w:p>
        </w:tc>
      </w:tr>
      <w:tr w:rsidR="004E4CC2" w14:paraId="78B230FE" w14:textId="77777777">
        <w:tc>
          <w:tcPr>
            <w:tcW w:w="0" w:type="auto"/>
          </w:tcPr>
          <w:p w14:paraId="76B514B9" w14:textId="77777777" w:rsidR="004E4CC2" w:rsidRDefault="00000000">
            <w:pPr>
              <w:pStyle w:val="Compact"/>
            </w:pPr>
            <w:r>
              <w:t>200</w:t>
            </w:r>
          </w:p>
        </w:tc>
        <w:tc>
          <w:tcPr>
            <w:tcW w:w="0" w:type="auto"/>
          </w:tcPr>
          <w:p w14:paraId="1BE8F29F" w14:textId="77777777" w:rsidR="004E4CC2" w:rsidRDefault="00000000">
            <w:pPr>
              <w:pStyle w:val="Compact"/>
            </w:pPr>
            <w:r>
              <w:t>Salzburg</w:t>
            </w:r>
          </w:p>
        </w:tc>
        <w:tc>
          <w:tcPr>
            <w:tcW w:w="0" w:type="auto"/>
          </w:tcPr>
          <w:p w14:paraId="52B08983" w14:textId="77777777" w:rsidR="004E4CC2" w:rsidRDefault="00000000">
            <w:pPr>
              <w:pStyle w:val="Compact"/>
            </w:pPr>
            <w:r>
              <w:t>5</w:t>
            </w:r>
          </w:p>
        </w:tc>
        <w:tc>
          <w:tcPr>
            <w:tcW w:w="0" w:type="auto"/>
          </w:tcPr>
          <w:p w14:paraId="599858EE" w14:textId="77777777" w:rsidR="004E4CC2" w:rsidRDefault="00000000">
            <w:pPr>
              <w:pStyle w:val="Compact"/>
            </w:pPr>
            <w:r>
              <w:t>Verkehrs- und Nachrichtenwesen</w:t>
            </w:r>
          </w:p>
        </w:tc>
        <w:tc>
          <w:tcPr>
            <w:tcW w:w="0" w:type="auto"/>
          </w:tcPr>
          <w:p w14:paraId="44988358" w14:textId="77777777" w:rsidR="004E4CC2" w:rsidRDefault="00000000">
            <w:pPr>
              <w:pStyle w:val="Compact"/>
            </w:pPr>
            <w:r>
              <w:t>1</w:t>
            </w:r>
          </w:p>
        </w:tc>
        <w:tc>
          <w:tcPr>
            <w:tcW w:w="0" w:type="auto"/>
          </w:tcPr>
          <w:p w14:paraId="29F39B7D" w14:textId="77777777" w:rsidR="004E4CC2" w:rsidRDefault="00000000">
            <w:pPr>
              <w:pStyle w:val="Compact"/>
            </w:pPr>
            <w:r>
              <w:t>Wien</w:t>
            </w:r>
          </w:p>
        </w:tc>
        <w:tc>
          <w:tcPr>
            <w:tcW w:w="0" w:type="auto"/>
          </w:tcPr>
          <w:p w14:paraId="01A0E00F" w14:textId="77777777" w:rsidR="004E4CC2" w:rsidRDefault="00000000">
            <w:pPr>
              <w:pStyle w:val="Compact"/>
            </w:pPr>
            <w:r>
              <w:t>5</w:t>
            </w:r>
          </w:p>
        </w:tc>
        <w:tc>
          <w:tcPr>
            <w:tcW w:w="0" w:type="auto"/>
          </w:tcPr>
          <w:p w14:paraId="13C0442B" w14:textId="77777777" w:rsidR="004E4CC2" w:rsidRDefault="00000000">
            <w:pPr>
              <w:pStyle w:val="Compact"/>
            </w:pPr>
            <w:r>
              <w:t>19</w:t>
            </w:r>
          </w:p>
        </w:tc>
        <w:tc>
          <w:tcPr>
            <w:tcW w:w="0" w:type="auto"/>
          </w:tcPr>
          <w:p w14:paraId="5203D93F" w14:textId="77777777" w:rsidR="004E4CC2" w:rsidRDefault="00000000">
            <w:pPr>
              <w:pStyle w:val="Compact"/>
            </w:pPr>
            <w:r>
              <w:t>fallback-vienna-exact</w:t>
            </w:r>
          </w:p>
        </w:tc>
      </w:tr>
      <w:tr w:rsidR="004E4CC2" w14:paraId="68C76566" w14:textId="77777777">
        <w:tc>
          <w:tcPr>
            <w:tcW w:w="0" w:type="auto"/>
          </w:tcPr>
          <w:p w14:paraId="670E8665" w14:textId="77777777" w:rsidR="004E4CC2" w:rsidRDefault="00000000">
            <w:pPr>
              <w:pStyle w:val="Compact"/>
            </w:pPr>
            <w:r>
              <w:t>201</w:t>
            </w:r>
          </w:p>
        </w:tc>
        <w:tc>
          <w:tcPr>
            <w:tcW w:w="0" w:type="auto"/>
          </w:tcPr>
          <w:p w14:paraId="3346AFED" w14:textId="77777777" w:rsidR="004E4CC2" w:rsidRDefault="00000000">
            <w:pPr>
              <w:pStyle w:val="Compact"/>
            </w:pPr>
            <w:r>
              <w:t>Salzburg</w:t>
            </w:r>
          </w:p>
        </w:tc>
        <w:tc>
          <w:tcPr>
            <w:tcW w:w="0" w:type="auto"/>
          </w:tcPr>
          <w:p w14:paraId="39D7EBC4" w14:textId="77777777" w:rsidR="004E4CC2" w:rsidRDefault="00000000">
            <w:pPr>
              <w:pStyle w:val="Compact"/>
            </w:pPr>
            <w:r>
              <w:t>6-10</w:t>
            </w:r>
          </w:p>
        </w:tc>
        <w:tc>
          <w:tcPr>
            <w:tcW w:w="0" w:type="auto"/>
          </w:tcPr>
          <w:p w14:paraId="2B7CA1C9" w14:textId="77777777" w:rsidR="004E4CC2" w:rsidRDefault="00000000">
            <w:pPr>
              <w:pStyle w:val="Compact"/>
            </w:pPr>
            <w:r>
              <w:t>Verkehrs- und Nachrichtenwesen</w:t>
            </w:r>
          </w:p>
        </w:tc>
        <w:tc>
          <w:tcPr>
            <w:tcW w:w="0" w:type="auto"/>
          </w:tcPr>
          <w:p w14:paraId="67575EDA" w14:textId="77777777" w:rsidR="004E4CC2" w:rsidRDefault="00000000">
            <w:pPr>
              <w:pStyle w:val="Compact"/>
            </w:pPr>
            <w:r>
              <w:t>3</w:t>
            </w:r>
          </w:p>
        </w:tc>
        <w:tc>
          <w:tcPr>
            <w:tcW w:w="0" w:type="auto"/>
          </w:tcPr>
          <w:p w14:paraId="1DDED24D" w14:textId="77777777" w:rsidR="004E4CC2" w:rsidRDefault="00000000">
            <w:pPr>
              <w:pStyle w:val="Compact"/>
            </w:pPr>
            <w:r>
              <w:t>Wien</w:t>
            </w:r>
          </w:p>
        </w:tc>
        <w:tc>
          <w:tcPr>
            <w:tcW w:w="0" w:type="auto"/>
          </w:tcPr>
          <w:p w14:paraId="0836862E" w14:textId="77777777" w:rsidR="004E4CC2" w:rsidRDefault="00000000">
            <w:pPr>
              <w:pStyle w:val="Compact"/>
            </w:pPr>
            <w:r>
              <w:t>6-10</w:t>
            </w:r>
          </w:p>
        </w:tc>
        <w:tc>
          <w:tcPr>
            <w:tcW w:w="0" w:type="auto"/>
          </w:tcPr>
          <w:p w14:paraId="2EC63AA6" w14:textId="77777777" w:rsidR="004E4CC2" w:rsidRDefault="00000000">
            <w:pPr>
              <w:pStyle w:val="Compact"/>
            </w:pPr>
            <w:r>
              <w:t>41</w:t>
            </w:r>
          </w:p>
        </w:tc>
        <w:tc>
          <w:tcPr>
            <w:tcW w:w="0" w:type="auto"/>
          </w:tcPr>
          <w:p w14:paraId="05C4C508" w14:textId="77777777" w:rsidR="004E4CC2" w:rsidRDefault="00000000">
            <w:pPr>
              <w:pStyle w:val="Compact"/>
            </w:pPr>
            <w:r>
              <w:t>fallback-vienna-exact</w:t>
            </w:r>
          </w:p>
        </w:tc>
      </w:tr>
      <w:tr w:rsidR="004E4CC2" w14:paraId="353B8DB9" w14:textId="77777777">
        <w:tc>
          <w:tcPr>
            <w:tcW w:w="0" w:type="auto"/>
          </w:tcPr>
          <w:p w14:paraId="4489DB50" w14:textId="77777777" w:rsidR="004E4CC2" w:rsidRDefault="00000000">
            <w:pPr>
              <w:pStyle w:val="Compact"/>
            </w:pPr>
            <w:r>
              <w:t>20</w:t>
            </w:r>
            <w:r>
              <w:lastRenderedPageBreak/>
              <w:t>6</w:t>
            </w:r>
          </w:p>
        </w:tc>
        <w:tc>
          <w:tcPr>
            <w:tcW w:w="0" w:type="auto"/>
          </w:tcPr>
          <w:p w14:paraId="77AF5D0F" w14:textId="77777777" w:rsidR="004E4CC2" w:rsidRDefault="00000000">
            <w:pPr>
              <w:pStyle w:val="Compact"/>
            </w:pPr>
            <w:r>
              <w:lastRenderedPageBreak/>
              <w:t>Steiermark</w:t>
            </w:r>
          </w:p>
        </w:tc>
        <w:tc>
          <w:tcPr>
            <w:tcW w:w="0" w:type="auto"/>
          </w:tcPr>
          <w:p w14:paraId="1D91EFDA" w14:textId="77777777" w:rsidR="004E4CC2" w:rsidRDefault="00000000">
            <w:pPr>
              <w:pStyle w:val="Compact"/>
            </w:pPr>
            <w:r>
              <w:t>5</w:t>
            </w:r>
          </w:p>
        </w:tc>
        <w:tc>
          <w:tcPr>
            <w:tcW w:w="0" w:type="auto"/>
          </w:tcPr>
          <w:p w14:paraId="02AB4B27" w14:textId="77777777" w:rsidR="004E4CC2" w:rsidRDefault="00000000">
            <w:pPr>
              <w:pStyle w:val="Compact"/>
            </w:pPr>
            <w:r>
              <w:t>Verkehrs- und Nachrichtenw</w:t>
            </w:r>
            <w:r>
              <w:lastRenderedPageBreak/>
              <w:t>esen</w:t>
            </w:r>
          </w:p>
        </w:tc>
        <w:tc>
          <w:tcPr>
            <w:tcW w:w="0" w:type="auto"/>
          </w:tcPr>
          <w:p w14:paraId="006EB931" w14:textId="77777777" w:rsidR="004E4CC2" w:rsidRDefault="00000000">
            <w:pPr>
              <w:pStyle w:val="Compact"/>
            </w:pPr>
            <w:r>
              <w:lastRenderedPageBreak/>
              <w:t>1</w:t>
            </w:r>
          </w:p>
        </w:tc>
        <w:tc>
          <w:tcPr>
            <w:tcW w:w="0" w:type="auto"/>
          </w:tcPr>
          <w:p w14:paraId="32C32BC0" w14:textId="77777777" w:rsidR="004E4CC2" w:rsidRDefault="00000000">
            <w:pPr>
              <w:pStyle w:val="Compact"/>
            </w:pPr>
            <w:r>
              <w:t>Wien</w:t>
            </w:r>
          </w:p>
        </w:tc>
        <w:tc>
          <w:tcPr>
            <w:tcW w:w="0" w:type="auto"/>
          </w:tcPr>
          <w:p w14:paraId="04722FE7" w14:textId="77777777" w:rsidR="004E4CC2" w:rsidRDefault="00000000">
            <w:pPr>
              <w:pStyle w:val="Compact"/>
            </w:pPr>
            <w:r>
              <w:t>5</w:t>
            </w:r>
          </w:p>
        </w:tc>
        <w:tc>
          <w:tcPr>
            <w:tcW w:w="0" w:type="auto"/>
          </w:tcPr>
          <w:p w14:paraId="2BA4585F" w14:textId="77777777" w:rsidR="004E4CC2" w:rsidRDefault="00000000">
            <w:pPr>
              <w:pStyle w:val="Compact"/>
            </w:pPr>
            <w:r>
              <w:t>19</w:t>
            </w:r>
          </w:p>
        </w:tc>
        <w:tc>
          <w:tcPr>
            <w:tcW w:w="0" w:type="auto"/>
          </w:tcPr>
          <w:p w14:paraId="5ADEED1E" w14:textId="77777777" w:rsidR="004E4CC2" w:rsidRDefault="00000000">
            <w:pPr>
              <w:pStyle w:val="Compact"/>
            </w:pPr>
            <w:r>
              <w:t>fallback-</w:t>
            </w:r>
            <w:r>
              <w:lastRenderedPageBreak/>
              <w:t>vienna-exact</w:t>
            </w:r>
          </w:p>
        </w:tc>
      </w:tr>
      <w:tr w:rsidR="004E4CC2" w14:paraId="458B9A8A" w14:textId="77777777">
        <w:tc>
          <w:tcPr>
            <w:tcW w:w="0" w:type="auto"/>
          </w:tcPr>
          <w:p w14:paraId="48B8D111" w14:textId="77777777" w:rsidR="004E4CC2" w:rsidRDefault="00000000">
            <w:pPr>
              <w:pStyle w:val="Compact"/>
            </w:pPr>
            <w:r>
              <w:lastRenderedPageBreak/>
              <w:t>207</w:t>
            </w:r>
          </w:p>
        </w:tc>
        <w:tc>
          <w:tcPr>
            <w:tcW w:w="0" w:type="auto"/>
          </w:tcPr>
          <w:p w14:paraId="7539515D" w14:textId="77777777" w:rsidR="004E4CC2" w:rsidRDefault="00000000">
            <w:pPr>
              <w:pStyle w:val="Compact"/>
            </w:pPr>
            <w:r>
              <w:t>Steiermark</w:t>
            </w:r>
          </w:p>
        </w:tc>
        <w:tc>
          <w:tcPr>
            <w:tcW w:w="0" w:type="auto"/>
          </w:tcPr>
          <w:p w14:paraId="32F354F9" w14:textId="77777777" w:rsidR="004E4CC2" w:rsidRDefault="00000000">
            <w:pPr>
              <w:pStyle w:val="Compact"/>
            </w:pPr>
            <w:r>
              <w:t>6-10</w:t>
            </w:r>
          </w:p>
        </w:tc>
        <w:tc>
          <w:tcPr>
            <w:tcW w:w="0" w:type="auto"/>
          </w:tcPr>
          <w:p w14:paraId="3C0F956C" w14:textId="77777777" w:rsidR="004E4CC2" w:rsidRDefault="00000000">
            <w:pPr>
              <w:pStyle w:val="Compact"/>
            </w:pPr>
            <w:r>
              <w:t>Verkehrs- und Nachrichtenwesen</w:t>
            </w:r>
          </w:p>
        </w:tc>
        <w:tc>
          <w:tcPr>
            <w:tcW w:w="0" w:type="auto"/>
          </w:tcPr>
          <w:p w14:paraId="3CE41638" w14:textId="77777777" w:rsidR="004E4CC2" w:rsidRDefault="00000000">
            <w:pPr>
              <w:pStyle w:val="Compact"/>
            </w:pPr>
            <w:r>
              <w:t>3</w:t>
            </w:r>
          </w:p>
        </w:tc>
        <w:tc>
          <w:tcPr>
            <w:tcW w:w="0" w:type="auto"/>
          </w:tcPr>
          <w:p w14:paraId="15352ED9" w14:textId="77777777" w:rsidR="004E4CC2" w:rsidRDefault="00000000">
            <w:pPr>
              <w:pStyle w:val="Compact"/>
            </w:pPr>
            <w:r>
              <w:t>Wien</w:t>
            </w:r>
          </w:p>
        </w:tc>
        <w:tc>
          <w:tcPr>
            <w:tcW w:w="0" w:type="auto"/>
          </w:tcPr>
          <w:p w14:paraId="3452FFC4" w14:textId="77777777" w:rsidR="004E4CC2" w:rsidRDefault="00000000">
            <w:pPr>
              <w:pStyle w:val="Compact"/>
            </w:pPr>
            <w:r>
              <w:t>6-10</w:t>
            </w:r>
          </w:p>
        </w:tc>
        <w:tc>
          <w:tcPr>
            <w:tcW w:w="0" w:type="auto"/>
          </w:tcPr>
          <w:p w14:paraId="6F2AE03C" w14:textId="77777777" w:rsidR="004E4CC2" w:rsidRDefault="00000000">
            <w:pPr>
              <w:pStyle w:val="Compact"/>
            </w:pPr>
            <w:r>
              <w:t>41</w:t>
            </w:r>
          </w:p>
        </w:tc>
        <w:tc>
          <w:tcPr>
            <w:tcW w:w="0" w:type="auto"/>
          </w:tcPr>
          <w:p w14:paraId="5AE95C6D" w14:textId="77777777" w:rsidR="004E4CC2" w:rsidRDefault="00000000">
            <w:pPr>
              <w:pStyle w:val="Compact"/>
            </w:pPr>
            <w:r>
              <w:t>fallback-vienna-exact</w:t>
            </w:r>
          </w:p>
        </w:tc>
      </w:tr>
      <w:tr w:rsidR="004E4CC2" w14:paraId="3A881317" w14:textId="77777777">
        <w:tc>
          <w:tcPr>
            <w:tcW w:w="0" w:type="auto"/>
          </w:tcPr>
          <w:p w14:paraId="17B46AEA" w14:textId="77777777" w:rsidR="004E4CC2" w:rsidRDefault="00000000">
            <w:pPr>
              <w:pStyle w:val="Compact"/>
            </w:pPr>
            <w:r>
              <w:t>212</w:t>
            </w:r>
          </w:p>
        </w:tc>
        <w:tc>
          <w:tcPr>
            <w:tcW w:w="0" w:type="auto"/>
          </w:tcPr>
          <w:p w14:paraId="7F76511F" w14:textId="77777777" w:rsidR="004E4CC2" w:rsidRDefault="00000000">
            <w:pPr>
              <w:pStyle w:val="Compact"/>
            </w:pPr>
            <w:r>
              <w:t>Tirol</w:t>
            </w:r>
          </w:p>
        </w:tc>
        <w:tc>
          <w:tcPr>
            <w:tcW w:w="0" w:type="auto"/>
          </w:tcPr>
          <w:p w14:paraId="7913025A" w14:textId="77777777" w:rsidR="004E4CC2" w:rsidRDefault="00000000">
            <w:pPr>
              <w:pStyle w:val="Compact"/>
            </w:pPr>
            <w:r>
              <w:t>5</w:t>
            </w:r>
          </w:p>
        </w:tc>
        <w:tc>
          <w:tcPr>
            <w:tcW w:w="0" w:type="auto"/>
          </w:tcPr>
          <w:p w14:paraId="694E2CB5" w14:textId="77777777" w:rsidR="004E4CC2" w:rsidRDefault="00000000">
            <w:pPr>
              <w:pStyle w:val="Compact"/>
            </w:pPr>
            <w:r>
              <w:t>Verkehrs- und Nachrichtenwesen</w:t>
            </w:r>
          </w:p>
        </w:tc>
        <w:tc>
          <w:tcPr>
            <w:tcW w:w="0" w:type="auto"/>
          </w:tcPr>
          <w:p w14:paraId="7715F8E3" w14:textId="77777777" w:rsidR="004E4CC2" w:rsidRDefault="00000000">
            <w:pPr>
              <w:pStyle w:val="Compact"/>
            </w:pPr>
            <w:r>
              <w:t>1</w:t>
            </w:r>
          </w:p>
        </w:tc>
        <w:tc>
          <w:tcPr>
            <w:tcW w:w="0" w:type="auto"/>
          </w:tcPr>
          <w:p w14:paraId="20FA1434" w14:textId="77777777" w:rsidR="004E4CC2" w:rsidRDefault="00000000">
            <w:pPr>
              <w:pStyle w:val="Compact"/>
            </w:pPr>
            <w:r>
              <w:t>Wien</w:t>
            </w:r>
          </w:p>
        </w:tc>
        <w:tc>
          <w:tcPr>
            <w:tcW w:w="0" w:type="auto"/>
          </w:tcPr>
          <w:p w14:paraId="34E5CC8F" w14:textId="77777777" w:rsidR="004E4CC2" w:rsidRDefault="00000000">
            <w:pPr>
              <w:pStyle w:val="Compact"/>
            </w:pPr>
            <w:r>
              <w:t>5</w:t>
            </w:r>
          </w:p>
        </w:tc>
        <w:tc>
          <w:tcPr>
            <w:tcW w:w="0" w:type="auto"/>
          </w:tcPr>
          <w:p w14:paraId="6EE5503B" w14:textId="77777777" w:rsidR="004E4CC2" w:rsidRDefault="00000000">
            <w:pPr>
              <w:pStyle w:val="Compact"/>
            </w:pPr>
            <w:r>
              <w:t>19</w:t>
            </w:r>
          </w:p>
        </w:tc>
        <w:tc>
          <w:tcPr>
            <w:tcW w:w="0" w:type="auto"/>
          </w:tcPr>
          <w:p w14:paraId="6E43CFCE" w14:textId="77777777" w:rsidR="004E4CC2" w:rsidRDefault="00000000">
            <w:pPr>
              <w:pStyle w:val="Compact"/>
            </w:pPr>
            <w:r>
              <w:t>fallback-vienna-exact</w:t>
            </w:r>
          </w:p>
        </w:tc>
      </w:tr>
      <w:tr w:rsidR="004E4CC2" w14:paraId="274199A8" w14:textId="77777777">
        <w:tc>
          <w:tcPr>
            <w:tcW w:w="0" w:type="auto"/>
          </w:tcPr>
          <w:p w14:paraId="11511992" w14:textId="77777777" w:rsidR="004E4CC2" w:rsidRDefault="00000000">
            <w:pPr>
              <w:pStyle w:val="Compact"/>
            </w:pPr>
            <w:r>
              <w:t>213</w:t>
            </w:r>
          </w:p>
        </w:tc>
        <w:tc>
          <w:tcPr>
            <w:tcW w:w="0" w:type="auto"/>
          </w:tcPr>
          <w:p w14:paraId="6F4EC310" w14:textId="77777777" w:rsidR="004E4CC2" w:rsidRDefault="00000000">
            <w:pPr>
              <w:pStyle w:val="Compact"/>
            </w:pPr>
            <w:r>
              <w:t>Tirol</w:t>
            </w:r>
          </w:p>
        </w:tc>
        <w:tc>
          <w:tcPr>
            <w:tcW w:w="0" w:type="auto"/>
          </w:tcPr>
          <w:p w14:paraId="3B9E3287" w14:textId="77777777" w:rsidR="004E4CC2" w:rsidRDefault="00000000">
            <w:pPr>
              <w:pStyle w:val="Compact"/>
            </w:pPr>
            <w:r>
              <w:t>6-10</w:t>
            </w:r>
          </w:p>
        </w:tc>
        <w:tc>
          <w:tcPr>
            <w:tcW w:w="0" w:type="auto"/>
          </w:tcPr>
          <w:p w14:paraId="3F05264E" w14:textId="77777777" w:rsidR="004E4CC2" w:rsidRDefault="00000000">
            <w:pPr>
              <w:pStyle w:val="Compact"/>
            </w:pPr>
            <w:r>
              <w:t>Verkehrs- und Nachrichtenwesen</w:t>
            </w:r>
          </w:p>
        </w:tc>
        <w:tc>
          <w:tcPr>
            <w:tcW w:w="0" w:type="auto"/>
          </w:tcPr>
          <w:p w14:paraId="439B6031" w14:textId="77777777" w:rsidR="004E4CC2" w:rsidRDefault="00000000">
            <w:pPr>
              <w:pStyle w:val="Compact"/>
            </w:pPr>
            <w:r>
              <w:t>3</w:t>
            </w:r>
          </w:p>
        </w:tc>
        <w:tc>
          <w:tcPr>
            <w:tcW w:w="0" w:type="auto"/>
          </w:tcPr>
          <w:p w14:paraId="3AC61A2F" w14:textId="77777777" w:rsidR="004E4CC2" w:rsidRDefault="00000000">
            <w:pPr>
              <w:pStyle w:val="Compact"/>
            </w:pPr>
            <w:r>
              <w:t>Wien</w:t>
            </w:r>
          </w:p>
        </w:tc>
        <w:tc>
          <w:tcPr>
            <w:tcW w:w="0" w:type="auto"/>
          </w:tcPr>
          <w:p w14:paraId="5CE74381" w14:textId="77777777" w:rsidR="004E4CC2" w:rsidRDefault="00000000">
            <w:pPr>
              <w:pStyle w:val="Compact"/>
            </w:pPr>
            <w:r>
              <w:t>6-10</w:t>
            </w:r>
          </w:p>
        </w:tc>
        <w:tc>
          <w:tcPr>
            <w:tcW w:w="0" w:type="auto"/>
          </w:tcPr>
          <w:p w14:paraId="2F15A22D" w14:textId="77777777" w:rsidR="004E4CC2" w:rsidRDefault="00000000">
            <w:pPr>
              <w:pStyle w:val="Compact"/>
            </w:pPr>
            <w:r>
              <w:t>41</w:t>
            </w:r>
          </w:p>
        </w:tc>
        <w:tc>
          <w:tcPr>
            <w:tcW w:w="0" w:type="auto"/>
          </w:tcPr>
          <w:p w14:paraId="6BFB6AEB" w14:textId="77777777" w:rsidR="004E4CC2" w:rsidRDefault="00000000">
            <w:pPr>
              <w:pStyle w:val="Compact"/>
            </w:pPr>
            <w:r>
              <w:t>fallback-vienna-exact</w:t>
            </w:r>
          </w:p>
        </w:tc>
      </w:tr>
      <w:tr w:rsidR="004E4CC2" w14:paraId="3D2157C5" w14:textId="77777777">
        <w:tc>
          <w:tcPr>
            <w:tcW w:w="0" w:type="auto"/>
          </w:tcPr>
          <w:p w14:paraId="1AB0853F" w14:textId="77777777" w:rsidR="004E4CC2" w:rsidRDefault="00000000">
            <w:pPr>
              <w:pStyle w:val="Compact"/>
            </w:pPr>
            <w:r>
              <w:t>214</w:t>
            </w:r>
          </w:p>
        </w:tc>
        <w:tc>
          <w:tcPr>
            <w:tcW w:w="0" w:type="auto"/>
          </w:tcPr>
          <w:p w14:paraId="00F472BF" w14:textId="77777777" w:rsidR="004E4CC2" w:rsidRDefault="00000000">
            <w:pPr>
              <w:pStyle w:val="Compact"/>
            </w:pPr>
            <w:r>
              <w:t>Tirol</w:t>
            </w:r>
          </w:p>
        </w:tc>
        <w:tc>
          <w:tcPr>
            <w:tcW w:w="0" w:type="auto"/>
          </w:tcPr>
          <w:p w14:paraId="3CE2A6FC" w14:textId="77777777" w:rsidR="004E4CC2" w:rsidRDefault="00000000">
            <w:pPr>
              <w:pStyle w:val="Compact"/>
            </w:pPr>
            <w:r>
              <w:t>11+</w:t>
            </w:r>
          </w:p>
        </w:tc>
        <w:tc>
          <w:tcPr>
            <w:tcW w:w="0" w:type="auto"/>
          </w:tcPr>
          <w:p w14:paraId="5E2CE1B8" w14:textId="77777777" w:rsidR="004E4CC2" w:rsidRDefault="00000000">
            <w:pPr>
              <w:pStyle w:val="Compact"/>
            </w:pPr>
            <w:r>
              <w:t>Verkehrs- und Nachrichtenwesen</w:t>
            </w:r>
          </w:p>
        </w:tc>
        <w:tc>
          <w:tcPr>
            <w:tcW w:w="0" w:type="auto"/>
          </w:tcPr>
          <w:p w14:paraId="7ADC42C8" w14:textId="77777777" w:rsidR="004E4CC2" w:rsidRDefault="00000000">
            <w:pPr>
              <w:pStyle w:val="Compact"/>
            </w:pPr>
            <w:r>
              <w:t>0</w:t>
            </w:r>
          </w:p>
        </w:tc>
        <w:tc>
          <w:tcPr>
            <w:tcW w:w="0" w:type="auto"/>
          </w:tcPr>
          <w:p w14:paraId="6EFAE4EB" w14:textId="77777777" w:rsidR="004E4CC2" w:rsidRDefault="00000000">
            <w:pPr>
              <w:pStyle w:val="Compact"/>
            </w:pPr>
            <w:r>
              <w:t>Salzburg</w:t>
            </w:r>
          </w:p>
        </w:tc>
        <w:tc>
          <w:tcPr>
            <w:tcW w:w="0" w:type="auto"/>
          </w:tcPr>
          <w:p w14:paraId="2A2D0BBA" w14:textId="77777777" w:rsidR="004E4CC2" w:rsidRDefault="00000000">
            <w:pPr>
              <w:pStyle w:val="Compact"/>
            </w:pPr>
            <w:r>
              <w:t>4</w:t>
            </w:r>
          </w:p>
        </w:tc>
        <w:tc>
          <w:tcPr>
            <w:tcW w:w="0" w:type="auto"/>
          </w:tcPr>
          <w:p w14:paraId="1D2797E5" w14:textId="77777777" w:rsidR="004E4CC2" w:rsidRDefault="00000000">
            <w:pPr>
              <w:pStyle w:val="Compact"/>
            </w:pPr>
            <w:r>
              <w:t>9</w:t>
            </w:r>
          </w:p>
        </w:tc>
        <w:tc>
          <w:tcPr>
            <w:tcW w:w="0" w:type="auto"/>
          </w:tcPr>
          <w:p w14:paraId="12FADDF2" w14:textId="77777777" w:rsidR="004E4CC2" w:rsidRDefault="00000000">
            <w:pPr>
              <w:pStyle w:val="Compact"/>
            </w:pPr>
            <w:r>
              <w:t>fallback-salzburg-nearest-storey</w:t>
            </w:r>
          </w:p>
        </w:tc>
      </w:tr>
      <w:tr w:rsidR="004E4CC2" w14:paraId="7D5A19C4" w14:textId="77777777">
        <w:tc>
          <w:tcPr>
            <w:tcW w:w="0" w:type="auto"/>
          </w:tcPr>
          <w:p w14:paraId="4330E5A7" w14:textId="77777777" w:rsidR="004E4CC2" w:rsidRDefault="00000000">
            <w:pPr>
              <w:pStyle w:val="Compact"/>
            </w:pPr>
            <w:r>
              <w:t>219</w:t>
            </w:r>
          </w:p>
        </w:tc>
        <w:tc>
          <w:tcPr>
            <w:tcW w:w="0" w:type="auto"/>
          </w:tcPr>
          <w:p w14:paraId="45E6FD47" w14:textId="77777777" w:rsidR="004E4CC2" w:rsidRDefault="00000000">
            <w:pPr>
              <w:pStyle w:val="Compact"/>
            </w:pPr>
            <w:r>
              <w:t>Vorarlberg</w:t>
            </w:r>
          </w:p>
        </w:tc>
        <w:tc>
          <w:tcPr>
            <w:tcW w:w="0" w:type="auto"/>
          </w:tcPr>
          <w:p w14:paraId="498F5CD1" w14:textId="77777777" w:rsidR="004E4CC2" w:rsidRDefault="00000000">
            <w:pPr>
              <w:pStyle w:val="Compact"/>
            </w:pPr>
            <w:r>
              <w:t>5</w:t>
            </w:r>
          </w:p>
        </w:tc>
        <w:tc>
          <w:tcPr>
            <w:tcW w:w="0" w:type="auto"/>
          </w:tcPr>
          <w:p w14:paraId="1BE89778" w14:textId="77777777" w:rsidR="004E4CC2" w:rsidRDefault="00000000">
            <w:pPr>
              <w:pStyle w:val="Compact"/>
            </w:pPr>
            <w:r>
              <w:t>Verkehrs- und Nachrichtenwesen</w:t>
            </w:r>
          </w:p>
        </w:tc>
        <w:tc>
          <w:tcPr>
            <w:tcW w:w="0" w:type="auto"/>
          </w:tcPr>
          <w:p w14:paraId="45078C64" w14:textId="77777777" w:rsidR="004E4CC2" w:rsidRDefault="00000000">
            <w:pPr>
              <w:pStyle w:val="Compact"/>
            </w:pPr>
            <w:r>
              <w:t>1</w:t>
            </w:r>
          </w:p>
        </w:tc>
        <w:tc>
          <w:tcPr>
            <w:tcW w:w="0" w:type="auto"/>
          </w:tcPr>
          <w:p w14:paraId="4DA1C234" w14:textId="77777777" w:rsidR="004E4CC2" w:rsidRDefault="00000000">
            <w:pPr>
              <w:pStyle w:val="Compact"/>
            </w:pPr>
            <w:r>
              <w:t>Wien</w:t>
            </w:r>
          </w:p>
        </w:tc>
        <w:tc>
          <w:tcPr>
            <w:tcW w:w="0" w:type="auto"/>
          </w:tcPr>
          <w:p w14:paraId="51A4119E" w14:textId="77777777" w:rsidR="004E4CC2" w:rsidRDefault="00000000">
            <w:pPr>
              <w:pStyle w:val="Compact"/>
            </w:pPr>
            <w:r>
              <w:t>5</w:t>
            </w:r>
          </w:p>
        </w:tc>
        <w:tc>
          <w:tcPr>
            <w:tcW w:w="0" w:type="auto"/>
          </w:tcPr>
          <w:p w14:paraId="1E44B43D" w14:textId="77777777" w:rsidR="004E4CC2" w:rsidRDefault="00000000">
            <w:pPr>
              <w:pStyle w:val="Compact"/>
            </w:pPr>
            <w:r>
              <w:t>19</w:t>
            </w:r>
          </w:p>
        </w:tc>
        <w:tc>
          <w:tcPr>
            <w:tcW w:w="0" w:type="auto"/>
          </w:tcPr>
          <w:p w14:paraId="4CC359D5" w14:textId="77777777" w:rsidR="004E4CC2" w:rsidRDefault="00000000">
            <w:pPr>
              <w:pStyle w:val="Compact"/>
            </w:pPr>
            <w:r>
              <w:t>fallback-vienna-exact</w:t>
            </w:r>
          </w:p>
        </w:tc>
      </w:tr>
      <w:tr w:rsidR="004E4CC2" w14:paraId="6D19D7DC" w14:textId="77777777">
        <w:tc>
          <w:tcPr>
            <w:tcW w:w="0" w:type="auto"/>
          </w:tcPr>
          <w:p w14:paraId="049B68CC" w14:textId="77777777" w:rsidR="004E4CC2" w:rsidRDefault="00000000">
            <w:pPr>
              <w:pStyle w:val="Compact"/>
            </w:pPr>
            <w:r>
              <w:t>220</w:t>
            </w:r>
          </w:p>
        </w:tc>
        <w:tc>
          <w:tcPr>
            <w:tcW w:w="0" w:type="auto"/>
          </w:tcPr>
          <w:p w14:paraId="590FFF7F" w14:textId="77777777" w:rsidR="004E4CC2" w:rsidRDefault="00000000">
            <w:pPr>
              <w:pStyle w:val="Compact"/>
            </w:pPr>
            <w:r>
              <w:t>Vorarlberg</w:t>
            </w:r>
          </w:p>
        </w:tc>
        <w:tc>
          <w:tcPr>
            <w:tcW w:w="0" w:type="auto"/>
          </w:tcPr>
          <w:p w14:paraId="55C99D7A" w14:textId="77777777" w:rsidR="004E4CC2" w:rsidRDefault="00000000">
            <w:pPr>
              <w:pStyle w:val="Compact"/>
            </w:pPr>
            <w:r>
              <w:t>6-10</w:t>
            </w:r>
          </w:p>
        </w:tc>
        <w:tc>
          <w:tcPr>
            <w:tcW w:w="0" w:type="auto"/>
          </w:tcPr>
          <w:p w14:paraId="32AB3234" w14:textId="77777777" w:rsidR="004E4CC2" w:rsidRDefault="00000000">
            <w:pPr>
              <w:pStyle w:val="Compact"/>
            </w:pPr>
            <w:r>
              <w:t>Verkehrs- und Nachrichtenwesen</w:t>
            </w:r>
          </w:p>
        </w:tc>
        <w:tc>
          <w:tcPr>
            <w:tcW w:w="0" w:type="auto"/>
          </w:tcPr>
          <w:p w14:paraId="6CB1C968" w14:textId="77777777" w:rsidR="004E4CC2" w:rsidRDefault="00000000">
            <w:pPr>
              <w:pStyle w:val="Compact"/>
            </w:pPr>
            <w:r>
              <w:t>3</w:t>
            </w:r>
          </w:p>
        </w:tc>
        <w:tc>
          <w:tcPr>
            <w:tcW w:w="0" w:type="auto"/>
          </w:tcPr>
          <w:p w14:paraId="7B8896C9" w14:textId="77777777" w:rsidR="004E4CC2" w:rsidRDefault="00000000">
            <w:pPr>
              <w:pStyle w:val="Compact"/>
            </w:pPr>
            <w:r>
              <w:t>Wien</w:t>
            </w:r>
          </w:p>
        </w:tc>
        <w:tc>
          <w:tcPr>
            <w:tcW w:w="0" w:type="auto"/>
          </w:tcPr>
          <w:p w14:paraId="420D8E89" w14:textId="77777777" w:rsidR="004E4CC2" w:rsidRDefault="00000000">
            <w:pPr>
              <w:pStyle w:val="Compact"/>
            </w:pPr>
            <w:r>
              <w:t>6-10</w:t>
            </w:r>
          </w:p>
        </w:tc>
        <w:tc>
          <w:tcPr>
            <w:tcW w:w="0" w:type="auto"/>
          </w:tcPr>
          <w:p w14:paraId="1D21FECE" w14:textId="77777777" w:rsidR="004E4CC2" w:rsidRDefault="00000000">
            <w:pPr>
              <w:pStyle w:val="Compact"/>
            </w:pPr>
            <w:r>
              <w:t>41</w:t>
            </w:r>
          </w:p>
        </w:tc>
        <w:tc>
          <w:tcPr>
            <w:tcW w:w="0" w:type="auto"/>
          </w:tcPr>
          <w:p w14:paraId="3C38E0EE" w14:textId="77777777" w:rsidR="004E4CC2" w:rsidRDefault="00000000">
            <w:pPr>
              <w:pStyle w:val="Compact"/>
            </w:pPr>
            <w:r>
              <w:t>fallback-vienna-exact</w:t>
            </w:r>
          </w:p>
        </w:tc>
      </w:tr>
      <w:tr w:rsidR="004E4CC2" w14:paraId="538CCEB5" w14:textId="77777777">
        <w:tc>
          <w:tcPr>
            <w:tcW w:w="0" w:type="auto"/>
          </w:tcPr>
          <w:p w14:paraId="137B051E" w14:textId="77777777" w:rsidR="004E4CC2" w:rsidRDefault="00000000">
            <w:pPr>
              <w:pStyle w:val="Compact"/>
            </w:pPr>
            <w:r>
              <w:t>227</w:t>
            </w:r>
          </w:p>
        </w:tc>
        <w:tc>
          <w:tcPr>
            <w:tcW w:w="0" w:type="auto"/>
          </w:tcPr>
          <w:p w14:paraId="717FFC7A" w14:textId="77777777" w:rsidR="004E4CC2" w:rsidRDefault="00000000">
            <w:pPr>
              <w:pStyle w:val="Compact"/>
            </w:pPr>
            <w:r>
              <w:t>Wien</w:t>
            </w:r>
          </w:p>
        </w:tc>
        <w:tc>
          <w:tcPr>
            <w:tcW w:w="0" w:type="auto"/>
          </w:tcPr>
          <w:p w14:paraId="5605D772" w14:textId="77777777" w:rsidR="004E4CC2" w:rsidRDefault="00000000">
            <w:pPr>
              <w:pStyle w:val="Compact"/>
            </w:pPr>
            <w:r>
              <w:t>11+</w:t>
            </w:r>
          </w:p>
        </w:tc>
        <w:tc>
          <w:tcPr>
            <w:tcW w:w="0" w:type="auto"/>
          </w:tcPr>
          <w:p w14:paraId="39270575" w14:textId="77777777" w:rsidR="004E4CC2" w:rsidRDefault="00000000">
            <w:pPr>
              <w:pStyle w:val="Compact"/>
            </w:pPr>
            <w:r>
              <w:t>Verkehrs- und Nachrichtenwesen</w:t>
            </w:r>
          </w:p>
        </w:tc>
        <w:tc>
          <w:tcPr>
            <w:tcW w:w="0" w:type="auto"/>
          </w:tcPr>
          <w:p w14:paraId="29093990" w14:textId="77777777" w:rsidR="004E4CC2" w:rsidRDefault="00000000">
            <w:pPr>
              <w:pStyle w:val="Compact"/>
            </w:pPr>
            <w:r>
              <w:t>1</w:t>
            </w:r>
          </w:p>
        </w:tc>
        <w:tc>
          <w:tcPr>
            <w:tcW w:w="0" w:type="auto"/>
          </w:tcPr>
          <w:p w14:paraId="61F21DE8" w14:textId="77777777" w:rsidR="004E4CC2" w:rsidRDefault="00000000">
            <w:pPr>
              <w:pStyle w:val="Compact"/>
            </w:pPr>
            <w:r>
              <w:t>Wien</w:t>
            </w:r>
          </w:p>
        </w:tc>
        <w:tc>
          <w:tcPr>
            <w:tcW w:w="0" w:type="auto"/>
          </w:tcPr>
          <w:p w14:paraId="207229E5" w14:textId="77777777" w:rsidR="004E4CC2" w:rsidRDefault="00000000">
            <w:pPr>
              <w:pStyle w:val="Compact"/>
            </w:pPr>
            <w:r>
              <w:t>6-10</w:t>
            </w:r>
          </w:p>
        </w:tc>
        <w:tc>
          <w:tcPr>
            <w:tcW w:w="0" w:type="auto"/>
          </w:tcPr>
          <w:p w14:paraId="56BDFD26" w14:textId="77777777" w:rsidR="004E4CC2" w:rsidRDefault="00000000">
            <w:pPr>
              <w:pStyle w:val="Compact"/>
            </w:pPr>
            <w:r>
              <w:t>41</w:t>
            </w:r>
          </w:p>
        </w:tc>
        <w:tc>
          <w:tcPr>
            <w:tcW w:w="0" w:type="auto"/>
          </w:tcPr>
          <w:p w14:paraId="51A5752B" w14:textId="77777777" w:rsidR="004E4CC2" w:rsidRDefault="00000000">
            <w:pPr>
              <w:pStyle w:val="Compact"/>
            </w:pPr>
            <w:r>
              <w:t>fallback-wien-nearest-</w:t>
            </w:r>
            <w:r>
              <w:lastRenderedPageBreak/>
              <w:t>storey</w:t>
            </w:r>
          </w:p>
        </w:tc>
      </w:tr>
      <w:tr w:rsidR="004E4CC2" w14:paraId="1F8B976C" w14:textId="77777777">
        <w:tc>
          <w:tcPr>
            <w:tcW w:w="0" w:type="auto"/>
          </w:tcPr>
          <w:p w14:paraId="5BE2D8A8" w14:textId="77777777" w:rsidR="004E4CC2" w:rsidRDefault="00000000">
            <w:pPr>
              <w:pStyle w:val="Compact"/>
            </w:pPr>
            <w:r>
              <w:lastRenderedPageBreak/>
              <w:t>246</w:t>
            </w:r>
          </w:p>
        </w:tc>
        <w:tc>
          <w:tcPr>
            <w:tcW w:w="0" w:type="auto"/>
          </w:tcPr>
          <w:p w14:paraId="289E9C3E" w14:textId="77777777" w:rsidR="004E4CC2" w:rsidRDefault="00000000">
            <w:pPr>
              <w:pStyle w:val="Compact"/>
            </w:pPr>
            <w:r>
              <w:t>Niederösterreich</w:t>
            </w:r>
          </w:p>
        </w:tc>
        <w:tc>
          <w:tcPr>
            <w:tcW w:w="0" w:type="auto"/>
          </w:tcPr>
          <w:p w14:paraId="67DCCFFC" w14:textId="77777777" w:rsidR="004E4CC2" w:rsidRDefault="00000000">
            <w:pPr>
              <w:pStyle w:val="Compact"/>
            </w:pPr>
            <w:r>
              <w:t>11+</w:t>
            </w:r>
          </w:p>
        </w:tc>
        <w:tc>
          <w:tcPr>
            <w:tcW w:w="0" w:type="auto"/>
          </w:tcPr>
          <w:p w14:paraId="1D23F21B" w14:textId="77777777" w:rsidR="004E4CC2" w:rsidRDefault="00000000">
            <w:pPr>
              <w:pStyle w:val="Compact"/>
            </w:pPr>
            <w:r>
              <w:t>Industrie und Lagerung</w:t>
            </w:r>
          </w:p>
        </w:tc>
        <w:tc>
          <w:tcPr>
            <w:tcW w:w="0" w:type="auto"/>
          </w:tcPr>
          <w:p w14:paraId="070BBD72" w14:textId="77777777" w:rsidR="004E4CC2" w:rsidRDefault="00000000">
            <w:pPr>
              <w:pStyle w:val="Compact"/>
            </w:pPr>
            <w:r>
              <w:t>0</w:t>
            </w:r>
          </w:p>
        </w:tc>
        <w:tc>
          <w:tcPr>
            <w:tcW w:w="0" w:type="auto"/>
          </w:tcPr>
          <w:p w14:paraId="686F6467" w14:textId="77777777" w:rsidR="004E4CC2" w:rsidRDefault="00000000">
            <w:pPr>
              <w:pStyle w:val="Compact"/>
            </w:pPr>
            <w:r>
              <w:t>Wien</w:t>
            </w:r>
          </w:p>
        </w:tc>
        <w:tc>
          <w:tcPr>
            <w:tcW w:w="0" w:type="auto"/>
          </w:tcPr>
          <w:p w14:paraId="146BA0C8" w14:textId="77777777" w:rsidR="004E4CC2" w:rsidRDefault="00000000">
            <w:pPr>
              <w:pStyle w:val="Compact"/>
            </w:pPr>
            <w:r>
              <w:t>11+</w:t>
            </w:r>
          </w:p>
        </w:tc>
        <w:tc>
          <w:tcPr>
            <w:tcW w:w="0" w:type="auto"/>
          </w:tcPr>
          <w:p w14:paraId="0003D893" w14:textId="77777777" w:rsidR="004E4CC2" w:rsidRDefault="00000000">
            <w:pPr>
              <w:pStyle w:val="Compact"/>
            </w:pPr>
            <w:r>
              <w:t>5</w:t>
            </w:r>
          </w:p>
        </w:tc>
        <w:tc>
          <w:tcPr>
            <w:tcW w:w="0" w:type="auto"/>
          </w:tcPr>
          <w:p w14:paraId="2E98308F" w14:textId="77777777" w:rsidR="004E4CC2" w:rsidRDefault="00000000">
            <w:pPr>
              <w:pStyle w:val="Compact"/>
            </w:pPr>
            <w:r>
              <w:t>fallback-vienna-exact</w:t>
            </w:r>
          </w:p>
        </w:tc>
      </w:tr>
      <w:tr w:rsidR="004E4CC2" w14:paraId="34BDEC16" w14:textId="77777777">
        <w:tc>
          <w:tcPr>
            <w:tcW w:w="0" w:type="auto"/>
          </w:tcPr>
          <w:p w14:paraId="493CD7BF" w14:textId="77777777" w:rsidR="004E4CC2" w:rsidRDefault="00000000">
            <w:pPr>
              <w:pStyle w:val="Compact"/>
            </w:pPr>
            <w:r>
              <w:t>295</w:t>
            </w:r>
          </w:p>
        </w:tc>
        <w:tc>
          <w:tcPr>
            <w:tcW w:w="0" w:type="auto"/>
          </w:tcPr>
          <w:p w14:paraId="3E2DA3D9" w14:textId="77777777" w:rsidR="004E4CC2" w:rsidRDefault="00000000">
            <w:pPr>
              <w:pStyle w:val="Compact"/>
            </w:pPr>
            <w:r>
              <w:t>Kärnten</w:t>
            </w:r>
          </w:p>
        </w:tc>
        <w:tc>
          <w:tcPr>
            <w:tcW w:w="0" w:type="auto"/>
          </w:tcPr>
          <w:p w14:paraId="77F39BBD" w14:textId="77777777" w:rsidR="004E4CC2" w:rsidRDefault="00000000">
            <w:pPr>
              <w:pStyle w:val="Compact"/>
            </w:pPr>
            <w:r>
              <w:t>11+</w:t>
            </w:r>
          </w:p>
        </w:tc>
        <w:tc>
          <w:tcPr>
            <w:tcW w:w="0" w:type="auto"/>
          </w:tcPr>
          <w:p w14:paraId="57AA8EAE" w14:textId="77777777" w:rsidR="004E4CC2" w:rsidRDefault="00000000">
            <w:pPr>
              <w:pStyle w:val="Compact"/>
            </w:pPr>
            <w:r>
              <w:t>Kultur, Freizeit, Bildung und Gesundheit</w:t>
            </w:r>
          </w:p>
        </w:tc>
        <w:tc>
          <w:tcPr>
            <w:tcW w:w="0" w:type="auto"/>
          </w:tcPr>
          <w:p w14:paraId="45308E24" w14:textId="77777777" w:rsidR="004E4CC2" w:rsidRDefault="00000000">
            <w:pPr>
              <w:pStyle w:val="Compact"/>
            </w:pPr>
            <w:r>
              <w:t>0</w:t>
            </w:r>
          </w:p>
        </w:tc>
        <w:tc>
          <w:tcPr>
            <w:tcW w:w="0" w:type="auto"/>
          </w:tcPr>
          <w:p w14:paraId="72C9C840" w14:textId="77777777" w:rsidR="004E4CC2" w:rsidRDefault="00000000">
            <w:pPr>
              <w:pStyle w:val="Compact"/>
            </w:pPr>
            <w:r>
              <w:t>Wien</w:t>
            </w:r>
          </w:p>
        </w:tc>
        <w:tc>
          <w:tcPr>
            <w:tcW w:w="0" w:type="auto"/>
          </w:tcPr>
          <w:p w14:paraId="421442E6" w14:textId="77777777" w:rsidR="004E4CC2" w:rsidRDefault="00000000">
            <w:pPr>
              <w:pStyle w:val="Compact"/>
            </w:pPr>
            <w:r>
              <w:t>11+</w:t>
            </w:r>
          </w:p>
        </w:tc>
        <w:tc>
          <w:tcPr>
            <w:tcW w:w="0" w:type="auto"/>
          </w:tcPr>
          <w:p w14:paraId="1E5750F1" w14:textId="77777777" w:rsidR="004E4CC2" w:rsidRDefault="00000000">
            <w:pPr>
              <w:pStyle w:val="Compact"/>
            </w:pPr>
            <w:r>
              <w:t>40</w:t>
            </w:r>
          </w:p>
        </w:tc>
        <w:tc>
          <w:tcPr>
            <w:tcW w:w="0" w:type="auto"/>
          </w:tcPr>
          <w:p w14:paraId="16C8E9CC" w14:textId="77777777" w:rsidR="004E4CC2" w:rsidRDefault="00000000">
            <w:pPr>
              <w:pStyle w:val="Compact"/>
            </w:pPr>
            <w:r>
              <w:t>fallback-vienna-exact</w:t>
            </w:r>
          </w:p>
        </w:tc>
      </w:tr>
      <w:tr w:rsidR="004E4CC2" w14:paraId="22578568" w14:textId="77777777">
        <w:tc>
          <w:tcPr>
            <w:tcW w:w="0" w:type="auto"/>
          </w:tcPr>
          <w:p w14:paraId="7516CB93" w14:textId="77777777" w:rsidR="004E4CC2" w:rsidRDefault="00000000">
            <w:pPr>
              <w:pStyle w:val="Compact"/>
            </w:pPr>
            <w:r>
              <w:t>308</w:t>
            </w:r>
          </w:p>
        </w:tc>
        <w:tc>
          <w:tcPr>
            <w:tcW w:w="0" w:type="auto"/>
          </w:tcPr>
          <w:p w14:paraId="068CC077" w14:textId="77777777" w:rsidR="004E4CC2" w:rsidRDefault="00000000">
            <w:pPr>
              <w:pStyle w:val="Compact"/>
            </w:pPr>
            <w:r>
              <w:t>Oberösterreich</w:t>
            </w:r>
          </w:p>
        </w:tc>
        <w:tc>
          <w:tcPr>
            <w:tcW w:w="0" w:type="auto"/>
          </w:tcPr>
          <w:p w14:paraId="60C044A9" w14:textId="77777777" w:rsidR="004E4CC2" w:rsidRDefault="00000000">
            <w:pPr>
              <w:pStyle w:val="Compact"/>
            </w:pPr>
            <w:r>
              <w:t>11+</w:t>
            </w:r>
          </w:p>
        </w:tc>
        <w:tc>
          <w:tcPr>
            <w:tcW w:w="0" w:type="auto"/>
          </w:tcPr>
          <w:p w14:paraId="4B16E069" w14:textId="77777777" w:rsidR="004E4CC2" w:rsidRDefault="00000000">
            <w:pPr>
              <w:pStyle w:val="Compact"/>
            </w:pPr>
            <w:r>
              <w:t>Kultur, Freizeit, Bildung und Gesundheit</w:t>
            </w:r>
          </w:p>
        </w:tc>
        <w:tc>
          <w:tcPr>
            <w:tcW w:w="0" w:type="auto"/>
          </w:tcPr>
          <w:p w14:paraId="47ABEDE4" w14:textId="77777777" w:rsidR="004E4CC2" w:rsidRDefault="00000000">
            <w:pPr>
              <w:pStyle w:val="Compact"/>
            </w:pPr>
            <w:r>
              <w:t>0</w:t>
            </w:r>
          </w:p>
        </w:tc>
        <w:tc>
          <w:tcPr>
            <w:tcW w:w="0" w:type="auto"/>
          </w:tcPr>
          <w:p w14:paraId="29D22430" w14:textId="77777777" w:rsidR="004E4CC2" w:rsidRDefault="00000000">
            <w:pPr>
              <w:pStyle w:val="Compact"/>
            </w:pPr>
            <w:r>
              <w:t>Wien</w:t>
            </w:r>
          </w:p>
        </w:tc>
        <w:tc>
          <w:tcPr>
            <w:tcW w:w="0" w:type="auto"/>
          </w:tcPr>
          <w:p w14:paraId="7DC30F8A" w14:textId="77777777" w:rsidR="004E4CC2" w:rsidRDefault="00000000">
            <w:pPr>
              <w:pStyle w:val="Compact"/>
            </w:pPr>
            <w:r>
              <w:t>11+</w:t>
            </w:r>
          </w:p>
        </w:tc>
        <w:tc>
          <w:tcPr>
            <w:tcW w:w="0" w:type="auto"/>
          </w:tcPr>
          <w:p w14:paraId="3F3813A0" w14:textId="77777777" w:rsidR="004E4CC2" w:rsidRDefault="00000000">
            <w:pPr>
              <w:pStyle w:val="Compact"/>
            </w:pPr>
            <w:r>
              <w:t>40</w:t>
            </w:r>
          </w:p>
        </w:tc>
        <w:tc>
          <w:tcPr>
            <w:tcW w:w="0" w:type="auto"/>
          </w:tcPr>
          <w:p w14:paraId="6555A994" w14:textId="77777777" w:rsidR="004E4CC2" w:rsidRDefault="00000000">
            <w:pPr>
              <w:pStyle w:val="Compact"/>
            </w:pPr>
            <w:r>
              <w:t>fallback-vienna-exact</w:t>
            </w:r>
          </w:p>
        </w:tc>
      </w:tr>
    </w:tbl>
    <w:p w14:paraId="12A5BD2D" w14:textId="77777777" w:rsidR="004E4CC2" w:rsidRDefault="00000000">
      <w:pPr>
        <w:pStyle w:val="berschrift2"/>
      </w:pPr>
      <w:bookmarkStart w:id="343" w:name="Xe39d4fbb5537e8b74401eb85696d2bf91dbf4c0"/>
      <w:bookmarkStart w:id="344" w:name="_Toc243681352"/>
      <w:bookmarkEnd w:id="341"/>
      <w:r>
        <w:t>C.5 5. BGF-gewichtete Kerndichteschätzung auf dem GFZ-Raster</w:t>
      </w:r>
      <w:bookmarkEnd w:id="344"/>
    </w:p>
    <w:p w14:paraId="7B572B61" w14:textId="77777777" w:rsidR="004E4CC2" w:rsidRDefault="00000000">
      <w:pPr>
        <w:pStyle w:val="FirstParagraph"/>
      </w:pPr>
      <w:r>
        <w:t xml:space="preserve">Für eine Referenzgruppe </w:t>
      </w:r>
      <m:oMath>
        <m:r>
          <w:rPr>
            <w:rFonts w:ascii="Cambria Math" w:hAnsi="Cambria Math"/>
          </w:rPr>
          <m:t>r</m:t>
        </m:r>
      </m:oMath>
      <w:r>
        <w:t xml:space="preserve"> mit Gebäuden </w:t>
      </w:r>
      <m:oMath>
        <m:r>
          <w:rPr>
            <w:rFonts w:ascii="Cambria Math" w:hAnsi="Cambria Math"/>
          </w:rPr>
          <m:t>i</m:t>
        </m:r>
      </m:oMath>
      <w:r>
        <w:t xml:space="preserve"> bildet die Kerndichteschätzung die Verteilung der GFZ </w:t>
      </w:r>
      <w:r>
        <w:rPr>
          <w:b/>
          <w:bCs/>
        </w:rPr>
        <w:t>flächengewichtet</w:t>
      </w:r>
      <w:r>
        <w:t xml:space="preserve"> ab. Das Gewicht des Einzelgebäudes ist seine BGF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BGF,</m:t>
            </m:r>
            <m:r>
              <w:rPr>
                <w:rFonts w:ascii="Cambria Math" w:hAnsi="Cambria Math"/>
              </w:rPr>
              <m:t>i</m:t>
            </m:r>
          </m:sub>
        </m:sSub>
      </m:oMath>
      <w:r>
        <w:t>. Für die KDE wird die Scott-Bandbreite (</w:t>
      </w:r>
      <w:r>
        <w:rPr>
          <w:rStyle w:val="VerbatimChar"/>
        </w:rPr>
        <w:t>scipy.stats.gaussian_kde</w:t>
      </w:r>
      <w:r>
        <w:t xml:space="preserve">, </w:t>
      </w:r>
      <w:r>
        <w:rPr>
          <w:rStyle w:val="VerbatimChar"/>
        </w:rPr>
        <w:t>bw_method="scott"</w:t>
      </w:r>
      <w:r>
        <w:t>) verwendet.</w:t>
      </w:r>
    </w:p>
    <w:p w14:paraId="5A2825BE" w14:textId="77777777" w:rsidR="004E4CC2" w:rsidRDefault="00000000">
      <w:pPr>
        <w:pStyle w:val="Textkrper"/>
      </w:pPr>
      <w:r>
        <w:t xml:space="preserve">Die Funktion wird an gleich breiten </w:t>
      </w:r>
      <w:r>
        <w:rPr>
          <w:b/>
          <w:bCs/>
        </w:rPr>
        <w:t>Klassenmitten</w:t>
      </w:r>
      <w:r>
        <w:t xml:space="preserve"> ausgewertet: </w:t>
      </w:r>
      <m:oMath>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)Δ</m:t>
        </m:r>
        <m:r>
          <w:rPr>
            <w:rFonts w:ascii="Cambria Math" w:hAnsi="Cambria Math"/>
          </w:rPr>
          <m:t>d</m:t>
        </m:r>
      </m:oMath>
      <w:r>
        <w:t xml:space="preserve">,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oMath>
      <w:r>
        <w:t xml:space="preserve">, </w:t>
      </w:r>
      <m:oMath>
        <m:r>
          <w:rPr>
            <w:rFonts w:ascii="Cambria Math" w:hAnsi="Cambria Math"/>
          </w:rPr>
          <m:t>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20</m:t>
        </m:r>
      </m:oMath>
      <w:r>
        <w:t xml:space="preserve">. Aus den dort berechneten Dichtewerten </w:t>
      </w:r>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oMath>
      <w:r>
        <w:t xml:space="preserve"> entstehen diskrete Massen:</w:t>
      </w:r>
    </w:p>
    <w:p w14:paraId="513CCD74"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r>
                <m:rPr>
                  <m:sty m:val="p"/>
                </m:rPr>
                <w:rPr>
                  <w:rFonts w:ascii="Cambria Math" w:hAnsi="Cambria Math"/>
                </w:rPr>
                <m:t>,</m:t>
              </m:r>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r</m:t>
                      </m:r>
                    </m:sub>
                  </m:sSub>
                </m:e>
              </m:nary>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den>
          </m:f>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r</m:t>
                  </m:r>
                  <m:r>
                    <m:rPr>
                      <m:sty m:val="p"/>
                    </m:rPr>
                    <w:rPr>
                      <w:rFonts w:ascii="Cambria Math" w:hAnsi="Cambria Math"/>
                    </w:rPr>
                    <m:t>,</m:t>
                  </m:r>
                  <m:r>
                    <w:rPr>
                      <w:rFonts w:ascii="Cambria Math" w:hAnsi="Cambria Math"/>
                    </w:rPr>
                    <m:t>j</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24A2B668" w14:textId="77777777" w:rsidR="004E4CC2" w:rsidRDefault="00000000">
      <w:pPr>
        <w:pStyle w:val="FirstParagraph"/>
      </w:pPr>
      <w:r>
        <w:t xml:space="preserve">Die diskrete Normalisierung stellt sicher, dass die nachfolgende Zuordnung </w:t>
      </w:r>
      <w:r>
        <w:rPr>
          <w:b/>
          <w:bCs/>
        </w:rPr>
        <w:t>flächenbilanztreu</w:t>
      </w:r>
      <w:r>
        <w:t xml:space="preserve"> ist. Wegen der Normierung auf ein begrenztes Raster ist dies keine von Grenz- bzw. Bandbreiteneffekten freie Schätzung. Bei identischen GFZ-Werten innerhalb einer ansonsten ausreichend großen Gruppe wird anstelle der singulären KDE ein BGF-gewichtetes Histogramm im gleichen Raster verwendet und entsprechend als solches gekennzeichnet.</w:t>
      </w:r>
    </w:p>
    <w:p w14:paraId="113C7067" w14:textId="77777777" w:rsidR="004E4CC2" w:rsidRDefault="00000000">
      <w:pPr>
        <w:pStyle w:val="SourceCode"/>
      </w:pPr>
      <w:r>
        <w:rPr>
          <w:rStyle w:val="CommentTok"/>
        </w:rPr>
        <w:t># Jedes Rasterelement vertritt das Intervall [j*0,1 ; (j+1)*0,1)</w:t>
      </w:r>
      <w:r>
        <w:br/>
      </w:r>
      <w:r>
        <w:rPr>
          <w:rStyle w:val="NormalTok"/>
        </w:rPr>
        <w:t xml:space="preserve">nbins </w:t>
      </w:r>
      <w:r>
        <w:rPr>
          <w:rStyle w:val="OperatorTok"/>
        </w:rPr>
        <w:t>=</w:t>
      </w:r>
      <w:r>
        <w:rPr>
          <w:rStyle w:val="NormalTok"/>
        </w:rPr>
        <w:t xml:space="preserve"> </w:t>
      </w:r>
      <w:r>
        <w:rPr>
          <w:rStyle w:val="BuiltInTok"/>
        </w:rPr>
        <w:t>int</w:t>
      </w:r>
      <w:r>
        <w:rPr>
          <w:rStyle w:val="NormalTok"/>
        </w:rPr>
        <w:t>(</w:t>
      </w:r>
      <w:r>
        <w:rPr>
          <w:rStyle w:val="BuiltInTok"/>
        </w:rPr>
        <w:t>round</w:t>
      </w:r>
      <w:r>
        <w:rPr>
          <w:rStyle w:val="NormalTok"/>
        </w:rPr>
        <w:t xml:space="preserve">(GFZ_MAX </w:t>
      </w:r>
      <w:r>
        <w:rPr>
          <w:rStyle w:val="OperatorTok"/>
        </w:rPr>
        <w:t>/</w:t>
      </w:r>
      <w:r>
        <w:rPr>
          <w:rStyle w:val="NormalTok"/>
        </w:rPr>
        <w:t xml:space="preserve"> GFZ_STEP))</w:t>
      </w:r>
      <w:r>
        <w:br/>
      </w:r>
      <w:r>
        <w:rPr>
          <w:rStyle w:val="NormalTok"/>
        </w:rPr>
        <w:t xml:space="preserve">gfz_centers </w:t>
      </w:r>
      <w:r>
        <w:rPr>
          <w:rStyle w:val="OperatorTok"/>
        </w:rPr>
        <w:t>=</w:t>
      </w:r>
      <w:r>
        <w:rPr>
          <w:rStyle w:val="NormalTok"/>
        </w:rPr>
        <w:t xml:space="preserve"> (np.arange(nbins) </w:t>
      </w:r>
      <w:r>
        <w:rPr>
          <w:rStyle w:val="OperatorTok"/>
        </w:rPr>
        <w:t>+</w:t>
      </w:r>
      <w:r>
        <w:rPr>
          <w:rStyle w:val="NormalTok"/>
        </w:rPr>
        <w:t xml:space="preserve"> </w:t>
      </w:r>
      <w:r>
        <w:rPr>
          <w:rStyle w:val="FloatTok"/>
        </w:rPr>
        <w:t>.5</w:t>
      </w:r>
      <w:r>
        <w:rPr>
          <w:rStyle w:val="NormalTok"/>
        </w:rPr>
        <w:t xml:space="preserve">) </w:t>
      </w:r>
      <w:r>
        <w:rPr>
          <w:rStyle w:val="OperatorTok"/>
        </w:rPr>
        <w:t>*</w:t>
      </w:r>
      <w:r>
        <w:rPr>
          <w:rStyle w:val="NormalTok"/>
        </w:rPr>
        <w:t xml:space="preserve"> GFZ_STEP</w:t>
      </w:r>
      <w:r>
        <w:br/>
      </w:r>
      <w:r>
        <w:rPr>
          <w:rStyle w:val="NormalTok"/>
        </w:rPr>
        <w:t xml:space="preserve">bin_edges </w:t>
      </w:r>
      <w:r>
        <w:rPr>
          <w:rStyle w:val="OperatorTok"/>
        </w:rPr>
        <w:t>=</w:t>
      </w:r>
      <w:r>
        <w:rPr>
          <w:rStyle w:val="NormalTok"/>
        </w:rPr>
        <w:t xml:space="preserve"> np.r_[gfz_centers[</w:t>
      </w:r>
      <w:r>
        <w:rPr>
          <w:rStyle w:val="DecValTok"/>
        </w:rPr>
        <w:t>0</w:t>
      </w:r>
      <w:r>
        <w:rPr>
          <w:rStyle w:val="NormalTok"/>
        </w:rPr>
        <w:t xml:space="preserve">] </w:t>
      </w:r>
      <w:r>
        <w:rPr>
          <w:rStyle w:val="OperatorTok"/>
        </w:rPr>
        <w:t>-</w:t>
      </w:r>
      <w:r>
        <w:rPr>
          <w:rStyle w:val="NormalTok"/>
        </w:rPr>
        <w:t xml:space="preserve"> GFZ_STEP</w:t>
      </w:r>
      <w:r>
        <w:rPr>
          <w:rStyle w:val="OperatorTok"/>
        </w:rPr>
        <w:t>/</w:t>
      </w:r>
      <w:r>
        <w:rPr>
          <w:rStyle w:val="DecValTok"/>
        </w:rPr>
        <w:t>2</w:t>
      </w:r>
      <w:r>
        <w:rPr>
          <w:rStyle w:val="NormalTok"/>
        </w:rPr>
        <w:t xml:space="preserve">, gfz_centers </w:t>
      </w:r>
      <w:r>
        <w:rPr>
          <w:rStyle w:val="OperatorTok"/>
        </w:rPr>
        <w:t>+</w:t>
      </w:r>
      <w:r>
        <w:rPr>
          <w:rStyle w:val="NormalTok"/>
        </w:rPr>
        <w:t xml:space="preserve"> GFZ_STEP</w:t>
      </w:r>
      <w:r>
        <w:rPr>
          <w:rStyle w:val="OperatorTok"/>
        </w:rPr>
        <w:t>/</w:t>
      </w:r>
      <w:r>
        <w:rPr>
          <w:rStyle w:val="DecValTok"/>
        </w:rPr>
        <w:t>2</w:t>
      </w:r>
      <w:r>
        <w:rPr>
          <w:rStyle w:val="NormalTok"/>
        </w:rPr>
        <w:t>]</w:t>
      </w:r>
      <w:r>
        <w:br/>
      </w:r>
      <w:r>
        <w:br/>
      </w:r>
      <w:r>
        <w:rPr>
          <w:rStyle w:val="CommentTok"/>
        </w:rPr>
        <w:lastRenderedPageBreak/>
        <w:t># Einmalige KDE je wirklich verwendeter Referenz (wiederholte Referenzen teilen sich die Kurve)</w:t>
      </w:r>
      <w:r>
        <w:br/>
      </w:r>
      <w:r>
        <w:rPr>
          <w:rStyle w:val="NormalTok"/>
        </w:rPr>
        <w:t xml:space="preserve">source_keys </w:t>
      </w:r>
      <w:r>
        <w:rPr>
          <w:rStyle w:val="OperatorTok"/>
        </w:rPr>
        <w:t>=</w:t>
      </w:r>
      <w:r>
        <w:rPr>
          <w:rStyle w:val="NormalTok"/>
        </w:rPr>
        <w:t xml:space="preserve"> coverage[[</w:t>
      </w:r>
      <w:r>
        <w:rPr>
          <w:rStyle w:val="StringTok"/>
        </w:rPr>
        <w:t>"reference_region"</w:t>
      </w:r>
      <w:r>
        <w:rPr>
          <w:rStyle w:val="NormalTok"/>
        </w:rPr>
        <w:t xml:space="preserve">, </w:t>
      </w:r>
      <w:r>
        <w:rPr>
          <w:rStyle w:val="StringTok"/>
        </w:rPr>
        <w:t>"reference_gk"</w:t>
      </w:r>
      <w:r>
        <w:rPr>
          <w:rStyle w:val="NormalTok"/>
        </w:rPr>
        <w:t xml:space="preserve">, </w:t>
      </w:r>
      <w:r>
        <w:rPr>
          <w:rStyle w:val="StringTok"/>
        </w:rPr>
        <w:t>"GWR_Nutzung"</w:t>
      </w:r>
      <w:r>
        <w:rPr>
          <w:rStyle w:val="NormalTok"/>
        </w:rPr>
        <w:t>]].drop_duplicates()</w:t>
      </w:r>
      <w:r>
        <w:br/>
      </w:r>
      <w:r>
        <w:rPr>
          <w:rStyle w:val="NormalTok"/>
        </w:rPr>
        <w:t xml:space="preserve">probability_cache </w:t>
      </w:r>
      <w:r>
        <w:rPr>
          <w:rStyle w:val="OperatorTok"/>
        </w:rPr>
        <w:t>=</w:t>
      </w:r>
      <w:r>
        <w:rPr>
          <w:rStyle w:val="NormalTok"/>
        </w:rPr>
        <w:t xml:space="preserve"> {}</w:t>
      </w:r>
      <w:r>
        <w:br/>
      </w:r>
      <w:r>
        <w:rPr>
          <w:rStyle w:val="NormalTok"/>
        </w:rPr>
        <w:t xml:space="preserve">estimator_cache </w:t>
      </w:r>
      <w:r>
        <w:rPr>
          <w:rStyle w:val="OperatorTok"/>
        </w:rPr>
        <w:t>=</w:t>
      </w:r>
      <w:r>
        <w:rPr>
          <w:rStyle w:val="NormalTok"/>
        </w:rPr>
        <w:t xml:space="preserve"> {}</w:t>
      </w:r>
      <w:r>
        <w:br/>
      </w:r>
      <w:r>
        <w:rPr>
          <w:rStyle w:val="ControlFlowTok"/>
        </w:rPr>
        <w:t>for</w:t>
      </w:r>
      <w:r>
        <w:rPr>
          <w:rStyle w:val="NormalTok"/>
        </w:rPr>
        <w:t xml:space="preserve"> source_row </w:t>
      </w:r>
      <w:r>
        <w:rPr>
          <w:rStyle w:val="KeywordTok"/>
        </w:rPr>
        <w:t>in</w:t>
      </w:r>
      <w:r>
        <w:rPr>
          <w:rStyle w:val="NormalTok"/>
        </w:rPr>
        <w:t xml:space="preserve"> source_keys.itertuples(index</w:t>
      </w:r>
      <w:r>
        <w:rPr>
          <w:rStyle w:val="OperatorTok"/>
        </w:rPr>
        <w:t>=</w:t>
      </w:r>
      <w:r>
        <w:rPr>
          <w:rStyle w:val="VariableTok"/>
        </w:rPr>
        <w:t>False</w:t>
      </w:r>
      <w:r>
        <w:rPr>
          <w:rStyle w:val="NormalTok"/>
        </w:rPr>
        <w:t>):</w:t>
      </w:r>
      <w:r>
        <w:br/>
      </w:r>
      <w:r>
        <w:rPr>
          <w:rStyle w:val="NormalTok"/>
        </w:rPr>
        <w:t xml:space="preserve">    key </w:t>
      </w:r>
      <w:r>
        <w:rPr>
          <w:rStyle w:val="OperatorTok"/>
        </w:rPr>
        <w:t>=</w:t>
      </w:r>
      <w:r>
        <w:rPr>
          <w:rStyle w:val="NormalTok"/>
        </w:rPr>
        <w:t xml:space="preserve"> (source_row.reference_region, source_row.reference_gk, source_row.GWR_Nutzung)</w:t>
      </w:r>
      <w:r>
        <w:br/>
      </w:r>
      <w:r>
        <w:rPr>
          <w:rStyle w:val="NormalTok"/>
        </w:rPr>
        <w:t xml:space="preserve">    source_data </w:t>
      </w:r>
      <w:r>
        <w:rPr>
          <w:rStyle w:val="OperatorTok"/>
        </w:rPr>
        <w:t>=</w:t>
      </w:r>
      <w:r>
        <w:rPr>
          <w:rStyle w:val="NormalTok"/>
        </w:rPr>
        <w:t xml:space="preserve"> reference_groups[key]</w:t>
      </w:r>
      <w:r>
        <w:br/>
      </w:r>
      <w:r>
        <w:rPr>
          <w:rStyle w:val="NormalTok"/>
        </w:rPr>
        <w:t xml:space="preserve">    x_gfz </w:t>
      </w:r>
      <w:r>
        <w:rPr>
          <w:rStyle w:val="OperatorTok"/>
        </w:rPr>
        <w:t>=</w:t>
      </w:r>
      <w:r>
        <w:rPr>
          <w:rStyle w:val="NormalTok"/>
        </w:rPr>
        <w:t xml:space="preserve"> source_data.GFZ.to_numpy(dtype</w:t>
      </w:r>
      <w:r>
        <w:rPr>
          <w:rStyle w:val="OperatorTok"/>
        </w:rPr>
        <w:t>=</w:t>
      </w:r>
      <w:r>
        <w:rPr>
          <w:rStyle w:val="BuiltInTok"/>
        </w:rPr>
        <w:t>float</w:t>
      </w:r>
      <w:r>
        <w:rPr>
          <w:rStyle w:val="NormalTok"/>
        </w:rPr>
        <w:t>)</w:t>
      </w:r>
      <w:r>
        <w:br/>
      </w:r>
      <w:r>
        <w:rPr>
          <w:rStyle w:val="NormalTok"/>
        </w:rPr>
        <w:t xml:space="preserve">    area_weight </w:t>
      </w:r>
      <w:r>
        <w:rPr>
          <w:rStyle w:val="OperatorTok"/>
        </w:rPr>
        <w:t>=</w:t>
      </w:r>
      <w:r>
        <w:rPr>
          <w:rStyle w:val="NormalTok"/>
        </w:rPr>
        <w:t xml:space="preserve"> source_data.BGF.to_numpy(dtype</w:t>
      </w:r>
      <w:r>
        <w:rPr>
          <w:rStyle w:val="OperatorTok"/>
        </w:rPr>
        <w:t>=</w:t>
      </w:r>
      <w:r>
        <w:rPr>
          <w:rStyle w:val="BuiltInTok"/>
        </w:rPr>
        <w:t>float</w:t>
      </w:r>
      <w:r>
        <w:rPr>
          <w:rStyle w:val="NormalTok"/>
        </w:rPr>
        <w:t>)</w:t>
      </w:r>
      <w:r>
        <w:br/>
      </w:r>
      <w:r>
        <w:rPr>
          <w:rStyle w:val="NormalTok"/>
        </w:rPr>
        <w:t xml:space="preserve">    </w:t>
      </w:r>
      <w:r>
        <w:rPr>
          <w:rStyle w:val="ControlFlowTok"/>
        </w:rPr>
        <w:t>if</w:t>
      </w:r>
      <w:r>
        <w:rPr>
          <w:rStyle w:val="NormalTok"/>
        </w:rPr>
        <w:t xml:space="preserve"> METHOD </w:t>
      </w:r>
      <w:r>
        <w:rPr>
          <w:rStyle w:val="OperatorTok"/>
        </w:rPr>
        <w:t>==</w:t>
      </w:r>
      <w:r>
        <w:rPr>
          <w:rStyle w:val="NormalTok"/>
        </w:rPr>
        <w:t xml:space="preserve"> </w:t>
      </w:r>
      <w:r>
        <w:rPr>
          <w:rStyle w:val="StringTok"/>
        </w:rPr>
        <w:t>"histogram"</w:t>
      </w:r>
      <w:r>
        <w:rPr>
          <w:rStyle w:val="NormalTok"/>
        </w:rPr>
        <w:t xml:space="preserve"> </w:t>
      </w:r>
      <w:r>
        <w:rPr>
          <w:rStyle w:val="KeywordTok"/>
        </w:rPr>
        <w:t>or</w:t>
      </w:r>
      <w:r>
        <w:rPr>
          <w:rStyle w:val="NormalTok"/>
        </w:rPr>
        <w:t xml:space="preserve"> </w:t>
      </w:r>
      <w:r>
        <w:rPr>
          <w:rStyle w:val="BuiltInTok"/>
        </w:rPr>
        <w:t>len</w:t>
      </w:r>
      <w:r>
        <w:rPr>
          <w:rStyle w:val="NormalTok"/>
        </w:rPr>
        <w:t xml:space="preserve">(np.unique(x_gfz)) </w:t>
      </w:r>
      <w:r>
        <w:rPr>
          <w:rStyle w:val="OperatorTok"/>
        </w:rPr>
        <w:t>&lt;</w:t>
      </w:r>
      <w:r>
        <w:rPr>
          <w:rStyle w:val="NormalTok"/>
        </w:rPr>
        <w:t xml:space="preserve"> </w:t>
      </w:r>
      <w:r>
        <w:rPr>
          <w:rStyle w:val="DecValTok"/>
        </w:rPr>
        <w:t>2</w:t>
      </w:r>
      <w:r>
        <w:rPr>
          <w:rStyle w:val="NormalTok"/>
        </w:rPr>
        <w:t>:</w:t>
      </w:r>
      <w:r>
        <w:br/>
      </w:r>
      <w:r>
        <w:rPr>
          <w:rStyle w:val="NormalTok"/>
        </w:rPr>
        <w:t xml:space="preserve">        unnormalized, _ </w:t>
      </w:r>
      <w:r>
        <w:rPr>
          <w:rStyle w:val="OperatorTok"/>
        </w:rPr>
        <w:t>=</w:t>
      </w:r>
      <w:r>
        <w:rPr>
          <w:rStyle w:val="NormalTok"/>
        </w:rPr>
        <w:t xml:space="preserve"> np.histogram(x_gfz, bins</w:t>
      </w:r>
      <w:r>
        <w:rPr>
          <w:rStyle w:val="OperatorTok"/>
        </w:rPr>
        <w:t>=</w:t>
      </w:r>
      <w:r>
        <w:rPr>
          <w:rStyle w:val="NormalTok"/>
        </w:rPr>
        <w:t>bin_edges, weights</w:t>
      </w:r>
      <w:r>
        <w:rPr>
          <w:rStyle w:val="OperatorTok"/>
        </w:rPr>
        <w:t>=</w:t>
      </w:r>
      <w:r>
        <w:rPr>
          <w:rStyle w:val="NormalTok"/>
        </w:rPr>
        <w:t>area_weight)</w:t>
      </w:r>
      <w:r>
        <w:br/>
      </w:r>
      <w:r>
        <w:rPr>
          <w:rStyle w:val="NormalTok"/>
        </w:rPr>
        <w:t xml:space="preserve">        estimator_cache[key] </w:t>
      </w:r>
      <w:r>
        <w:rPr>
          <w:rStyle w:val="OperatorTok"/>
        </w:rPr>
        <w:t>=</w:t>
      </w:r>
      <w:r>
        <w:rPr>
          <w:rStyle w:val="NormalTok"/>
        </w:rPr>
        <w:t xml:space="preserve"> </w:t>
      </w:r>
      <w:r>
        <w:rPr>
          <w:rStyle w:val="StringTok"/>
        </w:rPr>
        <w:t>"bgf-weighted-histogram"</w:t>
      </w:r>
      <w:r>
        <w:br/>
      </w:r>
      <w:r>
        <w:rPr>
          <w:rStyle w:val="NormalTok"/>
        </w:rPr>
        <w:t xml:space="preserve">    </w:t>
      </w:r>
      <w:r>
        <w:rPr>
          <w:rStyle w:val="ControlFlowTok"/>
        </w:rPr>
        <w:t>else</w:t>
      </w:r>
      <w:r>
        <w:rPr>
          <w:rStyle w:val="NormalTok"/>
        </w:rPr>
        <w:t>:</w:t>
      </w:r>
      <w:r>
        <w:br/>
      </w:r>
      <w:r>
        <w:rPr>
          <w:rStyle w:val="NormalTok"/>
        </w:rPr>
        <w:t xml:space="preserve">        kde </w:t>
      </w:r>
      <w:r>
        <w:rPr>
          <w:rStyle w:val="OperatorTok"/>
        </w:rPr>
        <w:t>=</w:t>
      </w:r>
      <w:r>
        <w:rPr>
          <w:rStyle w:val="NormalTok"/>
        </w:rPr>
        <w:t xml:space="preserve"> gaussian_kde(x_gfz, weights</w:t>
      </w:r>
      <w:r>
        <w:rPr>
          <w:rStyle w:val="OperatorTok"/>
        </w:rPr>
        <w:t>=</w:t>
      </w:r>
      <w:r>
        <w:rPr>
          <w:rStyle w:val="NormalTok"/>
        </w:rPr>
        <w:t>area_weight, bw_method</w:t>
      </w:r>
      <w:r>
        <w:rPr>
          <w:rStyle w:val="OperatorTok"/>
        </w:rPr>
        <w:t>=</w:t>
      </w:r>
      <w:r>
        <w:rPr>
          <w:rStyle w:val="StringTok"/>
        </w:rPr>
        <w:t>"scott"</w:t>
      </w:r>
      <w:r>
        <w:rPr>
          <w:rStyle w:val="NormalTok"/>
        </w:rPr>
        <w:t>)</w:t>
      </w:r>
      <w:r>
        <w:br/>
      </w:r>
      <w:r>
        <w:rPr>
          <w:rStyle w:val="NormalTok"/>
        </w:rPr>
        <w:t xml:space="preserve">        unnormalized </w:t>
      </w:r>
      <w:r>
        <w:rPr>
          <w:rStyle w:val="OperatorTok"/>
        </w:rPr>
        <w:t>=</w:t>
      </w:r>
      <w:r>
        <w:rPr>
          <w:rStyle w:val="NormalTok"/>
        </w:rPr>
        <w:t xml:space="preserve"> kde(gfz_centers)</w:t>
      </w:r>
      <w:r>
        <w:br/>
      </w:r>
      <w:r>
        <w:rPr>
          <w:rStyle w:val="NormalTok"/>
        </w:rPr>
        <w:t xml:space="preserve">        estimator_cache[key] </w:t>
      </w:r>
      <w:r>
        <w:rPr>
          <w:rStyle w:val="OperatorTok"/>
        </w:rPr>
        <w:t>=</w:t>
      </w:r>
      <w:r>
        <w:rPr>
          <w:rStyle w:val="NormalTok"/>
        </w:rPr>
        <w:t xml:space="preserve"> </w:t>
      </w:r>
      <w:r>
        <w:rPr>
          <w:rStyle w:val="StringTok"/>
        </w:rPr>
        <w:t>"bgf-weighted-kde-scott"</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np.isfinite(unnormalized).</w:t>
      </w:r>
      <w:r>
        <w:rPr>
          <w:rStyle w:val="BuiltInTok"/>
        </w:rPr>
        <w:t>all</w:t>
      </w:r>
      <w:r>
        <w:rPr>
          <w:rStyle w:val="NormalTok"/>
        </w:rPr>
        <w:t xml:space="preserve">() </w:t>
      </w:r>
      <w:r>
        <w:rPr>
          <w:rStyle w:val="KeywordTok"/>
        </w:rPr>
        <w:t>or</w:t>
      </w:r>
      <w:r>
        <w:rPr>
          <w:rStyle w:val="NormalTok"/>
        </w:rPr>
        <w:t xml:space="preserve"> unnormalized.</w:t>
      </w:r>
      <w:r>
        <w:rPr>
          <w:rStyle w:val="BuiltInTok"/>
        </w:rPr>
        <w:t>sum</w:t>
      </w:r>
      <w:r>
        <w:rPr>
          <w:rStyle w:val="NormalTok"/>
        </w:rPr>
        <w:t xml:space="preserve">() </w:t>
      </w:r>
      <w:r>
        <w:rPr>
          <w:rStyle w:val="OperatorTok"/>
        </w:rPr>
        <w:t>&lt;=</w:t>
      </w:r>
      <w:r>
        <w:rPr>
          <w:rStyle w:val="NormalTok"/>
        </w:rPr>
        <w:t xml:space="preserve"> </w:t>
      </w:r>
      <w:r>
        <w:rPr>
          <w:rStyle w:val="DecValTok"/>
        </w:rPr>
        <w:t>0</w:t>
      </w:r>
      <w:r>
        <w:rPr>
          <w:rStyle w:val="NormalTok"/>
        </w:rPr>
        <w:t>:</w:t>
      </w:r>
      <w: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pecialStringTok"/>
        </w:rPr>
        <w:t xml:space="preserve">f"Dichteschätzung unbrauchbar: </w:t>
      </w:r>
      <w:r>
        <w:rPr>
          <w:rStyle w:val="SpecialCharTok"/>
        </w:rPr>
        <w:t>{</w:t>
      </w:r>
      <w:r>
        <w:rPr>
          <w:rStyle w:val="NormalTok"/>
        </w:rPr>
        <w:t>key</w:t>
      </w:r>
      <w:r>
        <w:rPr>
          <w:rStyle w:val="SpecialCharTok"/>
        </w:rPr>
        <w:t>}</w:t>
      </w:r>
      <w:r>
        <w:rPr>
          <w:rStyle w:val="SpecialStringTok"/>
        </w:rPr>
        <w:t>"</w:t>
      </w:r>
      <w:r>
        <w:rPr>
          <w:rStyle w:val="NormalTok"/>
        </w:rPr>
        <w:t>)</w:t>
      </w:r>
      <w:r>
        <w:br/>
      </w:r>
      <w:r>
        <w:rPr>
          <w:rStyle w:val="NormalTok"/>
        </w:rPr>
        <w:t xml:space="preserve">    p </w:t>
      </w:r>
      <w:r>
        <w:rPr>
          <w:rStyle w:val="OperatorTok"/>
        </w:rPr>
        <w:t>=</w:t>
      </w:r>
      <w:r>
        <w:rPr>
          <w:rStyle w:val="NormalTok"/>
        </w:rPr>
        <w:t xml:space="preserve"> unnormalized </w:t>
      </w:r>
      <w:r>
        <w:rPr>
          <w:rStyle w:val="OperatorTok"/>
        </w:rPr>
        <w:t>/</w:t>
      </w:r>
      <w:r>
        <w:rPr>
          <w:rStyle w:val="NormalTok"/>
        </w:rPr>
        <w:t xml:space="preserve"> unnormalized.</w:t>
      </w:r>
      <w:r>
        <w:rPr>
          <w:rStyle w:val="BuiltInTok"/>
        </w:rPr>
        <w:t>sum</w:t>
      </w:r>
      <w:r>
        <w:rPr>
          <w:rStyle w:val="NormalTok"/>
        </w:rPr>
        <w:t>()</w:t>
      </w:r>
      <w:r>
        <w:br/>
      </w:r>
      <w:r>
        <w:rPr>
          <w:rStyle w:val="NormalTok"/>
        </w:rPr>
        <w:t xml:space="preserve">    </w:t>
      </w:r>
      <w:r>
        <w:rPr>
          <w:rStyle w:val="ControlFlowTok"/>
        </w:rPr>
        <w:t>if</w:t>
      </w:r>
      <w:r>
        <w:rPr>
          <w:rStyle w:val="NormalTok"/>
        </w:rPr>
        <w:t xml:space="preserve"> (p </w:t>
      </w:r>
      <w:r>
        <w:rPr>
          <w:rStyle w:val="OperatorTok"/>
        </w:rPr>
        <w:t>&lt;</w:t>
      </w:r>
      <w:r>
        <w:rPr>
          <w:rStyle w:val="NormalTok"/>
        </w:rPr>
        <w:t xml:space="preserve"> </w:t>
      </w:r>
      <w:r>
        <w:rPr>
          <w:rStyle w:val="DecValTok"/>
        </w:rPr>
        <w:t>0</w:t>
      </w:r>
      <w:r>
        <w:rPr>
          <w:rStyle w:val="NormalTok"/>
        </w:rPr>
        <w:t>).</w:t>
      </w:r>
      <w:r>
        <w:rPr>
          <w:rStyle w:val="BuiltInTok"/>
        </w:rPr>
        <w:t>any</w:t>
      </w:r>
      <w:r>
        <w:rPr>
          <w:rStyle w:val="NormalTok"/>
        </w:rPr>
        <w:t xml:space="preserve">() </w:t>
      </w:r>
      <w:r>
        <w:rPr>
          <w:rStyle w:val="KeywordTok"/>
        </w:rPr>
        <w:t>or</w:t>
      </w:r>
      <w:r>
        <w:rPr>
          <w:rStyle w:val="NormalTok"/>
        </w:rPr>
        <w:t xml:space="preserve"> </w:t>
      </w:r>
      <w:r>
        <w:rPr>
          <w:rStyle w:val="KeywordTok"/>
        </w:rPr>
        <w:t>not</w:t>
      </w:r>
      <w:r>
        <w:rPr>
          <w:rStyle w:val="NormalTok"/>
        </w:rPr>
        <w:t xml:space="preserve"> np.isclose(p.</w:t>
      </w:r>
      <w:r>
        <w:rPr>
          <w:rStyle w:val="BuiltInTok"/>
        </w:rPr>
        <w:t>sum</w:t>
      </w:r>
      <w:r>
        <w:rPr>
          <w:rStyle w:val="NormalTok"/>
        </w:rPr>
        <w:t xml:space="preserve">(), </w:t>
      </w:r>
      <w:r>
        <w:rPr>
          <w:rStyle w:val="DecValTok"/>
        </w:rPr>
        <w:t>1</w:t>
      </w:r>
      <w:r>
        <w:rPr>
          <w:rStyle w:val="NormalTok"/>
        </w:rPr>
        <w:t>, atol</w:t>
      </w:r>
      <w:r>
        <w:rPr>
          <w:rStyle w:val="OperatorTok"/>
        </w:rPr>
        <w:t>=</w:t>
      </w:r>
      <w:r>
        <w:rPr>
          <w:rStyle w:val="FloatTok"/>
        </w:rPr>
        <w:t>1e-9</w:t>
      </w:r>
      <w:r>
        <w:rPr>
          <w:rStyle w:val="NormalTok"/>
        </w:rPr>
        <w:t>):</w:t>
      </w:r>
      <w:r>
        <w:br/>
      </w:r>
      <w:r>
        <w:rPr>
          <w:rStyle w:val="NormalTok"/>
        </w:rPr>
        <w:t xml:space="preserve">        </w:t>
      </w:r>
      <w:r>
        <w:rPr>
          <w:rStyle w:val="ControlFlowTok"/>
        </w:rPr>
        <w:t>raise</w:t>
      </w:r>
      <w:r>
        <w:rPr>
          <w:rStyle w:val="NormalTok"/>
        </w:rPr>
        <w:t xml:space="preserve"> </w:t>
      </w:r>
      <w:r>
        <w:rPr>
          <w:rStyle w:val="PreprocessorTok"/>
        </w:rPr>
        <w:t>AssertionError</w:t>
      </w:r>
      <w:r>
        <w:rPr>
          <w:rStyle w:val="NormalTok"/>
        </w:rPr>
        <w:t>(</w:t>
      </w:r>
      <w:r>
        <w:rPr>
          <w:rStyle w:val="SpecialStringTok"/>
        </w:rPr>
        <w:t xml:space="preserve">f"KDE-Massen nicht korrekt normiert: </w:t>
      </w:r>
      <w:r>
        <w:rPr>
          <w:rStyle w:val="SpecialCharTok"/>
        </w:rPr>
        <w:t>{</w:t>
      </w:r>
      <w:r>
        <w:rPr>
          <w:rStyle w:val="NormalTok"/>
        </w:rPr>
        <w:t>key</w:t>
      </w:r>
      <w:r>
        <w:rPr>
          <w:rStyle w:val="SpecialCharTok"/>
        </w:rPr>
        <w:t>}</w:t>
      </w:r>
      <w:r>
        <w:rPr>
          <w:rStyle w:val="SpecialStringTok"/>
        </w:rPr>
        <w:t>"</w:t>
      </w:r>
      <w:r>
        <w:rPr>
          <w:rStyle w:val="NormalTok"/>
        </w:rPr>
        <w:t>)</w:t>
      </w:r>
      <w:r>
        <w:br/>
      </w:r>
      <w:r>
        <w:rPr>
          <w:rStyle w:val="NormalTok"/>
        </w:rPr>
        <w:t xml:space="preserve">    probability_cache[key] </w:t>
      </w:r>
      <w:r>
        <w:rPr>
          <w:rStyle w:val="OperatorTok"/>
        </w:rPr>
        <w:t>=</w:t>
      </w:r>
      <w:r>
        <w:rPr>
          <w:rStyle w:val="NormalTok"/>
        </w:rPr>
        <w:t xml:space="preserve"> p</w:t>
      </w:r>
      <w:r>
        <w:br/>
      </w:r>
      <w:r>
        <w:br/>
      </w:r>
      <w:r>
        <w:rPr>
          <w:rStyle w:val="BuiltInTok"/>
        </w:rPr>
        <w:t>print</w:t>
      </w:r>
      <w:r>
        <w:rPr>
          <w:rStyle w:val="NormalTok"/>
        </w:rPr>
        <w:t>(</w:t>
      </w:r>
      <w:r>
        <w:rPr>
          <w:rStyle w:val="StringTok"/>
        </w:rPr>
        <w:t>"Eigenständige Referenzverteilungen:"</w:t>
      </w:r>
      <w:r>
        <w:rPr>
          <w:rStyle w:val="NormalTok"/>
        </w:rPr>
        <w:t xml:space="preserve">, </w:t>
      </w:r>
      <w:r>
        <w:rPr>
          <w:rStyle w:val="BuiltInTok"/>
        </w:rPr>
        <w:t>len</w:t>
      </w:r>
      <w:r>
        <w:rPr>
          <w:rStyle w:val="NormalTok"/>
        </w:rPr>
        <w:t>(probability_cache))</w:t>
      </w:r>
      <w:r>
        <w:br/>
      </w:r>
      <w:r>
        <w:rPr>
          <w:rStyle w:val="BuiltInTok"/>
        </w:rPr>
        <w:t>print</w:t>
      </w:r>
      <w:r>
        <w:rPr>
          <w:rStyle w:val="NormalTok"/>
        </w:rPr>
        <w:t>(pd.Series(estimator_cache).value_counts().to_string())</w:t>
      </w:r>
    </w:p>
    <w:p w14:paraId="56B0D0DF" w14:textId="77777777" w:rsidR="004E4CC2" w:rsidRDefault="00000000">
      <w:pPr>
        <w:pStyle w:val="SourceCode"/>
      </w:pPr>
      <w:r>
        <w:rPr>
          <w:rStyle w:val="VerbatimChar"/>
        </w:rPr>
        <w:t>Eigenständige Referenzverteilungen: 106</w:t>
      </w:r>
      <w:r>
        <w:br/>
      </w:r>
      <w:r>
        <w:rPr>
          <w:rStyle w:val="VerbatimChar"/>
        </w:rPr>
        <w:t>bgf-weighted-kde-scott    106</w:t>
      </w:r>
    </w:p>
    <w:p w14:paraId="5849D05B" w14:textId="77777777" w:rsidR="004E4CC2" w:rsidRDefault="00000000">
      <w:pPr>
        <w:pStyle w:val="SourceCode"/>
      </w:pPr>
      <w:r>
        <w:rPr>
          <w:rStyle w:val="CommentTok"/>
        </w:rPr>
        <w:t># Möglichst anschauliche Beispielgruppe auswählen, ansonsten erste verfügbare Quelle</w:t>
      </w:r>
      <w:r>
        <w:br/>
      </w:r>
      <w:r>
        <w:rPr>
          <w:rStyle w:val="NormalTok"/>
        </w:rPr>
        <w:t xml:space="preserve">example_key </w:t>
      </w:r>
      <w:r>
        <w:rPr>
          <w:rStyle w:val="OperatorTok"/>
        </w:rPr>
        <w:t>=</w:t>
      </w:r>
      <w:r>
        <w:rPr>
          <w:rStyle w:val="NormalTok"/>
        </w:rPr>
        <w:t xml:space="preserve"> (</w:t>
      </w:r>
      <w:r>
        <w:rPr>
          <w:rStyle w:val="StringTok"/>
        </w:rPr>
        <w:t>"Salzburg"</w:t>
      </w:r>
      <w:r>
        <w:rPr>
          <w:rStyle w:val="NormalTok"/>
        </w:rPr>
        <w:t xml:space="preserve">, </w:t>
      </w:r>
      <w:r>
        <w:rPr>
          <w:rStyle w:val="StringTok"/>
        </w:rPr>
        <w:t>"1"</w:t>
      </w:r>
      <w:r>
        <w:rPr>
          <w:rStyle w:val="NormalTok"/>
        </w:rPr>
        <w:t xml:space="preserve">, </w:t>
      </w:r>
      <w:r>
        <w:rPr>
          <w:rStyle w:val="StringTok"/>
        </w:rPr>
        <w:t>"Ein- und Zweifamilienhäuser"</w:t>
      </w:r>
      <w:r>
        <w:rPr>
          <w:rStyle w:val="NormalTok"/>
        </w:rPr>
        <w:t>)</w:t>
      </w:r>
      <w:r>
        <w:br/>
      </w:r>
      <w:r>
        <w:rPr>
          <w:rStyle w:val="ControlFlowTok"/>
        </w:rPr>
        <w:t>if</w:t>
      </w:r>
      <w:r>
        <w:rPr>
          <w:rStyle w:val="NormalTok"/>
        </w:rPr>
        <w:t xml:space="preserve"> example_key </w:t>
      </w:r>
      <w:r>
        <w:rPr>
          <w:rStyle w:val="KeywordTok"/>
        </w:rPr>
        <w:t>not</w:t>
      </w:r>
      <w:r>
        <w:rPr>
          <w:rStyle w:val="NormalTok"/>
        </w:rPr>
        <w:t xml:space="preserve"> </w:t>
      </w:r>
      <w:r>
        <w:rPr>
          <w:rStyle w:val="KeywordTok"/>
        </w:rPr>
        <w:t>in</w:t>
      </w:r>
      <w:r>
        <w:rPr>
          <w:rStyle w:val="NormalTok"/>
        </w:rPr>
        <w:t xml:space="preserve"> probability_cache:</w:t>
      </w:r>
      <w:r>
        <w:br/>
      </w:r>
      <w:r>
        <w:rPr>
          <w:rStyle w:val="NormalTok"/>
        </w:rPr>
        <w:t xml:space="preserve">    example_key </w:t>
      </w:r>
      <w:r>
        <w:rPr>
          <w:rStyle w:val="OperatorTok"/>
        </w:rPr>
        <w:t>=</w:t>
      </w:r>
      <w:r>
        <w:rPr>
          <w:rStyle w:val="NormalTok"/>
        </w:rPr>
        <w:t xml:space="preserve"> </w:t>
      </w:r>
      <w:r>
        <w:rPr>
          <w:rStyle w:val="BuiltInTok"/>
        </w:rPr>
        <w:t>next</w:t>
      </w:r>
      <w:r>
        <w:rPr>
          <w:rStyle w:val="NormalTok"/>
        </w:rPr>
        <w:t>(</w:t>
      </w:r>
      <w:r>
        <w:rPr>
          <w:rStyle w:val="BuiltInTok"/>
        </w:rPr>
        <w:t>iter</w:t>
      </w:r>
      <w:r>
        <w:rPr>
          <w:rStyle w:val="NormalTok"/>
        </w:rPr>
        <w:t>(probability_cache))</w:t>
      </w:r>
      <w:r>
        <w:br/>
      </w:r>
      <w:r>
        <w:rPr>
          <w:rStyle w:val="NormalTok"/>
        </w:rPr>
        <w:t xml:space="preserve">example </w:t>
      </w:r>
      <w:r>
        <w:rPr>
          <w:rStyle w:val="OperatorTok"/>
        </w:rPr>
        <w:t>=</w:t>
      </w:r>
      <w:r>
        <w:rPr>
          <w:rStyle w:val="NormalTok"/>
        </w:rPr>
        <w:t xml:space="preserve"> reference_groups[example_key]</w:t>
      </w:r>
      <w:r>
        <w:br/>
      </w:r>
      <w:r>
        <w:rPr>
          <w:rStyle w:val="NormalTok"/>
        </w:rPr>
        <w:t xml:space="preserve">hist_area, _ </w:t>
      </w:r>
      <w:r>
        <w:rPr>
          <w:rStyle w:val="OperatorTok"/>
        </w:rPr>
        <w:t>=</w:t>
      </w:r>
      <w:r>
        <w:rPr>
          <w:rStyle w:val="NormalTok"/>
        </w:rPr>
        <w:t xml:space="preserve"> np.histogram(example.GFZ, bins</w:t>
      </w:r>
      <w:r>
        <w:rPr>
          <w:rStyle w:val="OperatorTok"/>
        </w:rPr>
        <w:t>=</w:t>
      </w:r>
      <w:r>
        <w:rPr>
          <w:rStyle w:val="NormalTok"/>
        </w:rPr>
        <w:t>bin_edges, weights</w:t>
      </w:r>
      <w:r>
        <w:rPr>
          <w:rStyle w:val="OperatorTok"/>
        </w:rPr>
        <w:t>=</w:t>
      </w:r>
      <w:r>
        <w:rPr>
          <w:rStyle w:val="NormalTok"/>
        </w:rPr>
        <w:t>example.BGF)</w:t>
      </w:r>
      <w:r>
        <w:br/>
      </w:r>
      <w:r>
        <w:rPr>
          <w:rStyle w:val="NormalTok"/>
        </w:rPr>
        <w:t xml:space="preserve">hist_density </w:t>
      </w:r>
      <w:r>
        <w:rPr>
          <w:rStyle w:val="OperatorTok"/>
        </w:rPr>
        <w:t>=</w:t>
      </w:r>
      <w:r>
        <w:rPr>
          <w:rStyle w:val="NormalTok"/>
        </w:rPr>
        <w:t xml:space="preserve"> hist_area </w:t>
      </w:r>
      <w:r>
        <w:rPr>
          <w:rStyle w:val="OperatorTok"/>
        </w:rPr>
        <w:t>/</w:t>
      </w:r>
      <w:r>
        <w:rPr>
          <w:rStyle w:val="NormalTok"/>
        </w:rPr>
        <w:t xml:space="preserve"> hist_area.</w:t>
      </w:r>
      <w:r>
        <w:rPr>
          <w:rStyle w:val="BuiltInTok"/>
        </w:rPr>
        <w:t>sum</w:t>
      </w:r>
      <w:r>
        <w:rPr>
          <w:rStyle w:val="NormalTok"/>
        </w:rPr>
        <w:t xml:space="preserve">() </w:t>
      </w:r>
      <w:r>
        <w:rPr>
          <w:rStyle w:val="OperatorTok"/>
        </w:rPr>
        <w:t>/</w:t>
      </w:r>
      <w:r>
        <w:rPr>
          <w:rStyle w:val="NormalTok"/>
        </w:rPr>
        <w:t xml:space="preserve"> GFZ_STEP</w:t>
      </w:r>
      <w:r>
        <w:br/>
      </w:r>
      <w:r>
        <w:rPr>
          <w:rStyle w:val="NormalTok"/>
        </w:rPr>
        <w:t xml:space="preserve">fig, ax </w:t>
      </w:r>
      <w:r>
        <w:rPr>
          <w:rStyle w:val="OperatorTok"/>
        </w:rPr>
        <w:t>=</w:t>
      </w:r>
      <w:r>
        <w:rPr>
          <w:rStyle w:val="NormalTok"/>
        </w:rPr>
        <w:t xml:space="preserve"> plt.subplots(figsize</w:t>
      </w:r>
      <w:r>
        <w:rPr>
          <w:rStyle w:val="OperatorTok"/>
        </w:rPr>
        <w:t>=</w:t>
      </w:r>
      <w:r>
        <w:rPr>
          <w:rStyle w:val="NormalTok"/>
        </w:rPr>
        <w:t>(</w:t>
      </w:r>
      <w:r>
        <w:rPr>
          <w:rStyle w:val="DecValTok"/>
        </w:rPr>
        <w:t>11</w:t>
      </w:r>
      <w:r>
        <w:rPr>
          <w:rStyle w:val="NormalTok"/>
        </w:rPr>
        <w:t xml:space="preserve">, </w:t>
      </w:r>
      <w:r>
        <w:rPr>
          <w:rStyle w:val="FloatTok"/>
        </w:rPr>
        <w:t>4.5</w:t>
      </w:r>
      <w:r>
        <w:rPr>
          <w:rStyle w:val="NormalTok"/>
        </w:rPr>
        <w:t>), layout</w:t>
      </w:r>
      <w:r>
        <w:rPr>
          <w:rStyle w:val="OperatorTok"/>
        </w:rPr>
        <w:t>=</w:t>
      </w:r>
      <w:r>
        <w:rPr>
          <w:rStyle w:val="StringTok"/>
        </w:rPr>
        <w:t>"constrained"</w:t>
      </w:r>
      <w:r>
        <w:rPr>
          <w:rStyle w:val="NormalTok"/>
        </w:rPr>
        <w:t>)</w:t>
      </w:r>
      <w:r>
        <w:br/>
      </w:r>
      <w:r>
        <w:rPr>
          <w:rStyle w:val="NormalTok"/>
        </w:rPr>
        <w:t xml:space="preserve">view </w:t>
      </w:r>
      <w:r>
        <w:rPr>
          <w:rStyle w:val="OperatorTok"/>
        </w:rPr>
        <w:t>=</w:t>
      </w:r>
      <w:r>
        <w:rPr>
          <w:rStyle w:val="NormalTok"/>
        </w:rPr>
        <w:t xml:space="preserve"> gfz_centers </w:t>
      </w:r>
      <w:r>
        <w:rPr>
          <w:rStyle w:val="OperatorTok"/>
        </w:rPr>
        <w:t>&lt;=</w:t>
      </w:r>
      <w:r>
        <w:rPr>
          <w:rStyle w:val="NormalTok"/>
        </w:rPr>
        <w:t xml:space="preserve"> </w:t>
      </w:r>
      <w:r>
        <w:rPr>
          <w:rStyle w:val="DecValTok"/>
        </w:rPr>
        <w:t>4</w:t>
      </w:r>
      <w:r>
        <w:br/>
      </w:r>
      <w:r>
        <w:rPr>
          <w:rStyle w:val="NormalTok"/>
        </w:rPr>
        <w:t>ax.bar(gfz_centers[view], hist_density[view], width</w:t>
      </w:r>
      <w:r>
        <w:rPr>
          <w:rStyle w:val="OperatorTok"/>
        </w:rPr>
        <w:t>=</w:t>
      </w:r>
      <w:r>
        <w:rPr>
          <w:rStyle w:val="NormalTok"/>
        </w:rPr>
        <w:t>GFZ_STEP</w:t>
      </w:r>
      <w:r>
        <w:rPr>
          <w:rStyle w:val="OperatorTok"/>
        </w:rPr>
        <w:t>*</w:t>
      </w:r>
      <w:r>
        <w:rPr>
          <w:rStyle w:val="FloatTok"/>
        </w:rPr>
        <w:t>.9</w:t>
      </w:r>
      <w:r>
        <w:rPr>
          <w:rStyle w:val="NormalTok"/>
        </w:rPr>
        <w:t>,</w:t>
      </w:r>
      <w:r>
        <w:br/>
      </w:r>
      <w:r>
        <w:rPr>
          <w:rStyle w:val="NormalTok"/>
        </w:rPr>
        <w:t xml:space="preserve">       color</w:t>
      </w:r>
      <w:r>
        <w:rPr>
          <w:rStyle w:val="OperatorTok"/>
        </w:rPr>
        <w:t>=</w:t>
      </w:r>
      <w:r>
        <w:rPr>
          <w:rStyle w:val="StringTok"/>
        </w:rPr>
        <w:t>"#bbbbbb"</w:t>
      </w:r>
      <w:r>
        <w:rPr>
          <w:rStyle w:val="NormalTok"/>
        </w:rPr>
        <w:t>, label</w:t>
      </w:r>
      <w:r>
        <w:rPr>
          <w:rStyle w:val="OperatorTok"/>
        </w:rPr>
        <w:t>=</w:t>
      </w:r>
      <w:r>
        <w:rPr>
          <w:rStyle w:val="StringTok"/>
        </w:rPr>
        <w:t>"Einzelgebäude: BGF-Histogramm"</w:t>
      </w:r>
      <w:r>
        <w:rPr>
          <w:rStyle w:val="NormalTok"/>
        </w:rPr>
        <w:t>)</w:t>
      </w:r>
      <w:r>
        <w:br/>
      </w:r>
      <w:r>
        <w:rPr>
          <w:rStyle w:val="NormalTok"/>
        </w:rPr>
        <w:t xml:space="preserve">ax.plot(gfz_centers[view], probability_cache[example_key][view] </w:t>
      </w:r>
      <w:r>
        <w:rPr>
          <w:rStyle w:val="OperatorTok"/>
        </w:rPr>
        <w:t>/</w:t>
      </w:r>
      <w:r>
        <w:rPr>
          <w:rStyle w:val="NormalTok"/>
        </w:rPr>
        <w:t xml:space="preserve"> GFZ_STEP,</w:t>
      </w:r>
      <w:r>
        <w:br/>
      </w:r>
      <w:r>
        <w:rPr>
          <w:rStyle w:val="NormalTok"/>
        </w:rPr>
        <w:t xml:space="preserve">        color</w:t>
      </w:r>
      <w:r>
        <w:rPr>
          <w:rStyle w:val="OperatorTok"/>
        </w:rPr>
        <w:t>=</w:t>
      </w:r>
      <w:r>
        <w:rPr>
          <w:rStyle w:val="StringTok"/>
        </w:rPr>
        <w:t>"#b52640"</w:t>
      </w:r>
      <w:r>
        <w:rPr>
          <w:rStyle w:val="NormalTok"/>
        </w:rPr>
        <w:t>, linewidth</w:t>
      </w:r>
      <w:r>
        <w:rPr>
          <w:rStyle w:val="OperatorTok"/>
        </w:rPr>
        <w:t>=</w:t>
      </w:r>
      <w:r>
        <w:rPr>
          <w:rStyle w:val="DecValTok"/>
        </w:rPr>
        <w:t>2</w:t>
      </w:r>
      <w:r>
        <w:rPr>
          <w:rStyle w:val="NormalTok"/>
        </w:rPr>
        <w:t>, label</w:t>
      </w:r>
      <w:r>
        <w:rPr>
          <w:rStyle w:val="OperatorTok"/>
        </w:rPr>
        <w:t>=</w:t>
      </w:r>
      <w:r>
        <w:rPr>
          <w:rStyle w:val="StringTok"/>
        </w:rPr>
        <w:t>"BGF-gewichtete Schätzung"</w:t>
      </w:r>
      <w:r>
        <w:rPr>
          <w:rStyle w:val="NormalTok"/>
        </w:rPr>
        <w:t>)</w:t>
      </w:r>
      <w:r>
        <w:br/>
      </w:r>
      <w:r>
        <w:rPr>
          <w:rStyle w:val="NormalTok"/>
        </w:rPr>
        <w:t>ax.</w:t>
      </w:r>
      <w:r>
        <w:rPr>
          <w:rStyle w:val="BuiltInTok"/>
        </w:rPr>
        <w:t>set</w:t>
      </w:r>
      <w:r>
        <w:rPr>
          <w:rStyle w:val="NormalTok"/>
        </w:rPr>
        <w:t>(xlim</w:t>
      </w:r>
      <w:r>
        <w:rPr>
          <w:rStyle w:val="OperatorTok"/>
        </w:rPr>
        <w:t>=</w:t>
      </w:r>
      <w:r>
        <w:rPr>
          <w:rStyle w:val="NormalTok"/>
        </w:rPr>
        <w:t>(</w:t>
      </w:r>
      <w:r>
        <w:rPr>
          <w:rStyle w:val="DecValTok"/>
        </w:rPr>
        <w:t>0</w:t>
      </w:r>
      <w:r>
        <w:rPr>
          <w:rStyle w:val="NormalTok"/>
        </w:rPr>
        <w:t xml:space="preserve">, </w:t>
      </w:r>
      <w:r>
        <w:rPr>
          <w:rStyle w:val="DecValTok"/>
        </w:rPr>
        <w:t>4</w:t>
      </w:r>
      <w:r>
        <w:rPr>
          <w:rStyle w:val="NormalTok"/>
        </w:rPr>
        <w:t>), ylim</w:t>
      </w:r>
      <w:r>
        <w:rPr>
          <w:rStyle w:val="OperatorTok"/>
        </w:rPr>
        <w:t>=</w:t>
      </w:r>
      <w:r>
        <w:rPr>
          <w:rStyle w:val="NormalTok"/>
        </w:rPr>
        <w:t>(</w:t>
      </w:r>
      <w:r>
        <w:rPr>
          <w:rStyle w:val="DecValTok"/>
        </w:rPr>
        <w:t>0</w:t>
      </w:r>
      <w:r>
        <w:rPr>
          <w:rStyle w:val="NormalTok"/>
        </w:rPr>
        <w:t xml:space="preserve">, </w:t>
      </w:r>
      <w:r>
        <w:rPr>
          <w:rStyle w:val="VariableTok"/>
        </w:rPr>
        <w:t>None</w:t>
      </w:r>
      <w:r>
        <w:rPr>
          <w:rStyle w:val="NormalTok"/>
        </w:rPr>
        <w:t>), xlabel</w:t>
      </w:r>
      <w:r>
        <w:rPr>
          <w:rStyle w:val="OperatorTok"/>
        </w:rPr>
        <w:t>=</w:t>
      </w:r>
      <w:r>
        <w:rPr>
          <w:rStyle w:val="StringTok"/>
        </w:rPr>
        <w:t>"Geschossflächenzahl (GFZ)"</w:t>
      </w:r>
      <w:r>
        <w:rPr>
          <w:rStyle w:val="NormalTok"/>
        </w:rPr>
        <w:t>,</w:t>
      </w:r>
      <w:r>
        <w:br/>
      </w:r>
      <w:r>
        <w:rPr>
          <w:rStyle w:val="NormalTok"/>
        </w:rPr>
        <w:t xml:space="preserve">       ylabel</w:t>
      </w:r>
      <w:r>
        <w:rPr>
          <w:rStyle w:val="OperatorTok"/>
        </w:rPr>
        <w:t>=</w:t>
      </w:r>
      <w:r>
        <w:rPr>
          <w:rStyle w:val="StringTok"/>
        </w:rPr>
        <w:t>"Dichte [je GFZ-Einheit]"</w:t>
      </w:r>
      <w:r>
        <w:rPr>
          <w:rStyle w:val="NormalTok"/>
        </w:rPr>
        <w:t>)</w:t>
      </w:r>
      <w:r>
        <w:br/>
      </w:r>
      <w:r>
        <w:rPr>
          <w:rStyle w:val="NormalTok"/>
        </w:rPr>
        <w:t>ax.xaxis.set_major_locator(MultipleLocator(</w:t>
      </w:r>
      <w:r>
        <w:rPr>
          <w:rStyle w:val="FloatTok"/>
        </w:rPr>
        <w:t>.5</w:t>
      </w:r>
      <w:r>
        <w:rPr>
          <w:rStyle w:val="NormalTok"/>
        </w:rPr>
        <w:t>))</w:t>
      </w:r>
      <w:r>
        <w:br/>
      </w:r>
      <w:r>
        <w:rPr>
          <w:rStyle w:val="NormalTok"/>
        </w:rPr>
        <w:t>ax.xaxis.set_minor_locator(MultipleLocator(GFZ_STEP))</w:t>
      </w:r>
      <w:r>
        <w:br/>
      </w:r>
      <w:r>
        <w:rPr>
          <w:rStyle w:val="NormalTok"/>
        </w:rPr>
        <w:lastRenderedPageBreak/>
        <w:t>ax.grid(axis</w:t>
      </w:r>
      <w:r>
        <w:rPr>
          <w:rStyle w:val="OperatorTok"/>
        </w:rPr>
        <w:t>=</w:t>
      </w:r>
      <w:r>
        <w:rPr>
          <w:rStyle w:val="StringTok"/>
        </w:rPr>
        <w:t>"x"</w:t>
      </w:r>
      <w:r>
        <w:rPr>
          <w:rStyle w:val="NormalTok"/>
        </w:rPr>
        <w:t>, alpha</w:t>
      </w:r>
      <w:r>
        <w:rPr>
          <w:rStyle w:val="OperatorTok"/>
        </w:rPr>
        <w:t>=</w:t>
      </w:r>
      <w:r>
        <w:rPr>
          <w:rStyle w:val="FloatTok"/>
        </w:rPr>
        <w:t>.15</w:t>
      </w:r>
      <w:r>
        <w:rPr>
          <w:rStyle w:val="NormalTok"/>
        </w:rPr>
        <w:t>)</w:t>
      </w:r>
      <w:r>
        <w:br/>
      </w:r>
      <w:r>
        <w:rPr>
          <w:rStyle w:val="NormalTok"/>
        </w:rPr>
        <w:t>ax.legend(title</w:t>
      </w:r>
      <w:r>
        <w:rPr>
          <w:rStyle w:val="OperatorTok"/>
        </w:rPr>
        <w:t>=</w:t>
      </w:r>
      <w:r>
        <w:rPr>
          <w:rStyle w:val="StringTok"/>
        </w:rPr>
        <w:t>" / "</w:t>
      </w:r>
      <w:r>
        <w:rPr>
          <w:rStyle w:val="NormalTok"/>
        </w:rPr>
        <w:t>.join(example_key), fontsize</w:t>
      </w:r>
      <w:r>
        <w:rPr>
          <w:rStyle w:val="OperatorTok"/>
        </w:rPr>
        <w:t>=</w:t>
      </w:r>
      <w:r>
        <w:rPr>
          <w:rStyle w:val="DecValTok"/>
        </w:rPr>
        <w:t>9</w:t>
      </w:r>
      <w:r>
        <w:rPr>
          <w:rStyle w:val="NormalTok"/>
        </w:rPr>
        <w:t>)</w:t>
      </w:r>
      <w:r>
        <w:br/>
      </w:r>
      <w:r>
        <w:rPr>
          <w:rStyle w:val="NormalTok"/>
        </w:rPr>
        <w:t xml:space="preserve">fig.savefig(OUT </w:t>
      </w:r>
      <w:r>
        <w:rPr>
          <w:rStyle w:val="OperatorTok"/>
        </w:rPr>
        <w:t>/</w:t>
      </w:r>
      <w:r>
        <w:rPr>
          <w:rStyle w:val="NormalTok"/>
        </w:rPr>
        <w:t xml:space="preserve"> </w:t>
      </w:r>
      <w:r>
        <w:rPr>
          <w:rStyle w:val="StringTok"/>
        </w:rPr>
        <w:t>"gfz_kde_beispiel.png"</w:t>
      </w:r>
      <w:r>
        <w:rPr>
          <w:rStyle w:val="NormalTok"/>
        </w:rPr>
        <w:t>, dpi</w:t>
      </w:r>
      <w:r>
        <w:rPr>
          <w:rStyle w:val="OperatorTok"/>
        </w:rPr>
        <w:t>=</w:t>
      </w:r>
      <w:r>
        <w:rPr>
          <w:rStyle w:val="DecValTok"/>
        </w:rPr>
        <w:t>180</w:t>
      </w:r>
      <w:r>
        <w:rPr>
          <w:rStyle w:val="NormalTok"/>
        </w:rPr>
        <w:t>, bbox_inches</w:t>
      </w:r>
      <w:r>
        <w:rPr>
          <w:rStyle w:val="OperatorTok"/>
        </w:rPr>
        <w:t>=</w:t>
      </w:r>
      <w:r>
        <w:rPr>
          <w:rStyle w:val="StringTok"/>
        </w:rPr>
        <w:t>"tight"</w:t>
      </w:r>
      <w:r>
        <w:rPr>
          <w:rStyle w:val="NormalTok"/>
        </w:rPr>
        <w:t>)</w:t>
      </w:r>
      <w:r>
        <w:br/>
      </w:r>
      <w:r>
        <w:rPr>
          <w:rStyle w:val="NormalTok"/>
        </w:rPr>
        <w:t>plt.show()</w:t>
      </w:r>
    </w:p>
    <w:tbl>
      <w:tblPr>
        <w:tblStyle w:val="Table"/>
        <w:tblW w:w="5000" w:type="pct"/>
        <w:tblLayout w:type="fixed"/>
        <w:tblLook w:val="0000" w:firstRow="0" w:lastRow="0" w:firstColumn="0" w:lastColumn="0" w:noHBand="0" w:noVBand="0"/>
      </w:tblPr>
      <w:tblGrid>
        <w:gridCol w:w="9622"/>
      </w:tblGrid>
      <w:tr w:rsidR="004E4CC2" w14:paraId="1FB3E7B2" w14:textId="77777777">
        <w:tc>
          <w:tcPr>
            <w:tcW w:w="7920" w:type="dxa"/>
          </w:tcPr>
          <w:p w14:paraId="22CB08A1" w14:textId="77777777" w:rsidR="004E4CC2" w:rsidRDefault="00000000">
            <w:pPr>
              <w:pStyle w:val="Compact"/>
              <w:jc w:val="center"/>
            </w:pPr>
            <w:bookmarkStart w:id="345" w:name="fig-gfz-kde-beispiel"/>
            <w:r>
              <w:rPr>
                <w:noProof/>
              </w:rPr>
              <w:drawing>
                <wp:inline distT="0" distB="0" distL="0" distR="0" wp14:anchorId="13C5BCF1" wp14:editId="23EE2EDD">
                  <wp:extent cx="5334000" cy="2212829"/>
                  <wp:effectExtent l="0" t="0" r="0" b="0"/>
                  <wp:docPr id="360" name="Picture"/>
                  <wp:cNvGraphicFramePr/>
                  <a:graphic xmlns:a="http://schemas.openxmlformats.org/drawingml/2006/main">
                    <a:graphicData uri="http://schemas.openxmlformats.org/drawingml/2006/picture">
                      <pic:pic xmlns:pic="http://schemas.openxmlformats.org/drawingml/2006/picture">
                        <pic:nvPicPr>
                          <pic:cNvPr id="361" name="Picture" descr="Berechnungen\gfz_at/GFZ_AT_Analyse_Anhang_files/figure-docx/fig-gfz-kde-beispiel-output-1.png"/>
                          <pic:cNvPicPr>
                            <a:picLocks noChangeAspect="1" noChangeArrowheads="1"/>
                          </pic:cNvPicPr>
                        </pic:nvPicPr>
                        <pic:blipFill>
                          <a:blip r:embed="rId72"/>
                          <a:stretch>
                            <a:fillRect/>
                          </a:stretch>
                        </pic:blipFill>
                        <pic:spPr bwMode="auto">
                          <a:xfrm>
                            <a:off x="0" y="0"/>
                            <a:ext cx="5334000" cy="2212829"/>
                          </a:xfrm>
                          <a:prstGeom prst="rect">
                            <a:avLst/>
                          </a:prstGeom>
                          <a:noFill/>
                          <a:ln w="9525">
                            <a:noFill/>
                            <a:headEnd/>
                            <a:tailEnd/>
                          </a:ln>
                        </pic:spPr>
                      </pic:pic>
                    </a:graphicData>
                  </a:graphic>
                </wp:inline>
              </w:drawing>
            </w:r>
          </w:p>
          <w:p w14:paraId="6216CC99" w14:textId="77777777" w:rsidR="004E4CC2" w:rsidRDefault="00000000">
            <w:pPr>
              <w:pStyle w:val="ImageCaption"/>
              <w:spacing w:before="200"/>
            </w:pPr>
            <w:r>
              <w:t>Abbildung D.5: Beispiel der BGF-gewichteten Dichteschätzung für eine Referenzgruppe: Histogramm der Einzelgebäude und auf GFZ 0–20 normierte KDE bzw. Histogramm-Ersatzschätzung. Die Darstellung dient der methodischen Nachvollziehbarkeit.</w:t>
            </w:r>
          </w:p>
        </w:tc>
        <w:bookmarkEnd w:id="345"/>
      </w:tr>
    </w:tbl>
    <w:p w14:paraId="53CC5089" w14:textId="77777777" w:rsidR="004E4CC2" w:rsidRDefault="00000000">
      <w:pPr>
        <w:pStyle w:val="berschrift2"/>
      </w:pPr>
      <w:bookmarkStart w:id="346" w:name="X728c3eb33147a3099e688a2b9af783c99a4bd28"/>
      <w:bookmarkStart w:id="347" w:name="_Toc243681353"/>
      <w:bookmarkEnd w:id="343"/>
      <w:r>
        <w:t>C.6 6. Hochrechnung: statistische BGF × Dichtemasse</w:t>
      </w:r>
      <w:bookmarkEnd w:id="347"/>
    </w:p>
    <w:p w14:paraId="603A6C70" w14:textId="77777777" w:rsidR="004E4CC2" w:rsidRDefault="00000000">
      <w:pPr>
        <w:pStyle w:val="FirstParagraph"/>
      </w:pPr>
      <w:r>
        <w:t xml:space="preserve">Jede positive Zielkombination </w:t>
      </w:r>
      <m:oMath>
        <m:r>
          <w:rPr>
            <w:rFonts w:ascii="Cambria Math" w:hAnsi="Cambria Math"/>
          </w:rPr>
          <m:t>c</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u</m:t>
        </m:r>
        <m:r>
          <m:rPr>
            <m:sty m:val="p"/>
          </m:rPr>
          <w:rPr>
            <w:rFonts w:ascii="Cambria Math" w:hAnsi="Cambria Math"/>
          </w:rPr>
          <m:t>)</m:t>
        </m:r>
      </m:oMath>
      <w:r>
        <w:t xml:space="preserve"> besitzt eine aus der Statistik abgeleitete BGF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und eine oben ausgewählte Referenzkurve </w:t>
      </w:r>
      <m:oMath>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Für jede GFZ-Klasse </w:t>
      </w:r>
      <m:oMath>
        <m:r>
          <w:rPr>
            <w:rFonts w:ascii="Cambria Math" w:hAnsi="Cambria Math"/>
          </w:rPr>
          <m:t>j</m:t>
        </m:r>
      </m:oMath>
      <w:r>
        <w:t xml:space="preserve"> wird ihr Flächenbeitrag berechnet:</w:t>
      </w:r>
    </w:p>
    <w:p w14:paraId="3C5EE845"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j</m:t>
              </m:r>
            </m:sub>
          </m:sSub>
          <m:r>
            <m:rPr>
              <m:sty m:val="p"/>
            </m:rPr>
            <w:rPr>
              <w:rFonts w:ascii="Cambria Math" w:hAnsi="Cambria Math"/>
            </w:rPr>
            <m:t>.</m:t>
          </m:r>
        </m:oMath>
      </m:oMathPara>
    </w:p>
    <w:p w14:paraId="200161E8" w14:textId="77777777" w:rsidR="004E4CC2" w:rsidRDefault="00000000">
      <w:pPr>
        <w:pStyle w:val="FirstParagraph"/>
      </w:pPr>
      <w:r>
        <w:t xml:space="preserve">Wegen </w:t>
      </w:r>
      <m:oMath>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j</m:t>
                </m:r>
              </m:sub>
            </m:sSub>
          </m:e>
        </m:nary>
        <m:r>
          <m:rPr>
            <m:sty m:val="p"/>
          </m:rPr>
          <w:rPr>
            <w:rFonts w:ascii="Cambria Math" w:hAnsi="Cambria Math"/>
          </w:rPr>
          <m:t>=</m:t>
        </m:r>
        <m:r>
          <w:rPr>
            <w:rFonts w:ascii="Cambria Math" w:hAnsi="Cambria Math"/>
          </w:rPr>
          <m:t>1</m:t>
        </m:r>
      </m:oMath>
      <w:r>
        <w:t xml:space="preserve"> gilt </w:t>
      </w:r>
      <m:oMath>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für jede einzelne Zielkombination. Die Summe über alle neun Bundesländer liefert die österreichische GFZ-Verteilung nach Hauptnutzung:</w:t>
      </w:r>
    </w:p>
    <w:p w14:paraId="7015B5A7"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AT,</m:t>
              </m:r>
              <m:r>
                <w:rPr>
                  <w:rFonts w:ascii="Cambria Math" w:hAnsi="Cambria Math"/>
                </w:rPr>
                <m:t>u</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b</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b</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j</m:t>
                      </m:r>
                    </m:sub>
                  </m:sSub>
                </m:e>
              </m:nary>
            </m:e>
          </m:nary>
          <m:r>
            <m:rPr>
              <m:sty m:val="p"/>
            </m:rPr>
            <w:rPr>
              <w:rFonts w:ascii="Cambria Math" w:hAnsi="Cambria Math"/>
            </w:rPr>
            <m:t>.</m:t>
          </m:r>
        </m:oMath>
      </m:oMathPara>
    </w:p>
    <w:p w14:paraId="0BE6C69A" w14:textId="77777777" w:rsidR="004E4CC2" w:rsidRDefault="00000000">
      <w:pPr>
        <w:pStyle w:val="FirstParagraph"/>
      </w:pPr>
      <w:r>
        <w:t xml:space="preserve">Die Referenzgruppen verändern somit die Verteilung </w:t>
      </w:r>
      <w:r>
        <w:rPr>
          <w:i/>
          <w:iCs/>
        </w:rPr>
        <w:t>innerhalb</w:t>
      </w:r>
      <w:r>
        <w:t xml:space="preserve"> der statistischen Zielgruppen, aber </w:t>
      </w:r>
      <w:r>
        <w:rPr>
          <w:b/>
          <w:bCs/>
        </w:rPr>
        <w:t>nicht</w:t>
      </w:r>
      <w:r>
        <w:t xml:space="preserve"> deren Flächensummen. Gerade diese Unterscheidung zwischen Stichprobeninformation und statistischer Flächenmenge ist das Prinzip der bundeslandweisen Hochrechnung.</w:t>
      </w:r>
    </w:p>
    <w:p w14:paraId="2F5DAA09" w14:textId="77777777" w:rsidR="004E4CC2" w:rsidRDefault="00000000">
      <w:pPr>
        <w:pStyle w:val="SourceCode"/>
      </w:pPr>
      <w:r>
        <w:rPr>
          <w:rStyle w:val="CommentTok"/>
        </w:rPr>
        <w:t># In jeder Zielzelle dieselbe normierte Referenzmasse, aber andere statistische Fläche</w:t>
      </w:r>
      <w:r>
        <w:br/>
      </w:r>
      <w:r>
        <w:rPr>
          <w:rStyle w:val="NormalTok"/>
        </w:rPr>
        <w:t xml:space="preserve">allocation_blocks </w:t>
      </w:r>
      <w:r>
        <w:rPr>
          <w:rStyle w:val="OperatorTok"/>
        </w:rPr>
        <w:t>=</w:t>
      </w:r>
      <w:r>
        <w:rPr>
          <w:rStyle w:val="NormalTok"/>
        </w:rPr>
        <w:t xml:space="preserve"> []</w:t>
      </w:r>
      <w:r>
        <w:br/>
      </w:r>
      <w:r>
        <w:rPr>
          <w:rStyle w:val="NormalTok"/>
        </w:rPr>
        <w:t xml:space="preserve">audit_rows </w:t>
      </w:r>
      <w:r>
        <w:rPr>
          <w:rStyle w:val="OperatorTok"/>
        </w:rPr>
        <w:t>=</w:t>
      </w:r>
      <w:r>
        <w:rPr>
          <w:rStyle w:val="NormalTok"/>
        </w:rPr>
        <w:t xml:space="preserve"> []</w:t>
      </w:r>
      <w:r>
        <w:br/>
      </w:r>
      <w:r>
        <w:rPr>
          <w:rStyle w:val="ControlFlowTok"/>
        </w:rPr>
        <w:t>for</w:t>
      </w:r>
      <w:r>
        <w:rPr>
          <w:rStyle w:val="NormalTok"/>
        </w:rPr>
        <w:t xml:space="preserve"> target </w:t>
      </w:r>
      <w:r>
        <w:rPr>
          <w:rStyle w:val="KeywordTok"/>
        </w:rPr>
        <w:t>in</w:t>
      </w:r>
      <w:r>
        <w:rPr>
          <w:rStyle w:val="NormalTok"/>
        </w:rPr>
        <w:t xml:space="preserve"> coverage.itertuples(index</w:t>
      </w:r>
      <w:r>
        <w:rPr>
          <w:rStyle w:val="OperatorTok"/>
        </w:rPr>
        <w:t>=</w:t>
      </w:r>
      <w:r>
        <w:rPr>
          <w:rStyle w:val="VariableTok"/>
        </w:rPr>
        <w:t>False</w:t>
      </w:r>
      <w:r>
        <w:rPr>
          <w:rStyle w:val="NormalTok"/>
        </w:rPr>
        <w:t>):</w:t>
      </w:r>
      <w:r>
        <w:br/>
      </w:r>
      <w:r>
        <w:rPr>
          <w:rStyle w:val="NormalTok"/>
        </w:rPr>
        <w:t xml:space="preserve">    ref </w:t>
      </w:r>
      <w:r>
        <w:rPr>
          <w:rStyle w:val="OperatorTok"/>
        </w:rPr>
        <w:t>=</w:t>
      </w:r>
      <w:r>
        <w:rPr>
          <w:rStyle w:val="NormalTok"/>
        </w:rPr>
        <w:t xml:space="preserve"> (target.reference_region, target.reference_gk, target.GWR_Nutzung)</w:t>
      </w:r>
      <w:r>
        <w:br/>
      </w:r>
      <w:r>
        <w:rPr>
          <w:rStyle w:val="NormalTok"/>
        </w:rPr>
        <w:t xml:space="preserve">    probabilities </w:t>
      </w:r>
      <w:r>
        <w:rPr>
          <w:rStyle w:val="OperatorTok"/>
        </w:rPr>
        <w:t>=</w:t>
      </w:r>
      <w:r>
        <w:rPr>
          <w:rStyle w:val="NormalTok"/>
        </w:rPr>
        <w:t xml:space="preserve"> probability_cache[ref]</w:t>
      </w:r>
      <w:r>
        <w:br/>
      </w:r>
      <w:r>
        <w:rPr>
          <w:rStyle w:val="NormalTok"/>
        </w:rPr>
        <w:lastRenderedPageBreak/>
        <w:t xml:space="preserve">    allocated_bgf </w:t>
      </w:r>
      <w:r>
        <w:rPr>
          <w:rStyle w:val="OperatorTok"/>
        </w:rPr>
        <w:t>=</w:t>
      </w:r>
      <w:r>
        <w:rPr>
          <w:rStyle w:val="NormalTok"/>
        </w:rPr>
        <w:t xml:space="preserve"> target.BGF_target_m2 </w:t>
      </w:r>
      <w:r>
        <w:rPr>
          <w:rStyle w:val="OperatorTok"/>
        </w:rPr>
        <w:t>*</w:t>
      </w:r>
      <w:r>
        <w:rPr>
          <w:rStyle w:val="NormalTok"/>
        </w:rPr>
        <w:t xml:space="preserve"> probabilities</w:t>
      </w:r>
      <w:r>
        <w:br/>
      </w:r>
      <w:r>
        <w:rPr>
          <w:rStyle w:val="NormalTok"/>
        </w:rPr>
        <w:t xml:space="preserve">    cell_id </w:t>
      </w:r>
      <w:r>
        <w:rPr>
          <w:rStyle w:val="OperatorTok"/>
        </w:rPr>
        <w:t>=</w:t>
      </w:r>
      <w:r>
        <w:rPr>
          <w:rStyle w:val="NormalTok"/>
        </w:rPr>
        <w:t xml:space="preserve"> </w:t>
      </w:r>
      <w:r>
        <w:rPr>
          <w:rStyle w:val="SpecialStringTok"/>
        </w:rPr>
        <w:t>f"</w:t>
      </w:r>
      <w:r>
        <w:rPr>
          <w:rStyle w:val="SpecialCharTok"/>
        </w:rPr>
        <w:t>{</w:t>
      </w:r>
      <w:r>
        <w:rPr>
          <w:rStyle w:val="NormalTok"/>
        </w:rPr>
        <w:t>target</w:t>
      </w:r>
      <w:r>
        <w:rPr>
          <w:rStyle w:val="SpecialCharTok"/>
        </w:rPr>
        <w:t>.</w:t>
      </w:r>
      <w:r>
        <w:rPr>
          <w:rStyle w:val="NormalTok"/>
        </w:rPr>
        <w:t>Bundesland</w:t>
      </w:r>
      <w:r>
        <w:rPr>
          <w:rStyle w:val="SpecialCharTok"/>
        </w:rPr>
        <w:t>}</w:t>
      </w:r>
      <w:r>
        <w:rPr>
          <w:rStyle w:val="SpecialStringTok"/>
        </w:rPr>
        <w:t>|</w:t>
      </w:r>
      <w:r>
        <w:rPr>
          <w:rStyle w:val="SpecialCharTok"/>
        </w:rPr>
        <w:t>{</w:t>
      </w:r>
      <w:r>
        <w:rPr>
          <w:rStyle w:val="NormalTok"/>
        </w:rPr>
        <w:t>target</w:t>
      </w:r>
      <w:r>
        <w:rPr>
          <w:rStyle w:val="SpecialCharTok"/>
        </w:rPr>
        <w:t>.</w:t>
      </w:r>
      <w:r>
        <w:rPr>
          <w:rStyle w:val="NormalTok"/>
        </w:rPr>
        <w:t>GK</w:t>
      </w:r>
      <w:r>
        <w:rPr>
          <w:rStyle w:val="SpecialCharTok"/>
        </w:rPr>
        <w:t>}</w:t>
      </w:r>
      <w:r>
        <w:rPr>
          <w:rStyle w:val="SpecialStringTok"/>
        </w:rPr>
        <w:t>|</w:t>
      </w:r>
      <w:r>
        <w:rPr>
          <w:rStyle w:val="SpecialCharTok"/>
        </w:rPr>
        <w:t>{</w:t>
      </w:r>
      <w:r>
        <w:rPr>
          <w:rStyle w:val="NormalTok"/>
        </w:rPr>
        <w:t>target</w:t>
      </w:r>
      <w:r>
        <w:rPr>
          <w:rStyle w:val="SpecialCharTok"/>
        </w:rPr>
        <w:t>.</w:t>
      </w:r>
      <w:r>
        <w:rPr>
          <w:rStyle w:val="NormalTok"/>
        </w:rPr>
        <w:t>GWR_Nutzung</w:t>
      </w:r>
      <w:r>
        <w:rPr>
          <w:rStyle w:val="SpecialCharTok"/>
        </w:rPr>
        <w:t>}</w:t>
      </w:r>
      <w:r>
        <w:rPr>
          <w:rStyle w:val="SpecialStringTok"/>
        </w:rPr>
        <w:t>"</w:t>
      </w:r>
      <w:r>
        <w:br/>
      </w:r>
      <w:r>
        <w:rPr>
          <w:rStyle w:val="NormalTok"/>
        </w:rPr>
        <w:t xml:space="preserve">    allocation_blocks.append(pd.DataFrame({</w:t>
      </w:r>
      <w:r>
        <w:br/>
      </w:r>
      <w:r>
        <w:rPr>
          <w:rStyle w:val="NormalTok"/>
        </w:rPr>
        <w:t xml:space="preserve">        </w:t>
      </w:r>
      <w:r>
        <w:rPr>
          <w:rStyle w:val="StringTok"/>
        </w:rPr>
        <w:t>"cell_id"</w:t>
      </w:r>
      <w:r>
        <w:rPr>
          <w:rStyle w:val="NormalTok"/>
        </w:rPr>
        <w:t xml:space="preserve">: cell_id, </w:t>
      </w:r>
      <w:r>
        <w:rPr>
          <w:rStyle w:val="StringTok"/>
        </w:rPr>
        <w:t>"Bundesland"</w:t>
      </w:r>
      <w:r>
        <w:rPr>
          <w:rStyle w:val="NormalTok"/>
        </w:rPr>
        <w:t xml:space="preserve">: target.Bundesland, </w:t>
      </w:r>
      <w:r>
        <w:rPr>
          <w:rStyle w:val="StringTok"/>
        </w:rPr>
        <w:t>"GK"</w:t>
      </w:r>
      <w:r>
        <w:rPr>
          <w:rStyle w:val="NormalTok"/>
        </w:rPr>
        <w:t>: target.GK,</w:t>
      </w:r>
      <w:r>
        <w:br/>
      </w:r>
      <w:r>
        <w:rPr>
          <w:rStyle w:val="NormalTok"/>
        </w:rPr>
        <w:t xml:space="preserve">        </w:t>
      </w:r>
      <w:r>
        <w:rPr>
          <w:rStyle w:val="StringTok"/>
        </w:rPr>
        <w:t>"GWR_Nutzung"</w:t>
      </w:r>
      <w:r>
        <w:rPr>
          <w:rStyle w:val="NormalTok"/>
        </w:rPr>
        <w:t xml:space="preserve">: target.GWR_Nutzung, </w:t>
      </w:r>
      <w:r>
        <w:rPr>
          <w:rStyle w:val="StringTok"/>
        </w:rPr>
        <w:t>"GFZ"</w:t>
      </w:r>
      <w:r>
        <w:rPr>
          <w:rStyle w:val="NormalTok"/>
        </w:rPr>
        <w:t>: np.</w:t>
      </w:r>
      <w:r>
        <w:rPr>
          <w:rStyle w:val="BuiltInTok"/>
        </w:rPr>
        <w:t>round</w:t>
      </w:r>
      <w:r>
        <w:rPr>
          <w:rStyle w:val="NormalTok"/>
        </w:rPr>
        <w:t xml:space="preserve">(gfz_centers, </w:t>
      </w:r>
      <w:r>
        <w:rPr>
          <w:rStyle w:val="DecValTok"/>
        </w:rPr>
        <w:t>10</w:t>
      </w:r>
      <w:r>
        <w:rPr>
          <w:rStyle w:val="NormalTok"/>
        </w:rPr>
        <w:t>),</w:t>
      </w:r>
      <w:r>
        <w:br/>
      </w:r>
      <w:r>
        <w:rPr>
          <w:rStyle w:val="NormalTok"/>
        </w:rPr>
        <w:t xml:space="preserve">        </w:t>
      </w:r>
      <w:r>
        <w:rPr>
          <w:rStyle w:val="StringTok"/>
        </w:rPr>
        <w:t>"BGF_m2"</w:t>
      </w:r>
      <w:r>
        <w:rPr>
          <w:rStyle w:val="NormalTok"/>
        </w:rPr>
        <w:t>: allocated_bgf,</w:t>
      </w:r>
      <w:r>
        <w:br/>
      </w:r>
      <w:r>
        <w:rPr>
          <w:rStyle w:val="NormalTok"/>
        </w:rPr>
        <w:t xml:space="preserve">    }))</w:t>
      </w:r>
      <w:r>
        <w:br/>
      </w:r>
      <w:r>
        <w:rPr>
          <w:rStyle w:val="NormalTok"/>
        </w:rPr>
        <w:t xml:space="preserve">    audit_rows.append({</w:t>
      </w:r>
      <w:r>
        <w:br/>
      </w:r>
      <w:r>
        <w:rPr>
          <w:rStyle w:val="NormalTok"/>
        </w:rPr>
        <w:t xml:space="preserve">        </w:t>
      </w:r>
      <w:r>
        <w:rPr>
          <w:rStyle w:val="StringTok"/>
        </w:rPr>
        <w:t>"cell_id"</w:t>
      </w:r>
      <w:r>
        <w:rPr>
          <w:rStyle w:val="NormalTok"/>
        </w:rPr>
        <w:t xml:space="preserve">: cell_id, </w:t>
      </w:r>
      <w:r>
        <w:rPr>
          <w:rStyle w:val="StringTok"/>
        </w:rPr>
        <w:t>"Bundesland"</w:t>
      </w:r>
      <w:r>
        <w:rPr>
          <w:rStyle w:val="NormalTok"/>
        </w:rPr>
        <w:t xml:space="preserve">: target.Bundesland, </w:t>
      </w:r>
      <w:r>
        <w:rPr>
          <w:rStyle w:val="StringTok"/>
        </w:rPr>
        <w:t>"GK"</w:t>
      </w:r>
      <w:r>
        <w:rPr>
          <w:rStyle w:val="NormalTok"/>
        </w:rPr>
        <w:t>: target.GK,</w:t>
      </w:r>
      <w:r>
        <w:br/>
      </w:r>
      <w:r>
        <w:rPr>
          <w:rStyle w:val="NormalTok"/>
        </w:rPr>
        <w:t xml:space="preserve">        </w:t>
      </w:r>
      <w:r>
        <w:rPr>
          <w:rStyle w:val="StringTok"/>
        </w:rPr>
        <w:t>"GWR_Nutzung"</w:t>
      </w:r>
      <w:r>
        <w:rPr>
          <w:rStyle w:val="NormalTok"/>
        </w:rPr>
        <w:t xml:space="preserve">: target.GWR_Nutzung, </w:t>
      </w:r>
      <w:r>
        <w:rPr>
          <w:rStyle w:val="StringTok"/>
        </w:rPr>
        <w:t>"BGF_target_m2"</w:t>
      </w:r>
      <w:r>
        <w:rPr>
          <w:rStyle w:val="NormalTok"/>
        </w:rPr>
        <w:t>: target.BGF_target_m2,</w:t>
      </w:r>
      <w:r>
        <w:br/>
      </w:r>
      <w:r>
        <w:rPr>
          <w:rStyle w:val="NormalTok"/>
        </w:rPr>
        <w:t xml:space="preserve">        </w:t>
      </w:r>
      <w:r>
        <w:rPr>
          <w:rStyle w:val="StringTok"/>
        </w:rPr>
        <w:t>"BGF_allocated_m2"</w:t>
      </w:r>
      <w:r>
        <w:rPr>
          <w:rStyle w:val="NormalTok"/>
        </w:rPr>
        <w:t xml:space="preserve">: </w:t>
      </w:r>
      <w:r>
        <w:rPr>
          <w:rStyle w:val="BuiltInTok"/>
        </w:rPr>
        <w:t>float</w:t>
      </w:r>
      <w:r>
        <w:rPr>
          <w:rStyle w:val="NormalTok"/>
        </w:rPr>
        <w:t>(allocated_bgf.</w:t>
      </w:r>
      <w:r>
        <w:rPr>
          <w:rStyle w:val="BuiltInTok"/>
        </w:rPr>
        <w:t>sum</w:t>
      </w:r>
      <w:r>
        <w:rPr>
          <w:rStyle w:val="NormalTok"/>
        </w:rPr>
        <w:t>()),</w:t>
      </w:r>
      <w:r>
        <w:br/>
      </w:r>
      <w:r>
        <w:rPr>
          <w:rStyle w:val="NormalTok"/>
        </w:rPr>
        <w:t xml:space="preserve">        </w:t>
      </w:r>
      <w:r>
        <w:rPr>
          <w:rStyle w:val="StringTok"/>
        </w:rPr>
        <w:t>"delta_m2"</w:t>
      </w:r>
      <w:r>
        <w:rPr>
          <w:rStyle w:val="NormalTok"/>
        </w:rPr>
        <w:t xml:space="preserve">: </w:t>
      </w:r>
      <w:r>
        <w:rPr>
          <w:rStyle w:val="BuiltInTok"/>
        </w:rPr>
        <w:t>float</w:t>
      </w:r>
      <w:r>
        <w:rPr>
          <w:rStyle w:val="NormalTok"/>
        </w:rPr>
        <w:t>(allocated_bgf.</w:t>
      </w:r>
      <w:r>
        <w:rPr>
          <w:rStyle w:val="BuiltInTok"/>
        </w:rPr>
        <w:t>sum</w:t>
      </w:r>
      <w:r>
        <w:rPr>
          <w:rStyle w:val="NormalTok"/>
        </w:rPr>
        <w:t xml:space="preserve">() </w:t>
      </w:r>
      <w:r>
        <w:rPr>
          <w:rStyle w:val="OperatorTok"/>
        </w:rPr>
        <w:t>-</w:t>
      </w:r>
      <w:r>
        <w:rPr>
          <w:rStyle w:val="NormalTok"/>
        </w:rPr>
        <w:t xml:space="preserve"> target.BGF_target_m2),</w:t>
      </w:r>
      <w:r>
        <w:br/>
      </w:r>
      <w:r>
        <w:rPr>
          <w:rStyle w:val="NormalTok"/>
        </w:rPr>
        <w:t xml:space="preserve">        </w:t>
      </w:r>
      <w:r>
        <w:rPr>
          <w:rStyle w:val="StringTok"/>
        </w:rPr>
        <w:t>"reference_region"</w:t>
      </w:r>
      <w:r>
        <w:rPr>
          <w:rStyle w:val="NormalTok"/>
        </w:rPr>
        <w:t xml:space="preserve">: target.reference_region, </w:t>
      </w:r>
      <w:r>
        <w:rPr>
          <w:rStyle w:val="StringTok"/>
        </w:rPr>
        <w:t>"reference_gk"</w:t>
      </w:r>
      <w:r>
        <w:rPr>
          <w:rStyle w:val="NormalTok"/>
        </w:rPr>
        <w:t>: target.reference_gk,</w:t>
      </w:r>
      <w:r>
        <w:br/>
      </w:r>
      <w:r>
        <w:rPr>
          <w:rStyle w:val="NormalTok"/>
        </w:rPr>
        <w:t xml:space="preserve">        </w:t>
      </w:r>
      <w:r>
        <w:rPr>
          <w:rStyle w:val="StringTok"/>
        </w:rPr>
        <w:t>"status"</w:t>
      </w:r>
      <w:r>
        <w:rPr>
          <w:rStyle w:val="NormalTok"/>
        </w:rPr>
        <w:t xml:space="preserve">: target.status, </w:t>
      </w:r>
      <w:r>
        <w:rPr>
          <w:rStyle w:val="StringTok"/>
        </w:rPr>
        <w:t>"n_reference_buildings"</w:t>
      </w:r>
      <w:r>
        <w:rPr>
          <w:rStyle w:val="NormalTok"/>
        </w:rPr>
        <w:t>: target.n_reference_buildings,</w:t>
      </w:r>
      <w:r>
        <w:br/>
      </w:r>
      <w:r>
        <w:rPr>
          <w:rStyle w:val="NormalTok"/>
        </w:rPr>
        <w:t xml:space="preserve">        </w:t>
      </w:r>
      <w:r>
        <w:rPr>
          <w:rStyle w:val="StringTok"/>
        </w:rPr>
        <w:t>"estimate_method"</w:t>
      </w:r>
      <w:r>
        <w:rPr>
          <w:rStyle w:val="NormalTok"/>
        </w:rPr>
        <w:t>: estimator_cache[ref],</w:t>
      </w:r>
      <w:r>
        <w:br/>
      </w:r>
      <w:r>
        <w:rPr>
          <w:rStyle w:val="NormalTok"/>
        </w:rPr>
        <w:t xml:space="preserve">        </w:t>
      </w:r>
      <w:r>
        <w:rPr>
          <w:rStyle w:val="StringTok"/>
        </w:rPr>
        <w:t>"expected_gfz"</w:t>
      </w:r>
      <w:r>
        <w:rPr>
          <w:rStyle w:val="NormalTok"/>
        </w:rPr>
        <w:t xml:space="preserve">: </w:t>
      </w:r>
      <w:r>
        <w:rPr>
          <w:rStyle w:val="BuiltInTok"/>
        </w:rPr>
        <w:t>float</w:t>
      </w:r>
      <w:r>
        <w:rPr>
          <w:rStyle w:val="NormalTok"/>
        </w:rPr>
        <w:t>(np.dot(gfz_centers, probabilities)),</w:t>
      </w:r>
      <w:r>
        <w:br/>
      </w:r>
      <w:r>
        <w:rPr>
          <w:rStyle w:val="NormalTok"/>
        </w:rPr>
        <w:t xml:space="preserve">    })</w:t>
      </w:r>
      <w:r>
        <w:br/>
      </w:r>
      <w:r>
        <w:br/>
      </w:r>
      <w:r>
        <w:rPr>
          <w:rStyle w:val="CommentTok"/>
        </w:rPr>
        <w:t># Gruppen mit Null-Masse nicht als eigene CSV-Zeilen ausgeben (wie in gfz_hydrator)</w:t>
      </w:r>
      <w:r>
        <w:br/>
      </w:r>
      <w:r>
        <w:rPr>
          <w:rStyle w:val="NormalTok"/>
        </w:rPr>
        <w:t xml:space="preserve">detail </w:t>
      </w:r>
      <w:r>
        <w:rPr>
          <w:rStyle w:val="OperatorTok"/>
        </w:rPr>
        <w:t>=</w:t>
      </w:r>
      <w:r>
        <w:rPr>
          <w:rStyle w:val="NormalTok"/>
        </w:rPr>
        <w:t xml:space="preserve"> pd.concat(allocation_blocks, ignore_index</w:t>
      </w:r>
      <w:r>
        <w:rPr>
          <w:rStyle w:val="OperatorTok"/>
        </w:rPr>
        <w:t>=</w:t>
      </w:r>
      <w:r>
        <w:rPr>
          <w:rStyle w:val="VariableTok"/>
        </w:rPr>
        <w:t>True</w:t>
      </w:r>
      <w:r>
        <w:rPr>
          <w:rStyle w:val="NormalTok"/>
        </w:rPr>
        <w:t>)</w:t>
      </w:r>
      <w:r>
        <w:br/>
      </w:r>
      <w:r>
        <w:rPr>
          <w:rStyle w:val="NormalTok"/>
        </w:rPr>
        <w:t xml:space="preserve">detail </w:t>
      </w:r>
      <w:r>
        <w:rPr>
          <w:rStyle w:val="OperatorTok"/>
        </w:rPr>
        <w:t>=</w:t>
      </w:r>
      <w:r>
        <w:rPr>
          <w:rStyle w:val="NormalTok"/>
        </w:rPr>
        <w:t xml:space="preserve"> detail.loc[detail.BGF_m2 </w:t>
      </w:r>
      <w:r>
        <w:rPr>
          <w:rStyle w:val="OperatorTok"/>
        </w:rPr>
        <w:t>&gt;</w:t>
      </w:r>
      <w:r>
        <w:rPr>
          <w:rStyle w:val="NormalTok"/>
        </w:rPr>
        <w:t xml:space="preserve"> </w:t>
      </w:r>
      <w:r>
        <w:rPr>
          <w:rStyle w:val="DecValTok"/>
        </w:rPr>
        <w:t>0</w:t>
      </w:r>
      <w:r>
        <w:rPr>
          <w:rStyle w:val="NormalTok"/>
        </w:rPr>
        <w:t>].copy()</w:t>
      </w:r>
      <w:r>
        <w:br/>
      </w:r>
      <w:r>
        <w:rPr>
          <w:rStyle w:val="NormalTok"/>
        </w:rPr>
        <w:t xml:space="preserve">audit </w:t>
      </w:r>
      <w:r>
        <w:rPr>
          <w:rStyle w:val="OperatorTok"/>
        </w:rPr>
        <w:t>=</w:t>
      </w:r>
      <w:r>
        <w:rPr>
          <w:rStyle w:val="NormalTok"/>
        </w:rPr>
        <w:t xml:space="preserve"> pd.DataFrame(audit_rows)</w:t>
      </w:r>
      <w:r>
        <w:br/>
      </w:r>
      <w:r>
        <w:br/>
      </w:r>
      <w:r>
        <w:rPr>
          <w:rStyle w:val="CommentTok"/>
        </w:rPr>
        <w:t># Alle späteren Ergebnisdiagramme basieren auf DIESEN hier berechneten Tabellen.</w:t>
      </w:r>
      <w:r>
        <w:br/>
      </w:r>
      <w:r>
        <w:rPr>
          <w:rStyle w:val="NormalTok"/>
        </w:rPr>
        <w:t xml:space="preserve">at_by_use </w:t>
      </w:r>
      <w:r>
        <w:rPr>
          <w:rStyle w:val="OperatorTok"/>
        </w:rPr>
        <w:t>=</w:t>
      </w:r>
      <w:r>
        <w:rPr>
          <w:rStyle w:val="NormalTok"/>
        </w:rPr>
        <w:t xml:space="preserve"> detail.groupby([</w:t>
      </w:r>
      <w:r>
        <w:rPr>
          <w:rStyle w:val="StringTok"/>
        </w:rPr>
        <w:t>"GFZ"</w:t>
      </w:r>
      <w:r>
        <w:rPr>
          <w:rStyle w:val="NormalTok"/>
        </w:rPr>
        <w:t xml:space="preserve">, </w:t>
      </w:r>
      <w:r>
        <w:rPr>
          <w:rStyle w:val="StringTok"/>
        </w:rPr>
        <w:t>"GWR_Nutzung"</w:t>
      </w:r>
      <w:r>
        <w:rPr>
          <w:rStyle w:val="NormalTok"/>
        </w:rPr>
        <w:t>], as_index</w:t>
      </w:r>
      <w:r>
        <w:rPr>
          <w:rStyle w:val="OperatorTok"/>
        </w:rPr>
        <w:t>=</w:t>
      </w:r>
      <w:r>
        <w:rPr>
          <w:rStyle w:val="VariableTok"/>
        </w:rPr>
        <w:t>False</w:t>
      </w:r>
      <w:r>
        <w:rPr>
          <w:rStyle w:val="NormalTok"/>
        </w:rPr>
        <w:t>).BGF_m2.</w:t>
      </w:r>
      <w:r>
        <w:rPr>
          <w:rStyle w:val="BuiltInTok"/>
        </w:rPr>
        <w:t>sum</w:t>
      </w:r>
      <w:r>
        <w:rPr>
          <w:rStyle w:val="NormalTok"/>
        </w:rPr>
        <w:t>()</w:t>
      </w:r>
      <w:r>
        <w:br/>
      </w:r>
      <w:r>
        <w:rPr>
          <w:rStyle w:val="NormalTok"/>
        </w:rPr>
        <w:t xml:space="preserve">by_province </w:t>
      </w:r>
      <w:r>
        <w:rPr>
          <w:rStyle w:val="OperatorTok"/>
        </w:rPr>
        <w:t>=</w:t>
      </w:r>
      <w:r>
        <w:rPr>
          <w:rStyle w:val="NormalTok"/>
        </w:rPr>
        <w:t xml:space="preserve"> detail.groupby([</w:t>
      </w:r>
      <w:r>
        <w:rPr>
          <w:rStyle w:val="StringTok"/>
        </w:rPr>
        <w:t>"Bundesland"</w:t>
      </w:r>
      <w:r>
        <w:rPr>
          <w:rStyle w:val="NormalTok"/>
        </w:rPr>
        <w:t xml:space="preserve">, </w:t>
      </w:r>
      <w:r>
        <w:rPr>
          <w:rStyle w:val="StringTok"/>
        </w:rPr>
        <w:t>"GFZ"</w:t>
      </w:r>
      <w:r>
        <w:rPr>
          <w:rStyle w:val="NormalTok"/>
        </w:rPr>
        <w:t>], as_index</w:t>
      </w:r>
      <w:r>
        <w:rPr>
          <w:rStyle w:val="OperatorTok"/>
        </w:rPr>
        <w:t>=</w:t>
      </w:r>
      <w:r>
        <w:rPr>
          <w:rStyle w:val="VariableTok"/>
        </w:rPr>
        <w:t>False</w:t>
      </w:r>
      <w:r>
        <w:rPr>
          <w:rStyle w:val="NormalTok"/>
        </w:rPr>
        <w:t>).BGF_m2.</w:t>
      </w:r>
      <w:r>
        <w:rPr>
          <w:rStyle w:val="BuiltInTok"/>
        </w:rPr>
        <w:t>sum</w:t>
      </w:r>
      <w:r>
        <w:rPr>
          <w:rStyle w:val="NormalTok"/>
        </w:rPr>
        <w:t>()</w:t>
      </w:r>
      <w:r>
        <w:br/>
      </w:r>
      <w:r>
        <w:rPr>
          <w:rStyle w:val="NormalTok"/>
        </w:rPr>
        <w:t xml:space="preserve">at_by_gk_use </w:t>
      </w:r>
      <w:r>
        <w:rPr>
          <w:rStyle w:val="OperatorTok"/>
        </w:rPr>
        <w:t>=</w:t>
      </w:r>
      <w:r>
        <w:rPr>
          <w:rStyle w:val="NormalTok"/>
        </w:rPr>
        <w:t xml:space="preserve"> detail.groupby([</w:t>
      </w:r>
      <w:r>
        <w:rPr>
          <w:rStyle w:val="StringTok"/>
        </w:rPr>
        <w:t>"GK"</w:t>
      </w:r>
      <w:r>
        <w:rPr>
          <w:rStyle w:val="NormalTok"/>
        </w:rPr>
        <w:t xml:space="preserve">, </w:t>
      </w:r>
      <w:r>
        <w:rPr>
          <w:rStyle w:val="StringTok"/>
        </w:rPr>
        <w:t>"GWR_Nutzung"</w:t>
      </w:r>
      <w:r>
        <w:rPr>
          <w:rStyle w:val="NormalTok"/>
        </w:rPr>
        <w:t xml:space="preserve">, </w:t>
      </w:r>
      <w:r>
        <w:rPr>
          <w:rStyle w:val="StringTok"/>
        </w:rPr>
        <w:t>"GFZ"</w:t>
      </w:r>
      <w:r>
        <w:rPr>
          <w:rStyle w:val="NormalTok"/>
        </w:rPr>
        <w:t>], as_index</w:t>
      </w:r>
      <w:r>
        <w:rPr>
          <w:rStyle w:val="OperatorTok"/>
        </w:rPr>
        <w:t>=</w:t>
      </w:r>
      <w:r>
        <w:rPr>
          <w:rStyle w:val="VariableTok"/>
        </w:rPr>
        <w:t>False</w:t>
      </w:r>
      <w:r>
        <w:rPr>
          <w:rStyle w:val="NormalTok"/>
        </w:rPr>
        <w:t>).BGF_m2.</w:t>
      </w:r>
      <w:r>
        <w:rPr>
          <w:rStyle w:val="BuiltInTok"/>
        </w:rPr>
        <w:t>sum</w:t>
      </w:r>
      <w:r>
        <w:rPr>
          <w:rStyle w:val="NormalTok"/>
        </w:rPr>
        <w:t>()</w:t>
      </w:r>
      <w:r>
        <w:br/>
      </w:r>
      <w:r>
        <w:rPr>
          <w:rStyle w:val="BuiltInTok"/>
        </w:rPr>
        <w:t>print</w:t>
      </w:r>
      <w:r>
        <w:rPr>
          <w:rStyle w:val="NormalTok"/>
        </w:rPr>
        <w:t>(</w:t>
      </w:r>
      <w:r>
        <w:rPr>
          <w:rStyle w:val="SpecialStringTok"/>
        </w:rPr>
        <w:t xml:space="preserve">f"Berechnete GFZ-Zuordnungen: </w:t>
      </w:r>
      <w:r>
        <w:rPr>
          <w:rStyle w:val="SpecialCharTok"/>
        </w:rPr>
        <w:t>{</w:t>
      </w:r>
      <w:r>
        <w:rPr>
          <w:rStyle w:val="BuiltInTok"/>
        </w:rPr>
        <w:t>len</w:t>
      </w:r>
      <w:r>
        <w:rPr>
          <w:rStyle w:val="NormalTok"/>
        </w:rPr>
        <w:t>(detail)</w:t>
      </w:r>
      <w:r>
        <w:rPr>
          <w:rStyle w:val="SpecialCharTok"/>
        </w:rPr>
        <w:t>:,}</w:t>
      </w:r>
      <w:r>
        <w:rPr>
          <w:rStyle w:val="SpecialStringTok"/>
        </w:rPr>
        <w:t xml:space="preserve"> Zeilen"</w:t>
      </w:r>
      <w:r>
        <w:rPr>
          <w:rStyle w:val="NormalTok"/>
        </w:rPr>
        <w:t>)</w:t>
      </w:r>
    </w:p>
    <w:p w14:paraId="3750D591" w14:textId="77777777" w:rsidR="004E4CC2" w:rsidRDefault="00000000">
      <w:pPr>
        <w:pStyle w:val="SourceCode"/>
      </w:pPr>
      <w:r>
        <w:rPr>
          <w:rStyle w:val="VerbatimChar"/>
        </w:rPr>
        <w:t>Berechnete GFZ-Zuordnungen: 83,703 Zeilen</w:t>
      </w:r>
    </w:p>
    <w:p w14:paraId="331DDB4B" w14:textId="77777777" w:rsidR="004E4CC2" w:rsidRDefault="00000000">
      <w:pPr>
        <w:pStyle w:val="berschrift2"/>
      </w:pPr>
      <w:bookmarkStart w:id="348" w:name="kontrollrechnungen-und-abdeckung"/>
      <w:bookmarkStart w:id="349" w:name="_Toc243681354"/>
      <w:bookmarkEnd w:id="346"/>
      <w:r>
        <w:t>C.7 7. Kontrollrechnungen und Abdeckung</w:t>
      </w:r>
      <w:bookmarkEnd w:id="349"/>
    </w:p>
    <w:p w14:paraId="1B7287E4" w14:textId="77777777" w:rsidR="004E4CC2" w:rsidRDefault="00000000">
      <w:pPr>
        <w:pStyle w:val="FirstParagraph"/>
      </w:pPr>
      <w:r>
        <w:t xml:space="preserve">Die Flächenbilanz wird auf </w:t>
      </w:r>
      <w:r>
        <w:rPr>
          <w:b/>
          <w:bCs/>
        </w:rPr>
        <w:t>drei Ebenen</w:t>
      </w:r>
      <w:r>
        <w:t xml:space="preserve"> geprüft: jede Zielkombination, Gesamtsumme der neun Bundesländer und nationale Statistik-Kontrollzeile </w:t>
      </w:r>
      <w:r>
        <w:rPr>
          <w:rStyle w:val="VerbatimChar"/>
        </w:rPr>
        <w:t>AT</w:t>
      </w:r>
      <w:r>
        <w:t xml:space="preserve">. Ersatzschätzungen werden sowohl nach </w:t>
      </w:r>
      <w:r>
        <w:rPr>
          <w:i/>
          <w:iCs/>
        </w:rPr>
        <w:t>Anzahl</w:t>
      </w:r>
      <w:r>
        <w:t xml:space="preserve"> der betroffenen Kombinationen als auch nach ihrem </w:t>
      </w:r>
      <w:r>
        <w:rPr>
          <w:i/>
          <w:iCs/>
        </w:rPr>
        <w:t>BGF-Anteil</w:t>
      </w:r>
      <w:r>
        <w:t xml:space="preserve"> ausgewiesen. Hohe Zahlen kleiner Ersatzgruppen können einen niedrigen Flächenanteil haben.</w:t>
      </w:r>
    </w:p>
    <w:p w14:paraId="13D3FFC9" w14:textId="77777777" w:rsidR="004E4CC2" w:rsidRDefault="00000000">
      <w:pPr>
        <w:pStyle w:val="SourceCode"/>
      </w:pPr>
      <w:r>
        <w:rPr>
          <w:rStyle w:val="CommentTok"/>
        </w:rPr>
        <w:t># Flächenerhaltung pro Zelle und landesweit</w:t>
      </w:r>
      <w:r>
        <w:br/>
      </w:r>
      <w:r>
        <w:rPr>
          <w:rStyle w:val="ControlFlowTok"/>
        </w:rPr>
        <w:t>assert</w:t>
      </w:r>
      <w:r>
        <w:rPr>
          <w:rStyle w:val="NormalTok"/>
        </w:rPr>
        <w:t xml:space="preserve"> np.allclose(audit.BGF_allocated_m2, audit.BGF_target_m2,</w:t>
      </w:r>
      <w:r>
        <w:br/>
      </w:r>
      <w:r>
        <w:rPr>
          <w:rStyle w:val="NormalTok"/>
        </w:rPr>
        <w:t xml:space="preserve">                   rtol</w:t>
      </w:r>
      <w:r>
        <w:rPr>
          <w:rStyle w:val="OperatorTok"/>
        </w:rPr>
        <w:t>=</w:t>
      </w:r>
      <w:r>
        <w:rPr>
          <w:rStyle w:val="FloatTok"/>
        </w:rPr>
        <w:t>1e-12</w:t>
      </w:r>
      <w:r>
        <w:rPr>
          <w:rStyle w:val="NormalTok"/>
        </w:rPr>
        <w:t>, atol</w:t>
      </w:r>
      <w:r>
        <w:rPr>
          <w:rStyle w:val="OperatorTok"/>
        </w:rPr>
        <w:t>=</w:t>
      </w:r>
      <w:r>
        <w:rPr>
          <w:rStyle w:val="FloatTok"/>
        </w:rPr>
        <w:t>1e-5</w:t>
      </w:r>
      <w:r>
        <w:rPr>
          <w:rStyle w:val="NormalTok"/>
        </w:rPr>
        <w:t xml:space="preserve">), </w:t>
      </w:r>
      <w:r>
        <w:rPr>
          <w:rStyle w:val="StringTok"/>
        </w:rPr>
        <w:t>"Fehler bei einer statistischen Zielgruppe"</w:t>
      </w:r>
      <w:r>
        <w:br/>
      </w:r>
      <w:r>
        <w:rPr>
          <w:rStyle w:val="NormalTok"/>
        </w:rPr>
        <w:lastRenderedPageBreak/>
        <w:t xml:space="preserve">national_target </w:t>
      </w:r>
      <w:r>
        <w:rPr>
          <w:rStyle w:val="OperatorTok"/>
        </w:rPr>
        <w:t>=</w:t>
      </w:r>
      <w:r>
        <w:rPr>
          <w:rStyle w:val="NormalTok"/>
        </w:rPr>
        <w:t xml:space="preserve"> </w:t>
      </w:r>
      <w:r>
        <w:rPr>
          <w:rStyle w:val="BuiltInTok"/>
        </w:rPr>
        <w:t>float</w:t>
      </w:r>
      <w:r>
        <w:rPr>
          <w:rStyle w:val="NormalTok"/>
        </w:rPr>
        <w:t>(targets.BGF_target_m2.</w:t>
      </w:r>
      <w:r>
        <w:rPr>
          <w:rStyle w:val="BuiltInTok"/>
        </w:rPr>
        <w:t>sum</w:t>
      </w:r>
      <w:r>
        <w:rPr>
          <w:rStyle w:val="NormalTok"/>
        </w:rPr>
        <w:t>())</w:t>
      </w:r>
      <w:r>
        <w:br/>
      </w:r>
      <w:r>
        <w:rPr>
          <w:rStyle w:val="NormalTok"/>
        </w:rPr>
        <w:t xml:space="preserve">national_allocated </w:t>
      </w:r>
      <w:r>
        <w:rPr>
          <w:rStyle w:val="OperatorTok"/>
        </w:rPr>
        <w:t>=</w:t>
      </w:r>
      <w:r>
        <w:rPr>
          <w:rStyle w:val="NormalTok"/>
        </w:rPr>
        <w:t xml:space="preserve"> </w:t>
      </w:r>
      <w:r>
        <w:rPr>
          <w:rStyle w:val="BuiltInTok"/>
        </w:rPr>
        <w:t>float</w:t>
      </w:r>
      <w:r>
        <w:rPr>
          <w:rStyle w:val="NormalTok"/>
        </w:rPr>
        <w:t>(detail.BGF_m2.</w:t>
      </w:r>
      <w:r>
        <w:rPr>
          <w:rStyle w:val="BuiltInTok"/>
        </w:rPr>
        <w:t>sum</w:t>
      </w:r>
      <w:r>
        <w:rPr>
          <w:rStyle w:val="NormalTok"/>
        </w:rPr>
        <w:t>())</w:t>
      </w:r>
      <w:r>
        <w:br/>
      </w:r>
      <w:r>
        <w:rPr>
          <w:rStyle w:val="ControlFlowTok"/>
        </w:rPr>
        <w:t>assert</w:t>
      </w:r>
      <w:r>
        <w:rPr>
          <w:rStyle w:val="NormalTok"/>
        </w:rPr>
        <w:t xml:space="preserve"> np.isclose(national_allocated, national_target, rtol</w:t>
      </w:r>
      <w:r>
        <w:rPr>
          <w:rStyle w:val="OperatorTok"/>
        </w:rPr>
        <w:t>=</w:t>
      </w:r>
      <w:r>
        <w:rPr>
          <w:rStyle w:val="FloatTok"/>
        </w:rPr>
        <w:t>1e-12</w:t>
      </w:r>
      <w:r>
        <w:rPr>
          <w:rStyle w:val="NormalTok"/>
        </w:rPr>
        <w:t>, atol</w:t>
      </w:r>
      <w:r>
        <w:rPr>
          <w:rStyle w:val="OperatorTok"/>
        </w:rPr>
        <w:t>=</w:t>
      </w:r>
      <w:r>
        <w:rPr>
          <w:rStyle w:val="FloatTok"/>
        </w:rPr>
        <w:t>1e-4</w:t>
      </w:r>
      <w:r>
        <w:rPr>
          <w:rStyle w:val="NormalTok"/>
        </w:rPr>
        <w:t xml:space="preserve">), </w:t>
      </w:r>
      <w:r>
        <w:rPr>
          <w:rStyle w:val="StringTok"/>
        </w:rPr>
        <w:t>"Nationale BGF-Bilanz fehlerhaft"</w:t>
      </w:r>
      <w:r>
        <w:br/>
      </w:r>
      <w:r>
        <w:rPr>
          <w:rStyle w:val="ControlFlowTok"/>
        </w:rPr>
        <w:t>assert</w:t>
      </w:r>
      <w:r>
        <w:rPr>
          <w:rStyle w:val="NormalTok"/>
        </w:rPr>
        <w:t xml:space="preserve"> np.isclose(national_target, control_at.</w:t>
      </w:r>
      <w:r>
        <w:rPr>
          <w:rStyle w:val="BuiltInTok"/>
        </w:rPr>
        <w:t>sum</w:t>
      </w:r>
      <w:r>
        <w:rPr>
          <w:rStyle w:val="NormalTok"/>
        </w:rPr>
        <w:t>()</w:t>
      </w:r>
      <w:r>
        <w:rPr>
          <w:rStyle w:val="OperatorTok"/>
        </w:rPr>
        <w:t>/</w:t>
      </w:r>
      <w:r>
        <w:rPr>
          <w:rStyle w:val="NormalTok"/>
        </w:rPr>
        <w:t>NGF_PER_BGF, atol</w:t>
      </w:r>
      <w:r>
        <w:rPr>
          <w:rStyle w:val="OperatorTok"/>
        </w:rPr>
        <w:t>=</w:t>
      </w:r>
      <w:r>
        <w:rPr>
          <w:rStyle w:val="FloatTok"/>
        </w:rPr>
        <w:t>0.02</w:t>
      </w:r>
      <w:r>
        <w:rPr>
          <w:rStyle w:val="NormalTok"/>
        </w:rPr>
        <w:t>, rtol</w:t>
      </w:r>
      <w:r>
        <w:rPr>
          <w:rStyle w:val="OperatorTok"/>
        </w:rPr>
        <w:t>=</w:t>
      </w:r>
      <w:r>
        <w:rPr>
          <w:rStyle w:val="DecValTok"/>
        </w:rPr>
        <w:t>0</w:t>
      </w:r>
      <w:r>
        <w:rPr>
          <w:rStyle w:val="NormalTok"/>
        </w:rPr>
        <w:t>)</w:t>
      </w:r>
      <w:r>
        <w:br/>
      </w:r>
      <w:r>
        <w:br/>
      </w:r>
      <w:r>
        <w:rPr>
          <w:rStyle w:val="NormalTok"/>
        </w:rPr>
        <w:t xml:space="preserve">fallback_mask </w:t>
      </w:r>
      <w:r>
        <w:rPr>
          <w:rStyle w:val="OperatorTok"/>
        </w:rPr>
        <w:t>=</w:t>
      </w:r>
      <w:r>
        <w:rPr>
          <w:rStyle w:val="NormalTok"/>
        </w:rPr>
        <w:t xml:space="preserve"> audit.status </w:t>
      </w:r>
      <w:r>
        <w:rPr>
          <w:rStyle w:val="OperatorTok"/>
        </w:rPr>
        <w:t>!=</w:t>
      </w:r>
      <w:r>
        <w:rPr>
          <w:rStyle w:val="NormalTok"/>
        </w:rPr>
        <w:t xml:space="preserve"> </w:t>
      </w:r>
      <w:r>
        <w:rPr>
          <w:rStyle w:val="StringTok"/>
        </w:rPr>
        <w:t>"reference-exact"</w:t>
      </w:r>
      <w:r>
        <w:br/>
      </w:r>
      <w:r>
        <w:rPr>
          <w:rStyle w:val="NormalTok"/>
        </w:rPr>
        <w:t xml:space="preserve">fallback_area </w:t>
      </w:r>
      <w:r>
        <w:rPr>
          <w:rStyle w:val="OperatorTok"/>
        </w:rPr>
        <w:t>=</w:t>
      </w:r>
      <w:r>
        <w:rPr>
          <w:rStyle w:val="NormalTok"/>
        </w:rPr>
        <w:t xml:space="preserve"> </w:t>
      </w:r>
      <w:r>
        <w:rPr>
          <w:rStyle w:val="BuiltInTok"/>
        </w:rPr>
        <w:t>float</w:t>
      </w:r>
      <w:r>
        <w:rPr>
          <w:rStyle w:val="NormalTok"/>
        </w:rPr>
        <w:t xml:space="preserve">(audit.loc[fallback_mask, </w:t>
      </w:r>
      <w:r>
        <w:rPr>
          <w:rStyle w:val="StringTok"/>
        </w:rPr>
        <w:t>"BGF_target_m2"</w:t>
      </w:r>
      <w:r>
        <w:rPr>
          <w:rStyle w:val="NormalTok"/>
        </w:rPr>
        <w:t>].</w:t>
      </w:r>
      <w:r>
        <w:rPr>
          <w:rStyle w:val="BuiltInTok"/>
        </w:rPr>
        <w:t>sum</w:t>
      </w:r>
      <w:r>
        <w:rPr>
          <w:rStyle w:val="NormalTok"/>
        </w:rPr>
        <w:t>())</w:t>
      </w:r>
      <w:r>
        <w:br/>
      </w:r>
      <w:r>
        <w:rPr>
          <w:rStyle w:val="BuiltInTok"/>
        </w:rPr>
        <w:t>print</w:t>
      </w:r>
      <w:r>
        <w:rPr>
          <w:rStyle w:val="NormalTok"/>
        </w:rPr>
        <w:t>(</w:t>
      </w:r>
      <w:r>
        <w:rPr>
          <w:rStyle w:val="SpecialStringTok"/>
        </w:rPr>
        <w:t xml:space="preserve">f"Statistische Ziel-BGF Österreich: </w:t>
      </w:r>
      <w:r>
        <w:rPr>
          <w:rStyle w:val="SpecialCharTok"/>
        </w:rPr>
        <w:t>{</w:t>
      </w:r>
      <w:r>
        <w:rPr>
          <w:rStyle w:val="NormalTok"/>
        </w:rPr>
        <w:t xml:space="preserve">national_target </w:t>
      </w:r>
      <w:r>
        <w:rPr>
          <w:rStyle w:val="OperatorTok"/>
        </w:rPr>
        <w:t>/</w:t>
      </w:r>
      <w:r>
        <w:rPr>
          <w:rStyle w:val="NormalTok"/>
        </w:rPr>
        <w:t xml:space="preserve"> </w:t>
      </w:r>
      <w:r>
        <w:rPr>
          <w:rStyle w:val="FloatTok"/>
        </w:rPr>
        <w:t>1e6</w:t>
      </w:r>
      <w:r>
        <w:rPr>
          <w:rStyle w:val="SpecialCharTok"/>
        </w:rPr>
        <w:t>:,.3f}</w:t>
      </w:r>
      <w:r>
        <w:rPr>
          <w:rStyle w:val="SpecialStringTok"/>
        </w:rPr>
        <w:t xml:space="preserve"> Mio. m²"</w:t>
      </w:r>
      <w:r>
        <w:rPr>
          <w:rStyle w:val="NormalTok"/>
        </w:rPr>
        <w:t>)</w:t>
      </w:r>
      <w:r>
        <w:br/>
      </w:r>
      <w:r>
        <w:rPr>
          <w:rStyle w:val="BuiltInTok"/>
        </w:rPr>
        <w:t>print</w:t>
      </w:r>
      <w:r>
        <w:rPr>
          <w:rStyle w:val="NormalTok"/>
        </w:rPr>
        <w:t>(</w:t>
      </w:r>
      <w:r>
        <w:rPr>
          <w:rStyle w:val="SpecialStringTok"/>
        </w:rPr>
        <w:t xml:space="preserve">f"Verteilte BGF Österreich:        </w:t>
      </w:r>
      <w:r>
        <w:rPr>
          <w:rStyle w:val="SpecialCharTok"/>
        </w:rPr>
        <w:t>{</w:t>
      </w:r>
      <w:r>
        <w:rPr>
          <w:rStyle w:val="NormalTok"/>
        </w:rPr>
        <w:t xml:space="preserve">national_allocated </w:t>
      </w:r>
      <w:r>
        <w:rPr>
          <w:rStyle w:val="OperatorTok"/>
        </w:rPr>
        <w:t>/</w:t>
      </w:r>
      <w:r>
        <w:rPr>
          <w:rStyle w:val="NormalTok"/>
        </w:rPr>
        <w:t xml:space="preserve"> </w:t>
      </w:r>
      <w:r>
        <w:rPr>
          <w:rStyle w:val="FloatTok"/>
        </w:rPr>
        <w:t>1e6</w:t>
      </w:r>
      <w:r>
        <w:rPr>
          <w:rStyle w:val="SpecialCharTok"/>
        </w:rPr>
        <w:t>:,.3f}</w:t>
      </w:r>
      <w:r>
        <w:rPr>
          <w:rStyle w:val="SpecialStringTok"/>
        </w:rPr>
        <w:t xml:space="preserve"> Mio. m²"</w:t>
      </w:r>
      <w:r>
        <w:rPr>
          <w:rStyle w:val="NormalTok"/>
        </w:rPr>
        <w:t>)</w:t>
      </w:r>
      <w:r>
        <w:br/>
      </w:r>
      <w:r>
        <w:rPr>
          <w:rStyle w:val="BuiltInTok"/>
        </w:rPr>
        <w:t>print</w:t>
      </w:r>
      <w:r>
        <w:rPr>
          <w:rStyle w:val="NormalTok"/>
        </w:rPr>
        <w:t>(</w:t>
      </w:r>
      <w:r>
        <w:rPr>
          <w:rStyle w:val="SpecialStringTok"/>
        </w:rPr>
        <w:t xml:space="preserve">f"Bilanzdifferenz:                 </w:t>
      </w:r>
      <w:r>
        <w:rPr>
          <w:rStyle w:val="SpecialCharTok"/>
        </w:rPr>
        <w:t>{</w:t>
      </w:r>
      <w:r>
        <w:rPr>
          <w:rStyle w:val="NormalTok"/>
        </w:rPr>
        <w:t xml:space="preserve">national_allocated </w:t>
      </w:r>
      <w:r>
        <w:rPr>
          <w:rStyle w:val="OperatorTok"/>
        </w:rPr>
        <w:t>-</w:t>
      </w:r>
      <w:r>
        <w:rPr>
          <w:rStyle w:val="NormalTok"/>
        </w:rPr>
        <w:t xml:space="preserve"> national_target</w:t>
      </w:r>
      <w:r>
        <w:rPr>
          <w:rStyle w:val="SpecialCharTok"/>
        </w:rPr>
        <w:t>:.9f}</w:t>
      </w:r>
      <w:r>
        <w:rPr>
          <w:rStyle w:val="SpecialStringTok"/>
        </w:rPr>
        <w:t xml:space="preserve"> m²"</w:t>
      </w:r>
      <w:r>
        <w:rPr>
          <w:rStyle w:val="NormalTok"/>
        </w:rPr>
        <w:t>)</w:t>
      </w:r>
      <w:r>
        <w:br/>
      </w:r>
      <w:r>
        <w:rPr>
          <w:rStyle w:val="BuiltInTok"/>
        </w:rPr>
        <w:t>print</w:t>
      </w:r>
      <w:r>
        <w:rPr>
          <w:rStyle w:val="NormalTok"/>
        </w:rPr>
        <w:t>(</w:t>
      </w:r>
      <w:r>
        <w:rPr>
          <w:rStyle w:val="SpecialStringTok"/>
        </w:rPr>
        <w:t xml:space="preserve">f"Max. Betrag je Zelle:           </w:t>
      </w:r>
      <w:r>
        <w:rPr>
          <w:rStyle w:val="SpecialCharTok"/>
        </w:rPr>
        <w:t>{</w:t>
      </w:r>
      <w:r>
        <w:rPr>
          <w:rStyle w:val="NormalTok"/>
        </w:rPr>
        <w:t>audit</w:t>
      </w:r>
      <w:r>
        <w:rPr>
          <w:rStyle w:val="SpecialCharTok"/>
        </w:rPr>
        <w:t>.</w:t>
      </w:r>
      <w:r>
        <w:rPr>
          <w:rStyle w:val="NormalTok"/>
        </w:rPr>
        <w:t>delta_m2</w:t>
      </w:r>
      <w:r>
        <w:rPr>
          <w:rStyle w:val="SpecialCharTok"/>
        </w:rPr>
        <w:t>.</w:t>
      </w:r>
      <w:r>
        <w:rPr>
          <w:rStyle w:val="BuiltInTok"/>
        </w:rPr>
        <w:t>abs</w:t>
      </w:r>
      <w:r>
        <w:rPr>
          <w:rStyle w:val="NormalTok"/>
        </w:rPr>
        <w:t>()</w:t>
      </w:r>
      <w:r>
        <w:rPr>
          <w:rStyle w:val="SpecialCharTok"/>
        </w:rPr>
        <w:t>.</w:t>
      </w:r>
      <w:r>
        <w:rPr>
          <w:rStyle w:val="BuiltInTok"/>
        </w:rPr>
        <w:t>max</w:t>
      </w:r>
      <w:r>
        <w:rPr>
          <w:rStyle w:val="NormalTok"/>
        </w:rPr>
        <w:t>()</w:t>
      </w:r>
      <w:r>
        <w:rPr>
          <w:rStyle w:val="SpecialCharTok"/>
        </w:rPr>
        <w:t>:.9f}</w:t>
      </w:r>
      <w:r>
        <w:rPr>
          <w:rStyle w:val="SpecialStringTok"/>
        </w:rPr>
        <w:t xml:space="preserve"> m²"</w:t>
      </w:r>
      <w:r>
        <w:rPr>
          <w:rStyle w:val="NormalTok"/>
        </w:rPr>
        <w:t>)</w:t>
      </w:r>
      <w:r>
        <w:br/>
      </w:r>
      <w:r>
        <w:rPr>
          <w:rStyle w:val="BuiltInTok"/>
        </w:rPr>
        <w:t>print</w:t>
      </w:r>
      <w:r>
        <w:rPr>
          <w:rStyle w:val="NormalTok"/>
        </w:rPr>
        <w:t>(</w:t>
      </w:r>
      <w:r>
        <w:rPr>
          <w:rStyle w:val="SpecialStringTok"/>
        </w:rPr>
        <w:t xml:space="preserve">f"Kombinationen:                  </w:t>
      </w:r>
      <w:r>
        <w:rPr>
          <w:rStyle w:val="SpecialCharTok"/>
        </w:rPr>
        <w:t>{</w:t>
      </w:r>
      <w:r>
        <w:rPr>
          <w:rStyle w:val="BuiltInTok"/>
        </w:rPr>
        <w:t>len</w:t>
      </w:r>
      <w:r>
        <w:rPr>
          <w:rStyle w:val="NormalTok"/>
        </w:rPr>
        <w:t>(audit)</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f"Ersatzreferenzen:                </w:t>
      </w:r>
      <w:r>
        <w:rPr>
          <w:rStyle w:val="SpecialCharTok"/>
        </w:rPr>
        <w:t>{</w:t>
      </w:r>
      <w:r>
        <w:rPr>
          <w:rStyle w:val="NormalTok"/>
        </w:rPr>
        <w:t>fallback_mask</w:t>
      </w:r>
      <w:r>
        <w:rPr>
          <w:rStyle w:val="SpecialCharTok"/>
        </w:rPr>
        <w:t>.</w:t>
      </w:r>
      <w:r>
        <w:rPr>
          <w:rStyle w:val="BuiltInTok"/>
        </w:rPr>
        <w:t>sum</w:t>
      </w:r>
      <w:r>
        <w:rPr>
          <w:rStyle w:val="NormalTok"/>
        </w:rPr>
        <w:t>()</w:t>
      </w:r>
      <w:r>
        <w:rPr>
          <w:rStyle w:val="SpecialCharTok"/>
        </w:rPr>
        <w:t>}</w:t>
      </w:r>
      <w:r>
        <w:rPr>
          <w:rStyle w:val="SpecialStringTok"/>
        </w:rPr>
        <w:t xml:space="preserve"> (</w:t>
      </w:r>
      <w:r>
        <w:rPr>
          <w:rStyle w:val="SpecialCharTok"/>
        </w:rPr>
        <w:t>{</w:t>
      </w:r>
      <w:r>
        <w:rPr>
          <w:rStyle w:val="DecValTok"/>
        </w:rPr>
        <w:t>100</w:t>
      </w:r>
      <w:r>
        <w:rPr>
          <w:rStyle w:val="OperatorTok"/>
        </w:rPr>
        <w:t>*</w:t>
      </w:r>
      <w:r>
        <w:rPr>
          <w:rStyle w:val="NormalTok"/>
        </w:rPr>
        <w:t>fallback_mask</w:t>
      </w:r>
      <w:r>
        <w:rPr>
          <w:rStyle w:val="SpecialCharTok"/>
        </w:rPr>
        <w:t>.</w:t>
      </w:r>
      <w:r>
        <w:rPr>
          <w:rStyle w:val="NormalTok"/>
        </w:rPr>
        <w:t>mean()</w:t>
      </w:r>
      <w:r>
        <w:rPr>
          <w:rStyle w:val="SpecialCharTok"/>
        </w:rPr>
        <w:t>:.2f}</w:t>
      </w:r>
      <w:r>
        <w:rPr>
          <w:rStyle w:val="SpecialStringTok"/>
        </w:rPr>
        <w:t xml:space="preserve"> % der Kombinationen)"</w:t>
      </w:r>
      <w:r>
        <w:rPr>
          <w:rStyle w:val="NormalTok"/>
        </w:rPr>
        <w:t>)</w:t>
      </w:r>
      <w:r>
        <w:br/>
      </w:r>
      <w:r>
        <w:rPr>
          <w:rStyle w:val="BuiltInTok"/>
        </w:rPr>
        <w:t>print</w:t>
      </w:r>
      <w:r>
        <w:rPr>
          <w:rStyle w:val="NormalTok"/>
        </w:rPr>
        <w:t>(</w:t>
      </w:r>
      <w:r>
        <w:rPr>
          <w:rStyle w:val="SpecialStringTok"/>
        </w:rPr>
        <w:t xml:space="preserve">f"BGF-Anteil der Ersatzreferenzen: </w:t>
      </w:r>
      <w:r>
        <w:rPr>
          <w:rStyle w:val="SpecialCharTok"/>
        </w:rPr>
        <w:t>{</w:t>
      </w:r>
      <w:r>
        <w:rPr>
          <w:rStyle w:val="DecValTok"/>
        </w:rPr>
        <w:t>100</w:t>
      </w:r>
      <w:r>
        <w:rPr>
          <w:rStyle w:val="OperatorTok"/>
        </w:rPr>
        <w:t>*</w:t>
      </w:r>
      <w:r>
        <w:rPr>
          <w:rStyle w:val="NormalTok"/>
        </w:rPr>
        <w:t>fallback_area</w:t>
      </w:r>
      <w:r>
        <w:rPr>
          <w:rStyle w:val="OperatorTok"/>
        </w:rPr>
        <w:t>/</w:t>
      </w:r>
      <w:r>
        <w:rPr>
          <w:rStyle w:val="NormalTok"/>
        </w:rPr>
        <w:t>national_target</w:t>
      </w:r>
      <w:r>
        <w:rPr>
          <w:rStyle w:val="SpecialCharTok"/>
        </w:rPr>
        <w:t>:.3f}</w:t>
      </w:r>
      <w:r>
        <w:rPr>
          <w:rStyle w:val="SpecialStringTok"/>
        </w:rPr>
        <w:t xml:space="preserve"> %"</w:t>
      </w:r>
      <w:r>
        <w:rPr>
          <w:rStyle w:val="NormalTok"/>
        </w:rPr>
        <w:t>)</w:t>
      </w:r>
      <w:r>
        <w:br/>
      </w:r>
      <w:r>
        <w:br/>
      </w:r>
      <w:r>
        <w:rPr>
          <w:rStyle w:val="NormalTok"/>
        </w:rPr>
        <w:t xml:space="preserve">land_area </w:t>
      </w:r>
      <w:r>
        <w:rPr>
          <w:rStyle w:val="OperatorTok"/>
        </w:rPr>
        <w:t>=</w:t>
      </w:r>
      <w:r>
        <w:rPr>
          <w:rStyle w:val="NormalTok"/>
        </w:rPr>
        <w:t xml:space="preserve"> (detail.groupby(</w:t>
      </w:r>
      <w:r>
        <w:rPr>
          <w:rStyle w:val="StringTok"/>
        </w:rPr>
        <w:t>"Bundesland"</w:t>
      </w:r>
      <w:r>
        <w:rPr>
          <w:rStyle w:val="NormalTok"/>
        </w:rPr>
        <w:t>).BGF_m2.</w:t>
      </w:r>
      <w:r>
        <w:rPr>
          <w:rStyle w:val="BuiltInTok"/>
        </w:rPr>
        <w:t>sum</w:t>
      </w:r>
      <w:r>
        <w:rPr>
          <w:rStyle w:val="NormalTok"/>
        </w:rPr>
        <w:t>().reindex(PROVINCES))</w:t>
      </w:r>
      <w:r>
        <w:br/>
      </w:r>
      <w:r>
        <w:rPr>
          <w:rStyle w:val="NormalTok"/>
        </w:rPr>
        <w:t xml:space="preserve">land_target </w:t>
      </w:r>
      <w:r>
        <w:rPr>
          <w:rStyle w:val="OperatorTok"/>
        </w:rPr>
        <w:t>=</w:t>
      </w:r>
      <w:r>
        <w:rPr>
          <w:rStyle w:val="NormalTok"/>
        </w:rPr>
        <w:t xml:space="preserve"> (targets.groupby(</w:t>
      </w:r>
      <w:r>
        <w:rPr>
          <w:rStyle w:val="StringTok"/>
        </w:rPr>
        <w:t>"Bundesland"</w:t>
      </w:r>
      <w:r>
        <w:rPr>
          <w:rStyle w:val="NormalTok"/>
        </w:rPr>
        <w:t>).BGF_target_m2.</w:t>
      </w:r>
      <w:r>
        <w:rPr>
          <w:rStyle w:val="BuiltInTok"/>
        </w:rPr>
        <w:t>sum</w:t>
      </w:r>
      <w:r>
        <w:rPr>
          <w:rStyle w:val="NormalTok"/>
        </w:rPr>
        <w:t>().reindex(PROVINCES))</w:t>
      </w:r>
      <w:r>
        <w:br/>
      </w:r>
      <w:r>
        <w:rPr>
          <w:rStyle w:val="ControlFlowTok"/>
        </w:rPr>
        <w:t>assert</w:t>
      </w:r>
      <w:r>
        <w:rPr>
          <w:rStyle w:val="NormalTok"/>
        </w:rPr>
        <w:t xml:space="preserve"> np.allclose(land_area, land_target, rtol</w:t>
      </w:r>
      <w:r>
        <w:rPr>
          <w:rStyle w:val="OperatorTok"/>
        </w:rPr>
        <w:t>=</w:t>
      </w:r>
      <w:r>
        <w:rPr>
          <w:rStyle w:val="FloatTok"/>
        </w:rPr>
        <w:t>1e-12</w:t>
      </w:r>
      <w:r>
        <w:rPr>
          <w:rStyle w:val="NormalTok"/>
        </w:rPr>
        <w:t>, atol</w:t>
      </w:r>
      <w:r>
        <w:rPr>
          <w:rStyle w:val="OperatorTok"/>
        </w:rPr>
        <w:t>=</w:t>
      </w:r>
      <w:r>
        <w:rPr>
          <w:rStyle w:val="FloatTok"/>
        </w:rPr>
        <w:t>1e-4</w:t>
      </w:r>
      <w:r>
        <w:rPr>
          <w:rStyle w:val="NormalTok"/>
        </w:rPr>
        <w:t>)</w:t>
      </w:r>
      <w:r>
        <w:br/>
      </w:r>
      <w:r>
        <w:br/>
      </w:r>
      <w:r>
        <w:rPr>
          <w:rStyle w:val="CommentTok"/>
        </w:rPr>
        <w:t># Gewichteter Mittelwert der modellierten GFZ: kein nationales BGF/Grundstücksfläche-Verhältnis</w:t>
      </w:r>
      <w:r>
        <w:br/>
      </w:r>
      <w:r>
        <w:rPr>
          <w:rStyle w:val="NormalTok"/>
        </w:rPr>
        <w:t xml:space="preserve">mean_gfz </w:t>
      </w:r>
      <w:r>
        <w:rPr>
          <w:rStyle w:val="OperatorTok"/>
        </w:rPr>
        <w:t>=</w:t>
      </w:r>
      <w:r>
        <w:rPr>
          <w:rStyle w:val="NormalTok"/>
        </w:rPr>
        <w:t xml:space="preserve"> </w:t>
      </w:r>
      <w:r>
        <w:rPr>
          <w:rStyle w:val="BuiltInTok"/>
        </w:rPr>
        <w:t>float</w:t>
      </w:r>
      <w:r>
        <w:rPr>
          <w:rStyle w:val="NormalTok"/>
        </w:rPr>
        <w:t xml:space="preserve">(np.dot(detail.GFZ, detail.BGF_m2) </w:t>
      </w:r>
      <w:r>
        <w:rPr>
          <w:rStyle w:val="OperatorTok"/>
        </w:rPr>
        <w:t>/</w:t>
      </w:r>
      <w:r>
        <w:rPr>
          <w:rStyle w:val="NormalTok"/>
        </w:rPr>
        <w:t xml:space="preserve"> national_allocated)</w:t>
      </w:r>
      <w:r>
        <w:br/>
      </w:r>
      <w:r>
        <w:rPr>
          <w:rStyle w:val="BuiltInTok"/>
        </w:rPr>
        <w:t>print</w:t>
      </w:r>
      <w:r>
        <w:rPr>
          <w:rStyle w:val="NormalTok"/>
        </w:rPr>
        <w:t>(</w:t>
      </w:r>
      <w:r>
        <w:rPr>
          <w:rStyle w:val="SpecialStringTok"/>
        </w:rPr>
        <w:t xml:space="preserve">f"Flächengewichtete mittlere Modell-GFZ: </w:t>
      </w:r>
      <w:r>
        <w:rPr>
          <w:rStyle w:val="SpecialCharTok"/>
        </w:rPr>
        <w:t>{</w:t>
      </w:r>
      <w:r>
        <w:rPr>
          <w:rStyle w:val="NormalTok"/>
        </w:rPr>
        <w:t>mean_gfz</w:t>
      </w:r>
      <w:r>
        <w:rPr>
          <w:rStyle w:val="SpecialCharTok"/>
        </w:rPr>
        <w:t>:.3f}</w:t>
      </w:r>
      <w:r>
        <w:rPr>
          <w:rStyle w:val="SpecialStringTok"/>
        </w:rPr>
        <w:t>"</w:t>
      </w:r>
      <w:r>
        <w:rPr>
          <w:rStyle w:val="NormalTok"/>
        </w:rPr>
        <w:t>)</w:t>
      </w:r>
    </w:p>
    <w:p w14:paraId="47088036" w14:textId="77777777" w:rsidR="004E4CC2" w:rsidRDefault="00000000">
      <w:pPr>
        <w:pStyle w:val="SourceCode"/>
      </w:pPr>
      <w:r>
        <w:rPr>
          <w:rStyle w:val="VerbatimChar"/>
        </w:rPr>
        <w:t>Statistische Ziel-BGF Österreich: 1,058.935 Mio. m²</w:t>
      </w:r>
      <w:r>
        <w:br/>
      </w:r>
      <w:r>
        <w:rPr>
          <w:rStyle w:val="VerbatimChar"/>
        </w:rPr>
        <w:t>Verteilte BGF Österreich:        1,058.935 Mio. m²</w:t>
      </w:r>
      <w:r>
        <w:br/>
      </w:r>
      <w:r>
        <w:rPr>
          <w:rStyle w:val="VerbatimChar"/>
        </w:rPr>
        <w:t>Bilanzdifferenz:                 -0.000000119 m²</w:t>
      </w:r>
      <w:r>
        <w:br/>
      </w:r>
      <w:r>
        <w:rPr>
          <w:rStyle w:val="VerbatimChar"/>
        </w:rPr>
        <w:t>Max. Betrag je Zelle:           0.000000015 m²</w:t>
      </w:r>
      <w:r>
        <w:br/>
      </w:r>
      <w:r>
        <w:rPr>
          <w:rStyle w:val="VerbatimChar"/>
        </w:rPr>
        <w:t>Kombinationen:                  516</w:t>
      </w:r>
      <w:r>
        <w:br/>
      </w:r>
      <w:r>
        <w:rPr>
          <w:rStyle w:val="VerbatimChar"/>
        </w:rPr>
        <w:t>Ersatzreferenzen:                91 (17.64 % der Kombinationen)</w:t>
      </w:r>
      <w:r>
        <w:br/>
      </w:r>
      <w:r>
        <w:rPr>
          <w:rStyle w:val="VerbatimChar"/>
        </w:rPr>
        <w:t>BGF-Anteil der Ersatzreferenzen: 1.696 %</w:t>
      </w:r>
      <w:r>
        <w:br/>
      </w:r>
      <w:r>
        <w:rPr>
          <w:rStyle w:val="VerbatimChar"/>
        </w:rPr>
        <w:t>Flächengewichtete mittlere Modell-GFZ: 1.231</w:t>
      </w:r>
    </w:p>
    <w:p w14:paraId="2C2B6851" w14:textId="77777777" w:rsidR="004E4CC2" w:rsidRDefault="00000000">
      <w:pPr>
        <w:pStyle w:val="SourceCode"/>
      </w:pPr>
      <w:r>
        <w:rPr>
          <w:rStyle w:val="NormalTok"/>
        </w:rPr>
        <w:t xml:space="preserve">fall_by_land </w:t>
      </w:r>
      <w:r>
        <w:rPr>
          <w:rStyle w:val="OperatorTok"/>
        </w:rPr>
        <w:t>=</w:t>
      </w:r>
      <w:r>
        <w:rPr>
          <w:rStyle w:val="NormalTok"/>
        </w:rPr>
        <w:t xml:space="preserve"> (audit.assign(fallback_BGF_m2</w:t>
      </w:r>
      <w:r>
        <w:rPr>
          <w:rStyle w:val="OperatorTok"/>
        </w:rPr>
        <w:t>=</w:t>
      </w:r>
      <w:r>
        <w:rPr>
          <w:rStyle w:val="NormalTok"/>
        </w:rPr>
        <w:t xml:space="preserve">np.where(fallback_mask, audit.BGF_target_m2, </w:t>
      </w:r>
      <w:r>
        <w:rPr>
          <w:rStyle w:val="DecValTok"/>
        </w:rPr>
        <w:t>0</w:t>
      </w:r>
      <w:r>
        <w:rPr>
          <w:rStyle w:val="NormalTok"/>
        </w:rPr>
        <w:t>))</w:t>
      </w:r>
      <w:r>
        <w:br/>
      </w:r>
      <w:r>
        <w:rPr>
          <w:rStyle w:val="NormalTok"/>
        </w:rPr>
        <w:t xml:space="preserve">    .groupby(</w:t>
      </w:r>
      <w:r>
        <w:rPr>
          <w:rStyle w:val="StringTok"/>
        </w:rPr>
        <w:t>"Bundesland"</w:t>
      </w:r>
      <w:r>
        <w:rPr>
          <w:rStyle w:val="NormalTok"/>
        </w:rPr>
        <w:t>)[[</w:t>
      </w:r>
      <w:r>
        <w:rPr>
          <w:rStyle w:val="StringTok"/>
        </w:rPr>
        <w:t>"BGF_target_m2"</w:t>
      </w:r>
      <w:r>
        <w:rPr>
          <w:rStyle w:val="NormalTok"/>
        </w:rPr>
        <w:t xml:space="preserve">, </w:t>
      </w:r>
      <w:r>
        <w:rPr>
          <w:rStyle w:val="StringTok"/>
        </w:rPr>
        <w:t>"fallback_BGF_m2"</w:t>
      </w:r>
      <w:r>
        <w:rPr>
          <w:rStyle w:val="NormalTok"/>
        </w:rPr>
        <w:t>]].</w:t>
      </w:r>
      <w:r>
        <w:rPr>
          <w:rStyle w:val="BuiltInTok"/>
        </w:rPr>
        <w:t>sum</w:t>
      </w:r>
      <w:r>
        <w:rPr>
          <w:rStyle w:val="NormalTok"/>
        </w:rPr>
        <w:t>().reindex(PROVINCES))</w:t>
      </w:r>
      <w:r>
        <w:br/>
      </w:r>
      <w:r>
        <w:rPr>
          <w:rStyle w:val="NormalTok"/>
        </w:rPr>
        <w:t>fall_by_land.loc[</w:t>
      </w:r>
      <w:r>
        <w:rPr>
          <w:rStyle w:val="StringTok"/>
        </w:rPr>
        <w:t>"Österreich"</w:t>
      </w:r>
      <w:r>
        <w:rPr>
          <w:rStyle w:val="NormalTok"/>
        </w:rPr>
        <w:t xml:space="preserve">] </w:t>
      </w:r>
      <w:r>
        <w:rPr>
          <w:rStyle w:val="OperatorTok"/>
        </w:rPr>
        <w:t>=</w:t>
      </w:r>
      <w:r>
        <w:rPr>
          <w:rStyle w:val="NormalTok"/>
        </w:rPr>
        <w:t xml:space="preserve"> fall_by_land.</w:t>
      </w:r>
      <w:r>
        <w:rPr>
          <w:rStyle w:val="BuiltInTok"/>
        </w:rPr>
        <w:t>sum</w:t>
      </w:r>
      <w:r>
        <w:rPr>
          <w:rStyle w:val="NormalTok"/>
        </w:rPr>
        <w:t>()</w:t>
      </w:r>
      <w:r>
        <w:br/>
      </w:r>
      <w:r>
        <w:rPr>
          <w:rStyle w:val="NormalTok"/>
        </w:rPr>
        <w:t xml:space="preserve">fall_share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fall_by_land.fallback_BGF_m2 </w:t>
      </w:r>
      <w:r>
        <w:rPr>
          <w:rStyle w:val="OperatorTok"/>
        </w:rPr>
        <w:t>/</w:t>
      </w:r>
      <w:r>
        <w:rPr>
          <w:rStyle w:val="NormalTok"/>
        </w:rPr>
        <w:t xml:space="preserve"> fall_by_land.BGF_target_m2</w:t>
      </w:r>
      <w:r>
        <w:br/>
      </w:r>
      <w:r>
        <w:rPr>
          <w:rStyle w:val="NormalTok"/>
        </w:rPr>
        <w:t xml:space="preserve">fig, ax </w:t>
      </w:r>
      <w:r>
        <w:rPr>
          <w:rStyle w:val="OperatorTok"/>
        </w:rPr>
        <w:t>=</w:t>
      </w:r>
      <w:r>
        <w:rPr>
          <w:rStyle w:val="NormalTok"/>
        </w:rPr>
        <w:t xml:space="preserve"> plt.subplots(figsize</w:t>
      </w:r>
      <w:r>
        <w:rPr>
          <w:rStyle w:val="OperatorTok"/>
        </w:rPr>
        <w:t>=</w:t>
      </w:r>
      <w:r>
        <w:rPr>
          <w:rStyle w:val="NormalTok"/>
        </w:rPr>
        <w:t>(</w:t>
      </w:r>
      <w:r>
        <w:rPr>
          <w:rStyle w:val="DecValTok"/>
        </w:rPr>
        <w:t>10</w:t>
      </w:r>
      <w:r>
        <w:rPr>
          <w:rStyle w:val="NormalTok"/>
        </w:rPr>
        <w:t xml:space="preserve">, </w:t>
      </w:r>
      <w:r>
        <w:rPr>
          <w:rStyle w:val="DecValTok"/>
        </w:rPr>
        <w:t>5</w:t>
      </w:r>
      <w:r>
        <w:rPr>
          <w:rStyle w:val="NormalTok"/>
        </w:rPr>
        <w:t>), layout</w:t>
      </w:r>
      <w:r>
        <w:rPr>
          <w:rStyle w:val="OperatorTok"/>
        </w:rPr>
        <w:t>=</w:t>
      </w:r>
      <w:r>
        <w:rPr>
          <w:rStyle w:val="StringTok"/>
        </w:rPr>
        <w:t>"constrained"</w:t>
      </w:r>
      <w:r>
        <w:rPr>
          <w:rStyle w:val="NormalTok"/>
        </w:rPr>
        <w:t>)</w:t>
      </w:r>
      <w:r>
        <w:br/>
      </w:r>
      <w:r>
        <w:rPr>
          <w:rStyle w:val="NormalTok"/>
        </w:rPr>
        <w:t xml:space="preserve">ax.barh(fall_share.index, </w:t>
      </w:r>
      <w:r>
        <w:rPr>
          <w:rStyle w:val="DecValTok"/>
        </w:rPr>
        <w:t>100</w:t>
      </w:r>
      <w:r>
        <w:rPr>
          <w:rStyle w:val="NormalTok"/>
        </w:rPr>
        <w:t xml:space="preserve"> </w:t>
      </w:r>
      <w:r>
        <w:rPr>
          <w:rStyle w:val="OperatorTok"/>
        </w:rPr>
        <w:t>-</w:t>
      </w:r>
      <w:r>
        <w:rPr>
          <w:rStyle w:val="NormalTok"/>
        </w:rPr>
        <w:t xml:space="preserve"> fall_share, color</w:t>
      </w:r>
      <w:r>
        <w:rPr>
          <w:rStyle w:val="OperatorTok"/>
        </w:rPr>
        <w:t>=</w:t>
      </w:r>
      <w:r>
        <w:rPr>
          <w:rStyle w:val="StringTok"/>
        </w:rPr>
        <w:t>"#007c83"</w:t>
      </w:r>
      <w:r>
        <w:rPr>
          <w:rStyle w:val="NormalTok"/>
        </w:rPr>
        <w:t>, label</w:t>
      </w:r>
      <w:r>
        <w:rPr>
          <w:rStyle w:val="OperatorTok"/>
        </w:rPr>
        <w:t>=</w:t>
      </w:r>
      <w:r>
        <w:rPr>
          <w:rStyle w:val="StringTok"/>
        </w:rPr>
        <w:t>"Primärreferenz"</w:t>
      </w:r>
      <w:r>
        <w:rPr>
          <w:rStyle w:val="NormalTok"/>
        </w:rPr>
        <w:t>)</w:t>
      </w:r>
      <w:r>
        <w:br/>
      </w:r>
      <w:r>
        <w:rPr>
          <w:rStyle w:val="NormalTok"/>
        </w:rPr>
        <w:t>ax.barh(fall_share.index, fall_share, left</w:t>
      </w:r>
      <w:r>
        <w:rPr>
          <w:rStyle w:val="OperatorTok"/>
        </w:rPr>
        <w:t>=</w:t>
      </w:r>
      <w:r>
        <w:rPr>
          <w:rStyle w:val="DecValTok"/>
        </w:rPr>
        <w:t>100</w:t>
      </w:r>
      <w:r>
        <w:rPr>
          <w:rStyle w:val="OperatorTok"/>
        </w:rPr>
        <w:t>-</w:t>
      </w:r>
      <w:r>
        <w:rPr>
          <w:rStyle w:val="NormalTok"/>
        </w:rPr>
        <w:t>fall_share,</w:t>
      </w:r>
      <w:r>
        <w:br/>
      </w:r>
      <w:r>
        <w:rPr>
          <w:rStyle w:val="NormalTok"/>
        </w:rPr>
        <w:lastRenderedPageBreak/>
        <w:t xml:space="preserve">        color</w:t>
      </w:r>
      <w:r>
        <w:rPr>
          <w:rStyle w:val="OperatorTok"/>
        </w:rPr>
        <w:t>=</w:t>
      </w:r>
      <w:r>
        <w:rPr>
          <w:rStyle w:val="StringTok"/>
        </w:rPr>
        <w:t>"#df9c38"</w:t>
      </w:r>
      <w:r>
        <w:rPr>
          <w:rStyle w:val="NormalTok"/>
        </w:rPr>
        <w:t>, label</w:t>
      </w:r>
      <w:r>
        <w:rPr>
          <w:rStyle w:val="OperatorTok"/>
        </w:rPr>
        <w:t>=</w:t>
      </w:r>
      <w:r>
        <w:rPr>
          <w:rStyle w:val="StringTok"/>
        </w:rPr>
        <w:t>"Ersatzreferenz"</w:t>
      </w:r>
      <w:r>
        <w:rPr>
          <w:rStyle w:val="NormalTok"/>
        </w:rPr>
        <w:t>)</w:t>
      </w:r>
      <w:r>
        <w:br/>
      </w:r>
      <w:r>
        <w:rPr>
          <w:rStyle w:val="ControlFlowTok"/>
        </w:rPr>
        <w:t>for</w:t>
      </w:r>
      <w:r>
        <w:rPr>
          <w:rStyle w:val="NormalTok"/>
        </w:rPr>
        <w:t xml:space="preserve"> y, share </w:t>
      </w:r>
      <w:r>
        <w:rPr>
          <w:rStyle w:val="KeywordTok"/>
        </w:rPr>
        <w:t>in</w:t>
      </w:r>
      <w:r>
        <w:rPr>
          <w:rStyle w:val="NormalTok"/>
        </w:rPr>
        <w:t xml:space="preserve"> </w:t>
      </w:r>
      <w:r>
        <w:rPr>
          <w:rStyle w:val="BuiltInTok"/>
        </w:rPr>
        <w:t>enumerate</w:t>
      </w:r>
      <w:r>
        <w:rPr>
          <w:rStyle w:val="NormalTok"/>
        </w:rPr>
        <w:t>(fall_share):</w:t>
      </w:r>
      <w:r>
        <w:br/>
      </w:r>
      <w:r>
        <w:rPr>
          <w:rStyle w:val="NormalTok"/>
        </w:rPr>
        <w:t xml:space="preserve">    ax.text(</w:t>
      </w:r>
      <w:r>
        <w:rPr>
          <w:rStyle w:val="DecValTok"/>
        </w:rPr>
        <w:t>101</w:t>
      </w:r>
      <w:r>
        <w:rPr>
          <w:rStyle w:val="NormalTok"/>
        </w:rPr>
        <w:t xml:space="preserve">, y, </w:t>
      </w:r>
      <w:r>
        <w:rPr>
          <w:rStyle w:val="SpecialStringTok"/>
        </w:rPr>
        <w:t>f"</w:t>
      </w:r>
      <w:r>
        <w:rPr>
          <w:rStyle w:val="SpecialCharTok"/>
        </w:rPr>
        <w:t>{</w:t>
      </w:r>
      <w:r>
        <w:rPr>
          <w:rStyle w:val="NormalTok"/>
        </w:rPr>
        <w:t>share</w:t>
      </w:r>
      <w:r>
        <w:rPr>
          <w:rStyle w:val="SpecialCharTok"/>
        </w:rPr>
        <w:t>:.2f}</w:t>
      </w:r>
      <w:r>
        <w:rPr>
          <w:rStyle w:val="SpecialStringTok"/>
        </w:rPr>
        <w:t xml:space="preserve"> %"</w:t>
      </w:r>
      <w:r>
        <w:rPr>
          <w:rStyle w:val="NormalTok"/>
        </w:rPr>
        <w:t>, va</w:t>
      </w:r>
      <w:r>
        <w:rPr>
          <w:rStyle w:val="OperatorTok"/>
        </w:rPr>
        <w:t>=</w:t>
      </w:r>
      <w:r>
        <w:rPr>
          <w:rStyle w:val="StringTok"/>
        </w:rPr>
        <w:t>"center"</w:t>
      </w:r>
      <w:r>
        <w:rPr>
          <w:rStyle w:val="NormalTok"/>
        </w:rPr>
        <w:t>, fontsize</w:t>
      </w:r>
      <w:r>
        <w:rPr>
          <w:rStyle w:val="OperatorTok"/>
        </w:rPr>
        <w:t>=</w:t>
      </w:r>
      <w:r>
        <w:rPr>
          <w:rStyle w:val="DecValTok"/>
        </w:rPr>
        <w:t>9</w:t>
      </w:r>
      <w:r>
        <w:rPr>
          <w:rStyle w:val="NormalTok"/>
        </w:rPr>
        <w:t>)</w:t>
      </w:r>
      <w:r>
        <w:br/>
      </w:r>
      <w:r>
        <w:rPr>
          <w:rStyle w:val="NormalTok"/>
        </w:rPr>
        <w:t>ax.</w:t>
      </w:r>
      <w:r>
        <w:rPr>
          <w:rStyle w:val="BuiltInTok"/>
        </w:rPr>
        <w:t>set</w:t>
      </w:r>
      <w:r>
        <w:rPr>
          <w:rStyle w:val="NormalTok"/>
        </w:rPr>
        <w:t>(xlim</w:t>
      </w:r>
      <w:r>
        <w:rPr>
          <w:rStyle w:val="OperatorTok"/>
        </w:rPr>
        <w:t>=</w:t>
      </w:r>
      <w:r>
        <w:rPr>
          <w:rStyle w:val="NormalTok"/>
        </w:rPr>
        <w:t>(</w:t>
      </w:r>
      <w:r>
        <w:rPr>
          <w:rStyle w:val="DecValTok"/>
        </w:rPr>
        <w:t>0</w:t>
      </w:r>
      <w:r>
        <w:rPr>
          <w:rStyle w:val="NormalTok"/>
        </w:rPr>
        <w:t xml:space="preserve">, </w:t>
      </w:r>
      <w:r>
        <w:rPr>
          <w:rStyle w:val="DecValTok"/>
        </w:rPr>
        <w:t>114</w:t>
      </w:r>
      <w:r>
        <w:rPr>
          <w:rStyle w:val="NormalTok"/>
        </w:rPr>
        <w:t>), xlabel</w:t>
      </w:r>
      <w:r>
        <w:rPr>
          <w:rStyle w:val="OperatorTok"/>
        </w:rPr>
        <w:t>=</w:t>
      </w:r>
      <w:r>
        <w:rPr>
          <w:rStyle w:val="StringTok"/>
        </w:rPr>
        <w:t>"Anteil an der BGF des Bundeslands [%]"</w:t>
      </w:r>
      <w:r>
        <w:rPr>
          <w:rStyle w:val="NormalTok"/>
        </w:rPr>
        <w:t>)</w:t>
      </w:r>
      <w:r>
        <w:br/>
      </w:r>
      <w:r>
        <w:rPr>
          <w:rStyle w:val="NormalTok"/>
        </w:rPr>
        <w:t>ax.invert_yaxis()</w:t>
      </w:r>
      <w:r>
        <w:br/>
      </w:r>
      <w:r>
        <w:rPr>
          <w:rStyle w:val="NormalTok"/>
        </w:rPr>
        <w:t>ax.legend(loc</w:t>
      </w:r>
      <w:r>
        <w:rPr>
          <w:rStyle w:val="OperatorTok"/>
        </w:rPr>
        <w:t>=</w:t>
      </w:r>
      <w:r>
        <w:rPr>
          <w:rStyle w:val="StringTok"/>
        </w:rPr>
        <w:t>"lower right"</w:t>
      </w:r>
      <w:r>
        <w:rPr>
          <w:rStyle w:val="NormalTok"/>
        </w:rPr>
        <w:t>, fontsize</w:t>
      </w:r>
      <w:r>
        <w:rPr>
          <w:rStyle w:val="OperatorTok"/>
        </w:rPr>
        <w:t>=</w:t>
      </w:r>
      <w:r>
        <w:rPr>
          <w:rStyle w:val="DecValTok"/>
        </w:rPr>
        <w:t>9</w:t>
      </w:r>
      <w:r>
        <w:rPr>
          <w:rStyle w:val="NormalTok"/>
        </w:rPr>
        <w:t>)</w:t>
      </w:r>
      <w:r>
        <w:br/>
      </w:r>
      <w:r>
        <w:rPr>
          <w:rStyle w:val="NormalTok"/>
        </w:rPr>
        <w:t xml:space="preserve">fig.savefig(OUT </w:t>
      </w:r>
      <w:r>
        <w:rPr>
          <w:rStyle w:val="OperatorTok"/>
        </w:rPr>
        <w:t>/</w:t>
      </w:r>
      <w:r>
        <w:rPr>
          <w:rStyle w:val="NormalTok"/>
        </w:rPr>
        <w:t xml:space="preserve"> </w:t>
      </w:r>
      <w:r>
        <w:rPr>
          <w:rStyle w:val="StringTok"/>
        </w:rPr>
        <w:t>"fallback_bundeslaender.png"</w:t>
      </w:r>
      <w:r>
        <w:rPr>
          <w:rStyle w:val="NormalTok"/>
        </w:rPr>
        <w:t>, dpi</w:t>
      </w:r>
      <w:r>
        <w:rPr>
          <w:rStyle w:val="OperatorTok"/>
        </w:rPr>
        <w:t>=</w:t>
      </w:r>
      <w:r>
        <w:rPr>
          <w:rStyle w:val="DecValTok"/>
        </w:rPr>
        <w:t>180</w:t>
      </w:r>
      <w:r>
        <w:rPr>
          <w:rStyle w:val="NormalTok"/>
        </w:rPr>
        <w:t>, bbox_inches</w:t>
      </w:r>
      <w:r>
        <w:rPr>
          <w:rStyle w:val="OperatorTok"/>
        </w:rPr>
        <w:t>=</w:t>
      </w:r>
      <w:r>
        <w:rPr>
          <w:rStyle w:val="StringTok"/>
        </w:rPr>
        <w:t>"tight"</w:t>
      </w:r>
      <w:r>
        <w:rPr>
          <w:rStyle w:val="NormalTok"/>
        </w:rPr>
        <w:t>)</w:t>
      </w:r>
      <w:r>
        <w:br/>
      </w:r>
      <w:r>
        <w:rPr>
          <w:rStyle w:val="NormalTok"/>
        </w:rPr>
        <w:t>plt.show()</w:t>
      </w:r>
    </w:p>
    <w:tbl>
      <w:tblPr>
        <w:tblStyle w:val="Table"/>
        <w:tblW w:w="5000" w:type="pct"/>
        <w:tblLayout w:type="fixed"/>
        <w:tblLook w:val="0000" w:firstRow="0" w:lastRow="0" w:firstColumn="0" w:lastColumn="0" w:noHBand="0" w:noVBand="0"/>
      </w:tblPr>
      <w:tblGrid>
        <w:gridCol w:w="9622"/>
      </w:tblGrid>
      <w:tr w:rsidR="004E4CC2" w14:paraId="10BAA227" w14:textId="77777777">
        <w:tc>
          <w:tcPr>
            <w:tcW w:w="7920" w:type="dxa"/>
          </w:tcPr>
          <w:p w14:paraId="184DB6F5" w14:textId="77777777" w:rsidR="004E4CC2" w:rsidRDefault="00000000">
            <w:pPr>
              <w:pStyle w:val="Compact"/>
              <w:jc w:val="center"/>
            </w:pPr>
            <w:bookmarkStart w:id="350" w:name="fig-gfz-ersatzanteile"/>
            <w:r>
              <w:rPr>
                <w:noProof/>
              </w:rPr>
              <w:drawing>
                <wp:inline distT="0" distB="0" distL="0" distR="0" wp14:anchorId="03889F71" wp14:editId="2B596CA5">
                  <wp:extent cx="5334000" cy="2695582"/>
                  <wp:effectExtent l="0" t="0" r="0" b="0"/>
                  <wp:docPr id="366" name="Picture"/>
                  <wp:cNvGraphicFramePr/>
                  <a:graphic xmlns:a="http://schemas.openxmlformats.org/drawingml/2006/main">
                    <a:graphicData uri="http://schemas.openxmlformats.org/drawingml/2006/picture">
                      <pic:pic xmlns:pic="http://schemas.openxmlformats.org/drawingml/2006/picture">
                        <pic:nvPicPr>
                          <pic:cNvPr id="367" name="Picture" descr="Berechnungen\gfz_at/GFZ_AT_Analyse_Anhang_files/figure-docx/fig-gfz-ersatzanteile-output-1.png"/>
                          <pic:cNvPicPr>
                            <a:picLocks noChangeAspect="1" noChangeArrowheads="1"/>
                          </pic:cNvPicPr>
                        </pic:nvPicPr>
                        <pic:blipFill>
                          <a:blip r:embed="rId73"/>
                          <a:stretch>
                            <a:fillRect/>
                          </a:stretch>
                        </pic:blipFill>
                        <pic:spPr bwMode="auto">
                          <a:xfrm>
                            <a:off x="0" y="0"/>
                            <a:ext cx="5334000" cy="2695582"/>
                          </a:xfrm>
                          <a:prstGeom prst="rect">
                            <a:avLst/>
                          </a:prstGeom>
                          <a:noFill/>
                          <a:ln w="9525">
                            <a:noFill/>
                            <a:headEnd/>
                            <a:tailEnd/>
                          </a:ln>
                        </pic:spPr>
                      </pic:pic>
                    </a:graphicData>
                  </a:graphic>
                </wp:inline>
              </w:drawing>
            </w:r>
          </w:p>
          <w:p w14:paraId="78708C13" w14:textId="77777777" w:rsidR="004E4CC2" w:rsidRDefault="00000000">
            <w:pPr>
              <w:pStyle w:val="ImageCaption"/>
              <w:spacing w:before="200"/>
            </w:pPr>
            <w:r>
              <w:t>Abbildung D.6: BGF-Abdeckung der primären Referenzen und expliziten Ersatzschätzungen nach Bundesland. Die Balken zeigen Anteile der jeweiligen statistischen Landes-BGF, nicht Anteile der Gebäudefälle.</w:t>
            </w:r>
          </w:p>
        </w:tc>
        <w:bookmarkEnd w:id="350"/>
      </w:tr>
    </w:tbl>
    <w:p w14:paraId="62EB5F59" w14:textId="77777777" w:rsidR="004E4CC2" w:rsidRDefault="00000000">
      <w:pPr>
        <w:pStyle w:val="berschrift2"/>
      </w:pPr>
      <w:bookmarkStart w:id="351" w:name="Xd5f755a3b14d6a9ed8a2d82486626ce41532c85"/>
      <w:bookmarkStart w:id="352" w:name="_Toc243681355"/>
      <w:bookmarkEnd w:id="348"/>
      <w:r>
        <w:t>C.8 8. Modellierte österreichische GFZ-Verteilung</w:t>
      </w:r>
      <w:bookmarkEnd w:id="352"/>
    </w:p>
    <w:p w14:paraId="7AB5C779" w14:textId="77777777" w:rsidR="004E4CC2" w:rsidRDefault="00000000">
      <w:pPr>
        <w:pStyle w:val="FirstParagraph"/>
      </w:pPr>
      <w:r>
        <w:t xml:space="preserve">Die Abbildung zeigt die aus der Statistik hochgerechnete BGF je </w:t>
      </w:r>
      <w:r>
        <w:rPr>
          <w:b/>
          <w:bCs/>
        </w:rPr>
        <w:t>GFZ-Intervall von 0,1</w:t>
      </w:r>
      <w:r>
        <w:t>, aufgeteilt auf die neun Hauptnutzungen. Die Darstellung ist eine gestapelte Balkengrafik (kein Dichteplot): die Höhe eines Balkens ist die Summe von Mio. m² BGF in dieser GFZ-Klasse. Das sichtbare GFZ-Fenster kann ohne Neuberechnung verändert werden; alle Klassen bis GFZ 20 bleiben in der Flächenbilanz erhalten.</w:t>
      </w:r>
    </w:p>
    <w:p w14:paraId="2AB26D9C" w14:textId="77777777" w:rsidR="004E4CC2" w:rsidRDefault="00000000">
      <w:pPr>
        <w:pStyle w:val="SourceCode"/>
      </w:pPr>
      <w:r>
        <w:rPr>
          <w:rStyle w:val="NormalTok"/>
        </w:rPr>
        <w:t xml:space="preserve">wide </w:t>
      </w:r>
      <w:r>
        <w:rPr>
          <w:rStyle w:val="OperatorTok"/>
        </w:rPr>
        <w:t>=</w:t>
      </w:r>
      <w:r>
        <w:rPr>
          <w:rStyle w:val="NormalTok"/>
        </w:rPr>
        <w:t xml:space="preserve"> (at_by_use.pivot_table(index</w:t>
      </w:r>
      <w:r>
        <w:rPr>
          <w:rStyle w:val="OperatorTok"/>
        </w:rPr>
        <w:t>=</w:t>
      </w:r>
      <w:r>
        <w:rPr>
          <w:rStyle w:val="StringTok"/>
        </w:rPr>
        <w:t>"GFZ"</w:t>
      </w:r>
      <w:r>
        <w:rPr>
          <w:rStyle w:val="NormalTok"/>
        </w:rPr>
        <w:t>, columns</w:t>
      </w:r>
      <w:r>
        <w:rPr>
          <w:rStyle w:val="OperatorTok"/>
        </w:rPr>
        <w:t>=</w:t>
      </w:r>
      <w:r>
        <w:rPr>
          <w:rStyle w:val="StringTok"/>
        </w:rPr>
        <w:t>"GWR_Nutzung"</w:t>
      </w:r>
      <w:r>
        <w:rPr>
          <w:rStyle w:val="NormalTok"/>
        </w:rPr>
        <w:t>,</w:t>
      </w:r>
      <w:r>
        <w:br/>
      </w:r>
      <w:r>
        <w:rPr>
          <w:rStyle w:val="NormalTok"/>
        </w:rPr>
        <w:t xml:space="preserve">           values</w:t>
      </w:r>
      <w:r>
        <w:rPr>
          <w:rStyle w:val="OperatorTok"/>
        </w:rPr>
        <w:t>=</w:t>
      </w:r>
      <w:r>
        <w:rPr>
          <w:rStyle w:val="StringTok"/>
        </w:rPr>
        <w:t>"BGF_m2"</w:t>
      </w:r>
      <w:r>
        <w:rPr>
          <w:rStyle w:val="NormalTok"/>
        </w:rPr>
        <w:t>, aggfunc</w:t>
      </w:r>
      <w:r>
        <w:rPr>
          <w:rStyle w:val="OperatorTok"/>
        </w:rPr>
        <w:t>=</w:t>
      </w:r>
      <w:r>
        <w:rPr>
          <w:rStyle w:val="StringTok"/>
        </w:rPr>
        <w:t>"sum"</w:t>
      </w:r>
      <w:r>
        <w:rPr>
          <w:rStyle w:val="NormalTok"/>
        </w:rPr>
        <w:t>, fill_value</w:t>
      </w:r>
      <w:r>
        <w:rPr>
          <w:rStyle w:val="OperatorTok"/>
        </w:rPr>
        <w:t>=</w:t>
      </w:r>
      <w:r>
        <w:rPr>
          <w:rStyle w:val="DecValTok"/>
        </w:rPr>
        <w:t>0</w:t>
      </w:r>
      <w:r>
        <w:rPr>
          <w:rStyle w:val="NormalTok"/>
        </w:rPr>
        <w:t>)</w:t>
      </w:r>
      <w:r>
        <w:br/>
      </w:r>
      <w:r>
        <w:rPr>
          <w:rStyle w:val="NormalTok"/>
        </w:rPr>
        <w:t xml:space="preserve">        .reindex(columns</w:t>
      </w:r>
      <w:r>
        <w:rPr>
          <w:rStyle w:val="OperatorTok"/>
        </w:rPr>
        <w:t>=</w:t>
      </w:r>
      <w:r>
        <w:rPr>
          <w:rStyle w:val="NormalTok"/>
        </w:rPr>
        <w:t>PLOT_USE_ORDER, fill_value</w:t>
      </w:r>
      <w:r>
        <w:rPr>
          <w:rStyle w:val="OperatorTok"/>
        </w:rPr>
        <w:t>=</w:t>
      </w:r>
      <w:r>
        <w:rPr>
          <w:rStyle w:val="DecValTok"/>
        </w:rPr>
        <w:t>0</w:t>
      </w:r>
      <w:r>
        <w:rPr>
          <w:rStyle w:val="NormalTok"/>
        </w:rPr>
        <w:t xml:space="preserve">).sort_index() </w:t>
      </w:r>
      <w:r>
        <w:rPr>
          <w:rStyle w:val="OperatorTok"/>
        </w:rPr>
        <w:t>/</w:t>
      </w:r>
      <w:r>
        <w:rPr>
          <w:rStyle w:val="NormalTok"/>
        </w:rPr>
        <w:t xml:space="preserve"> </w:t>
      </w:r>
      <w:r>
        <w:rPr>
          <w:rStyle w:val="FloatTok"/>
        </w:rPr>
        <w:t>1e6</w:t>
      </w:r>
      <w:r>
        <w:rPr>
          <w:rStyle w:val="NormalTok"/>
        </w:rPr>
        <w:t>)</w:t>
      </w:r>
      <w:r>
        <w:br/>
      </w:r>
      <w:r>
        <w:rPr>
          <w:rStyle w:val="NormalTok"/>
        </w:rPr>
        <w:t xml:space="preserve">view </w:t>
      </w:r>
      <w:r>
        <w:rPr>
          <w:rStyle w:val="OperatorTok"/>
        </w:rPr>
        <w:t>=</w:t>
      </w:r>
      <w:r>
        <w:rPr>
          <w:rStyle w:val="NormalTok"/>
        </w:rPr>
        <w:t xml:space="preserve"> wide.loc[wide.index </w:t>
      </w:r>
      <w:r>
        <w:rPr>
          <w:rStyle w:val="OperatorTok"/>
        </w:rPr>
        <w:t>&lt;=</w:t>
      </w:r>
      <w:r>
        <w:rPr>
          <w:rStyle w:val="NormalTok"/>
        </w:rPr>
        <w:t xml:space="preserve"> PLOT_GFZ_MAX]</w:t>
      </w:r>
      <w:r>
        <w:br/>
      </w:r>
      <w:r>
        <w:rPr>
          <w:rStyle w:val="NormalTok"/>
        </w:rPr>
        <w:t xml:space="preserve">fig, ax </w:t>
      </w:r>
      <w:r>
        <w:rPr>
          <w:rStyle w:val="OperatorTok"/>
        </w:rPr>
        <w:t>=</w:t>
      </w:r>
      <w:r>
        <w:rPr>
          <w:rStyle w:val="NormalTok"/>
        </w:rPr>
        <w:t xml:space="preserve"> plt.subplots(figsize</w:t>
      </w:r>
      <w:r>
        <w:rPr>
          <w:rStyle w:val="OperatorTok"/>
        </w:rPr>
        <w:t>=</w:t>
      </w:r>
      <w:r>
        <w:rPr>
          <w:rStyle w:val="NormalTok"/>
        </w:rPr>
        <w:t>(</w:t>
      </w:r>
      <w:r>
        <w:rPr>
          <w:rStyle w:val="DecValTok"/>
        </w:rPr>
        <w:t>13</w:t>
      </w:r>
      <w:r>
        <w:rPr>
          <w:rStyle w:val="NormalTok"/>
        </w:rPr>
        <w:t xml:space="preserve">, </w:t>
      </w:r>
      <w:r>
        <w:rPr>
          <w:rStyle w:val="DecValTok"/>
        </w:rPr>
        <w:t>6</w:t>
      </w:r>
      <w:r>
        <w:rPr>
          <w:rStyle w:val="NormalTok"/>
        </w:rPr>
        <w:t>), layout</w:t>
      </w:r>
      <w:r>
        <w:rPr>
          <w:rStyle w:val="OperatorTok"/>
        </w:rPr>
        <w:t>=</w:t>
      </w:r>
      <w:r>
        <w:rPr>
          <w:rStyle w:val="StringTok"/>
        </w:rPr>
        <w:t>"constrained"</w:t>
      </w:r>
      <w:r>
        <w:rPr>
          <w:rStyle w:val="NormalTok"/>
        </w:rPr>
        <w:t>)</w:t>
      </w:r>
      <w:r>
        <w:br/>
      </w:r>
      <w:r>
        <w:rPr>
          <w:rStyle w:val="NormalTok"/>
        </w:rPr>
        <w:t xml:space="preserve">bottom </w:t>
      </w:r>
      <w:r>
        <w:rPr>
          <w:rStyle w:val="OperatorTok"/>
        </w:rPr>
        <w:t>=</w:t>
      </w:r>
      <w:r>
        <w:rPr>
          <w:rStyle w:val="NormalTok"/>
        </w:rPr>
        <w:t xml:space="preserve"> np.zeros(</w:t>
      </w:r>
      <w:r>
        <w:rPr>
          <w:rStyle w:val="BuiltInTok"/>
        </w:rPr>
        <w:t>len</w:t>
      </w:r>
      <w:r>
        <w:rPr>
          <w:rStyle w:val="NormalTok"/>
        </w:rPr>
        <w:t>(view))</w:t>
      </w:r>
      <w:r>
        <w:br/>
      </w:r>
      <w:r>
        <w:rPr>
          <w:rStyle w:val="ControlFlowTok"/>
        </w:rPr>
        <w:t>for</w:t>
      </w:r>
      <w:r>
        <w:rPr>
          <w:rStyle w:val="NormalTok"/>
        </w:rPr>
        <w:t xml:space="preserve"> use </w:t>
      </w:r>
      <w:r>
        <w:rPr>
          <w:rStyle w:val="KeywordTok"/>
        </w:rPr>
        <w:t>in</w:t>
      </w:r>
      <w:r>
        <w:rPr>
          <w:rStyle w:val="NormalTok"/>
        </w:rPr>
        <w:t xml:space="preserve"> PLOT_USE_ORDER:</w:t>
      </w:r>
      <w:r>
        <w:br/>
      </w:r>
      <w:r>
        <w:rPr>
          <w:rStyle w:val="NormalTok"/>
        </w:rPr>
        <w:t xml:space="preserve">    v </w:t>
      </w:r>
      <w:r>
        <w:rPr>
          <w:rStyle w:val="OperatorTok"/>
        </w:rPr>
        <w:t>=</w:t>
      </w:r>
      <w:r>
        <w:rPr>
          <w:rStyle w:val="NormalTok"/>
        </w:rPr>
        <w:t xml:space="preserve"> view[use].to_numpy()</w:t>
      </w:r>
      <w:r>
        <w:br/>
      </w:r>
      <w:r>
        <w:rPr>
          <w:rStyle w:val="NormalTok"/>
        </w:rPr>
        <w:t xml:space="preserve">    ax.bar(view.index.to_numpy(), v, width</w:t>
      </w:r>
      <w:r>
        <w:rPr>
          <w:rStyle w:val="OperatorTok"/>
        </w:rPr>
        <w:t>=</w:t>
      </w:r>
      <w:r>
        <w:rPr>
          <w:rStyle w:val="NormalTok"/>
        </w:rPr>
        <w:t xml:space="preserve">GFZ_STEP </w:t>
      </w:r>
      <w:r>
        <w:rPr>
          <w:rStyle w:val="OperatorTok"/>
        </w:rPr>
        <w:t>*</w:t>
      </w:r>
      <w:r>
        <w:rPr>
          <w:rStyle w:val="NormalTok"/>
        </w:rPr>
        <w:t xml:space="preserve"> </w:t>
      </w:r>
      <w:r>
        <w:rPr>
          <w:rStyle w:val="FloatTok"/>
        </w:rPr>
        <w:t>.96</w:t>
      </w:r>
      <w:r>
        <w:rPr>
          <w:rStyle w:val="NormalTok"/>
        </w:rPr>
        <w:t>,</w:t>
      </w:r>
      <w:r>
        <w:br/>
      </w:r>
      <w:r>
        <w:rPr>
          <w:rStyle w:val="NormalTok"/>
        </w:rPr>
        <w:t xml:space="preserve">           align</w:t>
      </w:r>
      <w:r>
        <w:rPr>
          <w:rStyle w:val="OperatorTok"/>
        </w:rPr>
        <w:t>=</w:t>
      </w:r>
      <w:r>
        <w:rPr>
          <w:rStyle w:val="StringTok"/>
        </w:rPr>
        <w:t>"center"</w:t>
      </w:r>
      <w:r>
        <w:rPr>
          <w:rStyle w:val="NormalTok"/>
        </w:rPr>
        <w:t>, bottom</w:t>
      </w:r>
      <w:r>
        <w:rPr>
          <w:rStyle w:val="OperatorTok"/>
        </w:rPr>
        <w:t>=</w:t>
      </w:r>
      <w:r>
        <w:rPr>
          <w:rStyle w:val="NormalTok"/>
        </w:rPr>
        <w:t>bottom, color</w:t>
      </w:r>
      <w:r>
        <w:rPr>
          <w:rStyle w:val="OperatorTok"/>
        </w:rPr>
        <w:t>=</w:t>
      </w:r>
      <w:r>
        <w:rPr>
          <w:rStyle w:val="NormalTok"/>
        </w:rPr>
        <w:t>COLORS[use],</w:t>
      </w:r>
      <w:r>
        <w:br/>
      </w:r>
      <w:r>
        <w:rPr>
          <w:rStyle w:val="NormalTok"/>
        </w:rPr>
        <w:t xml:space="preserve">           edgecolor</w:t>
      </w:r>
      <w:r>
        <w:rPr>
          <w:rStyle w:val="OperatorTok"/>
        </w:rPr>
        <w:t>=</w:t>
      </w:r>
      <w:r>
        <w:rPr>
          <w:rStyle w:val="StringTok"/>
        </w:rPr>
        <w:t>"none"</w:t>
      </w:r>
      <w:r>
        <w:rPr>
          <w:rStyle w:val="NormalTok"/>
        </w:rPr>
        <w:t>, label</w:t>
      </w:r>
      <w:r>
        <w:rPr>
          <w:rStyle w:val="OperatorTok"/>
        </w:rPr>
        <w:t>=</w:t>
      </w:r>
      <w:r>
        <w:rPr>
          <w:rStyle w:val="NormalTok"/>
        </w:rPr>
        <w:t>use)</w:t>
      </w:r>
      <w:r>
        <w:br/>
      </w:r>
      <w:r>
        <w:rPr>
          <w:rStyle w:val="NormalTok"/>
        </w:rPr>
        <w:t xml:space="preserve">    bottom </w:t>
      </w:r>
      <w:r>
        <w:rPr>
          <w:rStyle w:val="OperatorTok"/>
        </w:rPr>
        <w:t>+=</w:t>
      </w:r>
      <w:r>
        <w:rPr>
          <w:rStyle w:val="NormalTok"/>
        </w:rPr>
        <w:t xml:space="preserve"> v</w:t>
      </w:r>
      <w:r>
        <w:br/>
      </w:r>
      <w:r>
        <w:rPr>
          <w:rStyle w:val="NormalTok"/>
        </w:rPr>
        <w:lastRenderedPageBreak/>
        <w:t>ax.</w:t>
      </w:r>
      <w:r>
        <w:rPr>
          <w:rStyle w:val="BuiltInTok"/>
        </w:rPr>
        <w:t>set</w:t>
      </w:r>
      <w:r>
        <w:rPr>
          <w:rStyle w:val="NormalTok"/>
        </w:rPr>
        <w:t>(xlim</w:t>
      </w:r>
      <w:r>
        <w:rPr>
          <w:rStyle w:val="OperatorTok"/>
        </w:rPr>
        <w:t>=</w:t>
      </w:r>
      <w:r>
        <w:rPr>
          <w:rStyle w:val="NormalTok"/>
        </w:rPr>
        <w:t>(</w:t>
      </w:r>
      <w:r>
        <w:rPr>
          <w:rStyle w:val="DecValTok"/>
        </w:rPr>
        <w:t>0</w:t>
      </w:r>
      <w:r>
        <w:rPr>
          <w:rStyle w:val="NormalTok"/>
        </w:rPr>
        <w:t>, PLOT_GFZ_MAX), ylim</w:t>
      </w:r>
      <w:r>
        <w:rPr>
          <w:rStyle w:val="OperatorTok"/>
        </w:rPr>
        <w:t>=</w:t>
      </w:r>
      <w:r>
        <w:rPr>
          <w:rStyle w:val="NormalTok"/>
        </w:rPr>
        <w:t>(</w:t>
      </w:r>
      <w:r>
        <w:rPr>
          <w:rStyle w:val="DecValTok"/>
        </w:rPr>
        <w:t>0</w:t>
      </w:r>
      <w:r>
        <w:rPr>
          <w:rStyle w:val="NormalTok"/>
        </w:rPr>
        <w:t xml:space="preserve">, </w:t>
      </w:r>
      <w:r>
        <w:rPr>
          <w:rStyle w:val="VariableTok"/>
        </w:rPr>
        <w:t>None</w:t>
      </w:r>
      <w:r>
        <w:rPr>
          <w:rStyle w:val="NormalTok"/>
        </w:rPr>
        <w:t>),</w:t>
      </w:r>
      <w:r>
        <w:br/>
      </w:r>
      <w:r>
        <w:rPr>
          <w:rStyle w:val="NormalTok"/>
        </w:rPr>
        <w:t xml:space="preserve">       xlabel</w:t>
      </w:r>
      <w:r>
        <w:rPr>
          <w:rStyle w:val="OperatorTok"/>
        </w:rPr>
        <w:t>=</w:t>
      </w:r>
      <w:r>
        <w:rPr>
          <w:rStyle w:val="StringTok"/>
        </w:rPr>
        <w:t>"Geschossflächenzahl (GFZ)"</w:t>
      </w:r>
      <w:r>
        <w:rPr>
          <w:rStyle w:val="NormalTok"/>
        </w:rPr>
        <w:t>, ylabel</w:t>
      </w:r>
      <w:r>
        <w:rPr>
          <w:rStyle w:val="OperatorTok"/>
        </w:rPr>
        <w:t>=</w:t>
      </w:r>
      <w:r>
        <w:rPr>
          <w:rStyle w:val="StringTok"/>
        </w:rPr>
        <w:t>"BGF [Mio. m² je 0,1 GFZ]"</w:t>
      </w:r>
      <w:r>
        <w:rPr>
          <w:rStyle w:val="NormalTok"/>
        </w:rPr>
        <w:t>)</w:t>
      </w:r>
      <w:r>
        <w:br/>
      </w:r>
      <w:r>
        <w:rPr>
          <w:rStyle w:val="NormalTok"/>
        </w:rPr>
        <w:t>ax.xaxis.set_major_locator(MultipleLocator(</w:t>
      </w:r>
      <w:r>
        <w:rPr>
          <w:rStyle w:val="FloatTok"/>
        </w:rPr>
        <w:t>1.0</w:t>
      </w:r>
      <w:r>
        <w:rPr>
          <w:rStyle w:val="NormalTok"/>
        </w:rPr>
        <w:t>))</w:t>
      </w:r>
      <w:r>
        <w:br/>
      </w:r>
      <w:r>
        <w:rPr>
          <w:rStyle w:val="NormalTok"/>
        </w:rPr>
        <w:t>ax.xaxis.set_minor_locator(MultipleLocator(GFZ_STEP))</w:t>
      </w:r>
      <w:r>
        <w:br/>
      </w:r>
      <w:r>
        <w:rPr>
          <w:rStyle w:val="NormalTok"/>
        </w:rPr>
        <w:t>ax.tick_params(axis</w:t>
      </w:r>
      <w:r>
        <w:rPr>
          <w:rStyle w:val="OperatorTok"/>
        </w:rPr>
        <w:t>=</w:t>
      </w:r>
      <w:r>
        <w:rPr>
          <w:rStyle w:val="StringTok"/>
        </w:rPr>
        <w:t>"x"</w:t>
      </w:r>
      <w:r>
        <w:rPr>
          <w:rStyle w:val="NormalTok"/>
        </w:rPr>
        <w:t>, which</w:t>
      </w:r>
      <w:r>
        <w:rPr>
          <w:rStyle w:val="OperatorTok"/>
        </w:rPr>
        <w:t>=</w:t>
      </w:r>
      <w:r>
        <w:rPr>
          <w:rStyle w:val="StringTok"/>
        </w:rPr>
        <w:t>"major"</w:t>
      </w:r>
      <w:r>
        <w:rPr>
          <w:rStyle w:val="NormalTok"/>
        </w:rPr>
        <w:t>, length</w:t>
      </w:r>
      <w:r>
        <w:rPr>
          <w:rStyle w:val="OperatorTok"/>
        </w:rPr>
        <w:t>=</w:t>
      </w:r>
      <w:r>
        <w:rPr>
          <w:rStyle w:val="DecValTok"/>
        </w:rPr>
        <w:t>6</w:t>
      </w:r>
      <w:r>
        <w:rPr>
          <w:rStyle w:val="NormalTok"/>
        </w:rPr>
        <w:t>)</w:t>
      </w:r>
      <w:r>
        <w:br/>
      </w:r>
      <w:r>
        <w:rPr>
          <w:rStyle w:val="NormalTok"/>
        </w:rPr>
        <w:t>ax.tick_params(axis</w:t>
      </w:r>
      <w:r>
        <w:rPr>
          <w:rStyle w:val="OperatorTok"/>
        </w:rPr>
        <w:t>=</w:t>
      </w:r>
      <w:r>
        <w:rPr>
          <w:rStyle w:val="StringTok"/>
        </w:rPr>
        <w:t>"x"</w:t>
      </w:r>
      <w:r>
        <w:rPr>
          <w:rStyle w:val="NormalTok"/>
        </w:rPr>
        <w:t>, which</w:t>
      </w:r>
      <w:r>
        <w:rPr>
          <w:rStyle w:val="OperatorTok"/>
        </w:rPr>
        <w:t>=</w:t>
      </w:r>
      <w:r>
        <w:rPr>
          <w:rStyle w:val="StringTok"/>
        </w:rPr>
        <w:t>"minor"</w:t>
      </w:r>
      <w:r>
        <w:rPr>
          <w:rStyle w:val="NormalTok"/>
        </w:rPr>
        <w:t>, length</w:t>
      </w:r>
      <w:r>
        <w:rPr>
          <w:rStyle w:val="OperatorTok"/>
        </w:rPr>
        <w:t>=</w:t>
      </w:r>
      <w:r>
        <w:rPr>
          <w:rStyle w:val="DecValTok"/>
        </w:rPr>
        <w:t>3</w:t>
      </w:r>
      <w:r>
        <w:rPr>
          <w:rStyle w:val="NormalTok"/>
        </w:rPr>
        <w:t>)</w:t>
      </w:r>
      <w:r>
        <w:br/>
      </w:r>
      <w:r>
        <w:rPr>
          <w:rStyle w:val="NormalTok"/>
        </w:rPr>
        <w:t>ax.set_axisbelow(</w:t>
      </w:r>
      <w:r>
        <w:rPr>
          <w:rStyle w:val="VariableTok"/>
        </w:rPr>
        <w:t>True</w:t>
      </w:r>
      <w:r>
        <w:rPr>
          <w:rStyle w:val="NormalTok"/>
        </w:rPr>
        <w:t>)</w:t>
      </w:r>
      <w:r>
        <w:br/>
      </w:r>
      <w:r>
        <w:rPr>
          <w:rStyle w:val="NormalTok"/>
        </w:rPr>
        <w:t>ax.grid(axis</w:t>
      </w:r>
      <w:r>
        <w:rPr>
          <w:rStyle w:val="OperatorTok"/>
        </w:rPr>
        <w:t>=</w:t>
      </w:r>
      <w:r>
        <w:rPr>
          <w:rStyle w:val="StringTok"/>
        </w:rPr>
        <w:t>"x"</w:t>
      </w:r>
      <w:r>
        <w:rPr>
          <w:rStyle w:val="NormalTok"/>
        </w:rPr>
        <w:t>, which</w:t>
      </w:r>
      <w:r>
        <w:rPr>
          <w:rStyle w:val="OperatorTok"/>
        </w:rPr>
        <w:t>=</w:t>
      </w:r>
      <w:r>
        <w:rPr>
          <w:rStyle w:val="StringTok"/>
        </w:rPr>
        <w:t>"major"</w:t>
      </w:r>
      <w:r>
        <w:rPr>
          <w:rStyle w:val="NormalTok"/>
        </w:rPr>
        <w:t>, alpha</w:t>
      </w:r>
      <w:r>
        <w:rPr>
          <w:rStyle w:val="OperatorTok"/>
        </w:rPr>
        <w:t>=</w:t>
      </w:r>
      <w:r>
        <w:rPr>
          <w:rStyle w:val="FloatTok"/>
        </w:rPr>
        <w:t>.22</w:t>
      </w:r>
      <w:r>
        <w:rPr>
          <w:rStyle w:val="NormalTok"/>
        </w:rPr>
        <w:t>)</w:t>
      </w:r>
      <w:r>
        <w:br/>
      </w:r>
      <w:r>
        <w:rPr>
          <w:rStyle w:val="NormalTok"/>
        </w:rPr>
        <w:t>ax.legend(title</w:t>
      </w:r>
      <w:r>
        <w:rPr>
          <w:rStyle w:val="OperatorTok"/>
        </w:rPr>
        <w:t>=</w:t>
      </w:r>
      <w:r>
        <w:rPr>
          <w:rStyle w:val="StringTok"/>
        </w:rPr>
        <w:t>"Hauptnutzung"</w:t>
      </w:r>
      <w:r>
        <w:rPr>
          <w:rStyle w:val="NormalTok"/>
        </w:rPr>
        <w:t>, loc</w:t>
      </w:r>
      <w:r>
        <w:rPr>
          <w:rStyle w:val="OperatorTok"/>
        </w:rPr>
        <w:t>=</w:t>
      </w:r>
      <w:r>
        <w:rPr>
          <w:rStyle w:val="StringTok"/>
        </w:rPr>
        <w:t>"upper right"</w:t>
      </w:r>
      <w:r>
        <w:rPr>
          <w:rStyle w:val="NormalTok"/>
        </w:rPr>
        <w:t>, fontsize</w:t>
      </w:r>
      <w:r>
        <w:rPr>
          <w:rStyle w:val="OperatorTok"/>
        </w:rPr>
        <w:t>=</w:t>
      </w:r>
      <w:r>
        <w:rPr>
          <w:rStyle w:val="DecValTok"/>
        </w:rPr>
        <w:t>8</w:t>
      </w:r>
      <w:r>
        <w:rPr>
          <w:rStyle w:val="NormalTok"/>
        </w:rPr>
        <w:t>, title_fontsize</w:t>
      </w:r>
      <w:r>
        <w:rPr>
          <w:rStyle w:val="OperatorTok"/>
        </w:rPr>
        <w:t>=</w:t>
      </w:r>
      <w:r>
        <w:rPr>
          <w:rStyle w:val="DecValTok"/>
        </w:rPr>
        <w:t>10</w:t>
      </w:r>
      <w:r>
        <w:rPr>
          <w:rStyle w:val="NormalTok"/>
        </w:rPr>
        <w:t>)</w:t>
      </w:r>
      <w:r>
        <w:br/>
      </w:r>
      <w:r>
        <w:rPr>
          <w:rStyle w:val="NormalTok"/>
        </w:rPr>
        <w:t xml:space="preserve">fig.savefig(OUT </w:t>
      </w:r>
      <w:r>
        <w:rPr>
          <w:rStyle w:val="OperatorTok"/>
        </w:rPr>
        <w:t>/</w:t>
      </w:r>
      <w:r>
        <w:rPr>
          <w:rStyle w:val="NormalTok"/>
        </w:rPr>
        <w:t xml:space="preserve"> </w:t>
      </w:r>
      <w:r>
        <w:rPr>
          <w:rStyle w:val="StringTok"/>
        </w:rPr>
        <w:t>"gfz_oesterreich_nutzung.png"</w:t>
      </w:r>
      <w:r>
        <w:rPr>
          <w:rStyle w:val="NormalTok"/>
        </w:rPr>
        <w:t>, dpi</w:t>
      </w:r>
      <w:r>
        <w:rPr>
          <w:rStyle w:val="OperatorTok"/>
        </w:rPr>
        <w:t>=</w:t>
      </w:r>
      <w:r>
        <w:rPr>
          <w:rStyle w:val="DecValTok"/>
        </w:rPr>
        <w:t>180</w:t>
      </w:r>
      <w:r>
        <w:rPr>
          <w:rStyle w:val="NormalTok"/>
        </w:rPr>
        <w:t>, bbox_inches</w:t>
      </w:r>
      <w:r>
        <w:rPr>
          <w:rStyle w:val="OperatorTok"/>
        </w:rPr>
        <w:t>=</w:t>
      </w:r>
      <w:r>
        <w:rPr>
          <w:rStyle w:val="StringTok"/>
        </w:rPr>
        <w:t>"tight"</w:t>
      </w:r>
      <w:r>
        <w:rPr>
          <w:rStyle w:val="NormalTok"/>
        </w:rPr>
        <w:t>)</w:t>
      </w:r>
      <w:r>
        <w:br/>
      </w:r>
      <w:r>
        <w:rPr>
          <w:rStyle w:val="NormalTok"/>
        </w:rPr>
        <w:t>plt.show()</w:t>
      </w:r>
      <w:r>
        <w:br/>
      </w:r>
      <w:r>
        <w:br/>
      </w:r>
      <w:r>
        <w:rPr>
          <w:rStyle w:val="NormalTok"/>
        </w:rPr>
        <w:t xml:space="preserve">share_beyond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wide.loc[wide.index </w:t>
      </w:r>
      <w:r>
        <w:rPr>
          <w:rStyle w:val="OperatorTok"/>
        </w:rPr>
        <w:t>&gt;</w:t>
      </w:r>
      <w:r>
        <w:rPr>
          <w:rStyle w:val="NormalTok"/>
        </w:rPr>
        <w:t xml:space="preserve"> PLOT_GFZ_MAX].to_numpy().</w:t>
      </w:r>
      <w:r>
        <w:rPr>
          <w:rStyle w:val="BuiltInTok"/>
        </w:rPr>
        <w:t>sum</w:t>
      </w:r>
      <w:r>
        <w:rPr>
          <w:rStyle w:val="NormalTok"/>
        </w:rPr>
        <w:t xml:space="preserve">() </w:t>
      </w:r>
      <w:r>
        <w:rPr>
          <w:rStyle w:val="OperatorTok"/>
        </w:rPr>
        <w:t>/</w:t>
      </w:r>
      <w:r>
        <w:rPr>
          <w:rStyle w:val="NormalTok"/>
        </w:rPr>
        <w:t xml:space="preserve"> wide.to_numpy().</w:t>
      </w:r>
      <w:r>
        <w:rPr>
          <w:rStyle w:val="BuiltInTok"/>
        </w:rPr>
        <w:t>sum</w:t>
      </w:r>
      <w:r>
        <w:rPr>
          <w:rStyle w:val="NormalTok"/>
        </w:rPr>
        <w:t>()</w:t>
      </w:r>
      <w:r>
        <w:br/>
      </w:r>
      <w:r>
        <w:rPr>
          <w:rStyle w:val="BuiltInTok"/>
        </w:rPr>
        <w:t>print</w:t>
      </w:r>
      <w:r>
        <w:rPr>
          <w:rStyle w:val="NormalTok"/>
        </w:rPr>
        <w:t>(</w:t>
      </w:r>
      <w:r>
        <w:rPr>
          <w:rStyle w:val="SpecialStringTok"/>
        </w:rPr>
        <w:t xml:space="preserve">f"Außerhalb des Darstellungsfensters GFZ &gt; </w:t>
      </w:r>
      <w:r>
        <w:rPr>
          <w:rStyle w:val="SpecialCharTok"/>
        </w:rPr>
        <w:t>{</w:t>
      </w:r>
      <w:r>
        <w:rPr>
          <w:rStyle w:val="NormalTok"/>
        </w:rPr>
        <w:t>PLOT_GFZ_MAX</w:t>
      </w:r>
      <w:r>
        <w:rPr>
          <w:rStyle w:val="SpecialCharTok"/>
        </w:rPr>
        <w:t>:g}</w:t>
      </w:r>
      <w:r>
        <w:rPr>
          <w:rStyle w:val="SpecialStringTok"/>
        </w:rPr>
        <w:t xml:space="preserve">: </w:t>
      </w:r>
      <w:r>
        <w:rPr>
          <w:rStyle w:val="SpecialCharTok"/>
        </w:rPr>
        <w:t>{</w:t>
      </w:r>
      <w:r>
        <w:rPr>
          <w:rStyle w:val="NormalTok"/>
        </w:rPr>
        <w:t>share_beyond</w:t>
      </w:r>
      <w:r>
        <w:rPr>
          <w:rStyle w:val="SpecialCharTok"/>
        </w:rPr>
        <w:t>:.3f}</w:t>
      </w:r>
      <w:r>
        <w:rPr>
          <w:rStyle w:val="SpecialStringTok"/>
        </w:rPr>
        <w:t xml:space="preserve"> % der AT-BGF; in Bilanz enthalten."</w:t>
      </w:r>
      <w:r>
        <w:rPr>
          <w:rStyle w:val="NormalTok"/>
        </w:rPr>
        <w:t>)</w:t>
      </w:r>
    </w:p>
    <w:tbl>
      <w:tblPr>
        <w:tblStyle w:val="Table"/>
        <w:tblW w:w="5000" w:type="pct"/>
        <w:tblLayout w:type="fixed"/>
        <w:tblLook w:val="0000" w:firstRow="0" w:lastRow="0" w:firstColumn="0" w:lastColumn="0" w:noHBand="0" w:noVBand="0"/>
      </w:tblPr>
      <w:tblGrid>
        <w:gridCol w:w="9622"/>
      </w:tblGrid>
      <w:tr w:rsidR="004E4CC2" w14:paraId="77CCB081" w14:textId="77777777">
        <w:tc>
          <w:tcPr>
            <w:tcW w:w="7920" w:type="dxa"/>
          </w:tcPr>
          <w:p w14:paraId="1A23CEDE" w14:textId="77777777" w:rsidR="004E4CC2" w:rsidRDefault="00000000">
            <w:pPr>
              <w:pStyle w:val="Compact"/>
              <w:jc w:val="center"/>
            </w:pPr>
            <w:bookmarkStart w:id="353" w:name="fig-gfz-oesterreich"/>
            <w:r>
              <w:rPr>
                <w:noProof/>
              </w:rPr>
              <w:drawing>
                <wp:inline distT="0" distB="0" distL="0" distR="0" wp14:anchorId="20A9D16E" wp14:editId="2DD43A7C">
                  <wp:extent cx="5334000" cy="2485582"/>
                  <wp:effectExtent l="0" t="0" r="0" b="0"/>
                  <wp:docPr id="371" name="Picture"/>
                  <wp:cNvGraphicFramePr/>
                  <a:graphic xmlns:a="http://schemas.openxmlformats.org/drawingml/2006/main">
                    <a:graphicData uri="http://schemas.openxmlformats.org/drawingml/2006/picture">
                      <pic:pic xmlns:pic="http://schemas.openxmlformats.org/drawingml/2006/picture">
                        <pic:nvPicPr>
                          <pic:cNvPr id="372" name="Picture" descr="Berechnungen\gfz_at/GFZ_AT_Analyse_Anhang_files/figure-docx/fig-gfz-oesterreich-output-1.png"/>
                          <pic:cNvPicPr>
                            <a:picLocks noChangeAspect="1" noChangeArrowheads="1"/>
                          </pic:cNvPicPr>
                        </pic:nvPicPr>
                        <pic:blipFill>
                          <a:blip r:embed="rId74"/>
                          <a:stretch>
                            <a:fillRect/>
                          </a:stretch>
                        </pic:blipFill>
                        <pic:spPr bwMode="auto">
                          <a:xfrm>
                            <a:off x="0" y="0"/>
                            <a:ext cx="5334000" cy="2485582"/>
                          </a:xfrm>
                          <a:prstGeom prst="rect">
                            <a:avLst/>
                          </a:prstGeom>
                          <a:noFill/>
                          <a:ln w="9525">
                            <a:noFill/>
                            <a:headEnd/>
                            <a:tailEnd/>
                          </a:ln>
                        </pic:spPr>
                      </pic:pic>
                    </a:graphicData>
                  </a:graphic>
                </wp:inline>
              </w:drawing>
            </w:r>
          </w:p>
          <w:p w14:paraId="6AC3E247" w14:textId="77777777" w:rsidR="004E4CC2" w:rsidRDefault="00000000">
            <w:pPr>
              <w:pStyle w:val="ImageCaption"/>
              <w:spacing w:before="200"/>
            </w:pPr>
            <w:r>
              <w:t>Abbildung D.7: Modellierte österreichische BGF-Verteilung 2021 nach Hauptnutzung (gestapelte 0,1-GFZ-Balken). Die Berechnung erfolgt bis GFZ 20; ein gegebenenfalls abgeschnittener Anteil ist im Text unter der Grafik ausgewiesen.</w:t>
            </w:r>
          </w:p>
        </w:tc>
        <w:bookmarkEnd w:id="353"/>
      </w:tr>
    </w:tbl>
    <w:p w14:paraId="029C4897" w14:textId="77777777" w:rsidR="004E4CC2" w:rsidRDefault="00000000">
      <w:pPr>
        <w:pStyle w:val="SourceCode"/>
      </w:pPr>
      <w:r>
        <w:rPr>
          <w:rStyle w:val="VerbatimChar"/>
        </w:rPr>
        <w:t>Außerhalb des Darstellungsfensters GFZ &gt; 8: 0.500 % der AT-BGF; in Bilanz enthalten.</w:t>
      </w:r>
    </w:p>
    <w:p w14:paraId="409988EB" w14:textId="77777777" w:rsidR="004E4CC2" w:rsidRDefault="00000000">
      <w:pPr>
        <w:pStyle w:val="berschrift3"/>
      </w:pPr>
      <w:bookmarkStart w:id="354" w:name="X2b90f9c4b6271ba8f3cd92fd0eab51f3606762f"/>
      <w:bookmarkStart w:id="355" w:name="_Toc243681356"/>
      <w:r>
        <w:t>C.8.1 Kerndichteprofile nach Geschossklasse und Hauptnutzung</w:t>
      </w:r>
      <w:bookmarkEnd w:id="355"/>
    </w:p>
    <w:p w14:paraId="5D2684D3" w14:textId="77777777" w:rsidR="004E4CC2" w:rsidRDefault="00000000">
      <w:pPr>
        <w:pStyle w:val="FirstParagraph"/>
      </w:pPr>
      <w:r>
        <w:t xml:space="preserve">Zur Überprüfung der angewendeten Dichteformen können die BGF-Anteile </w:t>
      </w:r>
      <w:r>
        <w:rPr>
          <w:i/>
          <w:iCs/>
        </w:rPr>
        <w:t>innerhalb</w:t>
      </w:r>
      <w:r>
        <w:t xml:space="preserve"> jeder Kombination aus Geschossklasse und Hauptnutzung wieder auf 1 normiert werden. Daraus entsteht eine Matrix von flächengewichteten Dichteprofilen. </w:t>
      </w:r>
      <w:r>
        <w:rPr>
          <w:b/>
          <w:bCs/>
        </w:rPr>
        <w:t>Diese Kurven sind anders normiert als die absoluten BGF-Balken</w:t>
      </w:r>
      <w:r>
        <w:t xml:space="preserve"> und dürfen nicht als Mio. m² interpretiert werden. Alle Geschossklassen, für die kein statistischer Flächenanteil vorliegt, bleiben leer.</w:t>
      </w:r>
    </w:p>
    <w:p w14:paraId="29C28140" w14:textId="77777777" w:rsidR="004E4CC2" w:rsidRDefault="00000000">
      <w:pPr>
        <w:pStyle w:val="Textkrper"/>
      </w:pPr>
      <w:r>
        <w:lastRenderedPageBreak/>
        <w:t xml:space="preserve">Die roten senkrechten Markierungen zeigen bei eindeutig benannten Geschossklassen nur den Zahlenwert der Geschosszahl als Orientierung an. Sie sind </w:t>
      </w:r>
      <w:r>
        <w:rPr>
          <w:b/>
          <w:bCs/>
        </w:rPr>
        <w:t>keine geprüften physikalischen GFZ-Obergrenzen</w:t>
      </w:r>
      <w:r>
        <w:t>. Bei „11+“ gibt es keine einzelne Obergrenze.</w:t>
      </w:r>
    </w:p>
    <w:p w14:paraId="25E52BA0" w14:textId="77777777" w:rsidR="004E4CC2" w:rsidRDefault="00000000">
      <w:pPr>
        <w:pStyle w:val="SourceCode"/>
      </w:pPr>
      <w:r>
        <w:rPr>
          <w:rStyle w:val="NormalTok"/>
        </w:rPr>
        <w:t xml:space="preserve">fig, axes </w:t>
      </w:r>
      <w:r>
        <w:rPr>
          <w:rStyle w:val="OperatorTok"/>
        </w:rPr>
        <w:t>=</w:t>
      </w:r>
      <w:r>
        <w:rPr>
          <w:rStyle w:val="NormalTok"/>
        </w:rPr>
        <w:t xml:space="preserve"> plt.subplots(</w:t>
      </w:r>
      <w:r>
        <w:rPr>
          <w:rStyle w:val="BuiltInTok"/>
        </w:rPr>
        <w:t>len</w:t>
      </w:r>
      <w:r>
        <w:rPr>
          <w:rStyle w:val="NormalTok"/>
        </w:rPr>
        <w:t xml:space="preserve">(STOREYS), </w:t>
      </w:r>
      <w:r>
        <w:rPr>
          <w:rStyle w:val="BuiltInTok"/>
        </w:rPr>
        <w:t>len</w:t>
      </w:r>
      <w:r>
        <w:rPr>
          <w:rStyle w:val="NormalTok"/>
        </w:rPr>
        <w:t>(PLOT_USE_ORDER),</w:t>
      </w:r>
      <w:r>
        <w:br/>
      </w:r>
      <w:r>
        <w:rPr>
          <w:rStyle w:val="NormalTok"/>
        </w:rPr>
        <w:t xml:space="preserve">                         figsize</w:t>
      </w:r>
      <w:r>
        <w:rPr>
          <w:rStyle w:val="OperatorTok"/>
        </w:rPr>
        <w:t>=</w:t>
      </w:r>
      <w:r>
        <w:rPr>
          <w:rStyle w:val="NormalTok"/>
        </w:rPr>
        <w:t>(</w:t>
      </w:r>
      <w:r>
        <w:rPr>
          <w:rStyle w:val="DecValTok"/>
        </w:rPr>
        <w:t>24</w:t>
      </w:r>
      <w:r>
        <w:rPr>
          <w:rStyle w:val="NormalTok"/>
        </w:rPr>
        <w:t xml:space="preserve">, </w:t>
      </w:r>
      <w:r>
        <w:rPr>
          <w:rStyle w:val="DecValTok"/>
        </w:rPr>
        <w:t>13</w:t>
      </w:r>
      <w:r>
        <w:rPr>
          <w:rStyle w:val="NormalTok"/>
        </w:rPr>
        <w:t>), sharex</w:t>
      </w:r>
      <w:r>
        <w:rPr>
          <w:rStyle w:val="OperatorTok"/>
        </w:rPr>
        <w:t>=</w:t>
      </w:r>
      <w:r>
        <w:rPr>
          <w:rStyle w:val="VariableTok"/>
        </w:rPr>
        <w:t>True</w:t>
      </w:r>
      <w:r>
        <w:rPr>
          <w:rStyle w:val="NormalTok"/>
        </w:rPr>
        <w:t>, sharey</w:t>
      </w:r>
      <w:r>
        <w:rPr>
          <w:rStyle w:val="OperatorTok"/>
        </w:rPr>
        <w:t>=</w:t>
      </w:r>
      <w:r>
        <w:rPr>
          <w:rStyle w:val="StringTok"/>
        </w:rPr>
        <w:t>"row"</w:t>
      </w:r>
      <w:r>
        <w:rPr>
          <w:rStyle w:val="NormalTok"/>
        </w:rPr>
        <w:t>, layout</w:t>
      </w:r>
      <w:r>
        <w:rPr>
          <w:rStyle w:val="OperatorTok"/>
        </w:rPr>
        <w:t>=</w:t>
      </w:r>
      <w:r>
        <w:rPr>
          <w:rStyle w:val="StringTok"/>
        </w:rPr>
        <w:t>"constrained"</w:t>
      </w:r>
      <w:r>
        <w:rPr>
          <w:rStyle w:val="NormalTok"/>
        </w:rPr>
        <w:t>)</w:t>
      </w:r>
      <w:r>
        <w:br/>
      </w:r>
      <w:r>
        <w:rPr>
          <w:rStyle w:val="ControlFlowTok"/>
        </w:rPr>
        <w:t>for</w:t>
      </w:r>
      <w:r>
        <w:rPr>
          <w:rStyle w:val="NormalTok"/>
        </w:rPr>
        <w:t xml:space="preserve"> i, gk </w:t>
      </w:r>
      <w:r>
        <w:rPr>
          <w:rStyle w:val="KeywordTok"/>
        </w:rPr>
        <w:t>in</w:t>
      </w:r>
      <w:r>
        <w:rPr>
          <w:rStyle w:val="NormalTok"/>
        </w:rPr>
        <w:t xml:space="preserve"> </w:t>
      </w:r>
      <w:r>
        <w:rPr>
          <w:rStyle w:val="BuiltInTok"/>
        </w:rPr>
        <w:t>enumerate</w:t>
      </w:r>
      <w:r>
        <w:rPr>
          <w:rStyle w:val="NormalTok"/>
        </w:rPr>
        <w:t>(STOREYS):</w:t>
      </w:r>
      <w:r>
        <w:br/>
      </w:r>
      <w:r>
        <w:rPr>
          <w:rStyle w:val="NormalTok"/>
        </w:rPr>
        <w:t xml:space="preserve">    </w:t>
      </w:r>
      <w:r>
        <w:rPr>
          <w:rStyle w:val="ControlFlowTok"/>
        </w:rPr>
        <w:t>for</w:t>
      </w:r>
      <w:r>
        <w:rPr>
          <w:rStyle w:val="NormalTok"/>
        </w:rPr>
        <w:t xml:space="preserve"> j, use </w:t>
      </w:r>
      <w:r>
        <w:rPr>
          <w:rStyle w:val="KeywordTok"/>
        </w:rPr>
        <w:t>in</w:t>
      </w:r>
      <w:r>
        <w:rPr>
          <w:rStyle w:val="NormalTok"/>
        </w:rPr>
        <w:t xml:space="preserve"> </w:t>
      </w:r>
      <w:r>
        <w:rPr>
          <w:rStyle w:val="BuiltInTok"/>
        </w:rPr>
        <w:t>enumerate</w:t>
      </w:r>
      <w:r>
        <w:rPr>
          <w:rStyle w:val="NormalTok"/>
        </w:rPr>
        <w:t>(PLOT_USE_ORDER):</w:t>
      </w:r>
      <w:r>
        <w:br/>
      </w:r>
      <w:r>
        <w:rPr>
          <w:rStyle w:val="NormalTok"/>
        </w:rPr>
        <w:t xml:space="preserve">        ax </w:t>
      </w:r>
      <w:r>
        <w:rPr>
          <w:rStyle w:val="OperatorTok"/>
        </w:rPr>
        <w:t>=</w:t>
      </w:r>
      <w:r>
        <w:rPr>
          <w:rStyle w:val="NormalTok"/>
        </w:rPr>
        <w:t xml:space="preserve"> axes[i, j]</w:t>
      </w:r>
      <w:r>
        <w:br/>
      </w:r>
      <w:r>
        <w:rPr>
          <w:rStyle w:val="NormalTok"/>
        </w:rPr>
        <w:t xml:space="preserve">        one </w:t>
      </w:r>
      <w:r>
        <w:rPr>
          <w:rStyle w:val="OperatorTok"/>
        </w:rPr>
        <w:t>=</w:t>
      </w:r>
      <w:r>
        <w:rPr>
          <w:rStyle w:val="NormalTok"/>
        </w:rPr>
        <w:t xml:space="preserve"> at_by_gk_use.loc[(at_by_gk_use.GK </w:t>
      </w:r>
      <w:r>
        <w:rPr>
          <w:rStyle w:val="OperatorTok"/>
        </w:rPr>
        <w:t>==</w:t>
      </w:r>
      <w:r>
        <w:rPr>
          <w:rStyle w:val="NormalTok"/>
        </w:rPr>
        <w:t xml:space="preserve"> gk) </w:t>
      </w:r>
      <w:r>
        <w:rPr>
          <w:rStyle w:val="OperatorTok"/>
        </w:rPr>
        <w:t>&amp;</w:t>
      </w:r>
      <w:r>
        <w:br/>
      </w:r>
      <w:r>
        <w:rPr>
          <w:rStyle w:val="NormalTok"/>
        </w:rPr>
        <w:t xml:space="preserve">                               (at_by_gk_use.GWR_Nutzung </w:t>
      </w:r>
      <w:r>
        <w:rPr>
          <w:rStyle w:val="OperatorTok"/>
        </w:rPr>
        <w:t>==</w:t>
      </w:r>
      <w:r>
        <w:rPr>
          <w:rStyle w:val="NormalTok"/>
        </w:rPr>
        <w:t xml:space="preserve"> use)].sort_values(</w:t>
      </w:r>
      <w:r>
        <w:rPr>
          <w:rStyle w:val="StringTok"/>
        </w:rPr>
        <w:t>"GFZ"</w:t>
      </w:r>
      <w:r>
        <w:rPr>
          <w:rStyle w:val="NormalTok"/>
        </w:rPr>
        <w:t>)</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one.empty </w:t>
      </w:r>
      <w:r>
        <w:rPr>
          <w:rStyle w:val="KeywordTok"/>
        </w:rPr>
        <w:t>and</w:t>
      </w:r>
      <w:r>
        <w:rPr>
          <w:rStyle w:val="NormalTok"/>
        </w:rPr>
        <w:t xml:space="preserve"> one.BGF_m2.</w:t>
      </w:r>
      <w:r>
        <w:rPr>
          <w:rStyle w:val="BuiltInTok"/>
        </w:rPr>
        <w:t>sum</w:t>
      </w:r>
      <w:r>
        <w:rPr>
          <w:rStyle w:val="NormalTok"/>
        </w:rPr>
        <w:t xml:space="preserve">() </w:t>
      </w:r>
      <w:r>
        <w:rPr>
          <w:rStyle w:val="OperatorTok"/>
        </w:rPr>
        <w:t>&gt;</w:t>
      </w:r>
      <w:r>
        <w:rPr>
          <w:rStyle w:val="NormalTok"/>
        </w:rPr>
        <w:t xml:space="preserve"> </w:t>
      </w:r>
      <w:r>
        <w:rPr>
          <w:rStyle w:val="DecValTok"/>
        </w:rPr>
        <w:t>0</w:t>
      </w:r>
      <w:r>
        <w:rPr>
          <w:rStyle w:val="NormalTok"/>
        </w:rPr>
        <w:t>:</w:t>
      </w:r>
      <w:r>
        <w:br/>
      </w:r>
      <w:r>
        <w:rPr>
          <w:rStyle w:val="NormalTok"/>
        </w:rPr>
        <w:t xml:space="preserve">            density </w:t>
      </w:r>
      <w:r>
        <w:rPr>
          <w:rStyle w:val="OperatorTok"/>
        </w:rPr>
        <w:t>=</w:t>
      </w:r>
      <w:r>
        <w:rPr>
          <w:rStyle w:val="NormalTok"/>
        </w:rPr>
        <w:t xml:space="preserve"> one.BGF_m2.to_numpy() </w:t>
      </w:r>
      <w:r>
        <w:rPr>
          <w:rStyle w:val="OperatorTok"/>
        </w:rPr>
        <w:t>/</w:t>
      </w:r>
      <w:r>
        <w:rPr>
          <w:rStyle w:val="NormalTok"/>
        </w:rPr>
        <w:t xml:space="preserve"> one.BGF_m2.</w:t>
      </w:r>
      <w:r>
        <w:rPr>
          <w:rStyle w:val="BuiltInTok"/>
        </w:rPr>
        <w:t>sum</w:t>
      </w:r>
      <w:r>
        <w:rPr>
          <w:rStyle w:val="NormalTok"/>
        </w:rPr>
        <w:t xml:space="preserve">() </w:t>
      </w:r>
      <w:r>
        <w:rPr>
          <w:rStyle w:val="OperatorTok"/>
        </w:rPr>
        <w:t>/</w:t>
      </w:r>
      <w:r>
        <w:rPr>
          <w:rStyle w:val="NormalTok"/>
        </w:rPr>
        <w:t xml:space="preserve"> GFZ_STEP</w:t>
      </w:r>
      <w:r>
        <w:br/>
      </w:r>
      <w:r>
        <w:rPr>
          <w:rStyle w:val="NormalTok"/>
        </w:rPr>
        <w:t xml:space="preserve">            ax.plot(one.GFZ, density, color</w:t>
      </w:r>
      <w:r>
        <w:rPr>
          <w:rStyle w:val="OperatorTok"/>
        </w:rPr>
        <w:t>=</w:t>
      </w:r>
      <w:r>
        <w:rPr>
          <w:rStyle w:val="NormalTok"/>
        </w:rPr>
        <w:t>COLORS[use], linewidth</w:t>
      </w:r>
      <w:r>
        <w:rPr>
          <w:rStyle w:val="OperatorTok"/>
        </w:rPr>
        <w:t>=</w:t>
      </w:r>
      <w:r>
        <w:rPr>
          <w:rStyle w:val="FloatTok"/>
        </w:rPr>
        <w:t>1.1</w:t>
      </w:r>
      <w:r>
        <w:rPr>
          <w:rStyle w:val="NormalTok"/>
        </w:rPr>
        <w:t>)</w:t>
      </w:r>
      <w:r>
        <w:br/>
      </w:r>
      <w:r>
        <w:rPr>
          <w:rStyle w:val="NormalTok"/>
        </w:rPr>
        <w:t xml:space="preserve">            ax.fill_between(one.GFZ, </w:t>
      </w:r>
      <w:r>
        <w:rPr>
          <w:rStyle w:val="DecValTok"/>
        </w:rPr>
        <w:t>0</w:t>
      </w:r>
      <w:r>
        <w:rPr>
          <w:rStyle w:val="NormalTok"/>
        </w:rPr>
        <w:t>, density, color</w:t>
      </w:r>
      <w:r>
        <w:rPr>
          <w:rStyle w:val="OperatorTok"/>
        </w:rPr>
        <w:t>=</w:t>
      </w:r>
      <w:r>
        <w:rPr>
          <w:rStyle w:val="NormalTok"/>
        </w:rPr>
        <w:t>COLORS[use], alpha</w:t>
      </w:r>
      <w:r>
        <w:rPr>
          <w:rStyle w:val="OperatorTok"/>
        </w:rPr>
        <w:t>=</w:t>
      </w:r>
      <w:r>
        <w:rPr>
          <w:rStyle w:val="FloatTok"/>
        </w:rPr>
        <w:t>.27</w:t>
      </w:r>
      <w:r>
        <w:rPr>
          <w:rStyle w:val="NormalTok"/>
        </w:rPr>
        <w:t>)</w:t>
      </w:r>
      <w:r>
        <w:br/>
      </w:r>
      <w:r>
        <w:rPr>
          <w:rStyle w:val="NormalTok"/>
        </w:rPr>
        <w:t xml:space="preserve">        marker </w:t>
      </w:r>
      <w:r>
        <w:rPr>
          <w:rStyle w:val="OperatorTok"/>
        </w:rPr>
        <w:t>=</w:t>
      </w:r>
      <w:r>
        <w:rPr>
          <w:rStyle w:val="NormalTok"/>
        </w:rPr>
        <w:t xml:space="preserve"> </w:t>
      </w:r>
      <w:r>
        <w:rPr>
          <w:rStyle w:val="DecValTok"/>
        </w:rPr>
        <w:t>10</w:t>
      </w:r>
      <w:r>
        <w:rPr>
          <w:rStyle w:val="NormalTok"/>
        </w:rPr>
        <w:t xml:space="preserve"> </w:t>
      </w:r>
      <w:r>
        <w:rPr>
          <w:rStyle w:val="ControlFlowTok"/>
        </w:rPr>
        <w:t>if</w:t>
      </w:r>
      <w:r>
        <w:rPr>
          <w:rStyle w:val="NormalTok"/>
        </w:rPr>
        <w:t xml:space="preserve"> gk </w:t>
      </w:r>
      <w:r>
        <w:rPr>
          <w:rStyle w:val="OperatorTok"/>
        </w:rPr>
        <w:t>==</w:t>
      </w:r>
      <w:r>
        <w:rPr>
          <w:rStyle w:val="NormalTok"/>
        </w:rPr>
        <w:t xml:space="preserve"> </w:t>
      </w:r>
      <w:r>
        <w:rPr>
          <w:rStyle w:val="StringTok"/>
        </w:rPr>
        <w:t>"6-10"</w:t>
      </w:r>
      <w:r>
        <w:rPr>
          <w:rStyle w:val="NormalTok"/>
        </w:rPr>
        <w:t xml:space="preserve"> </w:t>
      </w:r>
      <w:r>
        <w:rPr>
          <w:rStyle w:val="ControlFlowTok"/>
        </w:rPr>
        <w:t>else</w:t>
      </w:r>
      <w:r>
        <w:rPr>
          <w:rStyle w:val="NormalTok"/>
        </w:rPr>
        <w:t xml:space="preserve"> (</w:t>
      </w:r>
      <w:r>
        <w:rPr>
          <w:rStyle w:val="BuiltInTok"/>
        </w:rPr>
        <w:t>int</w:t>
      </w:r>
      <w:r>
        <w:rPr>
          <w:rStyle w:val="NormalTok"/>
        </w:rPr>
        <w:t xml:space="preserve">(gk) </w:t>
      </w:r>
      <w:r>
        <w:rPr>
          <w:rStyle w:val="ControlFlowTok"/>
        </w:rPr>
        <w:t>if</w:t>
      </w:r>
      <w:r>
        <w:rPr>
          <w:rStyle w:val="NormalTok"/>
        </w:rPr>
        <w:t xml:space="preserve"> gk.isdigit() </w:t>
      </w:r>
      <w:r>
        <w:rPr>
          <w:rStyle w:val="ControlFlowTok"/>
        </w:rPr>
        <w:t>else</w:t>
      </w:r>
      <w:r>
        <w:rPr>
          <w:rStyle w:val="NormalTok"/>
        </w:rPr>
        <w:t xml:space="preserve"> </w:t>
      </w:r>
      <w:r>
        <w:rPr>
          <w:rStyle w:val="VariableTok"/>
        </w:rPr>
        <w:t>None</w:t>
      </w:r>
      <w:r>
        <w:rPr>
          <w:rStyle w:val="NormalTok"/>
        </w:rPr>
        <w:t>)</w:t>
      </w:r>
      <w:r>
        <w:br/>
      </w:r>
      <w:r>
        <w:rPr>
          <w:rStyle w:val="NormalTok"/>
        </w:rPr>
        <w:t xml:space="preserve">        </w:t>
      </w:r>
      <w:r>
        <w:rPr>
          <w:rStyle w:val="ControlFlowTok"/>
        </w:rPr>
        <w:t>if</w:t>
      </w:r>
      <w:r>
        <w:rPr>
          <w:rStyle w:val="NormalTok"/>
        </w:rPr>
        <w:t xml:space="preserve"> marker </w:t>
      </w:r>
      <w:r>
        <w:rPr>
          <w:rStyle w:val="KeywordTok"/>
        </w:rPr>
        <w:t>is</w:t>
      </w:r>
      <w:r>
        <w:rPr>
          <w:rStyle w:val="NormalTok"/>
        </w:rPr>
        <w:t xml:space="preserve"> </w:t>
      </w:r>
      <w:r>
        <w:rPr>
          <w:rStyle w:val="KeywordTok"/>
        </w:rPr>
        <w:t>not</w:t>
      </w:r>
      <w:r>
        <w:rPr>
          <w:rStyle w:val="NormalTok"/>
        </w:rPr>
        <w:t xml:space="preserve"> </w:t>
      </w:r>
      <w:r>
        <w:rPr>
          <w:rStyle w:val="VariableTok"/>
        </w:rPr>
        <w:t>None</w:t>
      </w:r>
      <w:r>
        <w:rPr>
          <w:rStyle w:val="NormalTok"/>
        </w:rPr>
        <w:t>:</w:t>
      </w:r>
      <w:r>
        <w:br/>
      </w:r>
      <w:r>
        <w:rPr>
          <w:rStyle w:val="NormalTok"/>
        </w:rPr>
        <w:t xml:space="preserve">            ax.axvline(marker, color</w:t>
      </w:r>
      <w:r>
        <w:rPr>
          <w:rStyle w:val="OperatorTok"/>
        </w:rPr>
        <w:t>=</w:t>
      </w:r>
      <w:r>
        <w:rPr>
          <w:rStyle w:val="StringTok"/>
        </w:rPr>
        <w:t>"red"</w:t>
      </w:r>
      <w:r>
        <w:rPr>
          <w:rStyle w:val="NormalTok"/>
        </w:rPr>
        <w:t>, linewidth</w:t>
      </w:r>
      <w:r>
        <w:rPr>
          <w:rStyle w:val="OperatorTok"/>
        </w:rPr>
        <w:t>=</w:t>
      </w:r>
      <w:r>
        <w:rPr>
          <w:rStyle w:val="FloatTok"/>
        </w:rPr>
        <w:t>.9</w:t>
      </w:r>
      <w:r>
        <w:rPr>
          <w:rStyle w:val="NormalTok"/>
        </w:rPr>
        <w:t>, alpha</w:t>
      </w:r>
      <w:r>
        <w:rPr>
          <w:rStyle w:val="OperatorTok"/>
        </w:rPr>
        <w:t>=</w:t>
      </w:r>
      <w:r>
        <w:rPr>
          <w:rStyle w:val="FloatTok"/>
        </w:rPr>
        <w:t>.7</w:t>
      </w:r>
      <w:r>
        <w:rPr>
          <w:rStyle w:val="NormalTok"/>
        </w:rPr>
        <w:t>)</w:t>
      </w:r>
      <w:r>
        <w:br/>
      </w:r>
      <w:r>
        <w:rPr>
          <w:rStyle w:val="NormalTok"/>
        </w:rPr>
        <w:t xml:space="preserve">        ax.set_xlim(</w:t>
      </w:r>
      <w:r>
        <w:rPr>
          <w:rStyle w:val="DecValTok"/>
        </w:rPr>
        <w:t>0</w:t>
      </w:r>
      <w:r>
        <w:rPr>
          <w:rStyle w:val="NormalTok"/>
        </w:rPr>
        <w:t xml:space="preserve">, </w:t>
      </w:r>
      <w:r>
        <w:rPr>
          <w:rStyle w:val="DecValTok"/>
        </w:rPr>
        <w:t>10</w:t>
      </w:r>
      <w:r>
        <w:rPr>
          <w:rStyle w:val="NormalTok"/>
        </w:rPr>
        <w:t>)</w:t>
      </w:r>
      <w:r>
        <w:br/>
      </w:r>
      <w:r>
        <w:rPr>
          <w:rStyle w:val="NormalTok"/>
        </w:rPr>
        <w:t xml:space="preserve">        ax.set_ylim(bottom</w:t>
      </w:r>
      <w:r>
        <w:rPr>
          <w:rStyle w:val="OperatorTok"/>
        </w:rPr>
        <w:t>=</w:t>
      </w:r>
      <w:r>
        <w:rPr>
          <w:rStyle w:val="DecValTok"/>
        </w:rPr>
        <w:t>0</w:t>
      </w:r>
      <w:r>
        <w:rPr>
          <w:rStyle w:val="NormalTok"/>
        </w:rPr>
        <w:t>)</w:t>
      </w:r>
      <w:r>
        <w:br/>
      </w:r>
      <w:r>
        <w:rPr>
          <w:rStyle w:val="NormalTok"/>
        </w:rPr>
        <w:t xml:space="preserve">        ax.xaxis.set_major_locator(MultipleLocator(</w:t>
      </w:r>
      <w:r>
        <w:rPr>
          <w:rStyle w:val="DecValTok"/>
        </w:rPr>
        <w:t>2</w:t>
      </w:r>
      <w:r>
        <w:rPr>
          <w:rStyle w:val="NormalTok"/>
        </w:rPr>
        <w:t>))</w:t>
      </w:r>
      <w:r>
        <w:br/>
      </w:r>
      <w:r>
        <w:rPr>
          <w:rStyle w:val="NormalTok"/>
        </w:rPr>
        <w:t xml:space="preserve">        ax.xaxis.set_minor_locator(MultipleLocator(</w:t>
      </w:r>
      <w:r>
        <w:rPr>
          <w:rStyle w:val="FloatTok"/>
        </w:rPr>
        <w:t>.5</w:t>
      </w:r>
      <w:r>
        <w:rPr>
          <w:rStyle w:val="NormalTok"/>
        </w:rPr>
        <w:t>))</w:t>
      </w:r>
      <w:r>
        <w:br/>
      </w:r>
      <w:r>
        <w:rPr>
          <w:rStyle w:val="NormalTok"/>
        </w:rPr>
        <w:t xml:space="preserve">        ax.grid(axis</w:t>
      </w:r>
      <w:r>
        <w:rPr>
          <w:rStyle w:val="OperatorTok"/>
        </w:rPr>
        <w:t>=</w:t>
      </w:r>
      <w:r>
        <w:rPr>
          <w:rStyle w:val="StringTok"/>
        </w:rPr>
        <w:t>"x"</w:t>
      </w:r>
      <w:r>
        <w:rPr>
          <w:rStyle w:val="NormalTok"/>
        </w:rPr>
        <w:t>, which</w:t>
      </w:r>
      <w:r>
        <w:rPr>
          <w:rStyle w:val="OperatorTok"/>
        </w:rPr>
        <w:t>=</w:t>
      </w:r>
      <w:r>
        <w:rPr>
          <w:rStyle w:val="StringTok"/>
        </w:rPr>
        <w:t>"major"</w:t>
      </w:r>
      <w:r>
        <w:rPr>
          <w:rStyle w:val="NormalTok"/>
        </w:rPr>
        <w:t>, alpha</w:t>
      </w:r>
      <w:r>
        <w:rPr>
          <w:rStyle w:val="OperatorTok"/>
        </w:rPr>
        <w:t>=</w:t>
      </w:r>
      <w:r>
        <w:rPr>
          <w:rStyle w:val="FloatTok"/>
        </w:rPr>
        <w:t>.16</w:t>
      </w:r>
      <w:r>
        <w:rPr>
          <w:rStyle w:val="NormalTok"/>
        </w:rPr>
        <w:t>)</w:t>
      </w:r>
      <w:r>
        <w:br/>
      </w:r>
      <w:r>
        <w:rPr>
          <w:rStyle w:val="NormalTok"/>
        </w:rPr>
        <w:t xml:space="preserve">        ax.grid(axis</w:t>
      </w:r>
      <w:r>
        <w:rPr>
          <w:rStyle w:val="OperatorTok"/>
        </w:rPr>
        <w:t>=</w:t>
      </w:r>
      <w:r>
        <w:rPr>
          <w:rStyle w:val="StringTok"/>
        </w:rPr>
        <w:t>"x"</w:t>
      </w:r>
      <w:r>
        <w:rPr>
          <w:rStyle w:val="NormalTok"/>
        </w:rPr>
        <w:t>, which</w:t>
      </w:r>
      <w:r>
        <w:rPr>
          <w:rStyle w:val="OperatorTok"/>
        </w:rPr>
        <w:t>=</w:t>
      </w:r>
      <w:r>
        <w:rPr>
          <w:rStyle w:val="StringTok"/>
        </w:rPr>
        <w:t>"minor"</w:t>
      </w:r>
      <w:r>
        <w:rPr>
          <w:rStyle w:val="NormalTok"/>
        </w:rPr>
        <w:t>, alpha</w:t>
      </w:r>
      <w:r>
        <w:rPr>
          <w:rStyle w:val="OperatorTok"/>
        </w:rPr>
        <w:t>=</w:t>
      </w:r>
      <w:r>
        <w:rPr>
          <w:rStyle w:val="FloatTok"/>
        </w:rPr>
        <w:t>.07</w:t>
      </w:r>
      <w:r>
        <w:rPr>
          <w:rStyle w:val="NormalTok"/>
        </w:rPr>
        <w:t>)</w:t>
      </w:r>
      <w:r>
        <w:br/>
      </w:r>
      <w:r>
        <w:rPr>
          <w:rStyle w:val="NormalTok"/>
        </w:rPr>
        <w:t xml:space="preserve">        ax.set_axisbelow(</w:t>
      </w:r>
      <w:r>
        <w:rPr>
          <w:rStyle w:val="VariableTok"/>
        </w:rPr>
        <w:t>True</w:t>
      </w:r>
      <w:r>
        <w:rPr>
          <w:rStyle w:val="NormalTok"/>
        </w:rPr>
        <w:t>)</w:t>
      </w:r>
      <w:r>
        <w:br/>
      </w:r>
      <w:r>
        <w:rPr>
          <w:rStyle w:val="NormalTok"/>
        </w:rPr>
        <w:t xml:space="preserve">        ax.tick_params(axis</w:t>
      </w:r>
      <w:r>
        <w:rPr>
          <w:rStyle w:val="OperatorTok"/>
        </w:rPr>
        <w:t>=</w:t>
      </w:r>
      <w:r>
        <w:rPr>
          <w:rStyle w:val="StringTok"/>
        </w:rPr>
        <w:t>"both"</w:t>
      </w:r>
      <w:r>
        <w:rPr>
          <w:rStyle w:val="NormalTok"/>
        </w:rPr>
        <w:t>, labelsize</w:t>
      </w:r>
      <w:r>
        <w:rPr>
          <w:rStyle w:val="OperatorTok"/>
        </w:rPr>
        <w:t>=</w:t>
      </w:r>
      <w:r>
        <w:rPr>
          <w:rStyle w:val="DecValTok"/>
        </w:rPr>
        <w:t>7</w:t>
      </w:r>
      <w:r>
        <w:rPr>
          <w:rStyle w:val="NormalTok"/>
        </w:rPr>
        <w:t>)</w:t>
      </w:r>
      <w:r>
        <w:br/>
      </w:r>
      <w:r>
        <w:rPr>
          <w:rStyle w:val="NormalTok"/>
        </w:rPr>
        <w:t xml:space="preserve">        </w:t>
      </w:r>
      <w:r>
        <w:rPr>
          <w:rStyle w:val="ControlFlowTok"/>
        </w:rPr>
        <w:t>if</w:t>
      </w:r>
      <w:r>
        <w:rPr>
          <w:rStyle w:val="NormalTok"/>
        </w:rPr>
        <w:t xml:space="preserve"> i </w:t>
      </w:r>
      <w:r>
        <w:rPr>
          <w:rStyle w:val="OperatorTok"/>
        </w:rPr>
        <w:t>==</w:t>
      </w:r>
      <w:r>
        <w:rPr>
          <w:rStyle w:val="NormalTok"/>
        </w:rPr>
        <w:t xml:space="preserve"> </w:t>
      </w:r>
      <w:r>
        <w:rPr>
          <w:rStyle w:val="DecValTok"/>
        </w:rPr>
        <w:t>0</w:t>
      </w:r>
      <w:r>
        <w:rPr>
          <w:rStyle w:val="NormalTok"/>
        </w:rPr>
        <w:t>:</w:t>
      </w:r>
      <w:r>
        <w:br/>
      </w:r>
      <w:r>
        <w:rPr>
          <w:rStyle w:val="NormalTok"/>
        </w:rPr>
        <w:t xml:space="preserve">            ax.set_title(textwrap.fill(use, </w:t>
      </w:r>
      <w:r>
        <w:rPr>
          <w:rStyle w:val="DecValTok"/>
        </w:rPr>
        <w:t>17</w:t>
      </w:r>
      <w:r>
        <w:rPr>
          <w:rStyle w:val="NormalTok"/>
        </w:rPr>
        <w:t>), fontsize</w:t>
      </w:r>
      <w:r>
        <w:rPr>
          <w:rStyle w:val="OperatorTok"/>
        </w:rPr>
        <w:t>=</w:t>
      </w:r>
      <w:r>
        <w:rPr>
          <w:rStyle w:val="DecValTok"/>
        </w:rPr>
        <w:t>9</w:t>
      </w:r>
      <w:r>
        <w:rPr>
          <w:rStyle w:val="NormalTok"/>
        </w:rPr>
        <w:t>)</w:t>
      </w:r>
      <w:r>
        <w:br/>
      </w:r>
      <w:r>
        <w:rPr>
          <w:rStyle w:val="NormalTok"/>
        </w:rPr>
        <w:t xml:space="preserve">        </w:t>
      </w:r>
      <w:r>
        <w:rPr>
          <w:rStyle w:val="ControlFlowTok"/>
        </w:rPr>
        <w:t>if</w:t>
      </w:r>
      <w:r>
        <w:rPr>
          <w:rStyle w:val="NormalTok"/>
        </w:rPr>
        <w:t xml:space="preserve"> j </w:t>
      </w:r>
      <w:r>
        <w:rPr>
          <w:rStyle w:val="OperatorTok"/>
        </w:rPr>
        <w:t>==</w:t>
      </w:r>
      <w:r>
        <w:rPr>
          <w:rStyle w:val="NormalTok"/>
        </w:rPr>
        <w:t xml:space="preserve"> </w:t>
      </w:r>
      <w:r>
        <w:rPr>
          <w:rStyle w:val="DecValTok"/>
        </w:rPr>
        <w:t>0</w:t>
      </w:r>
      <w:r>
        <w:rPr>
          <w:rStyle w:val="NormalTok"/>
        </w:rPr>
        <w:t>:</w:t>
      </w:r>
      <w:r>
        <w:br/>
      </w:r>
      <w:r>
        <w:rPr>
          <w:rStyle w:val="NormalTok"/>
        </w:rPr>
        <w:t xml:space="preserve">            ax.set_ylabel((</w:t>
      </w:r>
      <w:r>
        <w:rPr>
          <w:rStyle w:val="SpecialStringTok"/>
        </w:rPr>
        <w:t>f"</w:t>
      </w:r>
      <w:r>
        <w:rPr>
          <w:rStyle w:val="SpecialCharTok"/>
        </w:rPr>
        <w:t>{</w:t>
      </w:r>
      <w:r>
        <w:rPr>
          <w:rStyle w:val="NormalTok"/>
        </w:rPr>
        <w:t>gk</w:t>
      </w:r>
      <w:r>
        <w:rPr>
          <w:rStyle w:val="SpecialCharTok"/>
        </w:rPr>
        <w:t>}</w:t>
      </w:r>
      <w:r>
        <w:rPr>
          <w:rStyle w:val="SpecialStringTok"/>
        </w:rPr>
        <w:t xml:space="preserve"> Geschoss(e)"</w:t>
      </w:r>
      <w:r>
        <w:rPr>
          <w:rStyle w:val="NormalTok"/>
        </w:rPr>
        <w:t xml:space="preserve"> </w:t>
      </w:r>
      <w:r>
        <w:rPr>
          <w:rStyle w:val="ControlFlowTok"/>
        </w:rPr>
        <w:t>if</w:t>
      </w:r>
      <w:r>
        <w:rPr>
          <w:rStyle w:val="NormalTok"/>
        </w:rPr>
        <w:t xml:space="preserve"> gk </w:t>
      </w:r>
      <w:r>
        <w:rPr>
          <w:rStyle w:val="OperatorTok"/>
        </w:rPr>
        <w:t>!=</w:t>
      </w:r>
      <w:r>
        <w:rPr>
          <w:rStyle w:val="NormalTok"/>
        </w:rPr>
        <w:t xml:space="preserve"> </w:t>
      </w:r>
      <w:r>
        <w:rPr>
          <w:rStyle w:val="StringTok"/>
        </w:rPr>
        <w:t>"1"</w:t>
      </w:r>
      <w:r>
        <w:rPr>
          <w:rStyle w:val="NormalTok"/>
        </w:rPr>
        <w:t xml:space="preserve"> </w:t>
      </w:r>
      <w:r>
        <w:rPr>
          <w:rStyle w:val="ControlFlowTok"/>
        </w:rPr>
        <w:t>else</w:t>
      </w:r>
      <w:r>
        <w:rPr>
          <w:rStyle w:val="NormalTok"/>
        </w:rPr>
        <w:t xml:space="preserve"> </w:t>
      </w:r>
      <w:r>
        <w:rPr>
          <w:rStyle w:val="StringTok"/>
        </w:rPr>
        <w:t>"1 Geschoss"</w:t>
      </w:r>
      <w:r>
        <w:rPr>
          <w:rStyle w:val="NormalTok"/>
        </w:rPr>
        <w:t>)</w:t>
      </w:r>
      <w:r>
        <w:br/>
      </w:r>
      <w:r>
        <w:rPr>
          <w:rStyle w:val="NormalTok"/>
        </w:rPr>
        <w:t xml:space="preserve">                          </w:t>
      </w:r>
      <w:r>
        <w:rPr>
          <w:rStyle w:val="OperatorTok"/>
        </w:rPr>
        <w:t>+</w:t>
      </w:r>
      <w:r>
        <w:rPr>
          <w:rStyle w:val="NormalTok"/>
        </w:rPr>
        <w:t xml:space="preserve"> </w:t>
      </w:r>
      <w:r>
        <w:rPr>
          <w:rStyle w:val="StringTok"/>
        </w:rPr>
        <w:t>"</w:t>
      </w:r>
      <w:r>
        <w:rPr>
          <w:rStyle w:val="CharTok"/>
        </w:rPr>
        <w:t>\n</w:t>
      </w:r>
      <w:r>
        <w:rPr>
          <w:rStyle w:val="StringTok"/>
        </w:rPr>
        <w:t>Dichte [1/GFZ]"</w:t>
      </w:r>
      <w:r>
        <w:rPr>
          <w:rStyle w:val="NormalTok"/>
        </w:rPr>
        <w:t>, fontsize</w:t>
      </w:r>
      <w:r>
        <w:rPr>
          <w:rStyle w:val="OperatorTok"/>
        </w:rPr>
        <w:t>=</w:t>
      </w:r>
      <w:r>
        <w:rPr>
          <w:rStyle w:val="DecValTok"/>
        </w:rPr>
        <w:t>8</w:t>
      </w:r>
      <w:r>
        <w:rPr>
          <w:rStyle w:val="NormalTok"/>
        </w:rPr>
        <w:t>)</w:t>
      </w:r>
      <w:r>
        <w:br/>
      </w:r>
      <w:r>
        <w:rPr>
          <w:rStyle w:val="NormalTok"/>
        </w:rPr>
        <w:t xml:space="preserve">        </w:t>
      </w:r>
      <w:r>
        <w:rPr>
          <w:rStyle w:val="ControlFlowTok"/>
        </w:rPr>
        <w:t>if</w:t>
      </w:r>
      <w:r>
        <w:rPr>
          <w:rStyle w:val="NormalTok"/>
        </w:rPr>
        <w:t xml:space="preserve"> i </w:t>
      </w:r>
      <w:r>
        <w:rPr>
          <w:rStyle w:val="OperatorTok"/>
        </w:rPr>
        <w:t>==</w:t>
      </w:r>
      <w:r>
        <w:rPr>
          <w:rStyle w:val="NormalTok"/>
        </w:rPr>
        <w:t xml:space="preserve"> </w:t>
      </w:r>
      <w:r>
        <w:rPr>
          <w:rStyle w:val="BuiltInTok"/>
        </w:rPr>
        <w:t>len</w:t>
      </w:r>
      <w:r>
        <w:rPr>
          <w:rStyle w:val="NormalTok"/>
        </w:rPr>
        <w:t xml:space="preserve">(STOREYS) </w:t>
      </w:r>
      <w:r>
        <w:rPr>
          <w:rStyle w:val="OperatorTok"/>
        </w:rPr>
        <w:t>-</w:t>
      </w:r>
      <w:r>
        <w:rPr>
          <w:rStyle w:val="NormalTok"/>
        </w:rPr>
        <w:t xml:space="preserve"> </w:t>
      </w:r>
      <w:r>
        <w:rPr>
          <w:rStyle w:val="DecValTok"/>
        </w:rPr>
        <w:t>1</w:t>
      </w:r>
      <w:r>
        <w:rPr>
          <w:rStyle w:val="NormalTok"/>
        </w:rPr>
        <w:t>:</w:t>
      </w:r>
      <w:r>
        <w:br/>
      </w:r>
      <w:r>
        <w:rPr>
          <w:rStyle w:val="NormalTok"/>
        </w:rPr>
        <w:t xml:space="preserve">            ax.set_xlabel(</w:t>
      </w:r>
      <w:r>
        <w:rPr>
          <w:rStyle w:val="StringTok"/>
        </w:rPr>
        <w:t>"GFZ"</w:t>
      </w:r>
      <w:r>
        <w:rPr>
          <w:rStyle w:val="NormalTok"/>
        </w:rPr>
        <w:t>, fontsize</w:t>
      </w:r>
      <w:r>
        <w:rPr>
          <w:rStyle w:val="OperatorTok"/>
        </w:rPr>
        <w:t>=</w:t>
      </w:r>
      <w:r>
        <w:rPr>
          <w:rStyle w:val="DecValTok"/>
        </w:rPr>
        <w:t>8</w:t>
      </w:r>
      <w:r>
        <w:rPr>
          <w:rStyle w:val="NormalTok"/>
        </w:rPr>
        <w:t>)</w:t>
      </w:r>
      <w:r>
        <w:br/>
      </w:r>
      <w:r>
        <w:rPr>
          <w:rStyle w:val="NormalTok"/>
        </w:rPr>
        <w:t xml:space="preserve">fig.savefig(OUT </w:t>
      </w:r>
      <w:r>
        <w:rPr>
          <w:rStyle w:val="OperatorTok"/>
        </w:rPr>
        <w:t>/</w:t>
      </w:r>
      <w:r>
        <w:rPr>
          <w:rStyle w:val="NormalTok"/>
        </w:rPr>
        <w:t xml:space="preserve"> </w:t>
      </w:r>
      <w:r>
        <w:rPr>
          <w:rStyle w:val="StringTok"/>
        </w:rPr>
        <w:t>"gfz_at_kde_matrix.png"</w:t>
      </w:r>
      <w:r>
        <w:rPr>
          <w:rStyle w:val="NormalTok"/>
        </w:rPr>
        <w:t>, dpi</w:t>
      </w:r>
      <w:r>
        <w:rPr>
          <w:rStyle w:val="OperatorTok"/>
        </w:rPr>
        <w:t>=</w:t>
      </w:r>
      <w:r>
        <w:rPr>
          <w:rStyle w:val="DecValTok"/>
        </w:rPr>
        <w:t>160</w:t>
      </w:r>
      <w:r>
        <w:rPr>
          <w:rStyle w:val="NormalTok"/>
        </w:rPr>
        <w:t>, bbox_inches</w:t>
      </w:r>
      <w:r>
        <w:rPr>
          <w:rStyle w:val="OperatorTok"/>
        </w:rPr>
        <w:t>=</w:t>
      </w:r>
      <w:r>
        <w:rPr>
          <w:rStyle w:val="StringTok"/>
        </w:rPr>
        <w:t>"tight"</w:t>
      </w:r>
      <w:r>
        <w:rPr>
          <w:rStyle w:val="NormalTok"/>
        </w:rPr>
        <w:t>)</w:t>
      </w:r>
      <w:r>
        <w:br/>
      </w:r>
      <w:r>
        <w:rPr>
          <w:rStyle w:val="NormalTok"/>
        </w:rPr>
        <w:t>plt.show()</w:t>
      </w:r>
    </w:p>
    <w:tbl>
      <w:tblPr>
        <w:tblStyle w:val="Table"/>
        <w:tblW w:w="5000" w:type="pct"/>
        <w:tblLayout w:type="fixed"/>
        <w:tblLook w:val="0000" w:firstRow="0" w:lastRow="0" w:firstColumn="0" w:lastColumn="0" w:noHBand="0" w:noVBand="0"/>
      </w:tblPr>
      <w:tblGrid>
        <w:gridCol w:w="9622"/>
      </w:tblGrid>
      <w:tr w:rsidR="004E4CC2" w14:paraId="3C7E9CC7" w14:textId="77777777">
        <w:tc>
          <w:tcPr>
            <w:tcW w:w="7920" w:type="dxa"/>
          </w:tcPr>
          <w:p w14:paraId="63C75584" w14:textId="77777777" w:rsidR="004E4CC2" w:rsidRDefault="00000000">
            <w:pPr>
              <w:pStyle w:val="Compact"/>
              <w:jc w:val="center"/>
            </w:pPr>
            <w:bookmarkStart w:id="356" w:name="fig-gfz-kde-matrix"/>
            <w:r>
              <w:rPr>
                <w:noProof/>
              </w:rPr>
              <w:lastRenderedPageBreak/>
              <w:drawing>
                <wp:inline distT="0" distB="0" distL="0" distR="0" wp14:anchorId="41D47280" wp14:editId="0E396EF8">
                  <wp:extent cx="5334000" cy="2900235"/>
                  <wp:effectExtent l="0" t="0" r="0" b="0"/>
                  <wp:docPr id="375" name="Picture"/>
                  <wp:cNvGraphicFramePr/>
                  <a:graphic xmlns:a="http://schemas.openxmlformats.org/drawingml/2006/main">
                    <a:graphicData uri="http://schemas.openxmlformats.org/drawingml/2006/picture">
                      <pic:pic xmlns:pic="http://schemas.openxmlformats.org/drawingml/2006/picture">
                        <pic:nvPicPr>
                          <pic:cNvPr id="376" name="Picture" descr="Berechnungen\gfz_at/GFZ_AT_Analyse_Anhang_files/figure-docx/fig-gfz-kde-matrix-output-1.png"/>
                          <pic:cNvPicPr>
                            <a:picLocks noChangeAspect="1" noChangeArrowheads="1"/>
                          </pic:cNvPicPr>
                        </pic:nvPicPr>
                        <pic:blipFill>
                          <a:blip r:embed="rId75"/>
                          <a:stretch>
                            <a:fillRect/>
                          </a:stretch>
                        </pic:blipFill>
                        <pic:spPr bwMode="auto">
                          <a:xfrm>
                            <a:off x="0" y="0"/>
                            <a:ext cx="5334000" cy="2900235"/>
                          </a:xfrm>
                          <a:prstGeom prst="rect">
                            <a:avLst/>
                          </a:prstGeom>
                          <a:noFill/>
                          <a:ln w="9525">
                            <a:noFill/>
                            <a:headEnd/>
                            <a:tailEnd/>
                          </a:ln>
                        </pic:spPr>
                      </pic:pic>
                    </a:graphicData>
                  </a:graphic>
                </wp:inline>
              </w:drawing>
            </w:r>
          </w:p>
          <w:p w14:paraId="7128923A" w14:textId="77777777" w:rsidR="004E4CC2" w:rsidRDefault="00000000">
            <w:pPr>
              <w:pStyle w:val="ImageCaption"/>
              <w:spacing w:before="200"/>
            </w:pPr>
            <w:r>
              <w:t>Abbildung D.8: Flächengewichtete modellierte GFZ-Dichteprofile Österreichs, normiert innerhalb jeder Geschossklassen-/Nutzungskombination (7 × 9). Rote Linien: Geschosszahl als Orientierung, nicht als verbindliche GFZ-Grenze.</w:t>
            </w:r>
          </w:p>
        </w:tc>
        <w:bookmarkEnd w:id="356"/>
      </w:tr>
    </w:tbl>
    <w:p w14:paraId="605152BC" w14:textId="77777777" w:rsidR="004E4CC2" w:rsidRDefault="00000000">
      <w:pPr>
        <w:pStyle w:val="berschrift3"/>
      </w:pPr>
      <w:bookmarkStart w:id="357" w:name="ländervergleich"/>
      <w:bookmarkStart w:id="358" w:name="_Toc243681357"/>
      <w:bookmarkEnd w:id="354"/>
      <w:r>
        <w:t>C.8.2 Ländervergleich</w:t>
      </w:r>
      <w:bookmarkEnd w:id="358"/>
    </w:p>
    <w:p w14:paraId="2ADFEB56" w14:textId="77777777" w:rsidR="004E4CC2" w:rsidRDefault="00000000">
      <w:pPr>
        <w:pStyle w:val="FirstParagraph"/>
      </w:pPr>
      <w:r>
        <w:t xml:space="preserve">Die auf </w:t>
      </w:r>
      <w:r>
        <w:rPr>
          <w:b/>
          <w:bCs/>
        </w:rPr>
        <w:t>100 % der jeweiligen Bundesland-BGF</w:t>
      </w:r>
      <w:r>
        <w:t xml:space="preserve"> normierten Kurven erlauben einen Strukturvergleich von Wien und Salzburg. Diese Kurven repräsentieren das mit der Statistik gewichtete Landesmodell einschließlich dokumentierter Ersatzreferenzen – </w:t>
      </w:r>
      <w:r>
        <w:rPr>
          <w:b/>
          <w:bCs/>
        </w:rPr>
        <w:t>nicht</w:t>
      </w:r>
      <w:r>
        <w:t xml:space="preserve"> unmittelbar die Rohstichproben aus § 2.</w:t>
      </w:r>
    </w:p>
    <w:p w14:paraId="6B541170" w14:textId="77777777" w:rsidR="004E4CC2" w:rsidRDefault="00000000">
      <w:pPr>
        <w:pStyle w:val="SourceCode"/>
      </w:pPr>
      <w:r>
        <w:rPr>
          <w:rStyle w:val="NormalTok"/>
        </w:rPr>
        <w:t xml:space="preserve">fig, ax </w:t>
      </w:r>
      <w:r>
        <w:rPr>
          <w:rStyle w:val="OperatorTok"/>
        </w:rPr>
        <w:t>=</w:t>
      </w:r>
      <w:r>
        <w:rPr>
          <w:rStyle w:val="NormalTok"/>
        </w:rPr>
        <w:t xml:space="preserve"> plt.subplots(figsize</w:t>
      </w:r>
      <w:r>
        <w:rPr>
          <w:rStyle w:val="OperatorTok"/>
        </w:rPr>
        <w:t>=</w:t>
      </w:r>
      <w:r>
        <w:rPr>
          <w:rStyle w:val="NormalTok"/>
        </w:rPr>
        <w:t>(</w:t>
      </w:r>
      <w:r>
        <w:rPr>
          <w:rStyle w:val="DecValTok"/>
        </w:rPr>
        <w:t>10</w:t>
      </w:r>
      <w:r>
        <w:rPr>
          <w:rStyle w:val="NormalTok"/>
        </w:rPr>
        <w:t xml:space="preserve">, </w:t>
      </w:r>
      <w:r>
        <w:rPr>
          <w:rStyle w:val="FloatTok"/>
        </w:rPr>
        <w:t>4.5</w:t>
      </w:r>
      <w:r>
        <w:rPr>
          <w:rStyle w:val="NormalTok"/>
        </w:rPr>
        <w:t>), layout</w:t>
      </w:r>
      <w:r>
        <w:rPr>
          <w:rStyle w:val="OperatorTok"/>
        </w:rPr>
        <w:t>=</w:t>
      </w:r>
      <w:r>
        <w:rPr>
          <w:rStyle w:val="StringTok"/>
        </w:rPr>
        <w:t>"constrained"</w:t>
      </w:r>
      <w:r>
        <w:rPr>
          <w:rStyle w:val="NormalTok"/>
        </w:rPr>
        <w:t>)</w:t>
      </w:r>
      <w:r>
        <w:br/>
      </w:r>
      <w:r>
        <w:rPr>
          <w:rStyle w:val="ControlFlowTok"/>
        </w:rPr>
        <w:t>for</w:t>
      </w:r>
      <w:r>
        <w:rPr>
          <w:rStyle w:val="NormalTok"/>
        </w:rPr>
        <w:t xml:space="preserve"> region, color </w:t>
      </w:r>
      <w:r>
        <w:rPr>
          <w:rStyle w:val="KeywordTok"/>
        </w:rPr>
        <w:t>in</w:t>
      </w:r>
      <w:r>
        <w:rPr>
          <w:rStyle w:val="NormalTok"/>
        </w:rPr>
        <w:t xml:space="preserve"> [(</w:t>
      </w:r>
      <w:r>
        <w:rPr>
          <w:rStyle w:val="StringTok"/>
        </w:rPr>
        <w:t>"Wien"</w:t>
      </w:r>
      <w:r>
        <w:rPr>
          <w:rStyle w:val="NormalTok"/>
        </w:rPr>
        <w:t xml:space="preserve">, </w:t>
      </w:r>
      <w:r>
        <w:rPr>
          <w:rStyle w:val="StringTok"/>
        </w:rPr>
        <w:t>"#955196"</w:t>
      </w:r>
      <w:r>
        <w:rPr>
          <w:rStyle w:val="NormalTok"/>
        </w:rPr>
        <w:t>), (</w:t>
      </w:r>
      <w:r>
        <w:rPr>
          <w:rStyle w:val="StringTok"/>
        </w:rPr>
        <w:t>"Salzburg"</w:t>
      </w:r>
      <w:r>
        <w:rPr>
          <w:rStyle w:val="NormalTok"/>
        </w:rPr>
        <w:t xml:space="preserve">, </w:t>
      </w:r>
      <w:r>
        <w:rPr>
          <w:rStyle w:val="StringTok"/>
        </w:rPr>
        <w:t>"#007c83"</w:t>
      </w:r>
      <w:r>
        <w:rPr>
          <w:rStyle w:val="NormalTok"/>
        </w:rPr>
        <w:t>)]:</w:t>
      </w:r>
      <w:r>
        <w:br/>
      </w:r>
      <w:r>
        <w:rPr>
          <w:rStyle w:val="NormalTok"/>
        </w:rPr>
        <w:t xml:space="preserve">    reg </w:t>
      </w:r>
      <w:r>
        <w:rPr>
          <w:rStyle w:val="OperatorTok"/>
        </w:rPr>
        <w:t>=</w:t>
      </w:r>
      <w:r>
        <w:rPr>
          <w:rStyle w:val="NormalTok"/>
        </w:rPr>
        <w:t xml:space="preserve"> by_province.loc[by_province.Bundesland </w:t>
      </w:r>
      <w:r>
        <w:rPr>
          <w:rStyle w:val="OperatorTok"/>
        </w:rPr>
        <w:t>==</w:t>
      </w:r>
      <w:r>
        <w:rPr>
          <w:rStyle w:val="NormalTok"/>
        </w:rPr>
        <w:t xml:space="preserve"> region].sort_values(</w:t>
      </w:r>
      <w:r>
        <w:rPr>
          <w:rStyle w:val="StringTok"/>
        </w:rPr>
        <w:t>"GFZ"</w:t>
      </w:r>
      <w:r>
        <w:rPr>
          <w:rStyle w:val="NormalTok"/>
        </w:rPr>
        <w:t>)</w:t>
      </w:r>
      <w:r>
        <w:br/>
      </w:r>
      <w:r>
        <w:rPr>
          <w:rStyle w:val="NormalTok"/>
        </w:rPr>
        <w:t xml:space="preserve">    y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reg.BGF_m2 </w:t>
      </w:r>
      <w:r>
        <w:rPr>
          <w:rStyle w:val="OperatorTok"/>
        </w:rPr>
        <w:t>/</w:t>
      </w:r>
      <w:r>
        <w:rPr>
          <w:rStyle w:val="NormalTok"/>
        </w:rPr>
        <w:t xml:space="preserve"> reg.BGF_m2.</w:t>
      </w:r>
      <w:r>
        <w:rPr>
          <w:rStyle w:val="BuiltInTok"/>
        </w:rPr>
        <w:t>sum</w:t>
      </w:r>
      <w:r>
        <w:rPr>
          <w:rStyle w:val="NormalTok"/>
        </w:rPr>
        <w:t>()</w:t>
      </w:r>
      <w:r>
        <w:br/>
      </w:r>
      <w:r>
        <w:rPr>
          <w:rStyle w:val="NormalTok"/>
        </w:rPr>
        <w:t xml:space="preserve">    ax.plot(reg.GFZ, y, label</w:t>
      </w:r>
      <w:r>
        <w:rPr>
          <w:rStyle w:val="OperatorTok"/>
        </w:rPr>
        <w:t>=</w:t>
      </w:r>
      <w:r>
        <w:rPr>
          <w:rStyle w:val="NormalTok"/>
        </w:rPr>
        <w:t>region, color</w:t>
      </w:r>
      <w:r>
        <w:rPr>
          <w:rStyle w:val="OperatorTok"/>
        </w:rPr>
        <w:t>=</w:t>
      </w:r>
      <w:r>
        <w:rPr>
          <w:rStyle w:val="NormalTok"/>
        </w:rPr>
        <w:t>color, linewidth</w:t>
      </w:r>
      <w:r>
        <w:rPr>
          <w:rStyle w:val="OperatorTok"/>
        </w:rPr>
        <w:t>=</w:t>
      </w:r>
      <w:r>
        <w:rPr>
          <w:rStyle w:val="FloatTok"/>
        </w:rPr>
        <w:t>1.6</w:t>
      </w:r>
      <w:r>
        <w:rPr>
          <w:rStyle w:val="NormalTok"/>
        </w:rPr>
        <w:t>)</w:t>
      </w:r>
      <w:r>
        <w:br/>
      </w:r>
      <w:r>
        <w:rPr>
          <w:rStyle w:val="NormalTok"/>
        </w:rPr>
        <w:t>ax.</w:t>
      </w:r>
      <w:r>
        <w:rPr>
          <w:rStyle w:val="BuiltInTok"/>
        </w:rPr>
        <w:t>set</w:t>
      </w:r>
      <w:r>
        <w:rPr>
          <w:rStyle w:val="NormalTok"/>
        </w:rPr>
        <w:t>(xlim</w:t>
      </w:r>
      <w:r>
        <w:rPr>
          <w:rStyle w:val="OperatorTok"/>
        </w:rPr>
        <w:t>=</w:t>
      </w:r>
      <w:r>
        <w:rPr>
          <w:rStyle w:val="NormalTok"/>
        </w:rPr>
        <w:t>(</w:t>
      </w:r>
      <w:r>
        <w:rPr>
          <w:rStyle w:val="DecValTok"/>
        </w:rPr>
        <w:t>0</w:t>
      </w:r>
      <w:r>
        <w:rPr>
          <w:rStyle w:val="NormalTok"/>
        </w:rPr>
        <w:t>, PLOT_GFZ_MAX), ylim</w:t>
      </w:r>
      <w:r>
        <w:rPr>
          <w:rStyle w:val="OperatorTok"/>
        </w:rPr>
        <w:t>=</w:t>
      </w:r>
      <w:r>
        <w:rPr>
          <w:rStyle w:val="NormalTok"/>
        </w:rPr>
        <w:t>(</w:t>
      </w:r>
      <w:r>
        <w:rPr>
          <w:rStyle w:val="DecValTok"/>
        </w:rPr>
        <w:t>0</w:t>
      </w:r>
      <w:r>
        <w:rPr>
          <w:rStyle w:val="NormalTok"/>
        </w:rPr>
        <w:t xml:space="preserve">, </w:t>
      </w:r>
      <w:r>
        <w:rPr>
          <w:rStyle w:val="VariableTok"/>
        </w:rPr>
        <w:t>None</w:t>
      </w:r>
      <w:r>
        <w:rPr>
          <w:rStyle w:val="NormalTok"/>
        </w:rPr>
        <w:t>),</w:t>
      </w:r>
      <w:r>
        <w:br/>
      </w:r>
      <w:r>
        <w:rPr>
          <w:rStyle w:val="NormalTok"/>
        </w:rPr>
        <w:t xml:space="preserve">       xlabel</w:t>
      </w:r>
      <w:r>
        <w:rPr>
          <w:rStyle w:val="OperatorTok"/>
        </w:rPr>
        <w:t>=</w:t>
      </w:r>
      <w:r>
        <w:rPr>
          <w:rStyle w:val="StringTok"/>
        </w:rPr>
        <w:t>"Geschossflächenzahl (GFZ)"</w:t>
      </w:r>
      <w:r>
        <w:rPr>
          <w:rStyle w:val="NormalTok"/>
        </w:rPr>
        <w:t>,</w:t>
      </w:r>
      <w:r>
        <w:br/>
      </w:r>
      <w:r>
        <w:rPr>
          <w:rStyle w:val="NormalTok"/>
        </w:rPr>
        <w:t xml:space="preserve">       ylabel</w:t>
      </w:r>
      <w:r>
        <w:rPr>
          <w:rStyle w:val="OperatorTok"/>
        </w:rPr>
        <w:t>=</w:t>
      </w:r>
      <w:r>
        <w:rPr>
          <w:rStyle w:val="StringTok"/>
        </w:rPr>
        <w:t>"Anteil an der jeweiligen Landes-BGF [% je 0,1 GFZ]"</w:t>
      </w:r>
      <w:r>
        <w:rPr>
          <w:rStyle w:val="NormalTok"/>
        </w:rPr>
        <w:t>)</w:t>
      </w:r>
      <w:r>
        <w:br/>
      </w:r>
      <w:r>
        <w:rPr>
          <w:rStyle w:val="NormalTok"/>
        </w:rPr>
        <w:t>ax.xaxis.set_major_locator(MultipleLocator(</w:t>
      </w:r>
      <w:r>
        <w:rPr>
          <w:rStyle w:val="DecValTok"/>
        </w:rPr>
        <w:t>1</w:t>
      </w:r>
      <w:r>
        <w:rPr>
          <w:rStyle w:val="NormalTok"/>
        </w:rPr>
        <w:t>))</w:t>
      </w:r>
      <w:r>
        <w:br/>
      </w:r>
      <w:r>
        <w:rPr>
          <w:rStyle w:val="NormalTok"/>
        </w:rPr>
        <w:t>ax.xaxis.set_minor_locator(MultipleLocator(GFZ_STEP))</w:t>
      </w:r>
      <w:r>
        <w:br/>
      </w:r>
      <w:r>
        <w:rPr>
          <w:rStyle w:val="NormalTok"/>
        </w:rPr>
        <w:t>ax.grid(axis</w:t>
      </w:r>
      <w:r>
        <w:rPr>
          <w:rStyle w:val="OperatorTok"/>
        </w:rPr>
        <w:t>=</w:t>
      </w:r>
      <w:r>
        <w:rPr>
          <w:rStyle w:val="StringTok"/>
        </w:rPr>
        <w:t>"x"</w:t>
      </w:r>
      <w:r>
        <w:rPr>
          <w:rStyle w:val="NormalTok"/>
        </w:rPr>
        <w:t>, alpha</w:t>
      </w:r>
      <w:r>
        <w:rPr>
          <w:rStyle w:val="OperatorTok"/>
        </w:rPr>
        <w:t>=</w:t>
      </w:r>
      <w:r>
        <w:rPr>
          <w:rStyle w:val="FloatTok"/>
        </w:rPr>
        <w:t>.17</w:t>
      </w:r>
      <w:r>
        <w:rPr>
          <w:rStyle w:val="NormalTok"/>
        </w:rPr>
        <w:t>)</w:t>
      </w:r>
      <w:r>
        <w:br/>
      </w:r>
      <w:r>
        <w:rPr>
          <w:rStyle w:val="NormalTok"/>
        </w:rPr>
        <w:t>ax.legend()</w:t>
      </w:r>
      <w:r>
        <w:br/>
      </w:r>
      <w:r>
        <w:rPr>
          <w:rStyle w:val="NormalTok"/>
        </w:rPr>
        <w:t xml:space="preserve">fig.savefig(OUT </w:t>
      </w:r>
      <w:r>
        <w:rPr>
          <w:rStyle w:val="OperatorTok"/>
        </w:rPr>
        <w:t>/</w:t>
      </w:r>
      <w:r>
        <w:rPr>
          <w:rStyle w:val="NormalTok"/>
        </w:rPr>
        <w:t xml:space="preserve"> </w:t>
      </w:r>
      <w:r>
        <w:rPr>
          <w:rStyle w:val="StringTok"/>
        </w:rPr>
        <w:t>"gfz_wien_salzburg.png"</w:t>
      </w:r>
      <w:r>
        <w:rPr>
          <w:rStyle w:val="NormalTok"/>
        </w:rPr>
        <w:t>, dpi</w:t>
      </w:r>
      <w:r>
        <w:rPr>
          <w:rStyle w:val="OperatorTok"/>
        </w:rPr>
        <w:t>=</w:t>
      </w:r>
      <w:r>
        <w:rPr>
          <w:rStyle w:val="DecValTok"/>
        </w:rPr>
        <w:t>180</w:t>
      </w:r>
      <w:r>
        <w:rPr>
          <w:rStyle w:val="NormalTok"/>
        </w:rPr>
        <w:t>, bbox_inches</w:t>
      </w:r>
      <w:r>
        <w:rPr>
          <w:rStyle w:val="OperatorTok"/>
        </w:rPr>
        <w:t>=</w:t>
      </w:r>
      <w:r>
        <w:rPr>
          <w:rStyle w:val="StringTok"/>
        </w:rPr>
        <w:t>"tight"</w:t>
      </w:r>
      <w:r>
        <w:rPr>
          <w:rStyle w:val="NormalTok"/>
        </w:rPr>
        <w:t>)</w:t>
      </w:r>
      <w:r>
        <w:br/>
      </w:r>
      <w:r>
        <w:rPr>
          <w:rStyle w:val="NormalTok"/>
        </w:rPr>
        <w:t>plt.show()</w:t>
      </w:r>
    </w:p>
    <w:tbl>
      <w:tblPr>
        <w:tblStyle w:val="Table"/>
        <w:tblW w:w="5000" w:type="pct"/>
        <w:tblLayout w:type="fixed"/>
        <w:tblLook w:val="0000" w:firstRow="0" w:lastRow="0" w:firstColumn="0" w:lastColumn="0" w:noHBand="0" w:noVBand="0"/>
      </w:tblPr>
      <w:tblGrid>
        <w:gridCol w:w="9622"/>
      </w:tblGrid>
      <w:tr w:rsidR="004E4CC2" w14:paraId="71BCB337" w14:textId="77777777">
        <w:tc>
          <w:tcPr>
            <w:tcW w:w="7920" w:type="dxa"/>
          </w:tcPr>
          <w:p w14:paraId="132DF5AB" w14:textId="77777777" w:rsidR="004E4CC2" w:rsidRDefault="00000000">
            <w:pPr>
              <w:pStyle w:val="Compact"/>
              <w:jc w:val="center"/>
            </w:pPr>
            <w:bookmarkStart w:id="359" w:name="fig-gfz-wien-salzburg"/>
            <w:r>
              <w:rPr>
                <w:noProof/>
              </w:rPr>
              <w:lastRenderedPageBreak/>
              <w:drawing>
                <wp:inline distT="0" distB="0" distL="0" distR="0" wp14:anchorId="4C62EB19" wp14:editId="09E1F11B">
                  <wp:extent cx="5334000" cy="2431741"/>
                  <wp:effectExtent l="0" t="0" r="0" b="0"/>
                  <wp:docPr id="380" name="Picture"/>
                  <wp:cNvGraphicFramePr/>
                  <a:graphic xmlns:a="http://schemas.openxmlformats.org/drawingml/2006/main">
                    <a:graphicData uri="http://schemas.openxmlformats.org/drawingml/2006/picture">
                      <pic:pic xmlns:pic="http://schemas.openxmlformats.org/drawingml/2006/picture">
                        <pic:nvPicPr>
                          <pic:cNvPr id="381" name="Picture" descr="Berechnungen\gfz_at/GFZ_AT_Analyse_Anhang_files/figure-docx/fig-gfz-wien-salzburg-output-1.png"/>
                          <pic:cNvPicPr>
                            <a:picLocks noChangeAspect="1" noChangeArrowheads="1"/>
                          </pic:cNvPicPr>
                        </pic:nvPicPr>
                        <pic:blipFill>
                          <a:blip r:embed="rId76"/>
                          <a:stretch>
                            <a:fillRect/>
                          </a:stretch>
                        </pic:blipFill>
                        <pic:spPr bwMode="auto">
                          <a:xfrm>
                            <a:off x="0" y="0"/>
                            <a:ext cx="5334000" cy="2431741"/>
                          </a:xfrm>
                          <a:prstGeom prst="rect">
                            <a:avLst/>
                          </a:prstGeom>
                          <a:noFill/>
                          <a:ln w="9525">
                            <a:noFill/>
                            <a:headEnd/>
                            <a:tailEnd/>
                          </a:ln>
                        </pic:spPr>
                      </pic:pic>
                    </a:graphicData>
                  </a:graphic>
                </wp:inline>
              </w:drawing>
            </w:r>
          </w:p>
          <w:p w14:paraId="65365DE3" w14:textId="77777777" w:rsidR="004E4CC2" w:rsidRDefault="00000000">
            <w:pPr>
              <w:pStyle w:val="ImageCaption"/>
              <w:spacing w:before="200"/>
            </w:pPr>
            <w:r>
              <w:t>Abbildung D.9: Vergleich der statistisch hochgerechneten GFZ-Flächenverteilungen von Wien und Salzburg. Jede Landeskurve ist auf die vollständige Landes-BGF im GFZ-Raster bis 20 normiert.</w:t>
            </w:r>
          </w:p>
        </w:tc>
        <w:bookmarkEnd w:id="359"/>
      </w:tr>
    </w:tbl>
    <w:p w14:paraId="6F343871" w14:textId="77777777" w:rsidR="004E4CC2" w:rsidRDefault="00000000">
      <w:pPr>
        <w:pStyle w:val="berschrift2"/>
      </w:pPr>
      <w:bookmarkStart w:id="360" w:name="export-und-reproduzierbarkeit"/>
      <w:bookmarkStart w:id="361" w:name="_Toc243681358"/>
      <w:bookmarkEnd w:id="351"/>
      <w:bookmarkEnd w:id="357"/>
      <w:r>
        <w:t>C.9 9. Export und Reproduzierbarkeit</w:t>
      </w:r>
      <w:bookmarkEnd w:id="361"/>
    </w:p>
    <w:p w14:paraId="416643CE" w14:textId="77777777" w:rsidR="004E4CC2" w:rsidRDefault="00000000">
      <w:pPr>
        <w:pStyle w:val="FirstParagraph"/>
      </w:pPr>
      <w:r>
        <w:t xml:space="preserve">Die Ergebnisse werden direkt aus den Notebook-Tabellen gespeichert. Die Datei </w:t>
      </w:r>
      <w:r>
        <w:rPr>
          <w:rStyle w:val="VerbatimChar"/>
        </w:rPr>
        <w:t>gfz_distribution_by_province_use_storeys.csv</w:t>
      </w:r>
      <w:r>
        <w:t xml:space="preserve"> enthält die vollständige Verteilung je Zielkombination; </w:t>
      </w:r>
      <w:r>
        <w:rPr>
          <w:rStyle w:val="VerbatimChar"/>
        </w:rPr>
        <w:t>allocation_audit.csv</w:t>
      </w:r>
      <w:r>
        <w:t xml:space="preserve"> protokolliert jede Zielgruppe, die Referenz und die Bilanz; die aggregierten CSV-Dateien speisen die Abbildungen.</w:t>
      </w:r>
    </w:p>
    <w:p w14:paraId="0B442050" w14:textId="77777777" w:rsidR="004E4CC2" w:rsidRDefault="00000000">
      <w:pPr>
        <w:pStyle w:val="SourceCode"/>
      </w:pPr>
      <w:r>
        <w:rPr>
          <w:rStyle w:val="CommentTok"/>
        </w:rPr>
        <w:t># CSV-Ausgaben zur Nachnutzung im Hintergrundbericht</w:t>
      </w:r>
      <w:r>
        <w:br/>
      </w:r>
      <w:r>
        <w:rPr>
          <w:rStyle w:val="NormalTok"/>
        </w:rPr>
        <w:t xml:space="preserve">(detail.to_csv(OUT </w:t>
      </w:r>
      <w:r>
        <w:rPr>
          <w:rStyle w:val="OperatorTok"/>
        </w:rPr>
        <w:t>/</w:t>
      </w:r>
      <w:r>
        <w:rPr>
          <w:rStyle w:val="NormalTok"/>
        </w:rPr>
        <w:t xml:space="preserve"> </w:t>
      </w:r>
      <w:r>
        <w:rPr>
          <w:rStyle w:val="StringTok"/>
        </w:rPr>
        <w:t>"gfz_distribution_by_province_use_storeys.csv"</w:t>
      </w:r>
      <w:r>
        <w:rPr>
          <w:rStyle w:val="NormalTok"/>
        </w:rPr>
        <w:t>, index</w:t>
      </w:r>
      <w:r>
        <w:rPr>
          <w:rStyle w:val="OperatorTok"/>
        </w:rPr>
        <w:t>=</w:t>
      </w:r>
      <w:r>
        <w:rPr>
          <w:rStyle w:val="VariableTok"/>
        </w:rPr>
        <w:t>False</w:t>
      </w:r>
      <w:r>
        <w:rPr>
          <w:rStyle w:val="NormalTok"/>
        </w:rPr>
        <w:t>))</w:t>
      </w:r>
      <w:r>
        <w:br/>
      </w:r>
      <w:r>
        <w:rPr>
          <w:rStyle w:val="NormalTok"/>
        </w:rPr>
        <w:t xml:space="preserve">(audit.to_csv(OUT </w:t>
      </w:r>
      <w:r>
        <w:rPr>
          <w:rStyle w:val="OperatorTok"/>
        </w:rPr>
        <w:t>/</w:t>
      </w:r>
      <w:r>
        <w:rPr>
          <w:rStyle w:val="NormalTok"/>
        </w:rPr>
        <w:t xml:space="preserve"> </w:t>
      </w:r>
      <w:r>
        <w:rPr>
          <w:rStyle w:val="StringTok"/>
        </w:rPr>
        <w:t>"allocation_audit.csv"</w:t>
      </w:r>
      <w:r>
        <w:rPr>
          <w:rStyle w:val="NormalTok"/>
        </w:rPr>
        <w:t>, index</w:t>
      </w:r>
      <w:r>
        <w:rPr>
          <w:rStyle w:val="OperatorTok"/>
        </w:rPr>
        <w:t>=</w:t>
      </w:r>
      <w:r>
        <w:rPr>
          <w:rStyle w:val="VariableTok"/>
        </w:rPr>
        <w:t>False</w:t>
      </w:r>
      <w:r>
        <w:rPr>
          <w:rStyle w:val="NormalTok"/>
        </w:rPr>
        <w:t>))</w:t>
      </w:r>
      <w:r>
        <w:br/>
      </w:r>
      <w:r>
        <w:rPr>
          <w:rStyle w:val="NormalTok"/>
        </w:rPr>
        <w:t xml:space="preserve">(by_province.to_csv(OUT </w:t>
      </w:r>
      <w:r>
        <w:rPr>
          <w:rStyle w:val="OperatorTok"/>
        </w:rPr>
        <w:t>/</w:t>
      </w:r>
      <w:r>
        <w:rPr>
          <w:rStyle w:val="NormalTok"/>
        </w:rPr>
        <w:t xml:space="preserve"> </w:t>
      </w:r>
      <w:r>
        <w:rPr>
          <w:rStyle w:val="StringTok"/>
        </w:rPr>
        <w:t>"gfz_distribution_by_province.csv"</w:t>
      </w:r>
      <w:r>
        <w:rPr>
          <w:rStyle w:val="NormalTok"/>
        </w:rPr>
        <w:t>, index</w:t>
      </w:r>
      <w:r>
        <w:rPr>
          <w:rStyle w:val="OperatorTok"/>
        </w:rPr>
        <w:t>=</w:t>
      </w:r>
      <w:r>
        <w:rPr>
          <w:rStyle w:val="VariableTok"/>
        </w:rPr>
        <w:t>False</w:t>
      </w:r>
      <w:r>
        <w:rPr>
          <w:rStyle w:val="NormalTok"/>
        </w:rPr>
        <w:t>))</w:t>
      </w:r>
      <w:r>
        <w:br/>
      </w:r>
      <w:r>
        <w:rPr>
          <w:rStyle w:val="NormalTok"/>
        </w:rPr>
        <w:t xml:space="preserve">(at_by_use.to_csv(OUT </w:t>
      </w:r>
      <w:r>
        <w:rPr>
          <w:rStyle w:val="OperatorTok"/>
        </w:rPr>
        <w:t>/</w:t>
      </w:r>
      <w:r>
        <w:rPr>
          <w:rStyle w:val="NormalTok"/>
        </w:rPr>
        <w:t xml:space="preserve"> </w:t>
      </w:r>
      <w:r>
        <w:rPr>
          <w:rStyle w:val="StringTok"/>
        </w:rPr>
        <w:t>"gfz_distribution_austria_by_use.csv"</w:t>
      </w:r>
      <w:r>
        <w:rPr>
          <w:rStyle w:val="NormalTok"/>
        </w:rPr>
        <w:t>, index</w:t>
      </w:r>
      <w:r>
        <w:rPr>
          <w:rStyle w:val="OperatorTok"/>
        </w:rPr>
        <w:t>=</w:t>
      </w:r>
      <w:r>
        <w:rPr>
          <w:rStyle w:val="VariableTok"/>
        </w:rPr>
        <w:t>False</w:t>
      </w:r>
      <w:r>
        <w:rPr>
          <w:rStyle w:val="NormalTok"/>
        </w:rPr>
        <w:t>))</w:t>
      </w:r>
      <w:r>
        <w:br/>
      </w:r>
      <w:r>
        <w:rPr>
          <w:rStyle w:val="NormalTok"/>
        </w:rPr>
        <w:t xml:space="preserve">(coverage.to_csv(OUT </w:t>
      </w:r>
      <w:r>
        <w:rPr>
          <w:rStyle w:val="OperatorTok"/>
        </w:rPr>
        <w:t>/</w:t>
      </w:r>
      <w:r>
        <w:rPr>
          <w:rStyle w:val="NormalTok"/>
        </w:rPr>
        <w:t xml:space="preserve"> </w:t>
      </w:r>
      <w:r>
        <w:rPr>
          <w:rStyle w:val="StringTok"/>
        </w:rPr>
        <w:t>"reference_coverage.csv"</w:t>
      </w:r>
      <w:r>
        <w:rPr>
          <w:rStyle w:val="NormalTok"/>
        </w:rPr>
        <w:t>, index</w:t>
      </w:r>
      <w:r>
        <w:rPr>
          <w:rStyle w:val="OperatorTok"/>
        </w:rPr>
        <w:t>=</w:t>
      </w:r>
      <w:r>
        <w:rPr>
          <w:rStyle w:val="VariableTok"/>
        </w:rPr>
        <w:t>False</w:t>
      </w:r>
      <w:r>
        <w:rPr>
          <w:rStyle w:val="NormalTok"/>
        </w:rPr>
        <w:t>))</w:t>
      </w:r>
      <w:r>
        <w:br/>
      </w:r>
      <w:r>
        <w:rPr>
          <w:rStyle w:val="NormalTok"/>
        </w:rPr>
        <w:t xml:space="preserve">(stats_province.reset_index().to_csv(OUT </w:t>
      </w:r>
      <w:r>
        <w:rPr>
          <w:rStyle w:val="OperatorTok"/>
        </w:rPr>
        <w:t>/</w:t>
      </w:r>
      <w:r>
        <w:rPr>
          <w:rStyle w:val="NormalTok"/>
        </w:rPr>
        <w:t xml:space="preserve"> </w:t>
      </w:r>
      <w:r>
        <w:rPr>
          <w:rStyle w:val="StringTok"/>
        </w:rPr>
        <w:t>"statistik_flaechen_bundeslaender.csv"</w:t>
      </w:r>
      <w:r>
        <w:rPr>
          <w:rStyle w:val="NormalTok"/>
        </w:rPr>
        <w:t>, index</w:t>
      </w:r>
      <w:r>
        <w:rPr>
          <w:rStyle w:val="OperatorTok"/>
        </w:rPr>
        <w:t>=</w:t>
      </w:r>
      <w:r>
        <w:rPr>
          <w:rStyle w:val="VariableTok"/>
        </w:rPr>
        <w:t>False</w:t>
      </w:r>
      <w:r>
        <w:rPr>
          <w:rStyle w:val="NormalTok"/>
        </w:rPr>
        <w:t>))</w:t>
      </w:r>
      <w:r>
        <w:br/>
      </w:r>
      <w:r>
        <w:br/>
      </w:r>
      <w:r>
        <w:rPr>
          <w:rStyle w:val="NormalTok"/>
        </w:rPr>
        <w:t xml:space="preserve">report </w:t>
      </w:r>
      <w:r>
        <w:rPr>
          <w:rStyle w:val="OperatorTok"/>
        </w:rPr>
        <w:t>=</w:t>
      </w:r>
      <w:r>
        <w:rPr>
          <w:rStyle w:val="NormalTok"/>
        </w:rPr>
        <w:t xml:space="preserve"> {</w:t>
      </w:r>
      <w:r>
        <w:br/>
      </w:r>
      <w:r>
        <w:rPr>
          <w:rStyle w:val="NormalTok"/>
        </w:rPr>
        <w:t xml:space="preserve">    </w:t>
      </w:r>
      <w:r>
        <w:rPr>
          <w:rStyle w:val="StringTok"/>
        </w:rPr>
        <w:t>"description"</w:t>
      </w:r>
      <w:r>
        <w:rPr>
          <w:rStyle w:val="NormalTok"/>
        </w:rPr>
        <w:t xml:space="preserve">: </w:t>
      </w:r>
      <w:r>
        <w:rPr>
          <w:rStyle w:val="StringTok"/>
        </w:rPr>
        <w:t>"GFZ Österreich 2021 – vollständige Notebook-Rechnung"</w:t>
      </w:r>
      <w:r>
        <w:rPr>
          <w:rStyle w:val="NormalTok"/>
        </w:rPr>
        <w:t>,</w:t>
      </w:r>
      <w:r>
        <w:br/>
      </w:r>
      <w:r>
        <w:rPr>
          <w:rStyle w:val="NormalTok"/>
        </w:rPr>
        <w:t xml:space="preserve">    </w:t>
      </w:r>
      <w:r>
        <w:rPr>
          <w:rStyle w:val="StringTok"/>
        </w:rPr>
        <w:t>"gfz_step"</w:t>
      </w:r>
      <w:r>
        <w:rPr>
          <w:rStyle w:val="NormalTok"/>
        </w:rPr>
        <w:t xml:space="preserve">: GFZ_STEP, </w:t>
      </w:r>
      <w:r>
        <w:rPr>
          <w:rStyle w:val="StringTok"/>
        </w:rPr>
        <w:t>"gfz_max"</w:t>
      </w:r>
      <w:r>
        <w:rPr>
          <w:rStyle w:val="NormalTok"/>
        </w:rPr>
        <w:t xml:space="preserve">: GFZ_MAX, </w:t>
      </w:r>
      <w:r>
        <w:rPr>
          <w:rStyle w:val="StringTok"/>
        </w:rPr>
        <w:t>"ngf_per_bgf"</w:t>
      </w:r>
      <w:r>
        <w:rPr>
          <w:rStyle w:val="NormalTok"/>
        </w:rPr>
        <w:t>: NGF_PER_BGF,</w:t>
      </w:r>
      <w:r>
        <w:br/>
      </w:r>
      <w:r>
        <w:rPr>
          <w:rStyle w:val="NormalTok"/>
        </w:rPr>
        <w:t xml:space="preserve">    </w:t>
      </w:r>
      <w:r>
        <w:rPr>
          <w:rStyle w:val="StringTok"/>
        </w:rPr>
        <w:t>"method"</w:t>
      </w:r>
      <w:r>
        <w:rPr>
          <w:rStyle w:val="NormalTok"/>
        </w:rPr>
        <w:t xml:space="preserve">: METHOD, </w:t>
      </w:r>
      <w:r>
        <w:rPr>
          <w:rStyle w:val="StringTok"/>
        </w:rPr>
        <w:t>"fallback"</w:t>
      </w:r>
      <w:r>
        <w:rPr>
          <w:rStyle w:val="NormalTok"/>
        </w:rPr>
        <w:t xml:space="preserve">: FALLBACK, </w:t>
      </w:r>
      <w:r>
        <w:rPr>
          <w:rStyle w:val="StringTok"/>
        </w:rPr>
        <w:t>"min_samples"</w:t>
      </w:r>
      <w:r>
        <w:rPr>
          <w:rStyle w:val="NormalTok"/>
        </w:rPr>
        <w:t>: MIN_SAMPLES,</w:t>
      </w:r>
      <w:r>
        <w:br/>
      </w:r>
      <w:r>
        <w:rPr>
          <w:rStyle w:val="NormalTok"/>
        </w:rPr>
        <w:t xml:space="preserve">    </w:t>
      </w:r>
      <w:r>
        <w:rPr>
          <w:rStyle w:val="StringTok"/>
        </w:rPr>
        <w:t>"n_positive_statistical_cells"</w:t>
      </w:r>
      <w:r>
        <w:rPr>
          <w:rStyle w:val="NormalTok"/>
        </w:rPr>
        <w:t xml:space="preserve">: </w:t>
      </w:r>
      <w:r>
        <w:rPr>
          <w:rStyle w:val="BuiltInTok"/>
        </w:rPr>
        <w:t>int</w:t>
      </w:r>
      <w:r>
        <w:rPr>
          <w:rStyle w:val="NormalTok"/>
        </w:rPr>
        <w:t>(</w:t>
      </w:r>
      <w:r>
        <w:rPr>
          <w:rStyle w:val="BuiltInTok"/>
        </w:rPr>
        <w:t>len</w:t>
      </w:r>
      <w:r>
        <w:rPr>
          <w:rStyle w:val="NormalTok"/>
        </w:rPr>
        <w:t>(coverage)),</w:t>
      </w:r>
      <w:r>
        <w:br/>
      </w:r>
      <w:r>
        <w:rPr>
          <w:rStyle w:val="NormalTok"/>
        </w:rPr>
        <w:t xml:space="preserve">    </w:t>
      </w:r>
      <w:r>
        <w:rPr>
          <w:rStyle w:val="StringTok"/>
        </w:rPr>
        <w:t>"n_fallback_cells"</w:t>
      </w:r>
      <w:r>
        <w:rPr>
          <w:rStyle w:val="NormalTok"/>
        </w:rPr>
        <w:t xml:space="preserve">: </w:t>
      </w:r>
      <w:r>
        <w:rPr>
          <w:rStyle w:val="BuiltInTok"/>
        </w:rPr>
        <w:t>int</w:t>
      </w:r>
      <w:r>
        <w:rPr>
          <w:rStyle w:val="NormalTok"/>
        </w:rPr>
        <w:t>(fallback_mask.</w:t>
      </w:r>
      <w:r>
        <w:rPr>
          <w:rStyle w:val="BuiltInTok"/>
        </w:rPr>
        <w:t>sum</w:t>
      </w:r>
      <w:r>
        <w:rPr>
          <w:rStyle w:val="NormalTok"/>
        </w:rPr>
        <w:t>()),</w:t>
      </w:r>
      <w:r>
        <w:br/>
      </w:r>
      <w:r>
        <w:rPr>
          <w:rStyle w:val="NormalTok"/>
        </w:rPr>
        <w:t xml:space="preserve">    </w:t>
      </w:r>
      <w:r>
        <w:rPr>
          <w:rStyle w:val="StringTok"/>
        </w:rPr>
        <w:t>"fallback_bgf_m2"</w:t>
      </w:r>
      <w:r>
        <w:rPr>
          <w:rStyle w:val="NormalTok"/>
        </w:rPr>
        <w:t>: fallback_area,</w:t>
      </w:r>
      <w:r>
        <w:br/>
      </w:r>
      <w:r>
        <w:rPr>
          <w:rStyle w:val="NormalTok"/>
        </w:rPr>
        <w:t xml:space="preserve">    </w:t>
      </w:r>
      <w:r>
        <w:rPr>
          <w:rStyle w:val="StringTok"/>
        </w:rPr>
        <w:t>"fallback_share_of_total_bgf"</w:t>
      </w:r>
      <w:r>
        <w:rPr>
          <w:rStyle w:val="NormalTok"/>
        </w:rPr>
        <w:t xml:space="preserve">: fallback_area </w:t>
      </w:r>
      <w:r>
        <w:rPr>
          <w:rStyle w:val="OperatorTok"/>
        </w:rPr>
        <w:t>/</w:t>
      </w:r>
      <w:r>
        <w:rPr>
          <w:rStyle w:val="NormalTok"/>
        </w:rPr>
        <w:t xml:space="preserve"> national_target,</w:t>
      </w:r>
      <w:r>
        <w:br/>
      </w:r>
      <w:r>
        <w:rPr>
          <w:rStyle w:val="NormalTok"/>
        </w:rPr>
        <w:t xml:space="preserve">    </w:t>
      </w:r>
      <w:r>
        <w:rPr>
          <w:rStyle w:val="StringTok"/>
        </w:rPr>
        <w:t>"statistics_ngf_total_m2"</w:t>
      </w:r>
      <w:r>
        <w:rPr>
          <w:rStyle w:val="NormalTok"/>
        </w:rPr>
        <w:t xml:space="preserve">: </w:t>
      </w:r>
      <w:r>
        <w:rPr>
          <w:rStyle w:val="BuiltInTok"/>
        </w:rPr>
        <w:t>float</w:t>
      </w:r>
      <w:r>
        <w:rPr>
          <w:rStyle w:val="NormalTok"/>
        </w:rPr>
        <w:t>(control_at.</w:t>
      </w:r>
      <w:r>
        <w:rPr>
          <w:rStyle w:val="BuiltInTok"/>
        </w:rPr>
        <w:t>sum</w:t>
      </w:r>
      <w:r>
        <w:rPr>
          <w:rStyle w:val="NormalTok"/>
        </w:rPr>
        <w:t>()),</w:t>
      </w:r>
      <w:r>
        <w:br/>
      </w:r>
      <w:r>
        <w:rPr>
          <w:rStyle w:val="NormalTok"/>
        </w:rPr>
        <w:t xml:space="preserve">    </w:t>
      </w:r>
      <w:r>
        <w:rPr>
          <w:rStyle w:val="StringTok"/>
        </w:rPr>
        <w:t>"statistics_bgf_total_m2"</w:t>
      </w:r>
      <w:r>
        <w:rPr>
          <w:rStyle w:val="NormalTok"/>
        </w:rPr>
        <w:t>: national_target,</w:t>
      </w:r>
      <w:r>
        <w:br/>
      </w:r>
      <w:r>
        <w:rPr>
          <w:rStyle w:val="NormalTok"/>
        </w:rPr>
        <w:t xml:space="preserve">    </w:t>
      </w:r>
      <w:r>
        <w:rPr>
          <w:rStyle w:val="StringTok"/>
        </w:rPr>
        <w:t>"allocated_bgf_m2"</w:t>
      </w:r>
      <w:r>
        <w:rPr>
          <w:rStyle w:val="NormalTok"/>
        </w:rPr>
        <w:t>: national_allocated,</w:t>
      </w:r>
      <w:r>
        <w:br/>
      </w:r>
      <w:r>
        <w:rPr>
          <w:rStyle w:val="NormalTok"/>
        </w:rPr>
        <w:t xml:space="preserve">    </w:t>
      </w:r>
      <w:r>
        <w:rPr>
          <w:rStyle w:val="StringTok"/>
        </w:rPr>
        <w:t>"total_allocation_residual_m2"</w:t>
      </w:r>
      <w:r>
        <w:rPr>
          <w:rStyle w:val="NormalTok"/>
        </w:rPr>
        <w:t xml:space="preserve">: national_allocated </w:t>
      </w:r>
      <w:r>
        <w:rPr>
          <w:rStyle w:val="OperatorTok"/>
        </w:rPr>
        <w:t>-</w:t>
      </w:r>
      <w:r>
        <w:rPr>
          <w:rStyle w:val="NormalTok"/>
        </w:rPr>
        <w:t xml:space="preserve"> national_target,</w:t>
      </w:r>
      <w:r>
        <w:br/>
      </w:r>
      <w:r>
        <w:rPr>
          <w:rStyle w:val="NormalTok"/>
        </w:rPr>
        <w:t xml:space="preserve">    </w:t>
      </w:r>
      <w:r>
        <w:rPr>
          <w:rStyle w:val="StringTok"/>
        </w:rPr>
        <w:t>"mean_gfz_area_weighted"</w:t>
      </w:r>
      <w:r>
        <w:rPr>
          <w:rStyle w:val="NormalTok"/>
        </w:rPr>
        <w:t>: mean_gfz,</w:t>
      </w:r>
      <w:r>
        <w:br/>
      </w:r>
      <w:r>
        <w:rPr>
          <w:rStyle w:val="NormalTok"/>
        </w:rPr>
        <w:lastRenderedPageBreak/>
        <w:t xml:space="preserve">    </w:t>
      </w:r>
      <w:r>
        <w:rPr>
          <w:rStyle w:val="StringTok"/>
        </w:rPr>
        <w:t>"reference_input_files"</w:t>
      </w:r>
      <w:r>
        <w:rPr>
          <w:rStyle w:val="NormalTok"/>
        </w:rPr>
        <w:t>: {</w:t>
      </w:r>
      <w:r>
        <w:rPr>
          <w:rStyle w:val="StringTok"/>
        </w:rPr>
        <w:t>"buildings"</w:t>
      </w:r>
      <w:r>
        <w:rPr>
          <w:rStyle w:val="NormalTok"/>
        </w:rPr>
        <w:t xml:space="preserve">: </w:t>
      </w:r>
      <w:r>
        <w:rPr>
          <w:rStyle w:val="BuiltInTok"/>
        </w:rPr>
        <w:t>str</w:t>
      </w:r>
      <w:r>
        <w:rPr>
          <w:rStyle w:val="NormalTok"/>
        </w:rPr>
        <w:t xml:space="preserve">(BUILDINGS), </w:t>
      </w:r>
      <w:r>
        <w:rPr>
          <w:rStyle w:val="StringTok"/>
        </w:rPr>
        <w:t>"statistics"</w:t>
      </w:r>
      <w:r>
        <w:rPr>
          <w:rStyle w:val="NormalTok"/>
        </w:rPr>
        <w:t xml:space="preserve">: </w:t>
      </w:r>
      <w:r>
        <w:rPr>
          <w:rStyle w:val="BuiltInTok"/>
        </w:rPr>
        <w:t>str</w:t>
      </w:r>
      <w:r>
        <w:rPr>
          <w:rStyle w:val="NormalTok"/>
        </w:rPr>
        <w:t>(STATISTICS)},</w:t>
      </w:r>
      <w:r>
        <w:br/>
      </w:r>
      <w:r>
        <w:rPr>
          <w:rStyle w:val="NormalTok"/>
        </w:rPr>
        <w:t xml:space="preserve">    </w:t>
      </w:r>
      <w:r>
        <w:rPr>
          <w:rStyle w:val="StringTok"/>
        </w:rPr>
        <w:t>"input_sha256"</w:t>
      </w:r>
      <w:r>
        <w:rPr>
          <w:rStyle w:val="NormalTok"/>
        </w:rPr>
        <w:t>: {p.name: hashlib.sha256(p.read_bytes()).hexdigest()</w:t>
      </w:r>
      <w:r>
        <w:br/>
      </w:r>
      <w:r>
        <w:rPr>
          <w:rStyle w:val="NormalTok"/>
        </w:rPr>
        <w:t xml:space="preserve">                     </w:t>
      </w:r>
      <w:r>
        <w:rPr>
          <w:rStyle w:val="ControlFlowTok"/>
        </w:rPr>
        <w:t>for</w:t>
      </w:r>
      <w:r>
        <w:rPr>
          <w:rStyle w:val="NormalTok"/>
        </w:rPr>
        <w:t xml:space="preserve"> p </w:t>
      </w:r>
      <w:r>
        <w:rPr>
          <w:rStyle w:val="KeywordTok"/>
        </w:rPr>
        <w:t>in</w:t>
      </w:r>
      <w:r>
        <w:rPr>
          <w:rStyle w:val="NormalTok"/>
        </w:rPr>
        <w:t xml:space="preserve"> (BUILDINGS, STATISTICS)},</w:t>
      </w:r>
      <w:r>
        <w:br/>
      </w:r>
      <w:r>
        <w:rPr>
          <w:rStyle w:val="NormalTok"/>
        </w:rPr>
        <w:t>}</w:t>
      </w:r>
      <w:r>
        <w:br/>
      </w:r>
      <w:r>
        <w:rPr>
          <w:rStyle w:val="NormalTok"/>
        </w:rPr>
        <w:t xml:space="preserve">(OUT </w:t>
      </w:r>
      <w:r>
        <w:rPr>
          <w:rStyle w:val="OperatorTok"/>
        </w:rPr>
        <w:t>/</w:t>
      </w:r>
      <w:r>
        <w:rPr>
          <w:rStyle w:val="NormalTok"/>
        </w:rPr>
        <w:t xml:space="preserve"> </w:t>
      </w:r>
      <w:r>
        <w:rPr>
          <w:rStyle w:val="StringTok"/>
        </w:rPr>
        <w:t>"validation.json"</w:t>
      </w:r>
      <w:r>
        <w:rPr>
          <w:rStyle w:val="NormalTok"/>
        </w:rPr>
        <w:t>).write_text(json.dumps(report, ensure_ascii</w:t>
      </w:r>
      <w:r>
        <w:rPr>
          <w:rStyle w:val="OperatorTok"/>
        </w:rPr>
        <w:t>=</w:t>
      </w:r>
      <w:r>
        <w:rPr>
          <w:rStyle w:val="VariableTok"/>
        </w:rPr>
        <w:t>False</w:t>
      </w:r>
      <w:r>
        <w:rPr>
          <w:rStyle w:val="NormalTok"/>
        </w:rPr>
        <w:t>, indent</w:t>
      </w:r>
      <w:r>
        <w:rPr>
          <w:rStyle w:val="OperatorTok"/>
        </w:rPr>
        <w:t>=</w:t>
      </w:r>
      <w:r>
        <w:rPr>
          <w:rStyle w:val="DecValTok"/>
        </w:rPr>
        <w:t>2</w:t>
      </w:r>
      <w:r>
        <w:rPr>
          <w:rStyle w:val="NormalTok"/>
        </w:rPr>
        <w:t>), encoding</w:t>
      </w:r>
      <w:r>
        <w:rPr>
          <w:rStyle w:val="OperatorTok"/>
        </w:rPr>
        <w:t>=</w:t>
      </w:r>
      <w:r>
        <w:rPr>
          <w:rStyle w:val="StringTok"/>
        </w:rPr>
        <w:t>"utf-8"</w:t>
      </w:r>
      <w:r>
        <w:rPr>
          <w:rStyle w:val="NormalTok"/>
        </w:rPr>
        <w:t>)</w:t>
      </w:r>
      <w:r>
        <w:br/>
      </w:r>
      <w:r>
        <w:rPr>
          <w:rStyle w:val="BuiltInTok"/>
        </w:rPr>
        <w:t>print</w:t>
      </w:r>
      <w:r>
        <w:rPr>
          <w:rStyle w:val="NormalTok"/>
        </w:rPr>
        <w:t>(</w:t>
      </w:r>
      <w:r>
        <w:rPr>
          <w:rStyle w:val="StringTok"/>
        </w:rPr>
        <w:t>"Ausgabeordner:"</w:t>
      </w:r>
      <w:r>
        <w:rPr>
          <w:rStyle w:val="NormalTok"/>
        </w:rPr>
        <w:t>, OUT.resolve())</w:t>
      </w:r>
      <w:r>
        <w:br/>
      </w:r>
      <w:r>
        <w:rPr>
          <w:rStyle w:val="BuiltInTok"/>
        </w:rPr>
        <w:t>print</w:t>
      </w:r>
      <w:r>
        <w:rPr>
          <w:rStyle w:val="NormalTok"/>
        </w:rPr>
        <w:t>(</w:t>
      </w:r>
      <w:r>
        <w:rPr>
          <w:rStyle w:val="StringTok"/>
        </w:rPr>
        <w:t>"CSV-, PNG- und validation.json-Dateien gespeichert."</w:t>
      </w:r>
      <w:r>
        <w:rPr>
          <w:rStyle w:val="NormalTok"/>
        </w:rPr>
        <w:t>)</w:t>
      </w:r>
    </w:p>
    <w:p w14:paraId="4F9854CF" w14:textId="77777777" w:rsidR="004E4CC2" w:rsidRDefault="00000000">
      <w:pPr>
        <w:pStyle w:val="SourceCode"/>
      </w:pPr>
      <w:r>
        <w:rPr>
          <w:rStyle w:val="VerbatimChar"/>
        </w:rPr>
        <w:t>Ausgabeordner: C:\Users\schneids\code\peq-higrube\peq-higrube\Berechnungen\gfz_at\outputs\recalculated</w:t>
      </w:r>
      <w:r>
        <w:br/>
      </w:r>
      <w:r>
        <w:rPr>
          <w:rStyle w:val="VerbatimChar"/>
        </w:rPr>
        <w:t>CSV-, PNG- und validation.json-Dateien gespeichert.</w:t>
      </w:r>
    </w:p>
    <w:p w14:paraId="21FA686F" w14:textId="77777777" w:rsidR="004E4CC2" w:rsidRDefault="00000000">
      <w:pPr>
        <w:pStyle w:val="berschrift2"/>
      </w:pPr>
      <w:bookmarkStart w:id="362" w:name="X40a90a541914a743d3825d225fb73bdaa9073c5"/>
      <w:bookmarkStart w:id="363" w:name="_Toc243681359"/>
      <w:bookmarkEnd w:id="360"/>
      <w:r>
        <w:t>C.10 10. Methodische Einordnung und Einschränkungen</w:t>
      </w:r>
      <w:bookmarkEnd w:id="363"/>
    </w:p>
    <w:p w14:paraId="1E853EFF" w14:textId="77777777" w:rsidR="004E4CC2" w:rsidRDefault="00000000">
      <w:pPr>
        <w:pStyle w:val="Compact"/>
        <w:numPr>
          <w:ilvl w:val="0"/>
          <w:numId w:val="10"/>
        </w:numPr>
      </w:pPr>
      <w:r>
        <w:rPr>
          <w:b/>
          <w:bCs/>
        </w:rPr>
        <w:t>Stichprobenübertragung:</w:t>
      </w:r>
      <w:r>
        <w:t xml:space="preserve"> Salzburg repräsentiert im aktuellen Modell acht Bundesländer, Wien ausschließlich Wien. Unterschiede innerhalb und zwischen den Ländern können in der Stichprobe unzureichend erfasst sein.</w:t>
      </w:r>
    </w:p>
    <w:p w14:paraId="78CE79DA" w14:textId="77777777" w:rsidR="004E4CC2" w:rsidRDefault="00000000">
      <w:pPr>
        <w:pStyle w:val="Compact"/>
        <w:numPr>
          <w:ilvl w:val="0"/>
          <w:numId w:val="10"/>
        </w:numPr>
      </w:pPr>
      <w:r>
        <w:rPr>
          <w:b/>
          <w:bCs/>
        </w:rPr>
        <w:t>Flächenumrechnung:</w:t>
      </w:r>
      <w:r>
        <w:t xml:space="preserve"> Das konstante NGF/BGF-Verhältnis von 0,8 beeinflusst die absolute BGF sämtlicher statistischer Zielgruppen. Es wird nicht nutzungs- oder regionalspezifisch kalibriert.</w:t>
      </w:r>
    </w:p>
    <w:p w14:paraId="24258966" w14:textId="77777777" w:rsidR="004E4CC2" w:rsidRDefault="00000000">
      <w:pPr>
        <w:pStyle w:val="Compact"/>
        <w:numPr>
          <w:ilvl w:val="0"/>
          <w:numId w:val="10"/>
        </w:numPr>
      </w:pPr>
      <w:r>
        <w:rPr>
          <w:b/>
          <w:bCs/>
        </w:rPr>
        <w:t>KDE:</w:t>
      </w:r>
      <w:r>
        <w:t xml:space="preserve"> Scott-Bandbreite, begrenzter GFZ-Bereich 0–20, diskrete 0,1-Schritte und Ersatzreferenzen beeinflussen die Dichteform. Die Normierung garantiert die Flächenerhaltung, </w:t>
      </w:r>
      <w:r>
        <w:rPr>
          <w:b/>
          <w:bCs/>
        </w:rPr>
        <w:t>nicht</w:t>
      </w:r>
      <w:r>
        <w:t xml:space="preserve"> die empirische Richtigkeit jeder Kurve. Bei identischen GFZ wird eine ausdrücklich gekennzeichnete Histogrammverteilung verwendet.</w:t>
      </w:r>
    </w:p>
    <w:p w14:paraId="4F14C26E" w14:textId="77777777" w:rsidR="004E4CC2" w:rsidRDefault="00000000">
      <w:pPr>
        <w:pStyle w:val="Compact"/>
        <w:numPr>
          <w:ilvl w:val="0"/>
          <w:numId w:val="10"/>
        </w:numPr>
      </w:pPr>
      <w:r>
        <w:rPr>
          <w:b/>
          <w:bCs/>
        </w:rPr>
        <w:t>Abdeckung:</w:t>
      </w:r>
      <w:r>
        <w:t xml:space="preserve"> Gering besetzte Nutzung-/Geschosskombinationen werden nach der dokumentierten Ersatzhierarchie abgebildet. Die Anzahl der Ersatzkombinationen und ihr Flächenanteil sind getrennt zu interpretieren.</w:t>
      </w:r>
    </w:p>
    <w:p w14:paraId="6A73CE86" w14:textId="77777777" w:rsidR="004E4CC2" w:rsidRDefault="00000000">
      <w:pPr>
        <w:pStyle w:val="Compact"/>
        <w:numPr>
          <w:ilvl w:val="0"/>
          <w:numId w:val="10"/>
        </w:numPr>
      </w:pPr>
      <w:r>
        <w:rPr>
          <w:b/>
          <w:bCs/>
        </w:rPr>
        <w:t>Modellgegenstand:</w:t>
      </w:r>
      <w:r>
        <w:t xml:space="preserve"> Die ermittelte GFZ-Verteilung ist eine flächengewichtete modellierte Verteilung des </w:t>
      </w:r>
      <w:r>
        <w:rPr>
          <w:i/>
          <w:iCs/>
        </w:rPr>
        <w:t>Bestands 2021</w:t>
      </w:r>
      <w:r>
        <w:t>, keine flurstücksweise Vermessung des gesamten österreichischen Gebäudebestands.</w:t>
      </w:r>
    </w:p>
    <w:p w14:paraId="77C6DF57" w14:textId="77777777" w:rsidR="004E4CC2" w:rsidRDefault="00000000">
      <w:pPr>
        <w:pStyle w:val="berschrift1"/>
      </w:pPr>
      <w:bookmarkStart w:id="364" w:name="Xe4138e61fc6710333f3d11010cb9aa29bd6c45c"/>
      <w:bookmarkStart w:id="365" w:name="_Toc243681360"/>
      <w:bookmarkEnd w:id="325"/>
      <w:bookmarkEnd w:id="362"/>
      <w:r>
        <w:t>Appendix D — Sektorale Energieallokation – Transition 2040</w:t>
      </w:r>
      <w:bookmarkEnd w:id="365"/>
    </w:p>
    <w:p w14:paraId="237305B1" w14:textId="77777777" w:rsidR="004E4CC2" w:rsidRDefault="00000000">
      <w:pPr>
        <w:pStyle w:val="berschrift1"/>
      </w:pPr>
      <w:bookmarkStart w:id="366" w:name="sec-allokation-notebook"/>
      <w:bookmarkStart w:id="367" w:name="_Toc243681361"/>
      <w:bookmarkEnd w:id="364"/>
      <w:r>
        <w:t>Appendix D — Quantitative sektorale Allokation</w:t>
      </w:r>
      <w:bookmarkEnd w:id="367"/>
    </w:p>
    <w:p w14:paraId="0EAE1F29" w14:textId="77777777" w:rsidR="004E4CC2" w:rsidRDefault="00000000">
      <w:pPr>
        <w:pStyle w:val="FirstParagraph"/>
      </w:pPr>
      <w:r>
        <w:t>Stand: 23. Oktober 2026. Dieser Anhang berechnet die Top-down-Grundlage der PEQ-Kalibrierung: den nationalen elektrischen Gebäudesektorsaldo einschließlich MIV und ein einmalig zugeteiltes elektrisches MIV-Budget. Alle fachlichen Rechnungen stehen in diesen Zellen. Die Gebäudetypologien und ihre Flächen werden erst nach Vorliegen der aktualisierten Excel bearbeitet.</w:t>
      </w:r>
    </w:p>
    <w:p w14:paraId="48EE22CA" w14:textId="77777777" w:rsidR="004E4CC2" w:rsidRDefault="00000000">
      <w:pPr>
        <w:pStyle w:val="Textkrper"/>
      </w:pPr>
      <w:r>
        <w:rPr>
          <w:b/>
          <w:bCs/>
        </w:rPr>
        <w:lastRenderedPageBreak/>
        <w:t>Quellen:</w:t>
      </w:r>
      <w:r>
        <w:t xml:space="preserve"> UBA REP-0880, Tabelle 15, S. 60 (Strombedarf) und Tabelle 16, S. 63 (Erzeugung/Nettohandel), Ausgabe ©2024, Titelblatt 2023 (Umweltbundesamt 2024). Die Zuordnungslogik folgt der in </w:t>
      </w:r>
      <w:hyperlink w:anchor="sec-allokation">
        <w:r>
          <w:rPr>
            <w:rStyle w:val="Hyperlink"/>
          </w:rPr>
          <w:t>Kapitel 5</w:t>
        </w:r>
      </w:hyperlink>
      <w:r>
        <w:t xml:space="preserve"> beschriebenen Weiterentwicklung der historischen Methode (Schneider u. a. 2020, 2023). Die nachfolgenden Parameter sind ausdrücklich eigene Rechenannahmen, keine vom UBA veröffentlichten Verkehrs- oder PV-Anteile.</w:t>
      </w:r>
    </w:p>
    <w:p w14:paraId="72B97061" w14:textId="77777777" w:rsidR="004E4CC2" w:rsidRDefault="00000000">
      <w:pPr>
        <w:pStyle w:val="berschrift2"/>
      </w:pPr>
      <w:bookmarkStart w:id="368" w:name="bilanzgrenze-und-einheiten"/>
      <w:bookmarkStart w:id="369" w:name="_Toc243681362"/>
      <w:r>
        <w:t>D.1 1. Bilanzgrenze und Einheiten</w:t>
      </w:r>
      <w:bookmarkEnd w:id="369"/>
    </w:p>
    <w:p w14:paraId="4F1920A4" w14:textId="77777777" w:rsidR="004E4CC2" w:rsidRDefault="00000000">
      <w:pPr>
        <w:pStyle w:val="FirstParagraph"/>
      </w:pPr>
      <w:r>
        <w:t xml:space="preserve">Alle Flüsse sind jährliche </w:t>
      </w:r>
      <w:r>
        <w:rPr>
          <w:b/>
          <w:bCs/>
        </w:rPr>
        <w:t>elektrische Endenergie in PJ/a</w:t>
      </w:r>
      <w:r>
        <w:t>; 1 PJ = 1/3,6 TWh. Positive Salden bedeuten Deckung minus Bedarf. Gebäude umfassen hier die UBA-Betriebsposition sowie den zugeordneten MIV. Nicht-elektrische Wärme, Brennstoffe, graue Energie und Primärenergie werden nicht mit Strom addiert. Ein virtuelles MIV-Budget ist eine Zuordnung vorhandener Erzeugung, keine zusätzliche Energiequelle.</w:t>
      </w:r>
    </w:p>
    <w:p w14:paraId="12060088" w14:textId="77777777" w:rsidR="004E4CC2" w:rsidRDefault="00000000">
      <w:pPr>
        <w:pStyle w:val="SourceCode"/>
      </w:pPr>
      <w:r>
        <w:rPr>
          <w:rStyle w:val="ImportTok"/>
        </w:rPr>
        <w:t>from</w:t>
      </w:r>
      <w:r>
        <w:rPr>
          <w:rStyle w:val="NormalTok"/>
        </w:rPr>
        <w:t xml:space="preserve"> pathlib </w:t>
      </w:r>
      <w:r>
        <w:rPr>
          <w:rStyle w:val="ImportTok"/>
        </w:rPr>
        <w:t>import</w:t>
      </w:r>
      <w:r>
        <w:rPr>
          <w:rStyle w:val="NormalTok"/>
        </w:rPr>
        <w:t xml:space="preserve"> Path</w:t>
      </w:r>
      <w:r>
        <w:br/>
      </w:r>
      <w:r>
        <w:rPr>
          <w:rStyle w:val="ImportTok"/>
        </w:rPr>
        <w:t>import</w:t>
      </w:r>
      <w:r>
        <w:rPr>
          <w:rStyle w:val="NormalTok"/>
        </w:rPr>
        <w:t xml:space="preserve"> json, hashlib</w:t>
      </w:r>
      <w:r>
        <w:br/>
      </w:r>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import</w:t>
      </w:r>
      <w:r>
        <w:rPr>
          <w:rStyle w:val="NormalTok"/>
        </w:rPr>
        <w:t xml:space="preserve"> matplotlib.pyplot </w:t>
      </w:r>
      <w:r>
        <w:rPr>
          <w:rStyle w:val="ImportTok"/>
        </w:rPr>
        <w:t>as</w:t>
      </w:r>
      <w:r>
        <w:rPr>
          <w:rStyle w:val="NormalTok"/>
        </w:rPr>
        <w:t xml:space="preserve"> plt</w:t>
      </w:r>
      <w:r>
        <w:br/>
      </w:r>
      <w:r>
        <w:rPr>
          <w:rStyle w:val="ImportTok"/>
        </w:rPr>
        <w:t>from</w:t>
      </w:r>
      <w:r>
        <w:rPr>
          <w:rStyle w:val="NormalTok"/>
        </w:rPr>
        <w:t xml:space="preserve"> IPython.display </w:t>
      </w:r>
      <w:r>
        <w:rPr>
          <w:rStyle w:val="ImportTok"/>
        </w:rPr>
        <w:t>import</w:t>
      </w:r>
      <w:r>
        <w:rPr>
          <w:rStyle w:val="NormalTok"/>
        </w:rPr>
        <w:t xml:space="preserve"> display</w:t>
      </w:r>
      <w:r>
        <w:br/>
      </w:r>
      <w:r>
        <w:rPr>
          <w:rStyle w:val="NormalTok"/>
        </w:rPr>
        <w:t xml:space="preserve">ROOT </w:t>
      </w:r>
      <w:r>
        <w:rPr>
          <w:rStyle w:val="OperatorTok"/>
        </w:rPr>
        <w:t>=</w:t>
      </w:r>
      <w:r>
        <w:rPr>
          <w:rStyle w:val="NormalTok"/>
        </w:rPr>
        <w:t xml:space="preserve"> </w:t>
      </w:r>
      <w:r>
        <w:rPr>
          <w:rStyle w:val="BuiltInTok"/>
        </w:rPr>
        <w:t>next</w:t>
      </w:r>
      <w:r>
        <w:rPr>
          <w:rStyle w:val="NormalTok"/>
        </w:rPr>
        <w:t xml:space="preserve">(p </w:t>
      </w:r>
      <w:r>
        <w:rPr>
          <w:rStyle w:val="ControlFlowTok"/>
        </w:rPr>
        <w:t>for</w:t>
      </w:r>
      <w:r>
        <w:rPr>
          <w:rStyle w:val="NormalTok"/>
        </w:rPr>
        <w:t xml:space="preserve"> p </w:t>
      </w:r>
      <w:r>
        <w:rPr>
          <w:rStyle w:val="KeywordTok"/>
        </w:rPr>
        <w:t>in</w:t>
      </w:r>
      <w:r>
        <w:rPr>
          <w:rStyle w:val="NormalTok"/>
        </w:rPr>
        <w:t xml:space="preserve"> [Path.cwd(), </w:t>
      </w:r>
      <w:r>
        <w:rPr>
          <w:rStyle w:val="OperatorTok"/>
        </w:rPr>
        <w:t>*</w:t>
      </w:r>
      <w:r>
        <w:rPr>
          <w:rStyle w:val="NormalTok"/>
        </w:rPr>
        <w:t xml:space="preserve">Path.cwd().parents] </w:t>
      </w:r>
      <w:r>
        <w:rPr>
          <w:rStyle w:val="ControlFlowTok"/>
        </w:rPr>
        <w:t>if</w:t>
      </w:r>
      <w:r>
        <w:rPr>
          <w:rStyle w:val="NormalTok"/>
        </w:rPr>
        <w:t xml:space="preserve"> (p</w:t>
      </w:r>
      <w:r>
        <w:rPr>
          <w:rStyle w:val="OperatorTok"/>
        </w:rPr>
        <w:t>/</w:t>
      </w:r>
      <w:r>
        <w:rPr>
          <w:rStyle w:val="StringTok"/>
        </w:rPr>
        <w:t>'_quarto.yml'</w:t>
      </w:r>
      <w:r>
        <w:rPr>
          <w:rStyle w:val="NormalTok"/>
        </w:rPr>
        <w:t>).exists())</w:t>
      </w:r>
      <w:r>
        <w:br/>
      </w:r>
      <w:r>
        <w:rPr>
          <w:rStyle w:val="NormalTok"/>
        </w:rPr>
        <w:t xml:space="preserve">DATA </w:t>
      </w:r>
      <w:r>
        <w:rPr>
          <w:rStyle w:val="OperatorTok"/>
        </w:rPr>
        <w:t>=</w:t>
      </w:r>
      <w:r>
        <w:rPr>
          <w:rStyle w:val="NormalTok"/>
        </w:rPr>
        <w:t xml:space="preserve"> ROOT</w:t>
      </w:r>
      <w:r>
        <w:rPr>
          <w:rStyle w:val="OperatorTok"/>
        </w:rPr>
        <w:t>/</w:t>
      </w:r>
      <w:r>
        <w:rPr>
          <w:rStyle w:val="StringTok"/>
        </w:rPr>
        <w:t>'Daten/sektorenmodell'</w:t>
      </w:r>
      <w:r>
        <w:br/>
      </w:r>
      <w:r>
        <w:rPr>
          <w:rStyle w:val="NormalTok"/>
        </w:rPr>
        <w:t xml:space="preserve">OUT </w:t>
      </w:r>
      <w:r>
        <w:rPr>
          <w:rStyle w:val="OperatorTok"/>
        </w:rPr>
        <w:t>=</w:t>
      </w:r>
      <w:r>
        <w:rPr>
          <w:rStyle w:val="NormalTok"/>
        </w:rPr>
        <w:t xml:space="preserve"> ROOT</w:t>
      </w:r>
      <w:r>
        <w:rPr>
          <w:rStyle w:val="OperatorTok"/>
        </w:rPr>
        <w:t>/</w:t>
      </w:r>
      <w:r>
        <w:rPr>
          <w:rStyle w:val="StringTok"/>
        </w:rPr>
        <w:t>'Berechnungen/sektorenmodell/outputs/allokation'</w:t>
      </w:r>
      <w:r>
        <w:br/>
      </w:r>
      <w:r>
        <w:rPr>
          <w:rStyle w:val="NormalTok"/>
        </w:rPr>
        <w:t>OUT.mkdir(parents</w:t>
      </w:r>
      <w:r>
        <w:rPr>
          <w:rStyle w:val="OperatorTok"/>
        </w:rPr>
        <w:t>=</w:t>
      </w:r>
      <w:r>
        <w:rPr>
          <w:rStyle w:val="VariableTok"/>
        </w:rPr>
        <w:t>True</w:t>
      </w:r>
      <w:r>
        <w:rPr>
          <w:rStyle w:val="NormalTok"/>
        </w:rPr>
        <w:t>, exist_ok</w:t>
      </w:r>
      <w:r>
        <w:rPr>
          <w:rStyle w:val="OperatorTok"/>
        </w:rPr>
        <w:t>=</w:t>
      </w:r>
      <w:r>
        <w:rPr>
          <w:rStyle w:val="VariableTok"/>
        </w:rPr>
        <w:t>True</w:t>
      </w:r>
      <w:r>
        <w:rPr>
          <w:rStyle w:val="NormalTok"/>
        </w:rPr>
        <w:t>)</w:t>
      </w:r>
      <w:r>
        <w:br/>
      </w:r>
      <w:r>
        <w:rPr>
          <w:rStyle w:val="NormalTok"/>
        </w:rPr>
        <w:t>plt.rcParams.update({</w:t>
      </w:r>
      <w:r>
        <w:rPr>
          <w:rStyle w:val="StringTok"/>
        </w:rPr>
        <w:t>'figure.dpi'</w:t>
      </w:r>
      <w:r>
        <w:rPr>
          <w:rStyle w:val="NormalTok"/>
        </w:rPr>
        <w:t>:</w:t>
      </w:r>
      <w:r>
        <w:rPr>
          <w:rStyle w:val="DecValTok"/>
        </w:rPr>
        <w:t>130</w:t>
      </w:r>
      <w:r>
        <w:rPr>
          <w:rStyle w:val="NormalTok"/>
        </w:rPr>
        <w:t xml:space="preserve">, </w:t>
      </w:r>
      <w:r>
        <w:rPr>
          <w:rStyle w:val="StringTok"/>
        </w:rPr>
        <w:t>'font.size'</w:t>
      </w:r>
      <w:r>
        <w:rPr>
          <w:rStyle w:val="NormalTok"/>
        </w:rPr>
        <w:t>:</w:t>
      </w:r>
      <w:r>
        <w:rPr>
          <w:rStyle w:val="DecValTok"/>
        </w:rPr>
        <w:t>10</w:t>
      </w:r>
      <w:r>
        <w:rPr>
          <w:rStyle w:val="NormalTok"/>
        </w:rPr>
        <w:t xml:space="preserve">, </w:t>
      </w:r>
      <w:r>
        <w:rPr>
          <w:rStyle w:val="StringTok"/>
        </w:rPr>
        <w:t>'axes.spines.top'</w:t>
      </w:r>
      <w:r>
        <w:rPr>
          <w:rStyle w:val="NormalTok"/>
        </w:rPr>
        <w:t>:</w:t>
      </w:r>
      <w:r>
        <w:rPr>
          <w:rStyle w:val="VariableTok"/>
        </w:rPr>
        <w:t>False</w:t>
      </w:r>
      <w:r>
        <w:rPr>
          <w:rStyle w:val="NormalTok"/>
        </w:rPr>
        <w:t xml:space="preserve">, </w:t>
      </w:r>
      <w:r>
        <w:rPr>
          <w:rStyle w:val="StringTok"/>
        </w:rPr>
        <w:t>'axes.spines.right'</w:t>
      </w:r>
      <w:r>
        <w:rPr>
          <w:rStyle w:val="NormalTok"/>
        </w:rPr>
        <w:t>:</w:t>
      </w:r>
      <w:r>
        <w:rPr>
          <w:rStyle w:val="VariableTok"/>
        </w:rPr>
        <w:t>False</w:t>
      </w:r>
      <w:r>
        <w:rPr>
          <w:rStyle w:val="NormalTok"/>
        </w:rPr>
        <w:t>})</w:t>
      </w:r>
      <w:r>
        <w:br/>
      </w:r>
      <w:r>
        <w:rPr>
          <w:rStyle w:val="NormalTok"/>
        </w:rPr>
        <w:t>tables</w:t>
      </w:r>
      <w:r>
        <w:rPr>
          <w:rStyle w:val="OperatorTok"/>
        </w:rPr>
        <w:t>=</w:t>
      </w:r>
      <w:r>
        <w:rPr>
          <w:rStyle w:val="NormalTok"/>
        </w:rPr>
        <w:t>{name:pd.read_csv(DATA</w:t>
      </w:r>
      <w:r>
        <w:rPr>
          <w:rStyle w:val="OperatorTok"/>
        </w:rPr>
        <w:t>/</w:t>
      </w:r>
      <w:r>
        <w:rPr>
          <w:rStyle w:val="NormalTok"/>
        </w:rPr>
        <w:t xml:space="preserve">name) </w:t>
      </w:r>
      <w:r>
        <w:rPr>
          <w:rStyle w:val="ControlFlowTok"/>
        </w:rPr>
        <w:t>for</w:t>
      </w:r>
      <w:r>
        <w:rPr>
          <w:rStyle w:val="NormalTok"/>
        </w:rPr>
        <w:t xml:space="preserve"> name </w:t>
      </w:r>
      <w:r>
        <w:rPr>
          <w:rStyle w:val="KeywordTok"/>
        </w:rPr>
        <w:t>in</w:t>
      </w:r>
      <w:r>
        <w:rPr>
          <w:rStyle w:val="NormalTok"/>
        </w:rPr>
        <w:t xml:space="preserve"> [</w:t>
      </w:r>
      <w:r>
        <w:rPr>
          <w:rStyle w:val="StringTok"/>
        </w:rPr>
        <w:t>'stromerzeugung_2040.csv'</w:t>
      </w:r>
      <w:r>
        <w:rPr>
          <w:rStyle w:val="NormalTok"/>
        </w:rPr>
        <w:t>,</w:t>
      </w:r>
      <w:r>
        <w:rPr>
          <w:rStyle w:val="StringTok"/>
        </w:rPr>
        <w:t>'strombedarf_2040.csv'</w:t>
      </w:r>
      <w:r>
        <w:rPr>
          <w:rStyle w:val="NormalTok"/>
        </w:rPr>
        <w:t>]}</w:t>
      </w:r>
      <w:r>
        <w:br/>
      </w:r>
      <w:r>
        <w:rPr>
          <w:rStyle w:val="NormalTok"/>
        </w:rPr>
        <w:t>selected</w:t>
      </w:r>
      <w:r>
        <w:rPr>
          <w:rStyle w:val="OperatorTok"/>
        </w:rPr>
        <w:t>=</w:t>
      </w:r>
      <w:r>
        <w:rPr>
          <w:rStyle w:val="NormalTok"/>
        </w:rPr>
        <w:t>{name:df.loc[df.scenario.eq(</w:t>
      </w:r>
      <w:r>
        <w:rPr>
          <w:rStyle w:val="StringTok"/>
        </w:rPr>
        <w:t>'transition_2040'</w:t>
      </w:r>
      <w:r>
        <w:rPr>
          <w:rStyle w:val="NormalTok"/>
        </w:rPr>
        <w:t xml:space="preserve">)].copy() </w:t>
      </w:r>
      <w:r>
        <w:rPr>
          <w:rStyle w:val="ControlFlowTok"/>
        </w:rPr>
        <w:t>for</w:t>
      </w:r>
      <w:r>
        <w:rPr>
          <w:rStyle w:val="NormalTok"/>
        </w:rPr>
        <w:t xml:space="preserve"> name,df </w:t>
      </w:r>
      <w:r>
        <w:rPr>
          <w:rStyle w:val="KeywordTok"/>
        </w:rPr>
        <w:t>in</w:t>
      </w:r>
      <w:r>
        <w:rPr>
          <w:rStyle w:val="NormalTok"/>
        </w:rPr>
        <w:t xml:space="preserve"> tables.items()}</w:t>
      </w:r>
      <w:r>
        <w:br/>
      </w:r>
      <w:r>
        <w:rPr>
          <w:rStyle w:val="ControlFlowTok"/>
        </w:rPr>
        <w:t>for</w:t>
      </w:r>
      <w:r>
        <w:rPr>
          <w:rStyle w:val="NormalTok"/>
        </w:rPr>
        <w:t xml:space="preserve"> name,df </w:t>
      </w:r>
      <w:r>
        <w:rPr>
          <w:rStyle w:val="KeywordTok"/>
        </w:rPr>
        <w:t>in</w:t>
      </w:r>
      <w:r>
        <w:rPr>
          <w:rStyle w:val="NormalTok"/>
        </w:rPr>
        <w:t xml:space="preserve"> selected.items():</w:t>
      </w:r>
      <w:r>
        <w:br/>
      </w:r>
      <w:r>
        <w:rPr>
          <w:rStyle w:val="NormalTok"/>
        </w:rPr>
        <w:t xml:space="preserve">    </w:t>
      </w:r>
      <w:r>
        <w:rPr>
          <w:rStyle w:val="ControlFlowTok"/>
        </w:rPr>
        <w:t>assert</w:t>
      </w:r>
      <w:r>
        <w:rPr>
          <w:rStyle w:val="NormalTok"/>
        </w:rPr>
        <w:t xml:space="preserve"> df.metric.is_unique </w:t>
      </w:r>
      <w:r>
        <w:rPr>
          <w:rStyle w:val="KeywordTok"/>
        </w:rPr>
        <w:t>and</w:t>
      </w:r>
      <w:r>
        <w:rPr>
          <w:rStyle w:val="NormalTok"/>
        </w:rPr>
        <w:t xml:space="preserve"> df.value_pj.notna().</w:t>
      </w:r>
      <w:r>
        <w:rPr>
          <w:rStyle w:val="BuiltInTok"/>
        </w:rPr>
        <w:t>all</w:t>
      </w:r>
      <w:r>
        <w:rPr>
          <w:rStyle w:val="NormalTok"/>
        </w:rPr>
        <w:t>()</w:t>
      </w:r>
      <w:r>
        <w:br/>
      </w:r>
      <w:r>
        <w:rPr>
          <w:rStyle w:val="NormalTok"/>
        </w:rPr>
        <w:t xml:space="preserve">    </w:t>
      </w:r>
      <w:r>
        <w:rPr>
          <w:rStyle w:val="ControlFlowTok"/>
        </w:rPr>
        <w:t>assert</w:t>
      </w:r>
      <w:r>
        <w:rPr>
          <w:rStyle w:val="NormalTok"/>
        </w:rPr>
        <w:t xml:space="preserve"> df.year.eq(</w:t>
      </w:r>
      <w:r>
        <w:rPr>
          <w:rStyle w:val="DecValTok"/>
        </w:rPr>
        <w:t>2040</w:t>
      </w:r>
      <w:r>
        <w:rPr>
          <w:rStyle w:val="NormalTok"/>
        </w:rPr>
        <w:t>).</w:t>
      </w:r>
      <w:r>
        <w:rPr>
          <w:rStyle w:val="BuiltInTok"/>
        </w:rPr>
        <w:t>all</w:t>
      </w:r>
      <w:r>
        <w:rPr>
          <w:rStyle w:val="NormalTok"/>
        </w:rPr>
        <w:t xml:space="preserve">() </w:t>
      </w:r>
      <w:r>
        <w:rPr>
          <w:rStyle w:val="KeywordTok"/>
        </w:rPr>
        <w:t>and</w:t>
      </w:r>
      <w:r>
        <w:rPr>
          <w:rStyle w:val="NormalTok"/>
        </w:rPr>
        <w:t xml:space="preserve"> df.source_id.eq(</w:t>
      </w:r>
      <w:r>
        <w:rPr>
          <w:rStyle w:val="StringTok"/>
        </w:rPr>
        <w:t>'TRANSITION'</w:t>
      </w:r>
      <w:r>
        <w:rPr>
          <w:rStyle w:val="NormalTok"/>
        </w:rPr>
        <w:t>).</w:t>
      </w:r>
      <w:r>
        <w:rPr>
          <w:rStyle w:val="BuiltInTok"/>
        </w:rPr>
        <w:t>all</w:t>
      </w:r>
      <w:r>
        <w:rPr>
          <w:rStyle w:val="NormalTok"/>
        </w:rPr>
        <w:t>()</w:t>
      </w:r>
      <w:r>
        <w:br/>
      </w:r>
      <w:r>
        <w:rPr>
          <w:rStyle w:val="NormalTok"/>
        </w:rPr>
        <w:t xml:space="preserve">    display(df[[</w:t>
      </w:r>
      <w:r>
        <w:rPr>
          <w:rStyle w:val="StringTok"/>
        </w:rPr>
        <w:t>'metric'</w:t>
      </w:r>
      <w:r>
        <w:rPr>
          <w:rStyle w:val="NormalTok"/>
        </w:rPr>
        <w:t>,</w:t>
      </w:r>
      <w:r>
        <w:rPr>
          <w:rStyle w:val="StringTok"/>
        </w:rPr>
        <w:t>'value_pj'</w:t>
      </w:r>
      <w:r>
        <w:rPr>
          <w:rStyle w:val="NormalTok"/>
        </w:rPr>
        <w:t>,</w:t>
      </w:r>
      <w:r>
        <w:rPr>
          <w:rStyle w:val="StringTok"/>
        </w:rPr>
        <w:t>'energy_basis'</w:t>
      </w:r>
      <w:r>
        <w:rPr>
          <w:rStyle w:val="NormalTok"/>
        </w:rPr>
        <w:t>,</w:t>
      </w:r>
      <w:r>
        <w:rPr>
          <w:rStyle w:val="StringTok"/>
        </w:rPr>
        <w:t>'source_location'</w:t>
      </w:r>
      <w:r>
        <w:rPr>
          <w:rStyle w:val="NormalTok"/>
        </w:rPr>
        <w:t>]])</w:t>
      </w:r>
      <w:r>
        <w:br/>
      </w:r>
      <w:r>
        <w:rPr>
          <w:rStyle w:val="NormalTok"/>
        </w:rPr>
        <w:t>g</w:t>
      </w:r>
      <w:r>
        <w:rPr>
          <w:rStyle w:val="OperatorTok"/>
        </w:rPr>
        <w:t>=</w:t>
      </w:r>
      <w:r>
        <w:rPr>
          <w:rStyle w:val="NormalTok"/>
        </w:rPr>
        <w:t>selected[</w:t>
      </w:r>
      <w:r>
        <w:rPr>
          <w:rStyle w:val="StringTok"/>
        </w:rPr>
        <w:t>'stromerzeugung_2040.csv'</w:t>
      </w:r>
      <w:r>
        <w:rPr>
          <w:rStyle w:val="NormalTok"/>
        </w:rPr>
        <w:t>].set_index(</w:t>
      </w:r>
      <w:r>
        <w:rPr>
          <w:rStyle w:val="StringTok"/>
        </w:rPr>
        <w:t>'metric'</w:t>
      </w:r>
      <w:r>
        <w:rPr>
          <w:rStyle w:val="NormalTok"/>
        </w:rPr>
        <w:t>).value_pj.to_dict()</w:t>
      </w:r>
      <w:r>
        <w:br/>
      </w:r>
      <w:r>
        <w:rPr>
          <w:rStyle w:val="NormalTok"/>
        </w:rPr>
        <w:t>d</w:t>
      </w:r>
      <w:r>
        <w:rPr>
          <w:rStyle w:val="OperatorTok"/>
        </w:rPr>
        <w:t>=</w:t>
      </w:r>
      <w:r>
        <w:rPr>
          <w:rStyle w:val="NormalTok"/>
        </w:rPr>
        <w:t>selected[</w:t>
      </w:r>
      <w:r>
        <w:rPr>
          <w:rStyle w:val="StringTok"/>
        </w:rPr>
        <w:t>'strombedarf_2040.csv'</w:t>
      </w:r>
      <w:r>
        <w:rPr>
          <w:rStyle w:val="NormalTok"/>
        </w:rPr>
        <w:t>].set_index(</w:t>
      </w:r>
      <w:r>
        <w:rPr>
          <w:rStyle w:val="StringTok"/>
        </w:rPr>
        <w:t>'metric'</w:t>
      </w:r>
      <w:r>
        <w:rPr>
          <w:rStyle w:val="NormalTok"/>
        </w:rPr>
        <w:t>).value_pj.to_dict()</w:t>
      </w:r>
      <w:r>
        <w:br/>
      </w:r>
      <w:r>
        <w:rPr>
          <w:rStyle w:val="NormalTok"/>
        </w:rPr>
        <w:t>provenance</w:t>
      </w:r>
      <w:r>
        <w:rPr>
          <w:rStyle w:val="OperatorTok"/>
        </w:rPr>
        <w:t>=</w:t>
      </w:r>
      <w:r>
        <w:rPr>
          <w:rStyle w:val="NormalTok"/>
        </w:rPr>
        <w:t>{name:hashlib.sha256((DATA</w:t>
      </w:r>
      <w:r>
        <w:rPr>
          <w:rStyle w:val="OperatorTok"/>
        </w:rPr>
        <w:t>/</w:t>
      </w:r>
      <w:r>
        <w:rPr>
          <w:rStyle w:val="NormalTok"/>
        </w:rPr>
        <w:t xml:space="preserve">name).read_bytes()).hexdigest() </w:t>
      </w:r>
      <w:r>
        <w:rPr>
          <w:rStyle w:val="ControlFlowTok"/>
        </w:rPr>
        <w:t>for</w:t>
      </w:r>
      <w:r>
        <w:rPr>
          <w:rStyle w:val="NormalTok"/>
        </w:rPr>
        <w:t xml:space="preserve"> name </w:t>
      </w:r>
      <w:r>
        <w:rPr>
          <w:rStyle w:val="KeywordTok"/>
        </w:rPr>
        <w:t>in</w:t>
      </w:r>
      <w:r>
        <w:rPr>
          <w:rStyle w:val="NormalTok"/>
        </w:rPr>
        <w:t xml:space="preserve"> tables}</w:t>
      </w:r>
    </w:p>
    <w:tbl>
      <w:tblPr>
        <w:tblStyle w:val="Table"/>
        <w:tblW w:w="0" w:type="auto"/>
        <w:tblLook w:val="0020" w:firstRow="1" w:lastRow="0" w:firstColumn="0" w:lastColumn="0" w:noHBand="0" w:noVBand="0"/>
      </w:tblPr>
      <w:tblGrid>
        <w:gridCol w:w="429"/>
        <w:gridCol w:w="3298"/>
        <w:gridCol w:w="928"/>
        <w:gridCol w:w="3367"/>
        <w:gridCol w:w="1600"/>
      </w:tblGrid>
      <w:tr w:rsidR="004E4CC2" w14:paraId="63F72D20"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0B4F29CA" w14:textId="77777777" w:rsidR="004E4CC2" w:rsidRDefault="004E4CC2">
            <w:pPr>
              <w:pStyle w:val="Compact"/>
            </w:pPr>
          </w:p>
        </w:tc>
        <w:tc>
          <w:tcPr>
            <w:tcW w:w="0" w:type="auto"/>
          </w:tcPr>
          <w:p w14:paraId="7702EFB0" w14:textId="77777777" w:rsidR="004E4CC2" w:rsidRDefault="00000000">
            <w:pPr>
              <w:pStyle w:val="Compact"/>
            </w:pPr>
            <w:r>
              <w:t>metric</w:t>
            </w:r>
          </w:p>
        </w:tc>
        <w:tc>
          <w:tcPr>
            <w:tcW w:w="0" w:type="auto"/>
          </w:tcPr>
          <w:p w14:paraId="46B233D0" w14:textId="77777777" w:rsidR="004E4CC2" w:rsidRDefault="00000000">
            <w:pPr>
              <w:pStyle w:val="Compact"/>
            </w:pPr>
            <w:r>
              <w:t>value_pj</w:t>
            </w:r>
          </w:p>
        </w:tc>
        <w:tc>
          <w:tcPr>
            <w:tcW w:w="0" w:type="auto"/>
          </w:tcPr>
          <w:p w14:paraId="3D7A9C96" w14:textId="77777777" w:rsidR="004E4CC2" w:rsidRDefault="00000000">
            <w:pPr>
              <w:pStyle w:val="Compact"/>
            </w:pPr>
            <w:r>
              <w:t>energy_basis</w:t>
            </w:r>
          </w:p>
        </w:tc>
        <w:tc>
          <w:tcPr>
            <w:tcW w:w="0" w:type="auto"/>
          </w:tcPr>
          <w:p w14:paraId="23D60128" w14:textId="77777777" w:rsidR="004E4CC2" w:rsidRDefault="00000000">
            <w:pPr>
              <w:pStyle w:val="Compact"/>
            </w:pPr>
            <w:r>
              <w:t>source_location</w:t>
            </w:r>
          </w:p>
        </w:tc>
      </w:tr>
      <w:tr w:rsidR="004E4CC2" w14:paraId="55C7BD67" w14:textId="77777777">
        <w:tc>
          <w:tcPr>
            <w:tcW w:w="0" w:type="auto"/>
          </w:tcPr>
          <w:p w14:paraId="1C8B1D69" w14:textId="77777777" w:rsidR="004E4CC2" w:rsidRDefault="00000000">
            <w:pPr>
              <w:pStyle w:val="Compact"/>
            </w:pPr>
            <w:r>
              <w:t>18</w:t>
            </w:r>
          </w:p>
        </w:tc>
        <w:tc>
          <w:tcPr>
            <w:tcW w:w="0" w:type="auto"/>
          </w:tcPr>
          <w:p w14:paraId="1FF4177E" w14:textId="77777777" w:rsidR="004E4CC2" w:rsidRDefault="00000000">
            <w:pPr>
              <w:pStyle w:val="Compact"/>
            </w:pPr>
            <w:r>
              <w:t>fossil</w:t>
            </w:r>
          </w:p>
        </w:tc>
        <w:tc>
          <w:tcPr>
            <w:tcW w:w="0" w:type="auto"/>
          </w:tcPr>
          <w:p w14:paraId="72360826" w14:textId="77777777" w:rsidR="004E4CC2" w:rsidRDefault="00000000">
            <w:pPr>
              <w:pStyle w:val="Compact"/>
            </w:pPr>
            <w:r>
              <w:t>1</w:t>
            </w:r>
          </w:p>
        </w:tc>
        <w:tc>
          <w:tcPr>
            <w:tcW w:w="0" w:type="auto"/>
          </w:tcPr>
          <w:p w14:paraId="1DE38FAB" w14:textId="77777777" w:rsidR="004E4CC2" w:rsidRDefault="00000000">
            <w:pPr>
              <w:pStyle w:val="Compact"/>
            </w:pPr>
            <w:r>
              <w:t>electricity_generation_or_net_import</w:t>
            </w:r>
          </w:p>
        </w:tc>
        <w:tc>
          <w:tcPr>
            <w:tcW w:w="0" w:type="auto"/>
          </w:tcPr>
          <w:p w14:paraId="3E0B6252" w14:textId="77777777" w:rsidR="004E4CC2" w:rsidRDefault="00000000">
            <w:pPr>
              <w:pStyle w:val="Compact"/>
            </w:pPr>
            <w:r>
              <w:t>Tabelle 16, S. 63</w:t>
            </w:r>
          </w:p>
        </w:tc>
      </w:tr>
      <w:tr w:rsidR="004E4CC2" w14:paraId="24148666" w14:textId="77777777">
        <w:tc>
          <w:tcPr>
            <w:tcW w:w="0" w:type="auto"/>
          </w:tcPr>
          <w:p w14:paraId="6AB9FB8C" w14:textId="77777777" w:rsidR="004E4CC2" w:rsidRDefault="00000000">
            <w:pPr>
              <w:pStyle w:val="Compact"/>
            </w:pPr>
            <w:r>
              <w:t>19</w:t>
            </w:r>
          </w:p>
        </w:tc>
        <w:tc>
          <w:tcPr>
            <w:tcW w:w="0" w:type="auto"/>
          </w:tcPr>
          <w:p w14:paraId="7BF40F9C" w14:textId="77777777" w:rsidR="004E4CC2" w:rsidRDefault="00000000">
            <w:pPr>
              <w:pStyle w:val="Compact"/>
            </w:pPr>
            <w:r>
              <w:t>hydro</w:t>
            </w:r>
          </w:p>
        </w:tc>
        <w:tc>
          <w:tcPr>
            <w:tcW w:w="0" w:type="auto"/>
          </w:tcPr>
          <w:p w14:paraId="5D07C723" w14:textId="77777777" w:rsidR="004E4CC2" w:rsidRDefault="00000000">
            <w:pPr>
              <w:pStyle w:val="Compact"/>
            </w:pPr>
            <w:r>
              <w:t>173</w:t>
            </w:r>
          </w:p>
        </w:tc>
        <w:tc>
          <w:tcPr>
            <w:tcW w:w="0" w:type="auto"/>
          </w:tcPr>
          <w:p w14:paraId="0E6F601C" w14:textId="77777777" w:rsidR="004E4CC2" w:rsidRDefault="00000000">
            <w:pPr>
              <w:pStyle w:val="Compact"/>
            </w:pPr>
            <w:r>
              <w:t>electricity_generation_or_net_import</w:t>
            </w:r>
          </w:p>
        </w:tc>
        <w:tc>
          <w:tcPr>
            <w:tcW w:w="0" w:type="auto"/>
          </w:tcPr>
          <w:p w14:paraId="61C6D634" w14:textId="77777777" w:rsidR="004E4CC2" w:rsidRDefault="00000000">
            <w:pPr>
              <w:pStyle w:val="Compact"/>
            </w:pPr>
            <w:r>
              <w:t>Tabelle 16, S. 63</w:t>
            </w:r>
          </w:p>
        </w:tc>
      </w:tr>
      <w:tr w:rsidR="004E4CC2" w14:paraId="6BC4E607" w14:textId="77777777">
        <w:tc>
          <w:tcPr>
            <w:tcW w:w="0" w:type="auto"/>
          </w:tcPr>
          <w:p w14:paraId="4274B40C" w14:textId="77777777" w:rsidR="004E4CC2" w:rsidRDefault="00000000">
            <w:pPr>
              <w:pStyle w:val="Compact"/>
            </w:pPr>
            <w:r>
              <w:t>20</w:t>
            </w:r>
          </w:p>
        </w:tc>
        <w:tc>
          <w:tcPr>
            <w:tcW w:w="0" w:type="auto"/>
          </w:tcPr>
          <w:p w14:paraId="122C04A8" w14:textId="77777777" w:rsidR="004E4CC2" w:rsidRDefault="00000000">
            <w:pPr>
              <w:pStyle w:val="Compact"/>
            </w:pPr>
            <w:r>
              <w:t>biomass</w:t>
            </w:r>
          </w:p>
        </w:tc>
        <w:tc>
          <w:tcPr>
            <w:tcW w:w="0" w:type="auto"/>
          </w:tcPr>
          <w:p w14:paraId="3DBB61C5" w14:textId="77777777" w:rsidR="004E4CC2" w:rsidRDefault="00000000">
            <w:pPr>
              <w:pStyle w:val="Compact"/>
            </w:pPr>
            <w:r>
              <w:t>21</w:t>
            </w:r>
          </w:p>
        </w:tc>
        <w:tc>
          <w:tcPr>
            <w:tcW w:w="0" w:type="auto"/>
          </w:tcPr>
          <w:p w14:paraId="58A29A02" w14:textId="77777777" w:rsidR="004E4CC2" w:rsidRDefault="00000000">
            <w:pPr>
              <w:pStyle w:val="Compact"/>
            </w:pPr>
            <w:r>
              <w:t>electricity_generation_or_net_import</w:t>
            </w:r>
          </w:p>
        </w:tc>
        <w:tc>
          <w:tcPr>
            <w:tcW w:w="0" w:type="auto"/>
          </w:tcPr>
          <w:p w14:paraId="70FB1797" w14:textId="77777777" w:rsidR="004E4CC2" w:rsidRDefault="00000000">
            <w:pPr>
              <w:pStyle w:val="Compact"/>
            </w:pPr>
            <w:r>
              <w:t>Tabelle 16, S. 63</w:t>
            </w:r>
          </w:p>
        </w:tc>
      </w:tr>
      <w:tr w:rsidR="004E4CC2" w14:paraId="1F2592C8" w14:textId="77777777">
        <w:tc>
          <w:tcPr>
            <w:tcW w:w="0" w:type="auto"/>
          </w:tcPr>
          <w:p w14:paraId="7BB98337" w14:textId="77777777" w:rsidR="004E4CC2" w:rsidRDefault="00000000">
            <w:pPr>
              <w:pStyle w:val="Compact"/>
            </w:pPr>
            <w:r>
              <w:lastRenderedPageBreak/>
              <w:t>21</w:t>
            </w:r>
          </w:p>
        </w:tc>
        <w:tc>
          <w:tcPr>
            <w:tcW w:w="0" w:type="auto"/>
          </w:tcPr>
          <w:p w14:paraId="16EBCBBF" w14:textId="77777777" w:rsidR="004E4CC2" w:rsidRDefault="00000000">
            <w:pPr>
              <w:pStyle w:val="Compact"/>
            </w:pPr>
            <w:r>
              <w:t>geothermal</w:t>
            </w:r>
          </w:p>
        </w:tc>
        <w:tc>
          <w:tcPr>
            <w:tcW w:w="0" w:type="auto"/>
          </w:tcPr>
          <w:p w14:paraId="6EF40E1D" w14:textId="77777777" w:rsidR="004E4CC2" w:rsidRDefault="00000000">
            <w:pPr>
              <w:pStyle w:val="Compact"/>
            </w:pPr>
            <w:r>
              <w:t>4</w:t>
            </w:r>
          </w:p>
        </w:tc>
        <w:tc>
          <w:tcPr>
            <w:tcW w:w="0" w:type="auto"/>
          </w:tcPr>
          <w:p w14:paraId="23CE636D" w14:textId="77777777" w:rsidR="004E4CC2" w:rsidRDefault="00000000">
            <w:pPr>
              <w:pStyle w:val="Compact"/>
            </w:pPr>
            <w:r>
              <w:t>electricity_generation_or_net_import</w:t>
            </w:r>
          </w:p>
        </w:tc>
        <w:tc>
          <w:tcPr>
            <w:tcW w:w="0" w:type="auto"/>
          </w:tcPr>
          <w:p w14:paraId="3FC90DDC" w14:textId="77777777" w:rsidR="004E4CC2" w:rsidRDefault="00000000">
            <w:pPr>
              <w:pStyle w:val="Compact"/>
            </w:pPr>
            <w:r>
              <w:t>Tabelle 16, S. 63</w:t>
            </w:r>
          </w:p>
        </w:tc>
      </w:tr>
      <w:tr w:rsidR="004E4CC2" w14:paraId="127DBFDC" w14:textId="77777777">
        <w:tc>
          <w:tcPr>
            <w:tcW w:w="0" w:type="auto"/>
          </w:tcPr>
          <w:p w14:paraId="7F7CBEAC" w14:textId="77777777" w:rsidR="004E4CC2" w:rsidRDefault="00000000">
            <w:pPr>
              <w:pStyle w:val="Compact"/>
            </w:pPr>
            <w:r>
              <w:t>22</w:t>
            </w:r>
          </w:p>
        </w:tc>
        <w:tc>
          <w:tcPr>
            <w:tcW w:w="0" w:type="auto"/>
          </w:tcPr>
          <w:p w14:paraId="6FABB947" w14:textId="77777777" w:rsidR="004E4CC2" w:rsidRDefault="00000000">
            <w:pPr>
              <w:pStyle w:val="Compact"/>
            </w:pPr>
            <w:r>
              <w:t>pv</w:t>
            </w:r>
          </w:p>
        </w:tc>
        <w:tc>
          <w:tcPr>
            <w:tcW w:w="0" w:type="auto"/>
          </w:tcPr>
          <w:p w14:paraId="29EFCF1B" w14:textId="77777777" w:rsidR="004E4CC2" w:rsidRDefault="00000000">
            <w:pPr>
              <w:pStyle w:val="Compact"/>
            </w:pPr>
            <w:r>
              <w:t>149</w:t>
            </w:r>
          </w:p>
        </w:tc>
        <w:tc>
          <w:tcPr>
            <w:tcW w:w="0" w:type="auto"/>
          </w:tcPr>
          <w:p w14:paraId="6FE91174" w14:textId="77777777" w:rsidR="004E4CC2" w:rsidRDefault="00000000">
            <w:pPr>
              <w:pStyle w:val="Compact"/>
            </w:pPr>
            <w:r>
              <w:t>electricity_generation_or_net_import</w:t>
            </w:r>
          </w:p>
        </w:tc>
        <w:tc>
          <w:tcPr>
            <w:tcW w:w="0" w:type="auto"/>
          </w:tcPr>
          <w:p w14:paraId="5B4F7664" w14:textId="77777777" w:rsidR="004E4CC2" w:rsidRDefault="00000000">
            <w:pPr>
              <w:pStyle w:val="Compact"/>
            </w:pPr>
            <w:r>
              <w:t>Tabelle 16, S. 63</w:t>
            </w:r>
          </w:p>
        </w:tc>
      </w:tr>
      <w:tr w:rsidR="004E4CC2" w14:paraId="7EC4F8D0" w14:textId="77777777">
        <w:tc>
          <w:tcPr>
            <w:tcW w:w="0" w:type="auto"/>
          </w:tcPr>
          <w:p w14:paraId="7D36131D" w14:textId="77777777" w:rsidR="004E4CC2" w:rsidRDefault="00000000">
            <w:pPr>
              <w:pStyle w:val="Compact"/>
            </w:pPr>
            <w:r>
              <w:t>23</w:t>
            </w:r>
          </w:p>
        </w:tc>
        <w:tc>
          <w:tcPr>
            <w:tcW w:w="0" w:type="auto"/>
          </w:tcPr>
          <w:p w14:paraId="1E884895" w14:textId="77777777" w:rsidR="004E4CC2" w:rsidRDefault="00000000">
            <w:pPr>
              <w:pStyle w:val="Compact"/>
            </w:pPr>
            <w:r>
              <w:t>wind</w:t>
            </w:r>
          </w:p>
        </w:tc>
        <w:tc>
          <w:tcPr>
            <w:tcW w:w="0" w:type="auto"/>
          </w:tcPr>
          <w:p w14:paraId="6D553825" w14:textId="77777777" w:rsidR="004E4CC2" w:rsidRDefault="00000000">
            <w:pPr>
              <w:pStyle w:val="Compact"/>
            </w:pPr>
            <w:r>
              <w:t>105</w:t>
            </w:r>
          </w:p>
        </w:tc>
        <w:tc>
          <w:tcPr>
            <w:tcW w:w="0" w:type="auto"/>
          </w:tcPr>
          <w:p w14:paraId="7957D03C" w14:textId="77777777" w:rsidR="004E4CC2" w:rsidRDefault="00000000">
            <w:pPr>
              <w:pStyle w:val="Compact"/>
            </w:pPr>
            <w:r>
              <w:t>electricity_generation_or_net_import</w:t>
            </w:r>
          </w:p>
        </w:tc>
        <w:tc>
          <w:tcPr>
            <w:tcW w:w="0" w:type="auto"/>
          </w:tcPr>
          <w:p w14:paraId="38DC841C" w14:textId="77777777" w:rsidR="004E4CC2" w:rsidRDefault="00000000">
            <w:pPr>
              <w:pStyle w:val="Compact"/>
            </w:pPr>
            <w:r>
              <w:t>Tabelle 16, S. 63</w:t>
            </w:r>
          </w:p>
        </w:tc>
      </w:tr>
      <w:tr w:rsidR="004E4CC2" w14:paraId="681B1872" w14:textId="77777777">
        <w:tc>
          <w:tcPr>
            <w:tcW w:w="0" w:type="auto"/>
          </w:tcPr>
          <w:p w14:paraId="658A512D" w14:textId="77777777" w:rsidR="004E4CC2" w:rsidRDefault="00000000">
            <w:pPr>
              <w:pStyle w:val="Compact"/>
            </w:pPr>
            <w:r>
              <w:t>24</w:t>
            </w:r>
          </w:p>
        </w:tc>
        <w:tc>
          <w:tcPr>
            <w:tcW w:w="0" w:type="auto"/>
          </w:tcPr>
          <w:p w14:paraId="065910E1" w14:textId="77777777" w:rsidR="004E4CC2" w:rsidRDefault="00000000">
            <w:pPr>
              <w:pStyle w:val="Compact"/>
            </w:pPr>
            <w:r>
              <w:t>hydrogen_electricity</w:t>
            </w:r>
          </w:p>
        </w:tc>
        <w:tc>
          <w:tcPr>
            <w:tcW w:w="0" w:type="auto"/>
          </w:tcPr>
          <w:p w14:paraId="21E93FF0" w14:textId="77777777" w:rsidR="004E4CC2" w:rsidRDefault="00000000">
            <w:pPr>
              <w:pStyle w:val="Compact"/>
            </w:pPr>
            <w:r>
              <w:t>4</w:t>
            </w:r>
          </w:p>
        </w:tc>
        <w:tc>
          <w:tcPr>
            <w:tcW w:w="0" w:type="auto"/>
          </w:tcPr>
          <w:p w14:paraId="0C469682" w14:textId="77777777" w:rsidR="004E4CC2" w:rsidRDefault="00000000">
            <w:pPr>
              <w:pStyle w:val="Compact"/>
            </w:pPr>
            <w:r>
              <w:t>electricity_generation_or_net_import</w:t>
            </w:r>
          </w:p>
        </w:tc>
        <w:tc>
          <w:tcPr>
            <w:tcW w:w="0" w:type="auto"/>
          </w:tcPr>
          <w:p w14:paraId="0B08B52C" w14:textId="77777777" w:rsidR="004E4CC2" w:rsidRDefault="00000000">
            <w:pPr>
              <w:pStyle w:val="Compact"/>
            </w:pPr>
            <w:r>
              <w:t>Tabelle 16, S. 63</w:t>
            </w:r>
          </w:p>
        </w:tc>
      </w:tr>
      <w:tr w:rsidR="004E4CC2" w14:paraId="422988C3" w14:textId="77777777">
        <w:tc>
          <w:tcPr>
            <w:tcW w:w="0" w:type="auto"/>
          </w:tcPr>
          <w:p w14:paraId="7285C7D8" w14:textId="77777777" w:rsidR="004E4CC2" w:rsidRDefault="00000000">
            <w:pPr>
              <w:pStyle w:val="Compact"/>
            </w:pPr>
            <w:r>
              <w:t>25</w:t>
            </w:r>
          </w:p>
        </w:tc>
        <w:tc>
          <w:tcPr>
            <w:tcW w:w="0" w:type="auto"/>
          </w:tcPr>
          <w:p w14:paraId="1150A208" w14:textId="77777777" w:rsidR="004E4CC2" w:rsidRDefault="00000000">
            <w:pPr>
              <w:pStyle w:val="Compact"/>
            </w:pPr>
            <w:r>
              <w:t>generation_published_total</w:t>
            </w:r>
          </w:p>
        </w:tc>
        <w:tc>
          <w:tcPr>
            <w:tcW w:w="0" w:type="auto"/>
          </w:tcPr>
          <w:p w14:paraId="5D64CA6C" w14:textId="77777777" w:rsidR="004E4CC2" w:rsidRDefault="00000000">
            <w:pPr>
              <w:pStyle w:val="Compact"/>
            </w:pPr>
            <w:r>
              <w:t>457</w:t>
            </w:r>
          </w:p>
        </w:tc>
        <w:tc>
          <w:tcPr>
            <w:tcW w:w="0" w:type="auto"/>
          </w:tcPr>
          <w:p w14:paraId="7EB66FF1" w14:textId="77777777" w:rsidR="004E4CC2" w:rsidRDefault="00000000">
            <w:pPr>
              <w:pStyle w:val="Compact"/>
            </w:pPr>
            <w:r>
              <w:t>electricity_generation_or_net_import</w:t>
            </w:r>
          </w:p>
        </w:tc>
        <w:tc>
          <w:tcPr>
            <w:tcW w:w="0" w:type="auto"/>
          </w:tcPr>
          <w:p w14:paraId="37F1612B" w14:textId="77777777" w:rsidR="004E4CC2" w:rsidRDefault="00000000">
            <w:pPr>
              <w:pStyle w:val="Compact"/>
            </w:pPr>
            <w:r>
              <w:t>Tabelle 16, S. 63</w:t>
            </w:r>
          </w:p>
        </w:tc>
      </w:tr>
      <w:tr w:rsidR="004E4CC2" w14:paraId="3A623C63" w14:textId="77777777">
        <w:tc>
          <w:tcPr>
            <w:tcW w:w="0" w:type="auto"/>
          </w:tcPr>
          <w:p w14:paraId="4E706805" w14:textId="77777777" w:rsidR="004E4CC2" w:rsidRDefault="00000000">
            <w:pPr>
              <w:pStyle w:val="Compact"/>
            </w:pPr>
            <w:r>
              <w:t>26</w:t>
            </w:r>
          </w:p>
        </w:tc>
        <w:tc>
          <w:tcPr>
            <w:tcW w:w="0" w:type="auto"/>
          </w:tcPr>
          <w:p w14:paraId="49537716" w14:textId="77777777" w:rsidR="004E4CC2" w:rsidRDefault="00000000">
            <w:pPr>
              <w:pStyle w:val="Compact"/>
            </w:pPr>
            <w:r>
              <w:t>net_imports</w:t>
            </w:r>
          </w:p>
        </w:tc>
        <w:tc>
          <w:tcPr>
            <w:tcW w:w="0" w:type="auto"/>
          </w:tcPr>
          <w:p w14:paraId="220C56B8" w14:textId="77777777" w:rsidR="004E4CC2" w:rsidRDefault="00000000">
            <w:pPr>
              <w:pStyle w:val="Compact"/>
            </w:pPr>
            <w:r>
              <w:t>-7</w:t>
            </w:r>
          </w:p>
        </w:tc>
        <w:tc>
          <w:tcPr>
            <w:tcW w:w="0" w:type="auto"/>
          </w:tcPr>
          <w:p w14:paraId="4E678E82" w14:textId="77777777" w:rsidR="004E4CC2" w:rsidRDefault="00000000">
            <w:pPr>
              <w:pStyle w:val="Compact"/>
            </w:pPr>
            <w:r>
              <w:t>electricity_generation_or_net_import</w:t>
            </w:r>
          </w:p>
        </w:tc>
        <w:tc>
          <w:tcPr>
            <w:tcW w:w="0" w:type="auto"/>
          </w:tcPr>
          <w:p w14:paraId="75D2FDDF" w14:textId="77777777" w:rsidR="004E4CC2" w:rsidRDefault="00000000">
            <w:pPr>
              <w:pStyle w:val="Compact"/>
            </w:pPr>
            <w:r>
              <w:t>Tabelle 16, S. 63</w:t>
            </w:r>
          </w:p>
        </w:tc>
      </w:tr>
      <w:tr w:rsidR="004E4CC2" w14:paraId="3D0C837B" w14:textId="77777777" w:rsidTr="004E4CC2">
        <w:trPr>
          <w:tblHeader/>
        </w:trPr>
        <w:tc>
          <w:tcPr>
            <w:tcW w:w="0" w:type="auto"/>
          </w:tcPr>
          <w:p w14:paraId="65B37CDA" w14:textId="77777777" w:rsidR="004E4CC2" w:rsidRDefault="004E4CC2">
            <w:pPr>
              <w:pStyle w:val="Compact"/>
            </w:pPr>
          </w:p>
        </w:tc>
        <w:tc>
          <w:tcPr>
            <w:tcW w:w="0" w:type="auto"/>
          </w:tcPr>
          <w:p w14:paraId="31C99DB3" w14:textId="77777777" w:rsidR="004E4CC2" w:rsidRDefault="00000000">
            <w:pPr>
              <w:pStyle w:val="Compact"/>
            </w:pPr>
            <w:r>
              <w:t>metric</w:t>
            </w:r>
          </w:p>
        </w:tc>
        <w:tc>
          <w:tcPr>
            <w:tcW w:w="0" w:type="auto"/>
          </w:tcPr>
          <w:p w14:paraId="1EB3A216" w14:textId="77777777" w:rsidR="004E4CC2" w:rsidRDefault="00000000">
            <w:pPr>
              <w:pStyle w:val="Compact"/>
            </w:pPr>
            <w:r>
              <w:t>value_pj</w:t>
            </w:r>
          </w:p>
        </w:tc>
        <w:tc>
          <w:tcPr>
            <w:tcW w:w="0" w:type="auto"/>
          </w:tcPr>
          <w:p w14:paraId="6C5DF976" w14:textId="77777777" w:rsidR="004E4CC2" w:rsidRDefault="00000000">
            <w:pPr>
              <w:pStyle w:val="Compact"/>
            </w:pPr>
            <w:r>
              <w:t>energy_basis</w:t>
            </w:r>
          </w:p>
        </w:tc>
        <w:tc>
          <w:tcPr>
            <w:tcW w:w="0" w:type="auto"/>
          </w:tcPr>
          <w:p w14:paraId="6C380B0B" w14:textId="77777777" w:rsidR="004E4CC2" w:rsidRDefault="00000000">
            <w:pPr>
              <w:pStyle w:val="Compact"/>
            </w:pPr>
            <w:r>
              <w:t>source_location</w:t>
            </w:r>
          </w:p>
        </w:tc>
      </w:tr>
      <w:tr w:rsidR="004E4CC2" w14:paraId="51268FEC" w14:textId="77777777">
        <w:tc>
          <w:tcPr>
            <w:tcW w:w="0" w:type="auto"/>
          </w:tcPr>
          <w:p w14:paraId="241CE179" w14:textId="77777777" w:rsidR="004E4CC2" w:rsidRDefault="00000000">
            <w:pPr>
              <w:pStyle w:val="Compact"/>
            </w:pPr>
            <w:r>
              <w:t>16</w:t>
            </w:r>
          </w:p>
        </w:tc>
        <w:tc>
          <w:tcPr>
            <w:tcW w:w="0" w:type="auto"/>
          </w:tcPr>
          <w:p w14:paraId="0302A5FE" w14:textId="77777777" w:rsidR="004E4CC2" w:rsidRDefault="00000000">
            <w:pPr>
              <w:pStyle w:val="Compact"/>
            </w:pPr>
            <w:r>
              <w:t>verkehr</w:t>
            </w:r>
          </w:p>
        </w:tc>
        <w:tc>
          <w:tcPr>
            <w:tcW w:w="0" w:type="auto"/>
          </w:tcPr>
          <w:p w14:paraId="17A6BC3F" w14:textId="77777777" w:rsidR="004E4CC2" w:rsidRDefault="00000000">
            <w:pPr>
              <w:pStyle w:val="Compact"/>
            </w:pPr>
            <w:r>
              <w:t>90</w:t>
            </w:r>
          </w:p>
        </w:tc>
        <w:tc>
          <w:tcPr>
            <w:tcW w:w="0" w:type="auto"/>
          </w:tcPr>
          <w:p w14:paraId="72906E7D" w14:textId="77777777" w:rsidR="004E4CC2" w:rsidRDefault="00000000">
            <w:pPr>
              <w:pStyle w:val="Compact"/>
            </w:pPr>
            <w:r>
              <w:t>electricity_demand</w:t>
            </w:r>
          </w:p>
        </w:tc>
        <w:tc>
          <w:tcPr>
            <w:tcW w:w="0" w:type="auto"/>
          </w:tcPr>
          <w:p w14:paraId="29EBABB2" w14:textId="77777777" w:rsidR="004E4CC2" w:rsidRDefault="00000000">
            <w:pPr>
              <w:pStyle w:val="Compact"/>
            </w:pPr>
            <w:r>
              <w:t>Tabelle 15, S. 60</w:t>
            </w:r>
          </w:p>
        </w:tc>
      </w:tr>
      <w:tr w:rsidR="004E4CC2" w14:paraId="4FBED55C" w14:textId="77777777">
        <w:tc>
          <w:tcPr>
            <w:tcW w:w="0" w:type="auto"/>
          </w:tcPr>
          <w:p w14:paraId="4F6C3CC8" w14:textId="77777777" w:rsidR="004E4CC2" w:rsidRDefault="00000000">
            <w:pPr>
              <w:pStyle w:val="Compact"/>
            </w:pPr>
            <w:r>
              <w:t>17</w:t>
            </w:r>
          </w:p>
        </w:tc>
        <w:tc>
          <w:tcPr>
            <w:tcW w:w="0" w:type="auto"/>
          </w:tcPr>
          <w:p w14:paraId="06649BA7" w14:textId="77777777" w:rsidR="004E4CC2" w:rsidRDefault="00000000">
            <w:pPr>
              <w:pStyle w:val="Compact"/>
            </w:pPr>
            <w:r>
              <w:t>gebaeude</w:t>
            </w:r>
          </w:p>
        </w:tc>
        <w:tc>
          <w:tcPr>
            <w:tcW w:w="0" w:type="auto"/>
          </w:tcPr>
          <w:p w14:paraId="5CB404B9" w14:textId="77777777" w:rsidR="004E4CC2" w:rsidRDefault="00000000">
            <w:pPr>
              <w:pStyle w:val="Compact"/>
            </w:pPr>
            <w:r>
              <w:t>108</w:t>
            </w:r>
          </w:p>
        </w:tc>
        <w:tc>
          <w:tcPr>
            <w:tcW w:w="0" w:type="auto"/>
          </w:tcPr>
          <w:p w14:paraId="012609BF" w14:textId="77777777" w:rsidR="004E4CC2" w:rsidRDefault="00000000">
            <w:pPr>
              <w:pStyle w:val="Compact"/>
            </w:pPr>
            <w:r>
              <w:t>electricity_demand</w:t>
            </w:r>
          </w:p>
        </w:tc>
        <w:tc>
          <w:tcPr>
            <w:tcW w:w="0" w:type="auto"/>
          </w:tcPr>
          <w:p w14:paraId="2B50A461" w14:textId="77777777" w:rsidR="004E4CC2" w:rsidRDefault="00000000">
            <w:pPr>
              <w:pStyle w:val="Compact"/>
            </w:pPr>
            <w:r>
              <w:t>Tabelle 15, S. 60</w:t>
            </w:r>
          </w:p>
        </w:tc>
      </w:tr>
      <w:tr w:rsidR="004E4CC2" w14:paraId="77245625" w14:textId="77777777">
        <w:tc>
          <w:tcPr>
            <w:tcW w:w="0" w:type="auto"/>
          </w:tcPr>
          <w:p w14:paraId="670C11A2" w14:textId="77777777" w:rsidR="004E4CC2" w:rsidRDefault="00000000">
            <w:pPr>
              <w:pStyle w:val="Compact"/>
            </w:pPr>
            <w:r>
              <w:t>18</w:t>
            </w:r>
          </w:p>
        </w:tc>
        <w:tc>
          <w:tcPr>
            <w:tcW w:w="0" w:type="auto"/>
          </w:tcPr>
          <w:p w14:paraId="550D68E3" w14:textId="77777777" w:rsidR="004E4CC2" w:rsidRDefault="00000000">
            <w:pPr>
              <w:pStyle w:val="Compact"/>
            </w:pPr>
            <w:r>
              <w:t>landwirtschaft</w:t>
            </w:r>
          </w:p>
        </w:tc>
        <w:tc>
          <w:tcPr>
            <w:tcW w:w="0" w:type="auto"/>
          </w:tcPr>
          <w:p w14:paraId="7E7DC206" w14:textId="77777777" w:rsidR="004E4CC2" w:rsidRDefault="00000000">
            <w:pPr>
              <w:pStyle w:val="Compact"/>
            </w:pPr>
            <w:r>
              <w:t>4</w:t>
            </w:r>
          </w:p>
        </w:tc>
        <w:tc>
          <w:tcPr>
            <w:tcW w:w="0" w:type="auto"/>
          </w:tcPr>
          <w:p w14:paraId="39896028" w14:textId="77777777" w:rsidR="004E4CC2" w:rsidRDefault="00000000">
            <w:pPr>
              <w:pStyle w:val="Compact"/>
            </w:pPr>
            <w:r>
              <w:t>electricity_demand</w:t>
            </w:r>
          </w:p>
        </w:tc>
        <w:tc>
          <w:tcPr>
            <w:tcW w:w="0" w:type="auto"/>
          </w:tcPr>
          <w:p w14:paraId="663AC1A9" w14:textId="77777777" w:rsidR="004E4CC2" w:rsidRDefault="00000000">
            <w:pPr>
              <w:pStyle w:val="Compact"/>
            </w:pPr>
            <w:r>
              <w:t>Tabelle 15, S. 60</w:t>
            </w:r>
          </w:p>
        </w:tc>
      </w:tr>
      <w:tr w:rsidR="004E4CC2" w14:paraId="245F3809" w14:textId="77777777">
        <w:tc>
          <w:tcPr>
            <w:tcW w:w="0" w:type="auto"/>
          </w:tcPr>
          <w:p w14:paraId="4809BCE8" w14:textId="77777777" w:rsidR="004E4CC2" w:rsidRDefault="00000000">
            <w:pPr>
              <w:pStyle w:val="Compact"/>
            </w:pPr>
            <w:r>
              <w:t>19</w:t>
            </w:r>
          </w:p>
        </w:tc>
        <w:tc>
          <w:tcPr>
            <w:tcW w:w="0" w:type="auto"/>
          </w:tcPr>
          <w:p w14:paraId="38A0E6AD" w14:textId="77777777" w:rsidR="004E4CC2" w:rsidRDefault="00000000">
            <w:pPr>
              <w:pStyle w:val="Compact"/>
            </w:pPr>
            <w:r>
              <w:t>industrie</w:t>
            </w:r>
          </w:p>
        </w:tc>
        <w:tc>
          <w:tcPr>
            <w:tcW w:w="0" w:type="auto"/>
          </w:tcPr>
          <w:p w14:paraId="0FBE3EE3" w14:textId="77777777" w:rsidR="004E4CC2" w:rsidRDefault="00000000">
            <w:pPr>
              <w:pStyle w:val="Compact"/>
            </w:pPr>
            <w:r>
              <w:t>140</w:t>
            </w:r>
          </w:p>
        </w:tc>
        <w:tc>
          <w:tcPr>
            <w:tcW w:w="0" w:type="auto"/>
          </w:tcPr>
          <w:p w14:paraId="107F3B3F" w14:textId="77777777" w:rsidR="004E4CC2" w:rsidRDefault="00000000">
            <w:pPr>
              <w:pStyle w:val="Compact"/>
            </w:pPr>
            <w:r>
              <w:t>electricity_demand</w:t>
            </w:r>
          </w:p>
        </w:tc>
        <w:tc>
          <w:tcPr>
            <w:tcW w:w="0" w:type="auto"/>
          </w:tcPr>
          <w:p w14:paraId="7C109CE0" w14:textId="77777777" w:rsidR="004E4CC2" w:rsidRDefault="00000000">
            <w:pPr>
              <w:pStyle w:val="Compact"/>
            </w:pPr>
            <w:r>
              <w:t>Tabelle 15, S. 60</w:t>
            </w:r>
          </w:p>
        </w:tc>
      </w:tr>
      <w:tr w:rsidR="004E4CC2" w14:paraId="3D73032D" w14:textId="77777777">
        <w:tc>
          <w:tcPr>
            <w:tcW w:w="0" w:type="auto"/>
          </w:tcPr>
          <w:p w14:paraId="73F57214" w14:textId="77777777" w:rsidR="004E4CC2" w:rsidRDefault="00000000">
            <w:pPr>
              <w:pStyle w:val="Compact"/>
            </w:pPr>
            <w:r>
              <w:t>20</w:t>
            </w:r>
          </w:p>
        </w:tc>
        <w:tc>
          <w:tcPr>
            <w:tcW w:w="0" w:type="auto"/>
          </w:tcPr>
          <w:p w14:paraId="2A266E0A" w14:textId="77777777" w:rsidR="004E4CC2" w:rsidRDefault="00000000">
            <w:pPr>
              <w:pStyle w:val="Compact"/>
            </w:pPr>
            <w:r>
              <w:t>verbrauch_sektor_energie</w:t>
            </w:r>
          </w:p>
        </w:tc>
        <w:tc>
          <w:tcPr>
            <w:tcW w:w="0" w:type="auto"/>
          </w:tcPr>
          <w:p w14:paraId="1F584A61" w14:textId="77777777" w:rsidR="004E4CC2" w:rsidRDefault="00000000">
            <w:pPr>
              <w:pStyle w:val="Compact"/>
            </w:pPr>
            <w:r>
              <w:t>34</w:t>
            </w:r>
          </w:p>
        </w:tc>
        <w:tc>
          <w:tcPr>
            <w:tcW w:w="0" w:type="auto"/>
          </w:tcPr>
          <w:p w14:paraId="192A2F6D" w14:textId="77777777" w:rsidR="004E4CC2" w:rsidRDefault="00000000">
            <w:pPr>
              <w:pStyle w:val="Compact"/>
            </w:pPr>
            <w:r>
              <w:t>electricity_demand</w:t>
            </w:r>
          </w:p>
        </w:tc>
        <w:tc>
          <w:tcPr>
            <w:tcW w:w="0" w:type="auto"/>
          </w:tcPr>
          <w:p w14:paraId="026A2751" w14:textId="77777777" w:rsidR="004E4CC2" w:rsidRDefault="00000000">
            <w:pPr>
              <w:pStyle w:val="Compact"/>
            </w:pPr>
            <w:r>
              <w:t>Tabelle 15, S. 60</w:t>
            </w:r>
          </w:p>
        </w:tc>
      </w:tr>
      <w:tr w:rsidR="004E4CC2" w14:paraId="02AF5BB9" w14:textId="77777777">
        <w:tc>
          <w:tcPr>
            <w:tcW w:w="0" w:type="auto"/>
          </w:tcPr>
          <w:p w14:paraId="004DAA66" w14:textId="77777777" w:rsidR="004E4CC2" w:rsidRDefault="00000000">
            <w:pPr>
              <w:pStyle w:val="Compact"/>
            </w:pPr>
            <w:r>
              <w:t>21</w:t>
            </w:r>
          </w:p>
        </w:tc>
        <w:tc>
          <w:tcPr>
            <w:tcW w:w="0" w:type="auto"/>
          </w:tcPr>
          <w:p w14:paraId="3E8EB564" w14:textId="77777777" w:rsidR="004E4CC2" w:rsidRDefault="00000000">
            <w:pPr>
              <w:pStyle w:val="Compact"/>
            </w:pPr>
            <w:r>
              <w:t>transportverluste</w:t>
            </w:r>
          </w:p>
        </w:tc>
        <w:tc>
          <w:tcPr>
            <w:tcW w:w="0" w:type="auto"/>
          </w:tcPr>
          <w:p w14:paraId="03D188DC" w14:textId="77777777" w:rsidR="004E4CC2" w:rsidRDefault="00000000">
            <w:pPr>
              <w:pStyle w:val="Compact"/>
            </w:pPr>
            <w:r>
              <w:t>19</w:t>
            </w:r>
          </w:p>
        </w:tc>
        <w:tc>
          <w:tcPr>
            <w:tcW w:w="0" w:type="auto"/>
          </w:tcPr>
          <w:p w14:paraId="187C2562" w14:textId="77777777" w:rsidR="004E4CC2" w:rsidRDefault="00000000">
            <w:pPr>
              <w:pStyle w:val="Compact"/>
            </w:pPr>
            <w:r>
              <w:t>electricity_demand</w:t>
            </w:r>
          </w:p>
        </w:tc>
        <w:tc>
          <w:tcPr>
            <w:tcW w:w="0" w:type="auto"/>
          </w:tcPr>
          <w:p w14:paraId="6DB2E2B0" w14:textId="77777777" w:rsidR="004E4CC2" w:rsidRDefault="00000000">
            <w:pPr>
              <w:pStyle w:val="Compact"/>
            </w:pPr>
            <w:r>
              <w:t>Tabelle 15, S. 60</w:t>
            </w:r>
          </w:p>
        </w:tc>
      </w:tr>
      <w:tr w:rsidR="004E4CC2" w14:paraId="0D75BBFE" w14:textId="77777777">
        <w:tc>
          <w:tcPr>
            <w:tcW w:w="0" w:type="auto"/>
          </w:tcPr>
          <w:p w14:paraId="1C5E7D55" w14:textId="77777777" w:rsidR="004E4CC2" w:rsidRDefault="00000000">
            <w:pPr>
              <w:pStyle w:val="Compact"/>
            </w:pPr>
            <w:r>
              <w:t>22</w:t>
            </w:r>
          </w:p>
        </w:tc>
        <w:tc>
          <w:tcPr>
            <w:tcW w:w="0" w:type="auto"/>
          </w:tcPr>
          <w:p w14:paraId="6FFAF767" w14:textId="77777777" w:rsidR="004E4CC2" w:rsidRDefault="00000000">
            <w:pPr>
              <w:pStyle w:val="Compact"/>
            </w:pPr>
            <w:r>
              <w:t>umwandlungseinsatz</w:t>
            </w:r>
          </w:p>
        </w:tc>
        <w:tc>
          <w:tcPr>
            <w:tcW w:w="0" w:type="auto"/>
          </w:tcPr>
          <w:p w14:paraId="09F20CE1" w14:textId="77777777" w:rsidR="004E4CC2" w:rsidRDefault="00000000">
            <w:pPr>
              <w:pStyle w:val="Compact"/>
            </w:pPr>
            <w:r>
              <w:t>57</w:t>
            </w:r>
          </w:p>
        </w:tc>
        <w:tc>
          <w:tcPr>
            <w:tcW w:w="0" w:type="auto"/>
          </w:tcPr>
          <w:p w14:paraId="25E4BAED" w14:textId="77777777" w:rsidR="004E4CC2" w:rsidRDefault="00000000">
            <w:pPr>
              <w:pStyle w:val="Compact"/>
            </w:pPr>
            <w:r>
              <w:t>electricity_demand</w:t>
            </w:r>
          </w:p>
        </w:tc>
        <w:tc>
          <w:tcPr>
            <w:tcW w:w="0" w:type="auto"/>
          </w:tcPr>
          <w:p w14:paraId="52E3EFDC" w14:textId="77777777" w:rsidR="004E4CC2" w:rsidRDefault="00000000">
            <w:pPr>
              <w:pStyle w:val="Compact"/>
            </w:pPr>
            <w:r>
              <w:t>Tabelle 15, S. 60</w:t>
            </w:r>
          </w:p>
        </w:tc>
      </w:tr>
      <w:tr w:rsidR="004E4CC2" w14:paraId="1DF04F1E" w14:textId="77777777">
        <w:tc>
          <w:tcPr>
            <w:tcW w:w="0" w:type="auto"/>
          </w:tcPr>
          <w:p w14:paraId="78B9B66B" w14:textId="77777777" w:rsidR="004E4CC2" w:rsidRDefault="00000000">
            <w:pPr>
              <w:pStyle w:val="Compact"/>
            </w:pPr>
            <w:r>
              <w:t>23</w:t>
            </w:r>
          </w:p>
        </w:tc>
        <w:tc>
          <w:tcPr>
            <w:tcW w:w="0" w:type="auto"/>
          </w:tcPr>
          <w:p w14:paraId="07981B17" w14:textId="77777777" w:rsidR="004E4CC2" w:rsidRDefault="00000000">
            <w:pPr>
              <w:pStyle w:val="Compact"/>
            </w:pPr>
            <w:r>
              <w:t>electricity_demand_published_total</w:t>
            </w:r>
          </w:p>
        </w:tc>
        <w:tc>
          <w:tcPr>
            <w:tcW w:w="0" w:type="auto"/>
          </w:tcPr>
          <w:p w14:paraId="7153EA57" w14:textId="77777777" w:rsidR="004E4CC2" w:rsidRDefault="00000000">
            <w:pPr>
              <w:pStyle w:val="Compact"/>
            </w:pPr>
            <w:r>
              <w:t>450</w:t>
            </w:r>
          </w:p>
        </w:tc>
        <w:tc>
          <w:tcPr>
            <w:tcW w:w="0" w:type="auto"/>
          </w:tcPr>
          <w:p w14:paraId="3B51F328" w14:textId="77777777" w:rsidR="004E4CC2" w:rsidRDefault="00000000">
            <w:pPr>
              <w:pStyle w:val="Compact"/>
            </w:pPr>
            <w:r>
              <w:t>electricity_demand</w:t>
            </w:r>
          </w:p>
        </w:tc>
        <w:tc>
          <w:tcPr>
            <w:tcW w:w="0" w:type="auto"/>
          </w:tcPr>
          <w:p w14:paraId="51EA2091" w14:textId="77777777" w:rsidR="004E4CC2" w:rsidRDefault="00000000">
            <w:pPr>
              <w:pStyle w:val="Compact"/>
            </w:pPr>
            <w:r>
              <w:t>Tabelle 15, S. 60</w:t>
            </w:r>
          </w:p>
        </w:tc>
      </w:tr>
    </w:tbl>
    <w:p w14:paraId="2717EFB7" w14:textId="77777777" w:rsidR="004E4CC2" w:rsidRDefault="00000000">
      <w:pPr>
        <w:pStyle w:val="berschrift2"/>
      </w:pPr>
      <w:bookmarkStart w:id="370" w:name="quellbilanz-vor-allokation"/>
      <w:bookmarkStart w:id="371" w:name="_Toc243681363"/>
      <w:bookmarkEnd w:id="368"/>
      <w:r>
        <w:t>D.2 2. Quellbilanz vor Allokation</w:t>
      </w:r>
      <w:bookmarkEnd w:id="371"/>
    </w:p>
    <w:p w14:paraId="5C5413B3" w14:textId="77777777" w:rsidR="004E4CC2" w:rsidRDefault="00000000">
      <w:pPr>
        <w:pStyle w:val="FirstParagraph"/>
      </w:pPr>
      <m:oMath>
        <m:sSub>
          <m:sSubPr>
            <m:ctrlPr>
              <w:rPr>
                <w:rFonts w:ascii="Cambria Math" w:hAnsi="Cambria Math"/>
              </w:rPr>
            </m:ctrlPr>
          </m:sSubPr>
          <m:e>
            <m:r>
              <w:rPr>
                <w:rFonts w:ascii="Cambria Math" w:hAnsi="Cambria Math"/>
              </w:rPr>
              <m:t>R</m:t>
            </m:r>
          </m:e>
          <m:sub>
            <m:r>
              <w:rPr>
                <w:rFonts w:ascii="Cambria Math" w:hAnsi="Cambria Math"/>
              </w:rPr>
              <m:t>Quelle</m:t>
            </m:r>
          </m:sub>
        </m:sSub>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oMath>
      <w:r>
        <w:t xml:space="preserve">. Nettoimporte </w:t>
      </w:r>
      <m:oMath>
        <m:r>
          <w:rPr>
            <w:rFonts w:ascii="Cambria Math" w:hAnsi="Cambria Math"/>
          </w:rPr>
          <m:t>I</m:t>
        </m:r>
        <m:r>
          <m:rPr>
            <m:sty m:val="p"/>
          </m:rPr>
          <w:rPr>
            <w:rFonts w:ascii="Cambria Math" w:hAnsi="Cambria Math"/>
          </w:rPr>
          <m:t>&lt;</m:t>
        </m:r>
        <m:r>
          <w:rPr>
            <w:rFonts w:ascii="Cambria Math" w:hAnsi="Cambria Math"/>
          </w:rPr>
          <m:t>0</m:t>
        </m:r>
      </m:oMath>
      <w:r>
        <w:t xml:space="preserve"> sind Exporte. Die gedruckte Gesamtsumme des Bedarfs wird neben der Summe der Komponenten erhalten. Die Zuordnung arbeitet mit den Komponenten, ohne ihren Unterschied zu verteilen.</w:t>
      </w:r>
    </w:p>
    <w:p w14:paraId="20849A2A" w14:textId="77777777" w:rsidR="004E4CC2" w:rsidRDefault="00000000">
      <w:pPr>
        <w:pStyle w:val="SourceCode"/>
      </w:pPr>
      <w:r>
        <w:rPr>
          <w:rStyle w:val="NormalTok"/>
        </w:rPr>
        <w:t>generation_keys</w:t>
      </w:r>
      <w:r>
        <w:rPr>
          <w:rStyle w:val="OperatorTok"/>
        </w:rPr>
        <w:t>=</w:t>
      </w:r>
      <w:r>
        <w:rPr>
          <w:rStyle w:val="NormalTok"/>
        </w:rPr>
        <w:t>[</w:t>
      </w:r>
      <w:r>
        <w:rPr>
          <w:rStyle w:val="StringTok"/>
        </w:rPr>
        <w:t>'hydro'</w:t>
      </w:r>
      <w:r>
        <w:rPr>
          <w:rStyle w:val="NormalTok"/>
        </w:rPr>
        <w:t>,</w:t>
      </w:r>
      <w:r>
        <w:rPr>
          <w:rStyle w:val="StringTok"/>
        </w:rPr>
        <w:t>'wind'</w:t>
      </w:r>
      <w:r>
        <w:rPr>
          <w:rStyle w:val="NormalTok"/>
        </w:rPr>
        <w:t>,</w:t>
      </w:r>
      <w:r>
        <w:rPr>
          <w:rStyle w:val="StringTok"/>
        </w:rPr>
        <w:t>'biomass'</w:t>
      </w:r>
      <w:r>
        <w:rPr>
          <w:rStyle w:val="NormalTok"/>
        </w:rPr>
        <w:t>,</w:t>
      </w:r>
      <w:r>
        <w:rPr>
          <w:rStyle w:val="StringTok"/>
        </w:rPr>
        <w:t>'geothermal'</w:t>
      </w:r>
      <w:r>
        <w:rPr>
          <w:rStyle w:val="NormalTok"/>
        </w:rPr>
        <w:t>,</w:t>
      </w:r>
      <w:r>
        <w:rPr>
          <w:rStyle w:val="StringTok"/>
        </w:rPr>
        <w:t>'hydrogen_electricity'</w:t>
      </w:r>
      <w:r>
        <w:rPr>
          <w:rStyle w:val="NormalTok"/>
        </w:rPr>
        <w:t>,</w:t>
      </w:r>
      <w:r>
        <w:rPr>
          <w:rStyle w:val="StringTok"/>
        </w:rPr>
        <w:t>'pv'</w:t>
      </w:r>
      <w:r>
        <w:rPr>
          <w:rStyle w:val="NormalTok"/>
        </w:rPr>
        <w:t>,</w:t>
      </w:r>
      <w:r>
        <w:rPr>
          <w:rStyle w:val="StringTok"/>
        </w:rPr>
        <w:t>'fossil'</w:t>
      </w:r>
      <w:r>
        <w:rPr>
          <w:rStyle w:val="NormalTok"/>
        </w:rPr>
        <w:t>]</w:t>
      </w:r>
      <w:r>
        <w:br/>
      </w:r>
      <w:r>
        <w:rPr>
          <w:rStyle w:val="NormalTok"/>
        </w:rPr>
        <w:t>demand_keys</w:t>
      </w:r>
      <w:r>
        <w:rPr>
          <w:rStyle w:val="OperatorTok"/>
        </w:rPr>
        <w:t>=</w:t>
      </w:r>
      <w:r>
        <w:rPr>
          <w:rStyle w:val="NormalTok"/>
        </w:rPr>
        <w:t>[</w:t>
      </w:r>
      <w:r>
        <w:rPr>
          <w:rStyle w:val="StringTok"/>
        </w:rPr>
        <w:t>'verkehr'</w:t>
      </w:r>
      <w:r>
        <w:rPr>
          <w:rStyle w:val="NormalTok"/>
        </w:rPr>
        <w:t>,</w:t>
      </w:r>
      <w:r>
        <w:rPr>
          <w:rStyle w:val="StringTok"/>
        </w:rPr>
        <w:t>'gebaeude'</w:t>
      </w:r>
      <w:r>
        <w:rPr>
          <w:rStyle w:val="NormalTok"/>
        </w:rPr>
        <w:t>,</w:t>
      </w:r>
      <w:r>
        <w:rPr>
          <w:rStyle w:val="StringTok"/>
        </w:rPr>
        <w:t>'industrie'</w:t>
      </w:r>
      <w:r>
        <w:rPr>
          <w:rStyle w:val="NormalTok"/>
        </w:rPr>
        <w:t>,</w:t>
      </w:r>
      <w:r>
        <w:rPr>
          <w:rStyle w:val="StringTok"/>
        </w:rPr>
        <w:t>'landwirtschaft'</w:t>
      </w:r>
      <w:r>
        <w:rPr>
          <w:rStyle w:val="NormalTok"/>
        </w:rPr>
        <w:t>,</w:t>
      </w:r>
      <w:r>
        <w:rPr>
          <w:rStyle w:val="StringTok"/>
        </w:rPr>
        <w:t>'verbrauch_sek</w:t>
      </w:r>
      <w:r>
        <w:rPr>
          <w:rStyle w:val="StringTok"/>
        </w:rPr>
        <w:lastRenderedPageBreak/>
        <w:t>tor_energie'</w:t>
      </w:r>
      <w:r>
        <w:rPr>
          <w:rStyle w:val="NormalTok"/>
        </w:rPr>
        <w:t>,</w:t>
      </w:r>
      <w:r>
        <w:rPr>
          <w:rStyle w:val="StringTok"/>
        </w:rPr>
        <w:t>'transportverluste'</w:t>
      </w:r>
      <w:r>
        <w:rPr>
          <w:rStyle w:val="NormalTok"/>
        </w:rPr>
        <w:t>,</w:t>
      </w:r>
      <w:r>
        <w:rPr>
          <w:rStyle w:val="StringTok"/>
        </w:rPr>
        <w:t>'umwandlungseinsatz'</w:t>
      </w:r>
      <w:r>
        <w:rPr>
          <w:rStyle w:val="NormalTok"/>
        </w:rPr>
        <w:t>]</w:t>
      </w:r>
      <w:r>
        <w:br/>
      </w:r>
      <w:r>
        <w:rPr>
          <w:rStyle w:val="NormalTok"/>
        </w:rPr>
        <w:t>source_generation</w:t>
      </w:r>
      <w:r>
        <w:rPr>
          <w:rStyle w:val="OperatorTok"/>
        </w:rPr>
        <w:t>=</w:t>
      </w:r>
      <w:r>
        <w:rPr>
          <w:rStyle w:val="BuiltInTok"/>
        </w:rPr>
        <w:t>sum</w:t>
      </w:r>
      <w:r>
        <w:rPr>
          <w:rStyle w:val="NormalTok"/>
        </w:rPr>
        <w:t xml:space="preserve">(g[k] </w:t>
      </w:r>
      <w:r>
        <w:rPr>
          <w:rStyle w:val="ControlFlowTok"/>
        </w:rPr>
        <w:t>for</w:t>
      </w:r>
      <w:r>
        <w:rPr>
          <w:rStyle w:val="NormalTok"/>
        </w:rPr>
        <w:t xml:space="preserve"> k </w:t>
      </w:r>
      <w:r>
        <w:rPr>
          <w:rStyle w:val="KeywordTok"/>
        </w:rPr>
        <w:t>in</w:t>
      </w:r>
      <w:r>
        <w:rPr>
          <w:rStyle w:val="NormalTok"/>
        </w:rPr>
        <w:t xml:space="preserve"> generation_keys)</w:t>
      </w:r>
      <w:r>
        <w:br/>
      </w:r>
      <w:r>
        <w:rPr>
          <w:rStyle w:val="NormalTok"/>
        </w:rPr>
        <w:t>source_demand</w:t>
      </w:r>
      <w:r>
        <w:rPr>
          <w:rStyle w:val="OperatorTok"/>
        </w:rPr>
        <w:t>=</w:t>
      </w:r>
      <w:r>
        <w:rPr>
          <w:rStyle w:val="BuiltInTok"/>
        </w:rPr>
        <w:t>sum</w:t>
      </w:r>
      <w:r>
        <w:rPr>
          <w:rStyle w:val="NormalTok"/>
        </w:rPr>
        <w:t xml:space="preserve">(d[k] </w:t>
      </w:r>
      <w:r>
        <w:rPr>
          <w:rStyle w:val="ControlFlowTok"/>
        </w:rPr>
        <w:t>for</w:t>
      </w:r>
      <w:r>
        <w:rPr>
          <w:rStyle w:val="NormalTok"/>
        </w:rPr>
        <w:t xml:space="preserve"> k </w:t>
      </w:r>
      <w:r>
        <w:rPr>
          <w:rStyle w:val="KeywordTok"/>
        </w:rPr>
        <w:t>in</w:t>
      </w:r>
      <w:r>
        <w:rPr>
          <w:rStyle w:val="NormalTok"/>
        </w:rPr>
        <w:t xml:space="preserve"> demand_keys)</w:t>
      </w:r>
      <w:r>
        <w:br/>
      </w:r>
      <w:r>
        <w:rPr>
          <w:rStyle w:val="NormalTok"/>
        </w:rPr>
        <w:t>source_residual</w:t>
      </w:r>
      <w:r>
        <w:rPr>
          <w:rStyle w:val="OperatorTok"/>
        </w:rPr>
        <w:t>=</w:t>
      </w:r>
      <w:r>
        <w:rPr>
          <w:rStyle w:val="NormalTok"/>
        </w:rPr>
        <w:t>source_generation</w:t>
      </w:r>
      <w:r>
        <w:rPr>
          <w:rStyle w:val="OperatorTok"/>
        </w:rPr>
        <w:t>+</w:t>
      </w:r>
      <w:r>
        <w:rPr>
          <w:rStyle w:val="NormalTok"/>
        </w:rPr>
        <w:t>g[</w:t>
      </w:r>
      <w:r>
        <w:rPr>
          <w:rStyle w:val="StringTok"/>
        </w:rPr>
        <w:t>'net_imports'</w:t>
      </w:r>
      <w:r>
        <w:rPr>
          <w:rStyle w:val="NormalTok"/>
        </w:rPr>
        <w:t>]</w:t>
      </w:r>
      <w:r>
        <w:rPr>
          <w:rStyle w:val="OperatorTok"/>
        </w:rPr>
        <w:t>-</w:t>
      </w:r>
      <w:r>
        <w:rPr>
          <w:rStyle w:val="NormalTok"/>
        </w:rPr>
        <w:t>source_demand</w:t>
      </w:r>
      <w:r>
        <w:br/>
      </w:r>
      <w:r>
        <w:rPr>
          <w:rStyle w:val="ControlFlowTok"/>
        </w:rPr>
        <w:t>assert</w:t>
      </w:r>
      <w:r>
        <w:rPr>
          <w:rStyle w:val="NormalTok"/>
        </w:rPr>
        <w:t xml:space="preserve"> source_generation</w:t>
      </w:r>
      <w:r>
        <w:rPr>
          <w:rStyle w:val="OperatorTok"/>
        </w:rPr>
        <w:t>==</w:t>
      </w:r>
      <w:r>
        <w:rPr>
          <w:rStyle w:val="DecValTok"/>
        </w:rPr>
        <w:t>457</w:t>
      </w:r>
      <w:r>
        <w:rPr>
          <w:rStyle w:val="NormalTok"/>
        </w:rPr>
        <w:t xml:space="preserve"> </w:t>
      </w:r>
      <w:r>
        <w:rPr>
          <w:rStyle w:val="KeywordTok"/>
        </w:rPr>
        <w:t>and</w:t>
      </w:r>
      <w:r>
        <w:rPr>
          <w:rStyle w:val="NormalTok"/>
        </w:rPr>
        <w:t xml:space="preserve"> source_demand</w:t>
      </w:r>
      <w:r>
        <w:rPr>
          <w:rStyle w:val="OperatorTok"/>
        </w:rPr>
        <w:t>==</w:t>
      </w:r>
      <w:r>
        <w:rPr>
          <w:rStyle w:val="DecValTok"/>
        </w:rPr>
        <w:t>452</w:t>
      </w:r>
      <w:r>
        <w:rPr>
          <w:rStyle w:val="NormalTok"/>
        </w:rPr>
        <w:t xml:space="preserve"> </w:t>
      </w:r>
      <w:r>
        <w:rPr>
          <w:rStyle w:val="KeywordTok"/>
        </w:rPr>
        <w:t>and</w:t>
      </w:r>
      <w:r>
        <w:rPr>
          <w:rStyle w:val="NormalTok"/>
        </w:rPr>
        <w:t xml:space="preserve"> source_residual</w:t>
      </w:r>
      <w:r>
        <w:rPr>
          <w:rStyle w:val="OperatorTok"/>
        </w:rPr>
        <w:t>==-</w:t>
      </w:r>
      <w:r>
        <w:rPr>
          <w:rStyle w:val="DecValTok"/>
        </w:rPr>
        <w:t>2</w:t>
      </w:r>
      <w:r>
        <w:br/>
      </w:r>
      <w:r>
        <w:rPr>
          <w:rStyle w:val="NormalTok"/>
        </w:rPr>
        <w:t>display(pd.DataFrame({</w:t>
      </w:r>
      <w:r>
        <w:rPr>
          <w:rStyle w:val="StringTok"/>
        </w:rPr>
        <w:t>'Position'</w:t>
      </w:r>
      <w:r>
        <w:rPr>
          <w:rStyle w:val="NormalTok"/>
        </w:rPr>
        <w:t>:[</w:t>
      </w:r>
      <w:r>
        <w:rPr>
          <w:rStyle w:val="StringTok"/>
        </w:rPr>
        <w:t>'Erzeugung'</w:t>
      </w:r>
      <w:r>
        <w:rPr>
          <w:rStyle w:val="NormalTok"/>
        </w:rPr>
        <w:t>,</w:t>
      </w:r>
      <w:r>
        <w:rPr>
          <w:rStyle w:val="StringTok"/>
        </w:rPr>
        <w:t>'Nettoimporte'</w:t>
      </w:r>
      <w:r>
        <w:rPr>
          <w:rStyle w:val="NormalTok"/>
        </w:rPr>
        <w:t>,</w:t>
      </w:r>
      <w:r>
        <w:rPr>
          <w:rStyle w:val="StringTok"/>
        </w:rPr>
        <w:t>'Bedarf publiziert'</w:t>
      </w:r>
      <w:r>
        <w:rPr>
          <w:rStyle w:val="NormalTok"/>
        </w:rPr>
        <w:t>,</w:t>
      </w:r>
      <w:r>
        <w:rPr>
          <w:rStyle w:val="StringTok"/>
        </w:rPr>
        <w:t>'Bedarf Komponenten'</w:t>
      </w:r>
      <w:r>
        <w:rPr>
          <w:rStyle w:val="NormalTok"/>
        </w:rPr>
        <w:t>,</w:t>
      </w:r>
      <w:r>
        <w:rPr>
          <w:rStyle w:val="StringTok"/>
        </w:rPr>
        <w:t>'Rest Komponenten'</w:t>
      </w:r>
      <w:r>
        <w:rPr>
          <w:rStyle w:val="NormalTok"/>
        </w:rPr>
        <w:t>],</w:t>
      </w:r>
      <w:r>
        <w:br/>
      </w:r>
      <w:r>
        <w:rPr>
          <w:rStyle w:val="NormalTok"/>
        </w:rPr>
        <w:t xml:space="preserve">                      </w:t>
      </w:r>
      <w:r>
        <w:rPr>
          <w:rStyle w:val="StringTok"/>
        </w:rPr>
        <w:t>'PJ_el/a'</w:t>
      </w:r>
      <w:r>
        <w:rPr>
          <w:rStyle w:val="NormalTok"/>
        </w:rPr>
        <w:t>:[source_generation,g[</w:t>
      </w:r>
      <w:r>
        <w:rPr>
          <w:rStyle w:val="StringTok"/>
        </w:rPr>
        <w:t>'net_imports'</w:t>
      </w:r>
      <w:r>
        <w:rPr>
          <w:rStyle w:val="NormalTok"/>
        </w:rPr>
        <w:t>],d[</w:t>
      </w:r>
      <w:r>
        <w:rPr>
          <w:rStyle w:val="StringTok"/>
        </w:rPr>
        <w:t>'electricity_demand_published_total'</w:t>
      </w:r>
      <w:r>
        <w:rPr>
          <w:rStyle w:val="NormalTok"/>
        </w:rPr>
        <w:t>],source_demand,source_residual]}))</w:t>
      </w:r>
    </w:p>
    <w:tbl>
      <w:tblPr>
        <w:tblStyle w:val="Table"/>
        <w:tblW w:w="0" w:type="auto"/>
        <w:tblLook w:val="0020" w:firstRow="1" w:lastRow="0" w:firstColumn="0" w:lastColumn="0" w:noHBand="0" w:noVBand="0"/>
      </w:tblPr>
      <w:tblGrid>
        <w:gridCol w:w="345"/>
        <w:gridCol w:w="2419"/>
        <w:gridCol w:w="943"/>
      </w:tblGrid>
      <w:tr w:rsidR="004E4CC2" w14:paraId="6B9603EF"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1A1AF276" w14:textId="77777777" w:rsidR="004E4CC2" w:rsidRDefault="004E4CC2">
            <w:pPr>
              <w:pStyle w:val="Compact"/>
            </w:pPr>
          </w:p>
        </w:tc>
        <w:tc>
          <w:tcPr>
            <w:tcW w:w="0" w:type="auto"/>
          </w:tcPr>
          <w:p w14:paraId="16D44AFF" w14:textId="77777777" w:rsidR="004E4CC2" w:rsidRDefault="00000000">
            <w:pPr>
              <w:pStyle w:val="Compact"/>
            </w:pPr>
            <w:r>
              <w:t>Position</w:t>
            </w:r>
          </w:p>
        </w:tc>
        <w:tc>
          <w:tcPr>
            <w:tcW w:w="0" w:type="auto"/>
          </w:tcPr>
          <w:p w14:paraId="694DDFF7" w14:textId="77777777" w:rsidR="004E4CC2" w:rsidRDefault="00000000">
            <w:pPr>
              <w:pStyle w:val="Compact"/>
            </w:pPr>
            <w:r>
              <w:t>PJ_el/a</w:t>
            </w:r>
          </w:p>
        </w:tc>
      </w:tr>
      <w:tr w:rsidR="004E4CC2" w14:paraId="63682DB6" w14:textId="77777777">
        <w:tc>
          <w:tcPr>
            <w:tcW w:w="0" w:type="auto"/>
          </w:tcPr>
          <w:p w14:paraId="7521D5AB" w14:textId="77777777" w:rsidR="004E4CC2" w:rsidRDefault="00000000">
            <w:pPr>
              <w:pStyle w:val="Compact"/>
            </w:pPr>
            <w:r>
              <w:t>0</w:t>
            </w:r>
          </w:p>
        </w:tc>
        <w:tc>
          <w:tcPr>
            <w:tcW w:w="0" w:type="auto"/>
          </w:tcPr>
          <w:p w14:paraId="2E0EE60D" w14:textId="77777777" w:rsidR="004E4CC2" w:rsidRDefault="00000000">
            <w:pPr>
              <w:pStyle w:val="Compact"/>
            </w:pPr>
            <w:r>
              <w:t>Erzeugung</w:t>
            </w:r>
          </w:p>
        </w:tc>
        <w:tc>
          <w:tcPr>
            <w:tcW w:w="0" w:type="auto"/>
          </w:tcPr>
          <w:p w14:paraId="0C9C4DFA" w14:textId="77777777" w:rsidR="004E4CC2" w:rsidRDefault="00000000">
            <w:pPr>
              <w:pStyle w:val="Compact"/>
            </w:pPr>
            <w:r>
              <w:t>457</w:t>
            </w:r>
          </w:p>
        </w:tc>
      </w:tr>
      <w:tr w:rsidR="004E4CC2" w14:paraId="7761A41B" w14:textId="77777777">
        <w:tc>
          <w:tcPr>
            <w:tcW w:w="0" w:type="auto"/>
          </w:tcPr>
          <w:p w14:paraId="2EAE7A4E" w14:textId="77777777" w:rsidR="004E4CC2" w:rsidRDefault="00000000">
            <w:pPr>
              <w:pStyle w:val="Compact"/>
            </w:pPr>
            <w:r>
              <w:t>1</w:t>
            </w:r>
          </w:p>
        </w:tc>
        <w:tc>
          <w:tcPr>
            <w:tcW w:w="0" w:type="auto"/>
          </w:tcPr>
          <w:p w14:paraId="7696DE58" w14:textId="77777777" w:rsidR="004E4CC2" w:rsidRDefault="00000000">
            <w:pPr>
              <w:pStyle w:val="Compact"/>
            </w:pPr>
            <w:r>
              <w:t>Nettoimporte</w:t>
            </w:r>
          </w:p>
        </w:tc>
        <w:tc>
          <w:tcPr>
            <w:tcW w:w="0" w:type="auto"/>
          </w:tcPr>
          <w:p w14:paraId="14DCD846" w14:textId="77777777" w:rsidR="004E4CC2" w:rsidRDefault="00000000">
            <w:pPr>
              <w:pStyle w:val="Compact"/>
            </w:pPr>
            <w:r>
              <w:t>-7</w:t>
            </w:r>
          </w:p>
        </w:tc>
      </w:tr>
      <w:tr w:rsidR="004E4CC2" w14:paraId="675E6823" w14:textId="77777777">
        <w:tc>
          <w:tcPr>
            <w:tcW w:w="0" w:type="auto"/>
          </w:tcPr>
          <w:p w14:paraId="77E1A63A" w14:textId="77777777" w:rsidR="004E4CC2" w:rsidRDefault="00000000">
            <w:pPr>
              <w:pStyle w:val="Compact"/>
            </w:pPr>
            <w:r>
              <w:t>2</w:t>
            </w:r>
          </w:p>
        </w:tc>
        <w:tc>
          <w:tcPr>
            <w:tcW w:w="0" w:type="auto"/>
          </w:tcPr>
          <w:p w14:paraId="26B2FA2E" w14:textId="77777777" w:rsidR="004E4CC2" w:rsidRDefault="00000000">
            <w:pPr>
              <w:pStyle w:val="Compact"/>
            </w:pPr>
            <w:r>
              <w:t>Bedarf publiziert</w:t>
            </w:r>
          </w:p>
        </w:tc>
        <w:tc>
          <w:tcPr>
            <w:tcW w:w="0" w:type="auto"/>
          </w:tcPr>
          <w:p w14:paraId="3B347AF9" w14:textId="77777777" w:rsidR="004E4CC2" w:rsidRDefault="00000000">
            <w:pPr>
              <w:pStyle w:val="Compact"/>
            </w:pPr>
            <w:r>
              <w:t>450</w:t>
            </w:r>
          </w:p>
        </w:tc>
      </w:tr>
      <w:tr w:rsidR="004E4CC2" w14:paraId="60F80E7C" w14:textId="77777777">
        <w:tc>
          <w:tcPr>
            <w:tcW w:w="0" w:type="auto"/>
          </w:tcPr>
          <w:p w14:paraId="2BCE0412" w14:textId="77777777" w:rsidR="004E4CC2" w:rsidRDefault="00000000">
            <w:pPr>
              <w:pStyle w:val="Compact"/>
            </w:pPr>
            <w:r>
              <w:t>3</w:t>
            </w:r>
          </w:p>
        </w:tc>
        <w:tc>
          <w:tcPr>
            <w:tcW w:w="0" w:type="auto"/>
          </w:tcPr>
          <w:p w14:paraId="197EFBF6" w14:textId="77777777" w:rsidR="004E4CC2" w:rsidRDefault="00000000">
            <w:pPr>
              <w:pStyle w:val="Compact"/>
            </w:pPr>
            <w:r>
              <w:t>Bedarf Komponenten</w:t>
            </w:r>
          </w:p>
        </w:tc>
        <w:tc>
          <w:tcPr>
            <w:tcW w:w="0" w:type="auto"/>
          </w:tcPr>
          <w:p w14:paraId="3794C28B" w14:textId="77777777" w:rsidR="004E4CC2" w:rsidRDefault="00000000">
            <w:pPr>
              <w:pStyle w:val="Compact"/>
            </w:pPr>
            <w:r>
              <w:t>452</w:t>
            </w:r>
          </w:p>
        </w:tc>
      </w:tr>
      <w:tr w:rsidR="004E4CC2" w14:paraId="7A25989A" w14:textId="77777777">
        <w:tc>
          <w:tcPr>
            <w:tcW w:w="0" w:type="auto"/>
          </w:tcPr>
          <w:p w14:paraId="27508989" w14:textId="77777777" w:rsidR="004E4CC2" w:rsidRDefault="00000000">
            <w:pPr>
              <w:pStyle w:val="Compact"/>
            </w:pPr>
            <w:r>
              <w:t>4</w:t>
            </w:r>
          </w:p>
        </w:tc>
        <w:tc>
          <w:tcPr>
            <w:tcW w:w="0" w:type="auto"/>
          </w:tcPr>
          <w:p w14:paraId="57B9021E" w14:textId="77777777" w:rsidR="004E4CC2" w:rsidRDefault="00000000">
            <w:pPr>
              <w:pStyle w:val="Compact"/>
            </w:pPr>
            <w:r>
              <w:t>Rest Komponenten</w:t>
            </w:r>
          </w:p>
        </w:tc>
        <w:tc>
          <w:tcPr>
            <w:tcW w:w="0" w:type="auto"/>
          </w:tcPr>
          <w:p w14:paraId="6F931F53" w14:textId="77777777" w:rsidR="004E4CC2" w:rsidRDefault="00000000">
            <w:pPr>
              <w:pStyle w:val="Compact"/>
            </w:pPr>
            <w:r>
              <w:t>-2</w:t>
            </w:r>
          </w:p>
        </w:tc>
      </w:tr>
    </w:tbl>
    <w:p w14:paraId="0F5C4A0E" w14:textId="77777777" w:rsidR="004E4CC2" w:rsidRDefault="00000000">
      <w:pPr>
        <w:pStyle w:val="berschrift2"/>
      </w:pPr>
      <w:bookmarkStart w:id="372" w:name="Xb763db5f1f115316c1df662850bf3c97f774a53"/>
      <w:bookmarkStart w:id="373" w:name="_Toc243681364"/>
      <w:bookmarkEnd w:id="370"/>
      <w:r>
        <w:t>D.3 3. Sichtbare Stellschrauben und Referenzannahmen</w:t>
      </w:r>
      <w:bookmarkEnd w:id="373"/>
    </w:p>
    <w:p w14:paraId="6291A32C" w14:textId="77777777" w:rsidR="004E4CC2" w:rsidRDefault="00000000">
      <w:pPr>
        <w:pStyle w:val="FirstParagraph"/>
      </w:pPr>
      <m:oMath>
        <m:r>
          <w:rPr>
            <w:rFonts w:ascii="Cambria Math" w:hAnsi="Cambria Math"/>
          </w:rPr>
          <m:t>f</m:t>
        </m:r>
      </m:oMath>
      <w:r>
        <w:t xml:space="preserve"> ist der Anteil der PV außerhalb von Gebäuden; der Gebäudebeitrag beträgt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PV</m:t>
            </m:r>
          </m:sub>
        </m:sSub>
      </m:oMath>
      <w:r>
        <w:t xml:space="preserve">. Andere PV bleibt als </w:t>
      </w:r>
      <w:r>
        <w:rPr>
          <w:b/>
          <w:bCs/>
        </w:rPr>
        <w:t>separat noch nicht zugeteilter Pool</w:t>
      </w:r>
      <w:r>
        <w:t xml:space="preserve"> erhalten, nicht als implizite MIV-Gutschrift. </w:t>
      </w:r>
      <m:oMath>
        <m:r>
          <w:rPr>
            <w:rFonts w:ascii="Cambria Math" w:hAnsi="Cambria Math"/>
          </w:rPr>
          <m:t>m</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r</m:t>
        </m:r>
      </m:oMath>
      <w:r>
        <w:t xml:space="preserve"> sind Anteile des </w:t>
      </w:r>
      <w:r>
        <w:rPr>
          <w:b/>
          <w:bCs/>
        </w:rPr>
        <w:t>elektrischen Verkehrsenergiebedarfs</w:t>
      </w:r>
      <w:r>
        <w:t xml:space="preserve"> für MIV, ÖPNV und übrigen Verkehr; </w:t>
      </w:r>
      <m:oMath>
        <m:r>
          <w:rPr>
            <w:rFonts w:ascii="Cambria Math" w:hAnsi="Cambria Math"/>
          </w:rPr>
          <m:t>m</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Sie sind keine Wege- oder Personenkilometeranteile.</w:t>
      </w:r>
    </w:p>
    <w:p w14:paraId="082DAFA5" w14:textId="77777777" w:rsidR="004E4CC2" w:rsidRDefault="00000000">
      <w:pPr>
        <w:pStyle w:val="Textkrper"/>
      </w:pPr>
      <w:r>
        <w:t>Das Rechenbeispiel verwendet 0 % andere PV und 80/20/0 % MIV/ÖPNV/übrigen Verkehr. Dies sind austauschbare Demonstrationswerte, keine Empfehlung oder empirische Festlegung. Die dritte Verkehrskategorie bleibt als Parameter erhalten.</w:t>
      </w:r>
    </w:p>
    <w:p w14:paraId="5BB80C8E" w14:textId="77777777" w:rsidR="004E4CC2" w:rsidRDefault="00000000">
      <w:pPr>
        <w:pStyle w:val="Textkrper"/>
      </w:pPr>
      <w:r>
        <w:t xml:space="preserve">Wasser, Wind und Biomasse werden im Rechenfall dem nicht-PV-Pool zugeordnet; die normierte Position „Geothermie/sonstige“ wird vollständig angerechnet und muss bei veränderter Abgrenzung angepasst werden. Wasserstoff-Rückverstromung wird zunächst </w:t>
      </w:r>
      <w:r>
        <w:rPr>
          <w:b/>
          <w:bCs/>
        </w:rPr>
        <w:t>nicht</w:t>
      </w:r>
      <w:r>
        <w:t xml:space="preserve"> als budgetfähig angerechnet, weil ihr Herkunftsnachweis hier nicht vorliegt. Die alternative volle Anrechnung wird separat ausgewiesen. Fossile Erzeugung bleibt außerhalb des erneuerbaren Budgets.</w:t>
      </w:r>
    </w:p>
    <w:p w14:paraId="3EC68598" w14:textId="77777777" w:rsidR="004E4CC2" w:rsidRDefault="00000000">
      <w:pPr>
        <w:pStyle w:val="Textkrper"/>
      </w:pPr>
      <w:r>
        <w:t>Industrie, Landwirtschaft, Energiebranchenbedarf, Umwandlung, Transportverluste und Nettoexport werden einmalig vorrangig aus dem zentralen Pool abgezogen. ÖPNV und übriger Verkehr folgen ebenfalls diesem Pool. Insbesondere bleibt der Elektrolyse-Strombedarf erhalten, auch wenn Rückverstromung angerechnet wird. Die Priorität ist eine Modellentscheidung; die UBA-Tabellen beschreiben keine solche Allokation.</w:t>
      </w:r>
    </w:p>
    <w:p w14:paraId="60FFE22C" w14:textId="77777777" w:rsidR="004E4CC2" w:rsidRDefault="00000000">
      <w:pPr>
        <w:pStyle w:val="SourceCode"/>
      </w:pPr>
      <w:r>
        <w:rPr>
          <w:rStyle w:val="NormalTok"/>
        </w:rPr>
        <w:t>parameters</w:t>
      </w:r>
      <w:r>
        <w:rPr>
          <w:rStyle w:val="OperatorTok"/>
        </w:rPr>
        <w:t>=</w:t>
      </w:r>
      <w:r>
        <w:rPr>
          <w:rStyle w:val="NormalTok"/>
        </w:rPr>
        <w:t>{</w:t>
      </w:r>
      <w:r>
        <w:br/>
      </w:r>
      <w:r>
        <w:rPr>
          <w:rStyle w:val="NormalTok"/>
        </w:rPr>
        <w:t xml:space="preserve">    </w:t>
      </w:r>
      <w:r>
        <w:rPr>
          <w:rStyle w:val="StringTok"/>
        </w:rPr>
        <w:t>'other_pv_share'</w:t>
      </w:r>
      <w:r>
        <w:rPr>
          <w:rStyle w:val="NormalTok"/>
        </w:rPr>
        <w:t>:</w:t>
      </w:r>
      <w:r>
        <w:rPr>
          <w:rStyle w:val="FloatTok"/>
        </w:rPr>
        <w:t>0.0</w:t>
      </w:r>
      <w:r>
        <w:rPr>
          <w:rStyle w:val="NormalTok"/>
        </w:rPr>
        <w:t>,</w:t>
      </w:r>
      <w:r>
        <w:br/>
      </w:r>
      <w:r>
        <w:rPr>
          <w:rStyle w:val="NormalTok"/>
        </w:rPr>
        <w:t xml:space="preserve">    </w:t>
      </w:r>
      <w:r>
        <w:rPr>
          <w:rStyle w:val="StringTok"/>
        </w:rPr>
        <w:t>'miv_share'</w:t>
      </w:r>
      <w:r>
        <w:rPr>
          <w:rStyle w:val="NormalTok"/>
        </w:rPr>
        <w:t>:</w:t>
      </w:r>
      <w:r>
        <w:rPr>
          <w:rStyle w:val="FloatTok"/>
        </w:rPr>
        <w:t>0.8</w:t>
      </w:r>
      <w:r>
        <w:rPr>
          <w:rStyle w:val="NormalTok"/>
        </w:rPr>
        <w:t>,</w:t>
      </w:r>
      <w:r>
        <w:br/>
      </w:r>
      <w:r>
        <w:rPr>
          <w:rStyle w:val="NormalTok"/>
        </w:rPr>
        <w:t xml:space="preserve">    </w:t>
      </w:r>
      <w:r>
        <w:rPr>
          <w:rStyle w:val="StringTok"/>
        </w:rPr>
        <w:t>'public_transport_share'</w:t>
      </w:r>
      <w:r>
        <w:rPr>
          <w:rStyle w:val="NormalTok"/>
        </w:rPr>
        <w:t>:</w:t>
      </w:r>
      <w:r>
        <w:rPr>
          <w:rStyle w:val="FloatTok"/>
        </w:rPr>
        <w:t>0.2</w:t>
      </w:r>
      <w:r>
        <w:rPr>
          <w:rStyle w:val="NormalTok"/>
        </w:rPr>
        <w:t>,</w:t>
      </w:r>
      <w:r>
        <w:br/>
      </w:r>
      <w:r>
        <w:rPr>
          <w:rStyle w:val="NormalTok"/>
        </w:rPr>
        <w:t xml:space="preserve">    </w:t>
      </w:r>
      <w:r>
        <w:rPr>
          <w:rStyle w:val="StringTok"/>
        </w:rPr>
        <w:t>'other_transport_share'</w:t>
      </w:r>
      <w:r>
        <w:rPr>
          <w:rStyle w:val="NormalTok"/>
        </w:rPr>
        <w:t>:</w:t>
      </w:r>
      <w:r>
        <w:rPr>
          <w:rStyle w:val="FloatTok"/>
        </w:rPr>
        <w:t>0.0</w:t>
      </w:r>
      <w:r>
        <w:rPr>
          <w:rStyle w:val="NormalTok"/>
        </w:rPr>
        <w:t>,</w:t>
      </w:r>
      <w:r>
        <w:br/>
      </w:r>
      <w:r>
        <w:rPr>
          <w:rStyle w:val="NormalTok"/>
        </w:rPr>
        <w:t xml:space="preserve">    </w:t>
      </w:r>
      <w:r>
        <w:rPr>
          <w:rStyle w:val="StringTok"/>
        </w:rPr>
        <w:t>'eligible_nonpv_share'</w:t>
      </w:r>
      <w:r>
        <w:rPr>
          <w:rStyle w:val="NormalTok"/>
        </w:rPr>
        <w:t>:{</w:t>
      </w:r>
      <w:r>
        <w:rPr>
          <w:rStyle w:val="StringTok"/>
        </w:rPr>
        <w:t>'hydro'</w:t>
      </w:r>
      <w:r>
        <w:rPr>
          <w:rStyle w:val="NormalTok"/>
        </w:rPr>
        <w:t>:</w:t>
      </w:r>
      <w:r>
        <w:rPr>
          <w:rStyle w:val="FloatTok"/>
        </w:rPr>
        <w:t>1.0</w:t>
      </w:r>
      <w:r>
        <w:rPr>
          <w:rStyle w:val="NormalTok"/>
        </w:rPr>
        <w:t>,</w:t>
      </w:r>
      <w:r>
        <w:rPr>
          <w:rStyle w:val="StringTok"/>
        </w:rPr>
        <w:t>'wind'</w:t>
      </w:r>
      <w:r>
        <w:rPr>
          <w:rStyle w:val="NormalTok"/>
        </w:rPr>
        <w:t>:</w:t>
      </w:r>
      <w:r>
        <w:rPr>
          <w:rStyle w:val="FloatTok"/>
        </w:rPr>
        <w:t>1.0</w:t>
      </w:r>
      <w:r>
        <w:rPr>
          <w:rStyle w:val="NormalTok"/>
        </w:rPr>
        <w:t>,</w:t>
      </w:r>
      <w:r>
        <w:rPr>
          <w:rStyle w:val="StringTok"/>
        </w:rPr>
        <w:t>'biomass'</w:t>
      </w:r>
      <w:r>
        <w:rPr>
          <w:rStyle w:val="NormalTok"/>
        </w:rPr>
        <w:t>:</w:t>
      </w:r>
      <w:r>
        <w:rPr>
          <w:rStyle w:val="FloatTok"/>
        </w:rPr>
        <w:t>1.0</w:t>
      </w:r>
      <w:r>
        <w:rPr>
          <w:rStyle w:val="NormalTok"/>
        </w:rPr>
        <w:t>,</w:t>
      </w:r>
      <w:r>
        <w:rPr>
          <w:rStyle w:val="StringTok"/>
        </w:rPr>
        <w:t>'geothermal'</w:t>
      </w:r>
      <w:r>
        <w:rPr>
          <w:rStyle w:val="NormalTok"/>
        </w:rPr>
        <w:t>:</w:t>
      </w:r>
      <w:r>
        <w:rPr>
          <w:rStyle w:val="FloatTok"/>
        </w:rPr>
        <w:t>1.0</w:t>
      </w:r>
      <w:r>
        <w:rPr>
          <w:rStyle w:val="NormalTok"/>
        </w:rPr>
        <w:t>,</w:t>
      </w:r>
      <w:r>
        <w:rPr>
          <w:rStyle w:val="StringTok"/>
        </w:rPr>
        <w:t>'hydrogen_electricity'</w:t>
      </w:r>
      <w:r>
        <w:rPr>
          <w:rStyle w:val="NormalTok"/>
        </w:rPr>
        <w:t>:</w:t>
      </w:r>
      <w:r>
        <w:rPr>
          <w:rStyle w:val="FloatTok"/>
        </w:rPr>
        <w:t>0.0</w:t>
      </w:r>
      <w:r>
        <w:rPr>
          <w:rStyle w:val="NormalTok"/>
        </w:rPr>
        <w:t>},</w:t>
      </w:r>
      <w:r>
        <w:br/>
      </w:r>
      <w:r>
        <w:rPr>
          <w:rStyle w:val="NormalTok"/>
        </w:rPr>
        <w:lastRenderedPageBreak/>
        <w:t xml:space="preserve">    </w:t>
      </w:r>
      <w:r>
        <w:rPr>
          <w:rStyle w:val="StringTok"/>
        </w:rPr>
        <w:t>'source'</w:t>
      </w:r>
      <w:r>
        <w:rPr>
          <w:rStyle w:val="NormalTok"/>
        </w:rPr>
        <w:t>:</w:t>
      </w:r>
      <w:r>
        <w:rPr>
          <w:rStyle w:val="StringTok"/>
        </w:rPr>
        <w:t>'Referenzfall des Publikationsentwurfs; Verkehrs- und PV-Anteile nicht empirisch festgelegt'</w:t>
      </w:r>
      <w:r>
        <w:rPr>
          <w:rStyle w:val="NormalTok"/>
        </w:rPr>
        <w:t>,</w:t>
      </w:r>
      <w:r>
        <w:br/>
      </w:r>
      <w:r>
        <w:rPr>
          <w:rStyle w:val="NormalTok"/>
        </w:rPr>
        <w:t xml:space="preserve">    </w:t>
      </w:r>
      <w:r>
        <w:rPr>
          <w:rStyle w:val="StringTok"/>
        </w:rPr>
        <w:t>'pe_factor_electricity'</w:t>
      </w:r>
      <w:r>
        <w:rPr>
          <w:rStyle w:val="NormalTok"/>
        </w:rPr>
        <w:t>:</w:t>
      </w:r>
      <w:r>
        <w:rPr>
          <w:rStyle w:val="VariableTok"/>
        </w:rPr>
        <w:t>None</w:t>
      </w:r>
      <w:r>
        <w:rPr>
          <w:rStyle w:val="NormalTok"/>
        </w:rPr>
        <w:t>,</w:t>
      </w:r>
      <w:r>
        <w:br/>
      </w:r>
      <w:r>
        <w:rPr>
          <w:rStyle w:val="NormalTok"/>
        </w:rPr>
        <w:t xml:space="preserve">    </w:t>
      </w:r>
      <w:r>
        <w:rPr>
          <w:rStyle w:val="StringTok"/>
        </w:rPr>
        <w:t>'pe_factor_year'</w:t>
      </w:r>
      <w:r>
        <w:rPr>
          <w:rStyle w:val="NormalTok"/>
        </w:rPr>
        <w:t>:</w:t>
      </w:r>
      <w:r>
        <w:rPr>
          <w:rStyle w:val="VariableTok"/>
        </w:rPr>
        <w:t>None</w:t>
      </w:r>
      <w:r>
        <w:rPr>
          <w:rStyle w:val="NormalTok"/>
        </w:rPr>
        <w:t>,</w:t>
      </w:r>
      <w:r>
        <w:br/>
      </w:r>
      <w:r>
        <w:rPr>
          <w:rStyle w:val="NormalTok"/>
        </w:rPr>
        <w:t xml:space="preserve">    </w:t>
      </w:r>
      <w:r>
        <w:rPr>
          <w:rStyle w:val="StringTok"/>
        </w:rPr>
        <w:t>'pe_factor_source'</w:t>
      </w:r>
      <w:r>
        <w:rPr>
          <w:rStyle w:val="NormalTok"/>
        </w:rPr>
        <w:t>:</w:t>
      </w:r>
      <w:r>
        <w:rPr>
          <w:rStyle w:val="VariableTok"/>
        </w:rPr>
        <w:t>None</w:t>
      </w:r>
      <w:r>
        <w:rPr>
          <w:rStyle w:val="NormalTok"/>
        </w:rPr>
        <w:t>,</w:t>
      </w:r>
      <w:r>
        <w:br/>
      </w:r>
      <w:r>
        <w:rPr>
          <w:rStyle w:val="NormalTok"/>
        </w:rPr>
        <w:t>}</w:t>
      </w:r>
      <w:r>
        <w:br/>
      </w:r>
      <w:r>
        <w:rPr>
          <w:rStyle w:val="NormalTok"/>
        </w:rPr>
        <w:t>display(pd.DataFrame([{</w:t>
      </w:r>
      <w:r>
        <w:rPr>
          <w:rStyle w:val="StringTok"/>
        </w:rPr>
        <w:t>'Parameter'</w:t>
      </w:r>
      <w:r>
        <w:rPr>
          <w:rStyle w:val="NormalTok"/>
        </w:rPr>
        <w:t>:k,</w:t>
      </w:r>
      <w:r>
        <w:rPr>
          <w:rStyle w:val="StringTok"/>
        </w:rPr>
        <w:t>'Wert'</w:t>
      </w:r>
      <w:r>
        <w:rPr>
          <w:rStyle w:val="NormalTok"/>
        </w:rPr>
        <w:t>:</w:t>
      </w:r>
      <w:r>
        <w:rPr>
          <w:rStyle w:val="BuiltInTok"/>
        </w:rPr>
        <w:t>str</w:t>
      </w:r>
      <w:r>
        <w:rPr>
          <w:rStyle w:val="NormalTok"/>
        </w:rPr>
        <w:t xml:space="preserve">(v)} </w:t>
      </w:r>
      <w:r>
        <w:rPr>
          <w:rStyle w:val="ControlFlowTok"/>
        </w:rPr>
        <w:t>for</w:t>
      </w:r>
      <w:r>
        <w:rPr>
          <w:rStyle w:val="NormalTok"/>
        </w:rPr>
        <w:t xml:space="preserve"> k,v </w:t>
      </w:r>
      <w:r>
        <w:rPr>
          <w:rStyle w:val="KeywordTok"/>
        </w:rPr>
        <w:t>in</w:t>
      </w:r>
      <w:r>
        <w:rPr>
          <w:rStyle w:val="NormalTok"/>
        </w:rPr>
        <w:t xml:space="preserve"> parameters.items()]))</w:t>
      </w:r>
    </w:p>
    <w:tbl>
      <w:tblPr>
        <w:tblStyle w:val="Table"/>
        <w:tblW w:w="0" w:type="auto"/>
        <w:tblLook w:val="0020" w:firstRow="1" w:lastRow="0" w:firstColumn="0" w:lastColumn="0" w:noHBand="0" w:noVBand="0"/>
      </w:tblPr>
      <w:tblGrid>
        <w:gridCol w:w="345"/>
        <w:gridCol w:w="2629"/>
        <w:gridCol w:w="5257"/>
      </w:tblGrid>
      <w:tr w:rsidR="004E4CC2" w14:paraId="7FDA9BB7"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5394968A" w14:textId="77777777" w:rsidR="004E4CC2" w:rsidRDefault="004E4CC2">
            <w:pPr>
              <w:pStyle w:val="Compact"/>
            </w:pPr>
          </w:p>
        </w:tc>
        <w:tc>
          <w:tcPr>
            <w:tcW w:w="0" w:type="auto"/>
          </w:tcPr>
          <w:p w14:paraId="065FFCD6" w14:textId="77777777" w:rsidR="004E4CC2" w:rsidRDefault="00000000">
            <w:pPr>
              <w:pStyle w:val="Compact"/>
            </w:pPr>
            <w:r>
              <w:t>Parameter</w:t>
            </w:r>
          </w:p>
        </w:tc>
        <w:tc>
          <w:tcPr>
            <w:tcW w:w="0" w:type="auto"/>
          </w:tcPr>
          <w:p w14:paraId="2B7342E9" w14:textId="77777777" w:rsidR="004E4CC2" w:rsidRDefault="00000000">
            <w:pPr>
              <w:pStyle w:val="Compact"/>
            </w:pPr>
            <w:r>
              <w:t>Wert</w:t>
            </w:r>
          </w:p>
        </w:tc>
      </w:tr>
      <w:tr w:rsidR="004E4CC2" w14:paraId="0B1439F8" w14:textId="77777777">
        <w:tc>
          <w:tcPr>
            <w:tcW w:w="0" w:type="auto"/>
          </w:tcPr>
          <w:p w14:paraId="0094A8BB" w14:textId="77777777" w:rsidR="004E4CC2" w:rsidRDefault="00000000">
            <w:pPr>
              <w:pStyle w:val="Compact"/>
            </w:pPr>
            <w:r>
              <w:t>0</w:t>
            </w:r>
          </w:p>
        </w:tc>
        <w:tc>
          <w:tcPr>
            <w:tcW w:w="0" w:type="auto"/>
          </w:tcPr>
          <w:p w14:paraId="6219BB1D" w14:textId="77777777" w:rsidR="004E4CC2" w:rsidRDefault="00000000">
            <w:pPr>
              <w:pStyle w:val="Compact"/>
            </w:pPr>
            <w:r>
              <w:t>other_pv_share</w:t>
            </w:r>
          </w:p>
        </w:tc>
        <w:tc>
          <w:tcPr>
            <w:tcW w:w="0" w:type="auto"/>
          </w:tcPr>
          <w:p w14:paraId="102C35AF" w14:textId="77777777" w:rsidR="004E4CC2" w:rsidRDefault="00000000">
            <w:pPr>
              <w:pStyle w:val="Compact"/>
            </w:pPr>
            <w:r>
              <w:t>0.0</w:t>
            </w:r>
          </w:p>
        </w:tc>
      </w:tr>
      <w:tr w:rsidR="004E4CC2" w14:paraId="685AE5FB" w14:textId="77777777">
        <w:tc>
          <w:tcPr>
            <w:tcW w:w="0" w:type="auto"/>
          </w:tcPr>
          <w:p w14:paraId="220085D5" w14:textId="77777777" w:rsidR="004E4CC2" w:rsidRDefault="00000000">
            <w:pPr>
              <w:pStyle w:val="Compact"/>
            </w:pPr>
            <w:r>
              <w:t>1</w:t>
            </w:r>
          </w:p>
        </w:tc>
        <w:tc>
          <w:tcPr>
            <w:tcW w:w="0" w:type="auto"/>
          </w:tcPr>
          <w:p w14:paraId="091B12B3" w14:textId="77777777" w:rsidR="004E4CC2" w:rsidRDefault="00000000">
            <w:pPr>
              <w:pStyle w:val="Compact"/>
            </w:pPr>
            <w:r>
              <w:t>miv_share</w:t>
            </w:r>
          </w:p>
        </w:tc>
        <w:tc>
          <w:tcPr>
            <w:tcW w:w="0" w:type="auto"/>
          </w:tcPr>
          <w:p w14:paraId="6EA91A17" w14:textId="77777777" w:rsidR="004E4CC2" w:rsidRDefault="00000000">
            <w:pPr>
              <w:pStyle w:val="Compact"/>
            </w:pPr>
            <w:r>
              <w:t>0.8</w:t>
            </w:r>
          </w:p>
        </w:tc>
      </w:tr>
      <w:tr w:rsidR="004E4CC2" w14:paraId="2A6723DD" w14:textId="77777777">
        <w:tc>
          <w:tcPr>
            <w:tcW w:w="0" w:type="auto"/>
          </w:tcPr>
          <w:p w14:paraId="0235B151" w14:textId="77777777" w:rsidR="004E4CC2" w:rsidRDefault="00000000">
            <w:pPr>
              <w:pStyle w:val="Compact"/>
            </w:pPr>
            <w:r>
              <w:t>2</w:t>
            </w:r>
          </w:p>
        </w:tc>
        <w:tc>
          <w:tcPr>
            <w:tcW w:w="0" w:type="auto"/>
          </w:tcPr>
          <w:p w14:paraId="60E02FD0" w14:textId="77777777" w:rsidR="004E4CC2" w:rsidRDefault="00000000">
            <w:pPr>
              <w:pStyle w:val="Compact"/>
            </w:pPr>
            <w:r>
              <w:t>public_transport_share</w:t>
            </w:r>
          </w:p>
        </w:tc>
        <w:tc>
          <w:tcPr>
            <w:tcW w:w="0" w:type="auto"/>
          </w:tcPr>
          <w:p w14:paraId="13973208" w14:textId="77777777" w:rsidR="004E4CC2" w:rsidRDefault="00000000">
            <w:pPr>
              <w:pStyle w:val="Compact"/>
            </w:pPr>
            <w:r>
              <w:t>0.2</w:t>
            </w:r>
          </w:p>
        </w:tc>
      </w:tr>
      <w:tr w:rsidR="004E4CC2" w14:paraId="5EAAD8A5" w14:textId="77777777">
        <w:tc>
          <w:tcPr>
            <w:tcW w:w="0" w:type="auto"/>
          </w:tcPr>
          <w:p w14:paraId="51D7AFA6" w14:textId="77777777" w:rsidR="004E4CC2" w:rsidRDefault="00000000">
            <w:pPr>
              <w:pStyle w:val="Compact"/>
            </w:pPr>
            <w:r>
              <w:t>3</w:t>
            </w:r>
          </w:p>
        </w:tc>
        <w:tc>
          <w:tcPr>
            <w:tcW w:w="0" w:type="auto"/>
          </w:tcPr>
          <w:p w14:paraId="5A7A4F64" w14:textId="77777777" w:rsidR="004E4CC2" w:rsidRDefault="00000000">
            <w:pPr>
              <w:pStyle w:val="Compact"/>
            </w:pPr>
            <w:r>
              <w:t>other_transport_share</w:t>
            </w:r>
          </w:p>
        </w:tc>
        <w:tc>
          <w:tcPr>
            <w:tcW w:w="0" w:type="auto"/>
          </w:tcPr>
          <w:p w14:paraId="2144923C" w14:textId="77777777" w:rsidR="004E4CC2" w:rsidRDefault="00000000">
            <w:pPr>
              <w:pStyle w:val="Compact"/>
            </w:pPr>
            <w:r>
              <w:t>0.0</w:t>
            </w:r>
          </w:p>
        </w:tc>
      </w:tr>
      <w:tr w:rsidR="004E4CC2" w14:paraId="5D1A257E" w14:textId="77777777">
        <w:tc>
          <w:tcPr>
            <w:tcW w:w="0" w:type="auto"/>
          </w:tcPr>
          <w:p w14:paraId="5B460B68" w14:textId="77777777" w:rsidR="004E4CC2" w:rsidRDefault="00000000">
            <w:pPr>
              <w:pStyle w:val="Compact"/>
            </w:pPr>
            <w:r>
              <w:t>4</w:t>
            </w:r>
          </w:p>
        </w:tc>
        <w:tc>
          <w:tcPr>
            <w:tcW w:w="0" w:type="auto"/>
          </w:tcPr>
          <w:p w14:paraId="293069FA" w14:textId="77777777" w:rsidR="004E4CC2" w:rsidRDefault="00000000">
            <w:pPr>
              <w:pStyle w:val="Compact"/>
            </w:pPr>
            <w:r>
              <w:t>eligible_nonpv_share</w:t>
            </w:r>
          </w:p>
        </w:tc>
        <w:tc>
          <w:tcPr>
            <w:tcW w:w="0" w:type="auto"/>
          </w:tcPr>
          <w:p w14:paraId="415E6374" w14:textId="77777777" w:rsidR="004E4CC2" w:rsidRDefault="00000000">
            <w:pPr>
              <w:pStyle w:val="Compact"/>
            </w:pPr>
            <w:r>
              <w:t>{'hydro': 1.0, 'wind': 1.0, 'biomass': 1.0, 'g...</w:t>
            </w:r>
          </w:p>
        </w:tc>
      </w:tr>
      <w:tr w:rsidR="004E4CC2" w14:paraId="69037C32" w14:textId="77777777">
        <w:tc>
          <w:tcPr>
            <w:tcW w:w="0" w:type="auto"/>
          </w:tcPr>
          <w:p w14:paraId="4F1D3022" w14:textId="77777777" w:rsidR="004E4CC2" w:rsidRDefault="00000000">
            <w:pPr>
              <w:pStyle w:val="Compact"/>
            </w:pPr>
            <w:r>
              <w:t>5</w:t>
            </w:r>
          </w:p>
        </w:tc>
        <w:tc>
          <w:tcPr>
            <w:tcW w:w="0" w:type="auto"/>
          </w:tcPr>
          <w:p w14:paraId="2DCC6EA1" w14:textId="77777777" w:rsidR="004E4CC2" w:rsidRDefault="00000000">
            <w:pPr>
              <w:pStyle w:val="Compact"/>
            </w:pPr>
            <w:r>
              <w:t>source</w:t>
            </w:r>
          </w:p>
        </w:tc>
        <w:tc>
          <w:tcPr>
            <w:tcW w:w="0" w:type="auto"/>
          </w:tcPr>
          <w:p w14:paraId="16BCEE02" w14:textId="77777777" w:rsidR="004E4CC2" w:rsidRDefault="00000000">
            <w:pPr>
              <w:pStyle w:val="Compact"/>
            </w:pPr>
            <w:r>
              <w:t>Referenzfall des Publikationsentwurfs; Verkehr...</w:t>
            </w:r>
          </w:p>
        </w:tc>
      </w:tr>
      <w:tr w:rsidR="004E4CC2" w14:paraId="137A08AD" w14:textId="77777777">
        <w:tc>
          <w:tcPr>
            <w:tcW w:w="0" w:type="auto"/>
          </w:tcPr>
          <w:p w14:paraId="45C07037" w14:textId="77777777" w:rsidR="004E4CC2" w:rsidRDefault="00000000">
            <w:pPr>
              <w:pStyle w:val="Compact"/>
            </w:pPr>
            <w:r>
              <w:t>6</w:t>
            </w:r>
          </w:p>
        </w:tc>
        <w:tc>
          <w:tcPr>
            <w:tcW w:w="0" w:type="auto"/>
          </w:tcPr>
          <w:p w14:paraId="029DD6F6" w14:textId="77777777" w:rsidR="004E4CC2" w:rsidRDefault="00000000">
            <w:pPr>
              <w:pStyle w:val="Compact"/>
            </w:pPr>
            <w:r>
              <w:t>pe_factor_electricity</w:t>
            </w:r>
          </w:p>
        </w:tc>
        <w:tc>
          <w:tcPr>
            <w:tcW w:w="0" w:type="auto"/>
          </w:tcPr>
          <w:p w14:paraId="7C4C3AD5" w14:textId="77777777" w:rsidR="004E4CC2" w:rsidRDefault="00000000">
            <w:pPr>
              <w:pStyle w:val="Compact"/>
            </w:pPr>
            <w:r>
              <w:t>None</w:t>
            </w:r>
          </w:p>
        </w:tc>
      </w:tr>
      <w:tr w:rsidR="004E4CC2" w14:paraId="5A93F934" w14:textId="77777777">
        <w:tc>
          <w:tcPr>
            <w:tcW w:w="0" w:type="auto"/>
          </w:tcPr>
          <w:p w14:paraId="4BAB92AA" w14:textId="77777777" w:rsidR="004E4CC2" w:rsidRDefault="00000000">
            <w:pPr>
              <w:pStyle w:val="Compact"/>
            </w:pPr>
            <w:r>
              <w:t>7</w:t>
            </w:r>
          </w:p>
        </w:tc>
        <w:tc>
          <w:tcPr>
            <w:tcW w:w="0" w:type="auto"/>
          </w:tcPr>
          <w:p w14:paraId="102657FB" w14:textId="77777777" w:rsidR="004E4CC2" w:rsidRDefault="00000000">
            <w:pPr>
              <w:pStyle w:val="Compact"/>
            </w:pPr>
            <w:r>
              <w:t>pe_factor_year</w:t>
            </w:r>
          </w:p>
        </w:tc>
        <w:tc>
          <w:tcPr>
            <w:tcW w:w="0" w:type="auto"/>
          </w:tcPr>
          <w:p w14:paraId="2A09F1F4" w14:textId="77777777" w:rsidR="004E4CC2" w:rsidRDefault="00000000">
            <w:pPr>
              <w:pStyle w:val="Compact"/>
            </w:pPr>
            <w:r>
              <w:t>None</w:t>
            </w:r>
          </w:p>
        </w:tc>
      </w:tr>
      <w:tr w:rsidR="004E4CC2" w14:paraId="6907309A" w14:textId="77777777">
        <w:tc>
          <w:tcPr>
            <w:tcW w:w="0" w:type="auto"/>
          </w:tcPr>
          <w:p w14:paraId="79CC1861" w14:textId="77777777" w:rsidR="004E4CC2" w:rsidRDefault="00000000">
            <w:pPr>
              <w:pStyle w:val="Compact"/>
            </w:pPr>
            <w:r>
              <w:t>8</w:t>
            </w:r>
          </w:p>
        </w:tc>
        <w:tc>
          <w:tcPr>
            <w:tcW w:w="0" w:type="auto"/>
          </w:tcPr>
          <w:p w14:paraId="25D02EEF" w14:textId="77777777" w:rsidR="004E4CC2" w:rsidRDefault="00000000">
            <w:pPr>
              <w:pStyle w:val="Compact"/>
            </w:pPr>
            <w:r>
              <w:t>pe_factor_source</w:t>
            </w:r>
          </w:p>
        </w:tc>
        <w:tc>
          <w:tcPr>
            <w:tcW w:w="0" w:type="auto"/>
          </w:tcPr>
          <w:p w14:paraId="3EA55DAB" w14:textId="77777777" w:rsidR="004E4CC2" w:rsidRDefault="00000000">
            <w:pPr>
              <w:pStyle w:val="Compact"/>
            </w:pPr>
            <w:r>
              <w:t>None</w:t>
            </w:r>
          </w:p>
        </w:tc>
      </w:tr>
    </w:tbl>
    <w:p w14:paraId="53E068B9" w14:textId="77777777" w:rsidR="004E4CC2" w:rsidRDefault="00000000">
      <w:pPr>
        <w:pStyle w:val="berschrift2"/>
      </w:pPr>
      <w:bookmarkStart w:id="374" w:name="zentraler-pool-und-miv-budget"/>
      <w:bookmarkStart w:id="375" w:name="_Toc243681365"/>
      <w:bookmarkEnd w:id="372"/>
      <w:r>
        <w:t>D.4 4. Zentraler Pool und MIV-Budget</w:t>
      </w:r>
      <w:bookmarkEnd w:id="375"/>
    </w:p>
    <w:p w14:paraId="631E66CF" w14:textId="77777777" w:rsidR="004E4CC2" w:rsidRDefault="00000000">
      <w:pPr>
        <w:pStyle w:val="FirstParagraph"/>
      </w:pPr>
      <m:oMathPara>
        <m:oMathParaPr>
          <m:jc m:val="center"/>
        </m:oMathParaPr>
        <m:oMath>
          <m:r>
            <w:rPr>
              <w:rFonts w:ascii="Cambria Math" w:hAnsi="Cambria Math"/>
            </w:rPr>
            <m:t>C</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PV</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m:t>
                  </m:r>
                </m:sub>
              </m:sSub>
            </m:e>
          </m:nary>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r>
            <w:rPr>
              <w:rFonts w:ascii="Cambria Math" w:hAnsi="Cambria Math"/>
            </w:rPr>
            <m:t> F</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Industrie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Landwirtschaft</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Energie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Umwandlung</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Verluste</m:t>
              </m:r>
            </m:sub>
          </m:sSub>
          <m:r>
            <m:rPr>
              <m:sty m:val="p"/>
            </m:rPr>
            <w:rPr>
              <w:rFonts w:ascii="Cambria Math" w:hAnsi="Cambria Math"/>
            </w:rPr>
            <m:t>+</m:t>
          </m:r>
          <m:r>
            <w:rPr>
              <w:rFonts w:ascii="Cambria Math" w:hAnsi="Cambria Math"/>
            </w:rPr>
            <m:t>Export</m:t>
          </m:r>
          <m:r>
            <m:rPr>
              <m:sty m:val="p"/>
            </m:rPr>
            <w:rPr>
              <w:rFonts w:ascii="Cambria Math" w:hAnsi="Cambria Math"/>
            </w:rPr>
            <m:t>,</m:t>
          </m:r>
        </m:oMath>
      </m:oMathPara>
    </w:p>
    <w:p w14:paraId="205AF8BB" w14:textId="77777777" w:rsidR="004E4CC2" w:rsidRDefault="00000000">
      <w:pPr>
        <w:pStyle w:val="FirstParagraph"/>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Verkehr</m:t>
              </m:r>
            </m:sub>
          </m:sSub>
          <m:r>
            <m:rPr>
              <m:sty m:val="p"/>
            </m:rPr>
            <w:rPr>
              <w:rFonts w:ascii="Cambria Math" w:hAnsi="Cambria Math"/>
            </w:rPr>
            <m:t>,</m:t>
          </m:r>
          <m:r>
            <w:rPr>
              <w:rFonts w:ascii="Cambria Math" w:hAnsi="Cambria Math"/>
            </w:rPr>
            <m:t>  M</m:t>
          </m:r>
          <m:r>
            <m:rPr>
              <m:sty m:val="p"/>
            </m:rPr>
            <w:rPr>
              <w:rFonts w:ascii="Cambria Math" w:hAnsi="Cambria Math"/>
            </w:rPr>
            <m:t>=min{max(</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D</m:t>
              </m:r>
            </m:e>
            <m:sub>
              <m:r>
                <w:rPr>
                  <w:rFonts w:ascii="Cambria Math" w:hAnsi="Cambria Math"/>
                </w:rPr>
                <m:t>Verkehr</m:t>
              </m:r>
            </m:sub>
          </m:sSub>
          <m:r>
            <m:rPr>
              <m:sty m:val="p"/>
            </m:rPr>
            <w:rPr>
              <w:rFonts w:ascii="Cambria Math" w:hAnsi="Cambria Math"/>
            </w:rPr>
            <m:t>}.</m:t>
          </m:r>
        </m:oMath>
      </m:oMathPara>
    </w:p>
    <w:p w14:paraId="5D04D621" w14:textId="77777777" w:rsidR="004E4CC2" w:rsidRDefault="00000000">
      <w:pPr>
        <w:pStyle w:val="FirstParagraph"/>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bezeichnet die gesetzte Budgetfähigkeit. Der rohe Rest </w:t>
      </w:r>
      <m:oMath>
        <m:r>
          <w:rPr>
            <w:rFonts w:ascii="Cambria Math" w:hAnsi="Cambria Math"/>
          </w:rPr>
          <m:t>R</m:t>
        </m:r>
      </m:oMath>
      <w:r>
        <w:t xml:space="preserve"> bleibt sichtbar: </w:t>
      </w:r>
      <m:oMath>
        <m:r>
          <w:rPr>
            <w:rFonts w:ascii="Cambria Math" w:hAnsi="Cambria Math"/>
          </w:rPr>
          <m:t>R</m:t>
        </m:r>
        <m:r>
          <m:rPr>
            <m:sty m:val="p"/>
          </m:rPr>
          <w:rPr>
            <w:rFonts w:ascii="Cambria Math" w:hAnsi="Cambria Math"/>
          </w:rPr>
          <m:t>&lt;</m:t>
        </m:r>
        <m:r>
          <w:rPr>
            <w:rFonts w:ascii="Cambria Math" w:hAnsi="Cambria Math"/>
          </w:rPr>
          <m:t>0</m:t>
        </m:r>
      </m:oMath>
      <w:r>
        <w:t xml:space="preserve"> bedeutet einen zentralen Deckungsfehlbetrag, nicht eine negative Gutschrift. Der zugeteilte Betrag </w:t>
      </w:r>
      <m:oMath>
        <m:r>
          <w:rPr>
            <w:rFonts w:ascii="Cambria Math" w:hAnsi="Cambria Math"/>
          </w:rPr>
          <m:t>M</m:t>
        </m:r>
      </m:oMath>
      <w:r>
        <w:t xml:space="preserve"> ist auf den MIV-Bedarf begrenzt; ein darüber hinausgehender Rest bleibt unverteilt. Positive Nettoimporte würden gesondert unzugeordnet bleiben; es gibt keine automatische Herkunftsanrechnung.</w:t>
      </w:r>
    </w:p>
    <w:p w14:paraId="1D9792AC" w14:textId="77777777" w:rsidR="004E4CC2" w:rsidRDefault="00000000">
      <w:pPr>
        <w:pStyle w:val="berschrift2"/>
      </w:pPr>
      <w:bookmarkStart w:id="376" w:name="X0a77f43c2c0b4606cfd503e082baa5c8d5d8b6b"/>
      <w:bookmarkStart w:id="377" w:name="_Toc243681366"/>
      <w:bookmarkEnd w:id="374"/>
      <w:r>
        <w:t>D.5 5. Gebäudesektorsaldo und vollständige Zuordnungsprüfung</w:t>
      </w:r>
      <w:bookmarkEnd w:id="377"/>
    </w:p>
    <w:p w14:paraId="5AE28C6D" w14:textId="77777777" w:rsidR="004E4CC2" w:rsidRDefault="00000000">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Geb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PV</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Geb</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D</m:t>
              </m:r>
            </m:e>
            <m:sub>
              <m:r>
                <w:rPr>
                  <w:rFonts w:ascii="Cambria Math" w:hAnsi="Cambria Math"/>
                </w:rPr>
                <m:t>Verkehr</m:t>
              </m:r>
            </m:sub>
          </m:sSub>
          <m:r>
            <m:rPr>
              <m:sty m:val="p"/>
            </m:rPr>
            <w:rPr>
              <w:rFonts w:ascii="Cambria Math" w:hAnsi="Cambria Math"/>
            </w:rPr>
            <m:t>.</m:t>
          </m:r>
        </m:oMath>
      </m:oMathPara>
    </w:p>
    <w:p w14:paraId="4032176D" w14:textId="77777777" w:rsidR="004E4CC2" w:rsidRDefault="00000000">
      <w:pPr>
        <w:pStyle w:val="FirstParagraph"/>
      </w:pPr>
      <w:r>
        <w:t>Der betriebliche Saldo ohne MIV wird separat gezeigt. Für den Bilanzschluss werden alle ausgeschlossenen oder noch nicht zugeordneten Erzeugungsmengen und der zentrale Rest nach MIV-Zuteilung mitgeführt:</w:t>
      </w:r>
    </w:p>
    <w:p w14:paraId="5CB984AA"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Geb</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zentral</m:t>
              </m:r>
              <m:r>
                <m:rPr>
                  <m:sty m:val="p"/>
                </m:rPr>
                <w:rPr>
                  <w:rFonts w:ascii="Cambria Math" w:hAnsi="Cambria Math"/>
                </w:rPr>
                <m:t>,</m:t>
              </m:r>
              <m:r>
                <w:rPr>
                  <w:rFonts w:ascii="Cambria Math" w:hAnsi="Cambria Math"/>
                </w:rPr>
                <m:t>nachMIV</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PV</m:t>
              </m:r>
              <m:r>
                <m:rPr>
                  <m:sty m:val="p"/>
                </m:rPr>
                <w:rPr>
                  <w:rFonts w:ascii="Cambria Math" w:hAnsi="Cambria Math"/>
                </w:rPr>
                <m:t>,</m:t>
              </m:r>
              <m:r>
                <w:rPr>
                  <w:rFonts w:ascii="Cambria Math" w:hAnsi="Cambria Math"/>
                </w:rPr>
                <m:t>sonstige</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nicht budgetfähig</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Quelle</m:t>
              </m:r>
            </m:sub>
          </m:sSub>
          <m:r>
            <m:rPr>
              <m:sty m:val="p"/>
            </m:rPr>
            <w:rPr>
              <w:rFonts w:ascii="Cambria Math" w:hAnsi="Cambria Math"/>
            </w:rPr>
            <m:t>.</m:t>
          </m:r>
        </m:oMath>
      </m:oMathPara>
    </w:p>
    <w:p w14:paraId="54236651" w14:textId="77777777" w:rsidR="004E4CC2" w:rsidRDefault="00000000">
      <w:pPr>
        <w:pStyle w:val="FirstParagraph"/>
      </w:pPr>
      <w:r>
        <w:lastRenderedPageBreak/>
        <w:t>Diese Identität verhindert, dass ein Pool verschwindet oder doppelt gutgeschrieben wird. Ein negativer zentraler Rest macht den Rechenfall als unvollständig gedeckt kenntlich, auch wenn der Gebäudesaldo allein günstig aussieht.</w:t>
      </w:r>
    </w:p>
    <w:p w14:paraId="6D19153A" w14:textId="77777777" w:rsidR="004E4CC2" w:rsidRDefault="00000000">
      <w:pPr>
        <w:pStyle w:val="SourceCode"/>
      </w:pPr>
      <w:r>
        <w:rPr>
          <w:rStyle w:val="CommentTok"/>
        </w:rPr>
        <w:t># Fachliche Modellfunktion bewusst in der Notebook-Zelle, nicht in einem externen Modul.</w:t>
      </w:r>
      <w:r>
        <w:br/>
      </w:r>
      <w:r>
        <w:rPr>
          <w:rStyle w:val="KeywordTok"/>
        </w:rPr>
        <w:t>def</w:t>
      </w:r>
      <w:r>
        <w:rPr>
          <w:rStyle w:val="NormalTok"/>
        </w:rPr>
        <w:t xml:space="preserve"> allocate(p):</w:t>
      </w:r>
      <w:r>
        <w:br/>
      </w:r>
      <w:r>
        <w:rPr>
          <w:rStyle w:val="NormalTok"/>
        </w:rPr>
        <w:t xml:space="preserve">    </w:t>
      </w:r>
      <w:r>
        <w:rPr>
          <w:rStyle w:val="ControlFlowTok"/>
        </w:rPr>
        <w:t>for</w:t>
      </w:r>
      <w:r>
        <w:rPr>
          <w:rStyle w:val="NormalTok"/>
        </w:rPr>
        <w:t xml:space="preserve"> key </w:t>
      </w:r>
      <w:r>
        <w:rPr>
          <w:rStyle w:val="KeywordTok"/>
        </w:rPr>
        <w:t>in</w:t>
      </w:r>
      <w:r>
        <w:rPr>
          <w:rStyle w:val="NormalTok"/>
        </w:rPr>
        <w:t xml:space="preserve"> [</w:t>
      </w:r>
      <w:r>
        <w:rPr>
          <w:rStyle w:val="StringTok"/>
        </w:rPr>
        <w:t>'other_pv_share'</w:t>
      </w:r>
      <w:r>
        <w:rPr>
          <w:rStyle w:val="NormalTok"/>
        </w:rPr>
        <w:t>,</w:t>
      </w:r>
      <w:r>
        <w:rPr>
          <w:rStyle w:val="StringTok"/>
        </w:rPr>
        <w:t>'miv_share'</w:t>
      </w:r>
      <w:r>
        <w:rPr>
          <w:rStyle w:val="NormalTok"/>
        </w:rPr>
        <w:t>,</w:t>
      </w:r>
      <w:r>
        <w:rPr>
          <w:rStyle w:val="StringTok"/>
        </w:rPr>
        <w:t>'public_transport_share'</w:t>
      </w:r>
      <w:r>
        <w:rPr>
          <w:rStyle w:val="NormalTok"/>
        </w:rPr>
        <w:t>,</w:t>
      </w:r>
      <w:r>
        <w:rPr>
          <w:rStyle w:val="StringTok"/>
        </w:rPr>
        <w:t>'other_transport_share'</w:t>
      </w:r>
      <w:r>
        <w:rPr>
          <w:rStyle w:val="NormalTok"/>
        </w:rPr>
        <w:t>]:</w:t>
      </w:r>
      <w:r>
        <w:br/>
      </w:r>
      <w:r>
        <w:rPr>
          <w:rStyle w:val="NormalTok"/>
        </w:rPr>
        <w:t xml:space="preserve">        </w:t>
      </w:r>
      <w:r>
        <w:rPr>
          <w:rStyle w:val="ControlFlowTok"/>
        </w:rPr>
        <w:t>assert</w:t>
      </w:r>
      <w:r>
        <w:rPr>
          <w:rStyle w:val="NormalTok"/>
        </w:rPr>
        <w:t xml:space="preserve"> np.isfinite(p[key]) </w:t>
      </w:r>
      <w:r>
        <w:rPr>
          <w:rStyle w:val="KeywordTok"/>
        </w:rPr>
        <w:t>and</w:t>
      </w:r>
      <w:r>
        <w:rPr>
          <w:rStyle w:val="NormalTok"/>
        </w:rPr>
        <w:t xml:space="preserve"> </w:t>
      </w:r>
      <w:r>
        <w:rPr>
          <w:rStyle w:val="DecValTok"/>
        </w:rPr>
        <w:t>0</w:t>
      </w:r>
      <w:r>
        <w:rPr>
          <w:rStyle w:val="OperatorTok"/>
        </w:rPr>
        <w:t>&lt;=</w:t>
      </w:r>
      <w:r>
        <w:rPr>
          <w:rStyle w:val="NormalTok"/>
        </w:rPr>
        <w:t>p[key]</w:t>
      </w:r>
      <w:r>
        <w:rPr>
          <w:rStyle w:val="OperatorTok"/>
        </w:rPr>
        <w:t>&lt;=</w:t>
      </w:r>
      <w:r>
        <w:rPr>
          <w:rStyle w:val="DecValTok"/>
        </w:rPr>
        <w:t>1</w:t>
      </w:r>
      <w:r>
        <w:rPr>
          <w:rStyle w:val="NormalTok"/>
        </w:rPr>
        <w:t>, key</w:t>
      </w:r>
      <w:r>
        <w:br/>
      </w:r>
      <w:r>
        <w:rPr>
          <w:rStyle w:val="NormalTok"/>
        </w:rPr>
        <w:t xml:space="preserve">    </w:t>
      </w:r>
      <w:r>
        <w:rPr>
          <w:rStyle w:val="ControlFlowTok"/>
        </w:rPr>
        <w:t>assert</w:t>
      </w:r>
      <w:r>
        <w:rPr>
          <w:rStyle w:val="NormalTok"/>
        </w:rPr>
        <w:t xml:space="preserve"> np.isclose(</w:t>
      </w:r>
      <w:r>
        <w:rPr>
          <w:rStyle w:val="BuiltInTok"/>
        </w:rPr>
        <w:t>sum</w:t>
      </w:r>
      <w:r>
        <w:rPr>
          <w:rStyle w:val="NormalTok"/>
        </w:rPr>
        <w:t xml:space="preserve">(p[k] </w:t>
      </w:r>
      <w:r>
        <w:rPr>
          <w:rStyle w:val="ControlFlowTok"/>
        </w:rPr>
        <w:t>for</w:t>
      </w:r>
      <w:r>
        <w:rPr>
          <w:rStyle w:val="NormalTok"/>
        </w:rPr>
        <w:t xml:space="preserve"> k </w:t>
      </w:r>
      <w:r>
        <w:rPr>
          <w:rStyle w:val="KeywordTok"/>
        </w:rPr>
        <w:t>in</w:t>
      </w:r>
      <w:r>
        <w:rPr>
          <w:rStyle w:val="NormalTok"/>
        </w:rPr>
        <w:t xml:space="preserve"> [</w:t>
      </w:r>
      <w:r>
        <w:rPr>
          <w:rStyle w:val="StringTok"/>
        </w:rPr>
        <w:t>'miv_share'</w:t>
      </w:r>
      <w:r>
        <w:rPr>
          <w:rStyle w:val="NormalTok"/>
        </w:rPr>
        <w:t>,</w:t>
      </w:r>
      <w:r>
        <w:rPr>
          <w:rStyle w:val="StringTok"/>
        </w:rPr>
        <w:t>'public_transport_share'</w:t>
      </w:r>
      <w:r>
        <w:rPr>
          <w:rStyle w:val="NormalTok"/>
        </w:rPr>
        <w:t>,</w:t>
      </w:r>
      <w:r>
        <w:rPr>
          <w:rStyle w:val="StringTok"/>
        </w:rPr>
        <w:t>'other_transport_share'</w:t>
      </w:r>
      <w:r>
        <w:rPr>
          <w:rStyle w:val="NormalTok"/>
        </w:rPr>
        <w:t>]),</w:t>
      </w:r>
      <w:r>
        <w:rPr>
          <w:rStyle w:val="DecValTok"/>
        </w:rPr>
        <w:t>1</w:t>
      </w:r>
      <w:r>
        <w:rPr>
          <w:rStyle w:val="NormalTok"/>
        </w:rPr>
        <w:t>)</w:t>
      </w:r>
      <w:r>
        <w:br/>
      </w:r>
      <w:r>
        <w:rPr>
          <w:rStyle w:val="NormalTok"/>
        </w:rPr>
        <w:t xml:space="preserve">    </w:t>
      </w:r>
      <w:r>
        <w:rPr>
          <w:rStyle w:val="ControlFlowTok"/>
        </w:rPr>
        <w:t>assert</w:t>
      </w:r>
      <w:r>
        <w:rPr>
          <w:rStyle w:val="NormalTok"/>
        </w:rPr>
        <w:t xml:space="preserve"> </w:t>
      </w:r>
      <w:r>
        <w:rPr>
          <w:rStyle w:val="BuiltInTok"/>
        </w:rPr>
        <w:t>set</w:t>
      </w:r>
      <w:r>
        <w:rPr>
          <w:rStyle w:val="NormalTok"/>
        </w:rPr>
        <w:t>(p[</w:t>
      </w:r>
      <w:r>
        <w:rPr>
          <w:rStyle w:val="StringTok"/>
        </w:rPr>
        <w:t>'eligible_nonpv_share'</w:t>
      </w:r>
      <w:r>
        <w:rPr>
          <w:rStyle w:val="NormalTok"/>
        </w:rPr>
        <w:t>])</w:t>
      </w:r>
      <w:r>
        <w:rPr>
          <w:rStyle w:val="OperatorTok"/>
        </w:rPr>
        <w:t>==</w:t>
      </w:r>
      <w:r>
        <w:rPr>
          <w:rStyle w:val="NormalTok"/>
        </w:rPr>
        <w:t>{</w:t>
      </w:r>
      <w:r>
        <w:rPr>
          <w:rStyle w:val="StringTok"/>
        </w:rPr>
        <w:t>'hydro'</w:t>
      </w:r>
      <w:r>
        <w:rPr>
          <w:rStyle w:val="NormalTok"/>
        </w:rPr>
        <w:t>,</w:t>
      </w:r>
      <w:r>
        <w:rPr>
          <w:rStyle w:val="StringTok"/>
        </w:rPr>
        <w:t>'wind'</w:t>
      </w:r>
      <w:r>
        <w:rPr>
          <w:rStyle w:val="NormalTok"/>
        </w:rPr>
        <w:t>,</w:t>
      </w:r>
      <w:r>
        <w:rPr>
          <w:rStyle w:val="StringTok"/>
        </w:rPr>
        <w:t>'biomass'</w:t>
      </w:r>
      <w:r>
        <w:rPr>
          <w:rStyle w:val="NormalTok"/>
        </w:rPr>
        <w:t>,</w:t>
      </w:r>
      <w:r>
        <w:rPr>
          <w:rStyle w:val="StringTok"/>
        </w:rPr>
        <w:t>'geothermal'</w:t>
      </w:r>
      <w:r>
        <w:rPr>
          <w:rStyle w:val="NormalTok"/>
        </w:rPr>
        <w:t>,</w:t>
      </w:r>
      <w:r>
        <w:rPr>
          <w:rStyle w:val="StringTok"/>
        </w:rPr>
        <w:t>'hydrogen_electricity'</w:t>
      </w:r>
      <w:r>
        <w:rPr>
          <w:rStyle w:val="NormalTok"/>
        </w:rPr>
        <w:t>}</w:t>
      </w:r>
      <w:r>
        <w:br/>
      </w:r>
      <w:r>
        <w:rPr>
          <w:rStyle w:val="NormalTok"/>
        </w:rPr>
        <w:t xml:space="preserve">    </w:t>
      </w:r>
      <w:r>
        <w:rPr>
          <w:rStyle w:val="ControlFlowTok"/>
        </w:rPr>
        <w:t>assert</w:t>
      </w:r>
      <w:r>
        <w:rPr>
          <w:rStyle w:val="NormalTok"/>
        </w:rPr>
        <w:t xml:space="preserve"> </w:t>
      </w:r>
      <w:r>
        <w:rPr>
          <w:rStyle w:val="BuiltInTok"/>
        </w:rPr>
        <w:t>all</w:t>
      </w:r>
      <w:r>
        <w:rPr>
          <w:rStyle w:val="NormalTok"/>
        </w:rPr>
        <w:t xml:space="preserve">(np.isfinite(v) </w:t>
      </w:r>
      <w:r>
        <w:rPr>
          <w:rStyle w:val="KeywordTok"/>
        </w:rPr>
        <w:t>and</w:t>
      </w:r>
      <w:r>
        <w:rPr>
          <w:rStyle w:val="NormalTok"/>
        </w:rPr>
        <w:t xml:space="preserve"> </w:t>
      </w:r>
      <w:r>
        <w:rPr>
          <w:rStyle w:val="DecValTok"/>
        </w:rPr>
        <w:t>0</w:t>
      </w:r>
      <w:r>
        <w:rPr>
          <w:rStyle w:val="OperatorTok"/>
        </w:rPr>
        <w:t>&lt;=</w:t>
      </w:r>
      <w:r>
        <w:rPr>
          <w:rStyle w:val="NormalTok"/>
        </w:rPr>
        <w:t>v</w:t>
      </w:r>
      <w:r>
        <w:rPr>
          <w:rStyle w:val="OperatorTok"/>
        </w:rPr>
        <w:t>&lt;=</w:t>
      </w:r>
      <w:r>
        <w:rPr>
          <w:rStyle w:val="DecValTok"/>
        </w:rPr>
        <w:t>1</w:t>
      </w:r>
      <w:r>
        <w:rPr>
          <w:rStyle w:val="NormalTok"/>
        </w:rPr>
        <w:t xml:space="preserve"> </w:t>
      </w:r>
      <w:r>
        <w:rPr>
          <w:rStyle w:val="ControlFlowTok"/>
        </w:rPr>
        <w:t>for</w:t>
      </w:r>
      <w:r>
        <w:rPr>
          <w:rStyle w:val="NormalTok"/>
        </w:rPr>
        <w:t xml:space="preserve"> v </w:t>
      </w:r>
      <w:r>
        <w:rPr>
          <w:rStyle w:val="KeywordTok"/>
        </w:rPr>
        <w:t>in</w:t>
      </w:r>
      <w:r>
        <w:rPr>
          <w:rStyle w:val="NormalTok"/>
        </w:rPr>
        <w:t xml:space="preserve"> p[</w:t>
      </w:r>
      <w:r>
        <w:rPr>
          <w:rStyle w:val="StringTok"/>
        </w:rPr>
        <w:t>'eligible_nonpv_share'</w:t>
      </w:r>
      <w:r>
        <w:rPr>
          <w:rStyle w:val="NormalTok"/>
        </w:rPr>
        <w:t>].values())</w:t>
      </w:r>
      <w:r>
        <w:br/>
      </w:r>
      <w:r>
        <w:rPr>
          <w:rStyle w:val="NormalTok"/>
        </w:rPr>
        <w:t xml:space="preserve">    central</w:t>
      </w:r>
      <w:r>
        <w:rPr>
          <w:rStyle w:val="OperatorTok"/>
        </w:rPr>
        <w:t>=</w:t>
      </w:r>
      <w:r>
        <w:rPr>
          <w:rStyle w:val="BuiltInTok"/>
        </w:rPr>
        <w:t>sum</w:t>
      </w:r>
      <w:r>
        <w:rPr>
          <w:rStyle w:val="NormalTok"/>
        </w:rPr>
        <w:t>(g[k]</w:t>
      </w:r>
      <w:r>
        <w:rPr>
          <w:rStyle w:val="OperatorTok"/>
        </w:rPr>
        <w:t>*</w:t>
      </w:r>
      <w:r>
        <w:rPr>
          <w:rStyle w:val="NormalTok"/>
        </w:rPr>
        <w:t xml:space="preserve">share </w:t>
      </w:r>
      <w:r>
        <w:rPr>
          <w:rStyle w:val="ControlFlowTok"/>
        </w:rPr>
        <w:t>for</w:t>
      </w:r>
      <w:r>
        <w:rPr>
          <w:rStyle w:val="NormalTok"/>
        </w:rPr>
        <w:t xml:space="preserve"> k,share </w:t>
      </w:r>
      <w:r>
        <w:rPr>
          <w:rStyle w:val="KeywordTok"/>
        </w:rPr>
        <w:t>in</w:t>
      </w:r>
      <w:r>
        <w:rPr>
          <w:rStyle w:val="NormalTok"/>
        </w:rPr>
        <w:t xml:space="preserve"> p[</w:t>
      </w:r>
      <w:r>
        <w:rPr>
          <w:rStyle w:val="StringTok"/>
        </w:rPr>
        <w:t>'eligible_nonpv_share'</w:t>
      </w:r>
      <w:r>
        <w:rPr>
          <w:rStyle w:val="NormalTok"/>
        </w:rPr>
        <w:t>].items())</w:t>
      </w:r>
      <w:r>
        <w:br/>
      </w:r>
      <w:r>
        <w:rPr>
          <w:rStyle w:val="NormalTok"/>
        </w:rPr>
        <w:t xml:space="preserve">    export</w:t>
      </w:r>
      <w:r>
        <w:rPr>
          <w:rStyle w:val="OperatorTok"/>
        </w:rPr>
        <w:t>=</w:t>
      </w:r>
      <w:r>
        <w:rPr>
          <w:rStyle w:val="BuiltInTok"/>
        </w:rPr>
        <w:t>max</w:t>
      </w:r>
      <w:r>
        <w:rPr>
          <w:rStyle w:val="NormalTok"/>
        </w:rPr>
        <w:t>(</w:t>
      </w:r>
      <w:r>
        <w:rPr>
          <w:rStyle w:val="OperatorTok"/>
        </w:rPr>
        <w:t>-</w:t>
      </w:r>
      <w:r>
        <w:rPr>
          <w:rStyle w:val="NormalTok"/>
        </w:rPr>
        <w:t>g[</w:t>
      </w:r>
      <w:r>
        <w:rPr>
          <w:rStyle w:val="StringTok"/>
        </w:rPr>
        <w:t>'net_imports'</w:t>
      </w:r>
      <w:r>
        <w:rPr>
          <w:rStyle w:val="NormalTok"/>
        </w:rPr>
        <w:t>],</w:t>
      </w:r>
      <w:r>
        <w:rPr>
          <w:rStyle w:val="DecValTok"/>
        </w:rPr>
        <w:t>0</w:t>
      </w:r>
      <w:r>
        <w:rPr>
          <w:rStyle w:val="NormalTok"/>
        </w:rPr>
        <w:t>)</w:t>
      </w:r>
      <w:r>
        <w:br/>
      </w:r>
      <w:r>
        <w:rPr>
          <w:rStyle w:val="NormalTok"/>
        </w:rPr>
        <w:t xml:space="preserve">    fixed</w:t>
      </w:r>
      <w:r>
        <w:rPr>
          <w:rStyle w:val="OperatorTok"/>
        </w:rPr>
        <w:t>=</w:t>
      </w:r>
      <w:r>
        <w:rPr>
          <w:rStyle w:val="BuiltInTok"/>
        </w:rPr>
        <w:t>sum</w:t>
      </w:r>
      <w:r>
        <w:rPr>
          <w:rStyle w:val="NormalTok"/>
        </w:rPr>
        <w:t xml:space="preserve">(d[k] </w:t>
      </w:r>
      <w:r>
        <w:rPr>
          <w:rStyle w:val="ControlFlowTok"/>
        </w:rPr>
        <w:t>for</w:t>
      </w:r>
      <w:r>
        <w:rPr>
          <w:rStyle w:val="NormalTok"/>
        </w:rPr>
        <w:t xml:space="preserve"> k </w:t>
      </w:r>
      <w:r>
        <w:rPr>
          <w:rStyle w:val="KeywordTok"/>
        </w:rPr>
        <w:t>in</w:t>
      </w:r>
      <w:r>
        <w:rPr>
          <w:rStyle w:val="NormalTok"/>
        </w:rPr>
        <w:t xml:space="preserve"> [</w:t>
      </w:r>
      <w:r>
        <w:rPr>
          <w:rStyle w:val="StringTok"/>
        </w:rPr>
        <w:t>'industrie'</w:t>
      </w:r>
      <w:r>
        <w:rPr>
          <w:rStyle w:val="NormalTok"/>
        </w:rPr>
        <w:t>,</w:t>
      </w:r>
      <w:r>
        <w:rPr>
          <w:rStyle w:val="StringTok"/>
        </w:rPr>
        <w:t>'landwirtschaft'</w:t>
      </w:r>
      <w:r>
        <w:rPr>
          <w:rStyle w:val="NormalTok"/>
        </w:rPr>
        <w:t>,</w:t>
      </w:r>
      <w:r>
        <w:rPr>
          <w:rStyle w:val="StringTok"/>
        </w:rPr>
        <w:t>'verbrauch_sektor_energie'</w:t>
      </w:r>
      <w:r>
        <w:rPr>
          <w:rStyle w:val="NormalTok"/>
        </w:rPr>
        <w:t>,</w:t>
      </w:r>
      <w:r>
        <w:rPr>
          <w:rStyle w:val="StringTok"/>
        </w:rPr>
        <w:t>'umwandlungseinsatz'</w:t>
      </w:r>
      <w:r>
        <w:rPr>
          <w:rStyle w:val="NormalTok"/>
        </w:rPr>
        <w:t>,</w:t>
      </w:r>
      <w:r>
        <w:rPr>
          <w:rStyle w:val="StringTok"/>
        </w:rPr>
        <w:t>'transportverluste'</w:t>
      </w:r>
      <w:r>
        <w:rPr>
          <w:rStyle w:val="NormalTok"/>
        </w:rPr>
        <w:t>])</w:t>
      </w:r>
      <w:r>
        <w:rPr>
          <w:rStyle w:val="OperatorTok"/>
        </w:rPr>
        <w:t>+</w:t>
      </w:r>
      <w:r>
        <w:rPr>
          <w:rStyle w:val="NormalTok"/>
        </w:rPr>
        <w:t>export</w:t>
      </w:r>
      <w:r>
        <w:br/>
      </w:r>
      <w:r>
        <w:rPr>
          <w:rStyle w:val="NormalTok"/>
        </w:rPr>
        <w:t xml:space="preserve">    miv</w:t>
      </w:r>
      <w:r>
        <w:rPr>
          <w:rStyle w:val="OperatorTok"/>
        </w:rPr>
        <w:t>=</w:t>
      </w:r>
      <w:r>
        <w:rPr>
          <w:rStyle w:val="NormalTok"/>
        </w:rPr>
        <w:t>d[</w:t>
      </w:r>
      <w:r>
        <w:rPr>
          <w:rStyle w:val="StringTok"/>
        </w:rPr>
        <w:t>'verkehr'</w:t>
      </w:r>
      <w:r>
        <w:rPr>
          <w:rStyle w:val="NormalTok"/>
        </w:rPr>
        <w:t>]</w:t>
      </w:r>
      <w:r>
        <w:rPr>
          <w:rStyle w:val="OperatorTok"/>
        </w:rPr>
        <w:t>*</w:t>
      </w:r>
      <w:r>
        <w:rPr>
          <w:rStyle w:val="NormalTok"/>
        </w:rPr>
        <w:t>p[</w:t>
      </w:r>
      <w:r>
        <w:rPr>
          <w:rStyle w:val="StringTok"/>
        </w:rPr>
        <w:t>'miv_share'</w:t>
      </w:r>
      <w:r>
        <w:rPr>
          <w:rStyle w:val="NormalTok"/>
        </w:rPr>
        <w:t>]</w:t>
      </w:r>
      <w:r>
        <w:br/>
      </w:r>
      <w:r>
        <w:rPr>
          <w:rStyle w:val="NormalTok"/>
        </w:rPr>
        <w:t xml:space="preserve">    public</w:t>
      </w:r>
      <w:r>
        <w:rPr>
          <w:rStyle w:val="OperatorTok"/>
        </w:rPr>
        <w:t>=</w:t>
      </w:r>
      <w:r>
        <w:rPr>
          <w:rStyle w:val="NormalTok"/>
        </w:rPr>
        <w:t>d[</w:t>
      </w:r>
      <w:r>
        <w:rPr>
          <w:rStyle w:val="StringTok"/>
        </w:rPr>
        <w:t>'verkehr'</w:t>
      </w:r>
      <w:r>
        <w:rPr>
          <w:rStyle w:val="NormalTok"/>
        </w:rPr>
        <w:t>]</w:t>
      </w:r>
      <w:r>
        <w:rPr>
          <w:rStyle w:val="OperatorTok"/>
        </w:rPr>
        <w:t>*</w:t>
      </w:r>
      <w:r>
        <w:rPr>
          <w:rStyle w:val="NormalTok"/>
        </w:rPr>
        <w:t>p[</w:t>
      </w:r>
      <w:r>
        <w:rPr>
          <w:rStyle w:val="StringTok"/>
        </w:rPr>
        <w:t>'public_transport_share'</w:t>
      </w:r>
      <w:r>
        <w:rPr>
          <w:rStyle w:val="NormalTok"/>
        </w:rPr>
        <w:t>]</w:t>
      </w:r>
      <w:r>
        <w:br/>
      </w:r>
      <w:r>
        <w:rPr>
          <w:rStyle w:val="NormalTok"/>
        </w:rPr>
        <w:t xml:space="preserve">    other</w:t>
      </w:r>
      <w:r>
        <w:rPr>
          <w:rStyle w:val="OperatorTok"/>
        </w:rPr>
        <w:t>=</w:t>
      </w:r>
      <w:r>
        <w:rPr>
          <w:rStyle w:val="NormalTok"/>
        </w:rPr>
        <w:t>d[</w:t>
      </w:r>
      <w:r>
        <w:rPr>
          <w:rStyle w:val="StringTok"/>
        </w:rPr>
        <w:t>'verkehr'</w:t>
      </w:r>
      <w:r>
        <w:rPr>
          <w:rStyle w:val="NormalTok"/>
        </w:rPr>
        <w:t>]</w:t>
      </w:r>
      <w:r>
        <w:rPr>
          <w:rStyle w:val="OperatorTok"/>
        </w:rPr>
        <w:t>*</w:t>
      </w:r>
      <w:r>
        <w:rPr>
          <w:rStyle w:val="NormalTok"/>
        </w:rPr>
        <w:t>p[</w:t>
      </w:r>
      <w:r>
        <w:rPr>
          <w:rStyle w:val="StringTok"/>
        </w:rPr>
        <w:t>'other_transport_share'</w:t>
      </w:r>
      <w:r>
        <w:rPr>
          <w:rStyle w:val="NormalTok"/>
        </w:rPr>
        <w:t>]</w:t>
      </w:r>
      <w:r>
        <w:br/>
      </w:r>
      <w:r>
        <w:rPr>
          <w:rStyle w:val="NormalTok"/>
        </w:rPr>
        <w:t xml:space="preserve">    raw</w:t>
      </w:r>
      <w:r>
        <w:rPr>
          <w:rStyle w:val="OperatorTok"/>
        </w:rPr>
        <w:t>=</w:t>
      </w:r>
      <w:r>
        <w:rPr>
          <w:rStyle w:val="NormalTok"/>
        </w:rPr>
        <w:t>central</w:t>
      </w:r>
      <w:r>
        <w:rPr>
          <w:rStyle w:val="OperatorTok"/>
        </w:rPr>
        <w:t>-</w:t>
      </w:r>
      <w:r>
        <w:rPr>
          <w:rStyle w:val="NormalTok"/>
        </w:rPr>
        <w:t>fixed</w:t>
      </w:r>
      <w:r>
        <w:rPr>
          <w:rStyle w:val="OperatorTok"/>
        </w:rPr>
        <w:t>-</w:t>
      </w:r>
      <w:r>
        <w:rPr>
          <w:rStyle w:val="NormalTok"/>
        </w:rPr>
        <w:t>public</w:t>
      </w:r>
      <w:r>
        <w:rPr>
          <w:rStyle w:val="OperatorTok"/>
        </w:rPr>
        <w:t>-</w:t>
      </w:r>
      <w:r>
        <w:rPr>
          <w:rStyle w:val="NormalTok"/>
        </w:rPr>
        <w:t>other</w:t>
      </w:r>
      <w:r>
        <w:br/>
      </w:r>
      <w:r>
        <w:rPr>
          <w:rStyle w:val="NormalTok"/>
        </w:rPr>
        <w:t xml:space="preserve">    budget</w:t>
      </w:r>
      <w:r>
        <w:rPr>
          <w:rStyle w:val="OperatorTok"/>
        </w:rPr>
        <w:t>=</w:t>
      </w:r>
      <w:r>
        <w:rPr>
          <w:rStyle w:val="BuiltInTok"/>
        </w:rPr>
        <w:t>min</w:t>
      </w:r>
      <w:r>
        <w:rPr>
          <w:rStyle w:val="NormalTok"/>
        </w:rPr>
        <w:t>(</w:t>
      </w:r>
      <w:r>
        <w:rPr>
          <w:rStyle w:val="BuiltInTok"/>
        </w:rPr>
        <w:t>max</w:t>
      </w:r>
      <w:r>
        <w:rPr>
          <w:rStyle w:val="NormalTok"/>
        </w:rPr>
        <w:t>(raw,</w:t>
      </w:r>
      <w:r>
        <w:rPr>
          <w:rStyle w:val="DecValTok"/>
        </w:rPr>
        <w:t>0</w:t>
      </w:r>
      <w:r>
        <w:rPr>
          <w:rStyle w:val="NormalTok"/>
        </w:rPr>
        <w:t>),miv)</w:t>
      </w:r>
      <w:r>
        <w:br/>
      </w:r>
      <w:r>
        <w:rPr>
          <w:rStyle w:val="NormalTok"/>
        </w:rPr>
        <w:t xml:space="preserve">    pv_building</w:t>
      </w:r>
      <w:r>
        <w:rPr>
          <w:rStyle w:val="OperatorTok"/>
        </w:rPr>
        <w:t>=</w:t>
      </w:r>
      <w:r>
        <w:rPr>
          <w:rStyle w:val="NormalTok"/>
        </w:rPr>
        <w:t>g[</w:t>
      </w:r>
      <w:r>
        <w:rPr>
          <w:rStyle w:val="StringTok"/>
        </w:rPr>
        <w:t>'pv'</w:t>
      </w:r>
      <w:r>
        <w:rPr>
          <w:rStyle w:val="NormalTok"/>
        </w:rPr>
        <w:t>]</w:t>
      </w:r>
      <w:r>
        <w:rPr>
          <w:rStyle w:val="OperatorTok"/>
        </w:rPr>
        <w:t>*</w:t>
      </w:r>
      <w:r>
        <w:rPr>
          <w:rStyle w:val="NormalTok"/>
        </w:rPr>
        <w:t>(</w:t>
      </w:r>
      <w:r>
        <w:rPr>
          <w:rStyle w:val="DecValTok"/>
        </w:rPr>
        <w:t>1</w:t>
      </w:r>
      <w:r>
        <w:rPr>
          <w:rStyle w:val="OperatorTok"/>
        </w:rPr>
        <w:t>-</w:t>
      </w:r>
      <w:r>
        <w:rPr>
          <w:rStyle w:val="NormalTok"/>
        </w:rPr>
        <w:t>p[</w:t>
      </w:r>
      <w:r>
        <w:rPr>
          <w:rStyle w:val="StringTok"/>
        </w:rPr>
        <w:t>'other_pv_share'</w:t>
      </w:r>
      <w:r>
        <w:rPr>
          <w:rStyle w:val="NormalTok"/>
        </w:rPr>
        <w:t>])</w:t>
      </w:r>
      <w:r>
        <w:br/>
      </w:r>
      <w:r>
        <w:rPr>
          <w:rStyle w:val="NormalTok"/>
        </w:rPr>
        <w:t xml:space="preserve">    pv_other</w:t>
      </w:r>
      <w:r>
        <w:rPr>
          <w:rStyle w:val="OperatorTok"/>
        </w:rPr>
        <w:t>=</w:t>
      </w:r>
      <w:r>
        <w:rPr>
          <w:rStyle w:val="NormalTok"/>
        </w:rPr>
        <w:t>g[</w:t>
      </w:r>
      <w:r>
        <w:rPr>
          <w:rStyle w:val="StringTok"/>
        </w:rPr>
        <w:t>'pv'</w:t>
      </w:r>
      <w:r>
        <w:rPr>
          <w:rStyle w:val="NormalTok"/>
        </w:rPr>
        <w:t>]</w:t>
      </w:r>
      <w:r>
        <w:rPr>
          <w:rStyle w:val="OperatorTok"/>
        </w:rPr>
        <w:t>*</w:t>
      </w:r>
      <w:r>
        <w:rPr>
          <w:rStyle w:val="NormalTok"/>
        </w:rPr>
        <w:t>p[</w:t>
      </w:r>
      <w:r>
        <w:rPr>
          <w:rStyle w:val="StringTok"/>
        </w:rPr>
        <w:t>'other_pv_share'</w:t>
      </w:r>
      <w:r>
        <w:rPr>
          <w:rStyle w:val="NormalTok"/>
        </w:rPr>
        <w:t>]</w:t>
      </w:r>
      <w:r>
        <w:br/>
      </w:r>
      <w:r>
        <w:rPr>
          <w:rStyle w:val="NormalTok"/>
        </w:rPr>
        <w:t xml:space="preserve">    unassigned_nonpv</w:t>
      </w:r>
      <w:r>
        <w:rPr>
          <w:rStyle w:val="OperatorTok"/>
        </w:rPr>
        <w:t>=</w:t>
      </w:r>
      <w:r>
        <w:rPr>
          <w:rStyle w:val="NormalTok"/>
        </w:rPr>
        <w:t>source_generation</w:t>
      </w:r>
      <w:r>
        <w:rPr>
          <w:rStyle w:val="OperatorTok"/>
        </w:rPr>
        <w:t>-</w:t>
      </w:r>
      <w:r>
        <w:rPr>
          <w:rStyle w:val="NormalTok"/>
        </w:rPr>
        <w:t>g[</w:t>
      </w:r>
      <w:r>
        <w:rPr>
          <w:rStyle w:val="StringTok"/>
        </w:rPr>
        <w:t>'pv'</w:t>
      </w:r>
      <w:r>
        <w:rPr>
          <w:rStyle w:val="NormalTok"/>
        </w:rPr>
        <w:t>]</w:t>
      </w:r>
      <w:r>
        <w:rPr>
          <w:rStyle w:val="OperatorTok"/>
        </w:rPr>
        <w:t>-</w:t>
      </w:r>
      <w:r>
        <w:rPr>
          <w:rStyle w:val="NormalTok"/>
        </w:rPr>
        <w:t>central</w:t>
      </w:r>
      <w:r>
        <w:br/>
      </w:r>
      <w:r>
        <w:rPr>
          <w:rStyle w:val="NormalTok"/>
        </w:rPr>
        <w:t xml:space="preserve">    building_operation</w:t>
      </w:r>
      <w:r>
        <w:rPr>
          <w:rStyle w:val="OperatorTok"/>
        </w:rPr>
        <w:t>=</w:t>
      </w:r>
      <w:r>
        <w:rPr>
          <w:rStyle w:val="NormalTok"/>
        </w:rPr>
        <w:t>pv_building</w:t>
      </w:r>
      <w:r>
        <w:rPr>
          <w:rStyle w:val="OperatorTok"/>
        </w:rPr>
        <w:t>-</w:t>
      </w:r>
      <w:r>
        <w:rPr>
          <w:rStyle w:val="NormalTok"/>
        </w:rPr>
        <w:t>d[</w:t>
      </w:r>
      <w:r>
        <w:rPr>
          <w:rStyle w:val="StringTok"/>
        </w:rPr>
        <w:t>'gebaeude'</w:t>
      </w:r>
      <w:r>
        <w:rPr>
          <w:rStyle w:val="NormalTok"/>
        </w:rPr>
        <w:t>]</w:t>
      </w:r>
      <w:r>
        <w:br/>
      </w:r>
      <w:r>
        <w:rPr>
          <w:rStyle w:val="NormalTok"/>
        </w:rPr>
        <w:t xml:space="preserve">    building</w:t>
      </w:r>
      <w:r>
        <w:rPr>
          <w:rStyle w:val="OperatorTok"/>
        </w:rPr>
        <w:t>=</w:t>
      </w:r>
      <w:r>
        <w:rPr>
          <w:rStyle w:val="NormalTok"/>
        </w:rPr>
        <w:t>building_operation</w:t>
      </w:r>
      <w:r>
        <w:rPr>
          <w:rStyle w:val="OperatorTok"/>
        </w:rPr>
        <w:t>+</w:t>
      </w:r>
      <w:r>
        <w:rPr>
          <w:rStyle w:val="NormalTok"/>
        </w:rPr>
        <w:t>budget</w:t>
      </w:r>
      <w:r>
        <w:rPr>
          <w:rStyle w:val="OperatorTok"/>
        </w:rPr>
        <w:t>-</w:t>
      </w:r>
      <w:r>
        <w:rPr>
          <w:rStyle w:val="NormalTok"/>
        </w:rPr>
        <w:t>miv</w:t>
      </w:r>
      <w:r>
        <w:br/>
      </w:r>
      <w:r>
        <w:rPr>
          <w:rStyle w:val="NormalTok"/>
        </w:rPr>
        <w:t xml:space="preserve">    central_after</w:t>
      </w:r>
      <w:r>
        <w:rPr>
          <w:rStyle w:val="OperatorTok"/>
        </w:rPr>
        <w:t>=</w:t>
      </w:r>
      <w:r>
        <w:rPr>
          <w:rStyle w:val="NormalTok"/>
        </w:rPr>
        <w:t>raw</w:t>
      </w:r>
      <w:r>
        <w:rPr>
          <w:rStyle w:val="OperatorTok"/>
        </w:rPr>
        <w:t>-</w:t>
      </w:r>
      <w:r>
        <w:rPr>
          <w:rStyle w:val="NormalTok"/>
        </w:rPr>
        <w:t>budget</w:t>
      </w:r>
      <w:r>
        <w:br/>
      </w:r>
      <w:r>
        <w:rPr>
          <w:rStyle w:val="NormalTok"/>
        </w:rPr>
        <w:t xml:space="preserve">    closure</w:t>
      </w:r>
      <w:r>
        <w:rPr>
          <w:rStyle w:val="OperatorTok"/>
        </w:rPr>
        <w:t>=</w:t>
      </w:r>
      <w:r>
        <w:rPr>
          <w:rStyle w:val="NormalTok"/>
        </w:rPr>
        <w:t>building</w:t>
      </w:r>
      <w:r>
        <w:rPr>
          <w:rStyle w:val="OperatorTok"/>
        </w:rPr>
        <w:t>+</w:t>
      </w:r>
      <w:r>
        <w:rPr>
          <w:rStyle w:val="NormalTok"/>
        </w:rPr>
        <w:t>central_after</w:t>
      </w:r>
      <w:r>
        <w:rPr>
          <w:rStyle w:val="OperatorTok"/>
        </w:rPr>
        <w:t>+</w:t>
      </w:r>
      <w:r>
        <w:rPr>
          <w:rStyle w:val="NormalTok"/>
        </w:rPr>
        <w:t>pv_other</w:t>
      </w:r>
      <w:r>
        <w:rPr>
          <w:rStyle w:val="OperatorTok"/>
        </w:rPr>
        <w:t>+</w:t>
      </w:r>
      <w:r>
        <w:rPr>
          <w:rStyle w:val="NormalTok"/>
        </w:rPr>
        <w:t>unassigned_nonpv</w:t>
      </w:r>
      <w:r>
        <w:rPr>
          <w:rStyle w:val="OperatorTok"/>
        </w:rPr>
        <w:t>+</w:t>
      </w:r>
      <w:r>
        <w:rPr>
          <w:rStyle w:val="BuiltInTok"/>
        </w:rPr>
        <w:t>max</w:t>
      </w:r>
      <w:r>
        <w:rPr>
          <w:rStyle w:val="NormalTok"/>
        </w:rPr>
        <w:t>(g[</w:t>
      </w:r>
      <w:r>
        <w:rPr>
          <w:rStyle w:val="StringTok"/>
        </w:rPr>
        <w:t>'net_imports'</w:t>
      </w:r>
      <w:r>
        <w:rPr>
          <w:rStyle w:val="NormalTok"/>
        </w:rPr>
        <w:t>],</w:t>
      </w:r>
      <w:r>
        <w:rPr>
          <w:rStyle w:val="DecValTok"/>
        </w:rPr>
        <w:t>0</w:t>
      </w:r>
      <w:r>
        <w:rPr>
          <w:rStyle w:val="NormalTok"/>
        </w:rPr>
        <w:t>)</w:t>
      </w:r>
      <w:r>
        <w:br/>
      </w:r>
      <w:r>
        <w:rPr>
          <w:rStyle w:val="NormalTok"/>
        </w:rPr>
        <w:t xml:space="preserve">    </w:t>
      </w:r>
      <w:r>
        <w:rPr>
          <w:rStyle w:val="ControlFlowTok"/>
        </w:rPr>
        <w:t>assert</w:t>
      </w:r>
      <w:r>
        <w:rPr>
          <w:rStyle w:val="NormalTok"/>
        </w:rPr>
        <w:t xml:space="preserve"> np.isclose(closure,source_residual), </w:t>
      </w:r>
      <w:r>
        <w:rPr>
          <w:rStyle w:val="StringTok"/>
        </w:rPr>
        <w:t>'Zuordnungsbilanz verletzt'</w:t>
      </w:r>
      <w:r>
        <w:br/>
      </w:r>
      <w:r>
        <w:rPr>
          <w:rStyle w:val="NormalTok"/>
        </w:rPr>
        <w:t xml:space="preserve">    </w:t>
      </w:r>
      <w:r>
        <w:rPr>
          <w:rStyle w:val="ControlFlowTok"/>
        </w:rPr>
        <w:t>assert</w:t>
      </w:r>
      <w:r>
        <w:rPr>
          <w:rStyle w:val="NormalTok"/>
        </w:rPr>
        <w:t xml:space="preserve"> </w:t>
      </w:r>
      <w:r>
        <w:rPr>
          <w:rStyle w:val="DecValTok"/>
        </w:rPr>
        <w:t>0</w:t>
      </w:r>
      <w:r>
        <w:rPr>
          <w:rStyle w:val="OperatorTok"/>
        </w:rPr>
        <w:t>&lt;=</w:t>
      </w:r>
      <w:r>
        <w:rPr>
          <w:rStyle w:val="NormalTok"/>
        </w:rPr>
        <w:t>budget</w:t>
      </w:r>
      <w:r>
        <w:rPr>
          <w:rStyle w:val="OperatorTok"/>
        </w:rPr>
        <w:t>&lt;=</w:t>
      </w:r>
      <w:r>
        <w:rPr>
          <w:rStyle w:val="NormalTok"/>
        </w:rPr>
        <w:t>miv</w:t>
      </w:r>
      <w:r>
        <w:br/>
      </w:r>
      <w:r>
        <w:rPr>
          <w:rStyle w:val="NormalTok"/>
        </w:rPr>
        <w:t xml:space="preserve">    </w:t>
      </w:r>
      <w:r>
        <w:rPr>
          <w:rStyle w:val="ControlFlowTok"/>
        </w:rPr>
        <w:t>return</w:t>
      </w:r>
      <w:r>
        <w:rPr>
          <w:rStyle w:val="NormalTok"/>
        </w:rPr>
        <w:t xml:space="preserve"> </w:t>
      </w:r>
      <w:r>
        <w:rPr>
          <w:rStyle w:val="BuiltInTok"/>
        </w:rPr>
        <w:t>dict</w:t>
      </w:r>
      <w:r>
        <w:rPr>
          <w:rStyle w:val="NormalTok"/>
        </w:rPr>
        <w:t>(central_pj</w:t>
      </w:r>
      <w:r>
        <w:rPr>
          <w:rStyle w:val="OperatorTok"/>
        </w:rPr>
        <w:t>=</w:t>
      </w:r>
      <w:r>
        <w:rPr>
          <w:rStyle w:val="NormalTok"/>
        </w:rPr>
        <w:t>central,fixed_priority_pj</w:t>
      </w:r>
      <w:r>
        <w:rPr>
          <w:rStyle w:val="OperatorTok"/>
        </w:rPr>
        <w:t>=</w:t>
      </w:r>
      <w:r>
        <w:rPr>
          <w:rStyle w:val="NormalTok"/>
        </w:rPr>
        <w:t>fixed,public_transport_pj</w:t>
      </w:r>
      <w:r>
        <w:rPr>
          <w:rStyle w:val="OperatorTok"/>
        </w:rPr>
        <w:t>=</w:t>
      </w:r>
      <w:r>
        <w:rPr>
          <w:rStyle w:val="NormalTok"/>
        </w:rPr>
        <w:t>public,other_transport_pj</w:t>
      </w:r>
      <w:r>
        <w:rPr>
          <w:rStyle w:val="OperatorTok"/>
        </w:rPr>
        <w:t>=</w:t>
      </w:r>
      <w:r>
        <w:rPr>
          <w:rStyle w:val="NormalTok"/>
        </w:rPr>
        <w:t>other,</w:t>
      </w:r>
      <w:r>
        <w:br/>
      </w:r>
      <w:r>
        <w:rPr>
          <w:rStyle w:val="NormalTok"/>
        </w:rPr>
        <w:t xml:space="preserve">                miv_demand_pj</w:t>
      </w:r>
      <w:r>
        <w:rPr>
          <w:rStyle w:val="OperatorTok"/>
        </w:rPr>
        <w:t>=</w:t>
      </w:r>
      <w:r>
        <w:rPr>
          <w:rStyle w:val="NormalTok"/>
        </w:rPr>
        <w:t>miv,raw_miv_balance_pj</w:t>
      </w:r>
      <w:r>
        <w:rPr>
          <w:rStyle w:val="OperatorTok"/>
        </w:rPr>
        <w:t>=</w:t>
      </w:r>
      <w:r>
        <w:rPr>
          <w:rStyle w:val="NormalTok"/>
        </w:rPr>
        <w:t>raw,miv_budget_pj</w:t>
      </w:r>
      <w:r>
        <w:rPr>
          <w:rStyle w:val="OperatorTok"/>
        </w:rPr>
        <w:t>=</w:t>
      </w:r>
      <w:r>
        <w:rPr>
          <w:rStyle w:val="NormalTok"/>
        </w:rPr>
        <w:t>budget,</w:t>
      </w:r>
      <w:r>
        <w:br/>
      </w:r>
      <w:r>
        <w:rPr>
          <w:rStyle w:val="NormalTok"/>
        </w:rPr>
        <w:t xml:space="preserve">                central_after_miv_pj</w:t>
      </w:r>
      <w:r>
        <w:rPr>
          <w:rStyle w:val="OperatorTok"/>
        </w:rPr>
        <w:t>=</w:t>
      </w:r>
      <w:r>
        <w:rPr>
          <w:rStyle w:val="NormalTok"/>
        </w:rPr>
        <w:t>central_after,unassigned_nonpv_pj</w:t>
      </w:r>
      <w:r>
        <w:rPr>
          <w:rStyle w:val="OperatorTok"/>
        </w:rPr>
        <w:t>=</w:t>
      </w:r>
      <w:r>
        <w:rPr>
          <w:rStyle w:val="NormalTok"/>
        </w:rPr>
        <w:t>unassigned_nonpv,</w:t>
      </w:r>
      <w:r>
        <w:br/>
      </w:r>
      <w:r>
        <w:rPr>
          <w:rStyle w:val="NormalTok"/>
        </w:rPr>
        <w:t xml:space="preserve">                building_pv_pj</w:t>
      </w:r>
      <w:r>
        <w:rPr>
          <w:rStyle w:val="OperatorTok"/>
        </w:rPr>
        <w:t>=</w:t>
      </w:r>
      <w:r>
        <w:rPr>
          <w:rStyle w:val="NormalTok"/>
        </w:rPr>
        <w:t>pv_building,other_pv_pj</w:t>
      </w:r>
      <w:r>
        <w:rPr>
          <w:rStyle w:val="OperatorTok"/>
        </w:rPr>
        <w:t>=</w:t>
      </w:r>
      <w:r>
        <w:rPr>
          <w:rStyle w:val="NormalTok"/>
        </w:rPr>
        <w:t>pv_other,building_operation_pj</w:t>
      </w:r>
      <w:r>
        <w:rPr>
          <w:rStyle w:val="OperatorTok"/>
        </w:rPr>
        <w:t>=</w:t>
      </w:r>
      <w:r>
        <w:rPr>
          <w:rStyle w:val="NormalTok"/>
        </w:rPr>
        <w:t>building_operation,</w:t>
      </w:r>
      <w:r>
        <w:br/>
      </w:r>
      <w:r>
        <w:rPr>
          <w:rStyle w:val="NormalTok"/>
        </w:rPr>
        <w:t xml:space="preserve">                building_target_pj</w:t>
      </w:r>
      <w:r>
        <w:rPr>
          <w:rStyle w:val="OperatorTok"/>
        </w:rPr>
        <w:t>=</w:t>
      </w:r>
      <w:r>
        <w:rPr>
          <w:rStyle w:val="NormalTok"/>
        </w:rPr>
        <w:t>building,source_residual_pj</w:t>
      </w:r>
      <w:r>
        <w:rPr>
          <w:rStyle w:val="OperatorTok"/>
        </w:rPr>
        <w:t>=</w:t>
      </w:r>
      <w:r>
        <w:rPr>
          <w:rStyle w:val="NormalTok"/>
        </w:rPr>
        <w:t>source_residual,allocation_residual_pj</w:t>
      </w:r>
      <w:r>
        <w:rPr>
          <w:rStyle w:val="OperatorTok"/>
        </w:rPr>
        <w:t>=</w:t>
      </w:r>
      <w:r>
        <w:rPr>
          <w:rStyle w:val="NormalTok"/>
        </w:rPr>
        <w:t>closure,</w:t>
      </w:r>
      <w:r>
        <w:br/>
      </w:r>
      <w:r>
        <w:rPr>
          <w:rStyle w:val="NormalTok"/>
        </w:rPr>
        <w:t xml:space="preserve">                priority_covered</w:t>
      </w:r>
      <w:r>
        <w:rPr>
          <w:rStyle w:val="OperatorTok"/>
        </w:rPr>
        <w:t>=</w:t>
      </w:r>
      <w:r>
        <w:rPr>
          <w:rStyle w:val="NormalTok"/>
        </w:rPr>
        <w:t>raw</w:t>
      </w:r>
      <w:r>
        <w:rPr>
          <w:rStyle w:val="OperatorTok"/>
        </w:rPr>
        <w:t>&gt;=-</w:t>
      </w:r>
      <w:r>
        <w:rPr>
          <w:rStyle w:val="FloatTok"/>
        </w:rPr>
        <w:t>1e-9</w:t>
      </w:r>
      <w:r>
        <w:rPr>
          <w:rStyle w:val="NormalTok"/>
        </w:rPr>
        <w:t>)</w:t>
      </w:r>
      <w:r>
        <w:br/>
      </w:r>
      <w:r>
        <w:rPr>
          <w:rStyle w:val="NormalTok"/>
        </w:rPr>
        <w:t>result</w:t>
      </w:r>
      <w:r>
        <w:rPr>
          <w:rStyle w:val="OperatorTok"/>
        </w:rPr>
        <w:t>=</w:t>
      </w:r>
      <w:r>
        <w:rPr>
          <w:rStyle w:val="NormalTok"/>
        </w:rPr>
        <w:t>allocate(parameters)</w:t>
      </w:r>
      <w:r>
        <w:br/>
      </w:r>
      <w:r>
        <w:rPr>
          <w:rStyle w:val="NormalTok"/>
        </w:rPr>
        <w:t>result_table</w:t>
      </w:r>
      <w:r>
        <w:rPr>
          <w:rStyle w:val="OperatorTok"/>
        </w:rPr>
        <w:t>=</w:t>
      </w:r>
      <w:r>
        <w:rPr>
          <w:rStyle w:val="NormalTok"/>
        </w:rPr>
        <w:t>pd.DataFrame([{</w:t>
      </w:r>
      <w:r>
        <w:rPr>
          <w:rStyle w:val="StringTok"/>
        </w:rPr>
        <w:t>'Position'</w:t>
      </w:r>
      <w:r>
        <w:rPr>
          <w:rStyle w:val="NormalTok"/>
        </w:rPr>
        <w:t>:k,</w:t>
      </w:r>
      <w:r>
        <w:rPr>
          <w:rStyle w:val="StringTok"/>
        </w:rPr>
        <w:t>'PJ_el/a'</w:t>
      </w:r>
      <w:r>
        <w:rPr>
          <w:rStyle w:val="NormalTok"/>
        </w:rPr>
        <w:t>:v,</w:t>
      </w:r>
      <w:r>
        <w:rPr>
          <w:rStyle w:val="StringTok"/>
        </w:rPr>
        <w:t>'TWh_el/a'</w:t>
      </w:r>
      <w:r>
        <w:rPr>
          <w:rStyle w:val="NormalTok"/>
        </w:rPr>
        <w:t>:v</w:t>
      </w:r>
      <w:r>
        <w:rPr>
          <w:rStyle w:val="OperatorTok"/>
        </w:rPr>
        <w:t>/</w:t>
      </w:r>
      <w:r>
        <w:rPr>
          <w:rStyle w:val="FloatTok"/>
        </w:rPr>
        <w:t>3.6</w:t>
      </w:r>
      <w:r>
        <w:rPr>
          <w:rStyle w:val="NormalTok"/>
        </w:rPr>
        <w:t xml:space="preserve">} </w:t>
      </w:r>
      <w:r>
        <w:rPr>
          <w:rStyle w:val="ControlFlowTok"/>
        </w:rPr>
        <w:t>for</w:t>
      </w:r>
      <w:r>
        <w:rPr>
          <w:rStyle w:val="NormalTok"/>
        </w:rPr>
        <w:t xml:space="preserve"> k,v </w:t>
      </w:r>
      <w:r>
        <w:rPr>
          <w:rStyle w:val="KeywordTok"/>
        </w:rPr>
        <w:t>in</w:t>
      </w:r>
      <w:r>
        <w:rPr>
          <w:rStyle w:val="NormalTok"/>
        </w:rPr>
        <w:t xml:space="preserve"> result.items() </w:t>
      </w:r>
      <w:r>
        <w:rPr>
          <w:rStyle w:val="ControlFlowTok"/>
        </w:rPr>
        <w:t>if</w:t>
      </w:r>
      <w:r>
        <w:rPr>
          <w:rStyle w:val="NormalTok"/>
        </w:rPr>
        <w:t xml:space="preserve"> k</w:t>
      </w:r>
      <w:r>
        <w:rPr>
          <w:rStyle w:val="OperatorTok"/>
        </w:rPr>
        <w:t>!=</w:t>
      </w:r>
      <w:r>
        <w:rPr>
          <w:rStyle w:val="StringTok"/>
        </w:rPr>
        <w:t>'priority_covered'</w:t>
      </w:r>
      <w:r>
        <w:rPr>
          <w:rStyle w:val="NormalTok"/>
        </w:rPr>
        <w:t>])</w:t>
      </w:r>
      <w:r>
        <w:br/>
      </w:r>
      <w:r>
        <w:rPr>
          <w:rStyle w:val="NormalTok"/>
        </w:rPr>
        <w:t>display(result_table.</w:t>
      </w:r>
      <w:r>
        <w:rPr>
          <w:rStyle w:val="BuiltInTok"/>
        </w:rPr>
        <w:t>round</w:t>
      </w:r>
      <w:r>
        <w:rPr>
          <w:rStyle w:val="NormalTok"/>
        </w:rPr>
        <w:t>(</w:t>
      </w:r>
      <w:r>
        <w:rPr>
          <w:rStyle w:val="DecValTok"/>
        </w:rPr>
        <w:t>4</w:t>
      </w:r>
      <w:r>
        <w:rPr>
          <w:rStyle w:val="NormalTok"/>
        </w:rPr>
        <w:t>))</w:t>
      </w:r>
    </w:p>
    <w:tbl>
      <w:tblPr>
        <w:tblStyle w:val="Table"/>
        <w:tblW w:w="0" w:type="auto"/>
        <w:tblLook w:val="0020" w:firstRow="1" w:lastRow="0" w:firstColumn="0" w:lastColumn="0" w:noHBand="0" w:noVBand="0"/>
      </w:tblPr>
      <w:tblGrid>
        <w:gridCol w:w="473"/>
        <w:gridCol w:w="2506"/>
        <w:gridCol w:w="943"/>
        <w:gridCol w:w="1186"/>
      </w:tblGrid>
      <w:tr w:rsidR="004E4CC2" w14:paraId="3CBCE69C"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7650502C" w14:textId="77777777" w:rsidR="004E4CC2" w:rsidRDefault="004E4CC2">
            <w:pPr>
              <w:pStyle w:val="Compact"/>
            </w:pPr>
          </w:p>
        </w:tc>
        <w:tc>
          <w:tcPr>
            <w:tcW w:w="0" w:type="auto"/>
          </w:tcPr>
          <w:p w14:paraId="02209CCD" w14:textId="77777777" w:rsidR="004E4CC2" w:rsidRDefault="00000000">
            <w:pPr>
              <w:pStyle w:val="Compact"/>
            </w:pPr>
            <w:r>
              <w:t>Position</w:t>
            </w:r>
          </w:p>
        </w:tc>
        <w:tc>
          <w:tcPr>
            <w:tcW w:w="0" w:type="auto"/>
          </w:tcPr>
          <w:p w14:paraId="382C1ED8" w14:textId="77777777" w:rsidR="004E4CC2" w:rsidRDefault="00000000">
            <w:pPr>
              <w:pStyle w:val="Compact"/>
            </w:pPr>
            <w:r>
              <w:t>PJ_el/a</w:t>
            </w:r>
          </w:p>
        </w:tc>
        <w:tc>
          <w:tcPr>
            <w:tcW w:w="0" w:type="auto"/>
          </w:tcPr>
          <w:p w14:paraId="0FA80B0F" w14:textId="77777777" w:rsidR="004E4CC2" w:rsidRDefault="00000000">
            <w:pPr>
              <w:pStyle w:val="Compact"/>
            </w:pPr>
            <w:r>
              <w:t>TWh_el/a</w:t>
            </w:r>
          </w:p>
        </w:tc>
      </w:tr>
      <w:tr w:rsidR="004E4CC2" w14:paraId="41B6828B" w14:textId="77777777">
        <w:tc>
          <w:tcPr>
            <w:tcW w:w="0" w:type="auto"/>
          </w:tcPr>
          <w:p w14:paraId="35E7D64C" w14:textId="77777777" w:rsidR="004E4CC2" w:rsidRDefault="00000000">
            <w:pPr>
              <w:pStyle w:val="Compact"/>
            </w:pPr>
            <w:r>
              <w:lastRenderedPageBreak/>
              <w:t>0</w:t>
            </w:r>
          </w:p>
        </w:tc>
        <w:tc>
          <w:tcPr>
            <w:tcW w:w="0" w:type="auto"/>
          </w:tcPr>
          <w:p w14:paraId="1A150378" w14:textId="77777777" w:rsidR="004E4CC2" w:rsidRDefault="00000000">
            <w:pPr>
              <w:pStyle w:val="Compact"/>
            </w:pPr>
            <w:r>
              <w:t>central_pj</w:t>
            </w:r>
          </w:p>
        </w:tc>
        <w:tc>
          <w:tcPr>
            <w:tcW w:w="0" w:type="auto"/>
          </w:tcPr>
          <w:p w14:paraId="3332CE9D" w14:textId="77777777" w:rsidR="004E4CC2" w:rsidRDefault="00000000">
            <w:pPr>
              <w:pStyle w:val="Compact"/>
            </w:pPr>
            <w:r>
              <w:t>303.0</w:t>
            </w:r>
          </w:p>
        </w:tc>
        <w:tc>
          <w:tcPr>
            <w:tcW w:w="0" w:type="auto"/>
          </w:tcPr>
          <w:p w14:paraId="3F2D2378" w14:textId="77777777" w:rsidR="004E4CC2" w:rsidRDefault="00000000">
            <w:pPr>
              <w:pStyle w:val="Compact"/>
            </w:pPr>
            <w:r>
              <w:t>84.1667</w:t>
            </w:r>
          </w:p>
        </w:tc>
      </w:tr>
      <w:tr w:rsidR="004E4CC2" w14:paraId="1034FC32" w14:textId="77777777">
        <w:tc>
          <w:tcPr>
            <w:tcW w:w="0" w:type="auto"/>
          </w:tcPr>
          <w:p w14:paraId="11BAE112" w14:textId="77777777" w:rsidR="004E4CC2" w:rsidRDefault="00000000">
            <w:pPr>
              <w:pStyle w:val="Compact"/>
            </w:pPr>
            <w:r>
              <w:t>1</w:t>
            </w:r>
          </w:p>
        </w:tc>
        <w:tc>
          <w:tcPr>
            <w:tcW w:w="0" w:type="auto"/>
          </w:tcPr>
          <w:p w14:paraId="49592975" w14:textId="77777777" w:rsidR="004E4CC2" w:rsidRDefault="00000000">
            <w:pPr>
              <w:pStyle w:val="Compact"/>
            </w:pPr>
            <w:r>
              <w:t>fixed_priority_pj</w:t>
            </w:r>
          </w:p>
        </w:tc>
        <w:tc>
          <w:tcPr>
            <w:tcW w:w="0" w:type="auto"/>
          </w:tcPr>
          <w:p w14:paraId="7C985700" w14:textId="77777777" w:rsidR="004E4CC2" w:rsidRDefault="00000000">
            <w:pPr>
              <w:pStyle w:val="Compact"/>
            </w:pPr>
            <w:r>
              <w:t>261.0</w:t>
            </w:r>
          </w:p>
        </w:tc>
        <w:tc>
          <w:tcPr>
            <w:tcW w:w="0" w:type="auto"/>
          </w:tcPr>
          <w:p w14:paraId="7B4E919C" w14:textId="77777777" w:rsidR="004E4CC2" w:rsidRDefault="00000000">
            <w:pPr>
              <w:pStyle w:val="Compact"/>
            </w:pPr>
            <w:r>
              <w:t>72.5000</w:t>
            </w:r>
          </w:p>
        </w:tc>
      </w:tr>
      <w:tr w:rsidR="004E4CC2" w14:paraId="6B4576D4" w14:textId="77777777">
        <w:tc>
          <w:tcPr>
            <w:tcW w:w="0" w:type="auto"/>
          </w:tcPr>
          <w:p w14:paraId="5BBBBAA4" w14:textId="77777777" w:rsidR="004E4CC2" w:rsidRDefault="00000000">
            <w:pPr>
              <w:pStyle w:val="Compact"/>
            </w:pPr>
            <w:r>
              <w:t>2</w:t>
            </w:r>
          </w:p>
        </w:tc>
        <w:tc>
          <w:tcPr>
            <w:tcW w:w="0" w:type="auto"/>
          </w:tcPr>
          <w:p w14:paraId="4BF4136C" w14:textId="77777777" w:rsidR="004E4CC2" w:rsidRDefault="00000000">
            <w:pPr>
              <w:pStyle w:val="Compact"/>
            </w:pPr>
            <w:r>
              <w:t>public_transport_pj</w:t>
            </w:r>
          </w:p>
        </w:tc>
        <w:tc>
          <w:tcPr>
            <w:tcW w:w="0" w:type="auto"/>
          </w:tcPr>
          <w:p w14:paraId="6D99FB03" w14:textId="77777777" w:rsidR="004E4CC2" w:rsidRDefault="00000000">
            <w:pPr>
              <w:pStyle w:val="Compact"/>
            </w:pPr>
            <w:r>
              <w:t>18.0</w:t>
            </w:r>
          </w:p>
        </w:tc>
        <w:tc>
          <w:tcPr>
            <w:tcW w:w="0" w:type="auto"/>
          </w:tcPr>
          <w:p w14:paraId="473F87B1" w14:textId="77777777" w:rsidR="004E4CC2" w:rsidRDefault="00000000">
            <w:pPr>
              <w:pStyle w:val="Compact"/>
            </w:pPr>
            <w:r>
              <w:t>5.0000</w:t>
            </w:r>
          </w:p>
        </w:tc>
      </w:tr>
      <w:tr w:rsidR="004E4CC2" w14:paraId="42AFFB25" w14:textId="77777777">
        <w:tc>
          <w:tcPr>
            <w:tcW w:w="0" w:type="auto"/>
          </w:tcPr>
          <w:p w14:paraId="62EC8193" w14:textId="77777777" w:rsidR="004E4CC2" w:rsidRDefault="00000000">
            <w:pPr>
              <w:pStyle w:val="Compact"/>
            </w:pPr>
            <w:r>
              <w:t>3</w:t>
            </w:r>
          </w:p>
        </w:tc>
        <w:tc>
          <w:tcPr>
            <w:tcW w:w="0" w:type="auto"/>
          </w:tcPr>
          <w:p w14:paraId="2633C73C" w14:textId="77777777" w:rsidR="004E4CC2" w:rsidRDefault="00000000">
            <w:pPr>
              <w:pStyle w:val="Compact"/>
            </w:pPr>
            <w:r>
              <w:t>other_transport_pj</w:t>
            </w:r>
          </w:p>
        </w:tc>
        <w:tc>
          <w:tcPr>
            <w:tcW w:w="0" w:type="auto"/>
          </w:tcPr>
          <w:p w14:paraId="2B6F12AE" w14:textId="77777777" w:rsidR="004E4CC2" w:rsidRDefault="00000000">
            <w:pPr>
              <w:pStyle w:val="Compact"/>
            </w:pPr>
            <w:r>
              <w:t>0.0</w:t>
            </w:r>
          </w:p>
        </w:tc>
        <w:tc>
          <w:tcPr>
            <w:tcW w:w="0" w:type="auto"/>
          </w:tcPr>
          <w:p w14:paraId="5F2C546E" w14:textId="77777777" w:rsidR="004E4CC2" w:rsidRDefault="00000000">
            <w:pPr>
              <w:pStyle w:val="Compact"/>
            </w:pPr>
            <w:r>
              <w:t>0.0000</w:t>
            </w:r>
          </w:p>
        </w:tc>
      </w:tr>
      <w:tr w:rsidR="004E4CC2" w14:paraId="0AC044F1" w14:textId="77777777">
        <w:tc>
          <w:tcPr>
            <w:tcW w:w="0" w:type="auto"/>
          </w:tcPr>
          <w:p w14:paraId="74428597" w14:textId="77777777" w:rsidR="004E4CC2" w:rsidRDefault="00000000">
            <w:pPr>
              <w:pStyle w:val="Compact"/>
            </w:pPr>
            <w:r>
              <w:t>4</w:t>
            </w:r>
          </w:p>
        </w:tc>
        <w:tc>
          <w:tcPr>
            <w:tcW w:w="0" w:type="auto"/>
          </w:tcPr>
          <w:p w14:paraId="370BF92D" w14:textId="77777777" w:rsidR="004E4CC2" w:rsidRDefault="00000000">
            <w:pPr>
              <w:pStyle w:val="Compact"/>
            </w:pPr>
            <w:r>
              <w:t>miv_demand_pj</w:t>
            </w:r>
          </w:p>
        </w:tc>
        <w:tc>
          <w:tcPr>
            <w:tcW w:w="0" w:type="auto"/>
          </w:tcPr>
          <w:p w14:paraId="61630EFC" w14:textId="77777777" w:rsidR="004E4CC2" w:rsidRDefault="00000000">
            <w:pPr>
              <w:pStyle w:val="Compact"/>
            </w:pPr>
            <w:r>
              <w:t>72.0</w:t>
            </w:r>
          </w:p>
        </w:tc>
        <w:tc>
          <w:tcPr>
            <w:tcW w:w="0" w:type="auto"/>
          </w:tcPr>
          <w:p w14:paraId="3042B902" w14:textId="77777777" w:rsidR="004E4CC2" w:rsidRDefault="00000000">
            <w:pPr>
              <w:pStyle w:val="Compact"/>
            </w:pPr>
            <w:r>
              <w:t>20.0000</w:t>
            </w:r>
          </w:p>
        </w:tc>
      </w:tr>
      <w:tr w:rsidR="004E4CC2" w14:paraId="399A4880" w14:textId="77777777">
        <w:tc>
          <w:tcPr>
            <w:tcW w:w="0" w:type="auto"/>
          </w:tcPr>
          <w:p w14:paraId="0D218268" w14:textId="77777777" w:rsidR="004E4CC2" w:rsidRDefault="00000000">
            <w:pPr>
              <w:pStyle w:val="Compact"/>
            </w:pPr>
            <w:r>
              <w:t>5</w:t>
            </w:r>
          </w:p>
        </w:tc>
        <w:tc>
          <w:tcPr>
            <w:tcW w:w="0" w:type="auto"/>
          </w:tcPr>
          <w:p w14:paraId="599493BD" w14:textId="77777777" w:rsidR="004E4CC2" w:rsidRDefault="00000000">
            <w:pPr>
              <w:pStyle w:val="Compact"/>
            </w:pPr>
            <w:r>
              <w:t>raw_miv_balance_pj</w:t>
            </w:r>
          </w:p>
        </w:tc>
        <w:tc>
          <w:tcPr>
            <w:tcW w:w="0" w:type="auto"/>
          </w:tcPr>
          <w:p w14:paraId="33F4B033" w14:textId="77777777" w:rsidR="004E4CC2" w:rsidRDefault="00000000">
            <w:pPr>
              <w:pStyle w:val="Compact"/>
            </w:pPr>
            <w:r>
              <w:t>24.0</w:t>
            </w:r>
          </w:p>
        </w:tc>
        <w:tc>
          <w:tcPr>
            <w:tcW w:w="0" w:type="auto"/>
          </w:tcPr>
          <w:p w14:paraId="4D1855A4" w14:textId="77777777" w:rsidR="004E4CC2" w:rsidRDefault="00000000">
            <w:pPr>
              <w:pStyle w:val="Compact"/>
            </w:pPr>
            <w:r>
              <w:t>6.6667</w:t>
            </w:r>
          </w:p>
        </w:tc>
      </w:tr>
      <w:tr w:rsidR="004E4CC2" w14:paraId="7F85503B" w14:textId="77777777">
        <w:tc>
          <w:tcPr>
            <w:tcW w:w="0" w:type="auto"/>
          </w:tcPr>
          <w:p w14:paraId="6EDC1AC2" w14:textId="77777777" w:rsidR="004E4CC2" w:rsidRDefault="00000000">
            <w:pPr>
              <w:pStyle w:val="Compact"/>
            </w:pPr>
            <w:r>
              <w:t>6</w:t>
            </w:r>
          </w:p>
        </w:tc>
        <w:tc>
          <w:tcPr>
            <w:tcW w:w="0" w:type="auto"/>
          </w:tcPr>
          <w:p w14:paraId="0CFB7087" w14:textId="77777777" w:rsidR="004E4CC2" w:rsidRDefault="00000000">
            <w:pPr>
              <w:pStyle w:val="Compact"/>
            </w:pPr>
            <w:r>
              <w:t>miv_budget_pj</w:t>
            </w:r>
          </w:p>
        </w:tc>
        <w:tc>
          <w:tcPr>
            <w:tcW w:w="0" w:type="auto"/>
          </w:tcPr>
          <w:p w14:paraId="25189BD3" w14:textId="77777777" w:rsidR="004E4CC2" w:rsidRDefault="00000000">
            <w:pPr>
              <w:pStyle w:val="Compact"/>
            </w:pPr>
            <w:r>
              <w:t>24.0</w:t>
            </w:r>
          </w:p>
        </w:tc>
        <w:tc>
          <w:tcPr>
            <w:tcW w:w="0" w:type="auto"/>
          </w:tcPr>
          <w:p w14:paraId="3C1EAAA5" w14:textId="77777777" w:rsidR="004E4CC2" w:rsidRDefault="00000000">
            <w:pPr>
              <w:pStyle w:val="Compact"/>
            </w:pPr>
            <w:r>
              <w:t>6.6667</w:t>
            </w:r>
          </w:p>
        </w:tc>
      </w:tr>
      <w:tr w:rsidR="004E4CC2" w14:paraId="7F31A7D2" w14:textId="77777777">
        <w:tc>
          <w:tcPr>
            <w:tcW w:w="0" w:type="auto"/>
          </w:tcPr>
          <w:p w14:paraId="3863F4E6" w14:textId="77777777" w:rsidR="004E4CC2" w:rsidRDefault="00000000">
            <w:pPr>
              <w:pStyle w:val="Compact"/>
            </w:pPr>
            <w:r>
              <w:t>7</w:t>
            </w:r>
          </w:p>
        </w:tc>
        <w:tc>
          <w:tcPr>
            <w:tcW w:w="0" w:type="auto"/>
          </w:tcPr>
          <w:p w14:paraId="6DB6F2FE" w14:textId="77777777" w:rsidR="004E4CC2" w:rsidRDefault="00000000">
            <w:pPr>
              <w:pStyle w:val="Compact"/>
            </w:pPr>
            <w:r>
              <w:t>central_after_miv_pj</w:t>
            </w:r>
          </w:p>
        </w:tc>
        <w:tc>
          <w:tcPr>
            <w:tcW w:w="0" w:type="auto"/>
          </w:tcPr>
          <w:p w14:paraId="1E94F981" w14:textId="77777777" w:rsidR="004E4CC2" w:rsidRDefault="00000000">
            <w:pPr>
              <w:pStyle w:val="Compact"/>
            </w:pPr>
            <w:r>
              <w:t>0.0</w:t>
            </w:r>
          </w:p>
        </w:tc>
        <w:tc>
          <w:tcPr>
            <w:tcW w:w="0" w:type="auto"/>
          </w:tcPr>
          <w:p w14:paraId="54348DD3" w14:textId="77777777" w:rsidR="004E4CC2" w:rsidRDefault="00000000">
            <w:pPr>
              <w:pStyle w:val="Compact"/>
            </w:pPr>
            <w:r>
              <w:t>0.0000</w:t>
            </w:r>
          </w:p>
        </w:tc>
      </w:tr>
      <w:tr w:rsidR="004E4CC2" w14:paraId="461E67ED" w14:textId="77777777">
        <w:tc>
          <w:tcPr>
            <w:tcW w:w="0" w:type="auto"/>
          </w:tcPr>
          <w:p w14:paraId="2F003121" w14:textId="77777777" w:rsidR="004E4CC2" w:rsidRDefault="00000000">
            <w:pPr>
              <w:pStyle w:val="Compact"/>
            </w:pPr>
            <w:r>
              <w:t>8</w:t>
            </w:r>
          </w:p>
        </w:tc>
        <w:tc>
          <w:tcPr>
            <w:tcW w:w="0" w:type="auto"/>
          </w:tcPr>
          <w:p w14:paraId="356992FC" w14:textId="77777777" w:rsidR="004E4CC2" w:rsidRDefault="00000000">
            <w:pPr>
              <w:pStyle w:val="Compact"/>
            </w:pPr>
            <w:r>
              <w:t>unassigned_nonpv_pj</w:t>
            </w:r>
          </w:p>
        </w:tc>
        <w:tc>
          <w:tcPr>
            <w:tcW w:w="0" w:type="auto"/>
          </w:tcPr>
          <w:p w14:paraId="2E3898C7" w14:textId="77777777" w:rsidR="004E4CC2" w:rsidRDefault="00000000">
            <w:pPr>
              <w:pStyle w:val="Compact"/>
            </w:pPr>
            <w:r>
              <w:t>5.0</w:t>
            </w:r>
          </w:p>
        </w:tc>
        <w:tc>
          <w:tcPr>
            <w:tcW w:w="0" w:type="auto"/>
          </w:tcPr>
          <w:p w14:paraId="4C49CBDB" w14:textId="77777777" w:rsidR="004E4CC2" w:rsidRDefault="00000000">
            <w:pPr>
              <w:pStyle w:val="Compact"/>
            </w:pPr>
            <w:r>
              <w:t>1.3889</w:t>
            </w:r>
          </w:p>
        </w:tc>
      </w:tr>
      <w:tr w:rsidR="004E4CC2" w14:paraId="7FCCC904" w14:textId="77777777">
        <w:tc>
          <w:tcPr>
            <w:tcW w:w="0" w:type="auto"/>
          </w:tcPr>
          <w:p w14:paraId="1785C0FF" w14:textId="77777777" w:rsidR="004E4CC2" w:rsidRDefault="00000000">
            <w:pPr>
              <w:pStyle w:val="Compact"/>
            </w:pPr>
            <w:r>
              <w:t>9</w:t>
            </w:r>
          </w:p>
        </w:tc>
        <w:tc>
          <w:tcPr>
            <w:tcW w:w="0" w:type="auto"/>
          </w:tcPr>
          <w:p w14:paraId="0149BE92" w14:textId="77777777" w:rsidR="004E4CC2" w:rsidRDefault="00000000">
            <w:pPr>
              <w:pStyle w:val="Compact"/>
            </w:pPr>
            <w:r>
              <w:t>building_pv_pj</w:t>
            </w:r>
          </w:p>
        </w:tc>
        <w:tc>
          <w:tcPr>
            <w:tcW w:w="0" w:type="auto"/>
          </w:tcPr>
          <w:p w14:paraId="0520A8E8" w14:textId="77777777" w:rsidR="004E4CC2" w:rsidRDefault="00000000">
            <w:pPr>
              <w:pStyle w:val="Compact"/>
            </w:pPr>
            <w:r>
              <w:t>149.0</w:t>
            </w:r>
          </w:p>
        </w:tc>
        <w:tc>
          <w:tcPr>
            <w:tcW w:w="0" w:type="auto"/>
          </w:tcPr>
          <w:p w14:paraId="50FC72CB" w14:textId="77777777" w:rsidR="004E4CC2" w:rsidRDefault="00000000">
            <w:pPr>
              <w:pStyle w:val="Compact"/>
            </w:pPr>
            <w:r>
              <w:t>41.3889</w:t>
            </w:r>
          </w:p>
        </w:tc>
      </w:tr>
      <w:tr w:rsidR="004E4CC2" w14:paraId="02CC2EE7" w14:textId="77777777">
        <w:tc>
          <w:tcPr>
            <w:tcW w:w="0" w:type="auto"/>
          </w:tcPr>
          <w:p w14:paraId="6E489549" w14:textId="77777777" w:rsidR="004E4CC2" w:rsidRDefault="00000000">
            <w:pPr>
              <w:pStyle w:val="Compact"/>
            </w:pPr>
            <w:r>
              <w:t>10</w:t>
            </w:r>
          </w:p>
        </w:tc>
        <w:tc>
          <w:tcPr>
            <w:tcW w:w="0" w:type="auto"/>
          </w:tcPr>
          <w:p w14:paraId="71941504" w14:textId="77777777" w:rsidR="004E4CC2" w:rsidRDefault="00000000">
            <w:pPr>
              <w:pStyle w:val="Compact"/>
            </w:pPr>
            <w:r>
              <w:t>other_pv_pj</w:t>
            </w:r>
          </w:p>
        </w:tc>
        <w:tc>
          <w:tcPr>
            <w:tcW w:w="0" w:type="auto"/>
          </w:tcPr>
          <w:p w14:paraId="58F73243" w14:textId="77777777" w:rsidR="004E4CC2" w:rsidRDefault="00000000">
            <w:pPr>
              <w:pStyle w:val="Compact"/>
            </w:pPr>
            <w:r>
              <w:t>0.0</w:t>
            </w:r>
          </w:p>
        </w:tc>
        <w:tc>
          <w:tcPr>
            <w:tcW w:w="0" w:type="auto"/>
          </w:tcPr>
          <w:p w14:paraId="1E501F44" w14:textId="77777777" w:rsidR="004E4CC2" w:rsidRDefault="00000000">
            <w:pPr>
              <w:pStyle w:val="Compact"/>
            </w:pPr>
            <w:r>
              <w:t>0.0000</w:t>
            </w:r>
          </w:p>
        </w:tc>
      </w:tr>
      <w:tr w:rsidR="004E4CC2" w14:paraId="7E425446" w14:textId="77777777">
        <w:tc>
          <w:tcPr>
            <w:tcW w:w="0" w:type="auto"/>
          </w:tcPr>
          <w:p w14:paraId="6E2FF40F" w14:textId="77777777" w:rsidR="004E4CC2" w:rsidRDefault="00000000">
            <w:pPr>
              <w:pStyle w:val="Compact"/>
            </w:pPr>
            <w:r>
              <w:t>11</w:t>
            </w:r>
          </w:p>
        </w:tc>
        <w:tc>
          <w:tcPr>
            <w:tcW w:w="0" w:type="auto"/>
          </w:tcPr>
          <w:p w14:paraId="40B2E0BB" w14:textId="77777777" w:rsidR="004E4CC2" w:rsidRDefault="00000000">
            <w:pPr>
              <w:pStyle w:val="Compact"/>
            </w:pPr>
            <w:r>
              <w:t>building_operation_pj</w:t>
            </w:r>
          </w:p>
        </w:tc>
        <w:tc>
          <w:tcPr>
            <w:tcW w:w="0" w:type="auto"/>
          </w:tcPr>
          <w:p w14:paraId="29644B77" w14:textId="77777777" w:rsidR="004E4CC2" w:rsidRDefault="00000000">
            <w:pPr>
              <w:pStyle w:val="Compact"/>
            </w:pPr>
            <w:r>
              <w:t>41.0</w:t>
            </w:r>
          </w:p>
        </w:tc>
        <w:tc>
          <w:tcPr>
            <w:tcW w:w="0" w:type="auto"/>
          </w:tcPr>
          <w:p w14:paraId="07AFCC6E" w14:textId="77777777" w:rsidR="004E4CC2" w:rsidRDefault="00000000">
            <w:pPr>
              <w:pStyle w:val="Compact"/>
            </w:pPr>
            <w:r>
              <w:t>11.3889</w:t>
            </w:r>
          </w:p>
        </w:tc>
      </w:tr>
      <w:tr w:rsidR="004E4CC2" w14:paraId="0564E2A8" w14:textId="77777777">
        <w:tc>
          <w:tcPr>
            <w:tcW w:w="0" w:type="auto"/>
          </w:tcPr>
          <w:p w14:paraId="51A80A19" w14:textId="77777777" w:rsidR="004E4CC2" w:rsidRDefault="00000000">
            <w:pPr>
              <w:pStyle w:val="Compact"/>
            </w:pPr>
            <w:r>
              <w:t>12</w:t>
            </w:r>
          </w:p>
        </w:tc>
        <w:tc>
          <w:tcPr>
            <w:tcW w:w="0" w:type="auto"/>
          </w:tcPr>
          <w:p w14:paraId="369846E9" w14:textId="77777777" w:rsidR="004E4CC2" w:rsidRDefault="00000000">
            <w:pPr>
              <w:pStyle w:val="Compact"/>
            </w:pPr>
            <w:r>
              <w:t>building_target_pj</w:t>
            </w:r>
          </w:p>
        </w:tc>
        <w:tc>
          <w:tcPr>
            <w:tcW w:w="0" w:type="auto"/>
          </w:tcPr>
          <w:p w14:paraId="0AE52CB8" w14:textId="77777777" w:rsidR="004E4CC2" w:rsidRDefault="00000000">
            <w:pPr>
              <w:pStyle w:val="Compact"/>
            </w:pPr>
            <w:r>
              <w:t>-7.0</w:t>
            </w:r>
          </w:p>
        </w:tc>
        <w:tc>
          <w:tcPr>
            <w:tcW w:w="0" w:type="auto"/>
          </w:tcPr>
          <w:p w14:paraId="14F13AAE" w14:textId="77777777" w:rsidR="004E4CC2" w:rsidRDefault="00000000">
            <w:pPr>
              <w:pStyle w:val="Compact"/>
            </w:pPr>
            <w:r>
              <w:t>-1.9444</w:t>
            </w:r>
          </w:p>
        </w:tc>
      </w:tr>
      <w:tr w:rsidR="004E4CC2" w14:paraId="7F9D725E" w14:textId="77777777">
        <w:tc>
          <w:tcPr>
            <w:tcW w:w="0" w:type="auto"/>
          </w:tcPr>
          <w:p w14:paraId="0A57F86A" w14:textId="77777777" w:rsidR="004E4CC2" w:rsidRDefault="00000000">
            <w:pPr>
              <w:pStyle w:val="Compact"/>
            </w:pPr>
            <w:r>
              <w:t>13</w:t>
            </w:r>
          </w:p>
        </w:tc>
        <w:tc>
          <w:tcPr>
            <w:tcW w:w="0" w:type="auto"/>
          </w:tcPr>
          <w:p w14:paraId="6BE1A284" w14:textId="77777777" w:rsidR="004E4CC2" w:rsidRDefault="00000000">
            <w:pPr>
              <w:pStyle w:val="Compact"/>
            </w:pPr>
            <w:r>
              <w:t>source_residual_pj</w:t>
            </w:r>
          </w:p>
        </w:tc>
        <w:tc>
          <w:tcPr>
            <w:tcW w:w="0" w:type="auto"/>
          </w:tcPr>
          <w:p w14:paraId="4A24A201" w14:textId="77777777" w:rsidR="004E4CC2" w:rsidRDefault="00000000">
            <w:pPr>
              <w:pStyle w:val="Compact"/>
            </w:pPr>
            <w:r>
              <w:t>-2.0</w:t>
            </w:r>
          </w:p>
        </w:tc>
        <w:tc>
          <w:tcPr>
            <w:tcW w:w="0" w:type="auto"/>
          </w:tcPr>
          <w:p w14:paraId="7A67EA89" w14:textId="77777777" w:rsidR="004E4CC2" w:rsidRDefault="00000000">
            <w:pPr>
              <w:pStyle w:val="Compact"/>
            </w:pPr>
            <w:r>
              <w:t>-0.5556</w:t>
            </w:r>
          </w:p>
        </w:tc>
      </w:tr>
      <w:tr w:rsidR="004E4CC2" w14:paraId="214348F1" w14:textId="77777777">
        <w:tc>
          <w:tcPr>
            <w:tcW w:w="0" w:type="auto"/>
          </w:tcPr>
          <w:p w14:paraId="56396FDE" w14:textId="77777777" w:rsidR="004E4CC2" w:rsidRDefault="00000000">
            <w:pPr>
              <w:pStyle w:val="Compact"/>
            </w:pPr>
            <w:r>
              <w:t>14</w:t>
            </w:r>
          </w:p>
        </w:tc>
        <w:tc>
          <w:tcPr>
            <w:tcW w:w="0" w:type="auto"/>
          </w:tcPr>
          <w:p w14:paraId="74856AE4" w14:textId="77777777" w:rsidR="004E4CC2" w:rsidRDefault="00000000">
            <w:pPr>
              <w:pStyle w:val="Compact"/>
            </w:pPr>
            <w:r>
              <w:t>allocation_residual_pj</w:t>
            </w:r>
          </w:p>
        </w:tc>
        <w:tc>
          <w:tcPr>
            <w:tcW w:w="0" w:type="auto"/>
          </w:tcPr>
          <w:p w14:paraId="3D62A577" w14:textId="77777777" w:rsidR="004E4CC2" w:rsidRDefault="00000000">
            <w:pPr>
              <w:pStyle w:val="Compact"/>
            </w:pPr>
            <w:r>
              <w:t>-2.0</w:t>
            </w:r>
          </w:p>
        </w:tc>
        <w:tc>
          <w:tcPr>
            <w:tcW w:w="0" w:type="auto"/>
          </w:tcPr>
          <w:p w14:paraId="0C728ACB" w14:textId="77777777" w:rsidR="004E4CC2" w:rsidRDefault="00000000">
            <w:pPr>
              <w:pStyle w:val="Compact"/>
            </w:pPr>
            <w:r>
              <w:t>-0.5556</w:t>
            </w:r>
          </w:p>
        </w:tc>
      </w:tr>
    </w:tbl>
    <w:p w14:paraId="2D520C0F" w14:textId="77777777" w:rsidR="004E4CC2" w:rsidRDefault="00000000">
      <w:pPr>
        <w:pStyle w:val="berschrift2"/>
      </w:pPr>
      <w:bookmarkStart w:id="378" w:name="X1202b386eeac7e5689056ad69d4f3d9323f82dd"/>
      <w:bookmarkStart w:id="379" w:name="_Toc243681367"/>
      <w:bookmarkEnd w:id="376"/>
      <w:r>
        <w:t>D.6 Varianten: Gesamtmengen, Teilmengen und Saldo</w:t>
      </w:r>
      <w:bookmarkEnd w:id="379"/>
    </w:p>
    <w:p w14:paraId="3FA5725E" w14:textId="77777777" w:rsidR="004E4CC2" w:rsidRDefault="00000000">
      <w:pPr>
        <w:pStyle w:val="FirstParagraph"/>
      </w:pPr>
      <w:r>
        <w:t xml:space="preserve">Alle Energiemengen sind PJ Strom/a. </w:t>
      </w:r>
      <w:r>
        <w:rPr>
          <w:b/>
          <w:bCs/>
        </w:rPr>
        <w:t>PV gesamt = PV Gebäude + PV Freifläche</w:t>
      </w:r>
      <w:r>
        <w:t xml:space="preserve">. </w:t>
      </w:r>
      <w:r>
        <w:rPr>
          <w:b/>
          <w:bCs/>
        </w:rPr>
        <w:t>Verkehr gesamt = ÖPNV + MIV + übriger Verkehr</w:t>
      </w:r>
      <w:r>
        <w:t>. Die Verkehrsanteile beziehen sich auf Energie, nicht auf Wege oder Personenkilometer. Freiflächen-PV bleibt nach der gewählten Regel separat und wird nicht dem zentralen Nicht-PV-Pool zugeschlagen.</w:t>
      </w:r>
    </w:p>
    <w:p w14:paraId="49214E99" w14:textId="77777777" w:rsidR="004E4CC2" w:rsidRDefault="00000000">
      <w:pPr>
        <w:pStyle w:val="Textkrper"/>
      </w:pPr>
      <w:r>
        <w:t>Je Variante stehen Gebäudebedarf und MIV-Bedarf auf der Bedarfsseite der Gebäude-PV und der Mobilitätsgutschrift auf der Deckungsseite gegenüber. Saldo = Deckung − Bedarf. Ein positiver Gebäudesaldo kann gleichzeitig mit einer zentralen Unterdeckung auftreten; deshalb zeigt das zweite Vergleichsdiagramm beide Größen. „Budgetfähig“ bedeutet im Modell anrechenbar, nicht durch einen Herkunftsnachweis bestätigt.</w:t>
      </w:r>
    </w:p>
    <w:p w14:paraId="1DD1243E" w14:textId="77777777" w:rsidR="004E4CC2" w:rsidRDefault="00000000">
      <w:pPr>
        <w:pStyle w:val="SourceCode"/>
      </w:pPr>
      <w:r>
        <w:rPr>
          <w:rStyle w:val="ImportTok"/>
        </w:rPr>
        <w:t>import</w:t>
      </w:r>
      <w:r>
        <w:rPr>
          <w:rStyle w:val="NormalTok"/>
        </w:rPr>
        <w:t xml:space="preserve"> copy, sys</w:t>
      </w:r>
      <w:r>
        <w:br/>
      </w:r>
      <w:r>
        <w:rPr>
          <w:rStyle w:val="NormalTok"/>
        </w:rPr>
        <w:t>sys.path.insert(</w:t>
      </w:r>
      <w:r>
        <w:rPr>
          <w:rStyle w:val="DecValTok"/>
        </w:rPr>
        <w:t>0</w:t>
      </w:r>
      <w:r>
        <w:rPr>
          <w:rStyle w:val="NormalTok"/>
        </w:rPr>
        <w:t>,</w:t>
      </w:r>
      <w:r>
        <w:rPr>
          <w:rStyle w:val="BuiltInTok"/>
        </w:rPr>
        <w:t>str</w:t>
      </w:r>
      <w:r>
        <w:rPr>
          <w:rStyle w:val="NormalTok"/>
        </w:rPr>
        <w:t>(ROOT))</w:t>
      </w:r>
      <w:r>
        <w:br/>
      </w:r>
      <w:r>
        <w:rPr>
          <w:rStyle w:val="ImportTok"/>
        </w:rPr>
        <w:t>from</w:t>
      </w:r>
      <w:r>
        <w:rPr>
          <w:rStyle w:val="NormalTok"/>
        </w:rPr>
        <w:t xml:space="preserve"> Berechnungen.methodik_plots </w:t>
      </w:r>
      <w:r>
        <w:rPr>
          <w:rStyle w:val="ImportTok"/>
        </w:rPr>
        <w:t>import</w:t>
      </w:r>
      <w:r>
        <w:rPr>
          <w:rStyle w:val="NormalTok"/>
        </w:rPr>
        <w:t xml:space="preserve"> allocation_figures</w:t>
      </w:r>
      <w:r>
        <w:br/>
      </w:r>
      <w:r>
        <w:rPr>
          <w:rStyle w:val="ImportTok"/>
        </w:rPr>
        <w:t>from</w:t>
      </w:r>
      <w:r>
        <w:rPr>
          <w:rStyle w:val="NormalTok"/>
        </w:rPr>
        <w:t xml:space="preserve"> IPython.display </w:t>
      </w:r>
      <w:r>
        <w:rPr>
          <w:rStyle w:val="ImportTok"/>
        </w:rPr>
        <w:t>import</w:t>
      </w:r>
      <w:r>
        <w:rPr>
          <w:rStyle w:val="NormalTok"/>
        </w:rPr>
        <w:t xml:space="preserve"> HTML</w:t>
      </w:r>
      <w:r>
        <w:br/>
      </w:r>
      <w:r>
        <w:rPr>
          <w:rStyle w:val="NormalTok"/>
        </w:rPr>
        <w:t>variants</w:t>
      </w:r>
      <w:r>
        <w:rPr>
          <w:rStyle w:val="OperatorTok"/>
        </w:rPr>
        <w:t>=</w:t>
      </w:r>
      <w:r>
        <w:rPr>
          <w:rStyle w:val="NormalTok"/>
        </w:rPr>
        <w:t>[]</w:t>
      </w:r>
      <w:r>
        <w:br/>
      </w:r>
      <w:r>
        <w:rPr>
          <w:rStyle w:val="ControlFlowTok"/>
        </w:rPr>
        <w:t>for</w:t>
      </w:r>
      <w:r>
        <w:rPr>
          <w:rStyle w:val="NormalTok"/>
        </w:rPr>
        <w:t xml:space="preserve"> label,f,m,h </w:t>
      </w:r>
      <w:r>
        <w:rPr>
          <w:rStyle w:val="KeywordTok"/>
        </w:rPr>
        <w:t>in</w:t>
      </w:r>
      <w:r>
        <w:rPr>
          <w:rStyle w:val="NormalTok"/>
        </w:rPr>
        <w:t xml:space="preserve"> [(</w:t>
      </w:r>
      <w:r>
        <w:rPr>
          <w:rStyle w:val="StringTok"/>
        </w:rPr>
        <w:t>'Referenz'</w:t>
      </w:r>
      <w:r>
        <w:rPr>
          <w:rStyle w:val="NormalTok"/>
        </w:rPr>
        <w:t>,</w:t>
      </w:r>
      <w:r>
        <w:rPr>
          <w:rStyle w:val="DecValTok"/>
        </w:rPr>
        <w:t>0</w:t>
      </w:r>
      <w:r>
        <w:rPr>
          <w:rStyle w:val="NormalTok"/>
        </w:rPr>
        <w:t>,</w:t>
      </w:r>
      <w:r>
        <w:rPr>
          <w:rStyle w:val="FloatTok"/>
        </w:rPr>
        <w:t>.8</w:t>
      </w:r>
      <w:r>
        <w:rPr>
          <w:rStyle w:val="NormalTok"/>
        </w:rPr>
        <w:t>,</w:t>
      </w:r>
      <w:r>
        <w:rPr>
          <w:rStyle w:val="DecValTok"/>
        </w:rPr>
        <w:t>0</w:t>
      </w:r>
      <w:r>
        <w:rPr>
          <w:rStyle w:val="NormalTok"/>
        </w:rPr>
        <w:t>),(</w:t>
      </w:r>
      <w:r>
        <w:rPr>
          <w:rStyle w:val="StringTok"/>
        </w:rPr>
        <w:t xml:space="preserve">'20 </w:t>
      </w:r>
      <w:r>
        <w:rPr>
          <w:rStyle w:val="SpecialCharTok"/>
        </w:rPr>
        <w:t>% F</w:t>
      </w:r>
      <w:r>
        <w:rPr>
          <w:rStyle w:val="StringTok"/>
        </w:rPr>
        <w:t>reiflächen-PV'</w:t>
      </w:r>
      <w:r>
        <w:rPr>
          <w:rStyle w:val="NormalTok"/>
        </w:rPr>
        <w:t>,</w:t>
      </w:r>
      <w:r>
        <w:rPr>
          <w:rStyle w:val="FloatTok"/>
        </w:rPr>
        <w:t>.2</w:t>
      </w:r>
      <w:r>
        <w:rPr>
          <w:rStyle w:val="NormalTok"/>
        </w:rPr>
        <w:t>,</w:t>
      </w:r>
      <w:r>
        <w:rPr>
          <w:rStyle w:val="FloatTok"/>
        </w:rPr>
        <w:t>.8</w:t>
      </w:r>
      <w:r>
        <w:rPr>
          <w:rStyle w:val="NormalTok"/>
        </w:rPr>
        <w:t>,</w:t>
      </w:r>
      <w:r>
        <w:rPr>
          <w:rStyle w:val="DecValTok"/>
        </w:rPr>
        <w:t>0</w:t>
      </w:r>
      <w:r>
        <w:rPr>
          <w:rStyle w:val="NormalTok"/>
        </w:rPr>
        <w:t>),(</w:t>
      </w:r>
      <w:r>
        <w:rPr>
          <w:rStyle w:val="StringTok"/>
        </w:rPr>
        <w:t>'60 % MIV'</w:t>
      </w:r>
      <w:r>
        <w:rPr>
          <w:rStyle w:val="NormalTok"/>
        </w:rPr>
        <w:t>,</w:t>
      </w:r>
      <w:r>
        <w:rPr>
          <w:rStyle w:val="DecValTok"/>
        </w:rPr>
        <w:t>0</w:t>
      </w:r>
      <w:r>
        <w:rPr>
          <w:rStyle w:val="NormalTok"/>
        </w:rPr>
        <w:t>,</w:t>
      </w:r>
      <w:r>
        <w:rPr>
          <w:rStyle w:val="FloatTok"/>
        </w:rPr>
        <w:t>.6</w:t>
      </w:r>
      <w:r>
        <w:rPr>
          <w:rStyle w:val="NormalTok"/>
        </w:rPr>
        <w:t>,</w:t>
      </w:r>
      <w:r>
        <w:rPr>
          <w:rStyle w:val="DecValTok"/>
        </w:rPr>
        <w:t>0</w:t>
      </w:r>
      <w:r>
        <w:rPr>
          <w:rStyle w:val="NormalTok"/>
        </w:rPr>
        <w:t>),</w:t>
      </w:r>
      <w:r>
        <w:br/>
      </w:r>
      <w:r>
        <w:rPr>
          <w:rStyle w:val="NormalTok"/>
        </w:rPr>
        <w:t xml:space="preserve">                    (</w:t>
      </w:r>
      <w:r>
        <w:rPr>
          <w:rStyle w:val="StringTok"/>
        </w:rPr>
        <w:t>'40 % MIV: Konflikt'</w:t>
      </w:r>
      <w:r>
        <w:rPr>
          <w:rStyle w:val="NormalTok"/>
        </w:rPr>
        <w:t>,</w:t>
      </w:r>
      <w:r>
        <w:rPr>
          <w:rStyle w:val="DecValTok"/>
        </w:rPr>
        <w:t>0</w:t>
      </w:r>
      <w:r>
        <w:rPr>
          <w:rStyle w:val="NormalTok"/>
        </w:rPr>
        <w:t>,</w:t>
      </w:r>
      <w:r>
        <w:rPr>
          <w:rStyle w:val="FloatTok"/>
        </w:rPr>
        <w:t>.4</w:t>
      </w:r>
      <w:r>
        <w:rPr>
          <w:rStyle w:val="NormalTok"/>
        </w:rPr>
        <w:t>,</w:t>
      </w:r>
      <w:r>
        <w:rPr>
          <w:rStyle w:val="DecValTok"/>
        </w:rPr>
        <w:t>0</w:t>
      </w:r>
      <w:r>
        <w:rPr>
          <w:rStyle w:val="NormalTok"/>
        </w:rPr>
        <w:t>),(</w:t>
      </w:r>
      <w:r>
        <w:rPr>
          <w:rStyle w:val="StringTok"/>
        </w:rPr>
        <w:t>'H₂ vollständig angerechnet'</w:t>
      </w:r>
      <w:r>
        <w:rPr>
          <w:rStyle w:val="NormalTok"/>
        </w:rPr>
        <w:t>,</w:t>
      </w:r>
      <w:r>
        <w:rPr>
          <w:rStyle w:val="DecValTok"/>
        </w:rPr>
        <w:t>0</w:t>
      </w:r>
      <w:r>
        <w:rPr>
          <w:rStyle w:val="NormalTok"/>
        </w:rPr>
        <w:t>,</w:t>
      </w:r>
      <w:r>
        <w:rPr>
          <w:rStyle w:val="FloatTok"/>
        </w:rPr>
        <w:t>.8</w:t>
      </w:r>
      <w:r>
        <w:rPr>
          <w:rStyle w:val="NormalTok"/>
        </w:rPr>
        <w:t>,</w:t>
      </w:r>
      <w:r>
        <w:rPr>
          <w:rStyle w:val="DecValTok"/>
        </w:rPr>
        <w:t>1</w:t>
      </w:r>
      <w:r>
        <w:rPr>
          <w:rStyle w:val="NormalTok"/>
        </w:rPr>
        <w:t>)]:</w:t>
      </w:r>
      <w:r>
        <w:br/>
      </w:r>
      <w:r>
        <w:rPr>
          <w:rStyle w:val="NormalTok"/>
        </w:rPr>
        <w:t xml:space="preserve">    p</w:t>
      </w:r>
      <w:r>
        <w:rPr>
          <w:rStyle w:val="OperatorTok"/>
        </w:rPr>
        <w:t>=</w:t>
      </w:r>
      <w:r>
        <w:rPr>
          <w:rStyle w:val="NormalTok"/>
        </w:rPr>
        <w:t>copy.deepcopy(parameters)</w:t>
      </w:r>
      <w:r>
        <w:br/>
      </w:r>
      <w:r>
        <w:rPr>
          <w:rStyle w:val="NormalTok"/>
        </w:rPr>
        <w:t xml:space="preserve">    p.update(other_pv_share</w:t>
      </w:r>
      <w:r>
        <w:rPr>
          <w:rStyle w:val="OperatorTok"/>
        </w:rPr>
        <w:t>=</w:t>
      </w:r>
      <w:r>
        <w:rPr>
          <w:rStyle w:val="NormalTok"/>
        </w:rPr>
        <w:t>f,miv_share</w:t>
      </w:r>
      <w:r>
        <w:rPr>
          <w:rStyle w:val="OperatorTok"/>
        </w:rPr>
        <w:t>=</w:t>
      </w:r>
      <w:r>
        <w:rPr>
          <w:rStyle w:val="NormalTok"/>
        </w:rPr>
        <w:t>m,public_transport_share</w:t>
      </w:r>
      <w:r>
        <w:rPr>
          <w:rStyle w:val="OperatorTok"/>
        </w:rPr>
        <w:t>=</w:t>
      </w:r>
      <w:r>
        <w:rPr>
          <w:rStyle w:val="DecValTok"/>
        </w:rPr>
        <w:t>1</w:t>
      </w:r>
      <w:r>
        <w:rPr>
          <w:rStyle w:val="OperatorTok"/>
        </w:rPr>
        <w:t>-</w:t>
      </w:r>
      <w:r>
        <w:rPr>
          <w:rStyle w:val="NormalTok"/>
        </w:rPr>
        <w:t>m,other_transport_share</w:t>
      </w:r>
      <w:r>
        <w:rPr>
          <w:rStyle w:val="OperatorTok"/>
        </w:rPr>
        <w:t>=</w:t>
      </w:r>
      <w:r>
        <w:rPr>
          <w:rStyle w:val="DecValTok"/>
        </w:rPr>
        <w:t>0</w:t>
      </w:r>
      <w:r>
        <w:rPr>
          <w:rStyle w:val="NormalTok"/>
        </w:rPr>
        <w:t>)</w:t>
      </w:r>
      <w:r>
        <w:br/>
      </w:r>
      <w:r>
        <w:rPr>
          <w:rStyle w:val="NormalTok"/>
        </w:rPr>
        <w:t xml:space="preserve">    p[</w:t>
      </w:r>
      <w:r>
        <w:rPr>
          <w:rStyle w:val="StringTok"/>
        </w:rPr>
        <w:t>'eligible_nonpv_share'</w:t>
      </w:r>
      <w:r>
        <w:rPr>
          <w:rStyle w:val="NormalTok"/>
        </w:rPr>
        <w:t>][</w:t>
      </w:r>
      <w:r>
        <w:rPr>
          <w:rStyle w:val="StringTok"/>
        </w:rPr>
        <w:t>'hydrogen_electricity'</w:t>
      </w:r>
      <w:r>
        <w:rPr>
          <w:rStyle w:val="NormalTok"/>
        </w:rPr>
        <w:t>]</w:t>
      </w:r>
      <w:r>
        <w:rPr>
          <w:rStyle w:val="OperatorTok"/>
        </w:rPr>
        <w:t>=</w:t>
      </w:r>
      <w:r>
        <w:rPr>
          <w:rStyle w:val="NormalTok"/>
        </w:rPr>
        <w:t>h</w:t>
      </w:r>
      <w:r>
        <w:br/>
      </w:r>
      <w:r>
        <w:rPr>
          <w:rStyle w:val="NormalTok"/>
        </w:rPr>
        <w:t xml:space="preserve">    r</w:t>
      </w:r>
      <w:r>
        <w:rPr>
          <w:rStyle w:val="OperatorTok"/>
        </w:rPr>
        <w:t>=</w:t>
      </w:r>
      <w:r>
        <w:rPr>
          <w:rStyle w:val="NormalTok"/>
        </w:rPr>
        <w:t>allocate(p)</w:t>
      </w:r>
      <w:r>
        <w:br/>
      </w:r>
      <w:r>
        <w:rPr>
          <w:rStyle w:val="NormalTok"/>
        </w:rPr>
        <w:lastRenderedPageBreak/>
        <w:t xml:space="preserve">    variants.append({</w:t>
      </w:r>
      <w:r>
        <w:rPr>
          <w:rStyle w:val="StringTok"/>
        </w:rPr>
        <w:t>'Variante'</w:t>
      </w:r>
      <w:r>
        <w:rPr>
          <w:rStyle w:val="NormalTok"/>
        </w:rPr>
        <w:t>:label,</w:t>
      </w:r>
      <w:r>
        <w:rPr>
          <w:rStyle w:val="StringTok"/>
        </w:rPr>
        <w:t>'PV gesamt'</w:t>
      </w:r>
      <w:r>
        <w:rPr>
          <w:rStyle w:val="NormalTok"/>
        </w:rPr>
        <w:t>:g[</w:t>
      </w:r>
      <w:r>
        <w:rPr>
          <w:rStyle w:val="StringTok"/>
        </w:rPr>
        <w:t>'pv'</w:t>
      </w:r>
      <w:r>
        <w:rPr>
          <w:rStyle w:val="NormalTok"/>
        </w:rPr>
        <w:t>],</w:t>
      </w:r>
      <w:r>
        <w:rPr>
          <w:rStyle w:val="StringTok"/>
        </w:rPr>
        <w:t>'PV Gebäude'</w:t>
      </w:r>
      <w:r>
        <w:rPr>
          <w:rStyle w:val="NormalTok"/>
        </w:rPr>
        <w:t>:r[</w:t>
      </w:r>
      <w:r>
        <w:rPr>
          <w:rStyle w:val="StringTok"/>
        </w:rPr>
        <w:t>'building_pv_pj'</w:t>
      </w:r>
      <w:r>
        <w:rPr>
          <w:rStyle w:val="NormalTok"/>
        </w:rPr>
        <w:t>],</w:t>
      </w:r>
      <w:r>
        <w:rPr>
          <w:rStyle w:val="StringTok"/>
        </w:rPr>
        <w:t>'PV Freifläche'</w:t>
      </w:r>
      <w:r>
        <w:rPr>
          <w:rStyle w:val="NormalTok"/>
        </w:rPr>
        <w:t>:r[</w:t>
      </w:r>
      <w:r>
        <w:rPr>
          <w:rStyle w:val="StringTok"/>
        </w:rPr>
        <w:t>'other_pv_pj'</w:t>
      </w:r>
      <w:r>
        <w:rPr>
          <w:rStyle w:val="NormalTok"/>
        </w:rPr>
        <w:t>],</w:t>
      </w:r>
      <w:r>
        <w:br/>
      </w:r>
      <w:r>
        <w:rPr>
          <w:rStyle w:val="NormalTok"/>
        </w:rPr>
        <w:t xml:space="preserve">                     </w:t>
      </w:r>
      <w:r>
        <w:rPr>
          <w:rStyle w:val="StringTok"/>
        </w:rPr>
        <w:t>'Verkehr gesamt'</w:t>
      </w:r>
      <w:r>
        <w:rPr>
          <w:rStyle w:val="NormalTok"/>
        </w:rPr>
        <w:t>:d[</w:t>
      </w:r>
      <w:r>
        <w:rPr>
          <w:rStyle w:val="StringTok"/>
        </w:rPr>
        <w:t>'verkehr'</w:t>
      </w:r>
      <w:r>
        <w:rPr>
          <w:rStyle w:val="NormalTok"/>
        </w:rPr>
        <w:t>],</w:t>
      </w:r>
      <w:r>
        <w:rPr>
          <w:rStyle w:val="StringTok"/>
        </w:rPr>
        <w:t>'ÖPNV'</w:t>
      </w:r>
      <w:r>
        <w:rPr>
          <w:rStyle w:val="NormalTok"/>
        </w:rPr>
        <w:t>:r[</w:t>
      </w:r>
      <w:r>
        <w:rPr>
          <w:rStyle w:val="StringTok"/>
        </w:rPr>
        <w:t>'public_transport_pj'</w:t>
      </w:r>
      <w:r>
        <w:rPr>
          <w:rStyle w:val="NormalTok"/>
        </w:rPr>
        <w:t>],</w:t>
      </w:r>
      <w:r>
        <w:rPr>
          <w:rStyle w:val="StringTok"/>
        </w:rPr>
        <w:t>'MIV'</w:t>
      </w:r>
      <w:r>
        <w:rPr>
          <w:rStyle w:val="NormalTok"/>
        </w:rPr>
        <w:t>:r[</w:t>
      </w:r>
      <w:r>
        <w:rPr>
          <w:rStyle w:val="StringTok"/>
        </w:rPr>
        <w:t>'miv_demand_pj'</w:t>
      </w:r>
      <w:r>
        <w:rPr>
          <w:rStyle w:val="NormalTok"/>
        </w:rPr>
        <w:t>],</w:t>
      </w:r>
      <w:r>
        <w:br/>
      </w:r>
      <w:r>
        <w:rPr>
          <w:rStyle w:val="NormalTok"/>
        </w:rPr>
        <w:t xml:space="preserve">                     </w:t>
      </w:r>
      <w:r>
        <w:rPr>
          <w:rStyle w:val="StringTok"/>
        </w:rPr>
        <w:t>'Übriger Verkehr'</w:t>
      </w:r>
      <w:r>
        <w:rPr>
          <w:rStyle w:val="NormalTok"/>
        </w:rPr>
        <w:t>:r[</w:t>
      </w:r>
      <w:r>
        <w:rPr>
          <w:rStyle w:val="StringTok"/>
        </w:rPr>
        <w:t>'other_transport_pj'</w:t>
      </w:r>
      <w:r>
        <w:rPr>
          <w:rStyle w:val="NormalTok"/>
        </w:rPr>
        <w:t>],</w:t>
      </w:r>
      <w:r>
        <w:rPr>
          <w:rStyle w:val="StringTok"/>
        </w:rPr>
        <w:t>'MIV-Anteil [%]'</w:t>
      </w:r>
      <w:r>
        <w:rPr>
          <w:rStyle w:val="NormalTok"/>
        </w:rPr>
        <w:t>:</w:t>
      </w:r>
      <w:r>
        <w:rPr>
          <w:rStyle w:val="DecValTok"/>
        </w:rPr>
        <w:t>100</w:t>
      </w:r>
      <w:r>
        <w:rPr>
          <w:rStyle w:val="OperatorTok"/>
        </w:rPr>
        <w:t>*</w:t>
      </w:r>
      <w:r>
        <w:rPr>
          <w:rStyle w:val="NormalTok"/>
        </w:rPr>
        <w:t>m,</w:t>
      </w:r>
      <w:r>
        <w:rPr>
          <w:rStyle w:val="StringTok"/>
        </w:rPr>
        <w:t>'Freiflächen-Anteil [%]'</w:t>
      </w:r>
      <w:r>
        <w:rPr>
          <w:rStyle w:val="NormalTok"/>
        </w:rPr>
        <w:t>:</w:t>
      </w:r>
      <w:r>
        <w:rPr>
          <w:rStyle w:val="DecValTok"/>
        </w:rPr>
        <w:t>100</w:t>
      </w:r>
      <w:r>
        <w:rPr>
          <w:rStyle w:val="OperatorTok"/>
        </w:rPr>
        <w:t>*</w:t>
      </w:r>
      <w:r>
        <w:rPr>
          <w:rStyle w:val="NormalTok"/>
        </w:rPr>
        <w:t>f,</w:t>
      </w:r>
      <w:r>
        <w:br/>
      </w:r>
      <w:r>
        <w:rPr>
          <w:rStyle w:val="NormalTok"/>
        </w:rPr>
        <w:t xml:space="preserve">                     </w:t>
      </w:r>
      <w:r>
        <w:rPr>
          <w:rStyle w:val="StringTok"/>
        </w:rPr>
        <w:t>'H₂-Anrechnung [%]'</w:t>
      </w:r>
      <w:r>
        <w:rPr>
          <w:rStyle w:val="NormalTok"/>
        </w:rPr>
        <w:t>:</w:t>
      </w:r>
      <w:r>
        <w:rPr>
          <w:rStyle w:val="DecValTok"/>
        </w:rPr>
        <w:t>100</w:t>
      </w:r>
      <w:r>
        <w:rPr>
          <w:rStyle w:val="OperatorTok"/>
        </w:rPr>
        <w:t>*</w:t>
      </w:r>
      <w:r>
        <w:rPr>
          <w:rStyle w:val="NormalTok"/>
        </w:rPr>
        <w:t>h,</w:t>
      </w:r>
      <w:r>
        <w:rPr>
          <w:rStyle w:val="StringTok"/>
        </w:rPr>
        <w:t>'Gebäude'</w:t>
      </w:r>
      <w:r>
        <w:rPr>
          <w:rStyle w:val="NormalTok"/>
        </w:rPr>
        <w:t>:d[</w:t>
      </w:r>
      <w:r>
        <w:rPr>
          <w:rStyle w:val="StringTok"/>
        </w:rPr>
        <w:t>'gebaeude'</w:t>
      </w:r>
      <w:r>
        <w:rPr>
          <w:rStyle w:val="NormalTok"/>
        </w:rPr>
        <w:t>],</w:t>
      </w:r>
      <w:r>
        <w:rPr>
          <w:rStyle w:val="StringTok"/>
        </w:rPr>
        <w:t>'MIV-Budget'</w:t>
      </w:r>
      <w:r>
        <w:rPr>
          <w:rStyle w:val="NormalTok"/>
        </w:rPr>
        <w:t>:r[</w:t>
      </w:r>
      <w:r>
        <w:rPr>
          <w:rStyle w:val="StringTok"/>
        </w:rPr>
        <w:t>'miv_budget_pj'</w:t>
      </w:r>
      <w:r>
        <w:rPr>
          <w:rStyle w:val="NormalTok"/>
        </w:rPr>
        <w:t>],</w:t>
      </w:r>
      <w:r>
        <w:br/>
      </w:r>
      <w:r>
        <w:rPr>
          <w:rStyle w:val="NormalTok"/>
        </w:rPr>
        <w:t xml:space="preserve">                     </w:t>
      </w:r>
      <w:r>
        <w:rPr>
          <w:rStyle w:val="StringTok"/>
        </w:rPr>
        <w:t>'Saldo'</w:t>
      </w:r>
      <w:r>
        <w:rPr>
          <w:rStyle w:val="NormalTok"/>
        </w:rPr>
        <w:t>:r[</w:t>
      </w:r>
      <w:r>
        <w:rPr>
          <w:rStyle w:val="StringTok"/>
        </w:rPr>
        <w:t>'building_target_pj'</w:t>
      </w:r>
      <w:r>
        <w:rPr>
          <w:rStyle w:val="NormalTok"/>
        </w:rPr>
        <w:t>],</w:t>
      </w:r>
      <w:r>
        <w:rPr>
          <w:rStyle w:val="StringTok"/>
        </w:rPr>
        <w:t>'Zentraler Rest'</w:t>
      </w:r>
      <w:r>
        <w:rPr>
          <w:rStyle w:val="NormalTok"/>
        </w:rPr>
        <w:t>:r[</w:t>
      </w:r>
      <w:r>
        <w:rPr>
          <w:rStyle w:val="StringTok"/>
        </w:rPr>
        <w:t>'central_after_miv_pj'</w:t>
      </w:r>
      <w:r>
        <w:rPr>
          <w:rStyle w:val="NormalTok"/>
        </w:rPr>
        <w:t>],</w:t>
      </w:r>
      <w:r>
        <w:rPr>
          <w:rStyle w:val="StringTok"/>
        </w:rPr>
        <w:t>'Vorrang gedeckt'</w:t>
      </w:r>
      <w:r>
        <w:rPr>
          <w:rStyle w:val="NormalTok"/>
        </w:rPr>
        <w:t>:r[</w:t>
      </w:r>
      <w:r>
        <w:rPr>
          <w:rStyle w:val="StringTok"/>
        </w:rPr>
        <w:t>'priority_covered'</w:t>
      </w:r>
      <w:r>
        <w:rPr>
          <w:rStyle w:val="NormalTok"/>
        </w:rPr>
        <w:t>]})</w:t>
      </w:r>
      <w:r>
        <w:br/>
      </w:r>
      <w:r>
        <w:rPr>
          <w:rStyle w:val="NormalTok"/>
        </w:rPr>
        <w:t>comparison</w:t>
      </w:r>
      <w:r>
        <w:rPr>
          <w:rStyle w:val="OperatorTok"/>
        </w:rPr>
        <w:t>=</w:t>
      </w:r>
      <w:r>
        <w:rPr>
          <w:rStyle w:val="NormalTok"/>
        </w:rPr>
        <w:t>pd.DataFrame(variants)</w:t>
      </w:r>
      <w:r>
        <w:br/>
      </w:r>
      <w:r>
        <w:rPr>
          <w:rStyle w:val="NormalTok"/>
        </w:rPr>
        <w:t>pv_columns</w:t>
      </w:r>
      <w:r>
        <w:rPr>
          <w:rStyle w:val="OperatorTok"/>
        </w:rPr>
        <w:t>=</w:t>
      </w:r>
      <w:r>
        <w:rPr>
          <w:rStyle w:val="NormalTok"/>
        </w:rPr>
        <w:t>[</w:t>
      </w:r>
      <w:r>
        <w:rPr>
          <w:rStyle w:val="StringTok"/>
        </w:rPr>
        <w:t>'Variante'</w:t>
      </w:r>
      <w:r>
        <w:rPr>
          <w:rStyle w:val="NormalTok"/>
        </w:rPr>
        <w:t>,</w:t>
      </w:r>
      <w:r>
        <w:rPr>
          <w:rStyle w:val="StringTok"/>
        </w:rPr>
        <w:t>'PV gesamt'</w:t>
      </w:r>
      <w:r>
        <w:rPr>
          <w:rStyle w:val="NormalTok"/>
        </w:rPr>
        <w:t>,</w:t>
      </w:r>
      <w:r>
        <w:rPr>
          <w:rStyle w:val="StringTok"/>
        </w:rPr>
        <w:t>'PV Gebäude'</w:t>
      </w:r>
      <w:r>
        <w:rPr>
          <w:rStyle w:val="NormalTok"/>
        </w:rPr>
        <w:t>,</w:t>
      </w:r>
      <w:r>
        <w:rPr>
          <w:rStyle w:val="StringTok"/>
        </w:rPr>
        <w:t>'PV Freifläche'</w:t>
      </w:r>
      <w:r>
        <w:rPr>
          <w:rStyle w:val="NormalTok"/>
        </w:rPr>
        <w:t>,</w:t>
      </w:r>
      <w:r>
        <w:rPr>
          <w:rStyle w:val="StringTok"/>
        </w:rPr>
        <w:t>'Freiflächen-Anteil [%]'</w:t>
      </w:r>
      <w:r>
        <w:rPr>
          <w:rStyle w:val="NormalTok"/>
        </w:rPr>
        <w:t>]</w:t>
      </w:r>
      <w:r>
        <w:br/>
      </w:r>
      <w:r>
        <w:rPr>
          <w:rStyle w:val="NormalTok"/>
        </w:rPr>
        <w:t>traffic_columns</w:t>
      </w:r>
      <w:r>
        <w:rPr>
          <w:rStyle w:val="OperatorTok"/>
        </w:rPr>
        <w:t>=</w:t>
      </w:r>
      <w:r>
        <w:rPr>
          <w:rStyle w:val="NormalTok"/>
        </w:rPr>
        <w:t>[</w:t>
      </w:r>
      <w:r>
        <w:rPr>
          <w:rStyle w:val="StringTok"/>
        </w:rPr>
        <w:t>'Variante'</w:t>
      </w:r>
      <w:r>
        <w:rPr>
          <w:rStyle w:val="NormalTok"/>
        </w:rPr>
        <w:t>,</w:t>
      </w:r>
      <w:r>
        <w:rPr>
          <w:rStyle w:val="StringTok"/>
        </w:rPr>
        <w:t>'Verkehr gesamt'</w:t>
      </w:r>
      <w:r>
        <w:rPr>
          <w:rStyle w:val="NormalTok"/>
        </w:rPr>
        <w:t>,</w:t>
      </w:r>
      <w:r>
        <w:rPr>
          <w:rStyle w:val="StringTok"/>
        </w:rPr>
        <w:t>'ÖPNV'</w:t>
      </w:r>
      <w:r>
        <w:rPr>
          <w:rStyle w:val="NormalTok"/>
        </w:rPr>
        <w:t>,</w:t>
      </w:r>
      <w:r>
        <w:rPr>
          <w:rStyle w:val="StringTok"/>
        </w:rPr>
        <w:t>'MIV'</w:t>
      </w:r>
      <w:r>
        <w:rPr>
          <w:rStyle w:val="NormalTok"/>
        </w:rPr>
        <w:t>,</w:t>
      </w:r>
      <w:r>
        <w:rPr>
          <w:rStyle w:val="StringTok"/>
        </w:rPr>
        <w:t>'Übriger Verkehr'</w:t>
      </w:r>
      <w:r>
        <w:rPr>
          <w:rStyle w:val="NormalTok"/>
        </w:rPr>
        <w:t>,</w:t>
      </w:r>
      <w:r>
        <w:rPr>
          <w:rStyle w:val="StringTok"/>
        </w:rPr>
        <w:t>'MIV-Anteil [%]'</w:t>
      </w:r>
      <w:r>
        <w:rPr>
          <w:rStyle w:val="NormalTok"/>
        </w:rPr>
        <w:t>]</w:t>
      </w:r>
      <w:r>
        <w:br/>
      </w:r>
      <w:r>
        <w:rPr>
          <w:rStyle w:val="NormalTok"/>
        </w:rPr>
        <w:t>result_columns</w:t>
      </w:r>
      <w:r>
        <w:rPr>
          <w:rStyle w:val="OperatorTok"/>
        </w:rPr>
        <w:t>=</w:t>
      </w:r>
      <w:r>
        <w:rPr>
          <w:rStyle w:val="NormalTok"/>
        </w:rPr>
        <w:t>[</w:t>
      </w:r>
      <w:r>
        <w:rPr>
          <w:rStyle w:val="StringTok"/>
        </w:rPr>
        <w:t>'Variante'</w:t>
      </w:r>
      <w:r>
        <w:rPr>
          <w:rStyle w:val="NormalTok"/>
        </w:rPr>
        <w:t>,</w:t>
      </w:r>
      <w:r>
        <w:rPr>
          <w:rStyle w:val="StringTok"/>
        </w:rPr>
        <w:t>'H₂-Anrechnung [%]'</w:t>
      </w:r>
      <w:r>
        <w:rPr>
          <w:rStyle w:val="NormalTok"/>
        </w:rPr>
        <w:t>,</w:t>
      </w:r>
      <w:r>
        <w:rPr>
          <w:rStyle w:val="StringTok"/>
        </w:rPr>
        <w:t>'MIV-Budget'</w:t>
      </w:r>
      <w:r>
        <w:rPr>
          <w:rStyle w:val="NormalTok"/>
        </w:rPr>
        <w:t>,</w:t>
      </w:r>
      <w:r>
        <w:rPr>
          <w:rStyle w:val="StringTok"/>
        </w:rPr>
        <w:t>'Saldo'</w:t>
      </w:r>
      <w:r>
        <w:rPr>
          <w:rStyle w:val="NormalTok"/>
        </w:rPr>
        <w:t>,</w:t>
      </w:r>
      <w:r>
        <w:rPr>
          <w:rStyle w:val="StringTok"/>
        </w:rPr>
        <w:t>'Zentraler Rest'</w:t>
      </w:r>
      <w:r>
        <w:rPr>
          <w:rStyle w:val="NormalTok"/>
        </w:rPr>
        <w:t>,</w:t>
      </w:r>
      <w:r>
        <w:rPr>
          <w:rStyle w:val="StringTok"/>
        </w:rPr>
        <w:t>'Vorrang gedeckt'</w:t>
      </w:r>
      <w:r>
        <w:rPr>
          <w:rStyle w:val="NormalTok"/>
        </w:rPr>
        <w:t>]</w:t>
      </w:r>
      <w:r>
        <w:br/>
      </w:r>
      <w:r>
        <w:rPr>
          <w:rStyle w:val="ControlFlowTok"/>
        </w:rPr>
        <w:t>for</w:t>
      </w:r>
      <w:r>
        <w:rPr>
          <w:rStyle w:val="NormalTok"/>
        </w:rPr>
        <w:t xml:space="preserve"> cols </w:t>
      </w:r>
      <w:r>
        <w:rPr>
          <w:rStyle w:val="KeywordTok"/>
        </w:rPr>
        <w:t>in</w:t>
      </w:r>
      <w:r>
        <w:rPr>
          <w:rStyle w:val="NormalTok"/>
        </w:rPr>
        <w:t xml:space="preserve"> [pv_columns,traffic_columns,result_columns]: display(comparison[cols].</w:t>
      </w:r>
      <w:r>
        <w:rPr>
          <w:rStyle w:val="BuiltInTok"/>
        </w:rPr>
        <w:t>round</w:t>
      </w:r>
      <w:r>
        <w:rPr>
          <w:rStyle w:val="NormalTok"/>
        </w:rPr>
        <w:t>(</w:t>
      </w:r>
      <w:r>
        <w:rPr>
          <w:rStyle w:val="DecValTok"/>
        </w:rPr>
        <w:t>3</w:t>
      </w:r>
      <w:r>
        <w:rPr>
          <w:rStyle w:val="NormalTok"/>
        </w:rPr>
        <w:t>))</w:t>
      </w:r>
      <w:r>
        <w:br/>
      </w:r>
      <w:r>
        <w:rPr>
          <w:rStyle w:val="NormalTok"/>
        </w:rPr>
        <w:t>steps</w:t>
      </w:r>
      <w:r>
        <w:rPr>
          <w:rStyle w:val="OperatorTok"/>
        </w:rPr>
        <w:t>=</w:t>
      </w:r>
      <w:r>
        <w:rPr>
          <w:rStyle w:val="NormalTok"/>
        </w:rPr>
        <w:t>{</w:t>
      </w:r>
      <w:r>
        <w:rPr>
          <w:rStyle w:val="StringTok"/>
        </w:rPr>
        <w:t>'Zentraler Pool'</w:t>
      </w:r>
      <w:r>
        <w:rPr>
          <w:rStyle w:val="NormalTok"/>
        </w:rPr>
        <w:t>:result[</w:t>
      </w:r>
      <w:r>
        <w:rPr>
          <w:rStyle w:val="StringTok"/>
        </w:rPr>
        <w:t>'central_pj'</w:t>
      </w:r>
      <w:r>
        <w:rPr>
          <w:rStyle w:val="NormalTok"/>
        </w:rPr>
        <w:t>],</w:t>
      </w:r>
      <w:r>
        <w:rPr>
          <w:rStyle w:val="StringTok"/>
        </w:rPr>
        <w:t>'Industrie'</w:t>
      </w:r>
      <w:r>
        <w:rPr>
          <w:rStyle w:val="NormalTok"/>
        </w:rPr>
        <w:t>:</w:t>
      </w:r>
      <w:r>
        <w:rPr>
          <w:rStyle w:val="OperatorTok"/>
        </w:rPr>
        <w:t>-</w:t>
      </w:r>
      <w:r>
        <w:rPr>
          <w:rStyle w:val="NormalTok"/>
        </w:rPr>
        <w:t>d[</w:t>
      </w:r>
      <w:r>
        <w:rPr>
          <w:rStyle w:val="StringTok"/>
        </w:rPr>
        <w:t>'industrie'</w:t>
      </w:r>
      <w:r>
        <w:rPr>
          <w:rStyle w:val="NormalTok"/>
        </w:rPr>
        <w:t>],</w:t>
      </w:r>
      <w:r>
        <w:br/>
      </w:r>
      <w:r>
        <w:rPr>
          <w:rStyle w:val="NormalTok"/>
        </w:rPr>
        <w:t xml:space="preserve">       </w:t>
      </w:r>
      <w:r>
        <w:rPr>
          <w:rStyle w:val="StringTok"/>
        </w:rPr>
        <w:t>'Landwirtschaft'</w:t>
      </w:r>
      <w:r>
        <w:rPr>
          <w:rStyle w:val="NormalTok"/>
        </w:rPr>
        <w:t>:</w:t>
      </w:r>
      <w:r>
        <w:rPr>
          <w:rStyle w:val="OperatorTok"/>
        </w:rPr>
        <w:t>-</w:t>
      </w:r>
      <w:r>
        <w:rPr>
          <w:rStyle w:val="NormalTok"/>
        </w:rPr>
        <w:t>d[</w:t>
      </w:r>
      <w:r>
        <w:rPr>
          <w:rStyle w:val="StringTok"/>
        </w:rPr>
        <w:t>'landwirtschaft'</w:t>
      </w:r>
      <w:r>
        <w:rPr>
          <w:rStyle w:val="NormalTok"/>
        </w:rPr>
        <w:t>],</w:t>
      </w:r>
      <w:r>
        <w:rPr>
          <w:rStyle w:val="StringTok"/>
        </w:rPr>
        <w:t>'Energiebranche'</w:t>
      </w:r>
      <w:r>
        <w:rPr>
          <w:rStyle w:val="NormalTok"/>
        </w:rPr>
        <w:t>:</w:t>
      </w:r>
      <w:r>
        <w:rPr>
          <w:rStyle w:val="OperatorTok"/>
        </w:rPr>
        <w:t>-</w:t>
      </w:r>
      <w:r>
        <w:rPr>
          <w:rStyle w:val="NormalTok"/>
        </w:rPr>
        <w:t>d[</w:t>
      </w:r>
      <w:r>
        <w:rPr>
          <w:rStyle w:val="StringTok"/>
        </w:rPr>
        <w:t>'verbrauch_sektor_energie'</w:t>
      </w:r>
      <w:r>
        <w:rPr>
          <w:rStyle w:val="NormalTok"/>
        </w:rPr>
        <w:t>],</w:t>
      </w:r>
      <w:r>
        <w:br/>
      </w:r>
      <w:r>
        <w:rPr>
          <w:rStyle w:val="NormalTok"/>
        </w:rPr>
        <w:t xml:space="preserve">       </w:t>
      </w:r>
      <w:r>
        <w:rPr>
          <w:rStyle w:val="StringTok"/>
        </w:rPr>
        <w:t>'Umwandlung'</w:t>
      </w:r>
      <w:r>
        <w:rPr>
          <w:rStyle w:val="NormalTok"/>
        </w:rPr>
        <w:t>:</w:t>
      </w:r>
      <w:r>
        <w:rPr>
          <w:rStyle w:val="OperatorTok"/>
        </w:rPr>
        <w:t>-</w:t>
      </w:r>
      <w:r>
        <w:rPr>
          <w:rStyle w:val="NormalTok"/>
        </w:rPr>
        <w:t>d[</w:t>
      </w:r>
      <w:r>
        <w:rPr>
          <w:rStyle w:val="StringTok"/>
        </w:rPr>
        <w:t>'umwandlungseinsatz'</w:t>
      </w:r>
      <w:r>
        <w:rPr>
          <w:rStyle w:val="NormalTok"/>
        </w:rPr>
        <w:t>],</w:t>
      </w:r>
      <w:r>
        <w:rPr>
          <w:rStyle w:val="StringTok"/>
        </w:rPr>
        <w:t>'Verluste'</w:t>
      </w:r>
      <w:r>
        <w:rPr>
          <w:rStyle w:val="NormalTok"/>
        </w:rPr>
        <w:t>:</w:t>
      </w:r>
      <w:r>
        <w:rPr>
          <w:rStyle w:val="OperatorTok"/>
        </w:rPr>
        <w:t>-</w:t>
      </w:r>
      <w:r>
        <w:rPr>
          <w:rStyle w:val="NormalTok"/>
        </w:rPr>
        <w:t>d[</w:t>
      </w:r>
      <w:r>
        <w:rPr>
          <w:rStyle w:val="StringTok"/>
        </w:rPr>
        <w:t>'transportverluste'</w:t>
      </w:r>
      <w:r>
        <w:rPr>
          <w:rStyle w:val="NormalTok"/>
        </w:rPr>
        <w:t>],</w:t>
      </w:r>
      <w:r>
        <w:br/>
      </w:r>
      <w:r>
        <w:rPr>
          <w:rStyle w:val="NormalTok"/>
        </w:rPr>
        <w:t xml:space="preserve">       </w:t>
      </w:r>
      <w:r>
        <w:rPr>
          <w:rStyle w:val="StringTok"/>
        </w:rPr>
        <w:t>'Nettoexport'</w:t>
      </w:r>
      <w:r>
        <w:rPr>
          <w:rStyle w:val="NormalTok"/>
        </w:rPr>
        <w:t>:</w:t>
      </w:r>
      <w:r>
        <w:rPr>
          <w:rStyle w:val="OperatorTok"/>
        </w:rPr>
        <w:t>-</w:t>
      </w:r>
      <w:r>
        <w:rPr>
          <w:rStyle w:val="BuiltInTok"/>
        </w:rPr>
        <w:t>max</w:t>
      </w:r>
      <w:r>
        <w:rPr>
          <w:rStyle w:val="NormalTok"/>
        </w:rPr>
        <w:t>(</w:t>
      </w:r>
      <w:r>
        <w:rPr>
          <w:rStyle w:val="OperatorTok"/>
        </w:rPr>
        <w:t>-</w:t>
      </w:r>
      <w:r>
        <w:rPr>
          <w:rStyle w:val="NormalTok"/>
        </w:rPr>
        <w:t>g[</w:t>
      </w:r>
      <w:r>
        <w:rPr>
          <w:rStyle w:val="StringTok"/>
        </w:rPr>
        <w:t>'net_imports'</w:t>
      </w:r>
      <w:r>
        <w:rPr>
          <w:rStyle w:val="NormalTok"/>
        </w:rPr>
        <w:t>],</w:t>
      </w:r>
      <w:r>
        <w:rPr>
          <w:rStyle w:val="DecValTok"/>
        </w:rPr>
        <w:t>0</w:t>
      </w:r>
      <w:r>
        <w:rPr>
          <w:rStyle w:val="NormalTok"/>
        </w:rPr>
        <w:t>),</w:t>
      </w:r>
      <w:r>
        <w:rPr>
          <w:rStyle w:val="StringTok"/>
        </w:rPr>
        <w:t>'ÖPNV'</w:t>
      </w:r>
      <w:r>
        <w:rPr>
          <w:rStyle w:val="NormalTok"/>
        </w:rPr>
        <w:t>:</w:t>
      </w:r>
      <w:r>
        <w:rPr>
          <w:rStyle w:val="OperatorTok"/>
        </w:rPr>
        <w:t>-</w:t>
      </w:r>
      <w:r>
        <w:rPr>
          <w:rStyle w:val="NormalTok"/>
        </w:rPr>
        <w:t>result[</w:t>
      </w:r>
      <w:r>
        <w:rPr>
          <w:rStyle w:val="StringTok"/>
        </w:rPr>
        <w:t>'public_transport_pj'</w:t>
      </w:r>
      <w:r>
        <w:rPr>
          <w:rStyle w:val="NormalTok"/>
        </w:rPr>
        <w:t>],</w:t>
      </w:r>
      <w:r>
        <w:br/>
      </w:r>
      <w:r>
        <w:rPr>
          <w:rStyle w:val="NormalTok"/>
        </w:rPr>
        <w:t xml:space="preserve">       </w:t>
      </w:r>
      <w:r>
        <w:rPr>
          <w:rStyle w:val="StringTok"/>
        </w:rPr>
        <w:t>'Übriger Verkehr'</w:t>
      </w:r>
      <w:r>
        <w:rPr>
          <w:rStyle w:val="NormalTok"/>
        </w:rPr>
        <w:t>:</w:t>
      </w:r>
      <w:r>
        <w:rPr>
          <w:rStyle w:val="OperatorTok"/>
        </w:rPr>
        <w:t>-</w:t>
      </w:r>
      <w:r>
        <w:rPr>
          <w:rStyle w:val="NormalTok"/>
        </w:rPr>
        <w:t>result[</w:t>
      </w:r>
      <w:r>
        <w:rPr>
          <w:rStyle w:val="StringTok"/>
        </w:rPr>
        <w:t>'other_transport_pj'</w:t>
      </w:r>
      <w:r>
        <w:rPr>
          <w:rStyle w:val="NormalTok"/>
        </w:rPr>
        <w:t>],</w:t>
      </w:r>
      <w:r>
        <w:rPr>
          <w:rStyle w:val="StringTok"/>
        </w:rPr>
        <w:t>'MIV-Budget'</w:t>
      </w:r>
      <w:r>
        <w:rPr>
          <w:rStyle w:val="NormalTok"/>
        </w:rPr>
        <w:t>:result[</w:t>
      </w:r>
      <w:r>
        <w:rPr>
          <w:rStyle w:val="StringTok"/>
        </w:rPr>
        <w:t>'miv_budget_pj'</w:t>
      </w:r>
      <w:r>
        <w:rPr>
          <w:rStyle w:val="NormalTok"/>
        </w:rPr>
        <w:t>]}</w:t>
      </w:r>
      <w:r>
        <w:br/>
      </w:r>
      <w:r>
        <w:rPr>
          <w:rStyle w:val="NormalTok"/>
        </w:rPr>
        <w:t>allocation_figures(variants,steps)</w:t>
      </w:r>
      <w:r>
        <w:br/>
      </w:r>
      <w:r>
        <w:rPr>
          <w:rStyle w:val="ControlFlowTok"/>
        </w:rPr>
        <w:t>for</w:t>
      </w:r>
      <w:r>
        <w:rPr>
          <w:rStyle w:val="NormalTok"/>
        </w:rPr>
        <w:t xml:space="preserve"> name </w:t>
      </w:r>
      <w:r>
        <w:rPr>
          <w:rStyle w:val="KeywordTok"/>
        </w:rPr>
        <w:t>in</w:t>
      </w:r>
      <w:r>
        <w:rPr>
          <w:rStyle w:val="NormalTok"/>
        </w:rPr>
        <w:t xml:space="preserve"> [</w:t>
      </w:r>
      <w:r>
        <w:rPr>
          <w:rStyle w:val="StringTok"/>
        </w:rPr>
        <w:t>'zentraler_pool'</w:t>
      </w:r>
      <w:r>
        <w:rPr>
          <w:rStyle w:val="NormalTok"/>
        </w:rPr>
        <w:t>,</w:t>
      </w:r>
      <w:r>
        <w:rPr>
          <w:rStyle w:val="StringTok"/>
        </w:rPr>
        <w:t>'allokation_deckung'</w:t>
      </w:r>
      <w:r>
        <w:rPr>
          <w:rStyle w:val="NormalTok"/>
        </w:rPr>
        <w:t>,</w:t>
      </w:r>
      <w:r>
        <w:rPr>
          <w:rStyle w:val="StringTok"/>
        </w:rPr>
        <w:t>'allokation_saldo'</w:t>
      </w:r>
      <w:r>
        <w:rPr>
          <w:rStyle w:val="NormalTok"/>
        </w:rPr>
        <w:t>]:</w:t>
      </w:r>
      <w:r>
        <w:br/>
      </w:r>
      <w:r>
        <w:rPr>
          <w:rStyle w:val="NormalTok"/>
        </w:rPr>
        <w:t xml:space="preserve">    display(HTML(</w:t>
      </w:r>
      <w:r>
        <w:rPr>
          <w:rStyle w:val="SpecialStringTok"/>
        </w:rPr>
        <w:t>f'&lt;iframe title="</w:t>
      </w:r>
      <w:r>
        <w:rPr>
          <w:rStyle w:val="SpecialCharTok"/>
        </w:rPr>
        <w:t>{</w:t>
      </w:r>
      <w:r>
        <w:rPr>
          <w:rStyle w:val="NormalTok"/>
        </w:rPr>
        <w:t>name</w:t>
      </w:r>
      <w:r>
        <w:rPr>
          <w:rStyle w:val="SpecialCharTok"/>
        </w:rPr>
        <w:t>}</w:t>
      </w:r>
      <w:r>
        <w:rPr>
          <w:rStyle w:val="SpecialStringTok"/>
        </w:rPr>
        <w:t>" src="../../Abbildungen/methodik/</w:t>
      </w:r>
      <w:r>
        <w:rPr>
          <w:rStyle w:val="SpecialCharTok"/>
        </w:rPr>
        <w:t>{</w:t>
      </w:r>
      <w:r>
        <w:rPr>
          <w:rStyle w:val="NormalTok"/>
        </w:rPr>
        <w:t>name</w:t>
      </w:r>
      <w:r>
        <w:rPr>
          <w:rStyle w:val="SpecialCharTok"/>
        </w:rPr>
        <w:t>}</w:t>
      </w:r>
      <w:r>
        <w:rPr>
          <w:rStyle w:val="SpecialStringTok"/>
        </w:rPr>
        <w:t>.html" style="width:100%;height:700px;border:0"&gt;&lt;/iframe&gt;'</w:t>
      </w:r>
      <w:r>
        <w:rPr>
          <w:rStyle w:val="NormalTok"/>
        </w:rPr>
        <w:t>))</w:t>
      </w:r>
    </w:p>
    <w:tbl>
      <w:tblPr>
        <w:tblStyle w:val="Table"/>
        <w:tblW w:w="0" w:type="auto"/>
        <w:tblLook w:val="0020" w:firstRow="1" w:lastRow="0" w:firstColumn="0" w:lastColumn="0" w:noHBand="0" w:noVBand="0"/>
      </w:tblPr>
      <w:tblGrid>
        <w:gridCol w:w="345"/>
        <w:gridCol w:w="2161"/>
        <w:gridCol w:w="1784"/>
        <w:gridCol w:w="310"/>
        <w:gridCol w:w="310"/>
        <w:gridCol w:w="1313"/>
        <w:gridCol w:w="1503"/>
        <w:gridCol w:w="1896"/>
      </w:tblGrid>
      <w:tr w:rsidR="004E4CC2" w14:paraId="04C14324"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7B681E22" w14:textId="77777777" w:rsidR="004E4CC2" w:rsidRDefault="004E4CC2">
            <w:pPr>
              <w:pStyle w:val="Compact"/>
            </w:pPr>
          </w:p>
        </w:tc>
        <w:tc>
          <w:tcPr>
            <w:tcW w:w="0" w:type="auto"/>
          </w:tcPr>
          <w:p w14:paraId="645906B8" w14:textId="77777777" w:rsidR="004E4CC2" w:rsidRDefault="00000000">
            <w:pPr>
              <w:pStyle w:val="Compact"/>
            </w:pPr>
            <w:r>
              <w:t>Variante</w:t>
            </w:r>
          </w:p>
        </w:tc>
        <w:tc>
          <w:tcPr>
            <w:tcW w:w="0" w:type="auto"/>
            <w:gridSpan w:val="2"/>
          </w:tcPr>
          <w:p w14:paraId="4663B129" w14:textId="77777777" w:rsidR="004E4CC2" w:rsidRDefault="00000000">
            <w:pPr>
              <w:pStyle w:val="Compact"/>
            </w:pPr>
            <w:r>
              <w:t>PV gesamt</w:t>
            </w:r>
          </w:p>
        </w:tc>
        <w:tc>
          <w:tcPr>
            <w:tcW w:w="0" w:type="auto"/>
            <w:gridSpan w:val="2"/>
          </w:tcPr>
          <w:p w14:paraId="79905672" w14:textId="77777777" w:rsidR="004E4CC2" w:rsidRDefault="00000000">
            <w:pPr>
              <w:pStyle w:val="Compact"/>
            </w:pPr>
            <w:r>
              <w:t>PV Gebäude</w:t>
            </w:r>
          </w:p>
        </w:tc>
        <w:tc>
          <w:tcPr>
            <w:tcW w:w="0" w:type="auto"/>
          </w:tcPr>
          <w:p w14:paraId="31514A7A" w14:textId="77777777" w:rsidR="004E4CC2" w:rsidRDefault="00000000">
            <w:pPr>
              <w:pStyle w:val="Compact"/>
            </w:pPr>
            <w:r>
              <w:t>PV Freifläche</w:t>
            </w:r>
          </w:p>
        </w:tc>
        <w:tc>
          <w:tcPr>
            <w:tcW w:w="0" w:type="auto"/>
          </w:tcPr>
          <w:p w14:paraId="16A2F5ED" w14:textId="77777777" w:rsidR="004E4CC2" w:rsidRDefault="00000000">
            <w:pPr>
              <w:pStyle w:val="Compact"/>
            </w:pPr>
            <w:r>
              <w:t>Freiflächen-Anteil [%]</w:t>
            </w:r>
          </w:p>
        </w:tc>
      </w:tr>
      <w:tr w:rsidR="004E4CC2" w14:paraId="0A616CA0" w14:textId="77777777">
        <w:tc>
          <w:tcPr>
            <w:tcW w:w="0" w:type="auto"/>
          </w:tcPr>
          <w:p w14:paraId="05397ED8" w14:textId="77777777" w:rsidR="004E4CC2" w:rsidRDefault="00000000">
            <w:pPr>
              <w:pStyle w:val="Compact"/>
            </w:pPr>
            <w:r>
              <w:t>0</w:t>
            </w:r>
          </w:p>
        </w:tc>
        <w:tc>
          <w:tcPr>
            <w:tcW w:w="0" w:type="auto"/>
          </w:tcPr>
          <w:p w14:paraId="09C3D1E1" w14:textId="77777777" w:rsidR="004E4CC2" w:rsidRDefault="00000000">
            <w:pPr>
              <w:pStyle w:val="Compact"/>
            </w:pPr>
            <w:r>
              <w:t>Referenz</w:t>
            </w:r>
          </w:p>
        </w:tc>
        <w:tc>
          <w:tcPr>
            <w:tcW w:w="0" w:type="auto"/>
            <w:gridSpan w:val="2"/>
          </w:tcPr>
          <w:p w14:paraId="38575B10" w14:textId="77777777" w:rsidR="004E4CC2" w:rsidRDefault="00000000">
            <w:pPr>
              <w:pStyle w:val="Compact"/>
            </w:pPr>
            <w:r>
              <w:t>149</w:t>
            </w:r>
          </w:p>
        </w:tc>
        <w:tc>
          <w:tcPr>
            <w:tcW w:w="0" w:type="auto"/>
            <w:gridSpan w:val="2"/>
          </w:tcPr>
          <w:p w14:paraId="0A4D42BE" w14:textId="77777777" w:rsidR="004E4CC2" w:rsidRDefault="00000000">
            <w:pPr>
              <w:pStyle w:val="Compact"/>
            </w:pPr>
            <w:r>
              <w:t>149.0</w:t>
            </w:r>
          </w:p>
        </w:tc>
        <w:tc>
          <w:tcPr>
            <w:tcW w:w="0" w:type="auto"/>
          </w:tcPr>
          <w:p w14:paraId="510622E7" w14:textId="77777777" w:rsidR="004E4CC2" w:rsidRDefault="00000000">
            <w:pPr>
              <w:pStyle w:val="Compact"/>
            </w:pPr>
            <w:r>
              <w:t>0.0</w:t>
            </w:r>
          </w:p>
        </w:tc>
        <w:tc>
          <w:tcPr>
            <w:tcW w:w="0" w:type="auto"/>
          </w:tcPr>
          <w:p w14:paraId="7375D460" w14:textId="77777777" w:rsidR="004E4CC2" w:rsidRDefault="00000000">
            <w:pPr>
              <w:pStyle w:val="Compact"/>
            </w:pPr>
            <w:r>
              <w:t>0.0</w:t>
            </w:r>
          </w:p>
        </w:tc>
      </w:tr>
      <w:tr w:rsidR="004E4CC2" w14:paraId="2E598A83" w14:textId="77777777">
        <w:tc>
          <w:tcPr>
            <w:tcW w:w="0" w:type="auto"/>
          </w:tcPr>
          <w:p w14:paraId="5690F271" w14:textId="77777777" w:rsidR="004E4CC2" w:rsidRDefault="00000000">
            <w:pPr>
              <w:pStyle w:val="Compact"/>
            </w:pPr>
            <w:r>
              <w:t>1</w:t>
            </w:r>
          </w:p>
        </w:tc>
        <w:tc>
          <w:tcPr>
            <w:tcW w:w="0" w:type="auto"/>
          </w:tcPr>
          <w:p w14:paraId="11B1BB5C" w14:textId="77777777" w:rsidR="004E4CC2" w:rsidRDefault="00000000">
            <w:pPr>
              <w:pStyle w:val="Compact"/>
            </w:pPr>
            <w:r>
              <w:t>20 % Freiflächen-PV</w:t>
            </w:r>
          </w:p>
        </w:tc>
        <w:tc>
          <w:tcPr>
            <w:tcW w:w="0" w:type="auto"/>
            <w:gridSpan w:val="2"/>
          </w:tcPr>
          <w:p w14:paraId="6A6D77E2" w14:textId="77777777" w:rsidR="004E4CC2" w:rsidRDefault="00000000">
            <w:pPr>
              <w:pStyle w:val="Compact"/>
            </w:pPr>
            <w:r>
              <w:t>149</w:t>
            </w:r>
          </w:p>
        </w:tc>
        <w:tc>
          <w:tcPr>
            <w:tcW w:w="0" w:type="auto"/>
            <w:gridSpan w:val="2"/>
          </w:tcPr>
          <w:p w14:paraId="049D138A" w14:textId="77777777" w:rsidR="004E4CC2" w:rsidRDefault="00000000">
            <w:pPr>
              <w:pStyle w:val="Compact"/>
            </w:pPr>
            <w:r>
              <w:t>119.2</w:t>
            </w:r>
          </w:p>
        </w:tc>
        <w:tc>
          <w:tcPr>
            <w:tcW w:w="0" w:type="auto"/>
          </w:tcPr>
          <w:p w14:paraId="190340F8" w14:textId="77777777" w:rsidR="004E4CC2" w:rsidRDefault="00000000">
            <w:pPr>
              <w:pStyle w:val="Compact"/>
            </w:pPr>
            <w:r>
              <w:t>29.8</w:t>
            </w:r>
          </w:p>
        </w:tc>
        <w:tc>
          <w:tcPr>
            <w:tcW w:w="0" w:type="auto"/>
          </w:tcPr>
          <w:p w14:paraId="2CE02789" w14:textId="77777777" w:rsidR="004E4CC2" w:rsidRDefault="00000000">
            <w:pPr>
              <w:pStyle w:val="Compact"/>
            </w:pPr>
            <w:r>
              <w:t>20.0</w:t>
            </w:r>
          </w:p>
        </w:tc>
      </w:tr>
      <w:tr w:rsidR="004E4CC2" w14:paraId="5DF5F05B" w14:textId="77777777">
        <w:tc>
          <w:tcPr>
            <w:tcW w:w="0" w:type="auto"/>
          </w:tcPr>
          <w:p w14:paraId="3C2391F7" w14:textId="77777777" w:rsidR="004E4CC2" w:rsidRDefault="00000000">
            <w:pPr>
              <w:pStyle w:val="Compact"/>
            </w:pPr>
            <w:r>
              <w:t>2</w:t>
            </w:r>
          </w:p>
        </w:tc>
        <w:tc>
          <w:tcPr>
            <w:tcW w:w="0" w:type="auto"/>
          </w:tcPr>
          <w:p w14:paraId="3BA38A6C" w14:textId="77777777" w:rsidR="004E4CC2" w:rsidRDefault="00000000">
            <w:pPr>
              <w:pStyle w:val="Compact"/>
            </w:pPr>
            <w:r>
              <w:t>60 % MIV</w:t>
            </w:r>
          </w:p>
        </w:tc>
        <w:tc>
          <w:tcPr>
            <w:tcW w:w="0" w:type="auto"/>
            <w:gridSpan w:val="2"/>
          </w:tcPr>
          <w:p w14:paraId="0C0214F9" w14:textId="77777777" w:rsidR="004E4CC2" w:rsidRDefault="00000000">
            <w:pPr>
              <w:pStyle w:val="Compact"/>
            </w:pPr>
            <w:r>
              <w:t>149</w:t>
            </w:r>
          </w:p>
        </w:tc>
        <w:tc>
          <w:tcPr>
            <w:tcW w:w="0" w:type="auto"/>
            <w:gridSpan w:val="2"/>
          </w:tcPr>
          <w:p w14:paraId="46EB4FBA" w14:textId="77777777" w:rsidR="004E4CC2" w:rsidRDefault="00000000">
            <w:pPr>
              <w:pStyle w:val="Compact"/>
            </w:pPr>
            <w:r>
              <w:t>149.0</w:t>
            </w:r>
          </w:p>
        </w:tc>
        <w:tc>
          <w:tcPr>
            <w:tcW w:w="0" w:type="auto"/>
          </w:tcPr>
          <w:p w14:paraId="4C5E600C" w14:textId="77777777" w:rsidR="004E4CC2" w:rsidRDefault="00000000">
            <w:pPr>
              <w:pStyle w:val="Compact"/>
            </w:pPr>
            <w:r>
              <w:t>0.0</w:t>
            </w:r>
          </w:p>
        </w:tc>
        <w:tc>
          <w:tcPr>
            <w:tcW w:w="0" w:type="auto"/>
          </w:tcPr>
          <w:p w14:paraId="5B977F27" w14:textId="77777777" w:rsidR="004E4CC2" w:rsidRDefault="00000000">
            <w:pPr>
              <w:pStyle w:val="Compact"/>
            </w:pPr>
            <w:r>
              <w:t>0.0</w:t>
            </w:r>
          </w:p>
        </w:tc>
      </w:tr>
      <w:tr w:rsidR="004E4CC2" w14:paraId="442FE881" w14:textId="77777777">
        <w:tc>
          <w:tcPr>
            <w:tcW w:w="0" w:type="auto"/>
          </w:tcPr>
          <w:p w14:paraId="3F12B032" w14:textId="77777777" w:rsidR="004E4CC2" w:rsidRDefault="00000000">
            <w:pPr>
              <w:pStyle w:val="Compact"/>
            </w:pPr>
            <w:r>
              <w:t>3</w:t>
            </w:r>
          </w:p>
        </w:tc>
        <w:tc>
          <w:tcPr>
            <w:tcW w:w="0" w:type="auto"/>
          </w:tcPr>
          <w:p w14:paraId="4AFE3F89" w14:textId="77777777" w:rsidR="004E4CC2" w:rsidRDefault="00000000">
            <w:pPr>
              <w:pStyle w:val="Compact"/>
            </w:pPr>
            <w:r>
              <w:t>40 % MIV: Konflikt</w:t>
            </w:r>
          </w:p>
        </w:tc>
        <w:tc>
          <w:tcPr>
            <w:tcW w:w="0" w:type="auto"/>
            <w:gridSpan w:val="2"/>
          </w:tcPr>
          <w:p w14:paraId="16D84EA7" w14:textId="77777777" w:rsidR="004E4CC2" w:rsidRDefault="00000000">
            <w:pPr>
              <w:pStyle w:val="Compact"/>
            </w:pPr>
            <w:r>
              <w:t>149</w:t>
            </w:r>
          </w:p>
        </w:tc>
        <w:tc>
          <w:tcPr>
            <w:tcW w:w="0" w:type="auto"/>
            <w:gridSpan w:val="2"/>
          </w:tcPr>
          <w:p w14:paraId="034E1505" w14:textId="77777777" w:rsidR="004E4CC2" w:rsidRDefault="00000000">
            <w:pPr>
              <w:pStyle w:val="Compact"/>
            </w:pPr>
            <w:r>
              <w:t>149.0</w:t>
            </w:r>
          </w:p>
        </w:tc>
        <w:tc>
          <w:tcPr>
            <w:tcW w:w="0" w:type="auto"/>
          </w:tcPr>
          <w:p w14:paraId="658904B5" w14:textId="77777777" w:rsidR="004E4CC2" w:rsidRDefault="00000000">
            <w:pPr>
              <w:pStyle w:val="Compact"/>
            </w:pPr>
            <w:r>
              <w:t>0.0</w:t>
            </w:r>
          </w:p>
        </w:tc>
        <w:tc>
          <w:tcPr>
            <w:tcW w:w="0" w:type="auto"/>
          </w:tcPr>
          <w:p w14:paraId="54866DD2" w14:textId="77777777" w:rsidR="004E4CC2" w:rsidRDefault="00000000">
            <w:pPr>
              <w:pStyle w:val="Compact"/>
            </w:pPr>
            <w:r>
              <w:t>0.0</w:t>
            </w:r>
          </w:p>
        </w:tc>
      </w:tr>
      <w:tr w:rsidR="004E4CC2" w14:paraId="3B978453" w14:textId="77777777">
        <w:tc>
          <w:tcPr>
            <w:tcW w:w="0" w:type="auto"/>
          </w:tcPr>
          <w:p w14:paraId="7CF7872F" w14:textId="77777777" w:rsidR="004E4CC2" w:rsidRDefault="00000000">
            <w:pPr>
              <w:pStyle w:val="Compact"/>
            </w:pPr>
            <w:r>
              <w:t>4</w:t>
            </w:r>
          </w:p>
        </w:tc>
        <w:tc>
          <w:tcPr>
            <w:tcW w:w="0" w:type="auto"/>
          </w:tcPr>
          <w:p w14:paraId="3F0A0C9C" w14:textId="77777777" w:rsidR="004E4CC2" w:rsidRDefault="00000000">
            <w:pPr>
              <w:pStyle w:val="Compact"/>
            </w:pPr>
            <w:r>
              <w:t>H₂ vollständig angerechnet</w:t>
            </w:r>
          </w:p>
        </w:tc>
        <w:tc>
          <w:tcPr>
            <w:tcW w:w="0" w:type="auto"/>
            <w:gridSpan w:val="2"/>
          </w:tcPr>
          <w:p w14:paraId="7F92A44B" w14:textId="77777777" w:rsidR="004E4CC2" w:rsidRDefault="00000000">
            <w:pPr>
              <w:pStyle w:val="Compact"/>
            </w:pPr>
            <w:r>
              <w:t>149</w:t>
            </w:r>
          </w:p>
        </w:tc>
        <w:tc>
          <w:tcPr>
            <w:tcW w:w="0" w:type="auto"/>
            <w:gridSpan w:val="2"/>
          </w:tcPr>
          <w:p w14:paraId="37B5D977" w14:textId="77777777" w:rsidR="004E4CC2" w:rsidRDefault="00000000">
            <w:pPr>
              <w:pStyle w:val="Compact"/>
            </w:pPr>
            <w:r>
              <w:t>149.0</w:t>
            </w:r>
          </w:p>
        </w:tc>
        <w:tc>
          <w:tcPr>
            <w:tcW w:w="0" w:type="auto"/>
          </w:tcPr>
          <w:p w14:paraId="56648CC3" w14:textId="77777777" w:rsidR="004E4CC2" w:rsidRDefault="00000000">
            <w:pPr>
              <w:pStyle w:val="Compact"/>
            </w:pPr>
            <w:r>
              <w:t>0.0</w:t>
            </w:r>
          </w:p>
        </w:tc>
        <w:tc>
          <w:tcPr>
            <w:tcW w:w="0" w:type="auto"/>
          </w:tcPr>
          <w:p w14:paraId="6A78E935" w14:textId="77777777" w:rsidR="004E4CC2" w:rsidRDefault="00000000">
            <w:pPr>
              <w:pStyle w:val="Compact"/>
            </w:pPr>
            <w:r>
              <w:t>0.0</w:t>
            </w:r>
          </w:p>
        </w:tc>
      </w:tr>
      <w:tr w:rsidR="004E4CC2" w14:paraId="44A1593B" w14:textId="77777777" w:rsidTr="004E4CC2">
        <w:trPr>
          <w:tblHeader/>
        </w:trPr>
        <w:tc>
          <w:tcPr>
            <w:tcW w:w="0" w:type="auto"/>
          </w:tcPr>
          <w:p w14:paraId="3EBC3779" w14:textId="77777777" w:rsidR="004E4CC2" w:rsidRDefault="004E4CC2">
            <w:pPr>
              <w:pStyle w:val="Compact"/>
            </w:pPr>
          </w:p>
        </w:tc>
        <w:tc>
          <w:tcPr>
            <w:tcW w:w="0" w:type="auto"/>
          </w:tcPr>
          <w:p w14:paraId="55A8F632" w14:textId="77777777" w:rsidR="004E4CC2" w:rsidRDefault="00000000">
            <w:pPr>
              <w:pStyle w:val="Compact"/>
            </w:pPr>
            <w:r>
              <w:t>Variante</w:t>
            </w:r>
          </w:p>
        </w:tc>
        <w:tc>
          <w:tcPr>
            <w:tcW w:w="0" w:type="auto"/>
          </w:tcPr>
          <w:p w14:paraId="4DF9C2D1" w14:textId="77777777" w:rsidR="004E4CC2" w:rsidRDefault="00000000">
            <w:pPr>
              <w:pStyle w:val="Compact"/>
            </w:pPr>
            <w:r>
              <w:t>Verkehr gesamt</w:t>
            </w:r>
          </w:p>
        </w:tc>
        <w:tc>
          <w:tcPr>
            <w:tcW w:w="0" w:type="auto"/>
            <w:gridSpan w:val="2"/>
          </w:tcPr>
          <w:p w14:paraId="01B39FED" w14:textId="77777777" w:rsidR="004E4CC2" w:rsidRDefault="00000000">
            <w:pPr>
              <w:pStyle w:val="Compact"/>
            </w:pPr>
            <w:r>
              <w:t>ÖPNV</w:t>
            </w:r>
          </w:p>
        </w:tc>
        <w:tc>
          <w:tcPr>
            <w:tcW w:w="0" w:type="auto"/>
          </w:tcPr>
          <w:p w14:paraId="630AEBF6" w14:textId="77777777" w:rsidR="004E4CC2" w:rsidRDefault="00000000">
            <w:pPr>
              <w:pStyle w:val="Compact"/>
            </w:pPr>
            <w:r>
              <w:t>MIV</w:t>
            </w:r>
          </w:p>
        </w:tc>
        <w:tc>
          <w:tcPr>
            <w:tcW w:w="0" w:type="auto"/>
          </w:tcPr>
          <w:p w14:paraId="350B244C" w14:textId="77777777" w:rsidR="004E4CC2" w:rsidRDefault="00000000">
            <w:pPr>
              <w:pStyle w:val="Compact"/>
            </w:pPr>
            <w:r>
              <w:t>Übriger Verkehr</w:t>
            </w:r>
          </w:p>
        </w:tc>
        <w:tc>
          <w:tcPr>
            <w:tcW w:w="0" w:type="auto"/>
          </w:tcPr>
          <w:p w14:paraId="077C3F9F" w14:textId="77777777" w:rsidR="004E4CC2" w:rsidRDefault="00000000">
            <w:pPr>
              <w:pStyle w:val="Compact"/>
            </w:pPr>
            <w:r>
              <w:t>MIV-Anteil [%]</w:t>
            </w:r>
          </w:p>
        </w:tc>
      </w:tr>
      <w:tr w:rsidR="004E4CC2" w14:paraId="11D3CE7F" w14:textId="77777777">
        <w:tc>
          <w:tcPr>
            <w:tcW w:w="0" w:type="auto"/>
          </w:tcPr>
          <w:p w14:paraId="7CE8F530" w14:textId="77777777" w:rsidR="004E4CC2" w:rsidRDefault="00000000">
            <w:pPr>
              <w:pStyle w:val="Compact"/>
            </w:pPr>
            <w:r>
              <w:t>0</w:t>
            </w:r>
          </w:p>
        </w:tc>
        <w:tc>
          <w:tcPr>
            <w:tcW w:w="0" w:type="auto"/>
          </w:tcPr>
          <w:p w14:paraId="10131A97" w14:textId="77777777" w:rsidR="004E4CC2" w:rsidRDefault="00000000">
            <w:pPr>
              <w:pStyle w:val="Compact"/>
            </w:pPr>
            <w:r>
              <w:t>Referenz</w:t>
            </w:r>
          </w:p>
        </w:tc>
        <w:tc>
          <w:tcPr>
            <w:tcW w:w="0" w:type="auto"/>
          </w:tcPr>
          <w:p w14:paraId="47EFD8EA" w14:textId="77777777" w:rsidR="004E4CC2" w:rsidRDefault="00000000">
            <w:pPr>
              <w:pStyle w:val="Compact"/>
            </w:pPr>
            <w:r>
              <w:t>90</w:t>
            </w:r>
          </w:p>
        </w:tc>
        <w:tc>
          <w:tcPr>
            <w:tcW w:w="0" w:type="auto"/>
            <w:gridSpan w:val="2"/>
          </w:tcPr>
          <w:p w14:paraId="57615C7A" w14:textId="77777777" w:rsidR="004E4CC2" w:rsidRDefault="00000000">
            <w:pPr>
              <w:pStyle w:val="Compact"/>
            </w:pPr>
            <w:r>
              <w:t>18.0</w:t>
            </w:r>
          </w:p>
        </w:tc>
        <w:tc>
          <w:tcPr>
            <w:tcW w:w="0" w:type="auto"/>
          </w:tcPr>
          <w:p w14:paraId="4D259B7F" w14:textId="77777777" w:rsidR="004E4CC2" w:rsidRDefault="00000000">
            <w:pPr>
              <w:pStyle w:val="Compact"/>
            </w:pPr>
            <w:r>
              <w:t>72.0</w:t>
            </w:r>
          </w:p>
        </w:tc>
        <w:tc>
          <w:tcPr>
            <w:tcW w:w="0" w:type="auto"/>
          </w:tcPr>
          <w:p w14:paraId="36CB358C" w14:textId="77777777" w:rsidR="004E4CC2" w:rsidRDefault="00000000">
            <w:pPr>
              <w:pStyle w:val="Compact"/>
            </w:pPr>
            <w:r>
              <w:t>0</w:t>
            </w:r>
          </w:p>
        </w:tc>
        <w:tc>
          <w:tcPr>
            <w:tcW w:w="0" w:type="auto"/>
          </w:tcPr>
          <w:p w14:paraId="2CD2109B" w14:textId="77777777" w:rsidR="004E4CC2" w:rsidRDefault="00000000">
            <w:pPr>
              <w:pStyle w:val="Compact"/>
            </w:pPr>
            <w:r>
              <w:t>80.0</w:t>
            </w:r>
          </w:p>
        </w:tc>
      </w:tr>
      <w:tr w:rsidR="004E4CC2" w14:paraId="5723E4D3" w14:textId="77777777">
        <w:tc>
          <w:tcPr>
            <w:tcW w:w="0" w:type="auto"/>
          </w:tcPr>
          <w:p w14:paraId="05A59CDB" w14:textId="77777777" w:rsidR="004E4CC2" w:rsidRDefault="00000000">
            <w:pPr>
              <w:pStyle w:val="Compact"/>
            </w:pPr>
            <w:r>
              <w:t>1</w:t>
            </w:r>
          </w:p>
        </w:tc>
        <w:tc>
          <w:tcPr>
            <w:tcW w:w="0" w:type="auto"/>
          </w:tcPr>
          <w:p w14:paraId="3D7F324F" w14:textId="77777777" w:rsidR="004E4CC2" w:rsidRDefault="00000000">
            <w:pPr>
              <w:pStyle w:val="Compact"/>
            </w:pPr>
            <w:r>
              <w:t>20 % Freiflächen-</w:t>
            </w:r>
            <w:r>
              <w:lastRenderedPageBreak/>
              <w:t>PV</w:t>
            </w:r>
          </w:p>
        </w:tc>
        <w:tc>
          <w:tcPr>
            <w:tcW w:w="0" w:type="auto"/>
          </w:tcPr>
          <w:p w14:paraId="53B9D5BE" w14:textId="77777777" w:rsidR="004E4CC2" w:rsidRDefault="00000000">
            <w:pPr>
              <w:pStyle w:val="Compact"/>
            </w:pPr>
            <w:r>
              <w:lastRenderedPageBreak/>
              <w:t>90</w:t>
            </w:r>
          </w:p>
        </w:tc>
        <w:tc>
          <w:tcPr>
            <w:tcW w:w="0" w:type="auto"/>
            <w:gridSpan w:val="2"/>
          </w:tcPr>
          <w:p w14:paraId="1B49BA16" w14:textId="77777777" w:rsidR="004E4CC2" w:rsidRDefault="00000000">
            <w:pPr>
              <w:pStyle w:val="Compact"/>
            </w:pPr>
            <w:r>
              <w:t>18.</w:t>
            </w:r>
            <w:r>
              <w:lastRenderedPageBreak/>
              <w:t>0</w:t>
            </w:r>
          </w:p>
        </w:tc>
        <w:tc>
          <w:tcPr>
            <w:tcW w:w="0" w:type="auto"/>
          </w:tcPr>
          <w:p w14:paraId="76748C38" w14:textId="77777777" w:rsidR="004E4CC2" w:rsidRDefault="00000000">
            <w:pPr>
              <w:pStyle w:val="Compact"/>
            </w:pPr>
            <w:r>
              <w:lastRenderedPageBreak/>
              <w:t>72.0</w:t>
            </w:r>
          </w:p>
        </w:tc>
        <w:tc>
          <w:tcPr>
            <w:tcW w:w="0" w:type="auto"/>
          </w:tcPr>
          <w:p w14:paraId="70344351" w14:textId="77777777" w:rsidR="004E4CC2" w:rsidRDefault="00000000">
            <w:pPr>
              <w:pStyle w:val="Compact"/>
            </w:pPr>
            <w:r>
              <w:t>0</w:t>
            </w:r>
          </w:p>
        </w:tc>
        <w:tc>
          <w:tcPr>
            <w:tcW w:w="0" w:type="auto"/>
          </w:tcPr>
          <w:p w14:paraId="200767C0" w14:textId="77777777" w:rsidR="004E4CC2" w:rsidRDefault="00000000">
            <w:pPr>
              <w:pStyle w:val="Compact"/>
            </w:pPr>
            <w:r>
              <w:t>80.0</w:t>
            </w:r>
          </w:p>
        </w:tc>
      </w:tr>
      <w:tr w:rsidR="004E4CC2" w14:paraId="51F6E8AF" w14:textId="77777777">
        <w:tc>
          <w:tcPr>
            <w:tcW w:w="0" w:type="auto"/>
          </w:tcPr>
          <w:p w14:paraId="170E55B6" w14:textId="77777777" w:rsidR="004E4CC2" w:rsidRDefault="00000000">
            <w:pPr>
              <w:pStyle w:val="Compact"/>
            </w:pPr>
            <w:r>
              <w:t>2</w:t>
            </w:r>
          </w:p>
        </w:tc>
        <w:tc>
          <w:tcPr>
            <w:tcW w:w="0" w:type="auto"/>
          </w:tcPr>
          <w:p w14:paraId="1BFADF8A" w14:textId="77777777" w:rsidR="004E4CC2" w:rsidRDefault="00000000">
            <w:pPr>
              <w:pStyle w:val="Compact"/>
            </w:pPr>
            <w:r>
              <w:t>60 % MIV</w:t>
            </w:r>
          </w:p>
        </w:tc>
        <w:tc>
          <w:tcPr>
            <w:tcW w:w="0" w:type="auto"/>
          </w:tcPr>
          <w:p w14:paraId="025E825C" w14:textId="77777777" w:rsidR="004E4CC2" w:rsidRDefault="00000000">
            <w:pPr>
              <w:pStyle w:val="Compact"/>
            </w:pPr>
            <w:r>
              <w:t>90</w:t>
            </w:r>
          </w:p>
        </w:tc>
        <w:tc>
          <w:tcPr>
            <w:tcW w:w="0" w:type="auto"/>
            <w:gridSpan w:val="2"/>
          </w:tcPr>
          <w:p w14:paraId="7EBBB2FF" w14:textId="77777777" w:rsidR="004E4CC2" w:rsidRDefault="00000000">
            <w:pPr>
              <w:pStyle w:val="Compact"/>
            </w:pPr>
            <w:r>
              <w:t>36.0</w:t>
            </w:r>
          </w:p>
        </w:tc>
        <w:tc>
          <w:tcPr>
            <w:tcW w:w="0" w:type="auto"/>
          </w:tcPr>
          <w:p w14:paraId="01CEEDF5" w14:textId="77777777" w:rsidR="004E4CC2" w:rsidRDefault="00000000">
            <w:pPr>
              <w:pStyle w:val="Compact"/>
            </w:pPr>
            <w:r>
              <w:t>54.0</w:t>
            </w:r>
          </w:p>
        </w:tc>
        <w:tc>
          <w:tcPr>
            <w:tcW w:w="0" w:type="auto"/>
          </w:tcPr>
          <w:p w14:paraId="7A8B8A38" w14:textId="77777777" w:rsidR="004E4CC2" w:rsidRDefault="00000000">
            <w:pPr>
              <w:pStyle w:val="Compact"/>
            </w:pPr>
            <w:r>
              <w:t>0</w:t>
            </w:r>
          </w:p>
        </w:tc>
        <w:tc>
          <w:tcPr>
            <w:tcW w:w="0" w:type="auto"/>
          </w:tcPr>
          <w:p w14:paraId="56428BB8" w14:textId="77777777" w:rsidR="004E4CC2" w:rsidRDefault="00000000">
            <w:pPr>
              <w:pStyle w:val="Compact"/>
            </w:pPr>
            <w:r>
              <w:t>60.0</w:t>
            </w:r>
          </w:p>
        </w:tc>
      </w:tr>
      <w:tr w:rsidR="004E4CC2" w14:paraId="2383BD92" w14:textId="77777777">
        <w:tc>
          <w:tcPr>
            <w:tcW w:w="0" w:type="auto"/>
          </w:tcPr>
          <w:p w14:paraId="08496F6C" w14:textId="77777777" w:rsidR="004E4CC2" w:rsidRDefault="00000000">
            <w:pPr>
              <w:pStyle w:val="Compact"/>
            </w:pPr>
            <w:r>
              <w:t>3</w:t>
            </w:r>
          </w:p>
        </w:tc>
        <w:tc>
          <w:tcPr>
            <w:tcW w:w="0" w:type="auto"/>
          </w:tcPr>
          <w:p w14:paraId="044440A7" w14:textId="77777777" w:rsidR="004E4CC2" w:rsidRDefault="00000000">
            <w:pPr>
              <w:pStyle w:val="Compact"/>
            </w:pPr>
            <w:r>
              <w:t>40 % MIV: Konflikt</w:t>
            </w:r>
          </w:p>
        </w:tc>
        <w:tc>
          <w:tcPr>
            <w:tcW w:w="0" w:type="auto"/>
          </w:tcPr>
          <w:p w14:paraId="497105E8" w14:textId="77777777" w:rsidR="004E4CC2" w:rsidRDefault="00000000">
            <w:pPr>
              <w:pStyle w:val="Compact"/>
            </w:pPr>
            <w:r>
              <w:t>90</w:t>
            </w:r>
          </w:p>
        </w:tc>
        <w:tc>
          <w:tcPr>
            <w:tcW w:w="0" w:type="auto"/>
            <w:gridSpan w:val="2"/>
          </w:tcPr>
          <w:p w14:paraId="0FFC7AD0" w14:textId="77777777" w:rsidR="004E4CC2" w:rsidRDefault="00000000">
            <w:pPr>
              <w:pStyle w:val="Compact"/>
            </w:pPr>
            <w:r>
              <w:t>54.0</w:t>
            </w:r>
          </w:p>
        </w:tc>
        <w:tc>
          <w:tcPr>
            <w:tcW w:w="0" w:type="auto"/>
          </w:tcPr>
          <w:p w14:paraId="640035C2" w14:textId="77777777" w:rsidR="004E4CC2" w:rsidRDefault="00000000">
            <w:pPr>
              <w:pStyle w:val="Compact"/>
            </w:pPr>
            <w:r>
              <w:t>36.0</w:t>
            </w:r>
          </w:p>
        </w:tc>
        <w:tc>
          <w:tcPr>
            <w:tcW w:w="0" w:type="auto"/>
          </w:tcPr>
          <w:p w14:paraId="771B3627" w14:textId="77777777" w:rsidR="004E4CC2" w:rsidRDefault="00000000">
            <w:pPr>
              <w:pStyle w:val="Compact"/>
            </w:pPr>
            <w:r>
              <w:t>0</w:t>
            </w:r>
          </w:p>
        </w:tc>
        <w:tc>
          <w:tcPr>
            <w:tcW w:w="0" w:type="auto"/>
          </w:tcPr>
          <w:p w14:paraId="69F97ED6" w14:textId="77777777" w:rsidR="004E4CC2" w:rsidRDefault="00000000">
            <w:pPr>
              <w:pStyle w:val="Compact"/>
            </w:pPr>
            <w:r>
              <w:t>40.0</w:t>
            </w:r>
          </w:p>
        </w:tc>
      </w:tr>
      <w:tr w:rsidR="004E4CC2" w14:paraId="638FCAC8" w14:textId="77777777">
        <w:tc>
          <w:tcPr>
            <w:tcW w:w="0" w:type="auto"/>
          </w:tcPr>
          <w:p w14:paraId="100C5E1D" w14:textId="77777777" w:rsidR="004E4CC2" w:rsidRDefault="00000000">
            <w:pPr>
              <w:pStyle w:val="Compact"/>
            </w:pPr>
            <w:r>
              <w:t>4</w:t>
            </w:r>
          </w:p>
        </w:tc>
        <w:tc>
          <w:tcPr>
            <w:tcW w:w="0" w:type="auto"/>
          </w:tcPr>
          <w:p w14:paraId="45832A5E" w14:textId="77777777" w:rsidR="004E4CC2" w:rsidRDefault="00000000">
            <w:pPr>
              <w:pStyle w:val="Compact"/>
            </w:pPr>
            <w:r>
              <w:t>H₂ vollständig angerechnet</w:t>
            </w:r>
          </w:p>
        </w:tc>
        <w:tc>
          <w:tcPr>
            <w:tcW w:w="0" w:type="auto"/>
          </w:tcPr>
          <w:p w14:paraId="53FD3BF4" w14:textId="77777777" w:rsidR="004E4CC2" w:rsidRDefault="00000000">
            <w:pPr>
              <w:pStyle w:val="Compact"/>
            </w:pPr>
            <w:r>
              <w:t>90</w:t>
            </w:r>
          </w:p>
        </w:tc>
        <w:tc>
          <w:tcPr>
            <w:tcW w:w="0" w:type="auto"/>
            <w:gridSpan w:val="2"/>
          </w:tcPr>
          <w:p w14:paraId="34F1D762" w14:textId="77777777" w:rsidR="004E4CC2" w:rsidRDefault="00000000">
            <w:pPr>
              <w:pStyle w:val="Compact"/>
            </w:pPr>
            <w:r>
              <w:t>18.0</w:t>
            </w:r>
          </w:p>
        </w:tc>
        <w:tc>
          <w:tcPr>
            <w:tcW w:w="0" w:type="auto"/>
          </w:tcPr>
          <w:p w14:paraId="3CE098FA" w14:textId="77777777" w:rsidR="004E4CC2" w:rsidRDefault="00000000">
            <w:pPr>
              <w:pStyle w:val="Compact"/>
            </w:pPr>
            <w:r>
              <w:t>72.0</w:t>
            </w:r>
          </w:p>
        </w:tc>
        <w:tc>
          <w:tcPr>
            <w:tcW w:w="0" w:type="auto"/>
          </w:tcPr>
          <w:p w14:paraId="0F598883" w14:textId="77777777" w:rsidR="004E4CC2" w:rsidRDefault="00000000">
            <w:pPr>
              <w:pStyle w:val="Compact"/>
            </w:pPr>
            <w:r>
              <w:t>0</w:t>
            </w:r>
          </w:p>
        </w:tc>
        <w:tc>
          <w:tcPr>
            <w:tcW w:w="0" w:type="auto"/>
          </w:tcPr>
          <w:p w14:paraId="78D6CD52" w14:textId="77777777" w:rsidR="004E4CC2" w:rsidRDefault="00000000">
            <w:pPr>
              <w:pStyle w:val="Compact"/>
            </w:pPr>
            <w:r>
              <w:t>80.0</w:t>
            </w:r>
          </w:p>
        </w:tc>
      </w:tr>
      <w:tr w:rsidR="004E4CC2" w14:paraId="1515BE11" w14:textId="77777777" w:rsidTr="004E4CC2">
        <w:trPr>
          <w:tblHeader/>
        </w:trPr>
        <w:tc>
          <w:tcPr>
            <w:tcW w:w="0" w:type="auto"/>
          </w:tcPr>
          <w:p w14:paraId="1E634E93" w14:textId="77777777" w:rsidR="004E4CC2" w:rsidRDefault="004E4CC2">
            <w:pPr>
              <w:pStyle w:val="Compact"/>
            </w:pPr>
          </w:p>
        </w:tc>
        <w:tc>
          <w:tcPr>
            <w:tcW w:w="0" w:type="auto"/>
          </w:tcPr>
          <w:p w14:paraId="62CA10CD" w14:textId="77777777" w:rsidR="004E4CC2" w:rsidRDefault="00000000">
            <w:pPr>
              <w:pStyle w:val="Compact"/>
            </w:pPr>
            <w:r>
              <w:t>Variante</w:t>
            </w:r>
          </w:p>
        </w:tc>
        <w:tc>
          <w:tcPr>
            <w:tcW w:w="0" w:type="auto"/>
          </w:tcPr>
          <w:p w14:paraId="7CF37989" w14:textId="77777777" w:rsidR="004E4CC2" w:rsidRDefault="00000000">
            <w:pPr>
              <w:pStyle w:val="Compact"/>
            </w:pPr>
            <w:r>
              <w:t>H₂-Anrechnung [%]</w:t>
            </w:r>
          </w:p>
        </w:tc>
        <w:tc>
          <w:tcPr>
            <w:tcW w:w="0" w:type="auto"/>
            <w:gridSpan w:val="2"/>
          </w:tcPr>
          <w:p w14:paraId="238A80A5" w14:textId="77777777" w:rsidR="004E4CC2" w:rsidRDefault="00000000">
            <w:pPr>
              <w:pStyle w:val="Compact"/>
            </w:pPr>
            <w:r>
              <w:t>MIV-Budget</w:t>
            </w:r>
          </w:p>
        </w:tc>
        <w:tc>
          <w:tcPr>
            <w:tcW w:w="0" w:type="auto"/>
          </w:tcPr>
          <w:p w14:paraId="137607CC" w14:textId="77777777" w:rsidR="004E4CC2" w:rsidRDefault="00000000">
            <w:pPr>
              <w:pStyle w:val="Compact"/>
            </w:pPr>
            <w:r>
              <w:t>Saldo</w:t>
            </w:r>
          </w:p>
        </w:tc>
        <w:tc>
          <w:tcPr>
            <w:tcW w:w="0" w:type="auto"/>
          </w:tcPr>
          <w:p w14:paraId="3215C605" w14:textId="77777777" w:rsidR="004E4CC2" w:rsidRDefault="00000000">
            <w:pPr>
              <w:pStyle w:val="Compact"/>
            </w:pPr>
            <w:r>
              <w:t>Zentraler Rest</w:t>
            </w:r>
          </w:p>
        </w:tc>
        <w:tc>
          <w:tcPr>
            <w:tcW w:w="0" w:type="auto"/>
          </w:tcPr>
          <w:p w14:paraId="085A8E67" w14:textId="77777777" w:rsidR="004E4CC2" w:rsidRDefault="00000000">
            <w:pPr>
              <w:pStyle w:val="Compact"/>
            </w:pPr>
            <w:r>
              <w:t>Vorrang gedeckt</w:t>
            </w:r>
          </w:p>
        </w:tc>
      </w:tr>
      <w:tr w:rsidR="004E4CC2" w14:paraId="2928BA4F" w14:textId="77777777">
        <w:tc>
          <w:tcPr>
            <w:tcW w:w="0" w:type="auto"/>
          </w:tcPr>
          <w:p w14:paraId="7E2951F0" w14:textId="77777777" w:rsidR="004E4CC2" w:rsidRDefault="00000000">
            <w:pPr>
              <w:pStyle w:val="Compact"/>
            </w:pPr>
            <w:r>
              <w:t>0</w:t>
            </w:r>
          </w:p>
        </w:tc>
        <w:tc>
          <w:tcPr>
            <w:tcW w:w="0" w:type="auto"/>
          </w:tcPr>
          <w:p w14:paraId="12395422" w14:textId="77777777" w:rsidR="004E4CC2" w:rsidRDefault="00000000">
            <w:pPr>
              <w:pStyle w:val="Compact"/>
            </w:pPr>
            <w:r>
              <w:t>Referenz</w:t>
            </w:r>
          </w:p>
        </w:tc>
        <w:tc>
          <w:tcPr>
            <w:tcW w:w="0" w:type="auto"/>
          </w:tcPr>
          <w:p w14:paraId="3C5D5E37" w14:textId="77777777" w:rsidR="004E4CC2" w:rsidRDefault="00000000">
            <w:pPr>
              <w:pStyle w:val="Compact"/>
            </w:pPr>
            <w:r>
              <w:t>0</w:t>
            </w:r>
          </w:p>
        </w:tc>
        <w:tc>
          <w:tcPr>
            <w:tcW w:w="0" w:type="auto"/>
            <w:gridSpan w:val="2"/>
          </w:tcPr>
          <w:p w14:paraId="64F430DB" w14:textId="77777777" w:rsidR="004E4CC2" w:rsidRDefault="00000000">
            <w:pPr>
              <w:pStyle w:val="Compact"/>
            </w:pPr>
            <w:r>
              <w:t>24.0</w:t>
            </w:r>
          </w:p>
        </w:tc>
        <w:tc>
          <w:tcPr>
            <w:tcW w:w="0" w:type="auto"/>
          </w:tcPr>
          <w:p w14:paraId="07032957" w14:textId="77777777" w:rsidR="004E4CC2" w:rsidRDefault="00000000">
            <w:pPr>
              <w:pStyle w:val="Compact"/>
            </w:pPr>
            <w:r>
              <w:t>-7.0</w:t>
            </w:r>
          </w:p>
        </w:tc>
        <w:tc>
          <w:tcPr>
            <w:tcW w:w="0" w:type="auto"/>
          </w:tcPr>
          <w:p w14:paraId="1F5591AD" w14:textId="77777777" w:rsidR="004E4CC2" w:rsidRDefault="00000000">
            <w:pPr>
              <w:pStyle w:val="Compact"/>
            </w:pPr>
            <w:r>
              <w:t>0.0</w:t>
            </w:r>
          </w:p>
        </w:tc>
        <w:tc>
          <w:tcPr>
            <w:tcW w:w="0" w:type="auto"/>
          </w:tcPr>
          <w:p w14:paraId="30C24DA0" w14:textId="77777777" w:rsidR="004E4CC2" w:rsidRDefault="00000000">
            <w:pPr>
              <w:pStyle w:val="Compact"/>
            </w:pPr>
            <w:r>
              <w:t>True</w:t>
            </w:r>
          </w:p>
        </w:tc>
      </w:tr>
      <w:tr w:rsidR="004E4CC2" w14:paraId="246DF9FF" w14:textId="77777777">
        <w:tc>
          <w:tcPr>
            <w:tcW w:w="0" w:type="auto"/>
          </w:tcPr>
          <w:p w14:paraId="1A80319B" w14:textId="77777777" w:rsidR="004E4CC2" w:rsidRDefault="00000000">
            <w:pPr>
              <w:pStyle w:val="Compact"/>
            </w:pPr>
            <w:r>
              <w:t>1</w:t>
            </w:r>
          </w:p>
        </w:tc>
        <w:tc>
          <w:tcPr>
            <w:tcW w:w="0" w:type="auto"/>
          </w:tcPr>
          <w:p w14:paraId="42FBD708" w14:textId="77777777" w:rsidR="004E4CC2" w:rsidRDefault="00000000">
            <w:pPr>
              <w:pStyle w:val="Compact"/>
            </w:pPr>
            <w:r>
              <w:t>20 % Freiflächen-PV</w:t>
            </w:r>
          </w:p>
        </w:tc>
        <w:tc>
          <w:tcPr>
            <w:tcW w:w="0" w:type="auto"/>
          </w:tcPr>
          <w:p w14:paraId="527531EF" w14:textId="77777777" w:rsidR="004E4CC2" w:rsidRDefault="00000000">
            <w:pPr>
              <w:pStyle w:val="Compact"/>
            </w:pPr>
            <w:r>
              <w:t>0</w:t>
            </w:r>
          </w:p>
        </w:tc>
        <w:tc>
          <w:tcPr>
            <w:tcW w:w="0" w:type="auto"/>
            <w:gridSpan w:val="2"/>
          </w:tcPr>
          <w:p w14:paraId="75098A78" w14:textId="77777777" w:rsidR="004E4CC2" w:rsidRDefault="00000000">
            <w:pPr>
              <w:pStyle w:val="Compact"/>
            </w:pPr>
            <w:r>
              <w:t>24.0</w:t>
            </w:r>
          </w:p>
        </w:tc>
        <w:tc>
          <w:tcPr>
            <w:tcW w:w="0" w:type="auto"/>
          </w:tcPr>
          <w:p w14:paraId="0A1205F9" w14:textId="77777777" w:rsidR="004E4CC2" w:rsidRDefault="00000000">
            <w:pPr>
              <w:pStyle w:val="Compact"/>
            </w:pPr>
            <w:r>
              <w:t>-36.8</w:t>
            </w:r>
          </w:p>
        </w:tc>
        <w:tc>
          <w:tcPr>
            <w:tcW w:w="0" w:type="auto"/>
          </w:tcPr>
          <w:p w14:paraId="707BD5FB" w14:textId="77777777" w:rsidR="004E4CC2" w:rsidRDefault="00000000">
            <w:pPr>
              <w:pStyle w:val="Compact"/>
            </w:pPr>
            <w:r>
              <w:t>0.0</w:t>
            </w:r>
          </w:p>
        </w:tc>
        <w:tc>
          <w:tcPr>
            <w:tcW w:w="0" w:type="auto"/>
          </w:tcPr>
          <w:p w14:paraId="59CCE4AF" w14:textId="77777777" w:rsidR="004E4CC2" w:rsidRDefault="00000000">
            <w:pPr>
              <w:pStyle w:val="Compact"/>
            </w:pPr>
            <w:r>
              <w:t>True</w:t>
            </w:r>
          </w:p>
        </w:tc>
      </w:tr>
      <w:tr w:rsidR="004E4CC2" w14:paraId="76435BF2" w14:textId="77777777">
        <w:tc>
          <w:tcPr>
            <w:tcW w:w="0" w:type="auto"/>
          </w:tcPr>
          <w:p w14:paraId="2A1C7F1C" w14:textId="77777777" w:rsidR="004E4CC2" w:rsidRDefault="00000000">
            <w:pPr>
              <w:pStyle w:val="Compact"/>
            </w:pPr>
            <w:r>
              <w:t>2</w:t>
            </w:r>
          </w:p>
        </w:tc>
        <w:tc>
          <w:tcPr>
            <w:tcW w:w="0" w:type="auto"/>
          </w:tcPr>
          <w:p w14:paraId="224515FD" w14:textId="77777777" w:rsidR="004E4CC2" w:rsidRDefault="00000000">
            <w:pPr>
              <w:pStyle w:val="Compact"/>
            </w:pPr>
            <w:r>
              <w:t>60 % MIV</w:t>
            </w:r>
          </w:p>
        </w:tc>
        <w:tc>
          <w:tcPr>
            <w:tcW w:w="0" w:type="auto"/>
          </w:tcPr>
          <w:p w14:paraId="4F6942F5" w14:textId="77777777" w:rsidR="004E4CC2" w:rsidRDefault="00000000">
            <w:pPr>
              <w:pStyle w:val="Compact"/>
            </w:pPr>
            <w:r>
              <w:t>0</w:t>
            </w:r>
          </w:p>
        </w:tc>
        <w:tc>
          <w:tcPr>
            <w:tcW w:w="0" w:type="auto"/>
            <w:gridSpan w:val="2"/>
          </w:tcPr>
          <w:p w14:paraId="143A85C0" w14:textId="77777777" w:rsidR="004E4CC2" w:rsidRDefault="00000000">
            <w:pPr>
              <w:pStyle w:val="Compact"/>
            </w:pPr>
            <w:r>
              <w:t>6.0</w:t>
            </w:r>
          </w:p>
        </w:tc>
        <w:tc>
          <w:tcPr>
            <w:tcW w:w="0" w:type="auto"/>
          </w:tcPr>
          <w:p w14:paraId="2429DAF0" w14:textId="77777777" w:rsidR="004E4CC2" w:rsidRDefault="00000000">
            <w:pPr>
              <w:pStyle w:val="Compact"/>
            </w:pPr>
            <w:r>
              <w:t>-7.0</w:t>
            </w:r>
          </w:p>
        </w:tc>
        <w:tc>
          <w:tcPr>
            <w:tcW w:w="0" w:type="auto"/>
          </w:tcPr>
          <w:p w14:paraId="74C0E7E6" w14:textId="77777777" w:rsidR="004E4CC2" w:rsidRDefault="00000000">
            <w:pPr>
              <w:pStyle w:val="Compact"/>
            </w:pPr>
            <w:r>
              <w:t>0.0</w:t>
            </w:r>
          </w:p>
        </w:tc>
        <w:tc>
          <w:tcPr>
            <w:tcW w:w="0" w:type="auto"/>
          </w:tcPr>
          <w:p w14:paraId="278D6408" w14:textId="77777777" w:rsidR="004E4CC2" w:rsidRDefault="00000000">
            <w:pPr>
              <w:pStyle w:val="Compact"/>
            </w:pPr>
            <w:r>
              <w:t>True</w:t>
            </w:r>
          </w:p>
        </w:tc>
      </w:tr>
      <w:tr w:rsidR="004E4CC2" w14:paraId="4A62E8CC" w14:textId="77777777">
        <w:tc>
          <w:tcPr>
            <w:tcW w:w="0" w:type="auto"/>
          </w:tcPr>
          <w:p w14:paraId="112B5957" w14:textId="77777777" w:rsidR="004E4CC2" w:rsidRDefault="00000000">
            <w:pPr>
              <w:pStyle w:val="Compact"/>
            </w:pPr>
            <w:r>
              <w:t>3</w:t>
            </w:r>
          </w:p>
        </w:tc>
        <w:tc>
          <w:tcPr>
            <w:tcW w:w="0" w:type="auto"/>
          </w:tcPr>
          <w:p w14:paraId="470F0CFC" w14:textId="77777777" w:rsidR="004E4CC2" w:rsidRDefault="00000000">
            <w:pPr>
              <w:pStyle w:val="Compact"/>
            </w:pPr>
            <w:r>
              <w:t>40 % MIV: Konflikt</w:t>
            </w:r>
          </w:p>
        </w:tc>
        <w:tc>
          <w:tcPr>
            <w:tcW w:w="0" w:type="auto"/>
          </w:tcPr>
          <w:p w14:paraId="27720A19" w14:textId="77777777" w:rsidR="004E4CC2" w:rsidRDefault="00000000">
            <w:pPr>
              <w:pStyle w:val="Compact"/>
            </w:pPr>
            <w:r>
              <w:t>0</w:t>
            </w:r>
          </w:p>
        </w:tc>
        <w:tc>
          <w:tcPr>
            <w:tcW w:w="0" w:type="auto"/>
            <w:gridSpan w:val="2"/>
          </w:tcPr>
          <w:p w14:paraId="5CFA1FCC" w14:textId="77777777" w:rsidR="004E4CC2" w:rsidRDefault="00000000">
            <w:pPr>
              <w:pStyle w:val="Compact"/>
            </w:pPr>
            <w:r>
              <w:t>0.0</w:t>
            </w:r>
          </w:p>
        </w:tc>
        <w:tc>
          <w:tcPr>
            <w:tcW w:w="0" w:type="auto"/>
          </w:tcPr>
          <w:p w14:paraId="02A2B03A" w14:textId="77777777" w:rsidR="004E4CC2" w:rsidRDefault="00000000">
            <w:pPr>
              <w:pStyle w:val="Compact"/>
            </w:pPr>
            <w:r>
              <w:t>5.0</w:t>
            </w:r>
          </w:p>
        </w:tc>
        <w:tc>
          <w:tcPr>
            <w:tcW w:w="0" w:type="auto"/>
          </w:tcPr>
          <w:p w14:paraId="364F4FC0" w14:textId="77777777" w:rsidR="004E4CC2" w:rsidRDefault="00000000">
            <w:pPr>
              <w:pStyle w:val="Compact"/>
            </w:pPr>
            <w:r>
              <w:t>-12.0</w:t>
            </w:r>
          </w:p>
        </w:tc>
        <w:tc>
          <w:tcPr>
            <w:tcW w:w="0" w:type="auto"/>
          </w:tcPr>
          <w:p w14:paraId="1BB358D0" w14:textId="77777777" w:rsidR="004E4CC2" w:rsidRDefault="00000000">
            <w:pPr>
              <w:pStyle w:val="Compact"/>
            </w:pPr>
            <w:r>
              <w:t>False</w:t>
            </w:r>
          </w:p>
        </w:tc>
      </w:tr>
      <w:tr w:rsidR="004E4CC2" w14:paraId="28C0072B" w14:textId="77777777">
        <w:tc>
          <w:tcPr>
            <w:tcW w:w="0" w:type="auto"/>
          </w:tcPr>
          <w:p w14:paraId="4F89ADA7" w14:textId="77777777" w:rsidR="004E4CC2" w:rsidRDefault="00000000">
            <w:pPr>
              <w:pStyle w:val="Compact"/>
            </w:pPr>
            <w:r>
              <w:t>4</w:t>
            </w:r>
          </w:p>
        </w:tc>
        <w:tc>
          <w:tcPr>
            <w:tcW w:w="0" w:type="auto"/>
          </w:tcPr>
          <w:p w14:paraId="6FD7CDCF" w14:textId="77777777" w:rsidR="004E4CC2" w:rsidRDefault="00000000">
            <w:pPr>
              <w:pStyle w:val="Compact"/>
            </w:pPr>
            <w:r>
              <w:t>H₂ vollständig angerechnet</w:t>
            </w:r>
          </w:p>
        </w:tc>
        <w:tc>
          <w:tcPr>
            <w:tcW w:w="0" w:type="auto"/>
          </w:tcPr>
          <w:p w14:paraId="44FF7EDA" w14:textId="77777777" w:rsidR="004E4CC2" w:rsidRDefault="00000000">
            <w:pPr>
              <w:pStyle w:val="Compact"/>
            </w:pPr>
            <w:r>
              <w:t>100</w:t>
            </w:r>
          </w:p>
        </w:tc>
        <w:tc>
          <w:tcPr>
            <w:tcW w:w="0" w:type="auto"/>
            <w:gridSpan w:val="2"/>
          </w:tcPr>
          <w:p w14:paraId="18B24664" w14:textId="77777777" w:rsidR="004E4CC2" w:rsidRDefault="00000000">
            <w:pPr>
              <w:pStyle w:val="Compact"/>
            </w:pPr>
            <w:r>
              <w:t>28.0</w:t>
            </w:r>
          </w:p>
        </w:tc>
        <w:tc>
          <w:tcPr>
            <w:tcW w:w="0" w:type="auto"/>
          </w:tcPr>
          <w:p w14:paraId="0A4331F7" w14:textId="77777777" w:rsidR="004E4CC2" w:rsidRDefault="00000000">
            <w:pPr>
              <w:pStyle w:val="Compact"/>
            </w:pPr>
            <w:r>
              <w:t>-3.0</w:t>
            </w:r>
          </w:p>
        </w:tc>
        <w:tc>
          <w:tcPr>
            <w:tcW w:w="0" w:type="auto"/>
          </w:tcPr>
          <w:p w14:paraId="4EE076B8" w14:textId="77777777" w:rsidR="004E4CC2" w:rsidRDefault="00000000">
            <w:pPr>
              <w:pStyle w:val="Compact"/>
            </w:pPr>
            <w:r>
              <w:t>0.0</w:t>
            </w:r>
          </w:p>
        </w:tc>
        <w:tc>
          <w:tcPr>
            <w:tcW w:w="0" w:type="auto"/>
          </w:tcPr>
          <w:p w14:paraId="14374E35" w14:textId="77777777" w:rsidR="004E4CC2" w:rsidRDefault="00000000">
            <w:pPr>
              <w:pStyle w:val="Compact"/>
            </w:pPr>
            <w:r>
              <w:t>True</w:t>
            </w:r>
          </w:p>
        </w:tc>
      </w:tr>
    </w:tbl>
    <w:p w14:paraId="69DFD423" w14:textId="77777777" w:rsidR="004E4CC2" w:rsidRDefault="00000000">
      <w:pPr>
        <w:pStyle w:val="SourceCode"/>
      </w:pPr>
      <w:r>
        <w:rPr>
          <w:rStyle w:val="VerbatimChar"/>
        </w:rPr>
        <w:t>&lt;IPython.core.display.HTML object&gt;</w:t>
      </w:r>
    </w:p>
    <w:p w14:paraId="4ADA228C" w14:textId="77777777" w:rsidR="004E4CC2" w:rsidRDefault="00000000">
      <w:pPr>
        <w:pStyle w:val="SourceCode"/>
      </w:pPr>
      <w:r>
        <w:rPr>
          <w:rStyle w:val="VerbatimChar"/>
        </w:rPr>
        <w:t>&lt;IPython.core.display.HTML object&gt;</w:t>
      </w:r>
    </w:p>
    <w:p w14:paraId="2D6C3AEA" w14:textId="77777777" w:rsidR="004E4CC2" w:rsidRDefault="00000000">
      <w:pPr>
        <w:pStyle w:val="SourceCode"/>
      </w:pPr>
      <w:r>
        <w:rPr>
          <w:rStyle w:val="VerbatimChar"/>
        </w:rPr>
        <w:t>&lt;IPython.core.display.HTML object&gt;</w:t>
      </w:r>
    </w:p>
    <w:p w14:paraId="2C1CE59F" w14:textId="77777777" w:rsidR="004E4CC2" w:rsidRDefault="00000000">
      <w:pPr>
        <w:pStyle w:val="berschrift2"/>
      </w:pPr>
      <w:bookmarkStart w:id="380" w:name="X129ee56df754f4f74d7ce05fc1c83ef7892541d"/>
      <w:bookmarkStart w:id="381" w:name="_Toc243681368"/>
      <w:bookmarkEnd w:id="378"/>
      <w:r>
        <w:t>D.7 7. Primärenergie und nutzungsbezogene Gutschrift</w:t>
      </w:r>
      <w:bookmarkEnd w:id="381"/>
    </w:p>
    <w:p w14:paraId="6BA1CA98" w14:textId="77777777" w:rsidR="004E4CC2" w:rsidRDefault="00000000">
      <w:pPr>
        <w:pStyle w:val="FirstParagraph"/>
      </w:pPr>
      <w:r>
        <w:t xml:space="preserve">Die sektorale Zuordnung bleibt in elektrischer Endenergie 2040. Für die spätere Bewertung mit heutigen Konversionsfaktoren gilt </w:t>
      </w:r>
      <m:oMath>
        <m:sSub>
          <m:sSubPr>
            <m:ctrlPr>
              <w:rPr>
                <w:rFonts w:ascii="Cambria Math" w:hAnsi="Cambria Math"/>
              </w:rPr>
            </m:ctrlPr>
          </m:sSubPr>
          <m:e>
            <m:r>
              <w:rPr>
                <w:rFonts w:ascii="Cambria Math" w:hAnsi="Cambria Math"/>
              </w:rPr>
              <m:t>E</m:t>
            </m:r>
          </m:e>
          <m:sub>
            <m:r>
              <w:rPr>
                <w:rFonts w:ascii="Cambria Math" w:hAnsi="Cambria Math"/>
              </w:rPr>
              <m:t>PE</m:t>
            </m:r>
            <m:r>
              <m:rPr>
                <m:sty m:val="p"/>
              </m:rPr>
              <w:rPr>
                <w:rFonts w:ascii="Cambria Math" w:hAnsi="Cambria Math"/>
              </w:rPr>
              <m:t>,</m:t>
            </m:r>
            <m:r>
              <w:rPr>
                <w:rFonts w:ascii="Cambria Math" w:hAnsi="Cambria Math"/>
              </w:rPr>
              <m:t>MIV</m:t>
            </m:r>
          </m:sub>
        </m:sSub>
        <m:r>
          <m:rPr>
            <m:sty m:val="p"/>
          </m:rPr>
          <w:rPr>
            <w:rFonts w:ascii="Cambria Math" w:hAnsi="Cambria Math"/>
          </w:rPr>
          <m:t>=</m:t>
        </m:r>
        <m:r>
          <w:rPr>
            <w:rFonts w:ascii="Cambria Math" w:hAnsi="Cambria Math"/>
          </w:rPr>
          <m:t>M </m:t>
        </m:r>
        <m:sSub>
          <m:sSubPr>
            <m:ctrlPr>
              <w:rPr>
                <w:rFonts w:ascii="Cambria Math" w:hAnsi="Cambria Math"/>
              </w:rPr>
            </m:ctrlPr>
          </m:sSubPr>
          <m:e>
            <m:r>
              <w:rPr>
                <w:rFonts w:ascii="Cambria Math" w:hAnsi="Cambria Math"/>
              </w:rPr>
              <m:t>f</m:t>
            </m:r>
          </m:e>
          <m:sub>
            <m:r>
              <w:rPr>
                <w:rFonts w:ascii="Cambria Math" w:hAnsi="Cambria Math"/>
              </w:rPr>
              <m:t>PE</m:t>
            </m:r>
            <m:r>
              <m:rPr>
                <m:sty m:val="p"/>
              </m:rPr>
              <w:rPr>
                <w:rFonts w:ascii="Cambria Math" w:hAnsi="Cambria Math"/>
              </w:rPr>
              <m:t>,</m:t>
            </m:r>
            <m:r>
              <w:rPr>
                <w:rFonts w:ascii="Cambria Math" w:hAnsi="Cambria Math"/>
              </w:rPr>
              <m:t>Strom</m:t>
            </m:r>
          </m:sub>
        </m:sSub>
      </m:oMath>
      <w:r>
        <w:t>. Das ist die Bewertung des zugeordneten Strombudgets, keine Prognose des PE-Faktors 2040. Eine vollständige physische PE-Quartiersbilanz benötigt zusätzlich die übrigen Energieträger und die zeitlichen Faktoren. Ein jährlicher Ersatzfaktor ist nur bei dokumentierter Kompatibilität mit dem Bewertungsverfahren zulässig; monatliche Gewichtungen können einen einzelnen Jahresfaktor unzureichend machen.</w:t>
      </w:r>
    </w:p>
    <w:p w14:paraId="38E60E26" w14:textId="77777777" w:rsidR="004E4CC2" w:rsidRDefault="00000000">
      <w:pPr>
        <w:pStyle w:val="Textkrper"/>
      </w:pPr>
      <w:r>
        <w:t xml:space="preserve">Hier liegt kein freigegebener heutiger Faktorensatz vor. PE-Budget und spezifische Gutschrift bleiben deshalb </w:t>
      </w:r>
      <w:r>
        <w:rPr>
          <w:b/>
          <w:bCs/>
        </w:rPr>
        <w:t>offen</w:t>
      </w:r>
      <w:r>
        <w:t>, nicht null. Auch Nutzungsanteile und Ziel-NGF sind nicht neu gesetzt. Die historische Gutschrift 2023 wird durch das elektrische Rechenbeispiel nicht ersetzt.</w:t>
      </w:r>
    </w:p>
    <w:p w14:paraId="6CB9950E" w14:textId="77777777" w:rsidR="004E4CC2" w:rsidRDefault="00000000">
      <w:pPr>
        <w:pStyle w:val="SourceCode"/>
      </w:pPr>
      <w:r>
        <w:rPr>
          <w:rStyle w:val="NormalTok"/>
        </w:rPr>
        <w:t>factor</w:t>
      </w:r>
      <w:r>
        <w:rPr>
          <w:rStyle w:val="OperatorTok"/>
        </w:rPr>
        <w:t>=</w:t>
      </w:r>
      <w:r>
        <w:rPr>
          <w:rStyle w:val="NormalTok"/>
        </w:rPr>
        <w:t>parameters[</w:t>
      </w:r>
      <w:r>
        <w:rPr>
          <w:rStyle w:val="StringTok"/>
        </w:rPr>
        <w:t>'pe_factor_electricity'</w:t>
      </w:r>
      <w:r>
        <w:rPr>
          <w:rStyle w:val="NormalTok"/>
        </w:rPr>
        <w:t>]</w:t>
      </w:r>
      <w:r>
        <w:br/>
      </w:r>
      <w:r>
        <w:rPr>
          <w:rStyle w:val="ControlFlowTok"/>
        </w:rPr>
        <w:t>if</w:t>
      </w:r>
      <w:r>
        <w:rPr>
          <w:rStyle w:val="NormalTok"/>
        </w:rPr>
        <w:t xml:space="preserve"> factor </w:t>
      </w:r>
      <w:r>
        <w:rPr>
          <w:rStyle w:val="KeywordTok"/>
        </w:rPr>
        <w:t>is</w:t>
      </w:r>
      <w:r>
        <w:rPr>
          <w:rStyle w:val="NormalTok"/>
        </w:rPr>
        <w:t xml:space="preserve"> </w:t>
      </w:r>
      <w:r>
        <w:rPr>
          <w:rStyle w:val="VariableTok"/>
        </w:rPr>
        <w:t>None</w:t>
      </w:r>
      <w:r>
        <w:rPr>
          <w:rStyle w:val="NormalTok"/>
        </w:rPr>
        <w:t>:</w:t>
      </w:r>
      <w:r>
        <w:br/>
      </w:r>
      <w:r>
        <w:rPr>
          <w:rStyle w:val="NormalTok"/>
        </w:rPr>
        <w:lastRenderedPageBreak/>
        <w:t xml:space="preserve">    primary_energy_budget</w:t>
      </w:r>
      <w:r>
        <w:rPr>
          <w:rStyle w:val="OperatorTok"/>
        </w:rPr>
        <w:t>=</w:t>
      </w:r>
      <w:r>
        <w:rPr>
          <w:rStyle w:val="VariableTok"/>
        </w:rPr>
        <w:t>None</w:t>
      </w:r>
      <w:r>
        <w:br/>
      </w:r>
      <w:r>
        <w:rPr>
          <w:rStyle w:val="ControlFlowTok"/>
        </w:rPr>
        <w:t>else</w:t>
      </w:r>
      <w:r>
        <w:rPr>
          <w:rStyle w:val="NormalTok"/>
        </w:rPr>
        <w:t>:</w:t>
      </w:r>
      <w:r>
        <w:br/>
      </w:r>
      <w:r>
        <w:rPr>
          <w:rStyle w:val="NormalTok"/>
        </w:rPr>
        <w:t xml:space="preserve">    </w:t>
      </w:r>
      <w:r>
        <w:rPr>
          <w:rStyle w:val="ControlFlowTok"/>
        </w:rPr>
        <w:t>assert</w:t>
      </w:r>
      <w:r>
        <w:rPr>
          <w:rStyle w:val="NormalTok"/>
        </w:rPr>
        <w:t xml:space="preserve"> np.isfinite(factor) </w:t>
      </w:r>
      <w:r>
        <w:rPr>
          <w:rStyle w:val="KeywordTok"/>
        </w:rPr>
        <w:t>and</w:t>
      </w:r>
      <w:r>
        <w:rPr>
          <w:rStyle w:val="NormalTok"/>
        </w:rPr>
        <w:t xml:space="preserve"> factor</w:t>
      </w:r>
      <w:r>
        <w:rPr>
          <w:rStyle w:val="OperatorTok"/>
        </w:rPr>
        <w:t>&gt;=</w:t>
      </w:r>
      <w:r>
        <w:rPr>
          <w:rStyle w:val="DecValTok"/>
        </w:rPr>
        <w:t>0</w:t>
      </w:r>
      <w:r>
        <w:br/>
      </w:r>
      <w:r>
        <w:rPr>
          <w:rStyle w:val="NormalTok"/>
        </w:rPr>
        <w:t xml:space="preserve">    </w:t>
      </w:r>
      <w:r>
        <w:rPr>
          <w:rStyle w:val="ControlFlowTok"/>
        </w:rPr>
        <w:t>assert</w:t>
      </w:r>
      <w:r>
        <w:rPr>
          <w:rStyle w:val="NormalTok"/>
        </w:rPr>
        <w:t xml:space="preserve"> parameters[</w:t>
      </w:r>
      <w:r>
        <w:rPr>
          <w:rStyle w:val="StringTok"/>
        </w:rPr>
        <w:t>'pe_factor_year'</w:t>
      </w:r>
      <w:r>
        <w:rPr>
          <w:rStyle w:val="NormalTok"/>
        </w:rPr>
        <w:t xml:space="preserve">] </w:t>
      </w:r>
      <w:r>
        <w:rPr>
          <w:rStyle w:val="KeywordTok"/>
        </w:rPr>
        <w:t>and</w:t>
      </w:r>
      <w:r>
        <w:rPr>
          <w:rStyle w:val="NormalTok"/>
        </w:rPr>
        <w:t xml:space="preserve"> parameters[</w:t>
      </w:r>
      <w:r>
        <w:rPr>
          <w:rStyle w:val="StringTok"/>
        </w:rPr>
        <w:t>'pe_factor_source'</w:t>
      </w:r>
      <w:r>
        <w:rPr>
          <w:rStyle w:val="NormalTok"/>
        </w:rPr>
        <w:t>]</w:t>
      </w:r>
      <w:r>
        <w:br/>
      </w:r>
      <w:r>
        <w:rPr>
          <w:rStyle w:val="NormalTok"/>
        </w:rPr>
        <w:t xml:space="preserve">    primary_energy_budget</w:t>
      </w:r>
      <w:r>
        <w:rPr>
          <w:rStyle w:val="OperatorTok"/>
        </w:rPr>
        <w:t>=</w:t>
      </w:r>
      <w:r>
        <w:rPr>
          <w:rStyle w:val="NormalTok"/>
        </w:rPr>
        <w:t>result[</w:t>
      </w:r>
      <w:r>
        <w:rPr>
          <w:rStyle w:val="StringTok"/>
        </w:rPr>
        <w:t>'miv_budget_pj'</w:t>
      </w:r>
      <w:r>
        <w:rPr>
          <w:rStyle w:val="NormalTok"/>
        </w:rPr>
        <w:t>]</w:t>
      </w:r>
      <w:r>
        <w:rPr>
          <w:rStyle w:val="OperatorTok"/>
        </w:rPr>
        <w:t>*</w:t>
      </w:r>
      <w:r>
        <w:rPr>
          <w:rStyle w:val="NormalTok"/>
        </w:rPr>
        <w:t>factor</w:t>
      </w:r>
      <w:r>
        <w:br/>
      </w:r>
      <w:r>
        <w:rPr>
          <w:rStyle w:val="NormalTok"/>
        </w:rPr>
        <w:t>display(pd.DataFrame([{</w:t>
      </w:r>
      <w:r>
        <w:rPr>
          <w:rStyle w:val="StringTok"/>
        </w:rPr>
        <w:t>'Elektrisches MIV-Budget [PJ/a]'</w:t>
      </w:r>
      <w:r>
        <w:rPr>
          <w:rStyle w:val="NormalTok"/>
        </w:rPr>
        <w:t>:result[</w:t>
      </w:r>
      <w:r>
        <w:rPr>
          <w:rStyle w:val="StringTok"/>
        </w:rPr>
        <w:t>'miv_budget_pj'</w:t>
      </w:r>
      <w:r>
        <w:rPr>
          <w:rStyle w:val="NormalTok"/>
        </w:rPr>
        <w:t>],</w:t>
      </w:r>
      <w:r>
        <w:br/>
      </w:r>
      <w:r>
        <w:rPr>
          <w:rStyle w:val="NormalTok"/>
        </w:rPr>
        <w:t xml:space="preserve">                      </w:t>
      </w:r>
      <w:r>
        <w:rPr>
          <w:rStyle w:val="StringTok"/>
        </w:rPr>
        <w:t>'PE-Budget [PJ_PE/a]'</w:t>
      </w:r>
      <w:r>
        <w:rPr>
          <w:rStyle w:val="NormalTok"/>
        </w:rPr>
        <w:t>:primary_energy_budget,</w:t>
      </w:r>
      <w:r>
        <w:br/>
      </w:r>
      <w:r>
        <w:rPr>
          <w:rStyle w:val="NormalTok"/>
        </w:rPr>
        <w:t xml:space="preserve">                      </w:t>
      </w:r>
      <w:r>
        <w:rPr>
          <w:rStyle w:val="StringTok"/>
        </w:rPr>
        <w:t>'Status'</w:t>
      </w:r>
      <w:r>
        <w:rPr>
          <w:rStyle w:val="NormalTok"/>
        </w:rPr>
        <w:t>:</w:t>
      </w:r>
      <w:r>
        <w:rPr>
          <w:rStyle w:val="StringTok"/>
        </w:rPr>
        <w:t>'Offen: belegter Faktorensatz und nutzungsbezogene Verteilung fehlen'</w:t>
      </w:r>
      <w:r>
        <w:rPr>
          <w:rStyle w:val="NormalTok"/>
        </w:rPr>
        <w:t xml:space="preserve"> </w:t>
      </w:r>
      <w:r>
        <w:rPr>
          <w:rStyle w:val="ControlFlowTok"/>
        </w:rPr>
        <w:t>if</w:t>
      </w:r>
      <w:r>
        <w:rPr>
          <w:rStyle w:val="NormalTok"/>
        </w:rPr>
        <w:t xml:space="preserve"> factor </w:t>
      </w:r>
      <w:r>
        <w:rPr>
          <w:rStyle w:val="KeywordTok"/>
        </w:rPr>
        <w:t>is</w:t>
      </w:r>
      <w:r>
        <w:rPr>
          <w:rStyle w:val="NormalTok"/>
        </w:rPr>
        <w:t xml:space="preserve"> </w:t>
      </w:r>
      <w:r>
        <w:rPr>
          <w:rStyle w:val="VariableTok"/>
        </w:rPr>
        <w:t>None</w:t>
      </w:r>
      <w:r>
        <w:rPr>
          <w:rStyle w:val="NormalTok"/>
        </w:rPr>
        <w:t xml:space="preserve"> </w:t>
      </w:r>
      <w:r>
        <w:rPr>
          <w:rStyle w:val="ControlFlowTok"/>
        </w:rPr>
        <w:t>else</w:t>
      </w:r>
      <w:r>
        <w:rPr>
          <w:rStyle w:val="NormalTok"/>
        </w:rPr>
        <w:t xml:space="preserve"> </w:t>
      </w:r>
      <w:r>
        <w:rPr>
          <w:rStyle w:val="StringTok"/>
        </w:rPr>
        <w:t>'Parametrierte Umrechnung'</w:t>
      </w:r>
      <w:r>
        <w:rPr>
          <w:rStyle w:val="NormalTok"/>
        </w:rPr>
        <w:t>}]))</w:t>
      </w:r>
    </w:p>
    <w:tbl>
      <w:tblPr>
        <w:tblStyle w:val="Table"/>
        <w:tblW w:w="0" w:type="auto"/>
        <w:tblLook w:val="0020" w:firstRow="1" w:lastRow="0" w:firstColumn="0" w:lastColumn="0" w:noHBand="0" w:noVBand="0"/>
      </w:tblPr>
      <w:tblGrid>
        <w:gridCol w:w="345"/>
        <w:gridCol w:w="2835"/>
        <w:gridCol w:w="1984"/>
        <w:gridCol w:w="4458"/>
      </w:tblGrid>
      <w:tr w:rsidR="004E4CC2" w14:paraId="1E8E7EE2"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26981E58" w14:textId="77777777" w:rsidR="004E4CC2" w:rsidRDefault="004E4CC2">
            <w:pPr>
              <w:pStyle w:val="Compact"/>
            </w:pPr>
          </w:p>
        </w:tc>
        <w:tc>
          <w:tcPr>
            <w:tcW w:w="0" w:type="auto"/>
          </w:tcPr>
          <w:p w14:paraId="34D0CAF2" w14:textId="77777777" w:rsidR="004E4CC2" w:rsidRDefault="00000000">
            <w:pPr>
              <w:pStyle w:val="Compact"/>
            </w:pPr>
            <w:r>
              <w:t>Elektrisches MIV-Budget [PJ/a]</w:t>
            </w:r>
          </w:p>
        </w:tc>
        <w:tc>
          <w:tcPr>
            <w:tcW w:w="0" w:type="auto"/>
          </w:tcPr>
          <w:p w14:paraId="49066980" w14:textId="77777777" w:rsidR="004E4CC2" w:rsidRDefault="00000000">
            <w:pPr>
              <w:pStyle w:val="Compact"/>
            </w:pPr>
            <w:r>
              <w:t>PE-Budget [PJ_PE/a]</w:t>
            </w:r>
          </w:p>
        </w:tc>
        <w:tc>
          <w:tcPr>
            <w:tcW w:w="0" w:type="auto"/>
          </w:tcPr>
          <w:p w14:paraId="160A2733" w14:textId="77777777" w:rsidR="004E4CC2" w:rsidRDefault="00000000">
            <w:pPr>
              <w:pStyle w:val="Compact"/>
            </w:pPr>
            <w:r>
              <w:t>Status</w:t>
            </w:r>
          </w:p>
        </w:tc>
      </w:tr>
      <w:tr w:rsidR="004E4CC2" w14:paraId="0D359914" w14:textId="77777777">
        <w:tc>
          <w:tcPr>
            <w:tcW w:w="0" w:type="auto"/>
          </w:tcPr>
          <w:p w14:paraId="5BA67626" w14:textId="77777777" w:rsidR="004E4CC2" w:rsidRDefault="00000000">
            <w:pPr>
              <w:pStyle w:val="Compact"/>
            </w:pPr>
            <w:r>
              <w:t>0</w:t>
            </w:r>
          </w:p>
        </w:tc>
        <w:tc>
          <w:tcPr>
            <w:tcW w:w="0" w:type="auto"/>
          </w:tcPr>
          <w:p w14:paraId="1C0F65AD" w14:textId="77777777" w:rsidR="004E4CC2" w:rsidRDefault="00000000">
            <w:pPr>
              <w:pStyle w:val="Compact"/>
            </w:pPr>
            <w:r>
              <w:t>24.0</w:t>
            </w:r>
          </w:p>
        </w:tc>
        <w:tc>
          <w:tcPr>
            <w:tcW w:w="0" w:type="auto"/>
          </w:tcPr>
          <w:p w14:paraId="15BC5778" w14:textId="77777777" w:rsidR="004E4CC2" w:rsidRDefault="00000000">
            <w:pPr>
              <w:pStyle w:val="Compact"/>
            </w:pPr>
            <w:r>
              <w:t>None</w:t>
            </w:r>
          </w:p>
        </w:tc>
        <w:tc>
          <w:tcPr>
            <w:tcW w:w="0" w:type="auto"/>
          </w:tcPr>
          <w:p w14:paraId="75746437" w14:textId="77777777" w:rsidR="004E4CC2" w:rsidRDefault="00000000">
            <w:pPr>
              <w:pStyle w:val="Compact"/>
            </w:pPr>
            <w:r>
              <w:t>Offen: belegter Faktorensatz und nutzungsbezog...</w:t>
            </w:r>
          </w:p>
        </w:tc>
      </w:tr>
    </w:tbl>
    <w:p w14:paraId="5C3E5AEC" w14:textId="77777777" w:rsidR="004E4CC2" w:rsidRDefault="00000000">
      <w:pPr>
        <w:pStyle w:val="berschrift2"/>
      </w:pPr>
      <w:bookmarkStart w:id="382" w:name="Xe69c764b6d723c3cd3e137ef25a92c94368e136"/>
      <w:bookmarkStart w:id="383" w:name="_Toc243681369"/>
      <w:bookmarkEnd w:id="380"/>
      <w:r>
        <w:t>D.8 8. Kontrollen, Ausgaben und nächste Entscheidungen</w:t>
      </w:r>
      <w:bookmarkEnd w:id="383"/>
    </w:p>
    <w:p w14:paraId="5F32F496" w14:textId="77777777" w:rsidR="004E4CC2" w:rsidRDefault="00000000">
      <w:pPr>
        <w:pStyle w:val="FirstParagraph"/>
      </w:pPr>
      <w:r>
        <w:t>Geprüft werden Quellsummen, positive Zuordnungen, Verkehrssumme, PV-Erhaltung und der vollständige Bilanzrest. Grenzfälle prüfen 0/100 % andere PV sowie 0/100 % MIV. Kleine Quellenreste werden erhalten. Outputs enthalten Parameter, Quellen-Hashes, Resultate und die fünf Varianten. Die QMD-Ergebnistabelle wird aus diesen Rechnungen erzeugt; sie enthält keine separat eingegebenen Ergebniszahlen.</w:t>
      </w:r>
    </w:p>
    <w:p w14:paraId="40DE0B10" w14:textId="77777777" w:rsidR="004E4CC2" w:rsidRDefault="00000000">
      <w:pPr>
        <w:pStyle w:val="Textkrper"/>
      </w:pPr>
      <w:r>
        <w:t>Für eine normative Festlegung fehlen insbesondere: begründete PV- und Verkehrsanteile, Herkunft/Anrechenbarkeit der Rückverstromung und der Sammelposition Geothermie/sonstige, Verwendung der anderen PV, Priorisierung der Systembedarfe und ein heutiger PE-Faktorensatz. Der Gebäudetypologie-Pool und eine neue Dichtekalibrierung sind ausdrücklich zurückgestellt.</w:t>
      </w:r>
    </w:p>
    <w:p w14:paraId="215B4639" w14:textId="77777777" w:rsidR="004E4CC2" w:rsidRDefault="00000000">
      <w:pPr>
        <w:pStyle w:val="SourceCode"/>
      </w:pPr>
      <w:r>
        <w:rPr>
          <w:rStyle w:val="ControlFlowTok"/>
        </w:rPr>
        <w:t>for</w:t>
      </w:r>
      <w:r>
        <w:rPr>
          <w:rStyle w:val="NormalTok"/>
        </w:rPr>
        <w:t xml:space="preserve"> f,m,h </w:t>
      </w:r>
      <w:r>
        <w:rPr>
          <w:rStyle w:val="KeywordTok"/>
        </w:rPr>
        <w:t>in</w:t>
      </w:r>
      <w:r>
        <w:rPr>
          <w:rStyle w:val="NormalTok"/>
        </w:rPr>
        <w:t xml:space="preserve"> [(</w:t>
      </w:r>
      <w:r>
        <w:rPr>
          <w:rStyle w:val="DecValTok"/>
        </w:rPr>
        <w:t>0</w:t>
      </w:r>
      <w:r>
        <w:rPr>
          <w:rStyle w:val="NormalTok"/>
        </w:rPr>
        <w:t>,</w:t>
      </w:r>
      <w:r>
        <w:rPr>
          <w:rStyle w:val="DecValTok"/>
        </w:rPr>
        <w:t>0</w:t>
      </w:r>
      <w:r>
        <w:rPr>
          <w:rStyle w:val="NormalTok"/>
        </w:rPr>
        <w:t>,</w:t>
      </w:r>
      <w:r>
        <w:rPr>
          <w:rStyle w:val="DecValTok"/>
        </w:rPr>
        <w:t>0</w:t>
      </w:r>
      <w:r>
        <w:rPr>
          <w:rStyle w:val="NormalTok"/>
        </w:rPr>
        <w:t>),(</w:t>
      </w:r>
      <w:r>
        <w:rPr>
          <w:rStyle w:val="DecValTok"/>
        </w:rPr>
        <w:t>1</w:t>
      </w:r>
      <w:r>
        <w:rPr>
          <w:rStyle w:val="NormalTok"/>
        </w:rPr>
        <w:t>,</w:t>
      </w:r>
      <w:r>
        <w:rPr>
          <w:rStyle w:val="DecValTok"/>
        </w:rPr>
        <w:t>1</w:t>
      </w:r>
      <w:r>
        <w:rPr>
          <w:rStyle w:val="NormalTok"/>
        </w:rPr>
        <w:t>,</w:t>
      </w:r>
      <w:r>
        <w:rPr>
          <w:rStyle w:val="DecValTok"/>
        </w:rPr>
        <w:t>0</w:t>
      </w:r>
      <w:r>
        <w:rPr>
          <w:rStyle w:val="NormalTok"/>
        </w:rPr>
        <w:t>),(</w:t>
      </w:r>
      <w:r>
        <w:rPr>
          <w:rStyle w:val="DecValTok"/>
        </w:rPr>
        <w:t>1</w:t>
      </w:r>
      <w:r>
        <w:rPr>
          <w:rStyle w:val="NormalTok"/>
        </w:rPr>
        <w:t>,</w:t>
      </w:r>
      <w:r>
        <w:rPr>
          <w:rStyle w:val="DecValTok"/>
        </w:rPr>
        <w:t>0</w:t>
      </w:r>
      <w:r>
        <w:rPr>
          <w:rStyle w:val="NormalTok"/>
        </w:rPr>
        <w:t>,</w:t>
      </w:r>
      <w:r>
        <w:rPr>
          <w:rStyle w:val="DecValTok"/>
        </w:rPr>
        <w:t>1</w:t>
      </w:r>
      <w:r>
        <w:rPr>
          <w:rStyle w:val="NormalTok"/>
        </w:rPr>
        <w:t>),(</w:t>
      </w:r>
      <w:r>
        <w:rPr>
          <w:rStyle w:val="DecValTok"/>
        </w:rPr>
        <w:t>0</w:t>
      </w:r>
      <w:r>
        <w:rPr>
          <w:rStyle w:val="NormalTok"/>
        </w:rPr>
        <w:t>,</w:t>
      </w:r>
      <w:r>
        <w:rPr>
          <w:rStyle w:val="DecValTok"/>
        </w:rPr>
        <w:t>1</w:t>
      </w:r>
      <w:r>
        <w:rPr>
          <w:rStyle w:val="NormalTok"/>
        </w:rPr>
        <w:t>,</w:t>
      </w:r>
      <w:r>
        <w:rPr>
          <w:rStyle w:val="DecValTok"/>
        </w:rPr>
        <w:t>1</w:t>
      </w:r>
      <w:r>
        <w:rPr>
          <w:rStyle w:val="NormalTok"/>
        </w:rPr>
        <w:t>)]:</w:t>
      </w:r>
      <w:r>
        <w:br/>
      </w:r>
      <w:r>
        <w:rPr>
          <w:rStyle w:val="NormalTok"/>
        </w:rPr>
        <w:t xml:space="preserve">    p</w:t>
      </w:r>
      <w:r>
        <w:rPr>
          <w:rStyle w:val="OperatorTok"/>
        </w:rPr>
        <w:t>=</w:t>
      </w:r>
      <w:r>
        <w:rPr>
          <w:rStyle w:val="NormalTok"/>
        </w:rPr>
        <w:t>copy.deepcopy(parameters)</w:t>
      </w:r>
      <w:r>
        <w:rPr>
          <w:rStyle w:val="OperatorTok"/>
        </w:rPr>
        <w:t>;</w:t>
      </w:r>
      <w:r>
        <w:rPr>
          <w:rStyle w:val="NormalTok"/>
        </w:rPr>
        <w:t>p.update(other_pv_share</w:t>
      </w:r>
      <w:r>
        <w:rPr>
          <w:rStyle w:val="OperatorTok"/>
        </w:rPr>
        <w:t>=</w:t>
      </w:r>
      <w:r>
        <w:rPr>
          <w:rStyle w:val="NormalTok"/>
        </w:rPr>
        <w:t>f,miv_share</w:t>
      </w:r>
      <w:r>
        <w:rPr>
          <w:rStyle w:val="OperatorTok"/>
        </w:rPr>
        <w:t>=</w:t>
      </w:r>
      <w:r>
        <w:rPr>
          <w:rStyle w:val="NormalTok"/>
        </w:rPr>
        <w:t>m,public_transport_share</w:t>
      </w:r>
      <w:r>
        <w:rPr>
          <w:rStyle w:val="OperatorTok"/>
        </w:rPr>
        <w:t>=</w:t>
      </w:r>
      <w:r>
        <w:rPr>
          <w:rStyle w:val="DecValTok"/>
        </w:rPr>
        <w:t>1</w:t>
      </w:r>
      <w:r>
        <w:rPr>
          <w:rStyle w:val="OperatorTok"/>
        </w:rPr>
        <w:t>-</w:t>
      </w:r>
      <w:r>
        <w:rPr>
          <w:rStyle w:val="NormalTok"/>
        </w:rPr>
        <w:t>m)</w:t>
      </w:r>
      <w:r>
        <w:br/>
      </w:r>
      <w:r>
        <w:rPr>
          <w:rStyle w:val="NormalTok"/>
        </w:rPr>
        <w:t xml:space="preserve">    p[</w:t>
      </w:r>
      <w:r>
        <w:rPr>
          <w:rStyle w:val="StringTok"/>
        </w:rPr>
        <w:t>'eligible_nonpv_share'</w:t>
      </w:r>
      <w:r>
        <w:rPr>
          <w:rStyle w:val="NormalTok"/>
        </w:rPr>
        <w:t>][</w:t>
      </w:r>
      <w:r>
        <w:rPr>
          <w:rStyle w:val="StringTok"/>
        </w:rPr>
        <w:t>'hydrogen_electricity'</w:t>
      </w:r>
      <w:r>
        <w:rPr>
          <w:rStyle w:val="NormalTok"/>
        </w:rPr>
        <w:t>]</w:t>
      </w:r>
      <w:r>
        <w:rPr>
          <w:rStyle w:val="OperatorTok"/>
        </w:rPr>
        <w:t>=</w:t>
      </w:r>
      <w:r>
        <w:rPr>
          <w:rStyle w:val="NormalTok"/>
        </w:rPr>
        <w:t>h</w:t>
      </w:r>
      <w:r>
        <w:br/>
      </w:r>
      <w:r>
        <w:rPr>
          <w:rStyle w:val="NormalTok"/>
        </w:rPr>
        <w:t xml:space="preserve">    r</w:t>
      </w:r>
      <w:r>
        <w:rPr>
          <w:rStyle w:val="OperatorTok"/>
        </w:rPr>
        <w:t>=</w:t>
      </w:r>
      <w:r>
        <w:rPr>
          <w:rStyle w:val="NormalTok"/>
        </w:rPr>
        <w:t>allocate(p)</w:t>
      </w:r>
      <w:r>
        <w:br/>
      </w:r>
      <w:r>
        <w:rPr>
          <w:rStyle w:val="NormalTok"/>
        </w:rPr>
        <w:t xml:space="preserve">    </w:t>
      </w:r>
      <w:r>
        <w:rPr>
          <w:rStyle w:val="ControlFlowTok"/>
        </w:rPr>
        <w:t>assert</w:t>
      </w:r>
      <w:r>
        <w:rPr>
          <w:rStyle w:val="NormalTok"/>
        </w:rPr>
        <w:t xml:space="preserve"> np.isclose(r[</w:t>
      </w:r>
      <w:r>
        <w:rPr>
          <w:rStyle w:val="StringTok"/>
        </w:rPr>
        <w:t>'building_pv_pj'</w:t>
      </w:r>
      <w:r>
        <w:rPr>
          <w:rStyle w:val="NormalTok"/>
        </w:rPr>
        <w:t>]</w:t>
      </w:r>
      <w:r>
        <w:rPr>
          <w:rStyle w:val="OperatorTok"/>
        </w:rPr>
        <w:t>+</w:t>
      </w:r>
      <w:r>
        <w:rPr>
          <w:rStyle w:val="NormalTok"/>
        </w:rPr>
        <w:t>r[</w:t>
      </w:r>
      <w:r>
        <w:rPr>
          <w:rStyle w:val="StringTok"/>
        </w:rPr>
        <w:t>'other_pv_pj'</w:t>
      </w:r>
      <w:r>
        <w:rPr>
          <w:rStyle w:val="NormalTok"/>
        </w:rPr>
        <w:t>],g[</w:t>
      </w:r>
      <w:r>
        <w:rPr>
          <w:rStyle w:val="StringTok"/>
        </w:rPr>
        <w:t>'pv'</w:t>
      </w:r>
      <w:r>
        <w:rPr>
          <w:rStyle w:val="NormalTok"/>
        </w:rPr>
        <w:t>])</w:t>
      </w:r>
      <w:r>
        <w:br/>
      </w:r>
      <w:r>
        <w:rPr>
          <w:rStyle w:val="NormalTok"/>
        </w:rPr>
        <w:t xml:space="preserve">    </w:t>
      </w:r>
      <w:r>
        <w:rPr>
          <w:rStyle w:val="ControlFlowTok"/>
        </w:rPr>
        <w:t>assert</w:t>
      </w:r>
      <w:r>
        <w:rPr>
          <w:rStyle w:val="NormalTok"/>
        </w:rPr>
        <w:t xml:space="preserve"> np.isclose(r[</w:t>
      </w:r>
      <w:r>
        <w:rPr>
          <w:rStyle w:val="StringTok"/>
        </w:rPr>
        <w:t>'allocation_residual_pj'</w:t>
      </w:r>
      <w:r>
        <w:rPr>
          <w:rStyle w:val="NormalTok"/>
        </w:rPr>
        <w:t>],</w:t>
      </w:r>
      <w:r>
        <w:rPr>
          <w:rStyle w:val="OperatorTok"/>
        </w:rPr>
        <w:t>-</w:t>
      </w:r>
      <w:r>
        <w:rPr>
          <w:rStyle w:val="DecValTok"/>
        </w:rPr>
        <w:t>2</w:t>
      </w:r>
      <w:r>
        <w:rPr>
          <w:rStyle w:val="NormalTok"/>
        </w:rPr>
        <w:t>)</w:t>
      </w:r>
      <w:r>
        <w:br/>
      </w:r>
      <w:r>
        <w:rPr>
          <w:rStyle w:val="ControlFlowTok"/>
        </w:rPr>
        <w:t>for</w:t>
      </w:r>
      <w:r>
        <w:rPr>
          <w:rStyle w:val="NormalTok"/>
        </w:rPr>
        <w:t xml:space="preserve"> bad </w:t>
      </w:r>
      <w:r>
        <w:rPr>
          <w:rStyle w:val="KeywordTok"/>
        </w:rPr>
        <w:t>in</w:t>
      </w:r>
      <w:r>
        <w:rPr>
          <w:rStyle w:val="NormalTok"/>
        </w:rPr>
        <w:t xml:space="preserve"> [</w:t>
      </w:r>
      <w:r>
        <w:rPr>
          <w:rStyle w:val="OperatorTok"/>
        </w:rPr>
        <w:t>-</w:t>
      </w:r>
      <w:r>
        <w:rPr>
          <w:rStyle w:val="FloatTok"/>
        </w:rPr>
        <w:t>.01</w:t>
      </w:r>
      <w:r>
        <w:rPr>
          <w:rStyle w:val="NormalTok"/>
        </w:rPr>
        <w:t>,</w:t>
      </w:r>
      <w:r>
        <w:rPr>
          <w:rStyle w:val="FloatTok"/>
        </w:rPr>
        <w:t>1.01</w:t>
      </w:r>
      <w:r>
        <w:rPr>
          <w:rStyle w:val="NormalTok"/>
        </w:rPr>
        <w:t>]:</w:t>
      </w:r>
      <w:r>
        <w:br/>
      </w:r>
      <w:r>
        <w:rPr>
          <w:rStyle w:val="NormalTok"/>
        </w:rPr>
        <w:t xml:space="preserve">    p</w:t>
      </w:r>
      <w:r>
        <w:rPr>
          <w:rStyle w:val="OperatorTok"/>
        </w:rPr>
        <w:t>=</w:t>
      </w:r>
      <w:r>
        <w:rPr>
          <w:rStyle w:val="NormalTok"/>
        </w:rPr>
        <w:t>copy.deepcopy(parameters)</w:t>
      </w:r>
      <w:r>
        <w:rPr>
          <w:rStyle w:val="OperatorTok"/>
        </w:rPr>
        <w:t>;</w:t>
      </w:r>
      <w:r>
        <w:rPr>
          <w:rStyle w:val="NormalTok"/>
        </w:rPr>
        <w:t>p[</w:t>
      </w:r>
      <w:r>
        <w:rPr>
          <w:rStyle w:val="StringTok"/>
        </w:rPr>
        <w:t>'other_pv_share'</w:t>
      </w:r>
      <w:r>
        <w:rPr>
          <w:rStyle w:val="NormalTok"/>
        </w:rPr>
        <w:t>]</w:t>
      </w:r>
      <w:r>
        <w:rPr>
          <w:rStyle w:val="OperatorTok"/>
        </w:rPr>
        <w:t>=</w:t>
      </w:r>
      <w:r>
        <w:rPr>
          <w:rStyle w:val="NormalTok"/>
        </w:rPr>
        <w:t>bad</w:t>
      </w:r>
      <w:r>
        <w:br/>
      </w:r>
      <w:r>
        <w:rPr>
          <w:rStyle w:val="NormalTok"/>
        </w:rPr>
        <w:t xml:space="preserve">    </w:t>
      </w:r>
      <w:r>
        <w:rPr>
          <w:rStyle w:val="ControlFlowTok"/>
        </w:rPr>
        <w:t>try</w:t>
      </w:r>
      <w:r>
        <w:rPr>
          <w:rStyle w:val="NormalTok"/>
        </w:rPr>
        <w:t>: allocate(p)</w:t>
      </w:r>
      <w:r>
        <w:br/>
      </w:r>
      <w:r>
        <w:rPr>
          <w:rStyle w:val="NormalTok"/>
        </w:rPr>
        <w:t xml:space="preserve">    </w:t>
      </w:r>
      <w:r>
        <w:rPr>
          <w:rStyle w:val="ControlFlowTok"/>
        </w:rPr>
        <w:t>except</w:t>
      </w:r>
      <w:r>
        <w:rPr>
          <w:rStyle w:val="NormalTok"/>
        </w:rPr>
        <w:t xml:space="preserve"> </w:t>
      </w:r>
      <w:r>
        <w:rPr>
          <w:rStyle w:val="PreprocessorTok"/>
        </w:rPr>
        <w:t>AssertionError</w:t>
      </w:r>
      <w:r>
        <w:rPr>
          <w:rStyle w:val="NormalTok"/>
        </w:rPr>
        <w:t xml:space="preserve">: </w:t>
      </w:r>
      <w:r>
        <w:rPr>
          <w:rStyle w:val="ControlFlowTok"/>
        </w:rPr>
        <w:t>pass</w:t>
      </w:r>
      <w:r>
        <w:br/>
      </w:r>
      <w:r>
        <w:rPr>
          <w:rStyle w:val="NormalTok"/>
        </w:rPr>
        <w:t xml:space="preserve">    </w:t>
      </w:r>
      <w:r>
        <w:rPr>
          <w:rStyle w:val="ControlFlowTok"/>
        </w:rPr>
        <w:t>else</w:t>
      </w:r>
      <w:r>
        <w:rPr>
          <w:rStyle w:val="NormalTok"/>
        </w:rPr>
        <w:t xml:space="preserve">: </w:t>
      </w:r>
      <w:r>
        <w:rPr>
          <w:rStyle w:val="ControlFlowTok"/>
        </w:rPr>
        <w:t>raise</w:t>
      </w:r>
      <w:r>
        <w:rPr>
          <w:rStyle w:val="NormalTok"/>
        </w:rPr>
        <w:t xml:space="preserve"> </w:t>
      </w:r>
      <w:r>
        <w:rPr>
          <w:rStyle w:val="PreprocessorTok"/>
        </w:rPr>
        <w:t>AssertionError</w:t>
      </w:r>
      <w:r>
        <w:rPr>
          <w:rStyle w:val="NormalTok"/>
        </w:rPr>
        <w:t>(</w:t>
      </w:r>
      <w:r>
        <w:rPr>
          <w:rStyle w:val="StringTok"/>
        </w:rPr>
        <w:t>'Ungültiger PV-Anteil akzeptiert'</w:t>
      </w:r>
      <w:r>
        <w:rPr>
          <w:rStyle w:val="NormalTok"/>
        </w:rPr>
        <w:t>)</w:t>
      </w:r>
      <w:r>
        <w:br/>
      </w:r>
      <w:r>
        <w:rPr>
          <w:rStyle w:val="NormalTok"/>
        </w:rPr>
        <w:t>payload</w:t>
      </w:r>
      <w:r>
        <w:rPr>
          <w:rStyle w:val="OperatorTok"/>
        </w:rPr>
        <w:t>=</w:t>
      </w:r>
      <w:r>
        <w:rPr>
          <w:rStyle w:val="NormalTok"/>
        </w:rPr>
        <w:t>{</w:t>
      </w:r>
      <w:r>
        <w:rPr>
          <w:rStyle w:val="StringTok"/>
        </w:rPr>
        <w:t>'parameters'</w:t>
      </w:r>
      <w:r>
        <w:rPr>
          <w:rStyle w:val="NormalTok"/>
        </w:rPr>
        <w:t>:parameters,</w:t>
      </w:r>
      <w:r>
        <w:rPr>
          <w:rStyle w:val="StringTok"/>
        </w:rPr>
        <w:t>'result'</w:t>
      </w:r>
      <w:r>
        <w:rPr>
          <w:rStyle w:val="NormalTok"/>
        </w:rPr>
        <w:t>:result,</w:t>
      </w:r>
      <w:r>
        <w:rPr>
          <w:rStyle w:val="StringTok"/>
        </w:rPr>
        <w:t>'pe_budget_pj'</w:t>
      </w:r>
      <w:r>
        <w:rPr>
          <w:rStyle w:val="NormalTok"/>
        </w:rPr>
        <w:t>:primary_energy_budget,</w:t>
      </w:r>
      <w:r>
        <w:rPr>
          <w:rStyle w:val="StringTok"/>
        </w:rPr>
        <w:t>'source_sha256'</w:t>
      </w:r>
      <w:r>
        <w:rPr>
          <w:rStyle w:val="NormalTok"/>
        </w:rPr>
        <w:t>:provenance}</w:t>
      </w:r>
      <w:r>
        <w:br/>
      </w:r>
      <w:r>
        <w:rPr>
          <w:rStyle w:val="NormalTok"/>
        </w:rPr>
        <w:t>(OUT</w:t>
      </w:r>
      <w:r>
        <w:rPr>
          <w:rStyle w:val="OperatorTok"/>
        </w:rPr>
        <w:t>/</w:t>
      </w:r>
      <w:r>
        <w:rPr>
          <w:rStyle w:val="StringTok"/>
        </w:rPr>
        <w:t>'allokation.json'</w:t>
      </w:r>
      <w:r>
        <w:rPr>
          <w:rStyle w:val="NormalTok"/>
        </w:rPr>
        <w:t>).write_text(json.dumps(payload,ensure_ascii</w:t>
      </w:r>
      <w:r>
        <w:rPr>
          <w:rStyle w:val="OperatorTok"/>
        </w:rPr>
        <w:t>=</w:t>
      </w:r>
      <w:r>
        <w:rPr>
          <w:rStyle w:val="VariableTok"/>
        </w:rPr>
        <w:t>False</w:t>
      </w:r>
      <w:r>
        <w:rPr>
          <w:rStyle w:val="NormalTok"/>
        </w:rPr>
        <w:t>,indent</w:t>
      </w:r>
      <w:r>
        <w:rPr>
          <w:rStyle w:val="OperatorTok"/>
        </w:rPr>
        <w:t>=</w:t>
      </w:r>
      <w:r>
        <w:rPr>
          <w:rStyle w:val="DecValTok"/>
        </w:rPr>
        <w:t>2</w:t>
      </w:r>
      <w:r>
        <w:rPr>
          <w:rStyle w:val="NormalTok"/>
        </w:rPr>
        <w:t>),encoding</w:t>
      </w:r>
      <w:r>
        <w:rPr>
          <w:rStyle w:val="OperatorTok"/>
        </w:rPr>
        <w:t>=</w:t>
      </w:r>
      <w:r>
        <w:rPr>
          <w:rStyle w:val="StringTok"/>
        </w:rPr>
        <w:t>'utf-8'</w:t>
      </w:r>
      <w:r>
        <w:rPr>
          <w:rStyle w:val="NormalTok"/>
        </w:rPr>
        <w:t>)</w:t>
      </w:r>
      <w:r>
        <w:br/>
      </w:r>
      <w:r>
        <w:rPr>
          <w:rStyle w:val="NormalTok"/>
        </w:rPr>
        <w:t>result_table.to_csv(OUT</w:t>
      </w:r>
      <w:r>
        <w:rPr>
          <w:rStyle w:val="OperatorTok"/>
        </w:rPr>
        <w:t>/</w:t>
      </w:r>
      <w:r>
        <w:rPr>
          <w:rStyle w:val="StringTok"/>
        </w:rPr>
        <w:t>'referenzfall.csv'</w:t>
      </w:r>
      <w:r>
        <w:rPr>
          <w:rStyle w:val="NormalTok"/>
        </w:rPr>
        <w:t>,index</w:t>
      </w:r>
      <w:r>
        <w:rPr>
          <w:rStyle w:val="OperatorTok"/>
        </w:rPr>
        <w:t>=</w:t>
      </w:r>
      <w:r>
        <w:rPr>
          <w:rStyle w:val="VariableTok"/>
        </w:rPr>
        <w:t>False</w:t>
      </w:r>
      <w:r>
        <w:rPr>
          <w:rStyle w:val="NormalTok"/>
        </w:rPr>
        <w:t>)</w:t>
      </w:r>
      <w:r>
        <w:br/>
      </w:r>
      <w:r>
        <w:rPr>
          <w:rStyle w:val="NormalTok"/>
        </w:rPr>
        <w:t>comparison.to_csv(OUT</w:t>
      </w:r>
      <w:r>
        <w:rPr>
          <w:rStyle w:val="OperatorTok"/>
        </w:rPr>
        <w:t>/</w:t>
      </w:r>
      <w:r>
        <w:rPr>
          <w:rStyle w:val="StringTok"/>
        </w:rPr>
        <w:t>'varianten.csv'</w:t>
      </w:r>
      <w:r>
        <w:rPr>
          <w:rStyle w:val="NormalTok"/>
        </w:rPr>
        <w:t>,index</w:t>
      </w:r>
      <w:r>
        <w:rPr>
          <w:rStyle w:val="OperatorTok"/>
        </w:rPr>
        <w:t>=</w:t>
      </w:r>
      <w:r>
        <w:rPr>
          <w:rStyle w:val="VariableTok"/>
        </w:rPr>
        <w:t>False</w:t>
      </w:r>
      <w:r>
        <w:rPr>
          <w:rStyle w:val="NormalTok"/>
        </w:rPr>
        <w:t>)</w:t>
      </w:r>
      <w:r>
        <w:br/>
      </w:r>
      <w:r>
        <w:rPr>
          <w:rStyle w:val="KeywordTok"/>
        </w:rPr>
        <w:t>def</w:t>
      </w:r>
      <w:r>
        <w:rPr>
          <w:rStyle w:val="NormalTok"/>
        </w:rPr>
        <w:t xml:space="preserve"> table(frame):</w:t>
      </w:r>
      <w:r>
        <w:br/>
      </w:r>
      <w:r>
        <w:rPr>
          <w:rStyle w:val="NormalTok"/>
        </w:rPr>
        <w:t xml:space="preserve">    frame</w:t>
      </w:r>
      <w:r>
        <w:rPr>
          <w:rStyle w:val="OperatorTok"/>
        </w:rPr>
        <w:t>=</w:t>
      </w:r>
      <w:r>
        <w:rPr>
          <w:rStyle w:val="NormalTok"/>
        </w:rPr>
        <w:t>frame.</w:t>
      </w:r>
      <w:r>
        <w:rPr>
          <w:rStyle w:val="BuiltInTok"/>
        </w:rPr>
        <w:t>round</w:t>
      </w:r>
      <w:r>
        <w:rPr>
          <w:rStyle w:val="NormalTok"/>
        </w:rPr>
        <w:t>(</w:t>
      </w:r>
      <w:r>
        <w:rPr>
          <w:rStyle w:val="DecValTok"/>
        </w:rPr>
        <w:t>3</w:t>
      </w:r>
      <w:r>
        <w:rPr>
          <w:rStyle w:val="NormalTok"/>
        </w:rPr>
        <w:t>).copy()</w:t>
      </w:r>
      <w:r>
        <w:br/>
      </w:r>
      <w:r>
        <w:rPr>
          <w:rStyle w:val="NormalTok"/>
        </w:rPr>
        <w:lastRenderedPageBreak/>
        <w:t xml:space="preserve">    </w:t>
      </w:r>
      <w:r>
        <w:rPr>
          <w:rStyle w:val="ControlFlowTok"/>
        </w:rPr>
        <w:t>if</w:t>
      </w:r>
      <w:r>
        <w:rPr>
          <w:rStyle w:val="NormalTok"/>
        </w:rPr>
        <w:t xml:space="preserve"> </w:t>
      </w:r>
      <w:r>
        <w:rPr>
          <w:rStyle w:val="StringTok"/>
        </w:rPr>
        <w:t>'Vorrang gedeckt'</w:t>
      </w:r>
      <w:r>
        <w:rPr>
          <w:rStyle w:val="NormalTok"/>
        </w:rPr>
        <w:t xml:space="preserve"> </w:t>
      </w:r>
      <w:r>
        <w:rPr>
          <w:rStyle w:val="KeywordTok"/>
        </w:rPr>
        <w:t>in</w:t>
      </w:r>
      <w:r>
        <w:rPr>
          <w:rStyle w:val="NormalTok"/>
        </w:rPr>
        <w:t xml:space="preserve"> frame: frame[</w:t>
      </w:r>
      <w:r>
        <w:rPr>
          <w:rStyle w:val="StringTok"/>
        </w:rPr>
        <w:t>'Vorrang gedeckt'</w:t>
      </w:r>
      <w:r>
        <w:rPr>
          <w:rStyle w:val="NormalTok"/>
        </w:rPr>
        <w:t>]</w:t>
      </w:r>
      <w:r>
        <w:rPr>
          <w:rStyle w:val="OperatorTok"/>
        </w:rPr>
        <w:t>=</w:t>
      </w:r>
      <w:r>
        <w:rPr>
          <w:rStyle w:val="NormalTok"/>
        </w:rPr>
        <w:t>frame[</w:t>
      </w:r>
      <w:r>
        <w:rPr>
          <w:rStyle w:val="StringTok"/>
        </w:rPr>
        <w:t>'Vorrang gedeckt'</w:t>
      </w:r>
      <w:r>
        <w:rPr>
          <w:rStyle w:val="NormalTok"/>
        </w:rPr>
        <w:t>].</w:t>
      </w:r>
      <w:r>
        <w:rPr>
          <w:rStyle w:val="BuiltInTok"/>
        </w:rPr>
        <w:t>map</w:t>
      </w:r>
      <w:r>
        <w:rPr>
          <w:rStyle w:val="NormalTok"/>
        </w:rPr>
        <w:t>({</w:t>
      </w:r>
      <w:r>
        <w:rPr>
          <w:rStyle w:val="VariableTok"/>
        </w:rPr>
        <w:t>True</w:t>
      </w:r>
      <w:r>
        <w:rPr>
          <w:rStyle w:val="NormalTok"/>
        </w:rPr>
        <w:t>:</w:t>
      </w:r>
      <w:r>
        <w:rPr>
          <w:rStyle w:val="StringTok"/>
        </w:rPr>
        <w:t>'ja'</w:t>
      </w:r>
      <w:r>
        <w:rPr>
          <w:rStyle w:val="NormalTok"/>
        </w:rPr>
        <w:t>,</w:t>
      </w:r>
      <w:r>
        <w:rPr>
          <w:rStyle w:val="VariableTok"/>
        </w:rPr>
        <w:t>False</w:t>
      </w:r>
      <w:r>
        <w:rPr>
          <w:rStyle w:val="NormalTok"/>
        </w:rPr>
        <w:t>:</w:t>
      </w:r>
      <w:r>
        <w:rPr>
          <w:rStyle w:val="StringTok"/>
        </w:rPr>
        <w:t>'nein'</w:t>
      </w:r>
      <w:r>
        <w:rPr>
          <w:rStyle w:val="NormalTok"/>
        </w:rPr>
        <w:t>})</w:t>
      </w:r>
      <w:r>
        <w:br/>
      </w:r>
      <w:r>
        <w:rPr>
          <w:rStyle w:val="NormalTok"/>
        </w:rPr>
        <w:t xml:space="preserve">    </w:t>
      </w:r>
      <w:r>
        <w:rPr>
          <w:rStyle w:val="ControlFlowTok"/>
        </w:rPr>
        <w:t>return</w:t>
      </w:r>
      <w:r>
        <w:rPr>
          <w:rStyle w:val="NormalTok"/>
        </w:rPr>
        <w:t xml:space="preserve"> </w:t>
      </w:r>
      <w:r>
        <w:rPr>
          <w:rStyle w:val="StringTok"/>
        </w:rPr>
        <w:t>'| '</w:t>
      </w:r>
      <w:r>
        <w:rPr>
          <w:rStyle w:val="OperatorTok"/>
        </w:rPr>
        <w:t>+</w:t>
      </w:r>
      <w:r>
        <w:rPr>
          <w:rStyle w:val="StringTok"/>
        </w:rPr>
        <w:t>' | '</w:t>
      </w:r>
      <w:r>
        <w:rPr>
          <w:rStyle w:val="NormalTok"/>
        </w:rPr>
        <w:t>.join(frame.columns)</w:t>
      </w:r>
      <w:r>
        <w:rPr>
          <w:rStyle w:val="OperatorTok"/>
        </w:rPr>
        <w:t>+</w:t>
      </w:r>
      <w:r>
        <w:rPr>
          <w:rStyle w:val="StringTok"/>
        </w:rPr>
        <w:t>' |</w:t>
      </w:r>
      <w:r>
        <w:rPr>
          <w:rStyle w:val="CharTok"/>
        </w:rPr>
        <w:t>\n</w:t>
      </w:r>
      <w:r>
        <w:rPr>
          <w:rStyle w:val="StringTok"/>
        </w:rPr>
        <w:t>| '</w:t>
      </w:r>
      <w:r>
        <w:rPr>
          <w:rStyle w:val="OperatorTok"/>
        </w:rPr>
        <w:t>+</w:t>
      </w:r>
      <w:r>
        <w:rPr>
          <w:rStyle w:val="StringTok"/>
        </w:rPr>
        <w:t>' | '</w:t>
      </w:r>
      <w:r>
        <w:rPr>
          <w:rStyle w:val="NormalTok"/>
        </w:rPr>
        <w:t>.join([</w:t>
      </w:r>
      <w:r>
        <w:rPr>
          <w:rStyle w:val="StringTok"/>
        </w:rPr>
        <w:t>'---'</w:t>
      </w:r>
      <w:r>
        <w:rPr>
          <w:rStyle w:val="NormalTok"/>
        </w:rPr>
        <w:t>]</w:t>
      </w:r>
      <w:r>
        <w:rPr>
          <w:rStyle w:val="OperatorTok"/>
        </w:rPr>
        <w:t>*</w:t>
      </w:r>
      <w:r>
        <w:rPr>
          <w:rStyle w:val="BuiltInTok"/>
        </w:rPr>
        <w:t>len</w:t>
      </w:r>
      <w:r>
        <w:rPr>
          <w:rStyle w:val="NormalTok"/>
        </w:rPr>
        <w:t>(frame.columns))</w:t>
      </w:r>
      <w:r>
        <w:rPr>
          <w:rStyle w:val="OperatorTok"/>
        </w:rPr>
        <w:t>+</w:t>
      </w:r>
      <w:r>
        <w:rPr>
          <w:rStyle w:val="StringTok"/>
        </w:rPr>
        <w:t>' |</w:t>
      </w:r>
      <w:r>
        <w:rPr>
          <w:rStyle w:val="CharTok"/>
        </w:rPr>
        <w:t>\n</w:t>
      </w:r>
      <w:r>
        <w:rPr>
          <w:rStyle w:val="StringTok"/>
        </w:rPr>
        <w:t>'</w:t>
      </w:r>
      <w:r>
        <w:rPr>
          <w:rStyle w:val="OperatorTok"/>
        </w:rPr>
        <w:t>+</w:t>
      </w:r>
      <w:r>
        <w:rPr>
          <w:rStyle w:val="StringTok"/>
        </w:rPr>
        <w:t>'</w:t>
      </w:r>
      <w:r>
        <w:rPr>
          <w:rStyle w:val="CharTok"/>
        </w:rPr>
        <w:t>\n</w:t>
      </w:r>
      <w:r>
        <w:rPr>
          <w:rStyle w:val="StringTok"/>
        </w:rPr>
        <w:t>'</w:t>
      </w:r>
      <w:r>
        <w:rPr>
          <w:rStyle w:val="NormalTok"/>
        </w:rPr>
        <w:t>.join(</w:t>
      </w:r>
      <w:r>
        <w:rPr>
          <w:rStyle w:val="StringTok"/>
        </w:rPr>
        <w:t>'| '</w:t>
      </w:r>
      <w:r>
        <w:rPr>
          <w:rStyle w:val="OperatorTok"/>
        </w:rPr>
        <w:t>+</w:t>
      </w:r>
      <w:r>
        <w:rPr>
          <w:rStyle w:val="StringTok"/>
        </w:rPr>
        <w:t>' | '</w:t>
      </w:r>
      <w:r>
        <w:rPr>
          <w:rStyle w:val="NormalTok"/>
        </w:rPr>
        <w:t>.join(</w:t>
      </w:r>
      <w:r>
        <w:rPr>
          <w:rStyle w:val="BuiltInTok"/>
        </w:rPr>
        <w:t>map</w:t>
      </w:r>
      <w:r>
        <w:rPr>
          <w:rStyle w:val="NormalTok"/>
        </w:rPr>
        <w:t>(</w:t>
      </w:r>
      <w:r>
        <w:rPr>
          <w:rStyle w:val="BuiltInTok"/>
        </w:rPr>
        <w:t>str</w:t>
      </w:r>
      <w:r>
        <w:rPr>
          <w:rStyle w:val="NormalTok"/>
        </w:rPr>
        <w:t>,row))</w:t>
      </w:r>
      <w:r>
        <w:rPr>
          <w:rStyle w:val="OperatorTok"/>
        </w:rPr>
        <w:t>+</w:t>
      </w:r>
      <w:r>
        <w:rPr>
          <w:rStyle w:val="StringTok"/>
        </w:rPr>
        <w:t>' |'</w:t>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frame.itertuples(index</w:t>
      </w:r>
      <w:r>
        <w:rPr>
          <w:rStyle w:val="OperatorTok"/>
        </w:rPr>
        <w:t>=</w:t>
      </w:r>
      <w:r>
        <w:rPr>
          <w:rStyle w:val="VariableTok"/>
        </w:rPr>
        <w:t>False</w:t>
      </w:r>
      <w:r>
        <w:rPr>
          <w:rStyle w:val="NormalTok"/>
        </w:rPr>
        <w:t>,name</w:t>
      </w:r>
      <w:r>
        <w:rPr>
          <w:rStyle w:val="OperatorTok"/>
        </w:rPr>
        <w:t>=</w:t>
      </w:r>
      <w:r>
        <w:rPr>
          <w:rStyle w:val="VariableTok"/>
        </w:rPr>
        <w:t>None</w:t>
      </w:r>
      <w:r>
        <w:rPr>
          <w:rStyle w:val="NormalTok"/>
        </w:rPr>
        <w:t>))</w:t>
      </w:r>
      <w:r>
        <w:br/>
      </w:r>
      <w:r>
        <w:rPr>
          <w:rStyle w:val="NormalTok"/>
        </w:rPr>
        <w:t>text</w:t>
      </w:r>
      <w:r>
        <w:rPr>
          <w:rStyle w:val="OperatorTok"/>
        </w:rPr>
        <w:t>=</w:t>
      </w:r>
      <w:r>
        <w:rPr>
          <w:rStyle w:val="NormalTok"/>
        </w:rPr>
        <w:t>table(comparison[pv_columns])</w:t>
      </w:r>
      <w:r>
        <w:rPr>
          <w:rStyle w:val="OperatorTok"/>
        </w:rPr>
        <w:t>+</w:t>
      </w:r>
      <w:r>
        <w:rPr>
          <w:rStyle w:val="StringTok"/>
        </w:rPr>
        <w:t>'</w:t>
      </w:r>
      <w:r>
        <w:rPr>
          <w:rStyle w:val="CharTok"/>
        </w:rPr>
        <w:t>\n\n</w:t>
      </w:r>
      <w:r>
        <w:rPr>
          <w:rStyle w:val="StringTok"/>
        </w:rPr>
        <w:t>: PV-Aufteilung in PJ Strom/a; Freiflächenanteil bezogen auf die gesamte PV-Erzeugung. {#tbl-allokation-pv}</w:t>
      </w:r>
      <w:r>
        <w:rPr>
          <w:rStyle w:val="CharTok"/>
        </w:rPr>
        <w:t>\n\n</w:t>
      </w:r>
      <w:r>
        <w:rPr>
          <w:rStyle w:val="StringTok"/>
        </w:rPr>
        <w:t>'</w:t>
      </w:r>
      <w:r>
        <w:br/>
      </w:r>
      <w:r>
        <w:rPr>
          <w:rStyle w:val="NormalTok"/>
        </w:rPr>
        <w:t>text</w:t>
      </w:r>
      <w:r>
        <w:rPr>
          <w:rStyle w:val="OperatorTok"/>
        </w:rPr>
        <w:t>+=</w:t>
      </w:r>
      <w:r>
        <w:rPr>
          <w:rStyle w:val="NormalTok"/>
        </w:rPr>
        <w:t>table(comparison[traffic_columns])</w:t>
      </w:r>
      <w:r>
        <w:rPr>
          <w:rStyle w:val="OperatorTok"/>
        </w:rPr>
        <w:t>+</w:t>
      </w:r>
      <w:r>
        <w:rPr>
          <w:rStyle w:val="StringTok"/>
        </w:rPr>
        <w:t>'</w:t>
      </w:r>
      <w:r>
        <w:rPr>
          <w:rStyle w:val="CharTok"/>
        </w:rPr>
        <w:t>\n\n</w:t>
      </w:r>
      <w:r>
        <w:rPr>
          <w:rStyle w:val="StringTok"/>
        </w:rPr>
        <w:t>: Verkehrsaufteilung in PJ Strom/a; MIV-Anteil bezogen auf den elektrischen Verkehrsbedarf. {#tbl-allokation-verkehr}</w:t>
      </w:r>
      <w:r>
        <w:rPr>
          <w:rStyle w:val="CharTok"/>
        </w:rPr>
        <w:t>\n\n</w:t>
      </w:r>
      <w:r>
        <w:rPr>
          <w:rStyle w:val="StringTok"/>
        </w:rPr>
        <w:t>'</w:t>
      </w:r>
      <w:r>
        <w:br/>
      </w:r>
      <w:r>
        <w:rPr>
          <w:rStyle w:val="NormalTok"/>
        </w:rPr>
        <w:t>text</w:t>
      </w:r>
      <w:r>
        <w:rPr>
          <w:rStyle w:val="OperatorTok"/>
        </w:rPr>
        <w:t>+=</w:t>
      </w:r>
      <w:r>
        <w:rPr>
          <w:rStyle w:val="NormalTok"/>
        </w:rPr>
        <w:t>table(comparison[result_columns])</w:t>
      </w:r>
      <w:r>
        <w:rPr>
          <w:rStyle w:val="OperatorTok"/>
        </w:rPr>
        <w:t>+</w:t>
      </w:r>
      <w:r>
        <w:rPr>
          <w:rStyle w:val="StringTok"/>
        </w:rPr>
        <w:t>'</w:t>
      </w:r>
      <w:r>
        <w:rPr>
          <w:rStyle w:val="CharTok"/>
        </w:rPr>
        <w:t>\n\n</w:t>
      </w:r>
      <w:r>
        <w:rPr>
          <w:rStyle w:val="StringTok"/>
        </w:rPr>
        <w:t>: Allokationsergebnisse in PJ Strom/a. Negativer zentraler Rest kennzeichnet ungedeckte Vorrangbedarfe. {#tbl-allokation-vorlaeufig}</w:t>
      </w:r>
      <w:r>
        <w:rPr>
          <w:rStyle w:val="CharTok"/>
        </w:rPr>
        <w:t>\n</w:t>
      </w:r>
      <w:r>
        <w:rPr>
          <w:rStyle w:val="StringTok"/>
        </w:rPr>
        <w:t>'</w:t>
      </w:r>
      <w:r>
        <w:br/>
      </w:r>
      <w:r>
        <w:rPr>
          <w:rStyle w:val="NormalTok"/>
        </w:rPr>
        <w:t>(ROOT</w:t>
      </w:r>
      <w:r>
        <w:rPr>
          <w:rStyle w:val="OperatorTok"/>
        </w:rPr>
        <w:t>/</w:t>
      </w:r>
      <w:r>
        <w:rPr>
          <w:rStyle w:val="StringTok"/>
        </w:rPr>
        <w:t>'Kapitel/_generated/allokation-ergebnisse.qmd'</w:t>
      </w:r>
      <w:r>
        <w:rPr>
          <w:rStyle w:val="NormalTok"/>
        </w:rPr>
        <w:t>).write_text(text,encoding</w:t>
      </w:r>
      <w:r>
        <w:rPr>
          <w:rStyle w:val="OperatorTok"/>
        </w:rPr>
        <w:t>=</w:t>
      </w:r>
      <w:r>
        <w:rPr>
          <w:rStyle w:val="StringTok"/>
        </w:rPr>
        <w:t>'utf-8'</w:t>
      </w:r>
      <w:r>
        <w:rPr>
          <w:rStyle w:val="NormalTok"/>
        </w:rPr>
        <w:t>)</w:t>
      </w:r>
      <w:r>
        <w:br/>
      </w:r>
      <w:r>
        <w:rPr>
          <w:rStyle w:val="BuiltInTok"/>
        </w:rPr>
        <w:t>print</w:t>
      </w:r>
      <w:r>
        <w:rPr>
          <w:rStyle w:val="NormalTok"/>
        </w:rPr>
        <w:t>(</w:t>
      </w:r>
      <w:r>
        <w:rPr>
          <w:rStyle w:val="StringTok"/>
        </w:rPr>
        <w:t>'Bilanz- und Grenzfallkontrollen bestanden.'</w:t>
      </w:r>
      <w:r>
        <w:rPr>
          <w:rStyle w:val="NormalTok"/>
        </w:rPr>
        <w:t>)</w:t>
      </w:r>
    </w:p>
    <w:p w14:paraId="45A1B147" w14:textId="77777777" w:rsidR="004E4CC2" w:rsidRDefault="00000000">
      <w:pPr>
        <w:pStyle w:val="SourceCode"/>
      </w:pPr>
      <w:r>
        <w:rPr>
          <w:rStyle w:val="VerbatimChar"/>
        </w:rPr>
        <w:t>Bilanz- und Grenzfallkontrollen bestanden.</w:t>
      </w:r>
    </w:p>
    <w:p w14:paraId="671ACFF3" w14:textId="77777777" w:rsidR="004E4CC2" w:rsidRDefault="00000000">
      <w:pPr>
        <w:pStyle w:val="berschrift1"/>
      </w:pPr>
      <w:bookmarkStart w:id="384" w:name="gebäudesektormodell-österreich-2040"/>
      <w:bookmarkStart w:id="385" w:name="_Toc243681370"/>
      <w:bookmarkEnd w:id="366"/>
      <w:bookmarkEnd w:id="382"/>
      <w:r>
        <w:t>Appendix E — Gebäudesektormodell Österreich 2040</w:t>
      </w:r>
      <w:bookmarkEnd w:id="385"/>
    </w:p>
    <w:p w14:paraId="0AA89158" w14:textId="77777777" w:rsidR="004E4CC2" w:rsidRDefault="00000000">
      <w:pPr>
        <w:pStyle w:val="berschrift1"/>
      </w:pPr>
      <w:bookmarkStart w:id="386" w:name="sec-gebaeudesektormodell"/>
      <w:bookmarkStart w:id="387" w:name="_Toc243681371"/>
      <w:bookmarkEnd w:id="384"/>
      <w:r>
        <w:t>Appendix E — Gebäudesektormodell: Daten, Rechnung und Grenzen</w:t>
      </w:r>
      <w:bookmarkEnd w:id="387"/>
    </w:p>
    <w:p w14:paraId="7FDC9E4D" w14:textId="77777777" w:rsidR="004E4CC2" w:rsidRDefault="00000000">
      <w:pPr>
        <w:pStyle w:val="berschrift2"/>
      </w:pPr>
      <w:bookmarkStart w:id="388" w:name="modellrolle-und-bilanzgrenzen"/>
      <w:bookmarkStart w:id="389" w:name="_Toc243681372"/>
      <w:r>
        <w:t>E.1 1. Modellrolle und Bilanzgrenzen</w:t>
      </w:r>
      <w:bookmarkEnd w:id="389"/>
    </w:p>
    <w:p w14:paraId="4DB1FF29" w14:textId="77777777" w:rsidR="004E4CC2" w:rsidRDefault="00000000">
      <w:pPr>
        <w:pStyle w:val="FirstParagraph"/>
      </w:pPr>
      <w:r>
        <w:t xml:space="preserve">Das Notebook ist die ausführbare Bottom-up-Seite der PEQ-Zielwertkalibrierung. Es verbindet die </w:t>
      </w:r>
      <w:r>
        <w:rPr>
          <w:b/>
          <w:bCs/>
        </w:rPr>
        <w:t>gelieferte Flächenstruktur 2040</w:t>
      </w:r>
      <w:r>
        <w:t xml:space="preserve"> mit den energetischen Kennwerten der Archetypen und den österreichischen GFZ-Verteilungen. Die Top-down-Allokation steht in </w:t>
      </w:r>
      <w:hyperlink w:anchor="sec-allokation-notebook">
        <w:r>
          <w:rPr>
            <w:rStyle w:val="Hyperlink"/>
          </w:rPr>
          <w:t>Anhang F</w:t>
        </w:r>
      </w:hyperlink>
      <w:r>
        <w:t>. Ein Abgleich wird ausgewiesen, eine automatische Neukalibrierung findet nicht statt.</w:t>
      </w:r>
    </w:p>
    <w:p w14:paraId="4096A63B" w14:textId="77777777" w:rsidR="004E4CC2" w:rsidRDefault="00000000">
      <w:pPr>
        <w:pStyle w:val="Textkrper"/>
      </w:pPr>
      <w:r>
        <w:rPr>
          <w:b/>
          <w:bCs/>
        </w:rPr>
        <w:t>Quelle:</w:t>
      </w:r>
      <w:r>
        <w:t xml:space="preserve"> </w:t>
      </w:r>
      <w:r>
        <w:rPr>
          <w:rStyle w:val="VerbatimChar"/>
        </w:rPr>
        <w:t>Building-Sector_Pool 1.xlsx</w:t>
      </w:r>
      <w:r>
        <w:t xml:space="preserve">, Lieferung 23.10.2026. </w:t>
      </w:r>
      <w:r>
        <w:rPr>
          <w:rStyle w:val="VerbatimChar"/>
        </w:rPr>
        <w:t>Strombed_estim</w:t>
      </w:r>
      <w:r>
        <w:t xml:space="preserve"> ist maßgeblich für die 900 Typen und ihre Flächen; </w:t>
      </w:r>
      <w:r>
        <w:rPr>
          <w:rStyle w:val="VerbatimChar"/>
        </w:rPr>
        <w:t>zuordnung_gfz!A:F</w:t>
      </w:r>
      <w:r>
        <w:t xml:space="preserve"> für die Dichtezuordnung. </w:t>
      </w:r>
      <w:r>
        <w:rPr>
          <w:rStyle w:val="VerbatimChar"/>
        </w:rPr>
        <w:t>Tabelle2</w:t>
      </w:r>
      <w:r>
        <w:t xml:space="preserve"> liefert ergänzende Anwendungen und die Einheiten. Die unveränderte Quelldatei ist unter </w:t>
      </w:r>
      <w:r>
        <w:rPr>
          <w:rStyle w:val="VerbatimChar"/>
        </w:rPr>
        <w:t>data/</w:t>
      </w:r>
      <w:r>
        <w:t xml:space="preserve"> versioniert. </w:t>
      </w:r>
      <w:r>
        <w:rPr>
          <w:rStyle w:val="VerbatimChar"/>
        </w:rPr>
        <w:t>daten_gebauedesektor.xlsx</w:t>
      </w:r>
      <w:r>
        <w:t xml:space="preserve"> ist eine editierbare Reinschrift ihrer gespeicherten Werte. Die gespeicherten PEExcel-Ergebnisse werden geprüft, aber nicht neu simuliert.</w:t>
      </w:r>
    </w:p>
    <w:p w14:paraId="6E73F335" w14:textId="77777777" w:rsidR="004E4CC2" w:rsidRDefault="00000000">
      <w:pPr>
        <w:pStyle w:val="Textkrper"/>
      </w:pPr>
      <w:r>
        <w:t xml:space="preserve">Bezugsjahr ist </w:t>
      </w:r>
      <w:r>
        <w:rPr>
          <w:b/>
          <w:bCs/>
        </w:rPr>
        <w:t>2040</w:t>
      </w:r>
      <w:r>
        <w:t xml:space="preserve">. „Heute“ bleibt eine getrennte Quellspalte mit noch unbestätigtem Bezugsjahr. Sie ist </w:t>
      </w:r>
      <w:r>
        <w:rPr>
          <w:b/>
          <w:bCs/>
        </w:rPr>
        <w:t>nicht automatisch 2020</w:t>
      </w:r>
      <w:r>
        <w:t>. Für 2020 gibt es ein leeres ergänzbares Flächenfeld. Auch die heutige Spalte wird mit denselben gelieferten Typenkennwerten ausgewertet und ist daher keine unabhängig validierte historische Energiebilanz.</w:t>
      </w:r>
    </w:p>
    <w:p w14:paraId="714626EC" w14:textId="77777777" w:rsidR="004E4CC2" w:rsidRDefault="00000000">
      <w:pPr>
        <w:pStyle w:val="Textkrper"/>
      </w:pPr>
      <w:r>
        <w:t xml:space="preserve">Flächen: BGF in m², spezifische Energien laut </w:t>
      </w:r>
      <w:r>
        <w:rPr>
          <w:rStyle w:val="VerbatimChar"/>
        </w:rPr>
        <w:t>Tabelle2</w:t>
      </w:r>
      <w:r>
        <w:t xml:space="preserve"> in kWh/(m² NGF·a). Der aus der vorhandenen GFZ-Analyse übernommene Faktor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NGF</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BGF</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m:t>
        </m:r>
      </m:oMath>
      <w:r>
        <w:t xml:space="preserve"> ist eine einheitliche </w:t>
      </w:r>
      <w:r>
        <w:lastRenderedPageBreak/>
        <w:t xml:space="preserve">Modellannahme, keine typologiespezifische Messung. </w:t>
      </w:r>
      <m:oMath>
        <m:r>
          <w:rPr>
            <w:rFonts w:ascii="Cambria Math" w:hAnsi="Cambria Math"/>
          </w:rPr>
          <m:t>1 GWh</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kWh</m:t>
        </m:r>
      </m:oMath>
      <w:r>
        <w:t xml:space="preserve">, </w:t>
      </w:r>
      <m:oMath>
        <m:r>
          <w:rPr>
            <w:rFonts w:ascii="Cambria Math" w:hAnsi="Cambria Math"/>
          </w:rPr>
          <m:t>1 PJ</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 kWh</m:t>
        </m:r>
      </m:oMath>
      <w:r>
        <w:t xml:space="preserve">. Salden sind </w:t>
      </w:r>
      <w:r>
        <w:rPr>
          <w:b/>
          <w:bCs/>
        </w:rPr>
        <w:t>Erzeugung bzw. Export minus Bedarf bzw. Import</w:t>
      </w:r>
      <w:r>
        <w:t>. Mobilität ist in den gelieferten Simulationskennwerten null und wird erst beim Top-down-Vergleich separat angesetzt. Virtuelle Dichtewerte bleiben von physischen Energieflüssen getrennt.</w:t>
      </w:r>
    </w:p>
    <w:p w14:paraId="2B501084" w14:textId="77777777" w:rsidR="004E4CC2" w:rsidRDefault="00000000">
      <w:pPr>
        <w:pStyle w:val="SourceCode"/>
      </w:pPr>
      <w:r>
        <w:rPr>
          <w:rStyle w:val="ImportTok"/>
        </w:rPr>
        <w:t>from</w:t>
      </w:r>
      <w:r>
        <w:rPr>
          <w:rStyle w:val="NormalTok"/>
        </w:rPr>
        <w:t xml:space="preserve"> pathlib </w:t>
      </w:r>
      <w:r>
        <w:rPr>
          <w:rStyle w:val="ImportTok"/>
        </w:rPr>
        <w:t>import</w:t>
      </w:r>
      <w:r>
        <w:rPr>
          <w:rStyle w:val="NormalTok"/>
        </w:rPr>
        <w:t xml:space="preserve"> Path</w:t>
      </w:r>
      <w:r>
        <w:br/>
      </w:r>
      <w:r>
        <w:rPr>
          <w:rStyle w:val="ImportTok"/>
        </w:rPr>
        <w:t>import</w:t>
      </w:r>
      <w:r>
        <w:rPr>
          <w:rStyle w:val="NormalTok"/>
        </w:rPr>
        <w:t xml:space="preserve"> sys, json, copy</w:t>
      </w:r>
      <w:r>
        <w:br/>
      </w:r>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import</w:t>
      </w:r>
      <w:r>
        <w:rPr>
          <w:rStyle w:val="NormalTok"/>
        </w:rPr>
        <w:t xml:space="preserve"> matplotlib.pyplot </w:t>
      </w:r>
      <w:r>
        <w:rPr>
          <w:rStyle w:val="ImportTok"/>
        </w:rPr>
        <w:t>as</w:t>
      </w:r>
      <w:r>
        <w:rPr>
          <w:rStyle w:val="NormalTok"/>
        </w:rPr>
        <w:t xml:space="preserve"> plt</w:t>
      </w:r>
      <w:r>
        <w:br/>
      </w:r>
      <w:r>
        <w:rPr>
          <w:rStyle w:val="ImportTok"/>
        </w:rPr>
        <w:t>from</w:t>
      </w:r>
      <w:r>
        <w:rPr>
          <w:rStyle w:val="NormalTok"/>
        </w:rPr>
        <w:t xml:space="preserve"> IPython.display </w:t>
      </w:r>
      <w:r>
        <w:rPr>
          <w:rStyle w:val="ImportTok"/>
        </w:rPr>
        <w:t>import</w:t>
      </w:r>
      <w:r>
        <w:rPr>
          <w:rStyle w:val="NormalTok"/>
        </w:rPr>
        <w:t xml:space="preserve"> display, Markdown</w:t>
      </w:r>
      <w:r>
        <w:br/>
      </w:r>
      <w:r>
        <w:rPr>
          <w:rStyle w:val="NormalTok"/>
        </w:rPr>
        <w:t>ROOT</w:t>
      </w:r>
      <w:r>
        <w:rPr>
          <w:rStyle w:val="OperatorTok"/>
        </w:rPr>
        <w:t>=</w:t>
      </w:r>
      <w:r>
        <w:rPr>
          <w:rStyle w:val="BuiltInTok"/>
        </w:rPr>
        <w:t>next</w:t>
      </w:r>
      <w:r>
        <w:rPr>
          <w:rStyle w:val="NormalTok"/>
        </w:rPr>
        <w:t xml:space="preserve">(p </w:t>
      </w:r>
      <w:r>
        <w:rPr>
          <w:rStyle w:val="ControlFlowTok"/>
        </w:rPr>
        <w:t>for</w:t>
      </w:r>
      <w:r>
        <w:rPr>
          <w:rStyle w:val="NormalTok"/>
        </w:rPr>
        <w:t xml:space="preserve"> p </w:t>
      </w:r>
      <w:r>
        <w:rPr>
          <w:rStyle w:val="KeywordTok"/>
        </w:rPr>
        <w:t>in</w:t>
      </w:r>
      <w:r>
        <w:rPr>
          <w:rStyle w:val="NormalTok"/>
        </w:rPr>
        <w:t xml:space="preserve"> [Path.cwd(),</w:t>
      </w:r>
      <w:r>
        <w:rPr>
          <w:rStyle w:val="OperatorTok"/>
        </w:rPr>
        <w:t>*</w:t>
      </w:r>
      <w:r>
        <w:rPr>
          <w:rStyle w:val="NormalTok"/>
        </w:rPr>
        <w:t xml:space="preserve">Path.cwd().parents] </w:t>
      </w:r>
      <w:r>
        <w:rPr>
          <w:rStyle w:val="ControlFlowTok"/>
        </w:rPr>
        <w:t>if</w:t>
      </w:r>
      <w:r>
        <w:rPr>
          <w:rStyle w:val="NormalTok"/>
        </w:rPr>
        <w:t xml:space="preserve"> (p</w:t>
      </w:r>
      <w:r>
        <w:rPr>
          <w:rStyle w:val="OperatorTok"/>
        </w:rPr>
        <w:t>/</w:t>
      </w:r>
      <w:r>
        <w:rPr>
          <w:rStyle w:val="StringTok"/>
        </w:rPr>
        <w:t>'_quarto.yml'</w:t>
      </w:r>
      <w:r>
        <w:rPr>
          <w:rStyle w:val="NormalTok"/>
        </w:rPr>
        <w:t>).exists())</w:t>
      </w:r>
      <w:r>
        <w:br/>
      </w:r>
      <w:r>
        <w:rPr>
          <w:rStyle w:val="NormalTok"/>
        </w:rPr>
        <w:t>BASE</w:t>
      </w:r>
      <w:r>
        <w:rPr>
          <w:rStyle w:val="OperatorTok"/>
        </w:rPr>
        <w:t>=</w:t>
      </w:r>
      <w:r>
        <w:rPr>
          <w:rStyle w:val="NormalTok"/>
        </w:rPr>
        <w:t>ROOT</w:t>
      </w:r>
      <w:r>
        <w:rPr>
          <w:rStyle w:val="OperatorTok"/>
        </w:rPr>
        <w:t>/</w:t>
      </w:r>
      <w:r>
        <w:rPr>
          <w:rStyle w:val="StringTok"/>
        </w:rPr>
        <w:t>'Berechnungen/gebaeudesektormodell'</w:t>
      </w:r>
      <w:r>
        <w:br/>
      </w:r>
      <w:r>
        <w:rPr>
          <w:rStyle w:val="NormalTok"/>
        </w:rPr>
        <w:t>sys.path.insert(</w:t>
      </w:r>
      <w:r>
        <w:rPr>
          <w:rStyle w:val="DecValTok"/>
        </w:rPr>
        <w:t>0</w:t>
      </w:r>
      <w:r>
        <w:rPr>
          <w:rStyle w:val="NormalTok"/>
        </w:rPr>
        <w:t>,</w:t>
      </w:r>
      <w:r>
        <w:rPr>
          <w:rStyle w:val="BuiltInTok"/>
        </w:rPr>
        <w:t>str</w:t>
      </w:r>
      <w:r>
        <w:rPr>
          <w:rStyle w:val="NormalTok"/>
        </w:rPr>
        <w:t>(BASE))</w:t>
      </w:r>
      <w:r>
        <w:br/>
      </w:r>
      <w:r>
        <w:rPr>
          <w:rStyle w:val="ImportTok"/>
        </w:rPr>
        <w:t>from</w:t>
      </w:r>
      <w:r>
        <w:rPr>
          <w:rStyle w:val="NormalTok"/>
        </w:rPr>
        <w:t xml:space="preserve"> utils </w:t>
      </w:r>
      <w:r>
        <w:rPr>
          <w:rStyle w:val="ImportTok"/>
        </w:rPr>
        <w:t>import</w:t>
      </w:r>
      <w:r>
        <w:rPr>
          <w:rStyle w:val="NormalTok"/>
        </w:rPr>
        <w:t xml:space="preserve"> read_source, sha256, markdown_table</w:t>
      </w:r>
      <w:r>
        <w:br/>
      </w:r>
      <w:r>
        <w:rPr>
          <w:rStyle w:val="NormalTok"/>
        </w:rPr>
        <w:t>OUT</w:t>
      </w:r>
      <w:r>
        <w:rPr>
          <w:rStyle w:val="OperatorTok"/>
        </w:rPr>
        <w:t>=</w:t>
      </w:r>
      <w:r>
        <w:rPr>
          <w:rStyle w:val="NormalTok"/>
        </w:rPr>
        <w:t>BASE</w:t>
      </w:r>
      <w:r>
        <w:rPr>
          <w:rStyle w:val="OperatorTok"/>
        </w:rPr>
        <w:t>/</w:t>
      </w:r>
      <w:r>
        <w:rPr>
          <w:rStyle w:val="StringTok"/>
        </w:rPr>
        <w:t>'outputs'</w:t>
      </w:r>
      <w:r>
        <w:rPr>
          <w:rStyle w:val="OperatorTok"/>
        </w:rPr>
        <w:t>;</w:t>
      </w:r>
      <w:r>
        <w:rPr>
          <w:rStyle w:val="NormalTok"/>
        </w:rPr>
        <w:t xml:space="preserve"> OUT.mkdir(exist_ok</w:t>
      </w:r>
      <w:r>
        <w:rPr>
          <w:rStyle w:val="OperatorTok"/>
        </w:rPr>
        <w:t>=</w:t>
      </w:r>
      <w:r>
        <w:rPr>
          <w:rStyle w:val="VariableTok"/>
        </w:rPr>
        <w:t>True</w:t>
      </w:r>
      <w:r>
        <w:rPr>
          <w:rStyle w:val="NormalTok"/>
        </w:rPr>
        <w:t>)</w:t>
      </w:r>
      <w:r>
        <w:br/>
      </w:r>
      <w:r>
        <w:rPr>
          <w:rStyle w:val="NormalTok"/>
        </w:rPr>
        <w:t>GEN</w:t>
      </w:r>
      <w:r>
        <w:rPr>
          <w:rStyle w:val="OperatorTok"/>
        </w:rPr>
        <w:t>=</w:t>
      </w:r>
      <w:r>
        <w:rPr>
          <w:rStyle w:val="NormalTok"/>
        </w:rPr>
        <w:t>ROOT</w:t>
      </w:r>
      <w:r>
        <w:rPr>
          <w:rStyle w:val="OperatorTok"/>
        </w:rPr>
        <w:t>/</w:t>
      </w:r>
      <w:r>
        <w:rPr>
          <w:rStyle w:val="StringTok"/>
        </w:rPr>
        <w:t>'Kapitel/_generated'</w:t>
      </w:r>
      <w:r>
        <w:rPr>
          <w:rStyle w:val="OperatorTok"/>
        </w:rPr>
        <w:t>;</w:t>
      </w:r>
      <w:r>
        <w:rPr>
          <w:rStyle w:val="NormalTok"/>
        </w:rPr>
        <w:t xml:space="preserve"> GEN.mkdir(exist_ok</w:t>
      </w:r>
      <w:r>
        <w:rPr>
          <w:rStyle w:val="OperatorTok"/>
        </w:rPr>
        <w:t>=</w:t>
      </w:r>
      <w:r>
        <w:rPr>
          <w:rStyle w:val="VariableTok"/>
        </w:rPr>
        <w:t>True</w:t>
      </w:r>
      <w:r>
        <w:rPr>
          <w:rStyle w:val="NormalTok"/>
        </w:rPr>
        <w:t>)</w:t>
      </w:r>
      <w:r>
        <w:br/>
      </w:r>
      <w:r>
        <w:rPr>
          <w:rStyle w:val="NormalTok"/>
        </w:rPr>
        <w:t>SOURCE</w:t>
      </w:r>
      <w:r>
        <w:rPr>
          <w:rStyle w:val="OperatorTok"/>
        </w:rPr>
        <w:t>=</w:t>
      </w:r>
      <w:r>
        <w:rPr>
          <w:rStyle w:val="NormalTok"/>
        </w:rPr>
        <w:t>BASE</w:t>
      </w:r>
      <w:r>
        <w:rPr>
          <w:rStyle w:val="OperatorTok"/>
        </w:rPr>
        <w:t>/</w:t>
      </w:r>
      <w:r>
        <w:rPr>
          <w:rStyle w:val="StringTok"/>
        </w:rPr>
        <w:t>'data/Building-Sector_Pool_1.xlsx'</w:t>
      </w:r>
      <w:r>
        <w:br/>
      </w:r>
      <w:r>
        <w:rPr>
          <w:rStyle w:val="NormalTok"/>
        </w:rPr>
        <w:t>INPUT</w:t>
      </w:r>
      <w:r>
        <w:rPr>
          <w:rStyle w:val="OperatorTok"/>
        </w:rPr>
        <w:t>=</w:t>
      </w:r>
      <w:r>
        <w:rPr>
          <w:rStyle w:val="NormalTok"/>
        </w:rPr>
        <w:t>BASE</w:t>
      </w:r>
      <w:r>
        <w:rPr>
          <w:rStyle w:val="OperatorTok"/>
        </w:rPr>
        <w:t>/</w:t>
      </w:r>
      <w:r>
        <w:rPr>
          <w:rStyle w:val="StringTok"/>
        </w:rPr>
        <w:t>'daten_gebauedesektor.xlsx'</w:t>
      </w:r>
      <w:r>
        <w:br/>
      </w:r>
      <w:r>
        <w:rPr>
          <w:rStyle w:val="NormalTok"/>
        </w:rPr>
        <w:t>source</w:t>
      </w:r>
      <w:r>
        <w:rPr>
          <w:rStyle w:val="OperatorTok"/>
        </w:rPr>
        <w:t>=</w:t>
      </w:r>
      <w:r>
        <w:rPr>
          <w:rStyle w:val="NormalTok"/>
        </w:rPr>
        <w:t>read_source(SOURCE)</w:t>
      </w:r>
      <w:r>
        <w:br/>
      </w:r>
      <w:r>
        <w:rPr>
          <w:rStyle w:val="NormalTok"/>
        </w:rPr>
        <w:t>inputs</w:t>
      </w:r>
      <w:r>
        <w:rPr>
          <w:rStyle w:val="OperatorTok"/>
        </w:rPr>
        <w:t>=</w:t>
      </w:r>
      <w:r>
        <w:rPr>
          <w:rStyle w:val="NormalTok"/>
        </w:rPr>
        <w:t>pd.read_excel(INPUT,sheet_name</w:t>
      </w:r>
      <w:r>
        <w:rPr>
          <w:rStyle w:val="OperatorTok"/>
        </w:rPr>
        <w:t>=</w:t>
      </w:r>
      <w:r>
        <w:rPr>
          <w:rStyle w:val="VariableTok"/>
        </w:rPr>
        <w:t>None</w:t>
      </w:r>
      <w:r>
        <w:rPr>
          <w:rStyle w:val="NormalTok"/>
        </w:rPr>
        <w:t>)</w:t>
      </w:r>
      <w:r>
        <w:br/>
      </w:r>
      <w:r>
        <w:rPr>
          <w:rStyle w:val="NormalTok"/>
        </w:rPr>
        <w:t>types</w:t>
      </w:r>
      <w:r>
        <w:rPr>
          <w:rStyle w:val="OperatorTok"/>
        </w:rPr>
        <w:t>=</w:t>
      </w:r>
      <w:r>
        <w:rPr>
          <w:rStyle w:val="NormalTok"/>
        </w:rPr>
        <w:t>inputs[</w:t>
      </w:r>
      <w:r>
        <w:rPr>
          <w:rStyle w:val="StringTok"/>
        </w:rPr>
        <w:t>'Typen'</w:t>
      </w:r>
      <w:r>
        <w:rPr>
          <w:rStyle w:val="NormalTok"/>
        </w:rPr>
        <w:t>].copy()</w:t>
      </w:r>
      <w:r>
        <w:br/>
      </w:r>
      <w:r>
        <w:rPr>
          <w:rStyle w:val="NormalTok"/>
        </w:rPr>
        <w:t>applications</w:t>
      </w:r>
      <w:r>
        <w:rPr>
          <w:rStyle w:val="OperatorTok"/>
        </w:rPr>
        <w:t>=</w:t>
      </w:r>
      <w:r>
        <w:rPr>
          <w:rStyle w:val="NormalTok"/>
        </w:rPr>
        <w:t>inputs[</w:t>
      </w:r>
      <w:r>
        <w:rPr>
          <w:rStyle w:val="StringTok"/>
        </w:rPr>
        <w:t>'Anwendungen'</w:t>
      </w:r>
      <w:r>
        <w:rPr>
          <w:rStyle w:val="NormalTok"/>
        </w:rPr>
        <w:t>].copy()</w:t>
      </w:r>
      <w:r>
        <w:br/>
      </w:r>
      <w:r>
        <w:rPr>
          <w:rStyle w:val="NormalTok"/>
        </w:rPr>
        <w:t>params</w:t>
      </w:r>
      <w:r>
        <w:rPr>
          <w:rStyle w:val="OperatorTok"/>
        </w:rPr>
        <w:t>=</w:t>
      </w:r>
      <w:r>
        <w:rPr>
          <w:rStyle w:val="NormalTok"/>
        </w:rPr>
        <w:t>inputs[</w:t>
      </w:r>
      <w:r>
        <w:rPr>
          <w:rStyle w:val="StringTok"/>
        </w:rPr>
        <w:t>'Parameter'</w:t>
      </w:r>
      <w:r>
        <w:rPr>
          <w:rStyle w:val="NormalTok"/>
        </w:rPr>
        <w:t>].set_index(</w:t>
      </w:r>
      <w:r>
        <w:rPr>
          <w:rStyle w:val="StringTok"/>
        </w:rPr>
        <w:t>'Parameter'</w:t>
      </w:r>
      <w:r>
        <w:rPr>
          <w:rStyle w:val="NormalTok"/>
        </w:rPr>
        <w:t>)[</w:t>
      </w:r>
      <w:r>
        <w:rPr>
          <w:rStyle w:val="StringTok"/>
        </w:rPr>
        <w:t>'Wert'</w:t>
      </w:r>
      <w:r>
        <w:rPr>
          <w:rStyle w:val="NormalTok"/>
        </w:rPr>
        <w:t>].to_dict()</w:t>
      </w:r>
      <w:r>
        <w:br/>
      </w:r>
      <w:r>
        <w:rPr>
          <w:rStyle w:val="NormalTok"/>
        </w:rPr>
        <w:t>r</w:t>
      </w:r>
      <w:r>
        <w:rPr>
          <w:rStyle w:val="OperatorTok"/>
        </w:rPr>
        <w:t>=</w:t>
      </w:r>
      <w:r>
        <w:rPr>
          <w:rStyle w:val="BuiltInTok"/>
        </w:rPr>
        <w:t>float</w:t>
      </w:r>
      <w:r>
        <w:rPr>
          <w:rStyle w:val="NormalTok"/>
        </w:rPr>
        <w:t>(params[</w:t>
      </w:r>
      <w:r>
        <w:rPr>
          <w:rStyle w:val="StringTok"/>
        </w:rPr>
        <w:t>'ngf_bgf'</w:t>
      </w:r>
      <w:r>
        <w:rPr>
          <w:rStyle w:val="NormalTok"/>
        </w:rPr>
        <w:t>])</w:t>
      </w:r>
      <w:r>
        <w:rPr>
          <w:rStyle w:val="OperatorTok"/>
        </w:rPr>
        <w:t>;</w:t>
      </w:r>
      <w:r>
        <w:rPr>
          <w:rStyle w:val="NormalTok"/>
        </w:rPr>
        <w:t xml:space="preserve"> </w:t>
      </w:r>
      <w:r>
        <w:rPr>
          <w:rStyle w:val="ControlFlowTok"/>
        </w:rPr>
        <w:t>assert</w:t>
      </w:r>
      <w:r>
        <w:rPr>
          <w:rStyle w:val="NormalTok"/>
        </w:rPr>
        <w:t xml:space="preserve"> </w:t>
      </w:r>
      <w:r>
        <w:rPr>
          <w:rStyle w:val="DecValTok"/>
        </w:rPr>
        <w:t>0</w:t>
      </w:r>
      <w:r>
        <w:rPr>
          <w:rStyle w:val="OperatorTok"/>
        </w:rPr>
        <w:t>&lt;</w:t>
      </w:r>
      <w:r>
        <w:rPr>
          <w:rStyle w:val="NormalTok"/>
        </w:rPr>
        <w:t>r</w:t>
      </w:r>
      <w:r>
        <w:rPr>
          <w:rStyle w:val="OperatorTok"/>
        </w:rPr>
        <w:t>&lt;=</w:t>
      </w:r>
      <w:r>
        <w:rPr>
          <w:rStyle w:val="DecValTok"/>
        </w:rPr>
        <w:t>1</w:t>
      </w:r>
      <w:r>
        <w:br/>
      </w:r>
      <w:r>
        <w:rPr>
          <w:rStyle w:val="NormalTok"/>
        </w:rPr>
        <w:t>plt.rcParams.update({</w:t>
      </w:r>
      <w:r>
        <w:rPr>
          <w:rStyle w:val="StringTok"/>
        </w:rPr>
        <w:t>'figure.dpi'</w:t>
      </w:r>
      <w:r>
        <w:rPr>
          <w:rStyle w:val="NormalTok"/>
        </w:rPr>
        <w:t>:</w:t>
      </w:r>
      <w:r>
        <w:rPr>
          <w:rStyle w:val="DecValTok"/>
        </w:rPr>
        <w:t>120</w:t>
      </w:r>
      <w:r>
        <w:rPr>
          <w:rStyle w:val="NormalTok"/>
        </w:rPr>
        <w:t>,</w:t>
      </w:r>
      <w:r>
        <w:rPr>
          <w:rStyle w:val="StringTok"/>
        </w:rPr>
        <w:t>'font.size'</w:t>
      </w:r>
      <w:r>
        <w:rPr>
          <w:rStyle w:val="NormalTok"/>
        </w:rPr>
        <w:t>:</w:t>
      </w:r>
      <w:r>
        <w:rPr>
          <w:rStyle w:val="DecValTok"/>
        </w:rPr>
        <w:t>10</w:t>
      </w:r>
      <w:r>
        <w:rPr>
          <w:rStyle w:val="NormalTok"/>
        </w:rPr>
        <w:t>,</w:t>
      </w:r>
      <w:r>
        <w:rPr>
          <w:rStyle w:val="StringTok"/>
        </w:rPr>
        <w:t>'axes.spines.top'</w:t>
      </w:r>
      <w:r>
        <w:rPr>
          <w:rStyle w:val="NormalTok"/>
        </w:rPr>
        <w:t>:</w:t>
      </w:r>
      <w:r>
        <w:rPr>
          <w:rStyle w:val="VariableTok"/>
        </w:rPr>
        <w:t>False</w:t>
      </w:r>
      <w:r>
        <w:rPr>
          <w:rStyle w:val="NormalTok"/>
        </w:rPr>
        <w:t>,</w:t>
      </w:r>
      <w:r>
        <w:rPr>
          <w:rStyle w:val="StringTok"/>
        </w:rPr>
        <w:t>'axes.spines.right'</w:t>
      </w:r>
      <w:r>
        <w:rPr>
          <w:rStyle w:val="NormalTok"/>
        </w:rPr>
        <w:t>:</w:t>
      </w:r>
      <w:r>
        <w:rPr>
          <w:rStyle w:val="VariableTok"/>
        </w:rPr>
        <w:t>False</w:t>
      </w:r>
      <w:r>
        <w:rPr>
          <w:rStyle w:val="NormalTok"/>
        </w:rPr>
        <w:t>})</w:t>
      </w:r>
      <w:r>
        <w:br/>
      </w:r>
      <w:r>
        <w:rPr>
          <w:rStyle w:val="NormalTok"/>
        </w:rPr>
        <w:t>pd.set_option(</w:t>
      </w:r>
      <w:r>
        <w:rPr>
          <w:rStyle w:val="StringTok"/>
        </w:rPr>
        <w:t>'display.max_columns'</w:t>
      </w:r>
      <w:r>
        <w:rPr>
          <w:rStyle w:val="NormalTok"/>
        </w:rPr>
        <w:t>,</w:t>
      </w:r>
      <w:r>
        <w:rPr>
          <w:rStyle w:val="DecValTok"/>
        </w:rPr>
        <w:t>12</w:t>
      </w:r>
      <w:r>
        <w:rPr>
          <w:rStyle w:val="NormalTok"/>
        </w:rPr>
        <w:t>)</w:t>
      </w:r>
      <w:r>
        <w:br/>
      </w:r>
      <w:r>
        <w:rPr>
          <w:rStyle w:val="NormalTok"/>
        </w:rPr>
        <w:t>provenance</w:t>
      </w:r>
      <w:r>
        <w:rPr>
          <w:rStyle w:val="OperatorTok"/>
        </w:rPr>
        <w:t>=</w:t>
      </w:r>
      <w:r>
        <w:rPr>
          <w:rStyle w:val="NormalTok"/>
        </w:rPr>
        <w:t>{</w:t>
      </w:r>
      <w:r>
        <w:rPr>
          <w:rStyle w:val="StringTok"/>
        </w:rPr>
        <w:t>'source_sha256'</w:t>
      </w:r>
      <w:r>
        <w:rPr>
          <w:rStyle w:val="NormalTok"/>
        </w:rPr>
        <w:t>:sha256(SOURCE),</w:t>
      </w:r>
      <w:r>
        <w:rPr>
          <w:rStyle w:val="StringTok"/>
        </w:rPr>
        <w:t>'input_sha256'</w:t>
      </w:r>
      <w:r>
        <w:rPr>
          <w:rStyle w:val="NormalTok"/>
        </w:rPr>
        <w:t>:sha256(INPUT),</w:t>
      </w:r>
      <w:r>
        <w:br/>
      </w:r>
      <w:r>
        <w:rPr>
          <w:rStyle w:val="NormalTok"/>
        </w:rPr>
        <w:t xml:space="preserve"> </w:t>
      </w:r>
      <w:r>
        <w:rPr>
          <w:rStyle w:val="StringTok"/>
        </w:rPr>
        <w:t>'gfz_sha256'</w:t>
      </w:r>
      <w:r>
        <w:rPr>
          <w:rStyle w:val="NormalTok"/>
        </w:rPr>
        <w:t>:sha256(ROOT</w:t>
      </w:r>
      <w:r>
        <w:rPr>
          <w:rStyle w:val="OperatorTok"/>
        </w:rPr>
        <w:t>/</w:t>
      </w:r>
      <w:r>
        <w:rPr>
          <w:rStyle w:val="StringTok"/>
        </w:rPr>
        <w:t>'Berechnungen/gfz_at/outputs/recalculated/gfz_distribution_by_province_use_storeys.csv'</w:t>
      </w:r>
      <w:r>
        <w:rPr>
          <w:rStyle w:val="NormalTok"/>
        </w:rPr>
        <w:t>)}</w:t>
      </w:r>
      <w:r>
        <w:br/>
      </w:r>
      <w:r>
        <w:rPr>
          <w:rStyle w:val="NormalTok"/>
        </w:rPr>
        <w:t>display(pd.DataFrame(</w:t>
      </w:r>
      <w:r>
        <w:rPr>
          <w:rStyle w:val="BuiltInTok"/>
        </w:rPr>
        <w:t>list</w:t>
      </w:r>
      <w:r>
        <w:rPr>
          <w:rStyle w:val="NormalTok"/>
        </w:rPr>
        <w:t>(provenance.items()),columns</w:t>
      </w:r>
      <w:r>
        <w:rPr>
          <w:rStyle w:val="OperatorTok"/>
        </w:rPr>
        <w:t>=</w:t>
      </w:r>
      <w:r>
        <w:rPr>
          <w:rStyle w:val="NormalTok"/>
        </w:rPr>
        <w:t>[</w:t>
      </w:r>
      <w:r>
        <w:rPr>
          <w:rStyle w:val="StringTok"/>
        </w:rPr>
        <w:t>'Datei'</w:t>
      </w:r>
      <w:r>
        <w:rPr>
          <w:rStyle w:val="NormalTok"/>
        </w:rPr>
        <w:t>,</w:t>
      </w:r>
      <w:r>
        <w:rPr>
          <w:rStyle w:val="StringTok"/>
        </w:rPr>
        <w:t>'SHA256'</w:t>
      </w:r>
      <w:r>
        <w:rPr>
          <w:rStyle w:val="NormalTok"/>
        </w:rPr>
        <w:t>]))</w:t>
      </w:r>
    </w:p>
    <w:tbl>
      <w:tblPr>
        <w:tblStyle w:val="Table"/>
        <w:tblW w:w="0" w:type="auto"/>
        <w:tblLook w:val="0020" w:firstRow="1" w:lastRow="0" w:firstColumn="0" w:lastColumn="0" w:noHBand="0" w:noVBand="0"/>
      </w:tblPr>
      <w:tblGrid>
        <w:gridCol w:w="345"/>
        <w:gridCol w:w="1804"/>
        <w:gridCol w:w="6177"/>
      </w:tblGrid>
      <w:tr w:rsidR="004E4CC2" w14:paraId="3DCE24C9"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39965745" w14:textId="77777777" w:rsidR="004E4CC2" w:rsidRDefault="004E4CC2">
            <w:pPr>
              <w:pStyle w:val="Compact"/>
            </w:pPr>
          </w:p>
        </w:tc>
        <w:tc>
          <w:tcPr>
            <w:tcW w:w="0" w:type="auto"/>
          </w:tcPr>
          <w:p w14:paraId="579EB833" w14:textId="77777777" w:rsidR="004E4CC2" w:rsidRDefault="00000000">
            <w:pPr>
              <w:pStyle w:val="Compact"/>
            </w:pPr>
            <w:r>
              <w:t>Datei</w:t>
            </w:r>
          </w:p>
        </w:tc>
        <w:tc>
          <w:tcPr>
            <w:tcW w:w="0" w:type="auto"/>
          </w:tcPr>
          <w:p w14:paraId="7F0D56F6" w14:textId="77777777" w:rsidR="004E4CC2" w:rsidRDefault="00000000">
            <w:pPr>
              <w:pStyle w:val="Compact"/>
            </w:pPr>
            <w:r>
              <w:t>SHA256</w:t>
            </w:r>
          </w:p>
        </w:tc>
      </w:tr>
      <w:tr w:rsidR="004E4CC2" w14:paraId="23D0A9C3" w14:textId="77777777">
        <w:tc>
          <w:tcPr>
            <w:tcW w:w="0" w:type="auto"/>
          </w:tcPr>
          <w:p w14:paraId="286611F5" w14:textId="77777777" w:rsidR="004E4CC2" w:rsidRDefault="00000000">
            <w:pPr>
              <w:pStyle w:val="Compact"/>
            </w:pPr>
            <w:r>
              <w:t>0</w:t>
            </w:r>
          </w:p>
        </w:tc>
        <w:tc>
          <w:tcPr>
            <w:tcW w:w="0" w:type="auto"/>
          </w:tcPr>
          <w:p w14:paraId="6ECB9CCC" w14:textId="77777777" w:rsidR="004E4CC2" w:rsidRDefault="00000000">
            <w:pPr>
              <w:pStyle w:val="Compact"/>
            </w:pPr>
            <w:r>
              <w:t>source_sha256</w:t>
            </w:r>
          </w:p>
        </w:tc>
        <w:tc>
          <w:tcPr>
            <w:tcW w:w="0" w:type="auto"/>
          </w:tcPr>
          <w:p w14:paraId="144B322D" w14:textId="77777777" w:rsidR="004E4CC2" w:rsidRDefault="00000000">
            <w:pPr>
              <w:pStyle w:val="Compact"/>
            </w:pPr>
            <w:r>
              <w:t>b032c1bd7148b0bdac8541196a1eaa7fc58f538f87912e...</w:t>
            </w:r>
          </w:p>
        </w:tc>
      </w:tr>
      <w:tr w:rsidR="004E4CC2" w14:paraId="4911E5BE" w14:textId="77777777">
        <w:tc>
          <w:tcPr>
            <w:tcW w:w="0" w:type="auto"/>
          </w:tcPr>
          <w:p w14:paraId="170D6746" w14:textId="77777777" w:rsidR="004E4CC2" w:rsidRDefault="00000000">
            <w:pPr>
              <w:pStyle w:val="Compact"/>
            </w:pPr>
            <w:r>
              <w:t>1</w:t>
            </w:r>
          </w:p>
        </w:tc>
        <w:tc>
          <w:tcPr>
            <w:tcW w:w="0" w:type="auto"/>
          </w:tcPr>
          <w:p w14:paraId="783F9C34" w14:textId="77777777" w:rsidR="004E4CC2" w:rsidRDefault="00000000">
            <w:pPr>
              <w:pStyle w:val="Compact"/>
            </w:pPr>
            <w:r>
              <w:t>input_sha256</w:t>
            </w:r>
          </w:p>
        </w:tc>
        <w:tc>
          <w:tcPr>
            <w:tcW w:w="0" w:type="auto"/>
          </w:tcPr>
          <w:p w14:paraId="3B586470" w14:textId="77777777" w:rsidR="004E4CC2" w:rsidRDefault="00000000">
            <w:pPr>
              <w:pStyle w:val="Compact"/>
            </w:pPr>
            <w:r>
              <w:t>cd09efbfbea7bc7e8cfd82b07146f72c6f3712d3a38162...</w:t>
            </w:r>
          </w:p>
        </w:tc>
      </w:tr>
      <w:tr w:rsidR="004E4CC2" w14:paraId="71D27141" w14:textId="77777777">
        <w:tc>
          <w:tcPr>
            <w:tcW w:w="0" w:type="auto"/>
          </w:tcPr>
          <w:p w14:paraId="4EA787AF" w14:textId="77777777" w:rsidR="004E4CC2" w:rsidRDefault="00000000">
            <w:pPr>
              <w:pStyle w:val="Compact"/>
            </w:pPr>
            <w:r>
              <w:t>2</w:t>
            </w:r>
          </w:p>
        </w:tc>
        <w:tc>
          <w:tcPr>
            <w:tcW w:w="0" w:type="auto"/>
          </w:tcPr>
          <w:p w14:paraId="0C0D205D" w14:textId="77777777" w:rsidR="004E4CC2" w:rsidRDefault="00000000">
            <w:pPr>
              <w:pStyle w:val="Compact"/>
            </w:pPr>
            <w:r>
              <w:t>gfz_sha256</w:t>
            </w:r>
          </w:p>
        </w:tc>
        <w:tc>
          <w:tcPr>
            <w:tcW w:w="0" w:type="auto"/>
          </w:tcPr>
          <w:p w14:paraId="6E9F56D1" w14:textId="77777777" w:rsidR="004E4CC2" w:rsidRDefault="00000000">
            <w:pPr>
              <w:pStyle w:val="Compact"/>
            </w:pPr>
            <w:r>
              <w:t>b17c1f98b6104a5b8ed6da4fe436ebff14d2f7708cc204...</w:t>
            </w:r>
          </w:p>
        </w:tc>
      </w:tr>
    </w:tbl>
    <w:p w14:paraId="314FC905" w14:textId="77777777" w:rsidR="004E4CC2" w:rsidRDefault="00000000">
      <w:pPr>
        <w:pStyle w:val="berschrift2"/>
      </w:pPr>
      <w:bookmarkStart w:id="390" w:name="sec-gebaeude-datenpruefung"/>
      <w:bookmarkStart w:id="391" w:name="_Toc243681373"/>
      <w:bookmarkEnd w:id="388"/>
      <w:r>
        <w:t>E.2 2. Datenprüfung, Schlüssel und Typologisierung</w:t>
      </w:r>
      <w:bookmarkEnd w:id="391"/>
    </w:p>
    <w:p w14:paraId="5CDF88C6" w14:textId="77777777" w:rsidR="004E4CC2" w:rsidRDefault="00000000">
      <w:pPr>
        <w:pStyle w:val="FirstParagraph"/>
      </w:pPr>
      <w:r>
        <w:t xml:space="preserve">Der Schlüssel zerfällt in </w:t>
      </w:r>
      <w:r>
        <w:rPr>
          <w:b/>
          <w:bCs/>
        </w:rPr>
        <w:t>Geometrie | Baualter/Hüllstandard | Wärmeversorgung | PV | Flexibilität</w:t>
      </w:r>
      <w:r>
        <w:t xml:space="preserve">. Zehn geometrische Klassen sind nicht zehn energetische Klassen. </w:t>
      </w:r>
      <w:r>
        <w:rPr>
          <w:rStyle w:val="VerbatimChar"/>
        </w:rPr>
        <w:t>Neu_10cm/20cm/30cm</w:t>
      </w:r>
      <w:r>
        <w:t xml:space="preserve"> ist ein Quellcode für den Hüllstandard, kein alleiniger Beleg für Neubau: die separaten Bestand-/Neubau-/Sanierungsanteile sind zu verwenden. </w:t>
      </w:r>
      <w:r>
        <w:rPr>
          <w:rStyle w:val="VerbatimChar"/>
        </w:rPr>
        <w:t>Energetischer Standard</w:t>
      </w:r>
      <w:r>
        <w:t xml:space="preserve"> ist noch leer. Auch die Preset-Bezeichnung „Plus-Energie-Quartier“ ist keine geprüfte PEQ-Einstufung.</w:t>
      </w:r>
    </w:p>
    <w:p w14:paraId="068F0A78" w14:textId="77777777" w:rsidR="004E4CC2" w:rsidRDefault="00000000">
      <w:pPr>
        <w:pStyle w:val="Textkrper"/>
      </w:pPr>
      <w:r>
        <w:lastRenderedPageBreak/>
        <w:t xml:space="preserve">Die gelieferte Auswertung enthält nur </w:t>
      </w:r>
      <w:r>
        <w:rPr>
          <w:rStyle w:val="VerbatimChar"/>
        </w:rPr>
        <w:t>PV30</w:t>
      </w:r>
      <w:r>
        <w:t xml:space="preserve"> und </w:t>
      </w:r>
      <w:r>
        <w:rPr>
          <w:rStyle w:val="VerbatimChar"/>
        </w:rPr>
        <w:t>noFlex</w:t>
      </w:r>
      <w:r>
        <w:t xml:space="preserve">. Weitere Varianten im 7.200-Zeilen-Pool erhalten nicht durch einen unscharfen Join dieselben Kennwerte. Es gilt ein </w:t>
      </w:r>
      <w:r>
        <w:rPr>
          <w:b/>
          <w:bCs/>
        </w:rPr>
        <w:t>1:1-Join über den vollständigen Schlüssel</w:t>
      </w:r>
      <w:r>
        <w:t xml:space="preserve">. </w:t>
      </w:r>
      <w:r>
        <w:rPr>
          <w:rStyle w:val="VerbatimChar"/>
        </w:rPr>
        <w:t>save</w:t>
      </w:r>
      <w:r>
        <w:t xml:space="preserve"> enthält zusätzliche Projekt-/Exportstände und ist keine zweite nationale Flächenquelle.</w:t>
      </w:r>
    </w:p>
    <w:p w14:paraId="38915EB5" w14:textId="77777777" w:rsidR="004E4CC2" w:rsidRDefault="00000000">
      <w:pPr>
        <w:pStyle w:val="SourceCode"/>
      </w:pPr>
      <w:r>
        <w:rPr>
          <w:rStyle w:val="ControlFlowTok"/>
        </w:rPr>
        <w:t>assert</w:t>
      </w:r>
      <w:r>
        <w:rPr>
          <w:rStyle w:val="NormalTok"/>
        </w:rPr>
        <w:t xml:space="preserve"> types.Archetype.notna().</w:t>
      </w:r>
      <w:r>
        <w:rPr>
          <w:rStyle w:val="BuiltInTok"/>
        </w:rPr>
        <w:t>all</w:t>
      </w:r>
      <w:r>
        <w:rPr>
          <w:rStyle w:val="NormalTok"/>
        </w:rPr>
        <w:t xml:space="preserve">() </w:t>
      </w:r>
      <w:r>
        <w:rPr>
          <w:rStyle w:val="KeywordTok"/>
        </w:rPr>
        <w:t>and</w:t>
      </w:r>
      <w:r>
        <w:rPr>
          <w:rStyle w:val="NormalTok"/>
        </w:rPr>
        <w:t xml:space="preserve"> types.Archetype.is_unique</w:t>
      </w:r>
      <w:r>
        <w:br/>
      </w:r>
      <w:r>
        <w:rPr>
          <w:rStyle w:val="ControlFlowTok"/>
        </w:rPr>
        <w:t>assert</w:t>
      </w:r>
      <w:r>
        <w:rPr>
          <w:rStyle w:val="NormalTok"/>
        </w:rPr>
        <w:t xml:space="preserve"> applications.Archetype.is_unique</w:t>
      </w:r>
      <w:r>
        <w:br/>
      </w:r>
      <w:r>
        <w:rPr>
          <w:rStyle w:val="NormalTok"/>
        </w:rPr>
        <w:t>parts</w:t>
      </w:r>
      <w:r>
        <w:rPr>
          <w:rStyle w:val="OperatorTok"/>
        </w:rPr>
        <w:t>=</w:t>
      </w:r>
      <w:r>
        <w:rPr>
          <w:rStyle w:val="NormalTok"/>
        </w:rPr>
        <w:t>types.Archetype.</w:t>
      </w:r>
      <w:r>
        <w:rPr>
          <w:rStyle w:val="BuiltInTok"/>
        </w:rPr>
        <w:t>str</w:t>
      </w:r>
      <w:r>
        <w:rPr>
          <w:rStyle w:val="NormalTok"/>
        </w:rPr>
        <w:t>.split(</w:t>
      </w:r>
      <w:r>
        <w:rPr>
          <w:rStyle w:val="StringTok"/>
        </w:rPr>
        <w:t>'|'</w:t>
      </w:r>
      <w:r>
        <w:rPr>
          <w:rStyle w:val="NormalTok"/>
        </w:rPr>
        <w:t>,expand</w:t>
      </w:r>
      <w:r>
        <w:rPr>
          <w:rStyle w:val="OperatorTok"/>
        </w:rPr>
        <w:t>=</w:t>
      </w:r>
      <w:r>
        <w:rPr>
          <w:rStyle w:val="VariableTok"/>
        </w:rPr>
        <w:t>True</w:t>
      </w:r>
      <w:r>
        <w:rPr>
          <w:rStyle w:val="NormalTok"/>
        </w:rPr>
        <w:t>)</w:t>
      </w:r>
      <w:r>
        <w:br/>
      </w:r>
      <w:r>
        <w:rPr>
          <w:rStyle w:val="ControlFlowTok"/>
        </w:rPr>
        <w:t>assert</w:t>
      </w:r>
      <w:r>
        <w:rPr>
          <w:rStyle w:val="NormalTok"/>
        </w:rPr>
        <w:t xml:space="preserve"> parts.shape[</w:t>
      </w:r>
      <w:r>
        <w:rPr>
          <w:rStyle w:val="DecValTok"/>
        </w:rPr>
        <w:t>1</w:t>
      </w:r>
      <w:r>
        <w:rPr>
          <w:rStyle w:val="NormalTok"/>
        </w:rPr>
        <w:t>]</w:t>
      </w:r>
      <w:r>
        <w:rPr>
          <w:rStyle w:val="OperatorTok"/>
        </w:rPr>
        <w:t>==</w:t>
      </w:r>
      <w:r>
        <w:rPr>
          <w:rStyle w:val="DecValTok"/>
        </w:rPr>
        <w:t>5</w:t>
      </w:r>
      <w:r>
        <w:br/>
      </w:r>
      <w:r>
        <w:rPr>
          <w:rStyle w:val="NormalTok"/>
        </w:rPr>
        <w:t>parts.columns</w:t>
      </w:r>
      <w:r>
        <w:rPr>
          <w:rStyle w:val="OperatorTok"/>
        </w:rPr>
        <w:t>=</w:t>
      </w:r>
      <w:r>
        <w:rPr>
          <w:rStyle w:val="NormalTok"/>
        </w:rPr>
        <w:t>[</w:t>
      </w:r>
      <w:r>
        <w:rPr>
          <w:rStyle w:val="StringTok"/>
        </w:rPr>
        <w:t>'Geometrie'</w:t>
      </w:r>
      <w:r>
        <w:rPr>
          <w:rStyle w:val="NormalTok"/>
        </w:rPr>
        <w:t>,</w:t>
      </w:r>
      <w:r>
        <w:rPr>
          <w:rStyle w:val="StringTok"/>
        </w:rPr>
        <w:t>'Huelle'</w:t>
      </w:r>
      <w:r>
        <w:rPr>
          <w:rStyle w:val="NormalTok"/>
        </w:rPr>
        <w:t>,</w:t>
      </w:r>
      <w:r>
        <w:rPr>
          <w:rStyle w:val="StringTok"/>
        </w:rPr>
        <w:t>'Heizung'</w:t>
      </w:r>
      <w:r>
        <w:rPr>
          <w:rStyle w:val="NormalTok"/>
        </w:rPr>
        <w:t>,</w:t>
      </w:r>
      <w:r>
        <w:rPr>
          <w:rStyle w:val="StringTok"/>
        </w:rPr>
        <w:t>'PV_Klasse'</w:t>
      </w:r>
      <w:r>
        <w:rPr>
          <w:rStyle w:val="NormalTok"/>
        </w:rPr>
        <w:t>,</w:t>
      </w:r>
      <w:r>
        <w:rPr>
          <w:rStyle w:val="StringTok"/>
        </w:rPr>
        <w:t>'Flexibilitaet'</w:t>
      </w:r>
      <w:r>
        <w:rPr>
          <w:rStyle w:val="NormalTok"/>
        </w:rPr>
        <w:t>]</w:t>
      </w:r>
      <w:r>
        <w:br/>
      </w:r>
      <w:r>
        <w:rPr>
          <w:rStyle w:val="NormalTok"/>
        </w:rPr>
        <w:t>types</w:t>
      </w:r>
      <w:r>
        <w:rPr>
          <w:rStyle w:val="OperatorTok"/>
        </w:rPr>
        <w:t>=</w:t>
      </w:r>
      <w:r>
        <w:rPr>
          <w:rStyle w:val="NormalTok"/>
        </w:rPr>
        <w:t>pd.concat([types,parts],axis</w:t>
      </w:r>
      <w:r>
        <w:rPr>
          <w:rStyle w:val="OperatorTok"/>
        </w:rPr>
        <w:t>=</w:t>
      </w:r>
      <w:r>
        <w:rPr>
          <w:rStyle w:val="DecValTok"/>
        </w:rPr>
        <w:t>1</w:t>
      </w:r>
      <w:r>
        <w:rPr>
          <w:rStyle w:val="NormalTok"/>
        </w:rPr>
        <w:t>)</w:t>
      </w:r>
      <w:r>
        <w:br/>
      </w:r>
      <w:r>
        <w:rPr>
          <w:rStyle w:val="ControlFlowTok"/>
        </w:rPr>
        <w:t>assert</w:t>
      </w:r>
      <w:r>
        <w:rPr>
          <w:rStyle w:val="NormalTok"/>
        </w:rPr>
        <w:t xml:space="preserve"> </w:t>
      </w:r>
      <w:r>
        <w:rPr>
          <w:rStyle w:val="BuiltInTok"/>
        </w:rPr>
        <w:t>set</w:t>
      </w:r>
      <w:r>
        <w:rPr>
          <w:rStyle w:val="NormalTok"/>
        </w:rPr>
        <w:t>(types.Archetype)</w:t>
      </w:r>
      <w:r>
        <w:rPr>
          <w:rStyle w:val="OperatorTok"/>
        </w:rPr>
        <w:t>==</w:t>
      </w:r>
      <w:r>
        <w:rPr>
          <w:rStyle w:val="BuiltInTok"/>
        </w:rPr>
        <w:t>set</w:t>
      </w:r>
      <w:r>
        <w:rPr>
          <w:rStyle w:val="NormalTok"/>
        </w:rPr>
        <w:t>(source[</w:t>
      </w:r>
      <w:r>
        <w:rPr>
          <w:rStyle w:val="StringTok"/>
        </w:rPr>
        <w:t>'simulation'</w:t>
      </w:r>
      <w:r>
        <w:rPr>
          <w:rStyle w:val="NormalTok"/>
        </w:rPr>
        <w:t>].var_name)</w:t>
      </w:r>
      <w:r>
        <w:br/>
      </w:r>
      <w:r>
        <w:rPr>
          <w:rStyle w:val="ControlFlowTok"/>
        </w:rPr>
        <w:t>assert</w:t>
      </w:r>
      <w:r>
        <w:rPr>
          <w:rStyle w:val="NormalTok"/>
        </w:rPr>
        <w:t xml:space="preserve"> </w:t>
      </w:r>
      <w:r>
        <w:rPr>
          <w:rStyle w:val="BuiltInTok"/>
        </w:rPr>
        <w:t>set</w:t>
      </w:r>
      <w:r>
        <w:rPr>
          <w:rStyle w:val="NormalTok"/>
        </w:rPr>
        <w:t>(types.Archetype)</w:t>
      </w:r>
      <w:r>
        <w:rPr>
          <w:rStyle w:val="OperatorTok"/>
        </w:rPr>
        <w:t>&lt;=</w:t>
      </w:r>
      <w:r>
        <w:rPr>
          <w:rStyle w:val="BuiltInTok"/>
        </w:rPr>
        <w:t>set</w:t>
      </w:r>
      <w:r>
        <w:rPr>
          <w:rStyle w:val="NormalTok"/>
        </w:rPr>
        <w:t>(source[</w:t>
      </w:r>
      <w:r>
        <w:rPr>
          <w:rStyle w:val="StringTok"/>
        </w:rPr>
        <w:t>'reduced'</w:t>
      </w:r>
      <w:r>
        <w:rPr>
          <w:rStyle w:val="NormalTok"/>
        </w:rPr>
        <w:t>][</w:t>
      </w:r>
      <w:r>
        <w:rPr>
          <w:rStyle w:val="StringTok"/>
        </w:rPr>
        <w:t>'Scenario Name'</w:t>
      </w:r>
      <w:r>
        <w:rPr>
          <w:rStyle w:val="NormalTok"/>
        </w:rPr>
        <w:t>])</w:t>
      </w:r>
      <w:r>
        <w:br/>
      </w:r>
      <w:r>
        <w:rPr>
          <w:rStyle w:val="NormalTok"/>
        </w:rPr>
        <w:t>data</w:t>
      </w:r>
      <w:r>
        <w:rPr>
          <w:rStyle w:val="OperatorTok"/>
        </w:rPr>
        <w:t>=</w:t>
      </w:r>
      <w:r>
        <w:rPr>
          <w:rStyle w:val="NormalTok"/>
        </w:rPr>
        <w:t>types.merge(applications,on</w:t>
      </w:r>
      <w:r>
        <w:rPr>
          <w:rStyle w:val="OperatorTok"/>
        </w:rPr>
        <w:t>=</w:t>
      </w:r>
      <w:r>
        <w:rPr>
          <w:rStyle w:val="StringTok"/>
        </w:rPr>
        <w:t>'Archetype'</w:t>
      </w:r>
      <w:r>
        <w:rPr>
          <w:rStyle w:val="NormalTok"/>
        </w:rPr>
        <w:t>,validate</w:t>
      </w:r>
      <w:r>
        <w:rPr>
          <w:rStyle w:val="OperatorTok"/>
        </w:rPr>
        <w:t>=</w:t>
      </w:r>
      <w:r>
        <w:rPr>
          <w:rStyle w:val="StringTok"/>
        </w:rPr>
        <w:t>'one_to_one'</w:t>
      </w:r>
      <w:r>
        <w:rPr>
          <w:rStyle w:val="NormalTok"/>
        </w:rPr>
        <w:t>,indicator</w:t>
      </w:r>
      <w:r>
        <w:rPr>
          <w:rStyle w:val="OperatorTok"/>
        </w:rPr>
        <w:t>=</w:t>
      </w:r>
      <w:r>
        <w:rPr>
          <w:rStyle w:val="VariableTok"/>
        </w:rPr>
        <w:t>True</w:t>
      </w:r>
      <w:r>
        <w:rPr>
          <w:rStyle w:val="NormalTok"/>
        </w:rPr>
        <w:t>)</w:t>
      </w:r>
      <w:r>
        <w:br/>
      </w:r>
      <w:r>
        <w:rPr>
          <w:rStyle w:val="ControlFlowTok"/>
        </w:rPr>
        <w:t>assert</w:t>
      </w:r>
      <w:r>
        <w:rPr>
          <w:rStyle w:val="NormalTok"/>
        </w:rPr>
        <w:t xml:space="preserve"> data[</w:t>
      </w:r>
      <w:r>
        <w:rPr>
          <w:rStyle w:val="StringTok"/>
        </w:rPr>
        <w:t>'_merge'</w:t>
      </w:r>
      <w:r>
        <w:rPr>
          <w:rStyle w:val="NormalTok"/>
        </w:rPr>
        <w:t>].eq(</w:t>
      </w:r>
      <w:r>
        <w:rPr>
          <w:rStyle w:val="StringTok"/>
        </w:rPr>
        <w:t>'both'</w:t>
      </w:r>
      <w:r>
        <w:rPr>
          <w:rStyle w:val="NormalTok"/>
        </w:rPr>
        <w:t>).</w:t>
      </w:r>
      <w:r>
        <w:rPr>
          <w:rStyle w:val="BuiltInTok"/>
        </w:rPr>
        <w:t>all</w:t>
      </w:r>
      <w:r>
        <w:rPr>
          <w:rStyle w:val="NormalTok"/>
        </w:rPr>
        <w:t>()</w:t>
      </w:r>
      <w:r>
        <w:rPr>
          <w:rStyle w:val="OperatorTok"/>
        </w:rPr>
        <w:t>;</w:t>
      </w:r>
      <w:r>
        <w:rPr>
          <w:rStyle w:val="NormalTok"/>
        </w:rPr>
        <w:t xml:space="preserve"> data</w:t>
      </w:r>
      <w:r>
        <w:rPr>
          <w:rStyle w:val="OperatorTok"/>
        </w:rPr>
        <w:t>=</w:t>
      </w:r>
      <w:r>
        <w:rPr>
          <w:rStyle w:val="NormalTok"/>
        </w:rPr>
        <w:t>data.drop(columns</w:t>
      </w:r>
      <w:r>
        <w:rPr>
          <w:rStyle w:val="OperatorTok"/>
        </w:rPr>
        <w:t>=</w:t>
      </w:r>
      <w:r>
        <w:rPr>
          <w:rStyle w:val="StringTok"/>
        </w:rPr>
        <w:t>'_merge'</w:t>
      </w:r>
      <w:r>
        <w:rPr>
          <w:rStyle w:val="NormalTok"/>
        </w:rPr>
        <w:t>)</w:t>
      </w:r>
      <w:r>
        <w:br/>
      </w:r>
      <w:r>
        <w:rPr>
          <w:rStyle w:val="NormalTok"/>
        </w:rPr>
        <w:t>numeric</w:t>
      </w:r>
      <w:r>
        <w:rPr>
          <w:rStyle w:val="OperatorTok"/>
        </w:rPr>
        <w:t>=</w:t>
      </w:r>
      <w:r>
        <w:rPr>
          <w:rStyle w:val="BuiltInTok"/>
        </w:rPr>
        <w:t>list</w:t>
      </w:r>
      <w:r>
        <w:rPr>
          <w:rStyle w:val="NormalTok"/>
        </w:rPr>
        <w:t>(source[</w:t>
      </w:r>
      <w:r>
        <w:rPr>
          <w:rStyle w:val="StringTok"/>
        </w:rPr>
        <w:t>'Strombed_estim'</w:t>
      </w:r>
      <w:r>
        <w:rPr>
          <w:rStyle w:val="NormalTok"/>
        </w:rPr>
        <w:t>].columns[</w:t>
      </w:r>
      <w:r>
        <w:rPr>
          <w:rStyle w:val="DecValTok"/>
        </w:rPr>
        <w:t>1</w:t>
      </w:r>
      <w:r>
        <w:rPr>
          <w:rStyle w:val="NormalTok"/>
        </w:rPr>
        <w:t>:</w:t>
      </w:r>
      <w:r>
        <w:rPr>
          <w:rStyle w:val="DecValTok"/>
        </w:rPr>
        <w:t>9</w:t>
      </w:r>
      <w:r>
        <w:rPr>
          <w:rStyle w:val="NormalTok"/>
        </w:rPr>
        <w:t>])</w:t>
      </w:r>
      <w:r>
        <w:rPr>
          <w:rStyle w:val="OperatorTok"/>
        </w:rPr>
        <w:t>+</w:t>
      </w:r>
      <w:r>
        <w:rPr>
          <w:rStyle w:val="BuiltInTok"/>
        </w:rPr>
        <w:t>list</w:t>
      </w:r>
      <w:r>
        <w:rPr>
          <w:rStyle w:val="NormalTok"/>
        </w:rPr>
        <w:t>(source[</w:t>
      </w:r>
      <w:r>
        <w:rPr>
          <w:rStyle w:val="StringTok"/>
        </w:rPr>
        <w:t>'Strombed_estim'</w:t>
      </w:r>
      <w:r>
        <w:rPr>
          <w:rStyle w:val="NormalTok"/>
        </w:rPr>
        <w:t>].columns[</w:t>
      </w:r>
      <w:r>
        <w:rPr>
          <w:rStyle w:val="DecValTok"/>
        </w:rPr>
        <w:t>9</w:t>
      </w:r>
      <w:r>
        <w:rPr>
          <w:rStyle w:val="NormalTok"/>
        </w:rPr>
        <w:t>:])</w:t>
      </w:r>
      <w:r>
        <w:rPr>
          <w:rStyle w:val="OperatorTok"/>
        </w:rPr>
        <w:t>+</w:t>
      </w:r>
      <w:r>
        <w:rPr>
          <w:rStyle w:val="BuiltInTok"/>
        </w:rPr>
        <w:t>list</w:t>
      </w:r>
      <w:r>
        <w:rPr>
          <w:rStyle w:val="NormalTok"/>
        </w:rPr>
        <w:t>(applications.columns[</w:t>
      </w:r>
      <w:r>
        <w:rPr>
          <w:rStyle w:val="DecValTok"/>
        </w:rPr>
        <w:t>1</w:t>
      </w:r>
      <w:r>
        <w:rPr>
          <w:rStyle w:val="NormalTok"/>
        </w:rPr>
        <w:t>:])</w:t>
      </w:r>
      <w:r>
        <w:br/>
      </w:r>
      <w:r>
        <w:rPr>
          <w:rStyle w:val="ControlFlowTok"/>
        </w:rPr>
        <w:t>for</w:t>
      </w:r>
      <w:r>
        <w:rPr>
          <w:rStyle w:val="NormalTok"/>
        </w:rPr>
        <w:t xml:space="preserve"> c </w:t>
      </w:r>
      <w:r>
        <w:rPr>
          <w:rStyle w:val="KeywordTok"/>
        </w:rPr>
        <w:t>in</w:t>
      </w:r>
      <w:r>
        <w:rPr>
          <w:rStyle w:val="NormalTok"/>
        </w:rPr>
        <w:t xml:space="preserve"> numeric:</w:t>
      </w:r>
      <w:r>
        <w:br/>
      </w:r>
      <w:r>
        <w:rPr>
          <w:rStyle w:val="NormalTok"/>
        </w:rPr>
        <w:t xml:space="preserve">    original</w:t>
      </w:r>
      <w:r>
        <w:rPr>
          <w:rStyle w:val="OperatorTok"/>
        </w:rPr>
        <w:t>=</w:t>
      </w:r>
      <w:r>
        <w:rPr>
          <w:rStyle w:val="NormalTok"/>
        </w:rPr>
        <w:t>data[c]</w:t>
      </w:r>
      <w:r>
        <w:rPr>
          <w:rStyle w:val="OperatorTok"/>
        </w:rPr>
        <w:t>;</w:t>
      </w:r>
      <w:r>
        <w:rPr>
          <w:rStyle w:val="NormalTok"/>
        </w:rPr>
        <w:t xml:space="preserve"> data[c]</w:t>
      </w:r>
      <w:r>
        <w:rPr>
          <w:rStyle w:val="OperatorTok"/>
        </w:rPr>
        <w:t>=</w:t>
      </w:r>
      <w:r>
        <w:rPr>
          <w:rStyle w:val="NormalTok"/>
        </w:rPr>
        <w:t>pd.to_numeric(original,errors</w:t>
      </w:r>
      <w:r>
        <w:rPr>
          <w:rStyle w:val="OperatorTok"/>
        </w:rPr>
        <w:t>=</w:t>
      </w:r>
      <w:r>
        <w:rPr>
          <w:rStyle w:val="StringTok"/>
        </w:rPr>
        <w:t>'coerce'</w:t>
      </w:r>
      <w:r>
        <w:rPr>
          <w:rStyle w:val="NormalTok"/>
        </w:rPr>
        <w:t>)</w:t>
      </w:r>
      <w:r>
        <w:br/>
      </w:r>
      <w:r>
        <w:rPr>
          <w:rStyle w:val="NormalTok"/>
        </w:rPr>
        <w:t xml:space="preserve">    </w:t>
      </w:r>
      <w:r>
        <w:rPr>
          <w:rStyle w:val="ControlFlowTok"/>
        </w:rPr>
        <w:t>assert</w:t>
      </w:r>
      <w:r>
        <w:rPr>
          <w:rStyle w:val="NormalTok"/>
        </w:rPr>
        <w:t xml:space="preserve"> (original.isna() </w:t>
      </w:r>
      <w:r>
        <w:rPr>
          <w:rStyle w:val="OperatorTok"/>
        </w:rPr>
        <w:t>|</w:t>
      </w:r>
      <w:r>
        <w:rPr>
          <w:rStyle w:val="NormalTok"/>
        </w:rPr>
        <w:t xml:space="preserve"> data[c].notna()).</w:t>
      </w:r>
      <w:r>
        <w:rPr>
          <w:rStyle w:val="BuiltInTok"/>
        </w:rPr>
        <w:t>all</w:t>
      </w:r>
      <w:r>
        <w:rPr>
          <w:rStyle w:val="NormalTok"/>
        </w:rPr>
        <w:t xml:space="preserve">(), </w:t>
      </w:r>
      <w:r>
        <w:rPr>
          <w:rStyle w:val="SpecialStringTok"/>
        </w:rPr>
        <w:t xml:space="preserve">f'Nichtnumerischer Wert: </w:t>
      </w:r>
      <w:r>
        <w:rPr>
          <w:rStyle w:val="SpecialCharTok"/>
        </w:rPr>
        <w:t>{</w:t>
      </w:r>
      <w:r>
        <w:rPr>
          <w:rStyle w:val="NormalTok"/>
        </w:rPr>
        <w:t>c</w:t>
      </w:r>
      <w:r>
        <w:rPr>
          <w:rStyle w:val="SpecialCharTok"/>
        </w:rPr>
        <w:t>}</w:t>
      </w:r>
      <w:r>
        <w:rPr>
          <w:rStyle w:val="SpecialStringTok"/>
        </w:rPr>
        <w:t>'</w:t>
      </w:r>
      <w:r>
        <w:br/>
      </w:r>
      <w:r>
        <w:rPr>
          <w:rStyle w:val="NormalTok"/>
        </w:rPr>
        <w:t>baseline</w:t>
      </w:r>
      <w:r>
        <w:rPr>
          <w:rStyle w:val="OperatorTok"/>
        </w:rPr>
        <w:t>=</w:t>
      </w:r>
      <w:r>
        <w:rPr>
          <w:rStyle w:val="NormalTok"/>
        </w:rPr>
        <w:t>source[</w:t>
      </w:r>
      <w:r>
        <w:rPr>
          <w:rStyle w:val="StringTok"/>
        </w:rPr>
        <w:t>'Strombed_estim'</w:t>
      </w:r>
      <w:r>
        <w:rPr>
          <w:rStyle w:val="NormalTok"/>
        </w:rPr>
        <w:t>].set_index(</w:t>
      </w:r>
      <w:r>
        <w:rPr>
          <w:rStyle w:val="StringTok"/>
        </w:rPr>
        <w:t>'Archetype'</w:t>
      </w:r>
      <w:r>
        <w:rPr>
          <w:rStyle w:val="NormalTok"/>
        </w:rPr>
        <w:t>)</w:t>
      </w:r>
      <w:r>
        <w:br/>
      </w:r>
      <w:r>
        <w:rPr>
          <w:rStyle w:val="NormalTok"/>
        </w:rPr>
        <w:t>cache</w:t>
      </w:r>
      <w:r>
        <w:rPr>
          <w:rStyle w:val="OperatorTok"/>
        </w:rPr>
        <w:t>=</w:t>
      </w:r>
      <w:r>
        <w:rPr>
          <w:rStyle w:val="NormalTok"/>
        </w:rPr>
        <w:t>source[</w:t>
      </w:r>
      <w:r>
        <w:rPr>
          <w:rStyle w:val="StringTok"/>
        </w:rPr>
        <w:t>'simulation'</w:t>
      </w:r>
      <w:r>
        <w:rPr>
          <w:rStyle w:val="NormalTok"/>
        </w:rPr>
        <w:t>].set_index(</w:t>
      </w:r>
      <w:r>
        <w:rPr>
          <w:rStyle w:val="StringTok"/>
        </w:rPr>
        <w:t>'var_name'</w:t>
      </w:r>
      <w:r>
        <w:rPr>
          <w:rStyle w:val="NormalTok"/>
        </w:rPr>
        <w:t>)</w:t>
      </w:r>
      <w:r>
        <w:br/>
      </w:r>
      <w:r>
        <w:rPr>
          <w:rStyle w:val="NormalTok"/>
        </w:rPr>
        <w:t>cache_checks</w:t>
      </w:r>
      <w:r>
        <w:rPr>
          <w:rStyle w:val="OperatorTok"/>
        </w:rPr>
        <w:t>=</w:t>
      </w:r>
      <w:r>
        <w:rPr>
          <w:rStyle w:val="NormalTok"/>
        </w:rPr>
        <w:t>[]</w:t>
      </w:r>
      <w:r>
        <w:br/>
      </w:r>
      <w:r>
        <w:rPr>
          <w:rStyle w:val="ControlFlowTok"/>
        </w:rPr>
        <w:t>for</w:t>
      </w:r>
      <w:r>
        <w:rPr>
          <w:rStyle w:val="NormalTok"/>
        </w:rPr>
        <w:t xml:space="preserve"> c </w:t>
      </w:r>
      <w:r>
        <w:rPr>
          <w:rStyle w:val="KeywordTok"/>
        </w:rPr>
        <w:t>in</w:t>
      </w:r>
      <w:r>
        <w:rPr>
          <w:rStyle w:val="NormalTok"/>
        </w:rPr>
        <w:t xml:space="preserve"> baseline.columns[</w:t>
      </w:r>
      <w:r>
        <w:rPr>
          <w:rStyle w:val="DecValTok"/>
        </w:rPr>
        <w:t>8</w:t>
      </w:r>
      <w:r>
        <w:rPr>
          <w:rStyle w:val="NormalTok"/>
        </w:rPr>
        <w:t>:]:</w:t>
      </w:r>
      <w:r>
        <w:br/>
      </w:r>
      <w:r>
        <w:rPr>
          <w:rStyle w:val="NormalTok"/>
        </w:rPr>
        <w:t xml:space="preserve">    </w:t>
      </w:r>
      <w:r>
        <w:rPr>
          <w:rStyle w:val="ControlFlowTok"/>
        </w:rPr>
        <w:t>if</w:t>
      </w:r>
      <w:r>
        <w:rPr>
          <w:rStyle w:val="NormalTok"/>
        </w:rPr>
        <w:t xml:space="preserve"> c</w:t>
      </w:r>
      <w:r>
        <w:rPr>
          <w:rStyle w:val="OperatorTok"/>
        </w:rPr>
        <w:t>==</w:t>
      </w:r>
      <w:r>
        <w:rPr>
          <w:rStyle w:val="StringTok"/>
        </w:rPr>
        <w:t>'Energetischer Standard'</w:t>
      </w:r>
      <w:r>
        <w:rPr>
          <w:rStyle w:val="NormalTok"/>
        </w:rPr>
        <w:t xml:space="preserve">: </w:t>
      </w:r>
      <w:r>
        <w:rPr>
          <w:rStyle w:val="ControlFlowTok"/>
        </w:rPr>
        <w:t>continue</w:t>
      </w:r>
      <w:r>
        <w:br/>
      </w:r>
      <w:r>
        <w:rPr>
          <w:rStyle w:val="NormalTok"/>
        </w:rPr>
        <w:t xml:space="preserve">    diff</w:t>
      </w:r>
      <w:r>
        <w:rPr>
          <w:rStyle w:val="OperatorTok"/>
        </w:rPr>
        <w:t>=</w:t>
      </w:r>
      <w:r>
        <w:rPr>
          <w:rStyle w:val="NormalTok"/>
        </w:rPr>
        <w:t>(baseline[c]</w:t>
      </w:r>
      <w:r>
        <w:rPr>
          <w:rStyle w:val="OperatorTok"/>
        </w:rPr>
        <w:t>-</w:t>
      </w:r>
      <w:r>
        <w:rPr>
          <w:rStyle w:val="NormalTok"/>
        </w:rPr>
        <w:t>cache.loc[baseline.index,c]).</w:t>
      </w:r>
      <w:r>
        <w:rPr>
          <w:rStyle w:val="BuiltInTok"/>
        </w:rPr>
        <w:t>abs</w:t>
      </w:r>
      <w:r>
        <w:rPr>
          <w:rStyle w:val="NormalTok"/>
        </w:rPr>
        <w:t>().</w:t>
      </w:r>
      <w:r>
        <w:rPr>
          <w:rStyle w:val="BuiltInTok"/>
        </w:rPr>
        <w:t>max</w:t>
      </w:r>
      <w:r>
        <w:rPr>
          <w:rStyle w:val="NormalTok"/>
        </w:rPr>
        <w:t>()</w:t>
      </w:r>
      <w:r>
        <w:br/>
      </w:r>
      <w:r>
        <w:rPr>
          <w:rStyle w:val="NormalTok"/>
        </w:rPr>
        <w:t xml:space="preserve">    cache_checks.append({</w:t>
      </w:r>
      <w:r>
        <w:rPr>
          <w:rStyle w:val="StringTok"/>
        </w:rPr>
        <w:t>'Kennwert'</w:t>
      </w:r>
      <w:r>
        <w:rPr>
          <w:rStyle w:val="NormalTok"/>
        </w:rPr>
        <w:t>:c,</w:t>
      </w:r>
      <w:r>
        <w:rPr>
          <w:rStyle w:val="StringTok"/>
        </w:rPr>
        <w:t>'Max. Cache-Abweichung'</w:t>
      </w:r>
      <w:r>
        <w:rPr>
          <w:rStyle w:val="NormalTok"/>
        </w:rPr>
        <w:t>:diff})</w:t>
      </w:r>
      <w:r>
        <w:br/>
      </w:r>
      <w:r>
        <w:rPr>
          <w:rStyle w:val="NormalTok"/>
        </w:rPr>
        <w:t xml:space="preserve">    </w:t>
      </w:r>
      <w:r>
        <w:rPr>
          <w:rStyle w:val="ControlFlowTok"/>
        </w:rPr>
        <w:t>assert</w:t>
      </w:r>
      <w:r>
        <w:rPr>
          <w:rStyle w:val="NormalTok"/>
        </w:rPr>
        <w:t xml:space="preserve"> diff</w:t>
      </w:r>
      <w:r>
        <w:rPr>
          <w:rStyle w:val="OperatorTok"/>
        </w:rPr>
        <w:t>&lt;</w:t>
      </w:r>
      <w:r>
        <w:rPr>
          <w:rStyle w:val="FloatTok"/>
        </w:rPr>
        <w:t>1e-8</w:t>
      </w:r>
      <w:r>
        <w:br/>
      </w:r>
      <w:r>
        <w:rPr>
          <w:rStyle w:val="NormalTok"/>
        </w:rPr>
        <w:t>display(pd.DataFrame(cache_checks))</w:t>
      </w:r>
      <w:r>
        <w:br/>
      </w:r>
      <w:r>
        <w:rPr>
          <w:rStyle w:val="NormalTok"/>
        </w:rPr>
        <w:t>coverage</w:t>
      </w:r>
      <w:r>
        <w:rPr>
          <w:rStyle w:val="OperatorTok"/>
        </w:rPr>
        <w:t>=</w:t>
      </w:r>
      <w:r>
        <w:rPr>
          <w:rStyle w:val="NormalTok"/>
        </w:rPr>
        <w:t>pd.DataFrame([{</w:t>
      </w:r>
      <w:r>
        <w:rPr>
          <w:rStyle w:val="StringTok"/>
        </w:rPr>
        <w:t>'Blatt'</w:t>
      </w:r>
      <w:r>
        <w:rPr>
          <w:rStyle w:val="NormalTok"/>
        </w:rPr>
        <w:t>:k,</w:t>
      </w:r>
      <w:r>
        <w:rPr>
          <w:rStyle w:val="StringTok"/>
        </w:rPr>
        <w:t>'Zeilen'</w:t>
      </w:r>
      <w:r>
        <w:rPr>
          <w:rStyle w:val="NormalTok"/>
        </w:rPr>
        <w:t>:</w:t>
      </w:r>
      <w:r>
        <w:rPr>
          <w:rStyle w:val="BuiltInTok"/>
        </w:rPr>
        <w:t>len</w:t>
      </w:r>
      <w:r>
        <w:rPr>
          <w:rStyle w:val="NormalTok"/>
        </w:rPr>
        <w:t>(v),</w:t>
      </w:r>
      <w:r>
        <w:rPr>
          <w:rStyle w:val="StringTok"/>
        </w:rPr>
        <w:t>'Eindeutige Schlüssel'</w:t>
      </w:r>
      <w:r>
        <w:rPr>
          <w:rStyle w:val="NormalTok"/>
        </w:rPr>
        <w:t>:v.iloc[:,</w:t>
      </w:r>
      <w:r>
        <w:rPr>
          <w:rStyle w:val="DecValTok"/>
        </w:rPr>
        <w:t>0</w:t>
      </w:r>
      <w:r>
        <w:rPr>
          <w:rStyle w:val="NormalTok"/>
        </w:rPr>
        <w:t xml:space="preserve">].nunique()} </w:t>
      </w:r>
      <w:r>
        <w:rPr>
          <w:rStyle w:val="ControlFlowTok"/>
        </w:rPr>
        <w:t>for</w:t>
      </w:r>
      <w:r>
        <w:rPr>
          <w:rStyle w:val="NormalTok"/>
        </w:rPr>
        <w:t xml:space="preserve"> k,v </w:t>
      </w:r>
      <w:r>
        <w:rPr>
          <w:rStyle w:val="KeywordTok"/>
        </w:rPr>
        <w:t>in</w:t>
      </w:r>
      <w:r>
        <w:rPr>
          <w:rStyle w:val="NormalTok"/>
        </w:rPr>
        <w:t xml:space="preserve"> source.items() </w:t>
      </w:r>
      <w:r>
        <w:rPr>
          <w:rStyle w:val="ControlFlowTok"/>
        </w:rPr>
        <w:t>if</w:t>
      </w:r>
      <w:r>
        <w:rPr>
          <w:rStyle w:val="NormalTok"/>
        </w:rPr>
        <w:t xml:space="preserve"> k </w:t>
      </w:r>
      <w:r>
        <w:rPr>
          <w:rStyle w:val="KeywordTok"/>
        </w:rPr>
        <w:t>not</w:t>
      </w:r>
      <w:r>
        <w:rPr>
          <w:rStyle w:val="NormalTok"/>
        </w:rPr>
        <w:t xml:space="preserve"> </w:t>
      </w:r>
      <w:r>
        <w:rPr>
          <w:rStyle w:val="KeywordTok"/>
        </w:rPr>
        <w:t>in</w:t>
      </w:r>
      <w:r>
        <w:rPr>
          <w:rStyle w:val="NormalTok"/>
        </w:rPr>
        <w:t xml:space="preserve"> [</w:t>
      </w:r>
      <w:r>
        <w:rPr>
          <w:rStyle w:val="StringTok"/>
        </w:rPr>
        <w:t>'dictionary'</w:t>
      </w:r>
      <w:r>
        <w:rPr>
          <w:rStyle w:val="NormalTok"/>
        </w:rPr>
        <w:t>,</w:t>
      </w:r>
      <w:r>
        <w:rPr>
          <w:rStyle w:val="StringTok"/>
        </w:rPr>
        <w:t>'zuordnung_gfz'</w:t>
      </w:r>
      <w:r>
        <w:rPr>
          <w:rStyle w:val="NormalTok"/>
        </w:rPr>
        <w:t>]])</w:t>
      </w:r>
      <w:r>
        <w:br/>
      </w:r>
      <w:r>
        <w:rPr>
          <w:rStyle w:val="NormalTok"/>
        </w:rPr>
        <w:t>display(coverage)</w:t>
      </w:r>
      <w:r>
        <w:br/>
      </w:r>
      <w:r>
        <w:rPr>
          <w:rStyle w:val="NormalTok"/>
        </w:rPr>
        <w:t>dimensions</w:t>
      </w:r>
      <w:r>
        <w:rPr>
          <w:rStyle w:val="OperatorTok"/>
        </w:rPr>
        <w:t>=</w:t>
      </w:r>
      <w:r>
        <w:rPr>
          <w:rStyle w:val="NormalTok"/>
        </w:rPr>
        <w:t>pd.DataFrame([{</w:t>
      </w:r>
      <w:r>
        <w:rPr>
          <w:rStyle w:val="StringTok"/>
        </w:rPr>
        <w:t>'Dimension'</w:t>
      </w:r>
      <w:r>
        <w:rPr>
          <w:rStyle w:val="NormalTok"/>
        </w:rPr>
        <w:t>:c,</w:t>
      </w:r>
      <w:r>
        <w:rPr>
          <w:rStyle w:val="StringTok"/>
        </w:rPr>
        <w:t>'Klassen'</w:t>
      </w:r>
      <w:r>
        <w:rPr>
          <w:rStyle w:val="NormalTok"/>
        </w:rPr>
        <w:t>:data[c].nunique(),</w:t>
      </w:r>
      <w:r>
        <w:rPr>
          <w:rStyle w:val="StringTok"/>
        </w:rPr>
        <w:t>'Werte'</w:t>
      </w:r>
      <w:r>
        <w:rPr>
          <w:rStyle w:val="NormalTok"/>
        </w:rPr>
        <w:t>:</w:t>
      </w:r>
      <w:r>
        <w:rPr>
          <w:rStyle w:val="StringTok"/>
        </w:rPr>
        <w:t>', '</w:t>
      </w:r>
      <w:r>
        <w:rPr>
          <w:rStyle w:val="NormalTok"/>
        </w:rPr>
        <w:t>.join(</w:t>
      </w:r>
      <w:r>
        <w:rPr>
          <w:rStyle w:val="BuiltInTok"/>
        </w:rPr>
        <w:t>sorted</w:t>
      </w:r>
      <w:r>
        <w:rPr>
          <w:rStyle w:val="NormalTok"/>
        </w:rPr>
        <w:t xml:space="preserve">(data[c].unique()))} </w:t>
      </w:r>
      <w:r>
        <w:rPr>
          <w:rStyle w:val="ControlFlowTok"/>
        </w:rPr>
        <w:t>for</w:t>
      </w:r>
      <w:r>
        <w:rPr>
          <w:rStyle w:val="NormalTok"/>
        </w:rPr>
        <w:t xml:space="preserve"> c </w:t>
      </w:r>
      <w:r>
        <w:rPr>
          <w:rStyle w:val="KeywordTok"/>
        </w:rPr>
        <w:t>in</w:t>
      </w:r>
      <w:r>
        <w:rPr>
          <w:rStyle w:val="NormalTok"/>
        </w:rPr>
        <w:t xml:space="preserve"> parts.columns])</w:t>
      </w:r>
      <w:r>
        <w:br/>
      </w:r>
      <w:r>
        <w:rPr>
          <w:rStyle w:val="NormalTok"/>
        </w:rPr>
        <w:t>display(dimensions)</w:t>
      </w:r>
      <w:r>
        <w:br/>
      </w:r>
      <w:r>
        <w:rPr>
          <w:rStyle w:val="NormalTok"/>
        </w:rPr>
        <w:t>geometries</w:t>
      </w:r>
      <w:r>
        <w:rPr>
          <w:rStyle w:val="OperatorTok"/>
        </w:rPr>
        <w:t>=</w:t>
      </w:r>
      <w:r>
        <w:rPr>
          <w:rStyle w:val="NormalTok"/>
        </w:rPr>
        <w:t>data.groupby(</w:t>
      </w:r>
      <w:r>
        <w:rPr>
          <w:rStyle w:val="StringTok"/>
        </w:rPr>
        <w:t>'Geometrie'</w:t>
      </w:r>
      <w:r>
        <w:rPr>
          <w:rStyle w:val="NormalTok"/>
        </w:rPr>
        <w:t>).agg(Typen</w:t>
      </w:r>
      <w:r>
        <w:rPr>
          <w:rStyle w:val="OperatorTok"/>
        </w:rPr>
        <w:t>=</w:t>
      </w:r>
      <w:r>
        <w:rPr>
          <w:rStyle w:val="NormalTok"/>
        </w:rPr>
        <w:t>(</w:t>
      </w:r>
      <w:r>
        <w:rPr>
          <w:rStyle w:val="StringTok"/>
        </w:rPr>
        <w:t>'Archetype'</w:t>
      </w:r>
      <w:r>
        <w:rPr>
          <w:rStyle w:val="NormalTok"/>
        </w:rPr>
        <w:t>,</w:t>
      </w:r>
      <w:r>
        <w:rPr>
          <w:rStyle w:val="StringTok"/>
        </w:rPr>
        <w:t>'size'</w:t>
      </w:r>
      <w:r>
        <w:rPr>
          <w:rStyle w:val="NormalTok"/>
        </w:rPr>
        <w:t>),Positiv_2040</w:t>
      </w:r>
      <w:r>
        <w:rPr>
          <w:rStyle w:val="OperatorTok"/>
        </w:rPr>
        <w:t>=</w:t>
      </w:r>
      <w:r>
        <w:rPr>
          <w:rStyle w:val="NormalTok"/>
        </w:rPr>
        <w:t>(</w:t>
      </w:r>
      <w:r>
        <w:rPr>
          <w:rStyle w:val="StringTok"/>
        </w:rPr>
        <w:t>'Nationale BGF 2040'</w:t>
      </w:r>
      <w:r>
        <w:rPr>
          <w:rStyle w:val="NormalTok"/>
        </w:rPr>
        <w:t>,</w:t>
      </w:r>
      <w:r>
        <w:rPr>
          <w:rStyle w:val="KeywordTok"/>
        </w:rPr>
        <w:t>lambda</w:t>
      </w:r>
      <w:r>
        <w:rPr>
          <w:rStyle w:val="NormalTok"/>
        </w:rPr>
        <w:t xml:space="preserve"> s:s.gt(</w:t>
      </w:r>
      <w:r>
        <w:rPr>
          <w:rStyle w:val="DecValTok"/>
        </w:rPr>
        <w:t>0</w:t>
      </w:r>
      <w:r>
        <w:rPr>
          <w:rStyle w:val="NormalTok"/>
        </w:rPr>
        <w:t>).</w:t>
      </w:r>
      <w:r>
        <w:rPr>
          <w:rStyle w:val="BuiltInTok"/>
        </w:rPr>
        <w:t>sum</w:t>
      </w:r>
      <w:r>
        <w:rPr>
          <w:rStyle w:val="NormalTok"/>
        </w:rPr>
        <w:t>()))</w:t>
      </w:r>
      <w:r>
        <w:br/>
      </w:r>
      <w:r>
        <w:rPr>
          <w:rStyle w:val="NormalTok"/>
        </w:rPr>
        <w:t>display(geometries)</w:t>
      </w:r>
      <w:r>
        <w:br/>
      </w:r>
      <w:r>
        <w:rPr>
          <w:rStyle w:val="NormalTok"/>
        </w:rPr>
        <w:t>data[[</w:t>
      </w:r>
      <w:r>
        <w:rPr>
          <w:rStyle w:val="StringTok"/>
        </w:rPr>
        <w:t>'Archetype'</w:t>
      </w:r>
      <w:r>
        <w:rPr>
          <w:rStyle w:val="NormalTok"/>
        </w:rPr>
        <w:t>,</w:t>
      </w:r>
      <w:r>
        <w:rPr>
          <w:rStyle w:val="OperatorTok"/>
        </w:rPr>
        <w:t>*</w:t>
      </w:r>
      <w:r>
        <w:rPr>
          <w:rStyle w:val="NormalTok"/>
        </w:rPr>
        <w:t>parts.columns,</w:t>
      </w:r>
      <w:r>
        <w:rPr>
          <w:rStyle w:val="StringTok"/>
        </w:rPr>
        <w:t>'Energetischer Standard'</w:t>
      </w:r>
      <w:r>
        <w:rPr>
          <w:rStyle w:val="NormalTok"/>
        </w:rPr>
        <w:t>,</w:t>
      </w:r>
      <w:r>
        <w:rPr>
          <w:rStyle w:val="StringTok"/>
        </w:rPr>
        <w:t>'Bestand'</w:t>
      </w:r>
      <w:r>
        <w:rPr>
          <w:rStyle w:val="NormalTok"/>
        </w:rPr>
        <w:t>,</w:t>
      </w:r>
      <w:r>
        <w:rPr>
          <w:rStyle w:val="StringTok"/>
        </w:rPr>
        <w:t>'Neubau'</w:t>
      </w:r>
      <w:r>
        <w:rPr>
          <w:rStyle w:val="NormalTok"/>
        </w:rPr>
        <w:t>,</w:t>
      </w:r>
      <w:r>
        <w:rPr>
          <w:rStyle w:val="StringTok"/>
        </w:rPr>
        <w:t>'Sanierung'</w:t>
      </w:r>
      <w:r>
        <w:rPr>
          <w:rStyle w:val="NormalTok"/>
        </w:rPr>
        <w:t>,</w:t>
      </w:r>
      <w:r>
        <w:rPr>
          <w:rStyle w:val="StringTok"/>
        </w:rPr>
        <w:t>'Nationale BGF heute'</w:t>
      </w:r>
      <w:r>
        <w:rPr>
          <w:rStyle w:val="NormalTok"/>
        </w:rPr>
        <w:t>,</w:t>
      </w:r>
      <w:r>
        <w:rPr>
          <w:rStyle w:val="StringTok"/>
        </w:rPr>
        <w:t>'Nationale BGF 2040'</w:t>
      </w:r>
      <w:r>
        <w:rPr>
          <w:rStyle w:val="NormalTok"/>
        </w:rPr>
        <w:t>]].to_csv(OUT</w:t>
      </w:r>
      <w:r>
        <w:rPr>
          <w:rStyle w:val="OperatorTok"/>
        </w:rPr>
        <w:t>/</w:t>
      </w:r>
      <w:r>
        <w:rPr>
          <w:rStyle w:val="StringTok"/>
        </w:rPr>
        <w:t>'typologien.csv'</w:t>
      </w:r>
      <w:r>
        <w:rPr>
          <w:rStyle w:val="NormalTok"/>
        </w:rPr>
        <w:t>,index</w:t>
      </w:r>
      <w:r>
        <w:rPr>
          <w:rStyle w:val="OperatorTok"/>
        </w:rPr>
        <w:t>=</w:t>
      </w:r>
      <w:r>
        <w:rPr>
          <w:rStyle w:val="VariableTok"/>
        </w:rPr>
        <w:t>False</w:t>
      </w:r>
      <w:r>
        <w:rPr>
          <w:rStyle w:val="NormalTok"/>
        </w:rPr>
        <w:t>)</w:t>
      </w:r>
    </w:p>
    <w:tbl>
      <w:tblPr>
        <w:tblStyle w:val="Table"/>
        <w:tblW w:w="0" w:type="auto"/>
        <w:tblLook w:val="0020" w:firstRow="1" w:lastRow="0" w:firstColumn="0" w:lastColumn="0" w:noHBand="0" w:noVBand="0"/>
      </w:tblPr>
      <w:tblGrid>
        <w:gridCol w:w="1318"/>
        <w:gridCol w:w="2650"/>
        <w:gridCol w:w="1035"/>
        <w:gridCol w:w="4619"/>
      </w:tblGrid>
      <w:tr w:rsidR="004E4CC2" w14:paraId="582ED98D"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3BEB19AD" w14:textId="77777777" w:rsidR="004E4CC2" w:rsidRDefault="004E4CC2">
            <w:pPr>
              <w:pStyle w:val="Compact"/>
            </w:pPr>
          </w:p>
        </w:tc>
        <w:tc>
          <w:tcPr>
            <w:tcW w:w="0" w:type="auto"/>
            <w:gridSpan w:val="2"/>
          </w:tcPr>
          <w:p w14:paraId="4544C61B" w14:textId="77777777" w:rsidR="004E4CC2" w:rsidRDefault="00000000">
            <w:pPr>
              <w:pStyle w:val="Compact"/>
            </w:pPr>
            <w:r>
              <w:t>Kennwert</w:t>
            </w:r>
          </w:p>
        </w:tc>
        <w:tc>
          <w:tcPr>
            <w:tcW w:w="0" w:type="auto"/>
          </w:tcPr>
          <w:p w14:paraId="7A70E5DA" w14:textId="77777777" w:rsidR="004E4CC2" w:rsidRDefault="00000000">
            <w:pPr>
              <w:pStyle w:val="Compact"/>
            </w:pPr>
            <w:r>
              <w:t>Max. Cache-Abweichung</w:t>
            </w:r>
          </w:p>
        </w:tc>
      </w:tr>
      <w:tr w:rsidR="004E4CC2" w14:paraId="506FA027" w14:textId="77777777">
        <w:tc>
          <w:tcPr>
            <w:tcW w:w="0" w:type="auto"/>
          </w:tcPr>
          <w:p w14:paraId="185CCBB8" w14:textId="77777777" w:rsidR="004E4CC2" w:rsidRDefault="00000000">
            <w:pPr>
              <w:pStyle w:val="Compact"/>
            </w:pPr>
            <w:r>
              <w:t>0</w:t>
            </w:r>
          </w:p>
        </w:tc>
        <w:tc>
          <w:tcPr>
            <w:tcW w:w="0" w:type="auto"/>
            <w:gridSpan w:val="2"/>
          </w:tcPr>
          <w:p w14:paraId="3B000EFC" w14:textId="77777777" w:rsidR="004E4CC2" w:rsidRDefault="00000000">
            <w:pPr>
              <w:pStyle w:val="Compact"/>
            </w:pPr>
            <w:r>
              <w:t>Grid_to_building_min</w:t>
            </w:r>
          </w:p>
        </w:tc>
        <w:tc>
          <w:tcPr>
            <w:tcW w:w="0" w:type="auto"/>
          </w:tcPr>
          <w:p w14:paraId="0C4BBBC8" w14:textId="77777777" w:rsidR="004E4CC2" w:rsidRDefault="00000000">
            <w:pPr>
              <w:pStyle w:val="Compact"/>
            </w:pPr>
            <w:r>
              <w:t>0.0</w:t>
            </w:r>
          </w:p>
        </w:tc>
      </w:tr>
      <w:tr w:rsidR="004E4CC2" w14:paraId="1435012E" w14:textId="77777777">
        <w:tc>
          <w:tcPr>
            <w:tcW w:w="0" w:type="auto"/>
          </w:tcPr>
          <w:p w14:paraId="655FD05B" w14:textId="77777777" w:rsidR="004E4CC2" w:rsidRDefault="00000000">
            <w:pPr>
              <w:pStyle w:val="Compact"/>
            </w:pPr>
            <w:r>
              <w:t>1</w:t>
            </w:r>
          </w:p>
        </w:tc>
        <w:tc>
          <w:tcPr>
            <w:tcW w:w="0" w:type="auto"/>
            <w:gridSpan w:val="2"/>
          </w:tcPr>
          <w:p w14:paraId="27C92B3F" w14:textId="77777777" w:rsidR="004E4CC2" w:rsidRDefault="00000000">
            <w:pPr>
              <w:pStyle w:val="Compact"/>
            </w:pPr>
            <w:r>
              <w:t>PV_total_direct</w:t>
            </w:r>
          </w:p>
        </w:tc>
        <w:tc>
          <w:tcPr>
            <w:tcW w:w="0" w:type="auto"/>
          </w:tcPr>
          <w:p w14:paraId="6B8CD0D9" w14:textId="77777777" w:rsidR="004E4CC2" w:rsidRDefault="00000000">
            <w:pPr>
              <w:pStyle w:val="Compact"/>
            </w:pPr>
            <w:r>
              <w:t>0.0</w:t>
            </w:r>
          </w:p>
        </w:tc>
      </w:tr>
      <w:tr w:rsidR="004E4CC2" w14:paraId="22DAC9AB" w14:textId="77777777">
        <w:tc>
          <w:tcPr>
            <w:tcW w:w="0" w:type="auto"/>
          </w:tcPr>
          <w:p w14:paraId="507B0E5D" w14:textId="77777777" w:rsidR="004E4CC2" w:rsidRDefault="00000000">
            <w:pPr>
              <w:pStyle w:val="Compact"/>
            </w:pPr>
            <w:r>
              <w:t>2</w:t>
            </w:r>
          </w:p>
        </w:tc>
        <w:tc>
          <w:tcPr>
            <w:tcW w:w="0" w:type="auto"/>
            <w:gridSpan w:val="2"/>
          </w:tcPr>
          <w:p w14:paraId="1BE2D8A9" w14:textId="77777777" w:rsidR="004E4CC2" w:rsidRDefault="00000000">
            <w:pPr>
              <w:pStyle w:val="Compact"/>
            </w:pPr>
            <w:r>
              <w:t>PV_to_Egrid</w:t>
            </w:r>
          </w:p>
        </w:tc>
        <w:tc>
          <w:tcPr>
            <w:tcW w:w="0" w:type="auto"/>
          </w:tcPr>
          <w:p w14:paraId="689E7AD2" w14:textId="77777777" w:rsidR="004E4CC2" w:rsidRDefault="00000000">
            <w:pPr>
              <w:pStyle w:val="Compact"/>
            </w:pPr>
            <w:r>
              <w:t>0.0</w:t>
            </w:r>
          </w:p>
        </w:tc>
      </w:tr>
      <w:tr w:rsidR="004E4CC2" w14:paraId="32431082" w14:textId="77777777">
        <w:tc>
          <w:tcPr>
            <w:tcW w:w="0" w:type="auto"/>
          </w:tcPr>
          <w:p w14:paraId="3E7776DE" w14:textId="77777777" w:rsidR="004E4CC2" w:rsidRDefault="00000000">
            <w:pPr>
              <w:pStyle w:val="Compact"/>
            </w:pPr>
            <w:r>
              <w:lastRenderedPageBreak/>
              <w:t>3</w:t>
            </w:r>
          </w:p>
        </w:tc>
        <w:tc>
          <w:tcPr>
            <w:tcW w:w="0" w:type="auto"/>
            <w:gridSpan w:val="2"/>
          </w:tcPr>
          <w:p w14:paraId="08180303" w14:textId="77777777" w:rsidR="004E4CC2" w:rsidRDefault="00000000">
            <w:pPr>
              <w:pStyle w:val="Compact"/>
            </w:pPr>
            <w:r>
              <w:t>EUI_district_heating</w:t>
            </w:r>
          </w:p>
        </w:tc>
        <w:tc>
          <w:tcPr>
            <w:tcW w:w="0" w:type="auto"/>
          </w:tcPr>
          <w:p w14:paraId="1C382DD5" w14:textId="77777777" w:rsidR="004E4CC2" w:rsidRDefault="00000000">
            <w:pPr>
              <w:pStyle w:val="Compact"/>
            </w:pPr>
            <w:r>
              <w:t>0.0</w:t>
            </w:r>
          </w:p>
        </w:tc>
      </w:tr>
      <w:tr w:rsidR="004E4CC2" w14:paraId="104E8DE5" w14:textId="77777777">
        <w:tc>
          <w:tcPr>
            <w:tcW w:w="0" w:type="auto"/>
          </w:tcPr>
          <w:p w14:paraId="51DD13AE" w14:textId="77777777" w:rsidR="004E4CC2" w:rsidRDefault="00000000">
            <w:pPr>
              <w:pStyle w:val="Compact"/>
            </w:pPr>
            <w:r>
              <w:t>4</w:t>
            </w:r>
          </w:p>
        </w:tc>
        <w:tc>
          <w:tcPr>
            <w:tcW w:w="0" w:type="auto"/>
            <w:gridSpan w:val="2"/>
          </w:tcPr>
          <w:p w14:paraId="2948ECDA" w14:textId="77777777" w:rsidR="004E4CC2" w:rsidRDefault="00000000">
            <w:pPr>
              <w:pStyle w:val="Compact"/>
            </w:pPr>
            <w:r>
              <w:t>EUI_natural_gas</w:t>
            </w:r>
          </w:p>
        </w:tc>
        <w:tc>
          <w:tcPr>
            <w:tcW w:w="0" w:type="auto"/>
          </w:tcPr>
          <w:p w14:paraId="6DB33D96" w14:textId="77777777" w:rsidR="004E4CC2" w:rsidRDefault="00000000">
            <w:pPr>
              <w:pStyle w:val="Compact"/>
            </w:pPr>
            <w:r>
              <w:t>0.0</w:t>
            </w:r>
          </w:p>
        </w:tc>
      </w:tr>
      <w:tr w:rsidR="004E4CC2" w14:paraId="0ACFC0B8" w14:textId="77777777">
        <w:tc>
          <w:tcPr>
            <w:tcW w:w="0" w:type="auto"/>
          </w:tcPr>
          <w:p w14:paraId="30A63AF9" w14:textId="77777777" w:rsidR="004E4CC2" w:rsidRDefault="00000000">
            <w:pPr>
              <w:pStyle w:val="Compact"/>
            </w:pPr>
            <w:r>
              <w:t>5</w:t>
            </w:r>
          </w:p>
        </w:tc>
        <w:tc>
          <w:tcPr>
            <w:tcW w:w="0" w:type="auto"/>
            <w:gridSpan w:val="2"/>
          </w:tcPr>
          <w:p w14:paraId="74311F72" w14:textId="77777777" w:rsidR="004E4CC2" w:rsidRDefault="00000000">
            <w:pPr>
              <w:pStyle w:val="Compact"/>
            </w:pPr>
            <w:r>
              <w:t>EUI_biomass</w:t>
            </w:r>
          </w:p>
        </w:tc>
        <w:tc>
          <w:tcPr>
            <w:tcW w:w="0" w:type="auto"/>
          </w:tcPr>
          <w:p w14:paraId="1B905313" w14:textId="77777777" w:rsidR="004E4CC2" w:rsidRDefault="00000000">
            <w:pPr>
              <w:pStyle w:val="Compact"/>
            </w:pPr>
            <w:r>
              <w:t>0.0</w:t>
            </w:r>
          </w:p>
        </w:tc>
      </w:tr>
      <w:tr w:rsidR="004E4CC2" w14:paraId="55878792" w14:textId="77777777">
        <w:tc>
          <w:tcPr>
            <w:tcW w:w="0" w:type="auto"/>
          </w:tcPr>
          <w:p w14:paraId="5F210AE3" w14:textId="77777777" w:rsidR="004E4CC2" w:rsidRDefault="00000000">
            <w:pPr>
              <w:pStyle w:val="Compact"/>
            </w:pPr>
            <w:r>
              <w:t>6</w:t>
            </w:r>
          </w:p>
        </w:tc>
        <w:tc>
          <w:tcPr>
            <w:tcW w:w="0" w:type="auto"/>
            <w:gridSpan w:val="2"/>
          </w:tcPr>
          <w:p w14:paraId="11ABA193" w14:textId="77777777" w:rsidR="004E4CC2" w:rsidRDefault="00000000">
            <w:pPr>
              <w:pStyle w:val="Compact"/>
            </w:pPr>
            <w:r>
              <w:t>EUI_other</w:t>
            </w:r>
          </w:p>
        </w:tc>
        <w:tc>
          <w:tcPr>
            <w:tcW w:w="0" w:type="auto"/>
          </w:tcPr>
          <w:p w14:paraId="00624897" w14:textId="77777777" w:rsidR="004E4CC2" w:rsidRDefault="00000000">
            <w:pPr>
              <w:pStyle w:val="Compact"/>
            </w:pPr>
            <w:r>
              <w:t>0.0</w:t>
            </w:r>
          </w:p>
        </w:tc>
      </w:tr>
      <w:tr w:rsidR="004E4CC2" w14:paraId="3B249F73" w14:textId="77777777">
        <w:tc>
          <w:tcPr>
            <w:tcW w:w="0" w:type="auto"/>
          </w:tcPr>
          <w:p w14:paraId="4B68C727" w14:textId="77777777" w:rsidR="004E4CC2" w:rsidRDefault="00000000">
            <w:pPr>
              <w:pStyle w:val="Compact"/>
            </w:pPr>
            <w:r>
              <w:t>7</w:t>
            </w:r>
          </w:p>
        </w:tc>
        <w:tc>
          <w:tcPr>
            <w:tcW w:w="0" w:type="auto"/>
            <w:gridSpan w:val="2"/>
          </w:tcPr>
          <w:p w14:paraId="0DAD069A" w14:textId="77777777" w:rsidR="004E4CC2" w:rsidRDefault="00000000">
            <w:pPr>
              <w:pStyle w:val="Compact"/>
            </w:pPr>
            <w:r>
              <w:t>PEI_grid_import</w:t>
            </w:r>
          </w:p>
        </w:tc>
        <w:tc>
          <w:tcPr>
            <w:tcW w:w="0" w:type="auto"/>
          </w:tcPr>
          <w:p w14:paraId="41E2F6D8" w14:textId="77777777" w:rsidR="004E4CC2" w:rsidRDefault="00000000">
            <w:pPr>
              <w:pStyle w:val="Compact"/>
            </w:pPr>
            <w:r>
              <w:t>0.0</w:t>
            </w:r>
          </w:p>
        </w:tc>
      </w:tr>
      <w:tr w:rsidR="004E4CC2" w14:paraId="23B37137" w14:textId="77777777">
        <w:tc>
          <w:tcPr>
            <w:tcW w:w="0" w:type="auto"/>
          </w:tcPr>
          <w:p w14:paraId="0705D699" w14:textId="77777777" w:rsidR="004E4CC2" w:rsidRDefault="00000000">
            <w:pPr>
              <w:pStyle w:val="Compact"/>
            </w:pPr>
            <w:r>
              <w:t>8</w:t>
            </w:r>
          </w:p>
        </w:tc>
        <w:tc>
          <w:tcPr>
            <w:tcW w:w="0" w:type="auto"/>
            <w:gridSpan w:val="2"/>
          </w:tcPr>
          <w:p w14:paraId="06065A91" w14:textId="77777777" w:rsidR="004E4CC2" w:rsidRDefault="00000000">
            <w:pPr>
              <w:pStyle w:val="Compact"/>
            </w:pPr>
            <w:r>
              <w:t>PEI_import</w:t>
            </w:r>
          </w:p>
        </w:tc>
        <w:tc>
          <w:tcPr>
            <w:tcW w:w="0" w:type="auto"/>
          </w:tcPr>
          <w:p w14:paraId="3CCD1BE2" w14:textId="77777777" w:rsidR="004E4CC2" w:rsidRDefault="00000000">
            <w:pPr>
              <w:pStyle w:val="Compact"/>
            </w:pPr>
            <w:r>
              <w:t>0.0</w:t>
            </w:r>
          </w:p>
        </w:tc>
      </w:tr>
      <w:tr w:rsidR="004E4CC2" w14:paraId="6D9C7771" w14:textId="77777777">
        <w:tc>
          <w:tcPr>
            <w:tcW w:w="0" w:type="auto"/>
          </w:tcPr>
          <w:p w14:paraId="360B02BA" w14:textId="77777777" w:rsidR="004E4CC2" w:rsidRDefault="00000000">
            <w:pPr>
              <w:pStyle w:val="Compact"/>
            </w:pPr>
            <w:r>
              <w:t>9</w:t>
            </w:r>
          </w:p>
        </w:tc>
        <w:tc>
          <w:tcPr>
            <w:tcW w:w="0" w:type="auto"/>
            <w:gridSpan w:val="2"/>
          </w:tcPr>
          <w:p w14:paraId="5F7478CD" w14:textId="77777777" w:rsidR="004E4CC2" w:rsidRDefault="00000000">
            <w:pPr>
              <w:pStyle w:val="Compact"/>
            </w:pPr>
            <w:r>
              <w:t>PEI_export</w:t>
            </w:r>
          </w:p>
        </w:tc>
        <w:tc>
          <w:tcPr>
            <w:tcW w:w="0" w:type="auto"/>
          </w:tcPr>
          <w:p w14:paraId="124B4B82" w14:textId="77777777" w:rsidR="004E4CC2" w:rsidRDefault="00000000">
            <w:pPr>
              <w:pStyle w:val="Compact"/>
            </w:pPr>
            <w:r>
              <w:t>0.0</w:t>
            </w:r>
          </w:p>
        </w:tc>
      </w:tr>
      <w:tr w:rsidR="004E4CC2" w14:paraId="4003AE7C" w14:textId="77777777" w:rsidTr="004E4CC2">
        <w:trPr>
          <w:tblHeader/>
        </w:trPr>
        <w:tc>
          <w:tcPr>
            <w:tcW w:w="0" w:type="auto"/>
          </w:tcPr>
          <w:p w14:paraId="269F1341" w14:textId="77777777" w:rsidR="004E4CC2" w:rsidRDefault="004E4CC2">
            <w:pPr>
              <w:pStyle w:val="Compact"/>
            </w:pPr>
          </w:p>
        </w:tc>
        <w:tc>
          <w:tcPr>
            <w:tcW w:w="0" w:type="auto"/>
          </w:tcPr>
          <w:p w14:paraId="3FB258FD" w14:textId="77777777" w:rsidR="004E4CC2" w:rsidRDefault="00000000">
            <w:pPr>
              <w:pStyle w:val="Compact"/>
            </w:pPr>
            <w:r>
              <w:t>Blatt</w:t>
            </w:r>
          </w:p>
        </w:tc>
        <w:tc>
          <w:tcPr>
            <w:tcW w:w="0" w:type="auto"/>
          </w:tcPr>
          <w:p w14:paraId="380CBA7A" w14:textId="77777777" w:rsidR="004E4CC2" w:rsidRDefault="00000000">
            <w:pPr>
              <w:pStyle w:val="Compact"/>
            </w:pPr>
            <w:r>
              <w:t>Zeilen</w:t>
            </w:r>
          </w:p>
        </w:tc>
        <w:tc>
          <w:tcPr>
            <w:tcW w:w="0" w:type="auto"/>
          </w:tcPr>
          <w:p w14:paraId="5B5AA89E" w14:textId="77777777" w:rsidR="004E4CC2" w:rsidRDefault="00000000">
            <w:pPr>
              <w:pStyle w:val="Compact"/>
            </w:pPr>
            <w:r>
              <w:t>Eindeutige Schlüssel</w:t>
            </w:r>
          </w:p>
        </w:tc>
      </w:tr>
      <w:tr w:rsidR="004E4CC2" w14:paraId="04E15878" w14:textId="77777777">
        <w:tc>
          <w:tcPr>
            <w:tcW w:w="0" w:type="auto"/>
          </w:tcPr>
          <w:p w14:paraId="684992E7" w14:textId="77777777" w:rsidR="004E4CC2" w:rsidRDefault="00000000">
            <w:pPr>
              <w:pStyle w:val="Compact"/>
            </w:pPr>
            <w:r>
              <w:t>0</w:t>
            </w:r>
          </w:p>
        </w:tc>
        <w:tc>
          <w:tcPr>
            <w:tcW w:w="0" w:type="auto"/>
          </w:tcPr>
          <w:p w14:paraId="6995892C" w14:textId="77777777" w:rsidR="004E4CC2" w:rsidRDefault="00000000">
            <w:pPr>
              <w:pStyle w:val="Compact"/>
            </w:pPr>
            <w:r>
              <w:t>Strombed_estim</w:t>
            </w:r>
          </w:p>
        </w:tc>
        <w:tc>
          <w:tcPr>
            <w:tcW w:w="0" w:type="auto"/>
          </w:tcPr>
          <w:p w14:paraId="28BC5459" w14:textId="77777777" w:rsidR="004E4CC2" w:rsidRDefault="00000000">
            <w:pPr>
              <w:pStyle w:val="Compact"/>
            </w:pPr>
            <w:r>
              <w:t>900</w:t>
            </w:r>
          </w:p>
        </w:tc>
        <w:tc>
          <w:tcPr>
            <w:tcW w:w="0" w:type="auto"/>
          </w:tcPr>
          <w:p w14:paraId="5BFC9B5E" w14:textId="77777777" w:rsidR="004E4CC2" w:rsidRDefault="00000000">
            <w:pPr>
              <w:pStyle w:val="Compact"/>
            </w:pPr>
            <w:r>
              <w:t>900</w:t>
            </w:r>
          </w:p>
        </w:tc>
      </w:tr>
      <w:tr w:rsidR="004E4CC2" w14:paraId="00EBED6C" w14:textId="77777777">
        <w:tc>
          <w:tcPr>
            <w:tcW w:w="0" w:type="auto"/>
          </w:tcPr>
          <w:p w14:paraId="540B959C" w14:textId="77777777" w:rsidR="004E4CC2" w:rsidRDefault="00000000">
            <w:pPr>
              <w:pStyle w:val="Compact"/>
            </w:pPr>
            <w:r>
              <w:t>1</w:t>
            </w:r>
          </w:p>
        </w:tc>
        <w:tc>
          <w:tcPr>
            <w:tcW w:w="0" w:type="auto"/>
          </w:tcPr>
          <w:p w14:paraId="5B776D58" w14:textId="77777777" w:rsidR="004E4CC2" w:rsidRDefault="00000000">
            <w:pPr>
              <w:pStyle w:val="Compact"/>
            </w:pPr>
            <w:r>
              <w:t>reduced</w:t>
            </w:r>
          </w:p>
        </w:tc>
        <w:tc>
          <w:tcPr>
            <w:tcW w:w="0" w:type="auto"/>
          </w:tcPr>
          <w:p w14:paraId="0FAAA37C" w14:textId="77777777" w:rsidR="004E4CC2" w:rsidRDefault="00000000">
            <w:pPr>
              <w:pStyle w:val="Compact"/>
            </w:pPr>
            <w:r>
              <w:t>7200</w:t>
            </w:r>
          </w:p>
        </w:tc>
        <w:tc>
          <w:tcPr>
            <w:tcW w:w="0" w:type="auto"/>
          </w:tcPr>
          <w:p w14:paraId="204E8FB6" w14:textId="77777777" w:rsidR="004E4CC2" w:rsidRDefault="00000000">
            <w:pPr>
              <w:pStyle w:val="Compact"/>
            </w:pPr>
            <w:r>
              <w:t>7200</w:t>
            </w:r>
          </w:p>
        </w:tc>
      </w:tr>
      <w:tr w:rsidR="004E4CC2" w14:paraId="539910CD" w14:textId="77777777">
        <w:tc>
          <w:tcPr>
            <w:tcW w:w="0" w:type="auto"/>
          </w:tcPr>
          <w:p w14:paraId="75FFF377" w14:textId="77777777" w:rsidR="004E4CC2" w:rsidRDefault="00000000">
            <w:pPr>
              <w:pStyle w:val="Compact"/>
            </w:pPr>
            <w:r>
              <w:t>2</w:t>
            </w:r>
          </w:p>
        </w:tc>
        <w:tc>
          <w:tcPr>
            <w:tcW w:w="0" w:type="auto"/>
          </w:tcPr>
          <w:p w14:paraId="772C1503" w14:textId="77777777" w:rsidR="004E4CC2" w:rsidRDefault="00000000">
            <w:pPr>
              <w:pStyle w:val="Compact"/>
            </w:pPr>
            <w:r>
              <w:t>Building-Sector_Pool_total</w:t>
            </w:r>
          </w:p>
        </w:tc>
        <w:tc>
          <w:tcPr>
            <w:tcW w:w="0" w:type="auto"/>
          </w:tcPr>
          <w:p w14:paraId="712F1856" w14:textId="77777777" w:rsidR="004E4CC2" w:rsidRDefault="00000000">
            <w:pPr>
              <w:pStyle w:val="Compact"/>
            </w:pPr>
            <w:r>
              <w:t>7200</w:t>
            </w:r>
          </w:p>
        </w:tc>
        <w:tc>
          <w:tcPr>
            <w:tcW w:w="0" w:type="auto"/>
          </w:tcPr>
          <w:p w14:paraId="36C58C03" w14:textId="77777777" w:rsidR="004E4CC2" w:rsidRDefault="00000000">
            <w:pPr>
              <w:pStyle w:val="Compact"/>
            </w:pPr>
            <w:r>
              <w:t>7200</w:t>
            </w:r>
          </w:p>
        </w:tc>
      </w:tr>
      <w:tr w:rsidR="004E4CC2" w14:paraId="6B597977" w14:textId="77777777">
        <w:tc>
          <w:tcPr>
            <w:tcW w:w="0" w:type="auto"/>
          </w:tcPr>
          <w:p w14:paraId="32266DC7" w14:textId="77777777" w:rsidR="004E4CC2" w:rsidRDefault="00000000">
            <w:pPr>
              <w:pStyle w:val="Compact"/>
            </w:pPr>
            <w:r>
              <w:t>3</w:t>
            </w:r>
          </w:p>
        </w:tc>
        <w:tc>
          <w:tcPr>
            <w:tcW w:w="0" w:type="auto"/>
          </w:tcPr>
          <w:p w14:paraId="074E34F4" w14:textId="77777777" w:rsidR="004E4CC2" w:rsidRDefault="00000000">
            <w:pPr>
              <w:pStyle w:val="Compact"/>
            </w:pPr>
            <w:r>
              <w:t>save</w:t>
            </w:r>
          </w:p>
        </w:tc>
        <w:tc>
          <w:tcPr>
            <w:tcW w:w="0" w:type="auto"/>
          </w:tcPr>
          <w:p w14:paraId="5E5216F5" w14:textId="77777777" w:rsidR="004E4CC2" w:rsidRDefault="00000000">
            <w:pPr>
              <w:pStyle w:val="Compact"/>
            </w:pPr>
            <w:r>
              <w:t>7239</w:t>
            </w:r>
          </w:p>
        </w:tc>
        <w:tc>
          <w:tcPr>
            <w:tcW w:w="0" w:type="auto"/>
          </w:tcPr>
          <w:p w14:paraId="0E479630" w14:textId="77777777" w:rsidR="004E4CC2" w:rsidRDefault="00000000">
            <w:pPr>
              <w:pStyle w:val="Compact"/>
            </w:pPr>
            <w:r>
              <w:t>7239</w:t>
            </w:r>
          </w:p>
        </w:tc>
      </w:tr>
      <w:tr w:rsidR="004E4CC2" w14:paraId="2C555AAE" w14:textId="77777777">
        <w:tc>
          <w:tcPr>
            <w:tcW w:w="0" w:type="auto"/>
          </w:tcPr>
          <w:p w14:paraId="6295B5C0" w14:textId="77777777" w:rsidR="004E4CC2" w:rsidRDefault="00000000">
            <w:pPr>
              <w:pStyle w:val="Compact"/>
            </w:pPr>
            <w:r>
              <w:t>4</w:t>
            </w:r>
          </w:p>
        </w:tc>
        <w:tc>
          <w:tcPr>
            <w:tcW w:w="0" w:type="auto"/>
          </w:tcPr>
          <w:p w14:paraId="246A79C4" w14:textId="77777777" w:rsidR="004E4CC2" w:rsidRDefault="00000000">
            <w:pPr>
              <w:pStyle w:val="Compact"/>
            </w:pPr>
            <w:r>
              <w:t>simulation</w:t>
            </w:r>
          </w:p>
        </w:tc>
        <w:tc>
          <w:tcPr>
            <w:tcW w:w="0" w:type="auto"/>
          </w:tcPr>
          <w:p w14:paraId="23CE2713" w14:textId="77777777" w:rsidR="004E4CC2" w:rsidRDefault="00000000">
            <w:pPr>
              <w:pStyle w:val="Compact"/>
            </w:pPr>
            <w:r>
              <w:t>900</w:t>
            </w:r>
          </w:p>
        </w:tc>
        <w:tc>
          <w:tcPr>
            <w:tcW w:w="0" w:type="auto"/>
          </w:tcPr>
          <w:p w14:paraId="36BDD9B2" w14:textId="77777777" w:rsidR="004E4CC2" w:rsidRDefault="00000000">
            <w:pPr>
              <w:pStyle w:val="Compact"/>
            </w:pPr>
            <w:r>
              <w:t>900</w:t>
            </w:r>
          </w:p>
        </w:tc>
      </w:tr>
      <w:tr w:rsidR="004E4CC2" w14:paraId="6DDD8775" w14:textId="77777777" w:rsidTr="004E4CC2">
        <w:trPr>
          <w:tblHeader/>
        </w:trPr>
        <w:tc>
          <w:tcPr>
            <w:tcW w:w="0" w:type="auto"/>
          </w:tcPr>
          <w:p w14:paraId="618496F5" w14:textId="77777777" w:rsidR="004E4CC2" w:rsidRDefault="004E4CC2">
            <w:pPr>
              <w:pStyle w:val="Compact"/>
            </w:pPr>
          </w:p>
        </w:tc>
        <w:tc>
          <w:tcPr>
            <w:tcW w:w="0" w:type="auto"/>
          </w:tcPr>
          <w:p w14:paraId="36A0155D" w14:textId="77777777" w:rsidR="004E4CC2" w:rsidRDefault="00000000">
            <w:pPr>
              <w:pStyle w:val="Compact"/>
            </w:pPr>
            <w:r>
              <w:t>Dimension</w:t>
            </w:r>
          </w:p>
        </w:tc>
        <w:tc>
          <w:tcPr>
            <w:tcW w:w="0" w:type="auto"/>
          </w:tcPr>
          <w:p w14:paraId="36605AE4" w14:textId="77777777" w:rsidR="004E4CC2" w:rsidRDefault="00000000">
            <w:pPr>
              <w:pStyle w:val="Compact"/>
            </w:pPr>
            <w:r>
              <w:t>Klassen</w:t>
            </w:r>
          </w:p>
        </w:tc>
        <w:tc>
          <w:tcPr>
            <w:tcW w:w="0" w:type="auto"/>
          </w:tcPr>
          <w:p w14:paraId="298BA8F5" w14:textId="77777777" w:rsidR="004E4CC2" w:rsidRDefault="00000000">
            <w:pPr>
              <w:pStyle w:val="Compact"/>
            </w:pPr>
            <w:r>
              <w:t>Werte</w:t>
            </w:r>
          </w:p>
        </w:tc>
      </w:tr>
      <w:tr w:rsidR="004E4CC2" w14:paraId="747D1315" w14:textId="77777777">
        <w:tc>
          <w:tcPr>
            <w:tcW w:w="0" w:type="auto"/>
          </w:tcPr>
          <w:p w14:paraId="66A28624" w14:textId="77777777" w:rsidR="004E4CC2" w:rsidRDefault="00000000">
            <w:pPr>
              <w:pStyle w:val="Compact"/>
            </w:pPr>
            <w:r>
              <w:t>0</w:t>
            </w:r>
          </w:p>
        </w:tc>
        <w:tc>
          <w:tcPr>
            <w:tcW w:w="0" w:type="auto"/>
          </w:tcPr>
          <w:p w14:paraId="04010FFD" w14:textId="77777777" w:rsidR="004E4CC2" w:rsidRDefault="00000000">
            <w:pPr>
              <w:pStyle w:val="Compact"/>
            </w:pPr>
            <w:r>
              <w:t>Geometrie</w:t>
            </w:r>
          </w:p>
        </w:tc>
        <w:tc>
          <w:tcPr>
            <w:tcW w:w="0" w:type="auto"/>
          </w:tcPr>
          <w:p w14:paraId="37CF0885" w14:textId="77777777" w:rsidR="004E4CC2" w:rsidRDefault="00000000">
            <w:pPr>
              <w:pStyle w:val="Compact"/>
            </w:pPr>
            <w:r>
              <w:t>10</w:t>
            </w:r>
          </w:p>
        </w:tc>
        <w:tc>
          <w:tcPr>
            <w:tcW w:w="0" w:type="auto"/>
          </w:tcPr>
          <w:p w14:paraId="1C86A538" w14:textId="77777777" w:rsidR="004E4CC2" w:rsidRDefault="00000000">
            <w:pPr>
              <w:pStyle w:val="Compact"/>
            </w:pPr>
            <w:r>
              <w:t>EFH_1G, EFH_2G, GWB_5G, GWB_7G, MFH_2G, MFH_4G...</w:t>
            </w:r>
          </w:p>
        </w:tc>
      </w:tr>
      <w:tr w:rsidR="004E4CC2" w14:paraId="089FDFB3" w14:textId="77777777">
        <w:tc>
          <w:tcPr>
            <w:tcW w:w="0" w:type="auto"/>
          </w:tcPr>
          <w:p w14:paraId="7D52003D" w14:textId="77777777" w:rsidR="004E4CC2" w:rsidRDefault="00000000">
            <w:pPr>
              <w:pStyle w:val="Compact"/>
            </w:pPr>
            <w:r>
              <w:t>1</w:t>
            </w:r>
          </w:p>
        </w:tc>
        <w:tc>
          <w:tcPr>
            <w:tcW w:w="0" w:type="auto"/>
          </w:tcPr>
          <w:p w14:paraId="4DE02EDA" w14:textId="77777777" w:rsidR="004E4CC2" w:rsidRDefault="00000000">
            <w:pPr>
              <w:pStyle w:val="Compact"/>
            </w:pPr>
            <w:r>
              <w:t>Huelle</w:t>
            </w:r>
          </w:p>
        </w:tc>
        <w:tc>
          <w:tcPr>
            <w:tcW w:w="0" w:type="auto"/>
          </w:tcPr>
          <w:p w14:paraId="2C72436E" w14:textId="77777777" w:rsidR="004E4CC2" w:rsidRDefault="00000000">
            <w:pPr>
              <w:pStyle w:val="Compact"/>
            </w:pPr>
            <w:r>
              <w:t>9</w:t>
            </w:r>
          </w:p>
        </w:tc>
        <w:tc>
          <w:tcPr>
            <w:tcW w:w="0" w:type="auto"/>
          </w:tcPr>
          <w:p w14:paraId="36918B75" w14:textId="77777777" w:rsidR="004E4CC2" w:rsidRDefault="00000000">
            <w:pPr>
              <w:pStyle w:val="Compact"/>
            </w:pPr>
            <w:r>
              <w:t>1919-44, 1945-59, 1960-79, 1980-89, 1990-99, N...</w:t>
            </w:r>
          </w:p>
        </w:tc>
      </w:tr>
      <w:tr w:rsidR="004E4CC2" w14:paraId="7A28F47F" w14:textId="77777777">
        <w:tc>
          <w:tcPr>
            <w:tcW w:w="0" w:type="auto"/>
          </w:tcPr>
          <w:p w14:paraId="7855817C" w14:textId="77777777" w:rsidR="004E4CC2" w:rsidRDefault="00000000">
            <w:pPr>
              <w:pStyle w:val="Compact"/>
            </w:pPr>
            <w:r>
              <w:t>2</w:t>
            </w:r>
          </w:p>
        </w:tc>
        <w:tc>
          <w:tcPr>
            <w:tcW w:w="0" w:type="auto"/>
          </w:tcPr>
          <w:p w14:paraId="03555961" w14:textId="77777777" w:rsidR="004E4CC2" w:rsidRDefault="00000000">
            <w:pPr>
              <w:pStyle w:val="Compact"/>
            </w:pPr>
            <w:r>
              <w:t>Heizung</w:t>
            </w:r>
          </w:p>
        </w:tc>
        <w:tc>
          <w:tcPr>
            <w:tcW w:w="0" w:type="auto"/>
          </w:tcPr>
          <w:p w14:paraId="7C527DEE" w14:textId="77777777" w:rsidR="004E4CC2" w:rsidRDefault="00000000">
            <w:pPr>
              <w:pStyle w:val="Compact"/>
            </w:pPr>
            <w:r>
              <w:t>10</w:t>
            </w:r>
          </w:p>
        </w:tc>
        <w:tc>
          <w:tcPr>
            <w:tcW w:w="0" w:type="auto"/>
          </w:tcPr>
          <w:p w14:paraId="03B60D4D" w14:textId="77777777" w:rsidR="004E4CC2" w:rsidRDefault="00000000">
            <w:pPr>
              <w:pStyle w:val="Compact"/>
            </w:pPr>
            <w:r>
              <w:t>Bio, Elektro, Erdgas, FW_Wien, FW_erneu, Oel, ...</w:t>
            </w:r>
          </w:p>
        </w:tc>
      </w:tr>
      <w:tr w:rsidR="004E4CC2" w14:paraId="650BC5E6" w14:textId="77777777">
        <w:tc>
          <w:tcPr>
            <w:tcW w:w="0" w:type="auto"/>
          </w:tcPr>
          <w:p w14:paraId="1038AED1" w14:textId="77777777" w:rsidR="004E4CC2" w:rsidRDefault="00000000">
            <w:pPr>
              <w:pStyle w:val="Compact"/>
            </w:pPr>
            <w:r>
              <w:t>3</w:t>
            </w:r>
          </w:p>
        </w:tc>
        <w:tc>
          <w:tcPr>
            <w:tcW w:w="0" w:type="auto"/>
          </w:tcPr>
          <w:p w14:paraId="69973302" w14:textId="77777777" w:rsidR="004E4CC2" w:rsidRDefault="00000000">
            <w:pPr>
              <w:pStyle w:val="Compact"/>
            </w:pPr>
            <w:r>
              <w:t>PV_Klasse</w:t>
            </w:r>
          </w:p>
        </w:tc>
        <w:tc>
          <w:tcPr>
            <w:tcW w:w="0" w:type="auto"/>
          </w:tcPr>
          <w:p w14:paraId="688CBE92" w14:textId="77777777" w:rsidR="004E4CC2" w:rsidRDefault="00000000">
            <w:pPr>
              <w:pStyle w:val="Compact"/>
            </w:pPr>
            <w:r>
              <w:t>1</w:t>
            </w:r>
          </w:p>
        </w:tc>
        <w:tc>
          <w:tcPr>
            <w:tcW w:w="0" w:type="auto"/>
          </w:tcPr>
          <w:p w14:paraId="7A77E7FD" w14:textId="77777777" w:rsidR="004E4CC2" w:rsidRDefault="00000000">
            <w:pPr>
              <w:pStyle w:val="Compact"/>
            </w:pPr>
            <w:r>
              <w:t>PV30</w:t>
            </w:r>
          </w:p>
        </w:tc>
      </w:tr>
      <w:tr w:rsidR="004E4CC2" w14:paraId="67707ED8" w14:textId="77777777">
        <w:tc>
          <w:tcPr>
            <w:tcW w:w="0" w:type="auto"/>
          </w:tcPr>
          <w:p w14:paraId="0FB40577" w14:textId="77777777" w:rsidR="004E4CC2" w:rsidRDefault="00000000">
            <w:pPr>
              <w:pStyle w:val="Compact"/>
            </w:pPr>
            <w:r>
              <w:t>4</w:t>
            </w:r>
          </w:p>
        </w:tc>
        <w:tc>
          <w:tcPr>
            <w:tcW w:w="0" w:type="auto"/>
          </w:tcPr>
          <w:p w14:paraId="084251D8" w14:textId="77777777" w:rsidR="004E4CC2" w:rsidRDefault="00000000">
            <w:pPr>
              <w:pStyle w:val="Compact"/>
            </w:pPr>
            <w:r>
              <w:t>Flexibilitaet</w:t>
            </w:r>
          </w:p>
        </w:tc>
        <w:tc>
          <w:tcPr>
            <w:tcW w:w="0" w:type="auto"/>
          </w:tcPr>
          <w:p w14:paraId="734A7401" w14:textId="77777777" w:rsidR="004E4CC2" w:rsidRDefault="00000000">
            <w:pPr>
              <w:pStyle w:val="Compact"/>
            </w:pPr>
            <w:r>
              <w:t>1</w:t>
            </w:r>
          </w:p>
        </w:tc>
        <w:tc>
          <w:tcPr>
            <w:tcW w:w="0" w:type="auto"/>
          </w:tcPr>
          <w:p w14:paraId="0A512E79" w14:textId="77777777" w:rsidR="004E4CC2" w:rsidRDefault="00000000">
            <w:pPr>
              <w:pStyle w:val="Compact"/>
            </w:pPr>
            <w:r>
              <w:t>noFlex</w:t>
            </w:r>
          </w:p>
        </w:tc>
      </w:tr>
      <w:tr w:rsidR="004E4CC2" w14:paraId="0F227755" w14:textId="77777777" w:rsidTr="004E4CC2">
        <w:trPr>
          <w:tblHeader/>
        </w:trPr>
        <w:tc>
          <w:tcPr>
            <w:tcW w:w="0" w:type="auto"/>
          </w:tcPr>
          <w:p w14:paraId="61BF08B9" w14:textId="77777777" w:rsidR="004E4CC2" w:rsidRDefault="004E4CC2">
            <w:pPr>
              <w:pStyle w:val="Compact"/>
            </w:pPr>
          </w:p>
        </w:tc>
        <w:tc>
          <w:tcPr>
            <w:tcW w:w="0" w:type="auto"/>
            <w:gridSpan w:val="2"/>
          </w:tcPr>
          <w:p w14:paraId="78BE7C64" w14:textId="77777777" w:rsidR="004E4CC2" w:rsidRDefault="00000000">
            <w:pPr>
              <w:pStyle w:val="Compact"/>
            </w:pPr>
            <w:r>
              <w:t>Typen</w:t>
            </w:r>
          </w:p>
        </w:tc>
        <w:tc>
          <w:tcPr>
            <w:tcW w:w="0" w:type="auto"/>
          </w:tcPr>
          <w:p w14:paraId="3EB70AB4" w14:textId="77777777" w:rsidR="004E4CC2" w:rsidRDefault="00000000">
            <w:pPr>
              <w:pStyle w:val="Compact"/>
            </w:pPr>
            <w:r>
              <w:t>Positiv_2040</w:t>
            </w:r>
          </w:p>
        </w:tc>
      </w:tr>
      <w:tr w:rsidR="004E4CC2" w14:paraId="5F184F32" w14:textId="77777777" w:rsidTr="004E4CC2">
        <w:trPr>
          <w:tblHeader/>
        </w:trPr>
        <w:tc>
          <w:tcPr>
            <w:tcW w:w="0" w:type="auto"/>
          </w:tcPr>
          <w:p w14:paraId="3848A67C" w14:textId="77777777" w:rsidR="004E4CC2" w:rsidRDefault="00000000">
            <w:pPr>
              <w:pStyle w:val="Compact"/>
            </w:pPr>
            <w:r>
              <w:t>Geometrie</w:t>
            </w:r>
          </w:p>
        </w:tc>
        <w:tc>
          <w:tcPr>
            <w:tcW w:w="0" w:type="auto"/>
            <w:gridSpan w:val="2"/>
          </w:tcPr>
          <w:p w14:paraId="5627BC23" w14:textId="77777777" w:rsidR="004E4CC2" w:rsidRDefault="004E4CC2">
            <w:pPr>
              <w:pStyle w:val="Compact"/>
            </w:pPr>
          </w:p>
        </w:tc>
        <w:tc>
          <w:tcPr>
            <w:tcW w:w="0" w:type="auto"/>
          </w:tcPr>
          <w:p w14:paraId="4D69636E" w14:textId="77777777" w:rsidR="004E4CC2" w:rsidRDefault="004E4CC2">
            <w:pPr>
              <w:pStyle w:val="Compact"/>
            </w:pPr>
          </w:p>
        </w:tc>
      </w:tr>
      <w:tr w:rsidR="004E4CC2" w14:paraId="164C68DF" w14:textId="77777777">
        <w:tc>
          <w:tcPr>
            <w:tcW w:w="0" w:type="auto"/>
          </w:tcPr>
          <w:p w14:paraId="42A32202" w14:textId="77777777" w:rsidR="004E4CC2" w:rsidRDefault="00000000">
            <w:pPr>
              <w:pStyle w:val="Compact"/>
            </w:pPr>
            <w:r>
              <w:t>EFH_1G</w:t>
            </w:r>
          </w:p>
        </w:tc>
        <w:tc>
          <w:tcPr>
            <w:tcW w:w="0" w:type="auto"/>
            <w:gridSpan w:val="2"/>
          </w:tcPr>
          <w:p w14:paraId="075C6F56" w14:textId="77777777" w:rsidR="004E4CC2" w:rsidRDefault="00000000">
            <w:pPr>
              <w:pStyle w:val="Compact"/>
            </w:pPr>
            <w:r>
              <w:t>90</w:t>
            </w:r>
          </w:p>
        </w:tc>
        <w:tc>
          <w:tcPr>
            <w:tcW w:w="0" w:type="auto"/>
          </w:tcPr>
          <w:p w14:paraId="0027EA19" w14:textId="77777777" w:rsidR="004E4CC2" w:rsidRDefault="00000000">
            <w:pPr>
              <w:pStyle w:val="Compact"/>
            </w:pPr>
            <w:r>
              <w:t>67</w:t>
            </w:r>
          </w:p>
        </w:tc>
      </w:tr>
      <w:tr w:rsidR="004E4CC2" w14:paraId="683F936F" w14:textId="77777777">
        <w:tc>
          <w:tcPr>
            <w:tcW w:w="0" w:type="auto"/>
          </w:tcPr>
          <w:p w14:paraId="0C5FF7CD" w14:textId="77777777" w:rsidR="004E4CC2" w:rsidRDefault="00000000">
            <w:pPr>
              <w:pStyle w:val="Compact"/>
            </w:pPr>
            <w:r>
              <w:t>EFH_2G</w:t>
            </w:r>
          </w:p>
        </w:tc>
        <w:tc>
          <w:tcPr>
            <w:tcW w:w="0" w:type="auto"/>
            <w:gridSpan w:val="2"/>
          </w:tcPr>
          <w:p w14:paraId="58B22B93" w14:textId="77777777" w:rsidR="004E4CC2" w:rsidRDefault="00000000">
            <w:pPr>
              <w:pStyle w:val="Compact"/>
            </w:pPr>
            <w:r>
              <w:t>90</w:t>
            </w:r>
          </w:p>
        </w:tc>
        <w:tc>
          <w:tcPr>
            <w:tcW w:w="0" w:type="auto"/>
          </w:tcPr>
          <w:p w14:paraId="463E89F7" w14:textId="77777777" w:rsidR="004E4CC2" w:rsidRDefault="00000000">
            <w:pPr>
              <w:pStyle w:val="Compact"/>
            </w:pPr>
            <w:r>
              <w:t>67</w:t>
            </w:r>
          </w:p>
        </w:tc>
      </w:tr>
      <w:tr w:rsidR="004E4CC2" w14:paraId="6706D55B" w14:textId="77777777">
        <w:tc>
          <w:tcPr>
            <w:tcW w:w="0" w:type="auto"/>
          </w:tcPr>
          <w:p w14:paraId="6A07E6D5" w14:textId="77777777" w:rsidR="004E4CC2" w:rsidRDefault="00000000">
            <w:pPr>
              <w:pStyle w:val="Compact"/>
            </w:pPr>
            <w:r>
              <w:t>GWB_5G</w:t>
            </w:r>
          </w:p>
        </w:tc>
        <w:tc>
          <w:tcPr>
            <w:tcW w:w="0" w:type="auto"/>
            <w:gridSpan w:val="2"/>
          </w:tcPr>
          <w:p w14:paraId="4C2F6D98" w14:textId="77777777" w:rsidR="004E4CC2" w:rsidRDefault="00000000">
            <w:pPr>
              <w:pStyle w:val="Compact"/>
            </w:pPr>
            <w:r>
              <w:t>90</w:t>
            </w:r>
          </w:p>
        </w:tc>
        <w:tc>
          <w:tcPr>
            <w:tcW w:w="0" w:type="auto"/>
          </w:tcPr>
          <w:p w14:paraId="528C2F7E" w14:textId="77777777" w:rsidR="004E4CC2" w:rsidRDefault="00000000">
            <w:pPr>
              <w:pStyle w:val="Compact"/>
            </w:pPr>
            <w:r>
              <w:t>67</w:t>
            </w:r>
          </w:p>
        </w:tc>
      </w:tr>
      <w:tr w:rsidR="004E4CC2" w14:paraId="28AFDF16" w14:textId="77777777">
        <w:tc>
          <w:tcPr>
            <w:tcW w:w="0" w:type="auto"/>
          </w:tcPr>
          <w:p w14:paraId="0C33E312" w14:textId="77777777" w:rsidR="004E4CC2" w:rsidRDefault="00000000">
            <w:pPr>
              <w:pStyle w:val="Compact"/>
            </w:pPr>
            <w:r>
              <w:t>GWB_7G</w:t>
            </w:r>
          </w:p>
        </w:tc>
        <w:tc>
          <w:tcPr>
            <w:tcW w:w="0" w:type="auto"/>
            <w:gridSpan w:val="2"/>
          </w:tcPr>
          <w:p w14:paraId="3D9AE94E" w14:textId="77777777" w:rsidR="004E4CC2" w:rsidRDefault="00000000">
            <w:pPr>
              <w:pStyle w:val="Compact"/>
            </w:pPr>
            <w:r>
              <w:t>90</w:t>
            </w:r>
          </w:p>
        </w:tc>
        <w:tc>
          <w:tcPr>
            <w:tcW w:w="0" w:type="auto"/>
          </w:tcPr>
          <w:p w14:paraId="7AF51EEA" w14:textId="77777777" w:rsidR="004E4CC2" w:rsidRDefault="00000000">
            <w:pPr>
              <w:pStyle w:val="Compact"/>
            </w:pPr>
            <w:r>
              <w:t>67</w:t>
            </w:r>
          </w:p>
        </w:tc>
      </w:tr>
      <w:tr w:rsidR="004E4CC2" w14:paraId="6331473E" w14:textId="77777777">
        <w:tc>
          <w:tcPr>
            <w:tcW w:w="0" w:type="auto"/>
          </w:tcPr>
          <w:p w14:paraId="7E0E0E01" w14:textId="77777777" w:rsidR="004E4CC2" w:rsidRDefault="00000000">
            <w:pPr>
              <w:pStyle w:val="Compact"/>
            </w:pPr>
            <w:r>
              <w:t>MFH_2G</w:t>
            </w:r>
          </w:p>
        </w:tc>
        <w:tc>
          <w:tcPr>
            <w:tcW w:w="0" w:type="auto"/>
            <w:gridSpan w:val="2"/>
          </w:tcPr>
          <w:p w14:paraId="7C3C3359" w14:textId="77777777" w:rsidR="004E4CC2" w:rsidRDefault="00000000">
            <w:pPr>
              <w:pStyle w:val="Compact"/>
            </w:pPr>
            <w:r>
              <w:t>90</w:t>
            </w:r>
          </w:p>
        </w:tc>
        <w:tc>
          <w:tcPr>
            <w:tcW w:w="0" w:type="auto"/>
          </w:tcPr>
          <w:p w14:paraId="2C8AC842" w14:textId="77777777" w:rsidR="004E4CC2" w:rsidRDefault="00000000">
            <w:pPr>
              <w:pStyle w:val="Compact"/>
            </w:pPr>
            <w:r>
              <w:t>0</w:t>
            </w:r>
          </w:p>
        </w:tc>
      </w:tr>
      <w:tr w:rsidR="004E4CC2" w14:paraId="25EB26B9" w14:textId="77777777">
        <w:tc>
          <w:tcPr>
            <w:tcW w:w="0" w:type="auto"/>
          </w:tcPr>
          <w:p w14:paraId="7487095C" w14:textId="77777777" w:rsidR="004E4CC2" w:rsidRDefault="00000000">
            <w:pPr>
              <w:pStyle w:val="Compact"/>
            </w:pPr>
            <w:r>
              <w:t>MFH_4G</w:t>
            </w:r>
          </w:p>
        </w:tc>
        <w:tc>
          <w:tcPr>
            <w:tcW w:w="0" w:type="auto"/>
            <w:gridSpan w:val="2"/>
          </w:tcPr>
          <w:p w14:paraId="7B7F0794" w14:textId="77777777" w:rsidR="004E4CC2" w:rsidRDefault="00000000">
            <w:pPr>
              <w:pStyle w:val="Compact"/>
            </w:pPr>
            <w:r>
              <w:t>90</w:t>
            </w:r>
          </w:p>
        </w:tc>
        <w:tc>
          <w:tcPr>
            <w:tcW w:w="0" w:type="auto"/>
          </w:tcPr>
          <w:p w14:paraId="5352AE07" w14:textId="77777777" w:rsidR="004E4CC2" w:rsidRDefault="00000000">
            <w:pPr>
              <w:pStyle w:val="Compact"/>
            </w:pPr>
            <w:r>
              <w:t>67</w:t>
            </w:r>
          </w:p>
        </w:tc>
      </w:tr>
      <w:tr w:rsidR="004E4CC2" w14:paraId="2DA601A1" w14:textId="77777777">
        <w:tc>
          <w:tcPr>
            <w:tcW w:w="0" w:type="auto"/>
          </w:tcPr>
          <w:p w14:paraId="49395B6D" w14:textId="77777777" w:rsidR="004E4CC2" w:rsidRDefault="00000000">
            <w:pPr>
              <w:pStyle w:val="Compact"/>
            </w:pPr>
            <w:r>
              <w:t>NiWo_1G</w:t>
            </w:r>
          </w:p>
        </w:tc>
        <w:tc>
          <w:tcPr>
            <w:tcW w:w="0" w:type="auto"/>
            <w:gridSpan w:val="2"/>
          </w:tcPr>
          <w:p w14:paraId="387544BB" w14:textId="77777777" w:rsidR="004E4CC2" w:rsidRDefault="00000000">
            <w:pPr>
              <w:pStyle w:val="Compact"/>
            </w:pPr>
            <w:r>
              <w:t>90</w:t>
            </w:r>
          </w:p>
        </w:tc>
        <w:tc>
          <w:tcPr>
            <w:tcW w:w="0" w:type="auto"/>
          </w:tcPr>
          <w:p w14:paraId="05DA9580" w14:textId="77777777" w:rsidR="004E4CC2" w:rsidRDefault="00000000">
            <w:pPr>
              <w:pStyle w:val="Compact"/>
            </w:pPr>
            <w:r>
              <w:t>67</w:t>
            </w:r>
          </w:p>
        </w:tc>
      </w:tr>
      <w:tr w:rsidR="004E4CC2" w14:paraId="05002E29" w14:textId="77777777">
        <w:tc>
          <w:tcPr>
            <w:tcW w:w="0" w:type="auto"/>
          </w:tcPr>
          <w:p w14:paraId="549944D2" w14:textId="77777777" w:rsidR="004E4CC2" w:rsidRDefault="00000000">
            <w:pPr>
              <w:pStyle w:val="Compact"/>
            </w:pPr>
            <w:r>
              <w:t>NiWo_2G</w:t>
            </w:r>
          </w:p>
        </w:tc>
        <w:tc>
          <w:tcPr>
            <w:tcW w:w="0" w:type="auto"/>
            <w:gridSpan w:val="2"/>
          </w:tcPr>
          <w:p w14:paraId="16F20322" w14:textId="77777777" w:rsidR="004E4CC2" w:rsidRDefault="00000000">
            <w:pPr>
              <w:pStyle w:val="Compact"/>
            </w:pPr>
            <w:r>
              <w:t>90</w:t>
            </w:r>
          </w:p>
        </w:tc>
        <w:tc>
          <w:tcPr>
            <w:tcW w:w="0" w:type="auto"/>
          </w:tcPr>
          <w:p w14:paraId="5D6EF6D5" w14:textId="77777777" w:rsidR="004E4CC2" w:rsidRDefault="00000000">
            <w:pPr>
              <w:pStyle w:val="Compact"/>
            </w:pPr>
            <w:r>
              <w:t>67</w:t>
            </w:r>
          </w:p>
        </w:tc>
      </w:tr>
      <w:tr w:rsidR="004E4CC2" w14:paraId="4E5A4B29" w14:textId="77777777">
        <w:tc>
          <w:tcPr>
            <w:tcW w:w="0" w:type="auto"/>
          </w:tcPr>
          <w:p w14:paraId="72F79A22" w14:textId="77777777" w:rsidR="004E4CC2" w:rsidRDefault="00000000">
            <w:pPr>
              <w:pStyle w:val="Compact"/>
            </w:pPr>
            <w:r>
              <w:t>NiWo_3G</w:t>
            </w:r>
          </w:p>
        </w:tc>
        <w:tc>
          <w:tcPr>
            <w:tcW w:w="0" w:type="auto"/>
            <w:gridSpan w:val="2"/>
          </w:tcPr>
          <w:p w14:paraId="1FE0EFE2" w14:textId="77777777" w:rsidR="004E4CC2" w:rsidRDefault="00000000">
            <w:pPr>
              <w:pStyle w:val="Compact"/>
            </w:pPr>
            <w:r>
              <w:t>90</w:t>
            </w:r>
          </w:p>
        </w:tc>
        <w:tc>
          <w:tcPr>
            <w:tcW w:w="0" w:type="auto"/>
          </w:tcPr>
          <w:p w14:paraId="135F6960" w14:textId="77777777" w:rsidR="004E4CC2" w:rsidRDefault="00000000">
            <w:pPr>
              <w:pStyle w:val="Compact"/>
            </w:pPr>
            <w:r>
              <w:t>67</w:t>
            </w:r>
          </w:p>
        </w:tc>
      </w:tr>
      <w:tr w:rsidR="004E4CC2" w14:paraId="64B17C08" w14:textId="77777777">
        <w:tc>
          <w:tcPr>
            <w:tcW w:w="0" w:type="auto"/>
          </w:tcPr>
          <w:p w14:paraId="79024214" w14:textId="77777777" w:rsidR="004E4CC2" w:rsidRDefault="00000000">
            <w:pPr>
              <w:pStyle w:val="Compact"/>
            </w:pPr>
            <w:r>
              <w:t>RH_2G</w:t>
            </w:r>
          </w:p>
        </w:tc>
        <w:tc>
          <w:tcPr>
            <w:tcW w:w="0" w:type="auto"/>
            <w:gridSpan w:val="2"/>
          </w:tcPr>
          <w:p w14:paraId="66ADDF77" w14:textId="77777777" w:rsidR="004E4CC2" w:rsidRDefault="00000000">
            <w:pPr>
              <w:pStyle w:val="Compact"/>
            </w:pPr>
            <w:r>
              <w:t>90</w:t>
            </w:r>
          </w:p>
        </w:tc>
        <w:tc>
          <w:tcPr>
            <w:tcW w:w="0" w:type="auto"/>
          </w:tcPr>
          <w:p w14:paraId="3762CF24" w14:textId="77777777" w:rsidR="004E4CC2" w:rsidRDefault="00000000">
            <w:pPr>
              <w:pStyle w:val="Compact"/>
            </w:pPr>
            <w:r>
              <w:t>67</w:t>
            </w:r>
          </w:p>
        </w:tc>
      </w:tr>
    </w:tbl>
    <w:p w14:paraId="07F02496" w14:textId="77777777" w:rsidR="004E4CC2" w:rsidRDefault="00000000">
      <w:pPr>
        <w:pStyle w:val="berschrift2"/>
      </w:pPr>
      <w:bookmarkStart w:id="392" w:name="sec-gebaeude-flaechen"/>
      <w:bookmarkStart w:id="393" w:name="_Toc243681374"/>
      <w:bookmarkEnd w:id="390"/>
      <w:r>
        <w:lastRenderedPageBreak/>
        <w:t>E.3 3. Flächenbilanz und Fortschreibung</w:t>
      </w:r>
      <w:bookmarkEnd w:id="393"/>
    </w:p>
    <w:p w14:paraId="22B854A1" w14:textId="77777777" w:rsidR="004E4CC2" w:rsidRDefault="00000000">
      <w:pPr>
        <w:pStyle w:val="FirstParagraph"/>
      </w:pPr>
      <w:r>
        <w:t xml:space="preserve">Für Typ </w:t>
      </w:r>
      <m:oMath>
        <m:r>
          <w:rPr>
            <w:rFonts w:ascii="Cambria Math" w:hAnsi="Cambria Math"/>
          </w:rPr>
          <m:t>k</m:t>
        </m:r>
      </m:oMath>
      <w:r>
        <w:t xml:space="preserve"> und Zeitpunkt </w:t>
      </w:r>
      <m:oMath>
        <m:r>
          <w:rPr>
            <w:rFonts w:ascii="Cambria Math" w:hAnsi="Cambria Math"/>
          </w:rPr>
          <m:t>y</m:t>
        </m:r>
      </m:oMath>
      <w:r>
        <w:t xml:space="preserve"> gilt </w:t>
      </w:r>
      <m:oMath>
        <m:sSub>
          <m:sSubPr>
            <m:ctrlPr>
              <w:rPr>
                <w:rFonts w:ascii="Cambria Math" w:hAnsi="Cambria Math"/>
              </w:rPr>
            </m:ctrlPr>
          </m:sSubPr>
          <m:e>
            <m:r>
              <w:rPr>
                <w:rFonts w:ascii="Cambria Math" w:hAnsi="Cambria Math"/>
              </w:rPr>
              <m:t>A</m:t>
            </m:r>
          </m:e>
          <m:sub>
            <m:r>
              <w:rPr>
                <w:rFonts w:ascii="Cambria Math" w:hAnsi="Cambria Math"/>
              </w:rPr>
              <m:t>NGF</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A</m:t>
            </m:r>
          </m:e>
          <m:sub>
            <m:r>
              <w:rPr>
                <w:rFonts w:ascii="Cambria Math" w:hAnsi="Cambria Math"/>
              </w:rPr>
              <m:t>BGF</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sub>
        </m:sSub>
      </m:oMath>
      <w:r>
        <w:t xml:space="preserve"> und </w:t>
      </w:r>
      <m:oMath>
        <m:sSub>
          <m:sSubPr>
            <m:ctrlPr>
              <w:rPr>
                <w:rFonts w:ascii="Cambria Math" w:hAnsi="Cambria Math"/>
              </w:rPr>
            </m:ctrlPr>
          </m:sSubPr>
          <m:e>
            <m:r>
              <w:rPr>
                <w:rFonts w:ascii="Cambria Math" w:hAnsi="Cambria Math"/>
              </w:rPr>
              <m:t>w</m:t>
            </m:r>
          </m:e>
          <m:sub>
            <m:r>
              <w:rPr>
                <w:rFonts w:ascii="Cambria Math" w:hAnsi="Cambria Math"/>
              </w:rPr>
              <m:t>k</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BGF</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BGF</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sub>
            </m:sSub>
          </m:e>
        </m:nary>
      </m:oMath>
      <w:r>
        <w:t xml:space="preserve">. Gewichte dienen der Beschreibung </w:t>
      </w:r>
      <w:r>
        <w:rPr>
          <w:b/>
          <w:bCs/>
        </w:rPr>
        <w:t>der gelieferten Summe</w:t>
      </w:r>
      <w:r>
        <w:t>. Es wird keine fremde nationale Gesamtsumme aufgezwungen.</w:t>
      </w:r>
    </w:p>
    <w:p w14:paraId="14935891" w14:textId="77777777" w:rsidR="004E4CC2" w:rsidRDefault="00000000">
      <w:pPr>
        <w:pStyle w:val="Textkrper"/>
      </w:pPr>
      <w:r>
        <w:rPr>
          <w:rStyle w:val="VerbatimChar"/>
        </w:rPr>
        <w:t>reduced.NGF_m2</w:t>
      </w:r>
      <w:r>
        <w:t xml:space="preserve"> und </w:t>
      </w:r>
      <w:r>
        <w:rPr>
          <w:rStyle w:val="VerbatimChar"/>
        </w:rPr>
        <w:t>Strombed_estim.Nationale BGF …</w:t>
      </w:r>
      <w:r>
        <w:t xml:space="preserve"> haben unterschiedliche Flächenbezüge und Variantenabdeckungen. Die alte Summe ist daher kein Ersatz für die neuen Flächen. Leere Werte, echte Nullen und nicht ausgeführte Varianten werden gezählt. Eine zusätzliche Kontrollaggregation über Geometrie/Hülle/Heizung zeigt den Unterschied auch bei Zusammenfassung von PV-/Flexibilitätsvarianten.</w:t>
      </w:r>
    </w:p>
    <w:p w14:paraId="73B96F5D" w14:textId="77777777" w:rsidR="004E4CC2" w:rsidRDefault="00000000">
      <w:pPr>
        <w:pStyle w:val="Textkrper"/>
      </w:pPr>
      <w:r>
        <w:t xml:space="preserve">Bestand, Neubau und Sanierung sind </w:t>
      </w:r>
      <w:r>
        <w:rPr>
          <w:b/>
          <w:bCs/>
        </w:rPr>
        <w:t>Anteile innerhalb eines Archetyps</w:t>
      </w:r>
      <w:r>
        <w:t xml:space="preserve">, keine booleschen Kennzeichen. Die gewichteten Flächen lauten </w:t>
      </w:r>
      <m:oMath>
        <m:sSub>
          <m:sSubPr>
            <m:ctrlPr>
              <w:rPr>
                <w:rFonts w:ascii="Cambria Math" w:hAnsi="Cambria Math"/>
              </w:rPr>
            </m:ctrlPr>
          </m:sSubPr>
          <m:e>
            <m:r>
              <w:rPr>
                <w:rFonts w:ascii="Cambria Math" w:hAnsi="Cambria Math"/>
              </w:rPr>
              <m:t>A</m:t>
            </m:r>
          </m:e>
          <m:sub>
            <m:r>
              <w:rPr>
                <w:rFonts w:ascii="Cambria Math" w:hAnsi="Cambria Math"/>
              </w:rPr>
              <m:t>z</m:t>
            </m:r>
            <m:r>
              <m:rPr>
                <m:sty m:val="p"/>
              </m:rPr>
              <w:rPr>
                <w:rFonts w:ascii="Cambria Math" w:hAnsi="Cambria Math"/>
              </w:rPr>
              <m:t>,</m:t>
            </m:r>
            <m:r>
              <w:rPr>
                <w:rFonts w:ascii="Cambria Math" w:hAnsi="Cambria Math"/>
              </w:rPr>
              <m:t>y</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BGF</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sub>
            </m:sSub>
          </m:e>
        </m:nary>
        <m:sSub>
          <m:sSubPr>
            <m:ctrlPr>
              <w:rPr>
                <w:rFonts w:ascii="Cambria Math" w:hAnsi="Cambria Math"/>
              </w:rPr>
            </m:ctrlPr>
          </m:sSubPr>
          <m:e>
            <m:r>
              <w:rPr>
                <w:rFonts w:ascii="Cambria Math" w:hAnsi="Cambria Math"/>
              </w:rPr>
              <m:t>s</m:t>
            </m:r>
          </m:e>
          <m:sub>
            <m:r>
              <w:rPr>
                <w:rFonts w:ascii="Cambria Math" w:hAnsi="Cambria Math"/>
              </w:rPr>
              <m:t>z</m:t>
            </m:r>
            <m:r>
              <m:rPr>
                <m:sty m:val="p"/>
              </m:rPr>
              <w:rPr>
                <w:rFonts w:ascii="Cambria Math" w:hAnsi="Cambria Math"/>
              </w:rPr>
              <m:t>,</m:t>
            </m:r>
            <m:r>
              <w:rPr>
                <w:rFonts w:ascii="Cambria Math" w:hAnsi="Cambria Math"/>
              </w:rPr>
              <m:t>k</m:t>
            </m:r>
          </m:sub>
        </m:sSub>
      </m:oMath>
      <w:r>
        <w:t>. Ihre Bedeutung wird für 2040 verwendet; ein Anteil allein erklärt noch nicht die Übergänge, Abbrüche oder Sanierungsraten zwischen den Jahren.</w:t>
      </w:r>
    </w:p>
    <w:p w14:paraId="2BF247EF" w14:textId="77777777" w:rsidR="004E4CC2" w:rsidRDefault="00000000">
      <w:pPr>
        <w:pStyle w:val="SourceCode"/>
      </w:pPr>
      <w:r>
        <w:rPr>
          <w:rStyle w:val="NormalTok"/>
        </w:rPr>
        <w:t>area_cols</w:t>
      </w:r>
      <w:r>
        <w:rPr>
          <w:rStyle w:val="OperatorTok"/>
        </w:rPr>
        <w:t>=</w:t>
      </w:r>
      <w:r>
        <w:rPr>
          <w:rStyle w:val="NormalTok"/>
        </w:rPr>
        <w:t>{</w:t>
      </w:r>
      <w:r>
        <w:rPr>
          <w:rStyle w:val="StringTok"/>
        </w:rPr>
        <w:t>'heute'</w:t>
      </w:r>
      <w:r>
        <w:rPr>
          <w:rStyle w:val="NormalTok"/>
        </w:rPr>
        <w:t>:</w:t>
      </w:r>
      <w:r>
        <w:rPr>
          <w:rStyle w:val="StringTok"/>
        </w:rPr>
        <w:t>'Nationale BGF heute'</w:t>
      </w:r>
      <w:r>
        <w:rPr>
          <w:rStyle w:val="NormalTok"/>
        </w:rPr>
        <w:t>,</w:t>
      </w:r>
      <w:r>
        <w:rPr>
          <w:rStyle w:val="StringTok"/>
        </w:rPr>
        <w:t>'2040'</w:t>
      </w:r>
      <w:r>
        <w:rPr>
          <w:rStyle w:val="NormalTok"/>
        </w:rPr>
        <w:t>:</w:t>
      </w:r>
      <w:r>
        <w:rPr>
          <w:rStyle w:val="StringTok"/>
        </w:rPr>
        <w:t>'Nationale BGF 2040'</w:t>
      </w:r>
      <w:r>
        <w:rPr>
          <w:rStyle w:val="NormalTok"/>
        </w:rPr>
        <w:t>,</w:t>
      </w:r>
      <w:r>
        <w:rPr>
          <w:rStyle w:val="StringTok"/>
        </w:rPr>
        <w:t>'2020'</w:t>
      </w:r>
      <w:r>
        <w:rPr>
          <w:rStyle w:val="NormalTok"/>
        </w:rPr>
        <w:t>:</w:t>
      </w:r>
      <w:r>
        <w:rPr>
          <w:rStyle w:val="StringTok"/>
        </w:rPr>
        <w:t>'BGF_2020_m2'</w:t>
      </w:r>
      <w:r>
        <w:rPr>
          <w:rStyle w:val="NormalTok"/>
        </w:rPr>
        <w:t>}</w:t>
      </w:r>
      <w:r>
        <w:br/>
      </w:r>
      <w:r>
        <w:rPr>
          <w:rStyle w:val="ControlFlowTok"/>
        </w:rPr>
        <w:t>for</w:t>
      </w:r>
      <w:r>
        <w:rPr>
          <w:rStyle w:val="NormalTok"/>
        </w:rPr>
        <w:t xml:space="preserve"> c </w:t>
      </w:r>
      <w:r>
        <w:rPr>
          <w:rStyle w:val="KeywordTok"/>
        </w:rPr>
        <w:t>in</w:t>
      </w:r>
      <w:r>
        <w:rPr>
          <w:rStyle w:val="NormalTok"/>
        </w:rPr>
        <w:t xml:space="preserve"> area_cols.values():</w:t>
      </w:r>
      <w:r>
        <w:br/>
      </w:r>
      <w:r>
        <w:rPr>
          <w:rStyle w:val="NormalTok"/>
        </w:rPr>
        <w:t xml:space="preserve">    </w:t>
      </w:r>
      <w:r>
        <w:rPr>
          <w:rStyle w:val="ControlFlowTok"/>
        </w:rPr>
        <w:t>assert</w:t>
      </w:r>
      <w:r>
        <w:rPr>
          <w:rStyle w:val="NormalTok"/>
        </w:rPr>
        <w:t xml:space="preserve"> data[c].dropna().ge(</w:t>
      </w:r>
      <w:r>
        <w:rPr>
          <w:rStyle w:val="DecValTok"/>
        </w:rPr>
        <w:t>0</w:t>
      </w:r>
      <w:r>
        <w:rPr>
          <w:rStyle w:val="NormalTok"/>
        </w:rPr>
        <w:t>).</w:t>
      </w:r>
      <w:r>
        <w:rPr>
          <w:rStyle w:val="BuiltInTok"/>
        </w:rPr>
        <w:t>all</w:t>
      </w:r>
      <w:r>
        <w:rPr>
          <w:rStyle w:val="NormalTok"/>
        </w:rPr>
        <w:t>()</w:t>
      </w:r>
      <w:r>
        <w:br/>
      </w:r>
      <w:r>
        <w:rPr>
          <w:rStyle w:val="NormalTok"/>
        </w:rPr>
        <w:t>areas</w:t>
      </w:r>
      <w:r>
        <w:rPr>
          <w:rStyle w:val="OperatorTok"/>
        </w:rPr>
        <w:t>=</w:t>
      </w:r>
      <w:r>
        <w:rPr>
          <w:rStyle w:val="NormalTok"/>
        </w:rPr>
        <w:t>[]</w:t>
      </w:r>
      <w:r>
        <w:br/>
      </w:r>
      <w:r>
        <w:rPr>
          <w:rStyle w:val="ControlFlowTok"/>
        </w:rPr>
        <w:t>for</w:t>
      </w:r>
      <w:r>
        <w:rPr>
          <w:rStyle w:val="NormalTok"/>
        </w:rPr>
        <w:t xml:space="preserve"> year,c </w:t>
      </w:r>
      <w:r>
        <w:rPr>
          <w:rStyle w:val="KeywordTok"/>
        </w:rPr>
        <w:t>in</w:t>
      </w:r>
      <w:r>
        <w:rPr>
          <w:rStyle w:val="NormalTok"/>
        </w:rPr>
        <w:t xml:space="preserve"> area_cols.items():</w:t>
      </w:r>
      <w:r>
        <w:br/>
      </w:r>
      <w:r>
        <w:rPr>
          <w:rStyle w:val="NormalTok"/>
        </w:rPr>
        <w:t xml:space="preserve">    areas.append({</w:t>
      </w:r>
      <w:r>
        <w:rPr>
          <w:rStyle w:val="StringTok"/>
        </w:rPr>
        <w:t>'Stand'</w:t>
      </w:r>
      <w:r>
        <w:rPr>
          <w:rStyle w:val="NormalTok"/>
        </w:rPr>
        <w:t>:year,</w:t>
      </w:r>
      <w:r>
        <w:rPr>
          <w:rStyle w:val="StringTok"/>
        </w:rPr>
        <w:t>'BGF [Mio. m²]'</w:t>
      </w:r>
      <w:r>
        <w:rPr>
          <w:rStyle w:val="NormalTok"/>
        </w:rPr>
        <w:t>:data[c].</w:t>
      </w:r>
      <w:r>
        <w:rPr>
          <w:rStyle w:val="BuiltInTok"/>
        </w:rPr>
        <w:t>sum</w:t>
      </w:r>
      <w:r>
        <w:rPr>
          <w:rStyle w:val="NormalTok"/>
        </w:rPr>
        <w:t>(min_count</w:t>
      </w:r>
      <w:r>
        <w:rPr>
          <w:rStyle w:val="OperatorTok"/>
        </w:rPr>
        <w:t>=</w:t>
      </w:r>
      <w:r>
        <w:rPr>
          <w:rStyle w:val="DecValTok"/>
        </w:rPr>
        <w:t>1</w:t>
      </w:r>
      <w:r>
        <w:rPr>
          <w:rStyle w:val="NormalTok"/>
        </w:rPr>
        <w:t>)</w:t>
      </w:r>
      <w:r>
        <w:rPr>
          <w:rStyle w:val="OperatorTok"/>
        </w:rPr>
        <w:t>/</w:t>
      </w:r>
      <w:r>
        <w:rPr>
          <w:rStyle w:val="FloatTok"/>
        </w:rPr>
        <w:t>1e6</w:t>
      </w:r>
      <w:r>
        <w:rPr>
          <w:rStyle w:val="NormalTok"/>
        </w:rPr>
        <w:t>,</w:t>
      </w:r>
      <w:r>
        <w:br/>
      </w:r>
      <w:r>
        <w:rPr>
          <w:rStyle w:val="NormalTok"/>
        </w:rPr>
        <w:t xml:space="preserve">                  </w:t>
      </w:r>
      <w:r>
        <w:rPr>
          <w:rStyle w:val="StringTok"/>
        </w:rPr>
        <w:t>'NGF [Mio. m²]'</w:t>
      </w:r>
      <w:r>
        <w:rPr>
          <w:rStyle w:val="NormalTok"/>
        </w:rPr>
        <w:t>:r</w:t>
      </w:r>
      <w:r>
        <w:rPr>
          <w:rStyle w:val="OperatorTok"/>
        </w:rPr>
        <w:t>*</w:t>
      </w:r>
      <w:r>
        <w:rPr>
          <w:rStyle w:val="NormalTok"/>
        </w:rPr>
        <w:t>data[c].</w:t>
      </w:r>
      <w:r>
        <w:rPr>
          <w:rStyle w:val="BuiltInTok"/>
        </w:rPr>
        <w:t>sum</w:t>
      </w:r>
      <w:r>
        <w:rPr>
          <w:rStyle w:val="NormalTok"/>
        </w:rPr>
        <w:t>(min_count</w:t>
      </w:r>
      <w:r>
        <w:rPr>
          <w:rStyle w:val="OperatorTok"/>
        </w:rPr>
        <w:t>=</w:t>
      </w:r>
      <w:r>
        <w:rPr>
          <w:rStyle w:val="DecValTok"/>
        </w:rPr>
        <w:t>1</w:t>
      </w:r>
      <w:r>
        <w:rPr>
          <w:rStyle w:val="NormalTok"/>
        </w:rPr>
        <w:t>)</w:t>
      </w:r>
      <w:r>
        <w:rPr>
          <w:rStyle w:val="OperatorTok"/>
        </w:rPr>
        <w:t>/</w:t>
      </w:r>
      <w:r>
        <w:rPr>
          <w:rStyle w:val="FloatTok"/>
        </w:rPr>
        <w:t>1e6</w:t>
      </w:r>
      <w:r>
        <w:rPr>
          <w:rStyle w:val="NormalTok"/>
        </w:rPr>
        <w:t>,</w:t>
      </w:r>
      <w:r>
        <w:br/>
      </w:r>
      <w:r>
        <w:rPr>
          <w:rStyle w:val="NormalTok"/>
        </w:rPr>
        <w:t xml:space="preserve">                  </w:t>
      </w:r>
      <w:r>
        <w:rPr>
          <w:rStyle w:val="StringTok"/>
        </w:rPr>
        <w:t>'positiv'</w:t>
      </w:r>
      <w:r>
        <w:rPr>
          <w:rStyle w:val="NormalTok"/>
        </w:rPr>
        <w:t>:</w:t>
      </w:r>
      <w:r>
        <w:rPr>
          <w:rStyle w:val="BuiltInTok"/>
        </w:rPr>
        <w:t>int</w:t>
      </w:r>
      <w:r>
        <w:rPr>
          <w:rStyle w:val="NormalTok"/>
        </w:rPr>
        <w:t>(data[c].gt(</w:t>
      </w:r>
      <w:r>
        <w:rPr>
          <w:rStyle w:val="DecValTok"/>
        </w:rPr>
        <w:t>0</w:t>
      </w:r>
      <w:r>
        <w:rPr>
          <w:rStyle w:val="NormalTok"/>
        </w:rPr>
        <w:t>).</w:t>
      </w:r>
      <w:r>
        <w:rPr>
          <w:rStyle w:val="BuiltInTok"/>
        </w:rPr>
        <w:t>sum</w:t>
      </w:r>
      <w:r>
        <w:rPr>
          <w:rStyle w:val="NormalTok"/>
        </w:rPr>
        <w:t>()),</w:t>
      </w:r>
      <w:r>
        <w:rPr>
          <w:rStyle w:val="StringTok"/>
        </w:rPr>
        <w:t>'Null'</w:t>
      </w:r>
      <w:r>
        <w:rPr>
          <w:rStyle w:val="NormalTok"/>
        </w:rPr>
        <w:t>:</w:t>
      </w:r>
      <w:r>
        <w:rPr>
          <w:rStyle w:val="BuiltInTok"/>
        </w:rPr>
        <w:t>int</w:t>
      </w:r>
      <w:r>
        <w:rPr>
          <w:rStyle w:val="NormalTok"/>
        </w:rPr>
        <w:t>(data[c].eq(</w:t>
      </w:r>
      <w:r>
        <w:rPr>
          <w:rStyle w:val="DecValTok"/>
        </w:rPr>
        <w:t>0</w:t>
      </w:r>
      <w:r>
        <w:rPr>
          <w:rStyle w:val="NormalTok"/>
        </w:rPr>
        <w:t>).</w:t>
      </w:r>
      <w:r>
        <w:rPr>
          <w:rStyle w:val="BuiltInTok"/>
        </w:rPr>
        <w:t>sum</w:t>
      </w:r>
      <w:r>
        <w:rPr>
          <w:rStyle w:val="NormalTok"/>
        </w:rPr>
        <w:t>()),</w:t>
      </w:r>
      <w:r>
        <w:rPr>
          <w:rStyle w:val="StringTok"/>
        </w:rPr>
        <w:t>'fehlend'</w:t>
      </w:r>
      <w:r>
        <w:rPr>
          <w:rStyle w:val="NormalTok"/>
        </w:rPr>
        <w:t>:</w:t>
      </w:r>
      <w:r>
        <w:rPr>
          <w:rStyle w:val="BuiltInTok"/>
        </w:rPr>
        <w:t>int</w:t>
      </w:r>
      <w:r>
        <w:rPr>
          <w:rStyle w:val="NormalTok"/>
        </w:rPr>
        <w:t>(data[c].isna().</w:t>
      </w:r>
      <w:r>
        <w:rPr>
          <w:rStyle w:val="BuiltInTok"/>
        </w:rPr>
        <w:t>sum</w:t>
      </w:r>
      <w:r>
        <w:rPr>
          <w:rStyle w:val="NormalTok"/>
        </w:rPr>
        <w:t>())})</w:t>
      </w:r>
      <w:r>
        <w:br/>
      </w:r>
      <w:r>
        <w:rPr>
          <w:rStyle w:val="NormalTok"/>
        </w:rPr>
        <w:t>area_summary</w:t>
      </w:r>
      <w:r>
        <w:rPr>
          <w:rStyle w:val="OperatorTok"/>
        </w:rPr>
        <w:t>=</w:t>
      </w:r>
      <w:r>
        <w:rPr>
          <w:rStyle w:val="NormalTok"/>
        </w:rPr>
        <w:t>pd.DataFrame(areas)</w:t>
      </w:r>
      <w:r>
        <w:rPr>
          <w:rStyle w:val="OperatorTok"/>
        </w:rPr>
        <w:t>;</w:t>
      </w:r>
      <w:r>
        <w:rPr>
          <w:rStyle w:val="NormalTok"/>
        </w:rPr>
        <w:t>display(area_summary)</w:t>
      </w:r>
      <w:r>
        <w:br/>
      </w:r>
      <w:r>
        <w:rPr>
          <w:rStyle w:val="ControlFlowTok"/>
        </w:rPr>
        <w:t>for</w:t>
      </w:r>
      <w:r>
        <w:rPr>
          <w:rStyle w:val="NormalTok"/>
        </w:rPr>
        <w:t xml:space="preserve"> year,share </w:t>
      </w:r>
      <w:r>
        <w:rPr>
          <w:rStyle w:val="KeywordTok"/>
        </w:rPr>
        <w:t>in</w:t>
      </w:r>
      <w:r>
        <w:rPr>
          <w:rStyle w:val="NormalTok"/>
        </w:rPr>
        <w:t xml:space="preserve"> [(</w:t>
      </w:r>
      <w:r>
        <w:rPr>
          <w:rStyle w:val="StringTok"/>
        </w:rPr>
        <w:t>'heute'</w:t>
      </w:r>
      <w:r>
        <w:rPr>
          <w:rStyle w:val="NormalTok"/>
        </w:rPr>
        <w:t>,</w:t>
      </w:r>
      <w:r>
        <w:rPr>
          <w:rStyle w:val="StringTok"/>
        </w:rPr>
        <w:t>'Flächenanteil heute'</w:t>
      </w:r>
      <w:r>
        <w:rPr>
          <w:rStyle w:val="NormalTok"/>
        </w:rPr>
        <w:t>),(</w:t>
      </w:r>
      <w:r>
        <w:rPr>
          <w:rStyle w:val="StringTok"/>
        </w:rPr>
        <w:t>'2040'</w:t>
      </w:r>
      <w:r>
        <w:rPr>
          <w:rStyle w:val="NormalTok"/>
        </w:rPr>
        <w:t>,</w:t>
      </w:r>
      <w:r>
        <w:rPr>
          <w:rStyle w:val="StringTok"/>
        </w:rPr>
        <w:t>'Flächenanteil 2040'</w:t>
      </w:r>
      <w:r>
        <w:rPr>
          <w:rStyle w:val="NormalTok"/>
        </w:rPr>
        <w:t>)]:</w:t>
      </w:r>
      <w:r>
        <w:br/>
      </w:r>
      <w:r>
        <w:rPr>
          <w:rStyle w:val="NormalTok"/>
        </w:rPr>
        <w:t xml:space="preserve">    </w:t>
      </w:r>
      <w:r>
        <w:rPr>
          <w:rStyle w:val="CommentTok"/>
        </w:rPr>
        <w:t># Quellanteile prüfen; nach redaktioneller Änderung absolute Flächen maßgeblich halten.</w:t>
      </w:r>
      <w:r>
        <w:br/>
      </w:r>
      <w:r>
        <w:rPr>
          <w:rStyle w:val="NormalTok"/>
        </w:rPr>
        <w:t xml:space="preserve">    expected</w:t>
      </w:r>
      <w:r>
        <w:rPr>
          <w:rStyle w:val="OperatorTok"/>
        </w:rPr>
        <w:t>=</w:t>
      </w:r>
      <w:r>
        <w:rPr>
          <w:rStyle w:val="NormalTok"/>
        </w:rPr>
        <w:t>data[area_cols[year]]</w:t>
      </w:r>
      <w:r>
        <w:rPr>
          <w:rStyle w:val="OperatorTok"/>
        </w:rPr>
        <w:t>/</w:t>
      </w:r>
      <w:r>
        <w:rPr>
          <w:rStyle w:val="NormalTok"/>
        </w:rPr>
        <w:t>data[area_cols[year]].</w:t>
      </w:r>
      <w:r>
        <w:rPr>
          <w:rStyle w:val="BuiltInTok"/>
        </w:rPr>
        <w:t>sum</w:t>
      </w:r>
      <w:r>
        <w:rPr>
          <w:rStyle w:val="NormalTok"/>
        </w:rPr>
        <w:t>(min_count</w:t>
      </w:r>
      <w:r>
        <w:rPr>
          <w:rStyle w:val="OperatorTok"/>
        </w:rPr>
        <w:t>=</w:t>
      </w:r>
      <w:r>
        <w:rPr>
          <w:rStyle w:val="DecValTok"/>
        </w:rPr>
        <w:t>1</w:t>
      </w:r>
      <w:r>
        <w:rPr>
          <w:rStyle w:val="NormalTok"/>
        </w:rPr>
        <w:t>)</w:t>
      </w:r>
      <w:r>
        <w:br/>
      </w:r>
      <w:r>
        <w:rPr>
          <w:rStyle w:val="NormalTok"/>
        </w:rPr>
        <w:t xml:space="preserve">    </w:t>
      </w:r>
      <w:r>
        <w:rPr>
          <w:rStyle w:val="BuiltInTok"/>
        </w:rPr>
        <w:t>print</w:t>
      </w:r>
      <w:r>
        <w:rPr>
          <w:rStyle w:val="NormalTok"/>
        </w:rPr>
        <w:t>(year,</w:t>
      </w:r>
      <w:r>
        <w:rPr>
          <w:rStyle w:val="StringTok"/>
        </w:rPr>
        <w:t>'max. Abweichung der gelieferten Anteilsfelder:'</w:t>
      </w:r>
      <w:r>
        <w:rPr>
          <w:rStyle w:val="NormalTok"/>
        </w:rPr>
        <w:t>,</w:t>
      </w:r>
      <w:r>
        <w:rPr>
          <w:rStyle w:val="BuiltInTok"/>
        </w:rPr>
        <w:t>abs</w:t>
      </w:r>
      <w:r>
        <w:rPr>
          <w:rStyle w:val="NormalTok"/>
        </w:rPr>
        <w:t>(data[share]</w:t>
      </w:r>
      <w:r>
        <w:rPr>
          <w:rStyle w:val="OperatorTok"/>
        </w:rPr>
        <w:t>-</w:t>
      </w:r>
      <w:r>
        <w:rPr>
          <w:rStyle w:val="NormalTok"/>
        </w:rPr>
        <w:t>expected).</w:t>
      </w:r>
      <w:r>
        <w:rPr>
          <w:rStyle w:val="BuiltInTok"/>
        </w:rPr>
        <w:t>max</w:t>
      </w:r>
      <w:r>
        <w:rPr>
          <w:rStyle w:val="NormalTok"/>
        </w:rPr>
        <w:t>())</w:t>
      </w:r>
      <w:r>
        <w:br/>
      </w:r>
      <w:r>
        <w:rPr>
          <w:rStyle w:val="NormalTok"/>
        </w:rPr>
        <w:t>old</w:t>
      </w:r>
      <w:r>
        <w:rPr>
          <w:rStyle w:val="OperatorTok"/>
        </w:rPr>
        <w:t>=</w:t>
      </w:r>
      <w:r>
        <w:rPr>
          <w:rStyle w:val="NormalTok"/>
        </w:rPr>
        <w:t>source[</w:t>
      </w:r>
      <w:r>
        <w:rPr>
          <w:rStyle w:val="StringTok"/>
        </w:rPr>
        <w:t>'reduced'</w:t>
      </w:r>
      <w:r>
        <w:rPr>
          <w:rStyle w:val="NormalTok"/>
        </w:rPr>
        <w:t>]</w:t>
      </w:r>
      <w:r>
        <w:rPr>
          <w:rStyle w:val="OperatorTok"/>
        </w:rPr>
        <w:t>;</w:t>
      </w:r>
      <w:r>
        <w:rPr>
          <w:rStyle w:val="NormalTok"/>
        </w:rPr>
        <w:t xml:space="preserve"> old_area</w:t>
      </w:r>
      <w:r>
        <w:rPr>
          <w:rStyle w:val="OperatorTok"/>
        </w:rPr>
        <w:t>=</w:t>
      </w:r>
      <w:r>
        <w:rPr>
          <w:rStyle w:val="NormalTok"/>
        </w:rPr>
        <w:t>pd.to_numeric(old.NGF_m2,errors</w:t>
      </w:r>
      <w:r>
        <w:rPr>
          <w:rStyle w:val="OperatorTok"/>
        </w:rPr>
        <w:t>=</w:t>
      </w:r>
      <w:r>
        <w:rPr>
          <w:rStyle w:val="StringTok"/>
        </w:rPr>
        <w:t>'coerce'</w:t>
      </w:r>
      <w:r>
        <w:rPr>
          <w:rStyle w:val="NormalTok"/>
        </w:rPr>
        <w:t>)</w:t>
      </w:r>
      <w:r>
        <w:br/>
      </w:r>
      <w:r>
        <w:rPr>
          <w:rStyle w:val="NormalTok"/>
        </w:rPr>
        <w:t>area_audit</w:t>
      </w:r>
      <w:r>
        <w:rPr>
          <w:rStyle w:val="OperatorTok"/>
        </w:rPr>
        <w:t>=</w:t>
      </w:r>
      <w:r>
        <w:rPr>
          <w:rStyle w:val="NormalTok"/>
        </w:rPr>
        <w:t>pd.DataFrame([</w:t>
      </w:r>
      <w:r>
        <w:br/>
      </w:r>
      <w:r>
        <w:rPr>
          <w:rStyle w:val="NormalTok"/>
        </w:rPr>
        <w:t xml:space="preserve"> {</w:t>
      </w:r>
      <w:r>
        <w:rPr>
          <w:rStyle w:val="StringTok"/>
        </w:rPr>
        <w:t>'Datensatz'</w:t>
      </w:r>
      <w:r>
        <w:rPr>
          <w:rStyle w:val="NormalTok"/>
        </w:rPr>
        <w:t>:</w:t>
      </w:r>
      <w:r>
        <w:rPr>
          <w:rStyle w:val="StringTok"/>
        </w:rPr>
        <w:t>'reduced (NGF, alter Stand)'</w:t>
      </w:r>
      <w:r>
        <w:rPr>
          <w:rStyle w:val="NormalTok"/>
        </w:rPr>
        <w:t>,</w:t>
      </w:r>
      <w:r>
        <w:rPr>
          <w:rStyle w:val="StringTok"/>
        </w:rPr>
        <w:t>'NGF [Mio. m²]'</w:t>
      </w:r>
      <w:r>
        <w:rPr>
          <w:rStyle w:val="NormalTok"/>
        </w:rPr>
        <w:t>:old_area.</w:t>
      </w:r>
      <w:r>
        <w:rPr>
          <w:rStyle w:val="BuiltInTok"/>
        </w:rPr>
        <w:t>sum</w:t>
      </w:r>
      <w:r>
        <w:rPr>
          <w:rStyle w:val="NormalTok"/>
        </w:rPr>
        <w:t>(min_count</w:t>
      </w:r>
      <w:r>
        <w:rPr>
          <w:rStyle w:val="OperatorTok"/>
        </w:rPr>
        <w:t>=</w:t>
      </w:r>
      <w:r>
        <w:rPr>
          <w:rStyle w:val="DecValTok"/>
        </w:rPr>
        <w:t>1</w:t>
      </w:r>
      <w:r>
        <w:rPr>
          <w:rStyle w:val="NormalTok"/>
        </w:rPr>
        <w:t>)</w:t>
      </w:r>
      <w:r>
        <w:rPr>
          <w:rStyle w:val="OperatorTok"/>
        </w:rPr>
        <w:t>/</w:t>
      </w:r>
      <w:r>
        <w:rPr>
          <w:rStyle w:val="FloatTok"/>
        </w:rPr>
        <w:t>1e6</w:t>
      </w:r>
      <w:r>
        <w:rPr>
          <w:rStyle w:val="NormalTok"/>
        </w:rPr>
        <w:t>,</w:t>
      </w:r>
      <w:r>
        <w:rPr>
          <w:rStyle w:val="StringTok"/>
        </w:rPr>
        <w:t>'positiv'</w:t>
      </w:r>
      <w:r>
        <w:rPr>
          <w:rStyle w:val="NormalTok"/>
        </w:rPr>
        <w:t>:old_area.gt(</w:t>
      </w:r>
      <w:r>
        <w:rPr>
          <w:rStyle w:val="DecValTok"/>
        </w:rPr>
        <w:t>0</w:t>
      </w:r>
      <w:r>
        <w:rPr>
          <w:rStyle w:val="NormalTok"/>
        </w:rPr>
        <w:t>).</w:t>
      </w:r>
      <w:r>
        <w:rPr>
          <w:rStyle w:val="BuiltInTok"/>
        </w:rPr>
        <w:t>sum</w:t>
      </w:r>
      <w:r>
        <w:rPr>
          <w:rStyle w:val="NormalTok"/>
        </w:rPr>
        <w:t>(),</w:t>
      </w:r>
      <w:r>
        <w:rPr>
          <w:rStyle w:val="StringTok"/>
        </w:rPr>
        <w:t>'Null'</w:t>
      </w:r>
      <w:r>
        <w:rPr>
          <w:rStyle w:val="NormalTok"/>
        </w:rPr>
        <w:t>:old_area.eq(</w:t>
      </w:r>
      <w:r>
        <w:rPr>
          <w:rStyle w:val="DecValTok"/>
        </w:rPr>
        <w:t>0</w:t>
      </w:r>
      <w:r>
        <w:rPr>
          <w:rStyle w:val="NormalTok"/>
        </w:rPr>
        <w:t>).</w:t>
      </w:r>
      <w:r>
        <w:rPr>
          <w:rStyle w:val="BuiltInTok"/>
        </w:rPr>
        <w:t>sum</w:t>
      </w:r>
      <w:r>
        <w:rPr>
          <w:rStyle w:val="NormalTok"/>
        </w:rPr>
        <w:t>(),</w:t>
      </w:r>
      <w:r>
        <w:rPr>
          <w:rStyle w:val="StringTok"/>
        </w:rPr>
        <w:t>'fehlend'</w:t>
      </w:r>
      <w:r>
        <w:rPr>
          <w:rStyle w:val="NormalTok"/>
        </w:rPr>
        <w:t>:old_area.isna().</w:t>
      </w:r>
      <w:r>
        <w:rPr>
          <w:rStyle w:val="BuiltInTok"/>
        </w:rPr>
        <w:t>sum</w:t>
      </w:r>
      <w:r>
        <w:rPr>
          <w:rStyle w:val="NormalTok"/>
        </w:rPr>
        <w:t>()},</w:t>
      </w:r>
      <w:r>
        <w:br/>
      </w:r>
      <w:r>
        <w:rPr>
          <w:rStyle w:val="NormalTok"/>
        </w:rPr>
        <w:t xml:space="preserve"> {</w:t>
      </w:r>
      <w:r>
        <w:rPr>
          <w:rStyle w:val="StringTok"/>
        </w:rPr>
        <w:t>'Datensatz'</w:t>
      </w:r>
      <w:r>
        <w:rPr>
          <w:rStyle w:val="NormalTok"/>
        </w:rPr>
        <w:t>:</w:t>
      </w:r>
      <w:r>
        <w:rPr>
          <w:rStyle w:val="StringTok"/>
        </w:rPr>
        <w:t>'Strombed_estim heute (BGF × r)'</w:t>
      </w:r>
      <w:r>
        <w:rPr>
          <w:rStyle w:val="NormalTok"/>
        </w:rPr>
        <w:t>,</w:t>
      </w:r>
      <w:r>
        <w:rPr>
          <w:rStyle w:val="StringTok"/>
        </w:rPr>
        <w:t>'NGF [Mio. m²]'</w:t>
      </w:r>
      <w:r>
        <w:rPr>
          <w:rStyle w:val="NormalTok"/>
        </w:rPr>
        <w:t>:r</w:t>
      </w:r>
      <w:r>
        <w:rPr>
          <w:rStyle w:val="OperatorTok"/>
        </w:rPr>
        <w:t>*</w:t>
      </w:r>
      <w:r>
        <w:rPr>
          <w:rStyle w:val="NormalTok"/>
        </w:rPr>
        <w:t>data[</w:t>
      </w:r>
      <w:r>
        <w:rPr>
          <w:rStyle w:val="StringTok"/>
        </w:rPr>
        <w:t>'Nationale BGF heute'</w:t>
      </w:r>
      <w:r>
        <w:rPr>
          <w:rStyle w:val="NormalTok"/>
        </w:rPr>
        <w:t>].</w:t>
      </w:r>
      <w:r>
        <w:rPr>
          <w:rStyle w:val="BuiltInTok"/>
        </w:rPr>
        <w:t>sum</w:t>
      </w:r>
      <w:r>
        <w:rPr>
          <w:rStyle w:val="NormalTok"/>
        </w:rPr>
        <w:t>()</w:t>
      </w:r>
      <w:r>
        <w:rPr>
          <w:rStyle w:val="OperatorTok"/>
        </w:rPr>
        <w:t>/</w:t>
      </w:r>
      <w:r>
        <w:rPr>
          <w:rStyle w:val="FloatTok"/>
        </w:rPr>
        <w:t>1e6</w:t>
      </w:r>
      <w:r>
        <w:rPr>
          <w:rStyle w:val="NormalTok"/>
        </w:rPr>
        <w:t>,</w:t>
      </w:r>
      <w:r>
        <w:rPr>
          <w:rStyle w:val="StringTok"/>
        </w:rPr>
        <w:t>'positiv'</w:t>
      </w:r>
      <w:r>
        <w:rPr>
          <w:rStyle w:val="NormalTok"/>
        </w:rPr>
        <w:t>:data[</w:t>
      </w:r>
      <w:r>
        <w:rPr>
          <w:rStyle w:val="StringTok"/>
        </w:rPr>
        <w:t>'Nationale BGF heute'</w:t>
      </w:r>
      <w:r>
        <w:rPr>
          <w:rStyle w:val="NormalTok"/>
        </w:rPr>
        <w:t>].gt(</w:t>
      </w:r>
      <w:r>
        <w:rPr>
          <w:rStyle w:val="DecValTok"/>
        </w:rPr>
        <w:t>0</w:t>
      </w:r>
      <w:r>
        <w:rPr>
          <w:rStyle w:val="NormalTok"/>
        </w:rPr>
        <w:t>).</w:t>
      </w:r>
      <w:r>
        <w:rPr>
          <w:rStyle w:val="BuiltInTok"/>
        </w:rPr>
        <w:t>sum</w:t>
      </w:r>
      <w:r>
        <w:rPr>
          <w:rStyle w:val="NormalTok"/>
        </w:rPr>
        <w:t>(),</w:t>
      </w:r>
      <w:r>
        <w:rPr>
          <w:rStyle w:val="StringTok"/>
        </w:rPr>
        <w:t>'Null'</w:t>
      </w:r>
      <w:r>
        <w:rPr>
          <w:rStyle w:val="NormalTok"/>
        </w:rPr>
        <w:t>:data[</w:t>
      </w:r>
      <w:r>
        <w:rPr>
          <w:rStyle w:val="StringTok"/>
        </w:rPr>
        <w:t>'Nationale BGF heute'</w:t>
      </w:r>
      <w:r>
        <w:rPr>
          <w:rStyle w:val="NormalTok"/>
        </w:rPr>
        <w:t>].eq(</w:t>
      </w:r>
      <w:r>
        <w:rPr>
          <w:rStyle w:val="DecValTok"/>
        </w:rPr>
        <w:t>0</w:t>
      </w:r>
      <w:r>
        <w:rPr>
          <w:rStyle w:val="NormalTok"/>
        </w:rPr>
        <w:t>).</w:t>
      </w:r>
      <w:r>
        <w:rPr>
          <w:rStyle w:val="BuiltInTok"/>
        </w:rPr>
        <w:t>sum</w:t>
      </w:r>
      <w:r>
        <w:rPr>
          <w:rStyle w:val="NormalTok"/>
        </w:rPr>
        <w:t>(),</w:t>
      </w:r>
      <w:r>
        <w:rPr>
          <w:rStyle w:val="StringTok"/>
        </w:rPr>
        <w:t>'fehlend'</w:t>
      </w:r>
      <w:r>
        <w:rPr>
          <w:rStyle w:val="NormalTok"/>
        </w:rPr>
        <w:t>:data[</w:t>
      </w:r>
      <w:r>
        <w:rPr>
          <w:rStyle w:val="StringTok"/>
        </w:rPr>
        <w:t>'Nationale BGF heute'</w:t>
      </w:r>
      <w:r>
        <w:rPr>
          <w:rStyle w:val="NormalTok"/>
        </w:rPr>
        <w:t>].isna().</w:t>
      </w:r>
      <w:r>
        <w:rPr>
          <w:rStyle w:val="BuiltInTok"/>
        </w:rPr>
        <w:t>sum</w:t>
      </w:r>
      <w:r>
        <w:rPr>
          <w:rStyle w:val="NormalTok"/>
        </w:rPr>
        <w:t>()},</w:t>
      </w:r>
      <w:r>
        <w:br/>
      </w:r>
      <w:r>
        <w:rPr>
          <w:rStyle w:val="NormalTok"/>
        </w:rPr>
        <w:t xml:space="preserve"> {</w:t>
      </w:r>
      <w:r>
        <w:rPr>
          <w:rStyle w:val="StringTok"/>
        </w:rPr>
        <w:t>'Datensatz'</w:t>
      </w:r>
      <w:r>
        <w:rPr>
          <w:rStyle w:val="NormalTok"/>
        </w:rPr>
        <w:t>:</w:t>
      </w:r>
      <w:r>
        <w:rPr>
          <w:rStyle w:val="StringTok"/>
        </w:rPr>
        <w:t>'Strombed_estim 2040 (BGF × r)'</w:t>
      </w:r>
      <w:r>
        <w:rPr>
          <w:rStyle w:val="NormalTok"/>
        </w:rPr>
        <w:t>,</w:t>
      </w:r>
      <w:r>
        <w:rPr>
          <w:rStyle w:val="StringTok"/>
        </w:rPr>
        <w:t>'NGF [Mio. m²]'</w:t>
      </w:r>
      <w:r>
        <w:rPr>
          <w:rStyle w:val="NormalTok"/>
        </w:rPr>
        <w:t>:r</w:t>
      </w:r>
      <w:r>
        <w:rPr>
          <w:rStyle w:val="OperatorTok"/>
        </w:rPr>
        <w:t>*</w:t>
      </w:r>
      <w:r>
        <w:rPr>
          <w:rStyle w:val="NormalTok"/>
        </w:rPr>
        <w:t>data[</w:t>
      </w:r>
      <w:r>
        <w:rPr>
          <w:rStyle w:val="StringTok"/>
        </w:rPr>
        <w:t>'Nationale BGF 2040'</w:t>
      </w:r>
      <w:r>
        <w:rPr>
          <w:rStyle w:val="NormalTok"/>
        </w:rPr>
        <w:t>].</w:t>
      </w:r>
      <w:r>
        <w:rPr>
          <w:rStyle w:val="BuiltInTok"/>
        </w:rPr>
        <w:t>sum</w:t>
      </w:r>
      <w:r>
        <w:rPr>
          <w:rStyle w:val="NormalTok"/>
        </w:rPr>
        <w:t>()</w:t>
      </w:r>
      <w:r>
        <w:rPr>
          <w:rStyle w:val="OperatorTok"/>
        </w:rPr>
        <w:t>/</w:t>
      </w:r>
      <w:r>
        <w:rPr>
          <w:rStyle w:val="FloatTok"/>
        </w:rPr>
        <w:t>1e6</w:t>
      </w:r>
      <w:r>
        <w:rPr>
          <w:rStyle w:val="NormalTok"/>
        </w:rPr>
        <w:t>,</w:t>
      </w:r>
      <w:r>
        <w:rPr>
          <w:rStyle w:val="StringTok"/>
        </w:rPr>
        <w:t>'positiv'</w:t>
      </w:r>
      <w:r>
        <w:rPr>
          <w:rStyle w:val="NormalTok"/>
        </w:rPr>
        <w:t>:data[</w:t>
      </w:r>
      <w:r>
        <w:rPr>
          <w:rStyle w:val="StringTok"/>
        </w:rPr>
        <w:t>'Nationale BGF 2040'</w:t>
      </w:r>
      <w:r>
        <w:rPr>
          <w:rStyle w:val="NormalTok"/>
        </w:rPr>
        <w:t>].gt(</w:t>
      </w:r>
      <w:r>
        <w:rPr>
          <w:rStyle w:val="DecValTok"/>
        </w:rPr>
        <w:t>0</w:t>
      </w:r>
      <w:r>
        <w:rPr>
          <w:rStyle w:val="NormalTok"/>
        </w:rPr>
        <w:t>).</w:t>
      </w:r>
      <w:r>
        <w:rPr>
          <w:rStyle w:val="BuiltInTok"/>
        </w:rPr>
        <w:t>sum</w:t>
      </w:r>
      <w:r>
        <w:rPr>
          <w:rStyle w:val="NormalTok"/>
        </w:rPr>
        <w:t>(),</w:t>
      </w:r>
      <w:r>
        <w:rPr>
          <w:rStyle w:val="StringTok"/>
        </w:rPr>
        <w:t>'Null'</w:t>
      </w:r>
      <w:r>
        <w:rPr>
          <w:rStyle w:val="NormalTok"/>
        </w:rPr>
        <w:t>:data[</w:t>
      </w:r>
      <w:r>
        <w:rPr>
          <w:rStyle w:val="StringTok"/>
        </w:rPr>
        <w:t>'Nationale BGF 2040'</w:t>
      </w:r>
      <w:r>
        <w:rPr>
          <w:rStyle w:val="NormalTok"/>
        </w:rPr>
        <w:t>].eq(</w:t>
      </w:r>
      <w:r>
        <w:rPr>
          <w:rStyle w:val="DecValTok"/>
        </w:rPr>
        <w:t>0</w:t>
      </w:r>
      <w:r>
        <w:rPr>
          <w:rStyle w:val="NormalTok"/>
        </w:rPr>
        <w:t>).</w:t>
      </w:r>
      <w:r>
        <w:rPr>
          <w:rStyle w:val="BuiltInTok"/>
        </w:rPr>
        <w:t>sum</w:t>
      </w:r>
      <w:r>
        <w:rPr>
          <w:rStyle w:val="NormalTok"/>
        </w:rPr>
        <w:t>(),</w:t>
      </w:r>
      <w:r>
        <w:rPr>
          <w:rStyle w:val="StringTok"/>
        </w:rPr>
        <w:t>'fehlend'</w:t>
      </w:r>
      <w:r>
        <w:rPr>
          <w:rStyle w:val="NormalTok"/>
        </w:rPr>
        <w:t>:data[</w:t>
      </w:r>
      <w:r>
        <w:rPr>
          <w:rStyle w:val="StringTok"/>
        </w:rPr>
        <w:t>'Nationale BGF 2040'</w:t>
      </w:r>
      <w:r>
        <w:rPr>
          <w:rStyle w:val="NormalTok"/>
        </w:rPr>
        <w:t>].isna().</w:t>
      </w:r>
      <w:r>
        <w:rPr>
          <w:rStyle w:val="BuiltInTok"/>
        </w:rPr>
        <w:t>sum</w:t>
      </w:r>
      <w:r>
        <w:rPr>
          <w:rStyle w:val="NormalTok"/>
        </w:rPr>
        <w:t>()}])</w:t>
      </w:r>
      <w:r>
        <w:br/>
      </w:r>
      <w:r>
        <w:rPr>
          <w:rStyle w:val="NormalTok"/>
        </w:rPr>
        <w:t>display(area_audit)</w:t>
      </w:r>
      <w:r>
        <w:br/>
      </w:r>
      <w:r>
        <w:rPr>
          <w:rStyle w:val="NormalTok"/>
        </w:rPr>
        <w:t>old[</w:t>
      </w:r>
      <w:r>
        <w:rPr>
          <w:rStyle w:val="StringTok"/>
        </w:rPr>
        <w:t>'Kern'</w:t>
      </w:r>
      <w:r>
        <w:rPr>
          <w:rStyle w:val="NormalTok"/>
        </w:rPr>
        <w:t>]</w:t>
      </w:r>
      <w:r>
        <w:rPr>
          <w:rStyle w:val="OperatorTok"/>
        </w:rPr>
        <w:t>=</w:t>
      </w:r>
      <w:r>
        <w:rPr>
          <w:rStyle w:val="NormalTok"/>
        </w:rPr>
        <w:t>old[</w:t>
      </w:r>
      <w:r>
        <w:rPr>
          <w:rStyle w:val="StringTok"/>
        </w:rPr>
        <w:t>'Scenario Name'</w:t>
      </w:r>
      <w:r>
        <w:rPr>
          <w:rStyle w:val="NormalTok"/>
        </w:rPr>
        <w:t>].</w:t>
      </w:r>
      <w:r>
        <w:rPr>
          <w:rStyle w:val="BuiltInTok"/>
        </w:rPr>
        <w:t>str</w:t>
      </w:r>
      <w:r>
        <w:rPr>
          <w:rStyle w:val="NormalTok"/>
        </w:rPr>
        <w:t>.split(</w:t>
      </w:r>
      <w:r>
        <w:rPr>
          <w:rStyle w:val="StringTok"/>
        </w:rPr>
        <w:t>'|'</w:t>
      </w:r>
      <w:r>
        <w:rPr>
          <w:rStyle w:val="NormalTok"/>
        </w:rPr>
        <w:t>).</w:t>
      </w:r>
      <w:r>
        <w:rPr>
          <w:rStyle w:val="BuiltInTok"/>
        </w:rPr>
        <w:t>str</w:t>
      </w:r>
      <w:r>
        <w:rPr>
          <w:rStyle w:val="NormalTok"/>
        </w:rPr>
        <w:t>[:</w:t>
      </w:r>
      <w:r>
        <w:rPr>
          <w:rStyle w:val="DecValTok"/>
        </w:rPr>
        <w:t>3</w:t>
      </w:r>
      <w:r>
        <w:rPr>
          <w:rStyle w:val="NormalTok"/>
        </w:rPr>
        <w:t>].</w:t>
      </w:r>
      <w:r>
        <w:rPr>
          <w:rStyle w:val="BuiltInTok"/>
        </w:rPr>
        <w:t>str</w:t>
      </w:r>
      <w:r>
        <w:rPr>
          <w:rStyle w:val="NormalTok"/>
        </w:rPr>
        <w:t>.join(</w:t>
      </w:r>
      <w:r>
        <w:rPr>
          <w:rStyle w:val="StringTok"/>
        </w:rPr>
        <w:t>'|'</w:t>
      </w:r>
      <w:r>
        <w:rPr>
          <w:rStyle w:val="NormalTok"/>
        </w:rPr>
        <w:t>)</w:t>
      </w:r>
      <w:r>
        <w:br/>
      </w:r>
      <w:r>
        <w:rPr>
          <w:rStyle w:val="NormalTok"/>
        </w:rPr>
        <w:lastRenderedPageBreak/>
        <w:t>data[</w:t>
      </w:r>
      <w:r>
        <w:rPr>
          <w:rStyle w:val="StringTok"/>
        </w:rPr>
        <w:t>'Kern'</w:t>
      </w:r>
      <w:r>
        <w:rPr>
          <w:rStyle w:val="NormalTok"/>
        </w:rPr>
        <w:t>]</w:t>
      </w:r>
      <w:r>
        <w:rPr>
          <w:rStyle w:val="OperatorTok"/>
        </w:rPr>
        <w:t>=</w:t>
      </w:r>
      <w:r>
        <w:rPr>
          <w:rStyle w:val="NormalTok"/>
        </w:rPr>
        <w:t>data.Archetype.</w:t>
      </w:r>
      <w:r>
        <w:rPr>
          <w:rStyle w:val="BuiltInTok"/>
        </w:rPr>
        <w:t>str</w:t>
      </w:r>
      <w:r>
        <w:rPr>
          <w:rStyle w:val="NormalTok"/>
        </w:rPr>
        <w:t>.split(</w:t>
      </w:r>
      <w:r>
        <w:rPr>
          <w:rStyle w:val="StringTok"/>
        </w:rPr>
        <w:t>'|'</w:t>
      </w:r>
      <w:r>
        <w:rPr>
          <w:rStyle w:val="NormalTok"/>
        </w:rPr>
        <w:t>).</w:t>
      </w:r>
      <w:r>
        <w:rPr>
          <w:rStyle w:val="BuiltInTok"/>
        </w:rPr>
        <w:t>str</w:t>
      </w:r>
      <w:r>
        <w:rPr>
          <w:rStyle w:val="NormalTok"/>
        </w:rPr>
        <w:t>[:</w:t>
      </w:r>
      <w:r>
        <w:rPr>
          <w:rStyle w:val="DecValTok"/>
        </w:rPr>
        <w:t>3</w:t>
      </w:r>
      <w:r>
        <w:rPr>
          <w:rStyle w:val="NormalTok"/>
        </w:rPr>
        <w:t>].</w:t>
      </w:r>
      <w:r>
        <w:rPr>
          <w:rStyle w:val="BuiltInTok"/>
        </w:rPr>
        <w:t>str</w:t>
      </w:r>
      <w:r>
        <w:rPr>
          <w:rStyle w:val="NormalTok"/>
        </w:rPr>
        <w:t>.join(</w:t>
      </w:r>
      <w:r>
        <w:rPr>
          <w:rStyle w:val="StringTok"/>
        </w:rPr>
        <w:t>'|'</w:t>
      </w:r>
      <w:r>
        <w:rPr>
          <w:rStyle w:val="NormalTok"/>
        </w:rPr>
        <w:t>)</w:t>
      </w:r>
      <w:r>
        <w:br/>
      </w:r>
      <w:r>
        <w:rPr>
          <w:rStyle w:val="NormalTok"/>
        </w:rPr>
        <w:t>core</w:t>
      </w:r>
      <w:r>
        <w:rPr>
          <w:rStyle w:val="OperatorTok"/>
        </w:rPr>
        <w:t>=</w:t>
      </w:r>
      <w:r>
        <w:rPr>
          <w:rStyle w:val="NormalTok"/>
        </w:rPr>
        <w:t>old.groupby(</w:t>
      </w:r>
      <w:r>
        <w:rPr>
          <w:rStyle w:val="StringTok"/>
        </w:rPr>
        <w:t>'Kern'</w:t>
      </w:r>
      <w:r>
        <w:rPr>
          <w:rStyle w:val="NormalTok"/>
        </w:rPr>
        <w:t>).NGF_m2.</w:t>
      </w:r>
      <w:r>
        <w:rPr>
          <w:rStyle w:val="BuiltInTok"/>
        </w:rPr>
        <w:t>sum</w:t>
      </w:r>
      <w:r>
        <w:rPr>
          <w:rStyle w:val="NormalTok"/>
        </w:rPr>
        <w:t>(min_count</w:t>
      </w:r>
      <w:r>
        <w:rPr>
          <w:rStyle w:val="OperatorTok"/>
        </w:rPr>
        <w:t>=</w:t>
      </w:r>
      <w:r>
        <w:rPr>
          <w:rStyle w:val="DecValTok"/>
        </w:rPr>
        <w:t>1</w:t>
      </w:r>
      <w:r>
        <w:rPr>
          <w:rStyle w:val="NormalTok"/>
        </w:rPr>
        <w:t>).rename(</w:t>
      </w:r>
      <w:r>
        <w:rPr>
          <w:rStyle w:val="StringTok"/>
        </w:rPr>
        <w:t>'reduced_NGF'</w:t>
      </w:r>
      <w:r>
        <w:rPr>
          <w:rStyle w:val="NormalTok"/>
        </w:rPr>
        <w:t>).to_frame().join(</w:t>
      </w:r>
      <w:r>
        <w:br/>
      </w:r>
      <w:r>
        <w:rPr>
          <w:rStyle w:val="NormalTok"/>
        </w:rPr>
        <w:t xml:space="preserve">    data.groupby(</w:t>
      </w:r>
      <w:r>
        <w:rPr>
          <w:rStyle w:val="StringTok"/>
        </w:rPr>
        <w:t>'Kern'</w:t>
      </w:r>
      <w:r>
        <w:rPr>
          <w:rStyle w:val="NormalTok"/>
        </w:rPr>
        <w:t>)[</w:t>
      </w:r>
      <w:r>
        <w:rPr>
          <w:rStyle w:val="StringTok"/>
        </w:rPr>
        <w:t>'Nationale BGF heute'</w:t>
      </w:r>
      <w:r>
        <w:rPr>
          <w:rStyle w:val="NormalTok"/>
        </w:rPr>
        <w:t>].</w:t>
      </w:r>
      <w:r>
        <w:rPr>
          <w:rStyle w:val="BuiltInTok"/>
        </w:rPr>
        <w:t>sum</w:t>
      </w:r>
      <w:r>
        <w:rPr>
          <w:rStyle w:val="NormalTok"/>
        </w:rPr>
        <w:t>(min_count</w:t>
      </w:r>
      <w:r>
        <w:rPr>
          <w:rStyle w:val="OperatorTok"/>
        </w:rPr>
        <w:t>=</w:t>
      </w:r>
      <w:r>
        <w:rPr>
          <w:rStyle w:val="DecValTok"/>
        </w:rPr>
        <w:t>1</w:t>
      </w:r>
      <w:r>
        <w:rPr>
          <w:rStyle w:val="NormalTok"/>
        </w:rPr>
        <w:t>).mul(r).rename(</w:t>
      </w:r>
      <w:r>
        <w:rPr>
          <w:rStyle w:val="StringTok"/>
        </w:rPr>
        <w:t>'neu_NGF_heute'</w:t>
      </w:r>
      <w:r>
        <w:rPr>
          <w:rStyle w:val="NormalTok"/>
        </w:rPr>
        <w:t>))</w:t>
      </w:r>
      <w:r>
        <w:br/>
      </w:r>
      <w:r>
        <w:rPr>
          <w:rStyle w:val="NormalTok"/>
        </w:rPr>
        <w:t>core[</w:t>
      </w:r>
      <w:r>
        <w:rPr>
          <w:rStyle w:val="StringTok"/>
        </w:rPr>
        <w:t>'Differenz_NGF'</w:t>
      </w:r>
      <w:r>
        <w:rPr>
          <w:rStyle w:val="NormalTok"/>
        </w:rPr>
        <w:t>]</w:t>
      </w:r>
      <w:r>
        <w:rPr>
          <w:rStyle w:val="OperatorTok"/>
        </w:rPr>
        <w:t>=</w:t>
      </w:r>
      <w:r>
        <w:rPr>
          <w:rStyle w:val="NormalTok"/>
        </w:rPr>
        <w:t>core.neu_NGF_heute</w:t>
      </w:r>
      <w:r>
        <w:rPr>
          <w:rStyle w:val="OperatorTok"/>
        </w:rPr>
        <w:t>-</w:t>
      </w:r>
      <w:r>
        <w:rPr>
          <w:rStyle w:val="NormalTok"/>
        </w:rPr>
        <w:t>core.reduced_NGF</w:t>
      </w:r>
      <w:r>
        <w:br/>
      </w:r>
      <w:r>
        <w:rPr>
          <w:rStyle w:val="NormalTok"/>
        </w:rPr>
        <w:t>core.to_csv(OUT</w:t>
      </w:r>
      <w:r>
        <w:rPr>
          <w:rStyle w:val="OperatorTok"/>
        </w:rPr>
        <w:t>/</w:t>
      </w:r>
      <w:r>
        <w:rPr>
          <w:rStyle w:val="StringTok"/>
        </w:rPr>
        <w:t>'flaechenvergleich_kern.csv'</w:t>
      </w:r>
      <w:r>
        <w:rPr>
          <w:rStyle w:val="NormalTok"/>
        </w:rPr>
        <w:t>)</w:t>
      </w:r>
      <w:r>
        <w:br/>
      </w:r>
      <w:r>
        <w:rPr>
          <w:rStyle w:val="NormalTok"/>
        </w:rPr>
        <w:t>statussum</w:t>
      </w:r>
      <w:r>
        <w:rPr>
          <w:rStyle w:val="OperatorTok"/>
        </w:rPr>
        <w:t>=</w:t>
      </w:r>
      <w:r>
        <w:rPr>
          <w:rStyle w:val="NormalTok"/>
        </w:rPr>
        <w:t>data[[</w:t>
      </w:r>
      <w:r>
        <w:rPr>
          <w:rStyle w:val="StringTok"/>
        </w:rPr>
        <w:t>'Bestand'</w:t>
      </w:r>
      <w:r>
        <w:rPr>
          <w:rStyle w:val="NormalTok"/>
        </w:rPr>
        <w:t>,</w:t>
      </w:r>
      <w:r>
        <w:rPr>
          <w:rStyle w:val="StringTok"/>
        </w:rPr>
        <w:t>'Neubau'</w:t>
      </w:r>
      <w:r>
        <w:rPr>
          <w:rStyle w:val="NormalTok"/>
        </w:rPr>
        <w:t>,</w:t>
      </w:r>
      <w:r>
        <w:rPr>
          <w:rStyle w:val="StringTok"/>
        </w:rPr>
        <w:t>'Sanierung'</w:t>
      </w:r>
      <w:r>
        <w:rPr>
          <w:rStyle w:val="NormalTok"/>
        </w:rPr>
        <w:t>]].</w:t>
      </w:r>
      <w:r>
        <w:rPr>
          <w:rStyle w:val="BuiltInTok"/>
        </w:rPr>
        <w:t>sum</w:t>
      </w:r>
      <w:r>
        <w:rPr>
          <w:rStyle w:val="NormalTok"/>
        </w:rPr>
        <w:t>(axis</w:t>
      </w:r>
      <w:r>
        <w:rPr>
          <w:rStyle w:val="OperatorTok"/>
        </w:rPr>
        <w:t>=</w:t>
      </w:r>
      <w:r>
        <w:rPr>
          <w:rStyle w:val="DecValTok"/>
        </w:rPr>
        <w:t>1</w:t>
      </w:r>
      <w:r>
        <w:rPr>
          <w:rStyle w:val="NormalTok"/>
        </w:rPr>
        <w:t>,min_count</w:t>
      </w:r>
      <w:r>
        <w:rPr>
          <w:rStyle w:val="OperatorTok"/>
        </w:rPr>
        <w:t>=</w:t>
      </w:r>
      <w:r>
        <w:rPr>
          <w:rStyle w:val="DecValTok"/>
        </w:rPr>
        <w:t>3</w:t>
      </w:r>
      <w:r>
        <w:rPr>
          <w:rStyle w:val="NormalTok"/>
        </w:rPr>
        <w:t>)</w:t>
      </w:r>
      <w:r>
        <w:br/>
      </w:r>
      <w:r>
        <w:rPr>
          <w:rStyle w:val="ControlFlowTok"/>
        </w:rPr>
        <w:t>assert</w:t>
      </w:r>
      <w:r>
        <w:rPr>
          <w:rStyle w:val="NormalTok"/>
        </w:rPr>
        <w:t xml:space="preserve"> np.allclose(statussum[data[</w:t>
      </w:r>
      <w:r>
        <w:rPr>
          <w:rStyle w:val="StringTok"/>
        </w:rPr>
        <w:t>'Nationale BGF 2040'</w:t>
      </w:r>
      <w:r>
        <w:rPr>
          <w:rStyle w:val="NormalTok"/>
        </w:rPr>
        <w:t>].gt(</w:t>
      </w:r>
      <w:r>
        <w:rPr>
          <w:rStyle w:val="DecValTok"/>
        </w:rPr>
        <w:t>0</w:t>
      </w:r>
      <w:r>
        <w:rPr>
          <w:rStyle w:val="NormalTok"/>
        </w:rPr>
        <w:t>)],</w:t>
      </w:r>
      <w:r>
        <w:rPr>
          <w:rStyle w:val="DecValTok"/>
        </w:rPr>
        <w:t>1</w:t>
      </w:r>
      <w:r>
        <w:rPr>
          <w:rStyle w:val="NormalTok"/>
        </w:rPr>
        <w:t>)</w:t>
      </w:r>
      <w:r>
        <w:br/>
      </w:r>
      <w:r>
        <w:rPr>
          <w:rStyle w:val="NormalTok"/>
        </w:rPr>
        <w:t>status</w:t>
      </w:r>
      <w:r>
        <w:rPr>
          <w:rStyle w:val="OperatorTok"/>
        </w:rPr>
        <w:t>=</w:t>
      </w:r>
      <w:r>
        <w:rPr>
          <w:rStyle w:val="NormalTok"/>
        </w:rPr>
        <w:t>pd.DataFrame([{</w:t>
      </w:r>
      <w:r>
        <w:rPr>
          <w:rStyle w:val="StringTok"/>
        </w:rPr>
        <w:t>'Zustand'</w:t>
      </w:r>
      <w:r>
        <w:rPr>
          <w:rStyle w:val="NormalTok"/>
        </w:rPr>
        <w:t>:c,</w:t>
      </w:r>
      <w:r>
        <w:rPr>
          <w:rStyle w:val="StringTok"/>
        </w:rPr>
        <w:t>'BGF 2040 [Mio. m²]'</w:t>
      </w:r>
      <w:r>
        <w:rPr>
          <w:rStyle w:val="NormalTok"/>
        </w:rPr>
        <w:t>:(data[c]</w:t>
      </w:r>
      <w:r>
        <w:rPr>
          <w:rStyle w:val="OperatorTok"/>
        </w:rPr>
        <w:t>*</w:t>
      </w:r>
      <w:r>
        <w:rPr>
          <w:rStyle w:val="NormalTok"/>
        </w:rPr>
        <w:t>data[</w:t>
      </w:r>
      <w:r>
        <w:rPr>
          <w:rStyle w:val="StringTok"/>
        </w:rPr>
        <w:t>'Nationale BGF 2040'</w:t>
      </w:r>
      <w:r>
        <w:rPr>
          <w:rStyle w:val="NormalTok"/>
        </w:rPr>
        <w:t>]).</w:t>
      </w:r>
      <w:r>
        <w:rPr>
          <w:rStyle w:val="BuiltInTok"/>
        </w:rPr>
        <w:t>sum</w:t>
      </w:r>
      <w:r>
        <w:rPr>
          <w:rStyle w:val="NormalTok"/>
        </w:rPr>
        <w:t>(min_count</w:t>
      </w:r>
      <w:r>
        <w:rPr>
          <w:rStyle w:val="OperatorTok"/>
        </w:rPr>
        <w:t>=</w:t>
      </w:r>
      <w:r>
        <w:rPr>
          <w:rStyle w:val="DecValTok"/>
        </w:rPr>
        <w:t>1</w:t>
      </w:r>
      <w:r>
        <w:rPr>
          <w:rStyle w:val="NormalTok"/>
        </w:rPr>
        <w:t>)</w:t>
      </w:r>
      <w:r>
        <w:rPr>
          <w:rStyle w:val="OperatorTok"/>
        </w:rPr>
        <w:t>/</w:t>
      </w:r>
      <w:r>
        <w:rPr>
          <w:rStyle w:val="FloatTok"/>
        </w:rPr>
        <w:t>1e6</w:t>
      </w:r>
      <w:r>
        <w:rPr>
          <w:rStyle w:val="NormalTok"/>
        </w:rPr>
        <w:t xml:space="preserve">} </w:t>
      </w:r>
      <w:r>
        <w:rPr>
          <w:rStyle w:val="ControlFlowTok"/>
        </w:rPr>
        <w:t>for</w:t>
      </w:r>
      <w:r>
        <w:rPr>
          <w:rStyle w:val="NormalTok"/>
        </w:rPr>
        <w:t xml:space="preserve"> c </w:t>
      </w:r>
      <w:r>
        <w:rPr>
          <w:rStyle w:val="KeywordTok"/>
        </w:rPr>
        <w:t>in</w:t>
      </w:r>
      <w:r>
        <w:rPr>
          <w:rStyle w:val="NormalTok"/>
        </w:rPr>
        <w:t xml:space="preserve"> [</w:t>
      </w:r>
      <w:r>
        <w:rPr>
          <w:rStyle w:val="StringTok"/>
        </w:rPr>
        <w:t>'Bestand'</w:t>
      </w:r>
      <w:r>
        <w:rPr>
          <w:rStyle w:val="NormalTok"/>
        </w:rPr>
        <w:t>,</w:t>
      </w:r>
      <w:r>
        <w:rPr>
          <w:rStyle w:val="StringTok"/>
        </w:rPr>
        <w:t>'Neubau'</w:t>
      </w:r>
      <w:r>
        <w:rPr>
          <w:rStyle w:val="NormalTok"/>
        </w:rPr>
        <w:t>,</w:t>
      </w:r>
      <w:r>
        <w:rPr>
          <w:rStyle w:val="StringTok"/>
        </w:rPr>
        <w:t>'Sanierung'</w:t>
      </w:r>
      <w:r>
        <w:rPr>
          <w:rStyle w:val="NormalTok"/>
        </w:rPr>
        <w:t>]])</w:t>
      </w:r>
      <w:r>
        <w:br/>
      </w:r>
      <w:r>
        <w:rPr>
          <w:rStyle w:val="NormalTok"/>
        </w:rPr>
        <w:t>display(status)</w:t>
      </w:r>
      <w:r>
        <w:br/>
      </w:r>
      <w:r>
        <w:rPr>
          <w:rStyle w:val="NormalTok"/>
        </w:rPr>
        <w:t>geometry_area</w:t>
      </w:r>
      <w:r>
        <w:rPr>
          <w:rStyle w:val="OperatorTok"/>
        </w:rPr>
        <w:t>=</w:t>
      </w:r>
      <w:r>
        <w:rPr>
          <w:rStyle w:val="NormalTok"/>
        </w:rPr>
        <w:t>data.groupby(</w:t>
      </w:r>
      <w:r>
        <w:rPr>
          <w:rStyle w:val="StringTok"/>
        </w:rPr>
        <w:t>'Geometrie'</w:t>
      </w:r>
      <w:r>
        <w:rPr>
          <w:rStyle w:val="NormalTok"/>
        </w:rPr>
        <w:t>)[[</w:t>
      </w:r>
      <w:r>
        <w:rPr>
          <w:rStyle w:val="StringTok"/>
        </w:rPr>
        <w:t>'Nationale BGF heute'</w:t>
      </w:r>
      <w:r>
        <w:rPr>
          <w:rStyle w:val="NormalTok"/>
        </w:rPr>
        <w:t>,</w:t>
      </w:r>
      <w:r>
        <w:rPr>
          <w:rStyle w:val="StringTok"/>
        </w:rPr>
        <w:t>'Nationale BGF 2040'</w:t>
      </w:r>
      <w:r>
        <w:rPr>
          <w:rStyle w:val="NormalTok"/>
        </w:rPr>
        <w:t>]].</w:t>
      </w:r>
      <w:r>
        <w:rPr>
          <w:rStyle w:val="BuiltInTok"/>
        </w:rPr>
        <w:t>sum</w:t>
      </w:r>
      <w:r>
        <w:rPr>
          <w:rStyle w:val="NormalTok"/>
        </w:rPr>
        <w:t>(min_count</w:t>
      </w:r>
      <w:r>
        <w:rPr>
          <w:rStyle w:val="OperatorTok"/>
        </w:rPr>
        <w:t>=</w:t>
      </w:r>
      <w:r>
        <w:rPr>
          <w:rStyle w:val="DecValTok"/>
        </w:rPr>
        <w:t>1</w:t>
      </w:r>
      <w:r>
        <w:rPr>
          <w:rStyle w:val="NormalTok"/>
        </w:rPr>
        <w:t>)</w:t>
      </w:r>
      <w:r>
        <w:rPr>
          <w:rStyle w:val="OperatorTok"/>
        </w:rPr>
        <w:t>/</w:t>
      </w:r>
      <w:r>
        <w:rPr>
          <w:rStyle w:val="FloatTok"/>
        </w:rPr>
        <w:t>1e6</w:t>
      </w:r>
      <w:r>
        <w:br/>
      </w:r>
      <w:r>
        <w:rPr>
          <w:rStyle w:val="NormalTok"/>
        </w:rPr>
        <w:t>display(geometry_area)</w:t>
      </w:r>
      <w:r>
        <w:br/>
      </w:r>
      <w:r>
        <w:rPr>
          <w:rStyle w:val="NormalTok"/>
        </w:rPr>
        <w:t>fig,ax</w:t>
      </w:r>
      <w:r>
        <w:rPr>
          <w:rStyle w:val="OperatorTok"/>
        </w:rPr>
        <w:t>=</w:t>
      </w:r>
      <w:r>
        <w:rPr>
          <w:rStyle w:val="NormalTok"/>
        </w:rPr>
        <w:t>plt.subplots(figsize</w:t>
      </w:r>
      <w:r>
        <w:rPr>
          <w:rStyle w:val="OperatorTok"/>
        </w:rPr>
        <w:t>=</w:t>
      </w:r>
      <w:r>
        <w:rPr>
          <w:rStyle w:val="NormalTok"/>
        </w:rPr>
        <w:t>(</w:t>
      </w:r>
      <w:r>
        <w:rPr>
          <w:rStyle w:val="DecValTok"/>
        </w:rPr>
        <w:t>9</w:t>
      </w:r>
      <w:r>
        <w:rPr>
          <w:rStyle w:val="NormalTok"/>
        </w:rPr>
        <w:t>,</w:t>
      </w:r>
      <w:r>
        <w:rPr>
          <w:rStyle w:val="DecValTok"/>
        </w:rPr>
        <w:t>4</w:t>
      </w:r>
      <w:r>
        <w:rPr>
          <w:rStyle w:val="NormalTok"/>
        </w:rPr>
        <w:t>))</w:t>
      </w:r>
      <w:r>
        <w:rPr>
          <w:rStyle w:val="OperatorTok"/>
        </w:rPr>
        <w:t>;</w:t>
      </w:r>
      <w:r>
        <w:rPr>
          <w:rStyle w:val="NormalTok"/>
        </w:rPr>
        <w:t>geometry_area.plot.bar(ax</w:t>
      </w:r>
      <w:r>
        <w:rPr>
          <w:rStyle w:val="OperatorTok"/>
        </w:rPr>
        <w:t>=</w:t>
      </w:r>
      <w:r>
        <w:rPr>
          <w:rStyle w:val="NormalTok"/>
        </w:rPr>
        <w:t>ax,color</w:t>
      </w:r>
      <w:r>
        <w:rPr>
          <w:rStyle w:val="OperatorTok"/>
        </w:rPr>
        <w:t>=</w:t>
      </w:r>
      <w:r>
        <w:rPr>
          <w:rStyle w:val="NormalTok"/>
        </w:rPr>
        <w:t>[</w:t>
      </w:r>
      <w:r>
        <w:rPr>
          <w:rStyle w:val="StringTok"/>
        </w:rPr>
        <w:t>'#9aaebc'</w:t>
      </w:r>
      <w:r>
        <w:rPr>
          <w:rStyle w:val="NormalTok"/>
        </w:rPr>
        <w:t>,</w:t>
      </w:r>
      <w:r>
        <w:rPr>
          <w:rStyle w:val="StringTok"/>
        </w:rPr>
        <w:t>'#285c83'</w:t>
      </w:r>
      <w:r>
        <w:rPr>
          <w:rStyle w:val="NormalTok"/>
        </w:rPr>
        <w:t>])</w:t>
      </w:r>
      <w:r>
        <w:br/>
      </w:r>
      <w:r>
        <w:rPr>
          <w:rStyle w:val="NormalTok"/>
        </w:rPr>
        <w:t>ax.</w:t>
      </w:r>
      <w:r>
        <w:rPr>
          <w:rStyle w:val="BuiltInTok"/>
        </w:rPr>
        <w:t>set</w:t>
      </w:r>
      <w:r>
        <w:rPr>
          <w:rStyle w:val="NormalTok"/>
        </w:rPr>
        <w:t>(ylabel</w:t>
      </w:r>
      <w:r>
        <w:rPr>
          <w:rStyle w:val="OperatorTok"/>
        </w:rPr>
        <w:t>=</w:t>
      </w:r>
      <w:r>
        <w:rPr>
          <w:rStyle w:val="StringTok"/>
        </w:rPr>
        <w:t>'BGF [Mio. m²]'</w:t>
      </w:r>
      <w:r>
        <w:rPr>
          <w:rStyle w:val="NormalTok"/>
        </w:rPr>
        <w:t>,xlabel</w:t>
      </w:r>
      <w:r>
        <w:rPr>
          <w:rStyle w:val="OperatorTok"/>
        </w:rPr>
        <w:t>=</w:t>
      </w:r>
      <w:r>
        <w:rPr>
          <w:rStyle w:val="StringTok"/>
        </w:rPr>
        <w:t>'Geometrische Klasse'</w:t>
      </w:r>
      <w:r>
        <w:rPr>
          <w:rStyle w:val="NormalTok"/>
        </w:rPr>
        <w:t>)</w:t>
      </w:r>
      <w:r>
        <w:rPr>
          <w:rStyle w:val="OperatorTok"/>
        </w:rPr>
        <w:t>;</w:t>
      </w:r>
      <w:r>
        <w:rPr>
          <w:rStyle w:val="NormalTok"/>
        </w:rPr>
        <w:t>ax.tick_params(axis</w:t>
      </w:r>
      <w:r>
        <w:rPr>
          <w:rStyle w:val="OperatorTok"/>
        </w:rPr>
        <w:t>=</w:t>
      </w:r>
      <w:r>
        <w:rPr>
          <w:rStyle w:val="StringTok"/>
        </w:rPr>
        <w:t>'x'</w:t>
      </w:r>
      <w:r>
        <w:rPr>
          <w:rStyle w:val="NormalTok"/>
        </w:rPr>
        <w:t>,rotation</w:t>
      </w:r>
      <w:r>
        <w:rPr>
          <w:rStyle w:val="OperatorTok"/>
        </w:rPr>
        <w:t>=</w:t>
      </w:r>
      <w:r>
        <w:rPr>
          <w:rStyle w:val="DecValTok"/>
        </w:rPr>
        <w:t>40</w:t>
      </w:r>
      <w:r>
        <w:rPr>
          <w:rStyle w:val="NormalTok"/>
        </w:rPr>
        <w:t>)</w:t>
      </w:r>
      <w:r>
        <w:br/>
      </w:r>
      <w:r>
        <w:rPr>
          <w:rStyle w:val="NormalTok"/>
        </w:rPr>
        <w:t>ax.legend([</w:t>
      </w:r>
      <w:r>
        <w:rPr>
          <w:rStyle w:val="StringTok"/>
        </w:rPr>
        <w:t>'Heute: Jahr offen'</w:t>
      </w:r>
      <w:r>
        <w:rPr>
          <w:rStyle w:val="NormalTok"/>
        </w:rPr>
        <w:t>,</w:t>
      </w:r>
      <w:r>
        <w:rPr>
          <w:rStyle w:val="StringTok"/>
        </w:rPr>
        <w:t>'2040'</w:t>
      </w:r>
      <w:r>
        <w:rPr>
          <w:rStyle w:val="NormalTok"/>
        </w:rPr>
        <w:t>])</w:t>
      </w:r>
      <w:r>
        <w:rPr>
          <w:rStyle w:val="OperatorTok"/>
        </w:rPr>
        <w:t>;</w:t>
      </w:r>
      <w:r>
        <w:rPr>
          <w:rStyle w:val="NormalTok"/>
        </w:rPr>
        <w:t>fig.tight_layout()</w:t>
      </w:r>
      <w:r>
        <w:rPr>
          <w:rStyle w:val="OperatorTok"/>
        </w:rPr>
        <w:t>;</w:t>
      </w:r>
      <w:r>
        <w:rPr>
          <w:rStyle w:val="NormalTok"/>
        </w:rPr>
        <w:t>fig.savefig(OUT</w:t>
      </w:r>
      <w:r>
        <w:rPr>
          <w:rStyle w:val="OperatorTok"/>
        </w:rPr>
        <w:t>/</w:t>
      </w:r>
      <w:r>
        <w:rPr>
          <w:rStyle w:val="StringTok"/>
        </w:rPr>
        <w:t>'flaechen.png'</w:t>
      </w:r>
      <w:r>
        <w:rPr>
          <w:rStyle w:val="NormalTok"/>
        </w:rPr>
        <w:t>,dpi</w:t>
      </w:r>
      <w:r>
        <w:rPr>
          <w:rStyle w:val="OperatorTok"/>
        </w:rPr>
        <w:t>=</w:t>
      </w:r>
      <w:r>
        <w:rPr>
          <w:rStyle w:val="DecValTok"/>
        </w:rPr>
        <w:t>180</w:t>
      </w:r>
      <w:r>
        <w:rPr>
          <w:rStyle w:val="NormalTok"/>
        </w:rPr>
        <w:t>)</w:t>
      </w:r>
      <w:r>
        <w:rPr>
          <w:rStyle w:val="OperatorTok"/>
        </w:rPr>
        <w:t>;</w:t>
      </w:r>
      <w:r>
        <w:rPr>
          <w:rStyle w:val="NormalTok"/>
        </w:rPr>
        <w:t>plt.show()</w:t>
      </w:r>
      <w:r>
        <w:br/>
      </w:r>
      <w:r>
        <w:rPr>
          <w:rStyle w:val="NormalTok"/>
        </w:rPr>
        <w:t>area_audit.to_csv(OUT</w:t>
      </w:r>
      <w:r>
        <w:rPr>
          <w:rStyle w:val="OperatorTok"/>
        </w:rPr>
        <w:t>/</w:t>
      </w:r>
      <w:r>
        <w:rPr>
          <w:rStyle w:val="StringTok"/>
        </w:rPr>
        <w:t>'flaechenaudit.csv'</w:t>
      </w:r>
      <w:r>
        <w:rPr>
          <w:rStyle w:val="NormalTok"/>
        </w:rPr>
        <w:t>,index</w:t>
      </w:r>
      <w:r>
        <w:rPr>
          <w:rStyle w:val="OperatorTok"/>
        </w:rPr>
        <w:t>=</w:t>
      </w:r>
      <w:r>
        <w:rPr>
          <w:rStyle w:val="VariableTok"/>
        </w:rPr>
        <w:t>False</w:t>
      </w:r>
      <w:r>
        <w:rPr>
          <w:rStyle w:val="NormalTok"/>
        </w:rPr>
        <w:t>)</w:t>
      </w:r>
    </w:p>
    <w:tbl>
      <w:tblPr>
        <w:tblStyle w:val="Table"/>
        <w:tblW w:w="0" w:type="auto"/>
        <w:tblLook w:val="0020" w:firstRow="1" w:lastRow="0" w:firstColumn="0" w:lastColumn="0" w:noHBand="0" w:noVBand="0"/>
      </w:tblPr>
      <w:tblGrid>
        <w:gridCol w:w="345"/>
        <w:gridCol w:w="824"/>
        <w:gridCol w:w="1630"/>
        <w:gridCol w:w="1655"/>
        <w:gridCol w:w="901"/>
        <w:gridCol w:w="645"/>
        <w:gridCol w:w="1003"/>
      </w:tblGrid>
      <w:tr w:rsidR="004E4CC2" w14:paraId="79E4491D"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08BE6D20" w14:textId="77777777" w:rsidR="004E4CC2" w:rsidRDefault="004E4CC2">
            <w:pPr>
              <w:pStyle w:val="Compact"/>
            </w:pPr>
          </w:p>
        </w:tc>
        <w:tc>
          <w:tcPr>
            <w:tcW w:w="0" w:type="auto"/>
          </w:tcPr>
          <w:p w14:paraId="0C6D1B2D" w14:textId="77777777" w:rsidR="004E4CC2" w:rsidRDefault="00000000">
            <w:pPr>
              <w:pStyle w:val="Compact"/>
            </w:pPr>
            <w:r>
              <w:t>Stand</w:t>
            </w:r>
          </w:p>
        </w:tc>
        <w:tc>
          <w:tcPr>
            <w:tcW w:w="0" w:type="auto"/>
          </w:tcPr>
          <w:p w14:paraId="50B849D0" w14:textId="77777777" w:rsidR="004E4CC2" w:rsidRDefault="00000000">
            <w:pPr>
              <w:pStyle w:val="Compact"/>
            </w:pPr>
            <w:r>
              <w:t>BGF [Mio. m²]</w:t>
            </w:r>
          </w:p>
        </w:tc>
        <w:tc>
          <w:tcPr>
            <w:tcW w:w="0" w:type="auto"/>
          </w:tcPr>
          <w:p w14:paraId="48F4A0CE" w14:textId="77777777" w:rsidR="004E4CC2" w:rsidRDefault="00000000">
            <w:pPr>
              <w:pStyle w:val="Compact"/>
            </w:pPr>
            <w:r>
              <w:t>NGF [Mio. m²]</w:t>
            </w:r>
          </w:p>
        </w:tc>
        <w:tc>
          <w:tcPr>
            <w:tcW w:w="0" w:type="auto"/>
          </w:tcPr>
          <w:p w14:paraId="6BC9DC6B" w14:textId="77777777" w:rsidR="004E4CC2" w:rsidRDefault="00000000">
            <w:pPr>
              <w:pStyle w:val="Compact"/>
            </w:pPr>
            <w:r>
              <w:t>positiv</w:t>
            </w:r>
          </w:p>
        </w:tc>
        <w:tc>
          <w:tcPr>
            <w:tcW w:w="0" w:type="auto"/>
          </w:tcPr>
          <w:p w14:paraId="3A19F00E" w14:textId="77777777" w:rsidR="004E4CC2" w:rsidRDefault="00000000">
            <w:pPr>
              <w:pStyle w:val="Compact"/>
            </w:pPr>
            <w:r>
              <w:t>Null</w:t>
            </w:r>
          </w:p>
        </w:tc>
        <w:tc>
          <w:tcPr>
            <w:tcW w:w="0" w:type="auto"/>
          </w:tcPr>
          <w:p w14:paraId="101B143E" w14:textId="77777777" w:rsidR="004E4CC2" w:rsidRDefault="00000000">
            <w:pPr>
              <w:pStyle w:val="Compact"/>
            </w:pPr>
            <w:r>
              <w:t>fehlend</w:t>
            </w:r>
          </w:p>
        </w:tc>
      </w:tr>
      <w:tr w:rsidR="004E4CC2" w14:paraId="25D64D60" w14:textId="77777777">
        <w:tc>
          <w:tcPr>
            <w:tcW w:w="0" w:type="auto"/>
          </w:tcPr>
          <w:p w14:paraId="45D5DF63" w14:textId="77777777" w:rsidR="004E4CC2" w:rsidRDefault="00000000">
            <w:pPr>
              <w:pStyle w:val="Compact"/>
            </w:pPr>
            <w:r>
              <w:t>0</w:t>
            </w:r>
          </w:p>
        </w:tc>
        <w:tc>
          <w:tcPr>
            <w:tcW w:w="0" w:type="auto"/>
          </w:tcPr>
          <w:p w14:paraId="38E7AA90" w14:textId="77777777" w:rsidR="004E4CC2" w:rsidRDefault="00000000">
            <w:pPr>
              <w:pStyle w:val="Compact"/>
            </w:pPr>
            <w:r>
              <w:t>heute</w:t>
            </w:r>
          </w:p>
        </w:tc>
        <w:tc>
          <w:tcPr>
            <w:tcW w:w="0" w:type="auto"/>
          </w:tcPr>
          <w:p w14:paraId="2A8728BC" w14:textId="77777777" w:rsidR="004E4CC2" w:rsidRDefault="00000000">
            <w:pPr>
              <w:pStyle w:val="Compact"/>
            </w:pPr>
            <w:r>
              <w:t>1112.340698</w:t>
            </w:r>
          </w:p>
        </w:tc>
        <w:tc>
          <w:tcPr>
            <w:tcW w:w="0" w:type="auto"/>
          </w:tcPr>
          <w:p w14:paraId="1E3286A5" w14:textId="77777777" w:rsidR="004E4CC2" w:rsidRDefault="00000000">
            <w:pPr>
              <w:pStyle w:val="Compact"/>
            </w:pPr>
            <w:r>
              <w:t>889.872558</w:t>
            </w:r>
          </w:p>
        </w:tc>
        <w:tc>
          <w:tcPr>
            <w:tcW w:w="0" w:type="auto"/>
          </w:tcPr>
          <w:p w14:paraId="13643353" w14:textId="77777777" w:rsidR="004E4CC2" w:rsidRDefault="00000000">
            <w:pPr>
              <w:pStyle w:val="Compact"/>
            </w:pPr>
            <w:r>
              <w:t>585</w:t>
            </w:r>
          </w:p>
        </w:tc>
        <w:tc>
          <w:tcPr>
            <w:tcW w:w="0" w:type="auto"/>
          </w:tcPr>
          <w:p w14:paraId="0611A04B" w14:textId="77777777" w:rsidR="004E4CC2" w:rsidRDefault="00000000">
            <w:pPr>
              <w:pStyle w:val="Compact"/>
            </w:pPr>
            <w:r>
              <w:t>315</w:t>
            </w:r>
          </w:p>
        </w:tc>
        <w:tc>
          <w:tcPr>
            <w:tcW w:w="0" w:type="auto"/>
          </w:tcPr>
          <w:p w14:paraId="6D3F0601" w14:textId="77777777" w:rsidR="004E4CC2" w:rsidRDefault="00000000">
            <w:pPr>
              <w:pStyle w:val="Compact"/>
            </w:pPr>
            <w:r>
              <w:t>0</w:t>
            </w:r>
          </w:p>
        </w:tc>
      </w:tr>
      <w:tr w:rsidR="004E4CC2" w14:paraId="2ED88BB1" w14:textId="77777777">
        <w:tc>
          <w:tcPr>
            <w:tcW w:w="0" w:type="auto"/>
          </w:tcPr>
          <w:p w14:paraId="29631CD7" w14:textId="77777777" w:rsidR="004E4CC2" w:rsidRDefault="00000000">
            <w:pPr>
              <w:pStyle w:val="Compact"/>
            </w:pPr>
            <w:r>
              <w:t>1</w:t>
            </w:r>
          </w:p>
        </w:tc>
        <w:tc>
          <w:tcPr>
            <w:tcW w:w="0" w:type="auto"/>
          </w:tcPr>
          <w:p w14:paraId="5A562A16" w14:textId="77777777" w:rsidR="004E4CC2" w:rsidRDefault="00000000">
            <w:pPr>
              <w:pStyle w:val="Compact"/>
            </w:pPr>
            <w:r>
              <w:t>2040</w:t>
            </w:r>
          </w:p>
        </w:tc>
        <w:tc>
          <w:tcPr>
            <w:tcW w:w="0" w:type="auto"/>
          </w:tcPr>
          <w:p w14:paraId="369980DC" w14:textId="77777777" w:rsidR="004E4CC2" w:rsidRDefault="00000000">
            <w:pPr>
              <w:pStyle w:val="Compact"/>
            </w:pPr>
            <w:r>
              <w:t>1126.578658</w:t>
            </w:r>
          </w:p>
        </w:tc>
        <w:tc>
          <w:tcPr>
            <w:tcW w:w="0" w:type="auto"/>
          </w:tcPr>
          <w:p w14:paraId="39F13CDB" w14:textId="77777777" w:rsidR="004E4CC2" w:rsidRDefault="00000000">
            <w:pPr>
              <w:pStyle w:val="Compact"/>
            </w:pPr>
            <w:r>
              <w:t>901.262927</w:t>
            </w:r>
          </w:p>
        </w:tc>
        <w:tc>
          <w:tcPr>
            <w:tcW w:w="0" w:type="auto"/>
          </w:tcPr>
          <w:p w14:paraId="76B87B97" w14:textId="77777777" w:rsidR="004E4CC2" w:rsidRDefault="00000000">
            <w:pPr>
              <w:pStyle w:val="Compact"/>
            </w:pPr>
            <w:r>
              <w:t>603</w:t>
            </w:r>
          </w:p>
        </w:tc>
        <w:tc>
          <w:tcPr>
            <w:tcW w:w="0" w:type="auto"/>
          </w:tcPr>
          <w:p w14:paraId="1E6A4E7D" w14:textId="77777777" w:rsidR="004E4CC2" w:rsidRDefault="00000000">
            <w:pPr>
              <w:pStyle w:val="Compact"/>
            </w:pPr>
            <w:r>
              <w:t>297</w:t>
            </w:r>
          </w:p>
        </w:tc>
        <w:tc>
          <w:tcPr>
            <w:tcW w:w="0" w:type="auto"/>
          </w:tcPr>
          <w:p w14:paraId="6F51C3FC" w14:textId="77777777" w:rsidR="004E4CC2" w:rsidRDefault="00000000">
            <w:pPr>
              <w:pStyle w:val="Compact"/>
            </w:pPr>
            <w:r>
              <w:t>0</w:t>
            </w:r>
          </w:p>
        </w:tc>
      </w:tr>
      <w:tr w:rsidR="004E4CC2" w14:paraId="28CAC366" w14:textId="77777777">
        <w:tc>
          <w:tcPr>
            <w:tcW w:w="0" w:type="auto"/>
          </w:tcPr>
          <w:p w14:paraId="4473C391" w14:textId="77777777" w:rsidR="004E4CC2" w:rsidRDefault="00000000">
            <w:pPr>
              <w:pStyle w:val="Compact"/>
            </w:pPr>
            <w:r>
              <w:t>2</w:t>
            </w:r>
          </w:p>
        </w:tc>
        <w:tc>
          <w:tcPr>
            <w:tcW w:w="0" w:type="auto"/>
          </w:tcPr>
          <w:p w14:paraId="28226958" w14:textId="77777777" w:rsidR="004E4CC2" w:rsidRDefault="00000000">
            <w:pPr>
              <w:pStyle w:val="Compact"/>
            </w:pPr>
            <w:r>
              <w:t>2020</w:t>
            </w:r>
          </w:p>
        </w:tc>
        <w:tc>
          <w:tcPr>
            <w:tcW w:w="0" w:type="auto"/>
          </w:tcPr>
          <w:p w14:paraId="4B301C60" w14:textId="77777777" w:rsidR="004E4CC2" w:rsidRDefault="00000000">
            <w:pPr>
              <w:pStyle w:val="Compact"/>
            </w:pPr>
            <w:r>
              <w:t>NaN</w:t>
            </w:r>
          </w:p>
        </w:tc>
        <w:tc>
          <w:tcPr>
            <w:tcW w:w="0" w:type="auto"/>
          </w:tcPr>
          <w:p w14:paraId="0FBD6CB0" w14:textId="77777777" w:rsidR="004E4CC2" w:rsidRDefault="00000000">
            <w:pPr>
              <w:pStyle w:val="Compact"/>
            </w:pPr>
            <w:r>
              <w:t>NaN</w:t>
            </w:r>
          </w:p>
        </w:tc>
        <w:tc>
          <w:tcPr>
            <w:tcW w:w="0" w:type="auto"/>
          </w:tcPr>
          <w:p w14:paraId="70FF5F4C" w14:textId="77777777" w:rsidR="004E4CC2" w:rsidRDefault="00000000">
            <w:pPr>
              <w:pStyle w:val="Compact"/>
            </w:pPr>
            <w:r>
              <w:t>0</w:t>
            </w:r>
          </w:p>
        </w:tc>
        <w:tc>
          <w:tcPr>
            <w:tcW w:w="0" w:type="auto"/>
          </w:tcPr>
          <w:p w14:paraId="0FF7CBC4" w14:textId="77777777" w:rsidR="004E4CC2" w:rsidRDefault="00000000">
            <w:pPr>
              <w:pStyle w:val="Compact"/>
            </w:pPr>
            <w:r>
              <w:t>0</w:t>
            </w:r>
          </w:p>
        </w:tc>
        <w:tc>
          <w:tcPr>
            <w:tcW w:w="0" w:type="auto"/>
          </w:tcPr>
          <w:p w14:paraId="3050DA12" w14:textId="77777777" w:rsidR="004E4CC2" w:rsidRDefault="00000000">
            <w:pPr>
              <w:pStyle w:val="Compact"/>
            </w:pPr>
            <w:r>
              <w:t>900</w:t>
            </w:r>
          </w:p>
        </w:tc>
      </w:tr>
    </w:tbl>
    <w:p w14:paraId="05B6F840" w14:textId="77777777" w:rsidR="004E4CC2" w:rsidRDefault="00000000">
      <w:pPr>
        <w:pStyle w:val="SourceCode"/>
      </w:pPr>
      <w:r>
        <w:rPr>
          <w:rStyle w:val="VerbatimChar"/>
        </w:rPr>
        <w:t>heute max. Abweichung der gelieferten Anteilsfelder: 4.995509659145442e-11</w:t>
      </w:r>
      <w:r>
        <w:br/>
      </w:r>
      <w:r>
        <w:rPr>
          <w:rStyle w:val="VerbatimChar"/>
        </w:rPr>
        <w:t>2040 max. Abweichung der gelieferten Anteilsfelder: 4.981260759776007e-11</w:t>
      </w:r>
    </w:p>
    <w:tbl>
      <w:tblPr>
        <w:tblStyle w:val="Table"/>
        <w:tblW w:w="0" w:type="auto"/>
        <w:tblLook w:val="0020" w:firstRow="1" w:lastRow="0" w:firstColumn="0" w:lastColumn="0" w:noHBand="0" w:noVBand="0"/>
      </w:tblPr>
      <w:tblGrid>
        <w:gridCol w:w="345"/>
        <w:gridCol w:w="3518"/>
        <w:gridCol w:w="1655"/>
        <w:gridCol w:w="901"/>
        <w:gridCol w:w="893"/>
        <w:gridCol w:w="1388"/>
      </w:tblGrid>
      <w:tr w:rsidR="004E4CC2" w14:paraId="75377BE1"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575E5AB5" w14:textId="77777777" w:rsidR="004E4CC2" w:rsidRDefault="004E4CC2">
            <w:pPr>
              <w:pStyle w:val="Compact"/>
            </w:pPr>
          </w:p>
        </w:tc>
        <w:tc>
          <w:tcPr>
            <w:tcW w:w="0" w:type="auto"/>
          </w:tcPr>
          <w:p w14:paraId="59CAB914" w14:textId="77777777" w:rsidR="004E4CC2" w:rsidRDefault="00000000">
            <w:pPr>
              <w:pStyle w:val="Compact"/>
            </w:pPr>
            <w:r>
              <w:t>Datensatz</w:t>
            </w:r>
          </w:p>
        </w:tc>
        <w:tc>
          <w:tcPr>
            <w:tcW w:w="0" w:type="auto"/>
          </w:tcPr>
          <w:p w14:paraId="512B209C" w14:textId="77777777" w:rsidR="004E4CC2" w:rsidRDefault="00000000">
            <w:pPr>
              <w:pStyle w:val="Compact"/>
            </w:pPr>
            <w:r>
              <w:t>NGF [Mio. m²]</w:t>
            </w:r>
          </w:p>
        </w:tc>
        <w:tc>
          <w:tcPr>
            <w:tcW w:w="0" w:type="auto"/>
          </w:tcPr>
          <w:p w14:paraId="7E8EF389" w14:textId="77777777" w:rsidR="004E4CC2" w:rsidRDefault="00000000">
            <w:pPr>
              <w:pStyle w:val="Compact"/>
            </w:pPr>
            <w:r>
              <w:t>positiv</w:t>
            </w:r>
          </w:p>
        </w:tc>
        <w:tc>
          <w:tcPr>
            <w:tcW w:w="0" w:type="auto"/>
          </w:tcPr>
          <w:p w14:paraId="4D21BA11" w14:textId="77777777" w:rsidR="004E4CC2" w:rsidRDefault="00000000">
            <w:pPr>
              <w:pStyle w:val="Compact"/>
            </w:pPr>
            <w:r>
              <w:t>Null</w:t>
            </w:r>
          </w:p>
        </w:tc>
        <w:tc>
          <w:tcPr>
            <w:tcW w:w="0" w:type="auto"/>
          </w:tcPr>
          <w:p w14:paraId="21EBFC37" w14:textId="77777777" w:rsidR="004E4CC2" w:rsidRDefault="00000000">
            <w:pPr>
              <w:pStyle w:val="Compact"/>
            </w:pPr>
            <w:r>
              <w:t>fehlend</w:t>
            </w:r>
          </w:p>
        </w:tc>
      </w:tr>
      <w:tr w:rsidR="004E4CC2" w14:paraId="35727DE5" w14:textId="77777777">
        <w:tc>
          <w:tcPr>
            <w:tcW w:w="0" w:type="auto"/>
          </w:tcPr>
          <w:p w14:paraId="6C9865E4" w14:textId="77777777" w:rsidR="004E4CC2" w:rsidRDefault="00000000">
            <w:pPr>
              <w:pStyle w:val="Compact"/>
            </w:pPr>
            <w:r>
              <w:t>0</w:t>
            </w:r>
          </w:p>
        </w:tc>
        <w:tc>
          <w:tcPr>
            <w:tcW w:w="0" w:type="auto"/>
          </w:tcPr>
          <w:p w14:paraId="2D89BF1C" w14:textId="77777777" w:rsidR="004E4CC2" w:rsidRDefault="00000000">
            <w:pPr>
              <w:pStyle w:val="Compact"/>
            </w:pPr>
            <w:r>
              <w:t>reduced (NGF, alter Stand)</w:t>
            </w:r>
          </w:p>
        </w:tc>
        <w:tc>
          <w:tcPr>
            <w:tcW w:w="0" w:type="auto"/>
          </w:tcPr>
          <w:p w14:paraId="18756293" w14:textId="77777777" w:rsidR="004E4CC2" w:rsidRDefault="00000000">
            <w:pPr>
              <w:pStyle w:val="Compact"/>
            </w:pPr>
            <w:r>
              <w:t>696.615255</w:t>
            </w:r>
          </w:p>
        </w:tc>
        <w:tc>
          <w:tcPr>
            <w:tcW w:w="0" w:type="auto"/>
          </w:tcPr>
          <w:p w14:paraId="6A536D3A" w14:textId="77777777" w:rsidR="004E4CC2" w:rsidRDefault="00000000">
            <w:pPr>
              <w:pStyle w:val="Compact"/>
            </w:pPr>
            <w:r>
              <w:t>486</w:t>
            </w:r>
          </w:p>
        </w:tc>
        <w:tc>
          <w:tcPr>
            <w:tcW w:w="0" w:type="auto"/>
          </w:tcPr>
          <w:p w14:paraId="1D924362" w14:textId="77777777" w:rsidR="004E4CC2" w:rsidRDefault="00000000">
            <w:pPr>
              <w:pStyle w:val="Compact"/>
            </w:pPr>
            <w:r>
              <w:t>264</w:t>
            </w:r>
          </w:p>
        </w:tc>
        <w:tc>
          <w:tcPr>
            <w:tcW w:w="0" w:type="auto"/>
          </w:tcPr>
          <w:p w14:paraId="0F2FBD01" w14:textId="77777777" w:rsidR="004E4CC2" w:rsidRDefault="00000000">
            <w:pPr>
              <w:pStyle w:val="Compact"/>
            </w:pPr>
            <w:r>
              <w:t>6450</w:t>
            </w:r>
          </w:p>
        </w:tc>
      </w:tr>
      <w:tr w:rsidR="004E4CC2" w14:paraId="132AAD1F" w14:textId="77777777">
        <w:tc>
          <w:tcPr>
            <w:tcW w:w="0" w:type="auto"/>
          </w:tcPr>
          <w:p w14:paraId="04548C51" w14:textId="77777777" w:rsidR="004E4CC2" w:rsidRDefault="00000000">
            <w:pPr>
              <w:pStyle w:val="Compact"/>
            </w:pPr>
            <w:r>
              <w:t>1</w:t>
            </w:r>
          </w:p>
        </w:tc>
        <w:tc>
          <w:tcPr>
            <w:tcW w:w="0" w:type="auto"/>
          </w:tcPr>
          <w:p w14:paraId="3A97B5E6" w14:textId="77777777" w:rsidR="004E4CC2" w:rsidRDefault="00000000">
            <w:pPr>
              <w:pStyle w:val="Compact"/>
            </w:pPr>
            <w:r>
              <w:t>Strombed_estim heute (BGF × r)</w:t>
            </w:r>
          </w:p>
        </w:tc>
        <w:tc>
          <w:tcPr>
            <w:tcW w:w="0" w:type="auto"/>
          </w:tcPr>
          <w:p w14:paraId="692A146A" w14:textId="77777777" w:rsidR="004E4CC2" w:rsidRDefault="00000000">
            <w:pPr>
              <w:pStyle w:val="Compact"/>
            </w:pPr>
            <w:r>
              <w:t>889.872558</w:t>
            </w:r>
          </w:p>
        </w:tc>
        <w:tc>
          <w:tcPr>
            <w:tcW w:w="0" w:type="auto"/>
          </w:tcPr>
          <w:p w14:paraId="0E5E1AE0" w14:textId="77777777" w:rsidR="004E4CC2" w:rsidRDefault="00000000">
            <w:pPr>
              <w:pStyle w:val="Compact"/>
            </w:pPr>
            <w:r>
              <w:t>585</w:t>
            </w:r>
          </w:p>
        </w:tc>
        <w:tc>
          <w:tcPr>
            <w:tcW w:w="0" w:type="auto"/>
          </w:tcPr>
          <w:p w14:paraId="4B39BA39" w14:textId="77777777" w:rsidR="004E4CC2" w:rsidRDefault="00000000">
            <w:pPr>
              <w:pStyle w:val="Compact"/>
            </w:pPr>
            <w:r>
              <w:t>315</w:t>
            </w:r>
          </w:p>
        </w:tc>
        <w:tc>
          <w:tcPr>
            <w:tcW w:w="0" w:type="auto"/>
          </w:tcPr>
          <w:p w14:paraId="00A9F50D" w14:textId="77777777" w:rsidR="004E4CC2" w:rsidRDefault="00000000">
            <w:pPr>
              <w:pStyle w:val="Compact"/>
            </w:pPr>
            <w:r>
              <w:t>0</w:t>
            </w:r>
          </w:p>
        </w:tc>
      </w:tr>
      <w:tr w:rsidR="004E4CC2" w14:paraId="6A5FB0F7" w14:textId="77777777">
        <w:tc>
          <w:tcPr>
            <w:tcW w:w="0" w:type="auto"/>
          </w:tcPr>
          <w:p w14:paraId="674036FB" w14:textId="77777777" w:rsidR="004E4CC2" w:rsidRDefault="00000000">
            <w:pPr>
              <w:pStyle w:val="Compact"/>
            </w:pPr>
            <w:r>
              <w:t>2</w:t>
            </w:r>
          </w:p>
        </w:tc>
        <w:tc>
          <w:tcPr>
            <w:tcW w:w="0" w:type="auto"/>
          </w:tcPr>
          <w:p w14:paraId="258A33C8" w14:textId="77777777" w:rsidR="004E4CC2" w:rsidRDefault="00000000">
            <w:pPr>
              <w:pStyle w:val="Compact"/>
            </w:pPr>
            <w:r>
              <w:t>Strombed_estim 2040 (BGF × r)</w:t>
            </w:r>
          </w:p>
        </w:tc>
        <w:tc>
          <w:tcPr>
            <w:tcW w:w="0" w:type="auto"/>
          </w:tcPr>
          <w:p w14:paraId="41F153BA" w14:textId="77777777" w:rsidR="004E4CC2" w:rsidRDefault="00000000">
            <w:pPr>
              <w:pStyle w:val="Compact"/>
            </w:pPr>
            <w:r>
              <w:t>901.262927</w:t>
            </w:r>
          </w:p>
        </w:tc>
        <w:tc>
          <w:tcPr>
            <w:tcW w:w="0" w:type="auto"/>
          </w:tcPr>
          <w:p w14:paraId="6225D8C4" w14:textId="77777777" w:rsidR="004E4CC2" w:rsidRDefault="00000000">
            <w:pPr>
              <w:pStyle w:val="Compact"/>
            </w:pPr>
            <w:r>
              <w:t>603</w:t>
            </w:r>
          </w:p>
        </w:tc>
        <w:tc>
          <w:tcPr>
            <w:tcW w:w="0" w:type="auto"/>
          </w:tcPr>
          <w:p w14:paraId="60F9BB02" w14:textId="77777777" w:rsidR="004E4CC2" w:rsidRDefault="00000000">
            <w:pPr>
              <w:pStyle w:val="Compact"/>
            </w:pPr>
            <w:r>
              <w:t>297</w:t>
            </w:r>
          </w:p>
        </w:tc>
        <w:tc>
          <w:tcPr>
            <w:tcW w:w="0" w:type="auto"/>
          </w:tcPr>
          <w:p w14:paraId="67881377" w14:textId="77777777" w:rsidR="004E4CC2" w:rsidRDefault="00000000">
            <w:pPr>
              <w:pStyle w:val="Compact"/>
            </w:pPr>
            <w:r>
              <w:t>0</w:t>
            </w:r>
          </w:p>
        </w:tc>
      </w:tr>
      <w:tr w:rsidR="004E4CC2" w14:paraId="348D16DD" w14:textId="77777777" w:rsidTr="004E4CC2">
        <w:trPr>
          <w:tblHeader/>
        </w:trPr>
        <w:tc>
          <w:tcPr>
            <w:tcW w:w="0" w:type="auto"/>
            <w:gridSpan w:val="2"/>
          </w:tcPr>
          <w:p w14:paraId="7414F3C8" w14:textId="77777777" w:rsidR="004E4CC2" w:rsidRDefault="004E4CC2">
            <w:pPr>
              <w:pStyle w:val="Compact"/>
            </w:pPr>
          </w:p>
        </w:tc>
        <w:tc>
          <w:tcPr>
            <w:tcW w:w="0" w:type="auto"/>
            <w:gridSpan w:val="2"/>
          </w:tcPr>
          <w:p w14:paraId="62D929C1" w14:textId="77777777" w:rsidR="004E4CC2" w:rsidRDefault="00000000">
            <w:pPr>
              <w:pStyle w:val="Compact"/>
            </w:pPr>
            <w:r>
              <w:t>Zustand</w:t>
            </w:r>
          </w:p>
        </w:tc>
        <w:tc>
          <w:tcPr>
            <w:tcW w:w="0" w:type="auto"/>
            <w:gridSpan w:val="2"/>
          </w:tcPr>
          <w:p w14:paraId="4023B2BF" w14:textId="77777777" w:rsidR="004E4CC2" w:rsidRDefault="00000000">
            <w:pPr>
              <w:pStyle w:val="Compact"/>
            </w:pPr>
            <w:r>
              <w:t>BGF 2040 [Mio. m²]</w:t>
            </w:r>
          </w:p>
        </w:tc>
      </w:tr>
      <w:tr w:rsidR="004E4CC2" w14:paraId="7F4F9729" w14:textId="77777777">
        <w:tc>
          <w:tcPr>
            <w:tcW w:w="0" w:type="auto"/>
            <w:gridSpan w:val="2"/>
          </w:tcPr>
          <w:p w14:paraId="23B2EF15" w14:textId="77777777" w:rsidR="004E4CC2" w:rsidRDefault="00000000">
            <w:pPr>
              <w:pStyle w:val="Compact"/>
            </w:pPr>
            <w:r>
              <w:t>0</w:t>
            </w:r>
          </w:p>
        </w:tc>
        <w:tc>
          <w:tcPr>
            <w:tcW w:w="0" w:type="auto"/>
            <w:gridSpan w:val="2"/>
          </w:tcPr>
          <w:p w14:paraId="228AC775" w14:textId="77777777" w:rsidR="004E4CC2" w:rsidRDefault="00000000">
            <w:pPr>
              <w:pStyle w:val="Compact"/>
            </w:pPr>
            <w:r>
              <w:t>Bestand</w:t>
            </w:r>
          </w:p>
        </w:tc>
        <w:tc>
          <w:tcPr>
            <w:tcW w:w="0" w:type="auto"/>
            <w:gridSpan w:val="2"/>
          </w:tcPr>
          <w:p w14:paraId="41128A47" w14:textId="77777777" w:rsidR="004E4CC2" w:rsidRDefault="00000000">
            <w:pPr>
              <w:pStyle w:val="Compact"/>
            </w:pPr>
            <w:r>
              <w:t>779.528361</w:t>
            </w:r>
          </w:p>
        </w:tc>
      </w:tr>
      <w:tr w:rsidR="004E4CC2" w14:paraId="10172927" w14:textId="77777777">
        <w:tc>
          <w:tcPr>
            <w:tcW w:w="0" w:type="auto"/>
            <w:gridSpan w:val="2"/>
          </w:tcPr>
          <w:p w14:paraId="2B670A24" w14:textId="77777777" w:rsidR="004E4CC2" w:rsidRDefault="00000000">
            <w:pPr>
              <w:pStyle w:val="Compact"/>
            </w:pPr>
            <w:r>
              <w:t>1</w:t>
            </w:r>
          </w:p>
        </w:tc>
        <w:tc>
          <w:tcPr>
            <w:tcW w:w="0" w:type="auto"/>
            <w:gridSpan w:val="2"/>
          </w:tcPr>
          <w:p w14:paraId="2AFCBF80" w14:textId="77777777" w:rsidR="004E4CC2" w:rsidRDefault="00000000">
            <w:pPr>
              <w:pStyle w:val="Compact"/>
            </w:pPr>
            <w:r>
              <w:t>Neubau</w:t>
            </w:r>
          </w:p>
        </w:tc>
        <w:tc>
          <w:tcPr>
            <w:tcW w:w="0" w:type="auto"/>
            <w:gridSpan w:val="2"/>
          </w:tcPr>
          <w:p w14:paraId="3D4B62B9" w14:textId="77777777" w:rsidR="004E4CC2" w:rsidRDefault="00000000">
            <w:pPr>
              <w:pStyle w:val="Compact"/>
            </w:pPr>
            <w:r>
              <w:t>320.354121</w:t>
            </w:r>
          </w:p>
        </w:tc>
      </w:tr>
      <w:tr w:rsidR="004E4CC2" w14:paraId="05342A50" w14:textId="77777777">
        <w:tc>
          <w:tcPr>
            <w:tcW w:w="0" w:type="auto"/>
            <w:gridSpan w:val="2"/>
          </w:tcPr>
          <w:p w14:paraId="63927DC1" w14:textId="77777777" w:rsidR="004E4CC2" w:rsidRDefault="00000000">
            <w:pPr>
              <w:pStyle w:val="Compact"/>
            </w:pPr>
            <w:r>
              <w:t>2</w:t>
            </w:r>
          </w:p>
        </w:tc>
        <w:tc>
          <w:tcPr>
            <w:tcW w:w="0" w:type="auto"/>
            <w:gridSpan w:val="2"/>
          </w:tcPr>
          <w:p w14:paraId="05EF44FC" w14:textId="77777777" w:rsidR="004E4CC2" w:rsidRDefault="00000000">
            <w:pPr>
              <w:pStyle w:val="Compact"/>
            </w:pPr>
            <w:r>
              <w:t>Sanierung</w:t>
            </w:r>
          </w:p>
        </w:tc>
        <w:tc>
          <w:tcPr>
            <w:tcW w:w="0" w:type="auto"/>
            <w:gridSpan w:val="2"/>
          </w:tcPr>
          <w:p w14:paraId="4736324A" w14:textId="77777777" w:rsidR="004E4CC2" w:rsidRDefault="00000000">
            <w:pPr>
              <w:pStyle w:val="Compact"/>
            </w:pPr>
            <w:r>
              <w:t>26.696177</w:t>
            </w:r>
          </w:p>
        </w:tc>
      </w:tr>
      <w:tr w:rsidR="004E4CC2" w14:paraId="44ED8B7C" w14:textId="77777777" w:rsidTr="004E4CC2">
        <w:trPr>
          <w:tblHeader/>
        </w:trPr>
        <w:tc>
          <w:tcPr>
            <w:tcW w:w="0" w:type="auto"/>
            <w:gridSpan w:val="2"/>
          </w:tcPr>
          <w:p w14:paraId="3D47E1FB" w14:textId="77777777" w:rsidR="004E4CC2" w:rsidRDefault="004E4CC2">
            <w:pPr>
              <w:pStyle w:val="Compact"/>
            </w:pPr>
          </w:p>
        </w:tc>
        <w:tc>
          <w:tcPr>
            <w:tcW w:w="0" w:type="auto"/>
            <w:gridSpan w:val="2"/>
          </w:tcPr>
          <w:p w14:paraId="09B52664" w14:textId="77777777" w:rsidR="004E4CC2" w:rsidRDefault="00000000">
            <w:pPr>
              <w:pStyle w:val="Compact"/>
            </w:pPr>
            <w:r>
              <w:t>Nationale BGF heute</w:t>
            </w:r>
          </w:p>
        </w:tc>
        <w:tc>
          <w:tcPr>
            <w:tcW w:w="0" w:type="auto"/>
            <w:gridSpan w:val="2"/>
          </w:tcPr>
          <w:p w14:paraId="058E7365" w14:textId="77777777" w:rsidR="004E4CC2" w:rsidRDefault="00000000">
            <w:pPr>
              <w:pStyle w:val="Compact"/>
            </w:pPr>
            <w:r>
              <w:t>Nationale BGF 2040</w:t>
            </w:r>
          </w:p>
        </w:tc>
      </w:tr>
      <w:tr w:rsidR="004E4CC2" w14:paraId="272760B9" w14:textId="77777777" w:rsidTr="004E4CC2">
        <w:trPr>
          <w:tblHeader/>
        </w:trPr>
        <w:tc>
          <w:tcPr>
            <w:tcW w:w="0" w:type="auto"/>
            <w:gridSpan w:val="2"/>
          </w:tcPr>
          <w:p w14:paraId="680CEAD0" w14:textId="77777777" w:rsidR="004E4CC2" w:rsidRDefault="00000000">
            <w:pPr>
              <w:pStyle w:val="Compact"/>
            </w:pPr>
            <w:r>
              <w:t>Geometrie</w:t>
            </w:r>
          </w:p>
        </w:tc>
        <w:tc>
          <w:tcPr>
            <w:tcW w:w="0" w:type="auto"/>
            <w:gridSpan w:val="2"/>
          </w:tcPr>
          <w:p w14:paraId="52991470" w14:textId="77777777" w:rsidR="004E4CC2" w:rsidRDefault="004E4CC2">
            <w:pPr>
              <w:pStyle w:val="Compact"/>
            </w:pPr>
          </w:p>
        </w:tc>
        <w:tc>
          <w:tcPr>
            <w:tcW w:w="0" w:type="auto"/>
            <w:gridSpan w:val="2"/>
          </w:tcPr>
          <w:p w14:paraId="55B1F596" w14:textId="77777777" w:rsidR="004E4CC2" w:rsidRDefault="004E4CC2">
            <w:pPr>
              <w:pStyle w:val="Compact"/>
            </w:pPr>
          </w:p>
        </w:tc>
      </w:tr>
      <w:tr w:rsidR="004E4CC2" w14:paraId="27660C2E" w14:textId="77777777">
        <w:tc>
          <w:tcPr>
            <w:tcW w:w="0" w:type="auto"/>
            <w:gridSpan w:val="2"/>
          </w:tcPr>
          <w:p w14:paraId="2CB65BE5" w14:textId="77777777" w:rsidR="004E4CC2" w:rsidRDefault="00000000">
            <w:pPr>
              <w:pStyle w:val="Compact"/>
            </w:pPr>
            <w:r>
              <w:t>EFH_1G</w:t>
            </w:r>
          </w:p>
        </w:tc>
        <w:tc>
          <w:tcPr>
            <w:tcW w:w="0" w:type="auto"/>
            <w:gridSpan w:val="2"/>
          </w:tcPr>
          <w:p w14:paraId="6AF02CFE" w14:textId="77777777" w:rsidR="004E4CC2" w:rsidRDefault="00000000">
            <w:pPr>
              <w:pStyle w:val="Compact"/>
            </w:pPr>
            <w:r>
              <w:t>129.675450</w:t>
            </w:r>
          </w:p>
        </w:tc>
        <w:tc>
          <w:tcPr>
            <w:tcW w:w="0" w:type="auto"/>
            <w:gridSpan w:val="2"/>
          </w:tcPr>
          <w:p w14:paraId="1AFAED15" w14:textId="77777777" w:rsidR="004E4CC2" w:rsidRDefault="00000000">
            <w:pPr>
              <w:pStyle w:val="Compact"/>
            </w:pPr>
            <w:r>
              <w:t>131.046774</w:t>
            </w:r>
          </w:p>
        </w:tc>
      </w:tr>
      <w:tr w:rsidR="004E4CC2" w14:paraId="2A7C9827" w14:textId="77777777">
        <w:tc>
          <w:tcPr>
            <w:tcW w:w="0" w:type="auto"/>
            <w:gridSpan w:val="2"/>
          </w:tcPr>
          <w:p w14:paraId="10EE1A7A" w14:textId="77777777" w:rsidR="004E4CC2" w:rsidRDefault="00000000">
            <w:pPr>
              <w:pStyle w:val="Compact"/>
            </w:pPr>
            <w:r>
              <w:t>EFH_2G</w:t>
            </w:r>
          </w:p>
        </w:tc>
        <w:tc>
          <w:tcPr>
            <w:tcW w:w="0" w:type="auto"/>
            <w:gridSpan w:val="2"/>
          </w:tcPr>
          <w:p w14:paraId="197A8507" w14:textId="77777777" w:rsidR="004E4CC2" w:rsidRDefault="00000000">
            <w:pPr>
              <w:pStyle w:val="Compact"/>
            </w:pPr>
            <w:r>
              <w:t>186.891308</w:t>
            </w:r>
          </w:p>
        </w:tc>
        <w:tc>
          <w:tcPr>
            <w:tcW w:w="0" w:type="auto"/>
            <w:gridSpan w:val="2"/>
          </w:tcPr>
          <w:p w14:paraId="0C4E14B2" w14:textId="77777777" w:rsidR="004E4CC2" w:rsidRDefault="00000000">
            <w:pPr>
              <w:pStyle w:val="Compact"/>
            </w:pPr>
            <w:r>
              <w:t>189.492325</w:t>
            </w:r>
          </w:p>
        </w:tc>
      </w:tr>
      <w:tr w:rsidR="004E4CC2" w14:paraId="481A310D" w14:textId="77777777">
        <w:tc>
          <w:tcPr>
            <w:tcW w:w="0" w:type="auto"/>
            <w:gridSpan w:val="2"/>
          </w:tcPr>
          <w:p w14:paraId="08E5DF72" w14:textId="77777777" w:rsidR="004E4CC2" w:rsidRDefault="00000000">
            <w:pPr>
              <w:pStyle w:val="Compact"/>
            </w:pPr>
            <w:r>
              <w:t>GWB_5G</w:t>
            </w:r>
          </w:p>
        </w:tc>
        <w:tc>
          <w:tcPr>
            <w:tcW w:w="0" w:type="auto"/>
            <w:gridSpan w:val="2"/>
          </w:tcPr>
          <w:p w14:paraId="75B9D2A1" w14:textId="77777777" w:rsidR="004E4CC2" w:rsidRDefault="00000000">
            <w:pPr>
              <w:pStyle w:val="Compact"/>
            </w:pPr>
            <w:r>
              <w:t>39.451509</w:t>
            </w:r>
          </w:p>
        </w:tc>
        <w:tc>
          <w:tcPr>
            <w:tcW w:w="0" w:type="auto"/>
            <w:gridSpan w:val="2"/>
          </w:tcPr>
          <w:p w14:paraId="74D26FDC" w14:textId="77777777" w:rsidR="004E4CC2" w:rsidRDefault="00000000">
            <w:pPr>
              <w:pStyle w:val="Compact"/>
            </w:pPr>
            <w:r>
              <w:t>39.940921</w:t>
            </w:r>
          </w:p>
        </w:tc>
      </w:tr>
      <w:tr w:rsidR="004E4CC2" w14:paraId="06AD0F9E" w14:textId="77777777">
        <w:tc>
          <w:tcPr>
            <w:tcW w:w="0" w:type="auto"/>
            <w:gridSpan w:val="2"/>
          </w:tcPr>
          <w:p w14:paraId="2FD88961" w14:textId="77777777" w:rsidR="004E4CC2" w:rsidRDefault="00000000">
            <w:pPr>
              <w:pStyle w:val="Compact"/>
            </w:pPr>
            <w:r>
              <w:lastRenderedPageBreak/>
              <w:t>GWB_7G</w:t>
            </w:r>
          </w:p>
        </w:tc>
        <w:tc>
          <w:tcPr>
            <w:tcW w:w="0" w:type="auto"/>
            <w:gridSpan w:val="2"/>
          </w:tcPr>
          <w:p w14:paraId="211B16EC" w14:textId="77777777" w:rsidR="004E4CC2" w:rsidRDefault="00000000">
            <w:pPr>
              <w:pStyle w:val="Compact"/>
            </w:pPr>
            <w:r>
              <w:t>81.032363</w:t>
            </w:r>
          </w:p>
        </w:tc>
        <w:tc>
          <w:tcPr>
            <w:tcW w:w="0" w:type="auto"/>
            <w:gridSpan w:val="2"/>
          </w:tcPr>
          <w:p w14:paraId="274B168E" w14:textId="77777777" w:rsidR="004E4CC2" w:rsidRDefault="00000000">
            <w:pPr>
              <w:pStyle w:val="Compact"/>
            </w:pPr>
            <w:r>
              <w:t>82.107513</w:t>
            </w:r>
          </w:p>
        </w:tc>
      </w:tr>
      <w:tr w:rsidR="004E4CC2" w14:paraId="20DE4ED5" w14:textId="77777777">
        <w:tc>
          <w:tcPr>
            <w:tcW w:w="0" w:type="auto"/>
            <w:gridSpan w:val="2"/>
          </w:tcPr>
          <w:p w14:paraId="383CE58F" w14:textId="77777777" w:rsidR="004E4CC2" w:rsidRDefault="00000000">
            <w:pPr>
              <w:pStyle w:val="Compact"/>
            </w:pPr>
            <w:r>
              <w:t>MFH_2G</w:t>
            </w:r>
          </w:p>
        </w:tc>
        <w:tc>
          <w:tcPr>
            <w:tcW w:w="0" w:type="auto"/>
            <w:gridSpan w:val="2"/>
          </w:tcPr>
          <w:p w14:paraId="133F6B87" w14:textId="77777777" w:rsidR="004E4CC2" w:rsidRDefault="00000000">
            <w:pPr>
              <w:pStyle w:val="Compact"/>
            </w:pPr>
            <w:r>
              <w:t>0.000000</w:t>
            </w:r>
          </w:p>
        </w:tc>
        <w:tc>
          <w:tcPr>
            <w:tcW w:w="0" w:type="auto"/>
            <w:gridSpan w:val="2"/>
          </w:tcPr>
          <w:p w14:paraId="030CE5F3" w14:textId="77777777" w:rsidR="004E4CC2" w:rsidRDefault="00000000">
            <w:pPr>
              <w:pStyle w:val="Compact"/>
            </w:pPr>
            <w:r>
              <w:t>0.000000</w:t>
            </w:r>
          </w:p>
        </w:tc>
      </w:tr>
      <w:tr w:rsidR="004E4CC2" w14:paraId="7D341510" w14:textId="77777777">
        <w:tc>
          <w:tcPr>
            <w:tcW w:w="0" w:type="auto"/>
            <w:gridSpan w:val="2"/>
          </w:tcPr>
          <w:p w14:paraId="0B82F3A9" w14:textId="77777777" w:rsidR="004E4CC2" w:rsidRDefault="00000000">
            <w:pPr>
              <w:pStyle w:val="Compact"/>
            </w:pPr>
            <w:r>
              <w:t>MFH_4G</w:t>
            </w:r>
          </w:p>
        </w:tc>
        <w:tc>
          <w:tcPr>
            <w:tcW w:w="0" w:type="auto"/>
            <w:gridSpan w:val="2"/>
          </w:tcPr>
          <w:p w14:paraId="39CA604E" w14:textId="77777777" w:rsidR="004E4CC2" w:rsidRDefault="00000000">
            <w:pPr>
              <w:pStyle w:val="Compact"/>
            </w:pPr>
            <w:r>
              <w:t>65.007145</w:t>
            </w:r>
          </w:p>
        </w:tc>
        <w:tc>
          <w:tcPr>
            <w:tcW w:w="0" w:type="auto"/>
            <w:gridSpan w:val="2"/>
          </w:tcPr>
          <w:p w14:paraId="23DD55DF" w14:textId="77777777" w:rsidR="004E4CC2" w:rsidRDefault="00000000">
            <w:pPr>
              <w:pStyle w:val="Compact"/>
            </w:pPr>
            <w:r>
              <w:t>65.864754</w:t>
            </w:r>
          </w:p>
        </w:tc>
      </w:tr>
      <w:tr w:rsidR="004E4CC2" w14:paraId="7B324CCC" w14:textId="77777777">
        <w:tc>
          <w:tcPr>
            <w:tcW w:w="0" w:type="auto"/>
            <w:gridSpan w:val="2"/>
          </w:tcPr>
          <w:p w14:paraId="52190AD6" w14:textId="77777777" w:rsidR="004E4CC2" w:rsidRDefault="00000000">
            <w:pPr>
              <w:pStyle w:val="Compact"/>
            </w:pPr>
            <w:r>
              <w:t>NiWo_1G</w:t>
            </w:r>
          </w:p>
        </w:tc>
        <w:tc>
          <w:tcPr>
            <w:tcW w:w="0" w:type="auto"/>
            <w:gridSpan w:val="2"/>
          </w:tcPr>
          <w:p w14:paraId="25C18FAE" w14:textId="77777777" w:rsidR="004E4CC2" w:rsidRDefault="00000000">
            <w:pPr>
              <w:pStyle w:val="Compact"/>
            </w:pPr>
            <w:r>
              <w:t>90.878367</w:t>
            </w:r>
          </w:p>
        </w:tc>
        <w:tc>
          <w:tcPr>
            <w:tcW w:w="0" w:type="auto"/>
            <w:gridSpan w:val="2"/>
          </w:tcPr>
          <w:p w14:paraId="0DB1DB2F" w14:textId="77777777" w:rsidR="004E4CC2" w:rsidRDefault="00000000">
            <w:pPr>
              <w:pStyle w:val="Compact"/>
            </w:pPr>
            <w:r>
              <w:t>92.026259</w:t>
            </w:r>
          </w:p>
        </w:tc>
      </w:tr>
      <w:tr w:rsidR="004E4CC2" w14:paraId="5F70F01F" w14:textId="77777777">
        <w:tc>
          <w:tcPr>
            <w:tcW w:w="0" w:type="auto"/>
            <w:gridSpan w:val="2"/>
          </w:tcPr>
          <w:p w14:paraId="53B92D30" w14:textId="77777777" w:rsidR="004E4CC2" w:rsidRDefault="00000000">
            <w:pPr>
              <w:pStyle w:val="Compact"/>
            </w:pPr>
            <w:r>
              <w:t>NiWo_2G</w:t>
            </w:r>
          </w:p>
        </w:tc>
        <w:tc>
          <w:tcPr>
            <w:tcW w:w="0" w:type="auto"/>
            <w:gridSpan w:val="2"/>
          </w:tcPr>
          <w:p w14:paraId="020766AE" w14:textId="77777777" w:rsidR="004E4CC2" w:rsidRDefault="00000000">
            <w:pPr>
              <w:pStyle w:val="Compact"/>
            </w:pPr>
            <w:r>
              <w:t>138.179441</w:t>
            </w:r>
          </w:p>
        </w:tc>
        <w:tc>
          <w:tcPr>
            <w:tcW w:w="0" w:type="auto"/>
            <w:gridSpan w:val="2"/>
          </w:tcPr>
          <w:p w14:paraId="70FAC553" w14:textId="77777777" w:rsidR="004E4CC2" w:rsidRDefault="00000000">
            <w:pPr>
              <w:pStyle w:val="Compact"/>
            </w:pPr>
            <w:r>
              <w:t>139.840450</w:t>
            </w:r>
          </w:p>
        </w:tc>
      </w:tr>
      <w:tr w:rsidR="004E4CC2" w14:paraId="6404B672" w14:textId="77777777">
        <w:tc>
          <w:tcPr>
            <w:tcW w:w="0" w:type="auto"/>
            <w:gridSpan w:val="2"/>
          </w:tcPr>
          <w:p w14:paraId="0AB8C67B" w14:textId="77777777" w:rsidR="004E4CC2" w:rsidRDefault="00000000">
            <w:pPr>
              <w:pStyle w:val="Compact"/>
            </w:pPr>
            <w:r>
              <w:t>NiWo_3G</w:t>
            </w:r>
          </w:p>
        </w:tc>
        <w:tc>
          <w:tcPr>
            <w:tcW w:w="0" w:type="auto"/>
            <w:gridSpan w:val="2"/>
          </w:tcPr>
          <w:p w14:paraId="6DA321C4" w14:textId="77777777" w:rsidR="004E4CC2" w:rsidRDefault="00000000">
            <w:pPr>
              <w:pStyle w:val="Compact"/>
            </w:pPr>
            <w:r>
              <w:t>194.333808</w:t>
            </w:r>
          </w:p>
        </w:tc>
        <w:tc>
          <w:tcPr>
            <w:tcW w:w="0" w:type="auto"/>
            <w:gridSpan w:val="2"/>
          </w:tcPr>
          <w:p w14:paraId="2653482D" w14:textId="77777777" w:rsidR="004E4CC2" w:rsidRDefault="00000000">
            <w:pPr>
              <w:pStyle w:val="Compact"/>
            </w:pPr>
            <w:r>
              <w:t>196.767338</w:t>
            </w:r>
          </w:p>
        </w:tc>
      </w:tr>
      <w:tr w:rsidR="004E4CC2" w14:paraId="71DB27EA" w14:textId="77777777">
        <w:tc>
          <w:tcPr>
            <w:tcW w:w="0" w:type="auto"/>
            <w:gridSpan w:val="2"/>
          </w:tcPr>
          <w:p w14:paraId="23D813EC" w14:textId="77777777" w:rsidR="004E4CC2" w:rsidRDefault="00000000">
            <w:pPr>
              <w:pStyle w:val="Compact"/>
            </w:pPr>
            <w:r>
              <w:t>RH_2G</w:t>
            </w:r>
          </w:p>
        </w:tc>
        <w:tc>
          <w:tcPr>
            <w:tcW w:w="0" w:type="auto"/>
            <w:gridSpan w:val="2"/>
          </w:tcPr>
          <w:p w14:paraId="33811CC7" w14:textId="77777777" w:rsidR="004E4CC2" w:rsidRDefault="00000000">
            <w:pPr>
              <w:pStyle w:val="Compact"/>
            </w:pPr>
            <w:r>
              <w:t>186.891308</w:t>
            </w:r>
          </w:p>
        </w:tc>
        <w:tc>
          <w:tcPr>
            <w:tcW w:w="0" w:type="auto"/>
            <w:gridSpan w:val="2"/>
          </w:tcPr>
          <w:p w14:paraId="7B39C22D" w14:textId="77777777" w:rsidR="004E4CC2" w:rsidRDefault="00000000">
            <w:pPr>
              <w:pStyle w:val="Compact"/>
            </w:pPr>
            <w:r>
              <w:t>189.492325</w:t>
            </w:r>
          </w:p>
        </w:tc>
      </w:tr>
    </w:tbl>
    <w:p w14:paraId="7F9727AD" w14:textId="77777777" w:rsidR="004E4CC2" w:rsidRDefault="00000000">
      <w:pPr>
        <w:pStyle w:val="Textkrper"/>
      </w:pPr>
      <w:r>
        <w:rPr>
          <w:noProof/>
        </w:rPr>
        <w:drawing>
          <wp:inline distT="0" distB="0" distL="0" distR="0" wp14:anchorId="3BEB562D" wp14:editId="4E55CD1F">
            <wp:extent cx="5334000" cy="2339561"/>
            <wp:effectExtent l="0" t="0" r="0" b="0"/>
            <wp:docPr id="402" name="Picture"/>
            <wp:cNvGraphicFramePr/>
            <a:graphic xmlns:a="http://schemas.openxmlformats.org/drawingml/2006/main">
              <a:graphicData uri="http://schemas.openxmlformats.org/drawingml/2006/picture">
                <pic:pic xmlns:pic="http://schemas.openxmlformats.org/drawingml/2006/picture">
                  <pic:nvPicPr>
                    <pic:cNvPr id="403" name="Picture" descr="Berechnungen\gebaeudesektormodell/Gebaeudesektormodell_files/figure-docx/cell-4-output-6.png"/>
                    <pic:cNvPicPr>
                      <a:picLocks noChangeAspect="1" noChangeArrowheads="1"/>
                    </pic:cNvPicPr>
                  </pic:nvPicPr>
                  <pic:blipFill>
                    <a:blip r:embed="rId77"/>
                    <a:stretch>
                      <a:fillRect/>
                    </a:stretch>
                  </pic:blipFill>
                  <pic:spPr bwMode="auto">
                    <a:xfrm>
                      <a:off x="0" y="0"/>
                      <a:ext cx="5334000" cy="2339561"/>
                    </a:xfrm>
                    <a:prstGeom prst="rect">
                      <a:avLst/>
                    </a:prstGeom>
                    <a:noFill/>
                    <a:ln w="9525">
                      <a:noFill/>
                      <a:headEnd/>
                      <a:tailEnd/>
                    </a:ln>
                  </pic:spPr>
                </pic:pic>
              </a:graphicData>
            </a:graphic>
          </wp:inline>
        </w:drawing>
      </w:r>
    </w:p>
    <w:p w14:paraId="64DA18CC" w14:textId="77777777" w:rsidR="004E4CC2" w:rsidRDefault="00000000">
      <w:pPr>
        <w:pStyle w:val="berschrift2"/>
      </w:pPr>
      <w:bookmarkStart w:id="394" w:name="sec-gebaeude-strom"/>
      <w:bookmarkStart w:id="395" w:name="_Toc243681375"/>
      <w:bookmarkEnd w:id="392"/>
      <w:r>
        <w:t>E.4 4. Strombedarf, Erzeugung und Stromsaldo</w:t>
      </w:r>
      <w:bookmarkEnd w:id="395"/>
    </w:p>
    <w:p w14:paraId="1DF63B2E" w14:textId="77777777" w:rsidR="004E4CC2" w:rsidRDefault="00000000">
      <w:pPr>
        <w:pStyle w:val="FirstParagraph"/>
      </w:pPr>
      <w:r>
        <w:rPr>
          <w:rStyle w:val="VerbatimChar"/>
        </w:rPr>
        <w:t>Grid_to_building_min</w:t>
      </w:r>
      <w:r>
        <w:t xml:space="preserve"> ist </w:t>
      </w:r>
      <w:r>
        <w:rPr>
          <w:b/>
          <w:bCs/>
        </w:rPr>
        <w:t>Netzbezug</w:t>
      </w:r>
      <w:r>
        <w:t>, nicht der gesamte Strombedarf. Für die vorliegenden Varianten ohne Speicher/Flexibilität/MIV gilt:</w:t>
      </w:r>
    </w:p>
    <w:p w14:paraId="0A490ADD"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Netz</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m:t>
              </m:r>
              <m:r>
                <m:rPr>
                  <m:sty m:val="p"/>
                </m:rPr>
                <w:rPr>
                  <w:rFonts w:ascii="Cambria Math" w:hAnsi="Cambria Math"/>
                </w:rPr>
                <m:t>,</m:t>
              </m:r>
              <m:r>
                <w:rPr>
                  <w:rFonts w:ascii="Cambria Math" w:hAnsi="Cambria Math"/>
                </w:rPr>
                <m:t>direkt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PV</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m:t>
              </m:r>
              <m:r>
                <m:rPr>
                  <m:sty m:val="p"/>
                </m:rPr>
                <w:rPr>
                  <w:rFonts w:ascii="Cambria Math" w:hAnsi="Cambria Math"/>
                </w:rPr>
                <m:t>,</m:t>
              </m:r>
              <m:r>
                <w:rPr>
                  <w:rFonts w:ascii="Cambria Math" w:hAnsi="Cambria Math"/>
                </w:rPr>
                <m:t>direkt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m:t>
              </m:r>
              <m:r>
                <m:rPr>
                  <m:sty m:val="p"/>
                </m:rPr>
                <w:rPr>
                  <w:rFonts w:ascii="Cambria Math" w:hAnsi="Cambria Math"/>
                </w:rPr>
                <m:t>,</m:t>
              </m:r>
              <m:r>
                <w:rPr>
                  <w:rFonts w:ascii="Cambria Math" w:hAnsi="Cambria Math"/>
                </w:rPr>
                <m:t>Export</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2F3267C6" w14:textId="77777777" w:rsidR="004E4CC2" w:rsidRDefault="00000000">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el</m:t>
              </m:r>
              <m:r>
                <m:rPr>
                  <m:sty m:val="p"/>
                </m:rPr>
                <w:rPr>
                  <w:rFonts w:ascii="Cambria Math" w:hAnsi="Cambria Math"/>
                </w:rPr>
                <m:t>,</m:t>
              </m:r>
              <m:r>
                <w:rPr>
                  <w:rFonts w:ascii="Cambria Math" w:hAnsi="Cambria Math"/>
                </w:rPr>
                <m:t>y</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NGF</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sub>
              </m:sSub>
            </m:e>
          </m:nary>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PV</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el</m:t>
              </m:r>
              <m:r>
                <m:rPr>
                  <m:sty m:val="p"/>
                </m:rPr>
                <w:rPr>
                  <w:rFonts w:ascii="Cambria Math" w:hAnsi="Cambria Math"/>
                </w:rPr>
                <m:t>,</m:t>
              </m:r>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NGF</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sub>
              </m:sSub>
            </m:e>
          </m:nary>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m:t>
              </m:r>
              <m:r>
                <m:rPr>
                  <m:sty m:val="p"/>
                </m:rPr>
                <w:rPr>
                  <w:rFonts w:ascii="Cambria Math" w:hAnsi="Cambria Math"/>
                </w:rPr>
                <m:t>,</m:t>
              </m:r>
              <m:r>
                <w:rPr>
                  <w:rFonts w:ascii="Cambria Math" w:hAnsi="Cambria Math"/>
                </w:rPr>
                <m:t>Export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Netz</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3BC3E634" w14:textId="77777777" w:rsidR="004E4CC2" w:rsidRDefault="00000000">
      <w:pPr>
        <w:pStyle w:val="FirstParagraph"/>
      </w:pPr>
      <w:r>
        <w:t>Beide Bilanzwege werden unabhängig verglichen. Der Direktverbrauch wird nicht zweimal als Deckung angerechnet. Heizung und Warmwasser enthalten bereits Hilfsstrom; für die Anwendungsgrafik wird dieser aus den jeweiligen Summen herausgelöst und zusammen mit Allgemeinstrom separat gezeigt. Beleuchtung und Nutzerstrom bleiben getrennt. Die Klimatisierungsnullen sind gelieferte Simulationswerte, keine nationale Annahme ohne Kühlbedarf.</w:t>
      </w:r>
    </w:p>
    <w:p w14:paraId="65633979" w14:textId="77777777" w:rsidR="004E4CC2" w:rsidRDefault="00000000">
      <w:pPr>
        <w:pStyle w:val="Textkrper"/>
      </w:pPr>
      <w:r>
        <w:t xml:space="preserve">Für einen spezifischen Kennwert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gilt </w:t>
      </w:r>
      <m:oMath>
        <m:sSub>
          <m:sSubPr>
            <m:ctrlPr>
              <w:rPr>
                <w:rFonts w:ascii="Cambria Math" w:hAnsi="Cambria Math"/>
              </w:rPr>
            </m:ctrlPr>
          </m:sSubPr>
          <m:e>
            <m:r>
              <w:rPr>
                <w:rFonts w:ascii="Cambria Math" w:hAnsi="Cambria Math"/>
              </w:rPr>
              <m:t>E</m:t>
            </m:r>
          </m:e>
          <m:sub>
            <m:r>
              <w:rPr>
                <w:rFonts w:ascii="Cambria Math" w:hAnsi="Cambria Math"/>
              </w:rPr>
              <m:t>y</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NGF</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sub>
            </m:sSub>
          </m:e>
        </m:nary>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und </w:t>
      </w:r>
      <m:oMath>
        <m:sSub>
          <m:sSubPr>
            <m:ctrlPr>
              <w:rPr>
                <w:rFonts w:ascii="Cambria Math" w:hAnsi="Cambria Math"/>
              </w:rPr>
            </m:ctrlPr>
          </m:sSubPr>
          <m:e>
            <m:acc>
              <m:accPr>
                <m:chr m:val="‾"/>
                <m:ctrlPr>
                  <w:rPr>
                    <w:rFonts w:ascii="Cambria Math" w:hAnsi="Cambria Math"/>
                  </w:rPr>
                </m:ctrlPr>
              </m:accPr>
              <m:e>
                <m:r>
                  <w:rPr>
                    <w:rFonts w:ascii="Cambria Math" w:hAnsi="Cambria Math"/>
                  </w:rPr>
                  <m:t>e</m:t>
                </m:r>
              </m:e>
            </m:acc>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y</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NGF</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sub>
            </m:sSub>
          </m:e>
        </m:nary>
      </m:oMath>
      <w:r>
        <w:t>. Fehlende Kennwerte auf positiver Fläche lassen eine Vollbilanz offen; bekannte Teilmengen werden eigens ausgewiesen.</w:t>
      </w:r>
    </w:p>
    <w:p w14:paraId="2AA0B5F8" w14:textId="77777777" w:rsidR="004E4CC2" w:rsidRDefault="00000000">
      <w:pPr>
        <w:pStyle w:val="berschrift3"/>
      </w:pPr>
      <w:bookmarkStart w:id="396" w:name="herkunft-der-pv-erzeugung"/>
      <w:bookmarkStart w:id="397" w:name="_Toc243681376"/>
      <w:r>
        <w:lastRenderedPageBreak/>
        <w:t>E.4.1 Herkunft der PV-Erzeugung</w:t>
      </w:r>
      <w:bookmarkEnd w:id="397"/>
    </w:p>
    <w:p w14:paraId="7271AADB" w14:textId="77777777" w:rsidR="004E4CC2" w:rsidRDefault="00000000">
      <w:pPr>
        <w:pStyle w:val="FirstParagraph"/>
      </w:pPr>
      <w:r>
        <w:t xml:space="preserve">Die Erzeugung wird </w:t>
      </w:r>
      <w:r>
        <w:rPr>
          <w:b/>
          <w:bCs/>
        </w:rPr>
        <w:t>direkt aus den gespeicherten Simulationskennwerten der Excel</w:t>
      </w:r>
      <w:r>
        <w:t xml:space="preserve"> übernommen. </w:t>
      </w:r>
      <w:r>
        <w:rPr>
          <w:rStyle w:val="VerbatimChar"/>
        </w:rPr>
        <w:t>Strombed_estim.PV_total_direct</w:t>
      </w:r>
      <w:r>
        <w:t xml:space="preserve"> bezeichnet direkt genutzten PV-Strom, </w:t>
      </w:r>
      <w:r>
        <w:rPr>
          <w:rStyle w:val="VerbatimChar"/>
        </w:rPr>
        <w:t>PV_to_Egrid</w:t>
      </w:r>
      <w:r>
        <w:t xml:space="preserve"> die Einspeisung. Ihre Summe wird gegen </w:t>
      </w:r>
      <w:r>
        <w:rPr>
          <w:rStyle w:val="VerbatimChar"/>
        </w:rPr>
        <w:t>Tabelle2.PV_total</w:t>
      </w:r>
      <w:r>
        <w:t xml:space="preserve"> geprüft. Die Kennwerte gelten je m² NGF und Jahr. Im Sektormodell findet keine neue Ertrags-, Orientierungs- oder Verschattungssimulation statt. Die Variante ist bei allen Typen </w:t>
      </w:r>
      <w:r>
        <w:rPr>
          <w:rStyle w:val="VerbatimChar"/>
        </w:rPr>
        <w:t>PV30|noFlex</w:t>
      </w:r>
      <w:r>
        <w:t xml:space="preserve">; aus ihrem Namen wird kein zusätzlicher numerischer Ertragsfaktor abgeleitet. Die GFZ-Zuordnung verändert die PV-Erzeugung </w:t>
      </w:r>
      <w:r>
        <w:rPr>
          <w:b/>
          <w:bCs/>
        </w:rPr>
        <w:t>nicht</w:t>
      </w:r>
      <w:r>
        <w:t>.</w:t>
      </w:r>
    </w:p>
    <w:p w14:paraId="0DB48381" w14:textId="77777777" w:rsidR="004E4CC2" w:rsidRDefault="00000000">
      <w:pPr>
        <w:pStyle w:val="Textkrper"/>
      </w:pPr>
      <w:r>
        <w:t xml:space="preserve">Für Typ </w:t>
      </w:r>
      <m:oMath>
        <m:r>
          <w:rPr>
            <w:rFonts w:ascii="Cambria Math" w:hAnsi="Cambria Math"/>
          </w:rPr>
          <m:t>k</m:t>
        </m:r>
      </m:oMath>
      <w:r>
        <w:t xml:space="preserve"> ergibt sich die nationale PV-Erzeugung aus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BGF</m:t>
            </m:r>
            <m:r>
              <m:rPr>
                <m:sty m:val="p"/>
              </m:rPr>
              <w:rPr>
                <w:rFonts w:ascii="Cambria Math" w:hAnsi="Cambria Math"/>
              </w:rPr>
              <m:t>,</m:t>
            </m:r>
            <m:r>
              <w:rPr>
                <w:rFonts w:ascii="Cambria Math" w:hAnsi="Cambria Math"/>
              </w:rPr>
              <m:t>k</m:t>
            </m:r>
          </m:sub>
        </m:sSub>
        <m:r>
          <w:rPr>
            <w:rFonts w:ascii="Cambria Math" w:hAnsi="Cambria Math"/>
          </w:rPr>
          <m:t> r </m:t>
        </m:r>
        <m:sSub>
          <m:sSubPr>
            <m:ctrlPr>
              <w:rPr>
                <w:rFonts w:ascii="Cambria Math" w:hAnsi="Cambria Math"/>
              </w:rPr>
            </m:ctrlPr>
          </m:sSubPr>
          <m:e>
            <m:r>
              <w:rPr>
                <w:rFonts w:ascii="Cambria Math" w:hAnsi="Cambria Math"/>
              </w:rPr>
              <m:t>e</m:t>
            </m:r>
          </m:e>
          <m:sub>
            <m:r>
              <w:rPr>
                <w:rFonts w:ascii="Cambria Math" w:hAnsi="Cambria Math"/>
              </w:rPr>
              <m:t>PV</m:t>
            </m:r>
            <m:r>
              <m:rPr>
                <m:sty m:val="p"/>
              </m:rPr>
              <w:rPr>
                <w:rFonts w:ascii="Cambria Math" w:hAnsi="Cambria Math"/>
              </w:rPr>
              <m:t>,</m:t>
            </m:r>
            <m:r>
              <w:rPr>
                <w:rFonts w:ascii="Cambria Math" w:hAnsi="Cambria Math"/>
              </w:rPr>
              <m:t>k</m:t>
            </m:r>
          </m:sub>
        </m:sSub>
      </m:oMath>
      <w:r>
        <w:t xml:space="preserve">, mit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NGF</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BGF</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m:t>
        </m:r>
      </m:oMath>
      <w:r>
        <w:t xml:space="preserve">. Die Flächen kommen aus der Spalte </w:t>
      </w:r>
      <w:r>
        <w:rPr>
          <w:rStyle w:val="VerbatimChar"/>
        </w:rPr>
        <w:t>Nationale BGF 2040</w:t>
      </w:r>
      <w:r>
        <w:t>.</w:t>
      </w:r>
    </w:p>
    <w:p w14:paraId="6125ADB9" w14:textId="77777777" w:rsidR="004E4CC2" w:rsidRDefault="00000000">
      <w:pPr>
        <w:pStyle w:val="SourceCode"/>
      </w:pPr>
      <w:r>
        <w:rPr>
          <w:rStyle w:val="ControlFlowTok"/>
        </w:rPr>
        <w:t>for</w:t>
      </w:r>
      <w:r>
        <w:rPr>
          <w:rStyle w:val="NormalTok"/>
        </w:rPr>
        <w:t xml:space="preserve"> c </w:t>
      </w:r>
      <w:r>
        <w:rPr>
          <w:rStyle w:val="KeywordTok"/>
        </w:rPr>
        <w:t>in</w:t>
      </w:r>
      <w:r>
        <w:rPr>
          <w:rStyle w:val="NormalTok"/>
        </w:rPr>
        <w:t xml:space="preserve"> [</w:t>
      </w:r>
      <w:r>
        <w:rPr>
          <w:rStyle w:val="StringTok"/>
        </w:rPr>
        <w:t>'Batt_total_charge_input'</w:t>
      </w:r>
      <w:r>
        <w:rPr>
          <w:rStyle w:val="NormalTok"/>
        </w:rPr>
        <w:t>,</w:t>
      </w:r>
      <w:r>
        <w:rPr>
          <w:rStyle w:val="StringTok"/>
        </w:rPr>
        <w:t>'EUIev_el'</w:t>
      </w:r>
      <w:r>
        <w:rPr>
          <w:rStyle w:val="NormalTok"/>
        </w:rPr>
        <w:t>,</w:t>
      </w:r>
      <w:r>
        <w:rPr>
          <w:rStyle w:val="StringTok"/>
        </w:rPr>
        <w:t>'PV_total_flex'</w:t>
      </w:r>
      <w:r>
        <w:rPr>
          <w:rStyle w:val="NormalTok"/>
        </w:rPr>
        <w:t>,</w:t>
      </w:r>
      <w:r>
        <w:rPr>
          <w:rStyle w:val="StringTok"/>
        </w:rPr>
        <w:t>'VRGrid_to_building'</w:t>
      </w:r>
      <w:r>
        <w:rPr>
          <w:rStyle w:val="NormalTok"/>
        </w:rPr>
        <w:t>,</w:t>
      </w:r>
      <w:r>
        <w:rPr>
          <w:rStyle w:val="StringTok"/>
        </w:rPr>
        <w:t>'EUIdhwdirect_el'</w:t>
      </w:r>
      <w:r>
        <w:rPr>
          <w:rStyle w:val="NormalTok"/>
        </w:rPr>
        <w:t>]:</w:t>
      </w:r>
      <w:r>
        <w:br/>
      </w:r>
      <w:r>
        <w:rPr>
          <w:rStyle w:val="NormalTok"/>
        </w:rPr>
        <w:t xml:space="preserve">    </w:t>
      </w:r>
      <w:r>
        <w:rPr>
          <w:rStyle w:val="ControlFlowTok"/>
        </w:rPr>
        <w:t>assert</w:t>
      </w:r>
      <w:r>
        <w:rPr>
          <w:rStyle w:val="NormalTok"/>
        </w:rPr>
        <w:t xml:space="preserve"> np.allclose(data[c],</w:t>
      </w:r>
      <w:r>
        <w:rPr>
          <w:rStyle w:val="DecValTok"/>
        </w:rPr>
        <w:t>0</w:t>
      </w:r>
      <w:r>
        <w:rPr>
          <w:rStyle w:val="NormalTok"/>
        </w:rPr>
        <w:t xml:space="preserve">), </w:t>
      </w:r>
      <w:r>
        <w:rPr>
          <w:rStyle w:val="SpecialStringTok"/>
        </w:rPr>
        <w:t xml:space="preserve">f'Erweiterte Flusslogik erforderlich: </w:t>
      </w:r>
      <w:r>
        <w:rPr>
          <w:rStyle w:val="SpecialCharTok"/>
        </w:rPr>
        <w:t>{</w:t>
      </w:r>
      <w:r>
        <w:rPr>
          <w:rStyle w:val="NormalTok"/>
        </w:rPr>
        <w:t>c</w:t>
      </w:r>
      <w:r>
        <w:rPr>
          <w:rStyle w:val="SpecialCharTok"/>
        </w:rPr>
        <w:t>}</w:t>
      </w:r>
      <w:r>
        <w:rPr>
          <w:rStyle w:val="SpecialStringTok"/>
        </w:rPr>
        <w:t>'</w:t>
      </w:r>
      <w:r>
        <w:br/>
      </w:r>
      <w:r>
        <w:rPr>
          <w:rStyle w:val="NormalTok"/>
        </w:rPr>
        <w:t>data[</w:t>
      </w:r>
      <w:r>
        <w:rPr>
          <w:rStyle w:val="StringTok"/>
        </w:rPr>
        <w:t>'Strombedarf'</w:t>
      </w:r>
      <w:r>
        <w:rPr>
          <w:rStyle w:val="NormalTok"/>
        </w:rPr>
        <w:t>]</w:t>
      </w:r>
      <w:r>
        <w:rPr>
          <w:rStyle w:val="OperatorTok"/>
        </w:rPr>
        <w:t>=</w:t>
      </w:r>
      <w:r>
        <w:rPr>
          <w:rStyle w:val="NormalTok"/>
        </w:rPr>
        <w:t>data.Grid_to_building_min</w:t>
      </w:r>
      <w:r>
        <w:rPr>
          <w:rStyle w:val="OperatorTok"/>
        </w:rPr>
        <w:t>+</w:t>
      </w:r>
      <w:r>
        <w:rPr>
          <w:rStyle w:val="NormalTok"/>
        </w:rPr>
        <w:t>data.PV_total_direct</w:t>
      </w:r>
      <w:r>
        <w:br/>
      </w:r>
      <w:r>
        <w:rPr>
          <w:rStyle w:val="NormalTok"/>
        </w:rPr>
        <w:t>data[</w:t>
      </w:r>
      <w:r>
        <w:rPr>
          <w:rStyle w:val="StringTok"/>
        </w:rPr>
        <w:t>'PV_Erzeugung'</w:t>
      </w:r>
      <w:r>
        <w:rPr>
          <w:rStyle w:val="NormalTok"/>
        </w:rPr>
        <w:t>]</w:t>
      </w:r>
      <w:r>
        <w:rPr>
          <w:rStyle w:val="OperatorTok"/>
        </w:rPr>
        <w:t>=</w:t>
      </w:r>
      <w:r>
        <w:rPr>
          <w:rStyle w:val="NormalTok"/>
        </w:rPr>
        <w:t>data.PV_total_direct</w:t>
      </w:r>
      <w:r>
        <w:rPr>
          <w:rStyle w:val="OperatorTok"/>
        </w:rPr>
        <w:t>+</w:t>
      </w:r>
      <w:r>
        <w:rPr>
          <w:rStyle w:val="NormalTok"/>
        </w:rPr>
        <w:t>data.PV_to_Egrid</w:t>
      </w:r>
      <w:r>
        <w:br/>
      </w:r>
      <w:r>
        <w:rPr>
          <w:rStyle w:val="NormalTok"/>
        </w:rPr>
        <w:t>data[</w:t>
      </w:r>
      <w:r>
        <w:rPr>
          <w:rStyle w:val="StringTok"/>
        </w:rPr>
        <w:t>'Stromsaldo'</w:t>
      </w:r>
      <w:r>
        <w:rPr>
          <w:rStyle w:val="NormalTok"/>
        </w:rPr>
        <w:t>]</w:t>
      </w:r>
      <w:r>
        <w:rPr>
          <w:rStyle w:val="OperatorTok"/>
        </w:rPr>
        <w:t>=</w:t>
      </w:r>
      <w:r>
        <w:rPr>
          <w:rStyle w:val="NormalTok"/>
        </w:rPr>
        <w:t>data.PV_Erzeugung</w:t>
      </w:r>
      <w:r>
        <w:rPr>
          <w:rStyle w:val="OperatorTok"/>
        </w:rPr>
        <w:t>-</w:t>
      </w:r>
      <w:r>
        <w:rPr>
          <w:rStyle w:val="NormalTok"/>
        </w:rPr>
        <w:t>data.Strombedarf</w:t>
      </w:r>
      <w:r>
        <w:br/>
      </w:r>
      <w:r>
        <w:rPr>
          <w:rStyle w:val="NormalTok"/>
        </w:rPr>
        <w:t>np.testing.assert_allclose(data.Strombedarf,data.EUI_el_total,atol</w:t>
      </w:r>
      <w:r>
        <w:rPr>
          <w:rStyle w:val="OperatorTok"/>
        </w:rPr>
        <w:t>=</w:t>
      </w:r>
      <w:r>
        <w:rPr>
          <w:rStyle w:val="FloatTok"/>
        </w:rPr>
        <w:t>1e-7</w:t>
      </w:r>
      <w:r>
        <w:rPr>
          <w:rStyle w:val="NormalTok"/>
        </w:rPr>
        <w:t>)</w:t>
      </w:r>
      <w:r>
        <w:br/>
      </w:r>
      <w:r>
        <w:rPr>
          <w:rStyle w:val="NormalTok"/>
        </w:rPr>
        <w:t>np.testing.assert_allclose(data.PV_Erzeugung,data.PV_total,atol</w:t>
      </w:r>
      <w:r>
        <w:rPr>
          <w:rStyle w:val="OperatorTok"/>
        </w:rPr>
        <w:t>=</w:t>
      </w:r>
      <w:r>
        <w:rPr>
          <w:rStyle w:val="FloatTok"/>
        </w:rPr>
        <w:t>1e-7</w:t>
      </w:r>
      <w:r>
        <w:rPr>
          <w:rStyle w:val="NormalTok"/>
        </w:rPr>
        <w:t>)</w:t>
      </w:r>
      <w:r>
        <w:br/>
      </w:r>
      <w:r>
        <w:rPr>
          <w:rStyle w:val="NormalTok"/>
        </w:rPr>
        <w:t>np.testing.assert_allclose(data.Stromsaldo,data.PV_to_Egrid</w:t>
      </w:r>
      <w:r>
        <w:rPr>
          <w:rStyle w:val="OperatorTok"/>
        </w:rPr>
        <w:t>-</w:t>
      </w:r>
      <w:r>
        <w:rPr>
          <w:rStyle w:val="NormalTok"/>
        </w:rPr>
        <w:t>data.Grid_to_building_min,atol</w:t>
      </w:r>
      <w:r>
        <w:rPr>
          <w:rStyle w:val="OperatorTok"/>
        </w:rPr>
        <w:t>=</w:t>
      </w:r>
      <w:r>
        <w:rPr>
          <w:rStyle w:val="FloatTok"/>
        </w:rPr>
        <w:t>1e-8</w:t>
      </w:r>
      <w:r>
        <w:rPr>
          <w:rStyle w:val="NormalTok"/>
        </w:rPr>
        <w:t>)</w:t>
      </w:r>
      <w:r>
        <w:br/>
      </w:r>
      <w:r>
        <w:rPr>
          <w:rStyle w:val="NormalTok"/>
        </w:rPr>
        <w:t>apps</w:t>
      </w:r>
      <w:r>
        <w:rPr>
          <w:rStyle w:val="OperatorTok"/>
        </w:rPr>
        <w:t>=</w:t>
      </w:r>
      <w:r>
        <w:rPr>
          <w:rStyle w:val="NormalTok"/>
        </w:rPr>
        <w:t>pd.DataFrame({</w:t>
      </w:r>
      <w:r>
        <w:rPr>
          <w:rStyle w:val="StringTok"/>
        </w:rPr>
        <w:t>'Heizung'</w:t>
      </w:r>
      <w:r>
        <w:rPr>
          <w:rStyle w:val="NormalTok"/>
        </w:rPr>
        <w:t>:data.EUIh_el</w:t>
      </w:r>
      <w:r>
        <w:rPr>
          <w:rStyle w:val="OperatorTok"/>
        </w:rPr>
        <w:t>-</w:t>
      </w:r>
      <w:r>
        <w:rPr>
          <w:rStyle w:val="NormalTok"/>
        </w:rPr>
        <w:t>data.EUIh_el_aux,</w:t>
      </w:r>
      <w:r>
        <w:br/>
      </w:r>
      <w:r>
        <w:rPr>
          <w:rStyle w:val="NormalTok"/>
        </w:rPr>
        <w:t xml:space="preserve"> </w:t>
      </w:r>
      <w:r>
        <w:rPr>
          <w:rStyle w:val="StringTok"/>
        </w:rPr>
        <w:t>'Warmwasser'</w:t>
      </w:r>
      <w:r>
        <w:rPr>
          <w:rStyle w:val="NormalTok"/>
        </w:rPr>
        <w:t>:data.EUIdhw_el</w:t>
      </w:r>
      <w:r>
        <w:rPr>
          <w:rStyle w:val="OperatorTok"/>
        </w:rPr>
        <w:t>-</w:t>
      </w:r>
      <w:r>
        <w:rPr>
          <w:rStyle w:val="NormalTok"/>
        </w:rPr>
        <w:t>data.Edhw_aux_el,</w:t>
      </w:r>
      <w:r>
        <w:rPr>
          <w:rStyle w:val="StringTok"/>
        </w:rPr>
        <w:t>'Kühlung'</w:t>
      </w:r>
      <w:r>
        <w:rPr>
          <w:rStyle w:val="NormalTok"/>
        </w:rPr>
        <w:t>:data.EUIc_el</w:t>
      </w:r>
      <w:r>
        <w:rPr>
          <w:rStyle w:val="OperatorTok"/>
        </w:rPr>
        <w:t>-</w:t>
      </w:r>
      <w:r>
        <w:rPr>
          <w:rStyle w:val="NormalTok"/>
        </w:rPr>
        <w:t>data.EUIc_el_aux,</w:t>
      </w:r>
      <w:r>
        <w:br/>
      </w:r>
      <w:r>
        <w:rPr>
          <w:rStyle w:val="NormalTok"/>
        </w:rPr>
        <w:t xml:space="preserve"> </w:t>
      </w:r>
      <w:r>
        <w:rPr>
          <w:rStyle w:val="StringTok"/>
        </w:rPr>
        <w:t>'Lüftung'</w:t>
      </w:r>
      <w:r>
        <w:rPr>
          <w:rStyle w:val="NormalTok"/>
        </w:rPr>
        <w:t>:data.EUIv_el,</w:t>
      </w:r>
      <w:r>
        <w:rPr>
          <w:rStyle w:val="StringTok"/>
        </w:rPr>
        <w:t>'Hilfs-/Allgemeinstrom'</w:t>
      </w:r>
      <w:r>
        <w:rPr>
          <w:rStyle w:val="NormalTok"/>
        </w:rPr>
        <w:t>:data.EUI_auxiliary</w:t>
      </w:r>
      <w:r>
        <w:rPr>
          <w:rStyle w:val="OperatorTok"/>
        </w:rPr>
        <w:t>+</w:t>
      </w:r>
      <w:r>
        <w:rPr>
          <w:rStyle w:val="NormalTok"/>
        </w:rPr>
        <w:t>data.EUIh_el_aux</w:t>
      </w:r>
      <w:r>
        <w:rPr>
          <w:rStyle w:val="OperatorTok"/>
        </w:rPr>
        <w:t>+</w:t>
      </w:r>
      <w:r>
        <w:rPr>
          <w:rStyle w:val="NormalTok"/>
        </w:rPr>
        <w:t>data.EUIc_el_aux</w:t>
      </w:r>
      <w:r>
        <w:rPr>
          <w:rStyle w:val="OperatorTok"/>
        </w:rPr>
        <w:t>+</w:t>
      </w:r>
      <w:r>
        <w:rPr>
          <w:rStyle w:val="NormalTok"/>
        </w:rPr>
        <w:t>data.Edhw_aux_el,</w:t>
      </w:r>
      <w:r>
        <w:br/>
      </w:r>
      <w:r>
        <w:rPr>
          <w:rStyle w:val="NormalTok"/>
        </w:rPr>
        <w:t xml:space="preserve"> </w:t>
      </w:r>
      <w:r>
        <w:rPr>
          <w:rStyle w:val="StringTok"/>
        </w:rPr>
        <w:t>'Beleuchtung'</w:t>
      </w:r>
      <w:r>
        <w:rPr>
          <w:rStyle w:val="NormalTok"/>
        </w:rPr>
        <w:t>:data.EUI_lighting,</w:t>
      </w:r>
      <w:r>
        <w:rPr>
          <w:rStyle w:val="StringTok"/>
        </w:rPr>
        <w:t>'Geräte/IT'</w:t>
      </w:r>
      <w:r>
        <w:rPr>
          <w:rStyle w:val="NormalTok"/>
        </w:rPr>
        <w:t>:data.EUI_plugloads})</w:t>
      </w:r>
      <w:r>
        <w:br/>
      </w:r>
      <w:r>
        <w:rPr>
          <w:rStyle w:val="ControlFlowTok"/>
        </w:rPr>
        <w:t>assert</w:t>
      </w:r>
      <w:r>
        <w:rPr>
          <w:rStyle w:val="NormalTok"/>
        </w:rPr>
        <w:t xml:space="preserve"> (apps.</w:t>
      </w:r>
      <w:r>
        <w:rPr>
          <w:rStyle w:val="BuiltInTok"/>
        </w:rPr>
        <w:t>min</w:t>
      </w:r>
      <w:r>
        <w:rPr>
          <w:rStyle w:val="NormalTok"/>
        </w:rPr>
        <w:t>()</w:t>
      </w:r>
      <w:r>
        <w:rPr>
          <w:rStyle w:val="OperatorTok"/>
        </w:rPr>
        <w:t>&gt;=-</w:t>
      </w:r>
      <w:r>
        <w:rPr>
          <w:rStyle w:val="FloatTok"/>
        </w:rPr>
        <w:t>1e-7</w:t>
      </w:r>
      <w:r>
        <w:rPr>
          <w:rStyle w:val="NormalTok"/>
        </w:rPr>
        <w:t>).</w:t>
      </w:r>
      <w:r>
        <w:rPr>
          <w:rStyle w:val="BuiltInTok"/>
        </w:rPr>
        <w:t>all</w:t>
      </w:r>
      <w:r>
        <w:rPr>
          <w:rStyle w:val="NormalTok"/>
        </w:rPr>
        <w:t>()</w:t>
      </w:r>
      <w:r>
        <w:br/>
      </w:r>
      <w:r>
        <w:rPr>
          <w:rStyle w:val="NormalTok"/>
        </w:rPr>
        <w:t>np.testing.assert_allclose(apps.</w:t>
      </w:r>
      <w:r>
        <w:rPr>
          <w:rStyle w:val="BuiltInTok"/>
        </w:rPr>
        <w:t>sum</w:t>
      </w:r>
      <w:r>
        <w:rPr>
          <w:rStyle w:val="NormalTok"/>
        </w:rPr>
        <w:t>(axis</w:t>
      </w:r>
      <w:r>
        <w:rPr>
          <w:rStyle w:val="OperatorTok"/>
        </w:rPr>
        <w:t>=</w:t>
      </w:r>
      <w:r>
        <w:rPr>
          <w:rStyle w:val="DecValTok"/>
        </w:rPr>
        <w:t>1</w:t>
      </w:r>
      <w:r>
        <w:rPr>
          <w:rStyle w:val="NormalTok"/>
        </w:rPr>
        <w:t>,min_count</w:t>
      </w:r>
      <w:r>
        <w:rPr>
          <w:rStyle w:val="OperatorTok"/>
        </w:rPr>
        <w:t>=</w:t>
      </w:r>
      <w:r>
        <w:rPr>
          <w:rStyle w:val="DecValTok"/>
        </w:rPr>
        <w:t>7</w:t>
      </w:r>
      <w:r>
        <w:rPr>
          <w:rStyle w:val="NormalTok"/>
        </w:rPr>
        <w:t>),data.Strombedarf,atol</w:t>
      </w:r>
      <w:r>
        <w:rPr>
          <w:rStyle w:val="OperatorTok"/>
        </w:rPr>
        <w:t>=</w:t>
      </w:r>
      <w:r>
        <w:rPr>
          <w:rStyle w:val="FloatTok"/>
        </w:rPr>
        <w:t>1e-7</w:t>
      </w:r>
      <w:r>
        <w:rPr>
          <w:rStyle w:val="NormalTok"/>
        </w:rPr>
        <w:t>)</w:t>
      </w:r>
      <w:r>
        <w:br/>
      </w:r>
      <w:r>
        <w:rPr>
          <w:rStyle w:val="CommentTok"/>
        </w:rPr>
        <w:t># Vollsummen bleiben bei fehlender positiver Fläche/Kennwert offen.</w:t>
      </w:r>
      <w:r>
        <w:br/>
      </w:r>
      <w:r>
        <w:rPr>
          <w:rStyle w:val="KeywordTok"/>
        </w:rPr>
        <w:t>def</w:t>
      </w:r>
      <w:r>
        <w:rPr>
          <w:rStyle w:val="NormalTok"/>
        </w:rPr>
        <w:t xml:space="preserve"> aggregate(values, area):</w:t>
      </w:r>
      <w:r>
        <w:br/>
      </w:r>
      <w:r>
        <w:rPr>
          <w:rStyle w:val="NormalTok"/>
        </w:rPr>
        <w:t xml:space="preserve">    missing_area</w:t>
      </w:r>
      <w:r>
        <w:rPr>
          <w:rStyle w:val="OperatorTok"/>
        </w:rPr>
        <w:t>=</w:t>
      </w:r>
      <w:r>
        <w:rPr>
          <w:rStyle w:val="NormalTok"/>
        </w:rPr>
        <w:t>area.isna().</w:t>
      </w:r>
      <w:r>
        <w:rPr>
          <w:rStyle w:val="BuiltInTok"/>
        </w:rPr>
        <w:t>any</w:t>
      </w:r>
      <w:r>
        <w:rPr>
          <w:rStyle w:val="NormalTok"/>
        </w:rPr>
        <w:t>()</w:t>
      </w:r>
      <w:r>
        <w:br/>
      </w:r>
      <w:r>
        <w:rPr>
          <w:rStyle w:val="NormalTok"/>
        </w:rPr>
        <w:t xml:space="preserve">    active</w:t>
      </w:r>
      <w:r>
        <w:rPr>
          <w:rStyle w:val="OperatorTok"/>
        </w:rPr>
        <w:t>=</w:t>
      </w:r>
      <w:r>
        <w:rPr>
          <w:rStyle w:val="NormalTok"/>
        </w:rPr>
        <w:t>area.gt(</w:t>
      </w:r>
      <w:r>
        <w:rPr>
          <w:rStyle w:val="DecValTok"/>
        </w:rPr>
        <w:t>0</w:t>
      </w:r>
      <w:r>
        <w:rPr>
          <w:rStyle w:val="NormalTok"/>
        </w:rPr>
        <w:t>)</w:t>
      </w:r>
      <w:r>
        <w:br/>
      </w:r>
      <w:r>
        <w:rPr>
          <w:rStyle w:val="NormalTok"/>
        </w:rPr>
        <w:t xml:space="preserve">    covered</w:t>
      </w:r>
      <w:r>
        <w:rPr>
          <w:rStyle w:val="OperatorTok"/>
        </w:rPr>
        <w:t>=</w:t>
      </w:r>
      <w:r>
        <w:rPr>
          <w:rStyle w:val="NormalTok"/>
        </w:rPr>
        <w:t xml:space="preserve">active </w:t>
      </w:r>
      <w:r>
        <w:rPr>
          <w:rStyle w:val="OperatorTok"/>
        </w:rPr>
        <w:t>&amp;</w:t>
      </w:r>
      <w:r>
        <w:rPr>
          <w:rStyle w:val="NormalTok"/>
        </w:rPr>
        <w:t xml:space="preserve"> values.notna()</w:t>
      </w:r>
      <w:r>
        <w:br/>
      </w:r>
      <w:r>
        <w:rPr>
          <w:rStyle w:val="NormalTok"/>
        </w:rPr>
        <w:t xml:space="preserve">    known</w:t>
      </w:r>
      <w:r>
        <w:rPr>
          <w:rStyle w:val="OperatorTok"/>
        </w:rPr>
        <w:t>=</w:t>
      </w:r>
      <w:r>
        <w:rPr>
          <w:rStyle w:val="NormalTok"/>
        </w:rPr>
        <w:t>(values[covered]</w:t>
      </w:r>
      <w:r>
        <w:rPr>
          <w:rStyle w:val="OperatorTok"/>
        </w:rPr>
        <w:t>*</w:t>
      </w:r>
      <w:r>
        <w:rPr>
          <w:rStyle w:val="NormalTok"/>
        </w:rPr>
        <w:t>area[covered]</w:t>
      </w:r>
      <w:r>
        <w:rPr>
          <w:rStyle w:val="OperatorTok"/>
        </w:rPr>
        <w:t>*</w:t>
      </w:r>
      <w:r>
        <w:rPr>
          <w:rStyle w:val="NormalTok"/>
        </w:rPr>
        <w:t>r).</w:t>
      </w:r>
      <w:r>
        <w:rPr>
          <w:rStyle w:val="BuiltInTok"/>
        </w:rPr>
        <w:t>sum</w:t>
      </w:r>
      <w:r>
        <w:rPr>
          <w:rStyle w:val="NormalTok"/>
        </w:rPr>
        <w:t>(min_count</w:t>
      </w:r>
      <w:r>
        <w:rPr>
          <w:rStyle w:val="OperatorTok"/>
        </w:rPr>
        <w:t>=</w:t>
      </w:r>
      <w:r>
        <w:rPr>
          <w:rStyle w:val="DecValTok"/>
        </w:rPr>
        <w:t>1</w:t>
      </w:r>
      <w:r>
        <w:rPr>
          <w:rStyle w:val="NormalTok"/>
        </w:rPr>
        <w:t>)</w:t>
      </w:r>
      <w:r>
        <w:br/>
      </w:r>
      <w:r>
        <w:rPr>
          <w:rStyle w:val="NormalTok"/>
        </w:rPr>
        <w:t xml:space="preserve">    missing</w:t>
      </w:r>
      <w:r>
        <w:rPr>
          <w:rStyle w:val="OperatorTok"/>
        </w:rPr>
        <w:t>=</w:t>
      </w:r>
      <w:r>
        <w:rPr>
          <w:rStyle w:val="NormalTok"/>
        </w:rPr>
        <w:t xml:space="preserve">area[active </w:t>
      </w:r>
      <w:r>
        <w:rPr>
          <w:rStyle w:val="OperatorTok"/>
        </w:rPr>
        <w:t>&amp;</w:t>
      </w:r>
      <w:r>
        <w:rPr>
          <w:rStyle w:val="NormalTok"/>
        </w:rPr>
        <w:t xml:space="preserve"> values.isna()].</w:t>
      </w:r>
      <w:r>
        <w:rPr>
          <w:rStyle w:val="BuiltInTok"/>
        </w:rPr>
        <w:t>sum</w:t>
      </w:r>
      <w:r>
        <w:rPr>
          <w:rStyle w:val="NormalTok"/>
        </w:rPr>
        <w:t>()</w:t>
      </w:r>
      <w:r>
        <w:br/>
      </w:r>
      <w:r>
        <w:rPr>
          <w:rStyle w:val="NormalTok"/>
        </w:rPr>
        <w:t xml:space="preserve">    </w:t>
      </w:r>
      <w:r>
        <w:rPr>
          <w:rStyle w:val="ControlFlowTok"/>
        </w:rPr>
        <w:t>return</w:t>
      </w:r>
      <w:r>
        <w:rPr>
          <w:rStyle w:val="NormalTok"/>
        </w:rPr>
        <w:t xml:space="preserve"> </w:t>
      </w:r>
      <w:r>
        <w:rPr>
          <w:rStyle w:val="BuiltInTok"/>
        </w:rPr>
        <w:t>dict</w:t>
      </w:r>
      <w:r>
        <w:rPr>
          <w:rStyle w:val="NormalTok"/>
        </w:rPr>
        <w:t>(kWh</w:t>
      </w:r>
      <w:r>
        <w:rPr>
          <w:rStyle w:val="OperatorTok"/>
        </w:rPr>
        <w:t>=</w:t>
      </w:r>
      <w:r>
        <w:rPr>
          <w:rStyle w:val="NormalTok"/>
        </w:rPr>
        <w:t xml:space="preserve">known </w:t>
      </w:r>
      <w:r>
        <w:rPr>
          <w:rStyle w:val="ControlFlowTok"/>
        </w:rPr>
        <w:t>if</w:t>
      </w:r>
      <w:r>
        <w:rPr>
          <w:rStyle w:val="NormalTok"/>
        </w:rPr>
        <w:t xml:space="preserve"> </w:t>
      </w:r>
      <w:r>
        <w:rPr>
          <w:rStyle w:val="KeywordTok"/>
        </w:rPr>
        <w:t>not</w:t>
      </w:r>
      <w:r>
        <w:rPr>
          <w:rStyle w:val="NormalTok"/>
        </w:rPr>
        <w:t xml:space="preserve"> missing_area </w:t>
      </w:r>
      <w:r>
        <w:rPr>
          <w:rStyle w:val="KeywordTok"/>
        </w:rPr>
        <w:t>and</w:t>
      </w:r>
      <w:r>
        <w:rPr>
          <w:rStyle w:val="NormalTok"/>
        </w:rPr>
        <w:t xml:space="preserve"> missing</w:t>
      </w:r>
      <w:r>
        <w:rPr>
          <w:rStyle w:val="OperatorTok"/>
        </w:rPr>
        <w:t>==</w:t>
      </w:r>
      <w:r>
        <w:rPr>
          <w:rStyle w:val="DecValTok"/>
        </w:rPr>
        <w:t>0</w:t>
      </w:r>
      <w:r>
        <w:rPr>
          <w:rStyle w:val="NormalTok"/>
        </w:rPr>
        <w:t xml:space="preserve"> </w:t>
      </w:r>
      <w:r>
        <w:rPr>
          <w:rStyle w:val="ControlFlowTok"/>
        </w:rPr>
        <w:t>else</w:t>
      </w:r>
      <w:r>
        <w:rPr>
          <w:rStyle w:val="NormalTok"/>
        </w:rPr>
        <w:t xml:space="preserve"> np.nan,</w:t>
      </w:r>
      <w:r>
        <w:br/>
      </w:r>
      <w:r>
        <w:rPr>
          <w:rStyle w:val="NormalTok"/>
        </w:rPr>
        <w:t xml:space="preserve">                bekannte_kWh</w:t>
      </w:r>
      <w:r>
        <w:rPr>
          <w:rStyle w:val="OperatorTok"/>
        </w:rPr>
        <w:t>=</w:t>
      </w:r>
      <w:r>
        <w:rPr>
          <w:rStyle w:val="NormalTok"/>
        </w:rPr>
        <w:t>known,fehlende_BGF_m2</w:t>
      </w:r>
      <w:r>
        <w:rPr>
          <w:rStyle w:val="OperatorTok"/>
        </w:rPr>
        <w:t>=</w:t>
      </w:r>
      <w:r>
        <w:rPr>
          <w:rStyle w:val="NormalTok"/>
        </w:rPr>
        <w:t>missing,Flächen_offen</w:t>
      </w:r>
      <w:r>
        <w:rPr>
          <w:rStyle w:val="OperatorTok"/>
        </w:rPr>
        <w:t>=</w:t>
      </w:r>
      <w:r>
        <w:rPr>
          <w:rStyle w:val="NormalTok"/>
        </w:rPr>
        <w:t>missing_area)</w:t>
      </w:r>
      <w:r>
        <w:br/>
      </w:r>
      <w:r>
        <w:rPr>
          <w:rStyle w:val="NormalTok"/>
        </w:rPr>
        <w:t>energy_records</w:t>
      </w:r>
      <w:r>
        <w:rPr>
          <w:rStyle w:val="OperatorTok"/>
        </w:rPr>
        <w:t>=</w:t>
      </w:r>
      <w:r>
        <w:rPr>
          <w:rStyle w:val="NormalTok"/>
        </w:rPr>
        <w:t>[]</w:t>
      </w:r>
      <w:r>
        <w:br/>
      </w:r>
      <w:r>
        <w:rPr>
          <w:rStyle w:val="ControlFlowTok"/>
        </w:rPr>
        <w:t>for</w:t>
      </w:r>
      <w:r>
        <w:rPr>
          <w:rStyle w:val="NormalTok"/>
        </w:rPr>
        <w:t xml:space="preserve"> year,c </w:t>
      </w:r>
      <w:r>
        <w:rPr>
          <w:rStyle w:val="KeywordTok"/>
        </w:rPr>
        <w:t>in</w:t>
      </w:r>
      <w:r>
        <w:rPr>
          <w:rStyle w:val="NormalTok"/>
        </w:rPr>
        <w:t xml:space="preserve"> area_cols.items():</w:t>
      </w:r>
      <w:r>
        <w:br/>
      </w:r>
      <w:r>
        <w:rPr>
          <w:rStyle w:val="NormalTok"/>
        </w:rPr>
        <w:t xml:space="preserve">    </w:t>
      </w:r>
      <w:r>
        <w:rPr>
          <w:rStyle w:val="ControlFlowTok"/>
        </w:rPr>
        <w:t>for</w:t>
      </w:r>
      <w:r>
        <w:rPr>
          <w:rStyle w:val="NormalTok"/>
        </w:rPr>
        <w:t xml:space="preserve"> metric </w:t>
      </w:r>
      <w:r>
        <w:rPr>
          <w:rStyle w:val="KeywordTok"/>
        </w:rPr>
        <w:t>in</w:t>
      </w:r>
      <w:r>
        <w:rPr>
          <w:rStyle w:val="NormalTok"/>
        </w:rPr>
        <w:t xml:space="preserve"> [</w:t>
      </w:r>
      <w:r>
        <w:rPr>
          <w:rStyle w:val="StringTok"/>
        </w:rPr>
        <w:t>'Strombedarf'</w:t>
      </w:r>
      <w:r>
        <w:rPr>
          <w:rStyle w:val="NormalTok"/>
        </w:rPr>
        <w:t>,</w:t>
      </w:r>
      <w:r>
        <w:rPr>
          <w:rStyle w:val="StringTok"/>
        </w:rPr>
        <w:t>'PV_Erzeugung'</w:t>
      </w:r>
      <w:r>
        <w:rPr>
          <w:rStyle w:val="NormalTok"/>
        </w:rPr>
        <w:t>,</w:t>
      </w:r>
      <w:r>
        <w:rPr>
          <w:rStyle w:val="StringTok"/>
        </w:rPr>
        <w:t>'Grid_to_building_min'</w:t>
      </w:r>
      <w:r>
        <w:rPr>
          <w:rStyle w:val="NormalTok"/>
        </w:rPr>
        <w:t>,</w:t>
      </w:r>
      <w:r>
        <w:rPr>
          <w:rStyle w:val="StringTok"/>
        </w:rPr>
        <w:t>'PV_total_direct'</w:t>
      </w:r>
      <w:r>
        <w:rPr>
          <w:rStyle w:val="NormalTok"/>
        </w:rPr>
        <w:t>,</w:t>
      </w:r>
      <w:r>
        <w:rPr>
          <w:rStyle w:val="StringTok"/>
        </w:rPr>
        <w:t>'PV_to_Egrid'</w:t>
      </w:r>
      <w:r>
        <w:rPr>
          <w:rStyle w:val="NormalTok"/>
        </w:rPr>
        <w:t>,</w:t>
      </w:r>
      <w:r>
        <w:rPr>
          <w:rStyle w:val="StringTok"/>
        </w:rPr>
        <w:t>'Stromsaldo'</w:t>
      </w:r>
      <w:r>
        <w:rPr>
          <w:rStyle w:val="NormalTok"/>
        </w:rPr>
        <w:t>]:</w:t>
      </w:r>
      <w:r>
        <w:br/>
      </w:r>
      <w:r>
        <w:rPr>
          <w:rStyle w:val="NormalTok"/>
        </w:rPr>
        <w:t xml:space="preserve">        a</w:t>
      </w:r>
      <w:r>
        <w:rPr>
          <w:rStyle w:val="OperatorTok"/>
        </w:rPr>
        <w:t>=</w:t>
      </w:r>
      <w:r>
        <w:rPr>
          <w:rStyle w:val="NormalTok"/>
        </w:rPr>
        <w:t>aggregate(data[metric],data[c])</w:t>
      </w:r>
      <w:r>
        <w:rPr>
          <w:rStyle w:val="OperatorTok"/>
        </w:rPr>
        <w:t>;</w:t>
      </w:r>
      <w:r>
        <w:rPr>
          <w:rStyle w:val="NormalTok"/>
        </w:rPr>
        <w:t>energy_records.append({</w:t>
      </w:r>
      <w:r>
        <w:rPr>
          <w:rStyle w:val="StringTok"/>
        </w:rPr>
        <w:t>'Stand'</w:t>
      </w:r>
      <w:r>
        <w:rPr>
          <w:rStyle w:val="NormalTok"/>
        </w:rPr>
        <w:t>:year,</w:t>
      </w:r>
      <w:r>
        <w:rPr>
          <w:rStyle w:val="StringTok"/>
        </w:rPr>
        <w:t>'Größe'</w:t>
      </w:r>
      <w:r>
        <w:rPr>
          <w:rStyle w:val="NormalTok"/>
        </w:rPr>
        <w:t>:metric,</w:t>
      </w:r>
      <w:r>
        <w:br/>
      </w:r>
      <w:r>
        <w:rPr>
          <w:rStyle w:val="NormalTok"/>
        </w:rPr>
        <w:t xml:space="preserve">            </w:t>
      </w:r>
      <w:r>
        <w:rPr>
          <w:rStyle w:val="StringTok"/>
        </w:rPr>
        <w:t>'kWh/(m² NGF a)'</w:t>
      </w:r>
      <w:r>
        <w:rPr>
          <w:rStyle w:val="NormalTok"/>
        </w:rPr>
        <w:t>:a[</w:t>
      </w:r>
      <w:r>
        <w:rPr>
          <w:rStyle w:val="StringTok"/>
        </w:rPr>
        <w:t>'kWh'</w:t>
      </w:r>
      <w:r>
        <w:rPr>
          <w:rStyle w:val="NormalTok"/>
        </w:rPr>
        <w:t>]</w:t>
      </w:r>
      <w:r>
        <w:rPr>
          <w:rStyle w:val="OperatorTok"/>
        </w:rPr>
        <w:t>/</w:t>
      </w:r>
      <w:r>
        <w:rPr>
          <w:rStyle w:val="NormalTok"/>
        </w:rPr>
        <w:t>(data[c].</w:t>
      </w:r>
      <w:r>
        <w:rPr>
          <w:rStyle w:val="BuiltInTok"/>
        </w:rPr>
        <w:t>sum</w:t>
      </w:r>
      <w:r>
        <w:rPr>
          <w:rStyle w:val="NormalTok"/>
        </w:rPr>
        <w:t>(min_count</w:t>
      </w:r>
      <w:r>
        <w:rPr>
          <w:rStyle w:val="OperatorTok"/>
        </w:rPr>
        <w:t>=</w:t>
      </w:r>
      <w:r>
        <w:rPr>
          <w:rStyle w:val="DecValTok"/>
        </w:rPr>
        <w:t>1</w:t>
      </w:r>
      <w:r>
        <w:rPr>
          <w:rStyle w:val="NormalTok"/>
        </w:rPr>
        <w:t>)</w:t>
      </w:r>
      <w:r>
        <w:rPr>
          <w:rStyle w:val="OperatorTok"/>
        </w:rPr>
        <w:t>*</w:t>
      </w:r>
      <w:r>
        <w:rPr>
          <w:rStyle w:val="NormalTok"/>
        </w:rPr>
        <w:t>r),</w:t>
      </w:r>
      <w:r>
        <w:br/>
      </w:r>
      <w:r>
        <w:rPr>
          <w:rStyle w:val="NormalTok"/>
        </w:rPr>
        <w:t xml:space="preserve">            </w:t>
      </w:r>
      <w:r>
        <w:rPr>
          <w:rStyle w:val="StringTok"/>
        </w:rPr>
        <w:t>'GWh/a'</w:t>
      </w:r>
      <w:r>
        <w:rPr>
          <w:rStyle w:val="NormalTok"/>
        </w:rPr>
        <w:t>:a[</w:t>
      </w:r>
      <w:r>
        <w:rPr>
          <w:rStyle w:val="StringTok"/>
        </w:rPr>
        <w:t>'kWh'</w:t>
      </w:r>
      <w:r>
        <w:rPr>
          <w:rStyle w:val="NormalTok"/>
        </w:rPr>
        <w:t>]</w:t>
      </w:r>
      <w:r>
        <w:rPr>
          <w:rStyle w:val="OperatorTok"/>
        </w:rPr>
        <w:t>/</w:t>
      </w:r>
      <w:r>
        <w:rPr>
          <w:rStyle w:val="FloatTok"/>
        </w:rPr>
        <w:t>1e6</w:t>
      </w:r>
      <w:r>
        <w:rPr>
          <w:rStyle w:val="NormalTok"/>
        </w:rPr>
        <w:t>,</w:t>
      </w:r>
      <w:r>
        <w:rPr>
          <w:rStyle w:val="StringTok"/>
        </w:rPr>
        <w:t>'PJ/a'</w:t>
      </w:r>
      <w:r>
        <w:rPr>
          <w:rStyle w:val="NormalTok"/>
        </w:rPr>
        <w:t>:a[</w:t>
      </w:r>
      <w:r>
        <w:rPr>
          <w:rStyle w:val="StringTok"/>
        </w:rPr>
        <w:t>'kWh'</w:t>
      </w:r>
      <w:r>
        <w:rPr>
          <w:rStyle w:val="NormalTok"/>
        </w:rPr>
        <w:t>]</w:t>
      </w:r>
      <w:r>
        <w:rPr>
          <w:rStyle w:val="OperatorTok"/>
        </w:rPr>
        <w:t>*</w:t>
      </w:r>
      <w:r>
        <w:rPr>
          <w:rStyle w:val="FloatTok"/>
        </w:rPr>
        <w:t>3.6e-9</w:t>
      </w:r>
      <w:r>
        <w:rPr>
          <w:rStyle w:val="NormalTok"/>
        </w:rPr>
        <w:t>,</w:t>
      </w:r>
      <w:r>
        <w:rPr>
          <w:rStyle w:val="StringTok"/>
        </w:rPr>
        <w:t>'fehlende BGF [m²]'</w:t>
      </w:r>
      <w:r>
        <w:rPr>
          <w:rStyle w:val="NormalTok"/>
        </w:rPr>
        <w:t>:a</w:t>
      </w:r>
      <w:r>
        <w:rPr>
          <w:rStyle w:val="NormalTok"/>
        </w:rPr>
        <w:lastRenderedPageBreak/>
        <w:t>[</w:t>
      </w:r>
      <w:r>
        <w:rPr>
          <w:rStyle w:val="StringTok"/>
        </w:rPr>
        <w:t>'fehlende_BGF_m2'</w:t>
      </w:r>
      <w:r>
        <w:rPr>
          <w:rStyle w:val="NormalTok"/>
        </w:rPr>
        <w:t>],</w:t>
      </w:r>
      <w:r>
        <w:rPr>
          <w:rStyle w:val="StringTok"/>
        </w:rPr>
        <w:t>'Flächen offen'</w:t>
      </w:r>
      <w:r>
        <w:rPr>
          <w:rStyle w:val="NormalTok"/>
        </w:rPr>
        <w:t>:a[</w:t>
      </w:r>
      <w:r>
        <w:rPr>
          <w:rStyle w:val="StringTok"/>
        </w:rPr>
        <w:t>'Flächen_offen'</w:t>
      </w:r>
      <w:r>
        <w:rPr>
          <w:rStyle w:val="NormalTok"/>
        </w:rPr>
        <w:t>]})</w:t>
      </w:r>
      <w:r>
        <w:br/>
      </w:r>
      <w:r>
        <w:rPr>
          <w:rStyle w:val="NormalTok"/>
        </w:rPr>
        <w:t>energy</w:t>
      </w:r>
      <w:r>
        <w:rPr>
          <w:rStyle w:val="OperatorTok"/>
        </w:rPr>
        <w:t>=</w:t>
      </w:r>
      <w:r>
        <w:rPr>
          <w:rStyle w:val="NormalTok"/>
        </w:rPr>
        <w:t>pd.DataFrame(energy_records)</w:t>
      </w:r>
      <w:r>
        <w:rPr>
          <w:rStyle w:val="OperatorTok"/>
        </w:rPr>
        <w:t>;</w:t>
      </w:r>
      <w:r>
        <w:rPr>
          <w:rStyle w:val="NormalTok"/>
        </w:rPr>
        <w:t>display(energy[energy.Stand.eq(</w:t>
      </w:r>
      <w:r>
        <w:rPr>
          <w:rStyle w:val="StringTok"/>
        </w:rPr>
        <w:t>'2040'</w:t>
      </w:r>
      <w:r>
        <w:rPr>
          <w:rStyle w:val="NormalTok"/>
        </w:rPr>
        <w:t>)])</w:t>
      </w:r>
      <w:r>
        <w:br/>
      </w:r>
      <w:r>
        <w:rPr>
          <w:rStyle w:val="NormalTok"/>
        </w:rPr>
        <w:t>weighted_apps</w:t>
      </w:r>
      <w:r>
        <w:rPr>
          <w:rStyle w:val="OperatorTok"/>
        </w:rPr>
        <w:t>=</w:t>
      </w:r>
      <w:r>
        <w:rPr>
          <w:rStyle w:val="NormalTok"/>
        </w:rPr>
        <w:t>apps.mul(data[</w:t>
      </w:r>
      <w:r>
        <w:rPr>
          <w:rStyle w:val="StringTok"/>
        </w:rPr>
        <w:t>'Nationale BGF 2040'</w:t>
      </w:r>
      <w:r>
        <w:rPr>
          <w:rStyle w:val="NormalTok"/>
        </w:rPr>
        <w:t>]</w:t>
      </w:r>
      <w:r>
        <w:rPr>
          <w:rStyle w:val="OperatorTok"/>
        </w:rPr>
        <w:t>*</w:t>
      </w:r>
      <w:r>
        <w:rPr>
          <w:rStyle w:val="NormalTok"/>
        </w:rPr>
        <w:t>r,axis</w:t>
      </w:r>
      <w:r>
        <w:rPr>
          <w:rStyle w:val="OperatorTok"/>
        </w:rPr>
        <w:t>=</w:t>
      </w:r>
      <w:r>
        <w:rPr>
          <w:rStyle w:val="DecValTok"/>
        </w:rPr>
        <w:t>0</w:t>
      </w:r>
      <w:r>
        <w:rPr>
          <w:rStyle w:val="NormalTok"/>
        </w:rPr>
        <w:t>)</w:t>
      </w:r>
      <w:r>
        <w:br/>
      </w:r>
      <w:r>
        <w:rPr>
          <w:rStyle w:val="NormalTok"/>
        </w:rPr>
        <w:t>application_total</w:t>
      </w:r>
      <w:r>
        <w:rPr>
          <w:rStyle w:val="OperatorTok"/>
        </w:rPr>
        <w:t>=</w:t>
      </w:r>
      <w:r>
        <w:rPr>
          <w:rStyle w:val="NormalTok"/>
        </w:rPr>
        <w:t>weighted_apps.</w:t>
      </w:r>
      <w:r>
        <w:rPr>
          <w:rStyle w:val="BuiltInTok"/>
        </w:rPr>
        <w:t>sum</w:t>
      </w:r>
      <w:r>
        <w:rPr>
          <w:rStyle w:val="NormalTok"/>
        </w:rPr>
        <w:t>(min_count</w:t>
      </w:r>
      <w:r>
        <w:rPr>
          <w:rStyle w:val="OperatorTok"/>
        </w:rPr>
        <w:t>=</w:t>
      </w:r>
      <w:r>
        <w:rPr>
          <w:rStyle w:val="DecValTok"/>
        </w:rPr>
        <w:t>1</w:t>
      </w:r>
      <w:r>
        <w:rPr>
          <w:rStyle w:val="NormalTok"/>
        </w:rPr>
        <w:t>)</w:t>
      </w:r>
      <w:r>
        <w:rPr>
          <w:rStyle w:val="OperatorTok"/>
        </w:rPr>
        <w:t>/</w:t>
      </w:r>
      <w:r>
        <w:rPr>
          <w:rStyle w:val="FloatTok"/>
        </w:rPr>
        <w:t>1e6</w:t>
      </w:r>
      <w:r>
        <w:br/>
      </w:r>
      <w:r>
        <w:rPr>
          <w:rStyle w:val="NormalTok"/>
        </w:rPr>
        <w:t>display(application_total.rename(</w:t>
      </w:r>
      <w:r>
        <w:rPr>
          <w:rStyle w:val="StringTok"/>
        </w:rPr>
        <w:t>'GWh/a'</w:t>
      </w:r>
      <w:r>
        <w:rPr>
          <w:rStyle w:val="NormalTok"/>
        </w:rPr>
        <w:t>).to_frame())</w:t>
      </w:r>
      <w:r>
        <w:br/>
      </w:r>
      <w:r>
        <w:rPr>
          <w:rStyle w:val="NormalTok"/>
        </w:rPr>
        <w:t>by_geometry</w:t>
      </w:r>
      <w:r>
        <w:rPr>
          <w:rStyle w:val="OperatorTok"/>
        </w:rPr>
        <w:t>=</w:t>
      </w:r>
      <w:r>
        <w:rPr>
          <w:rStyle w:val="NormalTok"/>
        </w:rPr>
        <w:t>weighted_apps.groupby(data.Geometrie).</w:t>
      </w:r>
      <w:r>
        <w:rPr>
          <w:rStyle w:val="BuiltInTok"/>
        </w:rPr>
        <w:t>sum</w:t>
      </w:r>
      <w:r>
        <w:rPr>
          <w:rStyle w:val="NormalTok"/>
        </w:rPr>
        <w:t>(min_count</w:t>
      </w:r>
      <w:r>
        <w:rPr>
          <w:rStyle w:val="OperatorTok"/>
        </w:rPr>
        <w:t>=</w:t>
      </w:r>
      <w:r>
        <w:rPr>
          <w:rStyle w:val="DecValTok"/>
        </w:rPr>
        <w:t>1</w:t>
      </w:r>
      <w:r>
        <w:rPr>
          <w:rStyle w:val="NormalTok"/>
        </w:rPr>
        <w:t>).div((data[</w:t>
      </w:r>
      <w:r>
        <w:rPr>
          <w:rStyle w:val="StringTok"/>
        </w:rPr>
        <w:t>'Nationale BGF 2040'</w:t>
      </w:r>
      <w:r>
        <w:rPr>
          <w:rStyle w:val="NormalTok"/>
        </w:rPr>
        <w:t>]</w:t>
      </w:r>
      <w:r>
        <w:rPr>
          <w:rStyle w:val="OperatorTok"/>
        </w:rPr>
        <w:t>*</w:t>
      </w:r>
      <w:r>
        <w:rPr>
          <w:rStyle w:val="NormalTok"/>
        </w:rPr>
        <w:t>r).groupby(data.Geometrie).</w:t>
      </w:r>
      <w:r>
        <w:rPr>
          <w:rStyle w:val="BuiltInTok"/>
        </w:rPr>
        <w:t>sum</w:t>
      </w:r>
      <w:r>
        <w:rPr>
          <w:rStyle w:val="NormalTok"/>
        </w:rPr>
        <w:t>(),axis</w:t>
      </w:r>
      <w:r>
        <w:rPr>
          <w:rStyle w:val="OperatorTok"/>
        </w:rPr>
        <w:t>=</w:t>
      </w:r>
      <w:r>
        <w:rPr>
          <w:rStyle w:val="DecValTok"/>
        </w:rPr>
        <w:t>0</w:t>
      </w:r>
      <w:r>
        <w:rPr>
          <w:rStyle w:val="NormalTok"/>
        </w:rPr>
        <w:t>)</w:t>
      </w:r>
      <w:r>
        <w:br/>
      </w:r>
      <w:r>
        <w:rPr>
          <w:rStyle w:val="NormalTok"/>
        </w:rPr>
        <w:t>fig,ax</w:t>
      </w:r>
      <w:r>
        <w:rPr>
          <w:rStyle w:val="OperatorTok"/>
        </w:rPr>
        <w:t>=</w:t>
      </w:r>
      <w:r>
        <w:rPr>
          <w:rStyle w:val="NormalTok"/>
        </w:rPr>
        <w:t>plt.subplots(figsize</w:t>
      </w:r>
      <w:r>
        <w:rPr>
          <w:rStyle w:val="OperatorTok"/>
        </w:rPr>
        <w:t>=</w:t>
      </w:r>
      <w:r>
        <w:rPr>
          <w:rStyle w:val="NormalTok"/>
        </w:rPr>
        <w:t>(</w:t>
      </w:r>
      <w:r>
        <w:rPr>
          <w:rStyle w:val="DecValTok"/>
        </w:rPr>
        <w:t>10</w:t>
      </w:r>
      <w:r>
        <w:rPr>
          <w:rStyle w:val="NormalTok"/>
        </w:rPr>
        <w:t>,</w:t>
      </w:r>
      <w:r>
        <w:rPr>
          <w:rStyle w:val="FloatTok"/>
        </w:rPr>
        <w:t>4.5</w:t>
      </w:r>
      <w:r>
        <w:rPr>
          <w:rStyle w:val="NormalTok"/>
        </w:rPr>
        <w:t>))</w:t>
      </w:r>
      <w:r>
        <w:rPr>
          <w:rStyle w:val="OperatorTok"/>
        </w:rPr>
        <w:t>;</w:t>
      </w:r>
      <w:r>
        <w:rPr>
          <w:rStyle w:val="NormalTok"/>
        </w:rPr>
        <w:t>by_geometry.dropna(how</w:t>
      </w:r>
      <w:r>
        <w:rPr>
          <w:rStyle w:val="OperatorTok"/>
        </w:rPr>
        <w:t>=</w:t>
      </w:r>
      <w:r>
        <w:rPr>
          <w:rStyle w:val="StringTok"/>
        </w:rPr>
        <w:t>'all'</w:t>
      </w:r>
      <w:r>
        <w:rPr>
          <w:rStyle w:val="NormalTok"/>
        </w:rPr>
        <w:t>).plot.bar(stacked</w:t>
      </w:r>
      <w:r>
        <w:rPr>
          <w:rStyle w:val="OperatorTok"/>
        </w:rPr>
        <w:t>=</w:t>
      </w:r>
      <w:r>
        <w:rPr>
          <w:rStyle w:val="VariableTok"/>
        </w:rPr>
        <w:t>True</w:t>
      </w:r>
      <w:r>
        <w:rPr>
          <w:rStyle w:val="NormalTok"/>
        </w:rPr>
        <w:t>,ax</w:t>
      </w:r>
      <w:r>
        <w:rPr>
          <w:rStyle w:val="OperatorTok"/>
        </w:rPr>
        <w:t>=</w:t>
      </w:r>
      <w:r>
        <w:rPr>
          <w:rStyle w:val="NormalTok"/>
        </w:rPr>
        <w:t>ax,colormap</w:t>
      </w:r>
      <w:r>
        <w:rPr>
          <w:rStyle w:val="OperatorTok"/>
        </w:rPr>
        <w:t>=</w:t>
      </w:r>
      <w:r>
        <w:rPr>
          <w:rStyle w:val="StringTok"/>
        </w:rPr>
        <w:t>'tab20'</w:t>
      </w:r>
      <w:r>
        <w:rPr>
          <w:rStyle w:val="NormalTok"/>
        </w:rPr>
        <w:t>)</w:t>
      </w:r>
      <w:r>
        <w:br/>
      </w:r>
      <w:r>
        <w:rPr>
          <w:rStyle w:val="NormalTok"/>
        </w:rPr>
        <w:t>ax.</w:t>
      </w:r>
      <w:r>
        <w:rPr>
          <w:rStyle w:val="BuiltInTok"/>
        </w:rPr>
        <w:t>set</w:t>
      </w:r>
      <w:r>
        <w:rPr>
          <w:rStyle w:val="NormalTok"/>
        </w:rPr>
        <w:t>(ylabel</w:t>
      </w:r>
      <w:r>
        <w:rPr>
          <w:rStyle w:val="OperatorTok"/>
        </w:rPr>
        <w:t>=</w:t>
      </w:r>
      <w:r>
        <w:rPr>
          <w:rStyle w:val="StringTok"/>
        </w:rPr>
        <w:t>'Strombedarf [kWh/(m² NGF a)]'</w:t>
      </w:r>
      <w:r>
        <w:rPr>
          <w:rStyle w:val="NormalTok"/>
        </w:rPr>
        <w:t>,xlabel</w:t>
      </w:r>
      <w:r>
        <w:rPr>
          <w:rStyle w:val="OperatorTok"/>
        </w:rPr>
        <w:t>=</w:t>
      </w:r>
      <w:r>
        <w:rPr>
          <w:rStyle w:val="StringTok"/>
        </w:rPr>
        <w:t>'Geometrische Klasse'</w:t>
      </w:r>
      <w:r>
        <w:rPr>
          <w:rStyle w:val="NormalTok"/>
        </w:rPr>
        <w:t>)</w:t>
      </w:r>
      <w:r>
        <w:rPr>
          <w:rStyle w:val="OperatorTok"/>
        </w:rPr>
        <w:t>;</w:t>
      </w:r>
      <w:r>
        <w:rPr>
          <w:rStyle w:val="NormalTok"/>
        </w:rPr>
        <w:t>ax.tick_params(axis</w:t>
      </w:r>
      <w:r>
        <w:rPr>
          <w:rStyle w:val="OperatorTok"/>
        </w:rPr>
        <w:t>=</w:t>
      </w:r>
      <w:r>
        <w:rPr>
          <w:rStyle w:val="StringTok"/>
        </w:rPr>
        <w:t>'x'</w:t>
      </w:r>
      <w:r>
        <w:rPr>
          <w:rStyle w:val="NormalTok"/>
        </w:rPr>
        <w:t>,rotation</w:t>
      </w:r>
      <w:r>
        <w:rPr>
          <w:rStyle w:val="OperatorTok"/>
        </w:rPr>
        <w:t>=</w:t>
      </w:r>
      <w:r>
        <w:rPr>
          <w:rStyle w:val="DecValTok"/>
        </w:rPr>
        <w:t>40</w:t>
      </w:r>
      <w:r>
        <w:rPr>
          <w:rStyle w:val="NormalTok"/>
        </w:rPr>
        <w:t>)</w:t>
      </w:r>
      <w:r>
        <w:br/>
      </w:r>
      <w:r>
        <w:rPr>
          <w:rStyle w:val="NormalTok"/>
        </w:rPr>
        <w:t>ax.legend(loc</w:t>
      </w:r>
      <w:r>
        <w:rPr>
          <w:rStyle w:val="OperatorTok"/>
        </w:rPr>
        <w:t>=</w:t>
      </w:r>
      <w:r>
        <w:rPr>
          <w:rStyle w:val="StringTok"/>
        </w:rPr>
        <w:t>'upper center'</w:t>
      </w:r>
      <w:r>
        <w:rPr>
          <w:rStyle w:val="NormalTok"/>
        </w:rPr>
        <w:t>,bbox_to_anchor</w:t>
      </w:r>
      <w:r>
        <w:rPr>
          <w:rStyle w:val="OperatorTok"/>
        </w:rPr>
        <w:t>=</w:t>
      </w:r>
      <w:r>
        <w:rPr>
          <w:rStyle w:val="NormalTok"/>
        </w:rPr>
        <w:t>(</w:t>
      </w:r>
      <w:r>
        <w:rPr>
          <w:rStyle w:val="FloatTok"/>
        </w:rPr>
        <w:t>.5</w:t>
      </w:r>
      <w:r>
        <w:rPr>
          <w:rStyle w:val="NormalTok"/>
        </w:rPr>
        <w:t>,</w:t>
      </w:r>
      <w:r>
        <w:rPr>
          <w:rStyle w:val="FloatTok"/>
        </w:rPr>
        <w:t>1.22</w:t>
      </w:r>
      <w:r>
        <w:rPr>
          <w:rStyle w:val="NormalTok"/>
        </w:rPr>
        <w:t>),ncol</w:t>
      </w:r>
      <w:r>
        <w:rPr>
          <w:rStyle w:val="OperatorTok"/>
        </w:rPr>
        <w:t>=</w:t>
      </w:r>
      <w:r>
        <w:rPr>
          <w:rStyle w:val="DecValTok"/>
        </w:rPr>
        <w:t>4</w:t>
      </w:r>
      <w:r>
        <w:rPr>
          <w:rStyle w:val="NormalTok"/>
        </w:rPr>
        <w:t>,fontsize</w:t>
      </w:r>
      <w:r>
        <w:rPr>
          <w:rStyle w:val="OperatorTok"/>
        </w:rPr>
        <w:t>=</w:t>
      </w:r>
      <w:r>
        <w:rPr>
          <w:rStyle w:val="DecValTok"/>
        </w:rPr>
        <w:t>8</w:t>
      </w:r>
      <w:r>
        <w:rPr>
          <w:rStyle w:val="NormalTok"/>
        </w:rPr>
        <w:t>)</w:t>
      </w:r>
      <w:r>
        <w:rPr>
          <w:rStyle w:val="OperatorTok"/>
        </w:rPr>
        <w:t>;</w:t>
      </w:r>
      <w:r>
        <w:rPr>
          <w:rStyle w:val="NormalTok"/>
        </w:rPr>
        <w:t>fig.tight_layout()</w:t>
      </w:r>
      <w:r>
        <w:rPr>
          <w:rStyle w:val="OperatorTok"/>
        </w:rPr>
        <w:t>;</w:t>
      </w:r>
      <w:r>
        <w:rPr>
          <w:rStyle w:val="NormalTok"/>
        </w:rPr>
        <w:t>fig.savefig(OUT</w:t>
      </w:r>
      <w:r>
        <w:rPr>
          <w:rStyle w:val="OperatorTok"/>
        </w:rPr>
        <w:t>/</w:t>
      </w:r>
      <w:r>
        <w:rPr>
          <w:rStyle w:val="StringTok"/>
        </w:rPr>
        <w:t>'strom_anwendungen.png'</w:t>
      </w:r>
      <w:r>
        <w:rPr>
          <w:rStyle w:val="NormalTok"/>
        </w:rPr>
        <w:t>,dpi</w:t>
      </w:r>
      <w:r>
        <w:rPr>
          <w:rStyle w:val="OperatorTok"/>
        </w:rPr>
        <w:t>=</w:t>
      </w:r>
      <w:r>
        <w:rPr>
          <w:rStyle w:val="DecValTok"/>
        </w:rPr>
        <w:t>180</w:t>
      </w:r>
      <w:r>
        <w:rPr>
          <w:rStyle w:val="NormalTok"/>
        </w:rPr>
        <w:t>)</w:t>
      </w:r>
      <w:r>
        <w:rPr>
          <w:rStyle w:val="OperatorTok"/>
        </w:rPr>
        <w:t>;</w:t>
      </w:r>
      <w:r>
        <w:rPr>
          <w:rStyle w:val="NormalTok"/>
        </w:rPr>
        <w:t>plt.show()</w:t>
      </w:r>
      <w:r>
        <w:br/>
      </w:r>
      <w:r>
        <w:rPr>
          <w:rStyle w:val="NormalTok"/>
        </w:rPr>
        <w:t>geom_energy</w:t>
      </w:r>
      <w:r>
        <w:rPr>
          <w:rStyle w:val="OperatorTok"/>
        </w:rPr>
        <w:t>=</w:t>
      </w:r>
      <w:r>
        <w:rPr>
          <w:rStyle w:val="NormalTok"/>
        </w:rPr>
        <w:t>data[[</w:t>
      </w:r>
      <w:r>
        <w:rPr>
          <w:rStyle w:val="StringTok"/>
        </w:rPr>
        <w:t>'Strombedarf'</w:t>
      </w:r>
      <w:r>
        <w:rPr>
          <w:rStyle w:val="NormalTok"/>
        </w:rPr>
        <w:t>,</w:t>
      </w:r>
      <w:r>
        <w:rPr>
          <w:rStyle w:val="StringTok"/>
        </w:rPr>
        <w:t>'PV_Erzeugung'</w:t>
      </w:r>
      <w:r>
        <w:rPr>
          <w:rStyle w:val="NormalTok"/>
        </w:rPr>
        <w:t>,</w:t>
      </w:r>
      <w:r>
        <w:rPr>
          <w:rStyle w:val="StringTok"/>
        </w:rPr>
        <w:t>'Stromsaldo'</w:t>
      </w:r>
      <w:r>
        <w:rPr>
          <w:rStyle w:val="NormalTok"/>
        </w:rPr>
        <w:t>]].mul(data[</w:t>
      </w:r>
      <w:r>
        <w:rPr>
          <w:rStyle w:val="StringTok"/>
        </w:rPr>
        <w:t>'Nationale BGF 2040'</w:t>
      </w:r>
      <w:r>
        <w:rPr>
          <w:rStyle w:val="NormalTok"/>
        </w:rPr>
        <w:t>]</w:t>
      </w:r>
      <w:r>
        <w:rPr>
          <w:rStyle w:val="OperatorTok"/>
        </w:rPr>
        <w:t>*</w:t>
      </w:r>
      <w:r>
        <w:rPr>
          <w:rStyle w:val="NormalTok"/>
        </w:rPr>
        <w:t>r,axis</w:t>
      </w:r>
      <w:r>
        <w:rPr>
          <w:rStyle w:val="OperatorTok"/>
        </w:rPr>
        <w:t>=</w:t>
      </w:r>
      <w:r>
        <w:rPr>
          <w:rStyle w:val="DecValTok"/>
        </w:rPr>
        <w:t>0</w:t>
      </w:r>
      <w:r>
        <w:rPr>
          <w:rStyle w:val="NormalTok"/>
        </w:rPr>
        <w:t>).groupby(data.Geometrie).</w:t>
      </w:r>
      <w:r>
        <w:rPr>
          <w:rStyle w:val="BuiltInTok"/>
        </w:rPr>
        <w:t>sum</w:t>
      </w:r>
      <w:r>
        <w:rPr>
          <w:rStyle w:val="NormalTok"/>
        </w:rPr>
        <w:t>(min_count</w:t>
      </w:r>
      <w:r>
        <w:rPr>
          <w:rStyle w:val="OperatorTok"/>
        </w:rPr>
        <w:t>=</w:t>
      </w:r>
      <w:r>
        <w:rPr>
          <w:rStyle w:val="DecValTok"/>
        </w:rPr>
        <w:t>1</w:t>
      </w:r>
      <w:r>
        <w:rPr>
          <w:rStyle w:val="NormalTok"/>
        </w:rPr>
        <w:t>)</w:t>
      </w:r>
      <w:r>
        <w:rPr>
          <w:rStyle w:val="OperatorTok"/>
        </w:rPr>
        <w:t>/</w:t>
      </w:r>
      <w:r>
        <w:rPr>
          <w:rStyle w:val="FloatTok"/>
        </w:rPr>
        <w:t>1e6</w:t>
      </w:r>
      <w:r>
        <w:br/>
      </w:r>
      <w:r>
        <w:rPr>
          <w:rStyle w:val="NormalTok"/>
        </w:rPr>
        <w:t>display(geom_energy)</w:t>
      </w:r>
      <w:r>
        <w:br/>
      </w:r>
      <w:r>
        <w:rPr>
          <w:rStyle w:val="NormalTok"/>
        </w:rPr>
        <w:t>energy.to_csv(OUT</w:t>
      </w:r>
      <w:r>
        <w:rPr>
          <w:rStyle w:val="OperatorTok"/>
        </w:rPr>
        <w:t>/</w:t>
      </w:r>
      <w:r>
        <w:rPr>
          <w:rStyle w:val="StringTok"/>
        </w:rPr>
        <w:t>'strombilanz.csv'</w:t>
      </w:r>
      <w:r>
        <w:rPr>
          <w:rStyle w:val="NormalTok"/>
        </w:rPr>
        <w:t>,index</w:t>
      </w:r>
      <w:r>
        <w:rPr>
          <w:rStyle w:val="OperatorTok"/>
        </w:rPr>
        <w:t>=</w:t>
      </w:r>
      <w:r>
        <w:rPr>
          <w:rStyle w:val="VariableTok"/>
        </w:rPr>
        <w:t>False</w:t>
      </w:r>
      <w:r>
        <w:rPr>
          <w:rStyle w:val="NormalTok"/>
        </w:rPr>
        <w:t>)</w:t>
      </w:r>
      <w:r>
        <w:rPr>
          <w:rStyle w:val="OperatorTok"/>
        </w:rPr>
        <w:t>;</w:t>
      </w:r>
      <w:r>
        <w:rPr>
          <w:rStyle w:val="NormalTok"/>
        </w:rPr>
        <w:t>by_geometry.to_csv(OUT</w:t>
      </w:r>
      <w:r>
        <w:rPr>
          <w:rStyle w:val="OperatorTok"/>
        </w:rPr>
        <w:t>/</w:t>
      </w:r>
      <w:r>
        <w:rPr>
          <w:rStyle w:val="StringTok"/>
        </w:rPr>
        <w:t>'strom_anwendungen_spezifisch.csv'</w:t>
      </w:r>
      <w:r>
        <w:rPr>
          <w:rStyle w:val="NormalTok"/>
        </w:rPr>
        <w:t>)</w:t>
      </w:r>
      <w:r>
        <w:rPr>
          <w:rStyle w:val="OperatorTok"/>
        </w:rPr>
        <w:t>;</w:t>
      </w:r>
      <w:r>
        <w:rPr>
          <w:rStyle w:val="NormalTok"/>
        </w:rPr>
        <w:t>geom_energy.to_csv(OUT</w:t>
      </w:r>
      <w:r>
        <w:rPr>
          <w:rStyle w:val="OperatorTok"/>
        </w:rPr>
        <w:t>/</w:t>
      </w:r>
      <w:r>
        <w:rPr>
          <w:rStyle w:val="StringTok"/>
        </w:rPr>
        <w:t>'strombilanz_geometrie.csv'</w:t>
      </w:r>
      <w:r>
        <w:rPr>
          <w:rStyle w:val="NormalTok"/>
        </w:rPr>
        <w:t>)</w:t>
      </w:r>
    </w:p>
    <w:tbl>
      <w:tblPr>
        <w:tblStyle w:val="Table"/>
        <w:tblW w:w="0" w:type="auto"/>
        <w:tblLook w:val="0020" w:firstRow="1" w:lastRow="0" w:firstColumn="0" w:lastColumn="0" w:noHBand="0" w:noVBand="0"/>
      </w:tblPr>
      <w:tblGrid>
        <w:gridCol w:w="452"/>
        <w:gridCol w:w="773"/>
        <w:gridCol w:w="2238"/>
        <w:gridCol w:w="1219"/>
        <w:gridCol w:w="1571"/>
        <w:gridCol w:w="1337"/>
        <w:gridCol w:w="1053"/>
        <w:gridCol w:w="979"/>
      </w:tblGrid>
      <w:tr w:rsidR="004E4CC2" w14:paraId="018813D8"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7D868571" w14:textId="77777777" w:rsidR="004E4CC2" w:rsidRDefault="004E4CC2">
            <w:pPr>
              <w:pStyle w:val="Compact"/>
            </w:pPr>
          </w:p>
        </w:tc>
        <w:tc>
          <w:tcPr>
            <w:tcW w:w="0" w:type="auto"/>
          </w:tcPr>
          <w:p w14:paraId="2CBA4E31" w14:textId="77777777" w:rsidR="004E4CC2" w:rsidRDefault="00000000">
            <w:pPr>
              <w:pStyle w:val="Compact"/>
            </w:pPr>
            <w:r>
              <w:t>Stand</w:t>
            </w:r>
          </w:p>
        </w:tc>
        <w:tc>
          <w:tcPr>
            <w:tcW w:w="0" w:type="auto"/>
          </w:tcPr>
          <w:p w14:paraId="0256774F" w14:textId="77777777" w:rsidR="004E4CC2" w:rsidRDefault="00000000">
            <w:pPr>
              <w:pStyle w:val="Compact"/>
            </w:pPr>
            <w:r>
              <w:t>Größe</w:t>
            </w:r>
          </w:p>
        </w:tc>
        <w:tc>
          <w:tcPr>
            <w:tcW w:w="0" w:type="auto"/>
          </w:tcPr>
          <w:p w14:paraId="4A2BCC71" w14:textId="77777777" w:rsidR="004E4CC2" w:rsidRDefault="00000000">
            <w:pPr>
              <w:pStyle w:val="Compact"/>
            </w:pPr>
            <w:r>
              <w:t>kWh/(m² NGF a)</w:t>
            </w:r>
          </w:p>
        </w:tc>
        <w:tc>
          <w:tcPr>
            <w:tcW w:w="0" w:type="auto"/>
          </w:tcPr>
          <w:p w14:paraId="0D4EF47B" w14:textId="77777777" w:rsidR="004E4CC2" w:rsidRDefault="00000000">
            <w:pPr>
              <w:pStyle w:val="Compact"/>
            </w:pPr>
            <w:r>
              <w:t>GWh/a</w:t>
            </w:r>
          </w:p>
        </w:tc>
        <w:tc>
          <w:tcPr>
            <w:tcW w:w="0" w:type="auto"/>
          </w:tcPr>
          <w:p w14:paraId="2905CC9B" w14:textId="77777777" w:rsidR="004E4CC2" w:rsidRDefault="00000000">
            <w:pPr>
              <w:pStyle w:val="Compact"/>
            </w:pPr>
            <w:r>
              <w:t>PJ/a</w:t>
            </w:r>
          </w:p>
        </w:tc>
        <w:tc>
          <w:tcPr>
            <w:tcW w:w="0" w:type="auto"/>
          </w:tcPr>
          <w:p w14:paraId="5E871971" w14:textId="77777777" w:rsidR="004E4CC2" w:rsidRDefault="00000000">
            <w:pPr>
              <w:pStyle w:val="Compact"/>
            </w:pPr>
            <w:r>
              <w:t>fehlende BGF [m²]</w:t>
            </w:r>
          </w:p>
        </w:tc>
        <w:tc>
          <w:tcPr>
            <w:tcW w:w="0" w:type="auto"/>
          </w:tcPr>
          <w:p w14:paraId="7FE7FAA9" w14:textId="77777777" w:rsidR="004E4CC2" w:rsidRDefault="00000000">
            <w:pPr>
              <w:pStyle w:val="Compact"/>
            </w:pPr>
            <w:r>
              <w:t>Flächen offen</w:t>
            </w:r>
          </w:p>
        </w:tc>
      </w:tr>
      <w:tr w:rsidR="004E4CC2" w14:paraId="6AB0B9D9" w14:textId="77777777">
        <w:tc>
          <w:tcPr>
            <w:tcW w:w="0" w:type="auto"/>
          </w:tcPr>
          <w:p w14:paraId="5C6DEF0D" w14:textId="77777777" w:rsidR="004E4CC2" w:rsidRDefault="00000000">
            <w:pPr>
              <w:pStyle w:val="Compact"/>
            </w:pPr>
            <w:r>
              <w:t>6</w:t>
            </w:r>
          </w:p>
        </w:tc>
        <w:tc>
          <w:tcPr>
            <w:tcW w:w="0" w:type="auto"/>
          </w:tcPr>
          <w:p w14:paraId="0078BEAA" w14:textId="77777777" w:rsidR="004E4CC2" w:rsidRDefault="00000000">
            <w:pPr>
              <w:pStyle w:val="Compact"/>
            </w:pPr>
            <w:r>
              <w:t>2040</w:t>
            </w:r>
          </w:p>
        </w:tc>
        <w:tc>
          <w:tcPr>
            <w:tcW w:w="0" w:type="auto"/>
          </w:tcPr>
          <w:p w14:paraId="33371EC7" w14:textId="77777777" w:rsidR="004E4CC2" w:rsidRDefault="00000000">
            <w:pPr>
              <w:pStyle w:val="Compact"/>
            </w:pPr>
            <w:r>
              <w:t>Strombedarf</w:t>
            </w:r>
          </w:p>
        </w:tc>
        <w:tc>
          <w:tcPr>
            <w:tcW w:w="0" w:type="auto"/>
          </w:tcPr>
          <w:p w14:paraId="64A499C6" w14:textId="77777777" w:rsidR="004E4CC2" w:rsidRDefault="00000000">
            <w:pPr>
              <w:pStyle w:val="Compact"/>
            </w:pPr>
            <w:r>
              <w:t>42.376726</w:t>
            </w:r>
          </w:p>
        </w:tc>
        <w:tc>
          <w:tcPr>
            <w:tcW w:w="0" w:type="auto"/>
          </w:tcPr>
          <w:p w14:paraId="19AC3256" w14:textId="77777777" w:rsidR="004E4CC2" w:rsidRDefault="00000000">
            <w:pPr>
              <w:pStyle w:val="Compact"/>
            </w:pPr>
            <w:r>
              <w:t>38192.572254</w:t>
            </w:r>
          </w:p>
        </w:tc>
        <w:tc>
          <w:tcPr>
            <w:tcW w:w="0" w:type="auto"/>
          </w:tcPr>
          <w:p w14:paraId="7E13D086" w14:textId="77777777" w:rsidR="004E4CC2" w:rsidRDefault="00000000">
            <w:pPr>
              <w:pStyle w:val="Compact"/>
            </w:pPr>
            <w:r>
              <w:t>137.493260</w:t>
            </w:r>
          </w:p>
        </w:tc>
        <w:tc>
          <w:tcPr>
            <w:tcW w:w="0" w:type="auto"/>
          </w:tcPr>
          <w:p w14:paraId="5933A93A" w14:textId="77777777" w:rsidR="004E4CC2" w:rsidRDefault="00000000">
            <w:pPr>
              <w:pStyle w:val="Compact"/>
            </w:pPr>
            <w:r>
              <w:t>0.0</w:t>
            </w:r>
          </w:p>
        </w:tc>
        <w:tc>
          <w:tcPr>
            <w:tcW w:w="0" w:type="auto"/>
          </w:tcPr>
          <w:p w14:paraId="2DEFFC59" w14:textId="77777777" w:rsidR="004E4CC2" w:rsidRDefault="00000000">
            <w:pPr>
              <w:pStyle w:val="Compact"/>
            </w:pPr>
            <w:r>
              <w:t>False</w:t>
            </w:r>
          </w:p>
        </w:tc>
      </w:tr>
      <w:tr w:rsidR="004E4CC2" w14:paraId="29D0D655" w14:textId="77777777">
        <w:tc>
          <w:tcPr>
            <w:tcW w:w="0" w:type="auto"/>
          </w:tcPr>
          <w:p w14:paraId="18D699AB" w14:textId="77777777" w:rsidR="004E4CC2" w:rsidRDefault="00000000">
            <w:pPr>
              <w:pStyle w:val="Compact"/>
            </w:pPr>
            <w:r>
              <w:t>7</w:t>
            </w:r>
          </w:p>
        </w:tc>
        <w:tc>
          <w:tcPr>
            <w:tcW w:w="0" w:type="auto"/>
          </w:tcPr>
          <w:p w14:paraId="7BD1F4CF" w14:textId="77777777" w:rsidR="004E4CC2" w:rsidRDefault="00000000">
            <w:pPr>
              <w:pStyle w:val="Compact"/>
            </w:pPr>
            <w:r>
              <w:t>2040</w:t>
            </w:r>
          </w:p>
        </w:tc>
        <w:tc>
          <w:tcPr>
            <w:tcW w:w="0" w:type="auto"/>
          </w:tcPr>
          <w:p w14:paraId="40A9922D" w14:textId="77777777" w:rsidR="004E4CC2" w:rsidRDefault="00000000">
            <w:pPr>
              <w:pStyle w:val="Compact"/>
            </w:pPr>
            <w:r>
              <w:t>PV_Erzeugung</w:t>
            </w:r>
          </w:p>
        </w:tc>
        <w:tc>
          <w:tcPr>
            <w:tcW w:w="0" w:type="auto"/>
          </w:tcPr>
          <w:p w14:paraId="44598E41" w14:textId="77777777" w:rsidR="004E4CC2" w:rsidRDefault="00000000">
            <w:pPr>
              <w:pStyle w:val="Compact"/>
            </w:pPr>
            <w:r>
              <w:t>24.115993</w:t>
            </w:r>
          </w:p>
        </w:tc>
        <w:tc>
          <w:tcPr>
            <w:tcW w:w="0" w:type="auto"/>
          </w:tcPr>
          <w:p w14:paraId="3AB33F83" w14:textId="77777777" w:rsidR="004E4CC2" w:rsidRDefault="00000000">
            <w:pPr>
              <w:pStyle w:val="Compact"/>
            </w:pPr>
            <w:r>
              <w:t>21734.850532</w:t>
            </w:r>
          </w:p>
        </w:tc>
        <w:tc>
          <w:tcPr>
            <w:tcW w:w="0" w:type="auto"/>
          </w:tcPr>
          <w:p w14:paraId="09984DA6" w14:textId="77777777" w:rsidR="004E4CC2" w:rsidRDefault="00000000">
            <w:pPr>
              <w:pStyle w:val="Compact"/>
            </w:pPr>
            <w:r>
              <w:t>78.245462</w:t>
            </w:r>
          </w:p>
        </w:tc>
        <w:tc>
          <w:tcPr>
            <w:tcW w:w="0" w:type="auto"/>
          </w:tcPr>
          <w:p w14:paraId="32E7909A" w14:textId="77777777" w:rsidR="004E4CC2" w:rsidRDefault="00000000">
            <w:pPr>
              <w:pStyle w:val="Compact"/>
            </w:pPr>
            <w:r>
              <w:t>0.0</w:t>
            </w:r>
          </w:p>
        </w:tc>
        <w:tc>
          <w:tcPr>
            <w:tcW w:w="0" w:type="auto"/>
          </w:tcPr>
          <w:p w14:paraId="78A33FBB" w14:textId="77777777" w:rsidR="004E4CC2" w:rsidRDefault="00000000">
            <w:pPr>
              <w:pStyle w:val="Compact"/>
            </w:pPr>
            <w:r>
              <w:t>False</w:t>
            </w:r>
          </w:p>
        </w:tc>
      </w:tr>
      <w:tr w:rsidR="004E4CC2" w14:paraId="24CC7771" w14:textId="77777777">
        <w:tc>
          <w:tcPr>
            <w:tcW w:w="0" w:type="auto"/>
          </w:tcPr>
          <w:p w14:paraId="4BBB35D9" w14:textId="77777777" w:rsidR="004E4CC2" w:rsidRDefault="00000000">
            <w:pPr>
              <w:pStyle w:val="Compact"/>
            </w:pPr>
            <w:r>
              <w:t>8</w:t>
            </w:r>
          </w:p>
        </w:tc>
        <w:tc>
          <w:tcPr>
            <w:tcW w:w="0" w:type="auto"/>
          </w:tcPr>
          <w:p w14:paraId="680D9DCC" w14:textId="77777777" w:rsidR="004E4CC2" w:rsidRDefault="00000000">
            <w:pPr>
              <w:pStyle w:val="Compact"/>
            </w:pPr>
            <w:r>
              <w:t>2040</w:t>
            </w:r>
          </w:p>
        </w:tc>
        <w:tc>
          <w:tcPr>
            <w:tcW w:w="0" w:type="auto"/>
          </w:tcPr>
          <w:p w14:paraId="6D6B7E63" w14:textId="77777777" w:rsidR="004E4CC2" w:rsidRDefault="00000000">
            <w:pPr>
              <w:pStyle w:val="Compact"/>
            </w:pPr>
            <w:r>
              <w:t>Grid_to_building_min</w:t>
            </w:r>
          </w:p>
        </w:tc>
        <w:tc>
          <w:tcPr>
            <w:tcW w:w="0" w:type="auto"/>
          </w:tcPr>
          <w:p w14:paraId="4FDC8FA7" w14:textId="77777777" w:rsidR="004E4CC2" w:rsidRDefault="00000000">
            <w:pPr>
              <w:pStyle w:val="Compact"/>
            </w:pPr>
            <w:r>
              <w:t>34.898510</w:t>
            </w:r>
          </w:p>
        </w:tc>
        <w:tc>
          <w:tcPr>
            <w:tcW w:w="0" w:type="auto"/>
          </w:tcPr>
          <w:p w14:paraId="5B7FE4E4" w14:textId="77777777" w:rsidR="004E4CC2" w:rsidRDefault="00000000">
            <w:pPr>
              <w:pStyle w:val="Compact"/>
            </w:pPr>
            <w:r>
              <w:t>31452.733686</w:t>
            </w:r>
          </w:p>
        </w:tc>
        <w:tc>
          <w:tcPr>
            <w:tcW w:w="0" w:type="auto"/>
          </w:tcPr>
          <w:p w14:paraId="547CD5E5" w14:textId="77777777" w:rsidR="004E4CC2" w:rsidRDefault="00000000">
            <w:pPr>
              <w:pStyle w:val="Compact"/>
            </w:pPr>
            <w:r>
              <w:t>113.229841</w:t>
            </w:r>
          </w:p>
        </w:tc>
        <w:tc>
          <w:tcPr>
            <w:tcW w:w="0" w:type="auto"/>
          </w:tcPr>
          <w:p w14:paraId="54268E94" w14:textId="77777777" w:rsidR="004E4CC2" w:rsidRDefault="00000000">
            <w:pPr>
              <w:pStyle w:val="Compact"/>
            </w:pPr>
            <w:r>
              <w:t>0.0</w:t>
            </w:r>
          </w:p>
        </w:tc>
        <w:tc>
          <w:tcPr>
            <w:tcW w:w="0" w:type="auto"/>
          </w:tcPr>
          <w:p w14:paraId="66389C2E" w14:textId="77777777" w:rsidR="004E4CC2" w:rsidRDefault="00000000">
            <w:pPr>
              <w:pStyle w:val="Compact"/>
            </w:pPr>
            <w:r>
              <w:t>False</w:t>
            </w:r>
          </w:p>
        </w:tc>
      </w:tr>
      <w:tr w:rsidR="004E4CC2" w14:paraId="7FAE754A" w14:textId="77777777">
        <w:tc>
          <w:tcPr>
            <w:tcW w:w="0" w:type="auto"/>
          </w:tcPr>
          <w:p w14:paraId="530EDEA6" w14:textId="77777777" w:rsidR="004E4CC2" w:rsidRDefault="00000000">
            <w:pPr>
              <w:pStyle w:val="Compact"/>
            </w:pPr>
            <w:r>
              <w:t>9</w:t>
            </w:r>
          </w:p>
        </w:tc>
        <w:tc>
          <w:tcPr>
            <w:tcW w:w="0" w:type="auto"/>
          </w:tcPr>
          <w:p w14:paraId="7C8073C6" w14:textId="77777777" w:rsidR="004E4CC2" w:rsidRDefault="00000000">
            <w:pPr>
              <w:pStyle w:val="Compact"/>
            </w:pPr>
            <w:r>
              <w:t>2040</w:t>
            </w:r>
          </w:p>
        </w:tc>
        <w:tc>
          <w:tcPr>
            <w:tcW w:w="0" w:type="auto"/>
          </w:tcPr>
          <w:p w14:paraId="66E65B3A" w14:textId="77777777" w:rsidR="004E4CC2" w:rsidRDefault="00000000">
            <w:pPr>
              <w:pStyle w:val="Compact"/>
            </w:pPr>
            <w:r>
              <w:t>PV_total_direct</w:t>
            </w:r>
          </w:p>
        </w:tc>
        <w:tc>
          <w:tcPr>
            <w:tcW w:w="0" w:type="auto"/>
          </w:tcPr>
          <w:p w14:paraId="2E46BA48" w14:textId="77777777" w:rsidR="004E4CC2" w:rsidRDefault="00000000">
            <w:pPr>
              <w:pStyle w:val="Compact"/>
            </w:pPr>
            <w:r>
              <w:t>7.478216</w:t>
            </w:r>
          </w:p>
        </w:tc>
        <w:tc>
          <w:tcPr>
            <w:tcW w:w="0" w:type="auto"/>
          </w:tcPr>
          <w:p w14:paraId="6A651972" w14:textId="77777777" w:rsidR="004E4CC2" w:rsidRDefault="00000000">
            <w:pPr>
              <w:pStyle w:val="Compact"/>
            </w:pPr>
            <w:r>
              <w:t>6739.838568</w:t>
            </w:r>
          </w:p>
        </w:tc>
        <w:tc>
          <w:tcPr>
            <w:tcW w:w="0" w:type="auto"/>
          </w:tcPr>
          <w:p w14:paraId="438E1A95" w14:textId="77777777" w:rsidR="004E4CC2" w:rsidRDefault="00000000">
            <w:pPr>
              <w:pStyle w:val="Compact"/>
            </w:pPr>
            <w:r>
              <w:t>24.263419</w:t>
            </w:r>
          </w:p>
        </w:tc>
        <w:tc>
          <w:tcPr>
            <w:tcW w:w="0" w:type="auto"/>
          </w:tcPr>
          <w:p w14:paraId="3D9E9CBF" w14:textId="77777777" w:rsidR="004E4CC2" w:rsidRDefault="00000000">
            <w:pPr>
              <w:pStyle w:val="Compact"/>
            </w:pPr>
            <w:r>
              <w:t>0.0</w:t>
            </w:r>
          </w:p>
        </w:tc>
        <w:tc>
          <w:tcPr>
            <w:tcW w:w="0" w:type="auto"/>
          </w:tcPr>
          <w:p w14:paraId="08F02455" w14:textId="77777777" w:rsidR="004E4CC2" w:rsidRDefault="00000000">
            <w:pPr>
              <w:pStyle w:val="Compact"/>
            </w:pPr>
            <w:r>
              <w:t>False</w:t>
            </w:r>
          </w:p>
        </w:tc>
      </w:tr>
      <w:tr w:rsidR="004E4CC2" w14:paraId="62BDC9A0" w14:textId="77777777">
        <w:tc>
          <w:tcPr>
            <w:tcW w:w="0" w:type="auto"/>
          </w:tcPr>
          <w:p w14:paraId="62D6A2B9" w14:textId="77777777" w:rsidR="004E4CC2" w:rsidRDefault="00000000">
            <w:pPr>
              <w:pStyle w:val="Compact"/>
            </w:pPr>
            <w:r>
              <w:t>10</w:t>
            </w:r>
          </w:p>
        </w:tc>
        <w:tc>
          <w:tcPr>
            <w:tcW w:w="0" w:type="auto"/>
          </w:tcPr>
          <w:p w14:paraId="5F2D8360" w14:textId="77777777" w:rsidR="004E4CC2" w:rsidRDefault="00000000">
            <w:pPr>
              <w:pStyle w:val="Compact"/>
            </w:pPr>
            <w:r>
              <w:t>2040</w:t>
            </w:r>
          </w:p>
        </w:tc>
        <w:tc>
          <w:tcPr>
            <w:tcW w:w="0" w:type="auto"/>
          </w:tcPr>
          <w:p w14:paraId="7015D07D" w14:textId="77777777" w:rsidR="004E4CC2" w:rsidRDefault="00000000">
            <w:pPr>
              <w:pStyle w:val="Compact"/>
            </w:pPr>
            <w:r>
              <w:t>PV_to_Egrid</w:t>
            </w:r>
          </w:p>
        </w:tc>
        <w:tc>
          <w:tcPr>
            <w:tcW w:w="0" w:type="auto"/>
          </w:tcPr>
          <w:p w14:paraId="0FEC4AB7" w14:textId="77777777" w:rsidR="004E4CC2" w:rsidRDefault="00000000">
            <w:pPr>
              <w:pStyle w:val="Compact"/>
            </w:pPr>
            <w:r>
              <w:t>16.637777</w:t>
            </w:r>
          </w:p>
        </w:tc>
        <w:tc>
          <w:tcPr>
            <w:tcW w:w="0" w:type="auto"/>
          </w:tcPr>
          <w:p w14:paraId="76FB1955" w14:textId="77777777" w:rsidR="004E4CC2" w:rsidRDefault="00000000">
            <w:pPr>
              <w:pStyle w:val="Compact"/>
            </w:pPr>
            <w:r>
              <w:t>14995.011964</w:t>
            </w:r>
          </w:p>
        </w:tc>
        <w:tc>
          <w:tcPr>
            <w:tcW w:w="0" w:type="auto"/>
          </w:tcPr>
          <w:p w14:paraId="1A07BD54" w14:textId="77777777" w:rsidR="004E4CC2" w:rsidRDefault="00000000">
            <w:pPr>
              <w:pStyle w:val="Compact"/>
            </w:pPr>
            <w:r>
              <w:t>53.982043</w:t>
            </w:r>
          </w:p>
        </w:tc>
        <w:tc>
          <w:tcPr>
            <w:tcW w:w="0" w:type="auto"/>
          </w:tcPr>
          <w:p w14:paraId="35F70546" w14:textId="77777777" w:rsidR="004E4CC2" w:rsidRDefault="00000000">
            <w:pPr>
              <w:pStyle w:val="Compact"/>
            </w:pPr>
            <w:r>
              <w:t>0.0</w:t>
            </w:r>
          </w:p>
        </w:tc>
        <w:tc>
          <w:tcPr>
            <w:tcW w:w="0" w:type="auto"/>
          </w:tcPr>
          <w:p w14:paraId="60922C63" w14:textId="77777777" w:rsidR="004E4CC2" w:rsidRDefault="00000000">
            <w:pPr>
              <w:pStyle w:val="Compact"/>
            </w:pPr>
            <w:r>
              <w:t>False</w:t>
            </w:r>
          </w:p>
        </w:tc>
      </w:tr>
      <w:tr w:rsidR="004E4CC2" w14:paraId="5CCF6D79" w14:textId="77777777">
        <w:tc>
          <w:tcPr>
            <w:tcW w:w="0" w:type="auto"/>
          </w:tcPr>
          <w:p w14:paraId="25ECDC0A" w14:textId="77777777" w:rsidR="004E4CC2" w:rsidRDefault="00000000">
            <w:pPr>
              <w:pStyle w:val="Compact"/>
            </w:pPr>
            <w:r>
              <w:t>11</w:t>
            </w:r>
          </w:p>
        </w:tc>
        <w:tc>
          <w:tcPr>
            <w:tcW w:w="0" w:type="auto"/>
          </w:tcPr>
          <w:p w14:paraId="0AC2281B" w14:textId="77777777" w:rsidR="004E4CC2" w:rsidRDefault="00000000">
            <w:pPr>
              <w:pStyle w:val="Compact"/>
            </w:pPr>
            <w:r>
              <w:t>2040</w:t>
            </w:r>
          </w:p>
        </w:tc>
        <w:tc>
          <w:tcPr>
            <w:tcW w:w="0" w:type="auto"/>
          </w:tcPr>
          <w:p w14:paraId="55893753" w14:textId="77777777" w:rsidR="004E4CC2" w:rsidRDefault="00000000">
            <w:pPr>
              <w:pStyle w:val="Compact"/>
            </w:pPr>
            <w:r>
              <w:t>Stromsaldo</w:t>
            </w:r>
          </w:p>
        </w:tc>
        <w:tc>
          <w:tcPr>
            <w:tcW w:w="0" w:type="auto"/>
          </w:tcPr>
          <w:p w14:paraId="0C1C48BE" w14:textId="77777777" w:rsidR="004E4CC2" w:rsidRDefault="00000000">
            <w:pPr>
              <w:pStyle w:val="Compact"/>
            </w:pPr>
            <w:r>
              <w:t>-18.260733</w:t>
            </w:r>
          </w:p>
        </w:tc>
        <w:tc>
          <w:tcPr>
            <w:tcW w:w="0" w:type="auto"/>
          </w:tcPr>
          <w:p w14:paraId="341F4F7B" w14:textId="77777777" w:rsidR="004E4CC2" w:rsidRDefault="00000000">
            <w:pPr>
              <w:pStyle w:val="Compact"/>
            </w:pPr>
            <w:r>
              <w:t>-16457.721722</w:t>
            </w:r>
          </w:p>
        </w:tc>
        <w:tc>
          <w:tcPr>
            <w:tcW w:w="0" w:type="auto"/>
          </w:tcPr>
          <w:p w14:paraId="3038ECD7" w14:textId="77777777" w:rsidR="004E4CC2" w:rsidRDefault="00000000">
            <w:pPr>
              <w:pStyle w:val="Compact"/>
            </w:pPr>
            <w:r>
              <w:t>-59.247798</w:t>
            </w:r>
          </w:p>
        </w:tc>
        <w:tc>
          <w:tcPr>
            <w:tcW w:w="0" w:type="auto"/>
          </w:tcPr>
          <w:p w14:paraId="12E2AEB4" w14:textId="77777777" w:rsidR="004E4CC2" w:rsidRDefault="00000000">
            <w:pPr>
              <w:pStyle w:val="Compact"/>
            </w:pPr>
            <w:r>
              <w:t>0.0</w:t>
            </w:r>
          </w:p>
        </w:tc>
        <w:tc>
          <w:tcPr>
            <w:tcW w:w="0" w:type="auto"/>
          </w:tcPr>
          <w:p w14:paraId="1D54E484" w14:textId="77777777" w:rsidR="004E4CC2" w:rsidRDefault="00000000">
            <w:pPr>
              <w:pStyle w:val="Compact"/>
            </w:pPr>
            <w:r>
              <w:t>False</w:t>
            </w:r>
          </w:p>
        </w:tc>
      </w:tr>
      <w:tr w:rsidR="004E4CC2" w14:paraId="667B5A0E" w14:textId="77777777" w:rsidTr="004E4CC2">
        <w:trPr>
          <w:tblHeader/>
        </w:trPr>
        <w:tc>
          <w:tcPr>
            <w:tcW w:w="0" w:type="auto"/>
            <w:gridSpan w:val="4"/>
          </w:tcPr>
          <w:p w14:paraId="1CA7ACC7" w14:textId="77777777" w:rsidR="004E4CC2" w:rsidRDefault="004E4CC2">
            <w:pPr>
              <w:pStyle w:val="Compact"/>
            </w:pPr>
          </w:p>
        </w:tc>
        <w:tc>
          <w:tcPr>
            <w:tcW w:w="0" w:type="auto"/>
            <w:gridSpan w:val="4"/>
          </w:tcPr>
          <w:p w14:paraId="679BFE65" w14:textId="77777777" w:rsidR="004E4CC2" w:rsidRDefault="00000000">
            <w:pPr>
              <w:pStyle w:val="Compact"/>
            </w:pPr>
            <w:r>
              <w:t>GWh/a</w:t>
            </w:r>
          </w:p>
        </w:tc>
      </w:tr>
      <w:tr w:rsidR="004E4CC2" w14:paraId="644227EC" w14:textId="77777777">
        <w:tc>
          <w:tcPr>
            <w:tcW w:w="0" w:type="auto"/>
            <w:gridSpan w:val="4"/>
          </w:tcPr>
          <w:p w14:paraId="253AC479" w14:textId="77777777" w:rsidR="004E4CC2" w:rsidRDefault="00000000">
            <w:pPr>
              <w:pStyle w:val="Compact"/>
            </w:pPr>
            <w:r>
              <w:t>Heizung</w:t>
            </w:r>
          </w:p>
        </w:tc>
        <w:tc>
          <w:tcPr>
            <w:tcW w:w="0" w:type="auto"/>
            <w:gridSpan w:val="4"/>
          </w:tcPr>
          <w:p w14:paraId="5A901352" w14:textId="77777777" w:rsidR="004E4CC2" w:rsidRDefault="00000000">
            <w:pPr>
              <w:pStyle w:val="Compact"/>
            </w:pPr>
            <w:r>
              <w:t>7032.501102</w:t>
            </w:r>
          </w:p>
        </w:tc>
      </w:tr>
      <w:tr w:rsidR="004E4CC2" w14:paraId="3C06B807" w14:textId="77777777">
        <w:tc>
          <w:tcPr>
            <w:tcW w:w="0" w:type="auto"/>
            <w:gridSpan w:val="4"/>
          </w:tcPr>
          <w:p w14:paraId="59028198" w14:textId="77777777" w:rsidR="004E4CC2" w:rsidRDefault="00000000">
            <w:pPr>
              <w:pStyle w:val="Compact"/>
            </w:pPr>
            <w:r>
              <w:t>Warmwasser</w:t>
            </w:r>
          </w:p>
        </w:tc>
        <w:tc>
          <w:tcPr>
            <w:tcW w:w="0" w:type="auto"/>
            <w:gridSpan w:val="4"/>
          </w:tcPr>
          <w:p w14:paraId="50327D88" w14:textId="77777777" w:rsidR="004E4CC2" w:rsidRDefault="00000000">
            <w:pPr>
              <w:pStyle w:val="Compact"/>
            </w:pPr>
            <w:r>
              <w:t>1351.416608</w:t>
            </w:r>
          </w:p>
        </w:tc>
      </w:tr>
      <w:tr w:rsidR="004E4CC2" w14:paraId="6D3F5E5C" w14:textId="77777777">
        <w:tc>
          <w:tcPr>
            <w:tcW w:w="0" w:type="auto"/>
            <w:gridSpan w:val="4"/>
          </w:tcPr>
          <w:p w14:paraId="68CEB46A" w14:textId="77777777" w:rsidR="004E4CC2" w:rsidRDefault="00000000">
            <w:pPr>
              <w:pStyle w:val="Compact"/>
            </w:pPr>
            <w:r>
              <w:t>Kühlung</w:t>
            </w:r>
          </w:p>
        </w:tc>
        <w:tc>
          <w:tcPr>
            <w:tcW w:w="0" w:type="auto"/>
            <w:gridSpan w:val="4"/>
          </w:tcPr>
          <w:p w14:paraId="5CEC3879" w14:textId="77777777" w:rsidR="004E4CC2" w:rsidRDefault="00000000">
            <w:pPr>
              <w:pStyle w:val="Compact"/>
            </w:pPr>
            <w:r>
              <w:t>0.000000</w:t>
            </w:r>
          </w:p>
        </w:tc>
      </w:tr>
      <w:tr w:rsidR="004E4CC2" w14:paraId="64104B0B" w14:textId="77777777">
        <w:tc>
          <w:tcPr>
            <w:tcW w:w="0" w:type="auto"/>
            <w:gridSpan w:val="4"/>
          </w:tcPr>
          <w:p w14:paraId="3313D88C" w14:textId="77777777" w:rsidR="004E4CC2" w:rsidRDefault="00000000">
            <w:pPr>
              <w:pStyle w:val="Compact"/>
            </w:pPr>
            <w:r>
              <w:t>Lüftung</w:t>
            </w:r>
          </w:p>
        </w:tc>
        <w:tc>
          <w:tcPr>
            <w:tcW w:w="0" w:type="auto"/>
            <w:gridSpan w:val="4"/>
          </w:tcPr>
          <w:p w14:paraId="1B6746B5" w14:textId="77777777" w:rsidR="004E4CC2" w:rsidRDefault="00000000">
            <w:pPr>
              <w:pStyle w:val="Compact"/>
            </w:pPr>
            <w:r>
              <w:t>1053.688634</w:t>
            </w:r>
          </w:p>
        </w:tc>
      </w:tr>
      <w:tr w:rsidR="004E4CC2" w14:paraId="3522A451" w14:textId="77777777">
        <w:tc>
          <w:tcPr>
            <w:tcW w:w="0" w:type="auto"/>
            <w:gridSpan w:val="4"/>
          </w:tcPr>
          <w:p w14:paraId="601BD52A" w14:textId="77777777" w:rsidR="004E4CC2" w:rsidRDefault="00000000">
            <w:pPr>
              <w:pStyle w:val="Compact"/>
            </w:pPr>
            <w:r>
              <w:t>Hilfs-/Allgemeinstrom</w:t>
            </w:r>
          </w:p>
        </w:tc>
        <w:tc>
          <w:tcPr>
            <w:tcW w:w="0" w:type="auto"/>
            <w:gridSpan w:val="4"/>
          </w:tcPr>
          <w:p w14:paraId="26CD82E0" w14:textId="77777777" w:rsidR="004E4CC2" w:rsidRDefault="00000000">
            <w:pPr>
              <w:pStyle w:val="Compact"/>
            </w:pPr>
            <w:r>
              <w:t>3179.587258</w:t>
            </w:r>
          </w:p>
        </w:tc>
      </w:tr>
      <w:tr w:rsidR="004E4CC2" w14:paraId="09AEAB3F" w14:textId="77777777">
        <w:tc>
          <w:tcPr>
            <w:tcW w:w="0" w:type="auto"/>
            <w:gridSpan w:val="4"/>
          </w:tcPr>
          <w:p w14:paraId="0D068235" w14:textId="77777777" w:rsidR="004E4CC2" w:rsidRDefault="00000000">
            <w:pPr>
              <w:pStyle w:val="Compact"/>
            </w:pPr>
            <w:r>
              <w:t>Beleuchtung</w:t>
            </w:r>
          </w:p>
        </w:tc>
        <w:tc>
          <w:tcPr>
            <w:tcW w:w="0" w:type="auto"/>
            <w:gridSpan w:val="4"/>
          </w:tcPr>
          <w:p w14:paraId="4DBDE95E" w14:textId="77777777" w:rsidR="004E4CC2" w:rsidRDefault="00000000">
            <w:pPr>
              <w:pStyle w:val="Compact"/>
            </w:pPr>
            <w:r>
              <w:t>3986.780084</w:t>
            </w:r>
          </w:p>
        </w:tc>
      </w:tr>
      <w:tr w:rsidR="004E4CC2" w14:paraId="670BD8C3" w14:textId="77777777">
        <w:tc>
          <w:tcPr>
            <w:tcW w:w="0" w:type="auto"/>
            <w:gridSpan w:val="4"/>
          </w:tcPr>
          <w:p w14:paraId="0CEC392D" w14:textId="77777777" w:rsidR="004E4CC2" w:rsidRDefault="00000000">
            <w:pPr>
              <w:pStyle w:val="Compact"/>
            </w:pPr>
            <w:r>
              <w:t>Geräte/IT</w:t>
            </w:r>
          </w:p>
        </w:tc>
        <w:tc>
          <w:tcPr>
            <w:tcW w:w="0" w:type="auto"/>
            <w:gridSpan w:val="4"/>
          </w:tcPr>
          <w:p w14:paraId="5D5A2A0B" w14:textId="77777777" w:rsidR="004E4CC2" w:rsidRDefault="00000000">
            <w:pPr>
              <w:pStyle w:val="Compact"/>
            </w:pPr>
            <w:r>
              <w:t>21588.598568</w:t>
            </w:r>
          </w:p>
        </w:tc>
      </w:tr>
    </w:tbl>
    <w:p w14:paraId="4C8798D7" w14:textId="77777777" w:rsidR="004E4CC2" w:rsidRDefault="00000000">
      <w:pPr>
        <w:pStyle w:val="Textkrper"/>
      </w:pPr>
      <w:r>
        <w:rPr>
          <w:noProof/>
        </w:rPr>
        <w:lastRenderedPageBreak/>
        <w:drawing>
          <wp:inline distT="0" distB="0" distL="0" distR="0" wp14:anchorId="4CAAF0C2" wp14:editId="54E31BCA">
            <wp:extent cx="5334000" cy="2278296"/>
            <wp:effectExtent l="0" t="0" r="0" b="0"/>
            <wp:docPr id="406" name="Picture"/>
            <wp:cNvGraphicFramePr/>
            <a:graphic xmlns:a="http://schemas.openxmlformats.org/drawingml/2006/main">
              <a:graphicData uri="http://schemas.openxmlformats.org/drawingml/2006/picture">
                <pic:pic xmlns:pic="http://schemas.openxmlformats.org/drawingml/2006/picture">
                  <pic:nvPicPr>
                    <pic:cNvPr id="407" name="Picture" descr="Berechnungen\gebaeudesektormodell/Gebaeudesektormodell_files/figure-docx/cell-5-output-3.png"/>
                    <pic:cNvPicPr>
                      <a:picLocks noChangeAspect="1" noChangeArrowheads="1"/>
                    </pic:cNvPicPr>
                  </pic:nvPicPr>
                  <pic:blipFill>
                    <a:blip r:embed="rId78"/>
                    <a:stretch>
                      <a:fillRect/>
                    </a:stretch>
                  </pic:blipFill>
                  <pic:spPr bwMode="auto">
                    <a:xfrm>
                      <a:off x="0" y="0"/>
                      <a:ext cx="5334000" cy="2278296"/>
                    </a:xfrm>
                    <a:prstGeom prst="rect">
                      <a:avLst/>
                    </a:prstGeom>
                    <a:noFill/>
                    <a:ln w="9525">
                      <a:noFill/>
                      <a:headEnd/>
                      <a:tailEnd/>
                    </a:ln>
                  </pic:spPr>
                </pic:pic>
              </a:graphicData>
            </a:graphic>
          </wp:inline>
        </w:drawing>
      </w:r>
    </w:p>
    <w:tbl>
      <w:tblPr>
        <w:tblStyle w:val="Table"/>
        <w:tblW w:w="0" w:type="auto"/>
        <w:tblLook w:val="0020" w:firstRow="1" w:lastRow="0" w:firstColumn="0" w:lastColumn="0" w:noHBand="0" w:noVBand="0"/>
      </w:tblPr>
      <w:tblGrid>
        <w:gridCol w:w="1318"/>
        <w:gridCol w:w="1567"/>
        <w:gridCol w:w="1684"/>
        <w:gridCol w:w="1649"/>
      </w:tblGrid>
      <w:tr w:rsidR="004E4CC2" w14:paraId="24728569"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08FF4E72" w14:textId="77777777" w:rsidR="004E4CC2" w:rsidRDefault="004E4CC2">
            <w:pPr>
              <w:pStyle w:val="Compact"/>
            </w:pPr>
          </w:p>
        </w:tc>
        <w:tc>
          <w:tcPr>
            <w:tcW w:w="0" w:type="auto"/>
          </w:tcPr>
          <w:p w14:paraId="457112D4" w14:textId="77777777" w:rsidR="004E4CC2" w:rsidRDefault="00000000">
            <w:pPr>
              <w:pStyle w:val="Compact"/>
            </w:pPr>
            <w:r>
              <w:t>Strombedarf</w:t>
            </w:r>
          </w:p>
        </w:tc>
        <w:tc>
          <w:tcPr>
            <w:tcW w:w="0" w:type="auto"/>
          </w:tcPr>
          <w:p w14:paraId="1DEC1753" w14:textId="77777777" w:rsidR="004E4CC2" w:rsidRDefault="00000000">
            <w:pPr>
              <w:pStyle w:val="Compact"/>
            </w:pPr>
            <w:r>
              <w:t>PV_Erzeugung</w:t>
            </w:r>
          </w:p>
        </w:tc>
        <w:tc>
          <w:tcPr>
            <w:tcW w:w="0" w:type="auto"/>
          </w:tcPr>
          <w:p w14:paraId="0547897F" w14:textId="77777777" w:rsidR="004E4CC2" w:rsidRDefault="00000000">
            <w:pPr>
              <w:pStyle w:val="Compact"/>
            </w:pPr>
            <w:r>
              <w:t>Stromsaldo</w:t>
            </w:r>
          </w:p>
        </w:tc>
      </w:tr>
      <w:tr w:rsidR="004E4CC2" w14:paraId="13170C5E"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5874D06E" w14:textId="77777777" w:rsidR="004E4CC2" w:rsidRDefault="00000000">
            <w:pPr>
              <w:pStyle w:val="Compact"/>
            </w:pPr>
            <w:r>
              <w:t>Geometrie</w:t>
            </w:r>
          </w:p>
        </w:tc>
        <w:tc>
          <w:tcPr>
            <w:tcW w:w="0" w:type="auto"/>
          </w:tcPr>
          <w:p w14:paraId="146CEA26" w14:textId="77777777" w:rsidR="004E4CC2" w:rsidRDefault="004E4CC2">
            <w:pPr>
              <w:pStyle w:val="Compact"/>
            </w:pPr>
          </w:p>
        </w:tc>
        <w:tc>
          <w:tcPr>
            <w:tcW w:w="0" w:type="auto"/>
          </w:tcPr>
          <w:p w14:paraId="315F73A5" w14:textId="77777777" w:rsidR="004E4CC2" w:rsidRDefault="004E4CC2">
            <w:pPr>
              <w:pStyle w:val="Compact"/>
            </w:pPr>
          </w:p>
        </w:tc>
        <w:tc>
          <w:tcPr>
            <w:tcW w:w="0" w:type="auto"/>
          </w:tcPr>
          <w:p w14:paraId="35E4517E" w14:textId="77777777" w:rsidR="004E4CC2" w:rsidRDefault="004E4CC2">
            <w:pPr>
              <w:pStyle w:val="Compact"/>
            </w:pPr>
          </w:p>
        </w:tc>
      </w:tr>
      <w:tr w:rsidR="004E4CC2" w14:paraId="64BD529F" w14:textId="77777777">
        <w:tc>
          <w:tcPr>
            <w:tcW w:w="0" w:type="auto"/>
          </w:tcPr>
          <w:p w14:paraId="76423176" w14:textId="77777777" w:rsidR="004E4CC2" w:rsidRDefault="00000000">
            <w:pPr>
              <w:pStyle w:val="Compact"/>
            </w:pPr>
            <w:r>
              <w:t>EFH_1G</w:t>
            </w:r>
          </w:p>
        </w:tc>
        <w:tc>
          <w:tcPr>
            <w:tcW w:w="0" w:type="auto"/>
          </w:tcPr>
          <w:p w14:paraId="6470685D" w14:textId="77777777" w:rsidR="004E4CC2" w:rsidRDefault="00000000">
            <w:pPr>
              <w:pStyle w:val="Compact"/>
            </w:pPr>
            <w:r>
              <w:t>4564.515885</w:t>
            </w:r>
          </w:p>
        </w:tc>
        <w:tc>
          <w:tcPr>
            <w:tcW w:w="0" w:type="auto"/>
          </w:tcPr>
          <w:p w14:paraId="47609239" w14:textId="77777777" w:rsidR="004E4CC2" w:rsidRDefault="00000000">
            <w:pPr>
              <w:pStyle w:val="Compact"/>
            </w:pPr>
            <w:r>
              <w:t>7984.573792</w:t>
            </w:r>
          </w:p>
        </w:tc>
        <w:tc>
          <w:tcPr>
            <w:tcW w:w="0" w:type="auto"/>
          </w:tcPr>
          <w:p w14:paraId="5ED677C3" w14:textId="77777777" w:rsidR="004E4CC2" w:rsidRDefault="00000000">
            <w:pPr>
              <w:pStyle w:val="Compact"/>
            </w:pPr>
            <w:r>
              <w:t>3420.057907</w:t>
            </w:r>
          </w:p>
        </w:tc>
      </w:tr>
      <w:tr w:rsidR="004E4CC2" w14:paraId="4A4FA6A8" w14:textId="77777777">
        <w:tc>
          <w:tcPr>
            <w:tcW w:w="0" w:type="auto"/>
          </w:tcPr>
          <w:p w14:paraId="4E179559" w14:textId="77777777" w:rsidR="004E4CC2" w:rsidRDefault="00000000">
            <w:pPr>
              <w:pStyle w:val="Compact"/>
            </w:pPr>
            <w:r>
              <w:t>EFH_2G</w:t>
            </w:r>
          </w:p>
        </w:tc>
        <w:tc>
          <w:tcPr>
            <w:tcW w:w="0" w:type="auto"/>
          </w:tcPr>
          <w:p w14:paraId="79C94D46" w14:textId="77777777" w:rsidR="004E4CC2" w:rsidRDefault="00000000">
            <w:pPr>
              <w:pStyle w:val="Compact"/>
            </w:pPr>
            <w:r>
              <w:t>5952.983278</w:t>
            </w:r>
          </w:p>
        </w:tc>
        <w:tc>
          <w:tcPr>
            <w:tcW w:w="0" w:type="auto"/>
          </w:tcPr>
          <w:p w14:paraId="3AA65D62" w14:textId="77777777" w:rsidR="004E4CC2" w:rsidRDefault="00000000">
            <w:pPr>
              <w:pStyle w:val="Compact"/>
            </w:pPr>
            <w:r>
              <w:t>5772.806937</w:t>
            </w:r>
          </w:p>
        </w:tc>
        <w:tc>
          <w:tcPr>
            <w:tcW w:w="0" w:type="auto"/>
          </w:tcPr>
          <w:p w14:paraId="1B594242" w14:textId="77777777" w:rsidR="004E4CC2" w:rsidRDefault="00000000">
            <w:pPr>
              <w:pStyle w:val="Compact"/>
            </w:pPr>
            <w:r>
              <w:t>-180.176341</w:t>
            </w:r>
          </w:p>
        </w:tc>
      </w:tr>
      <w:tr w:rsidR="004E4CC2" w14:paraId="71BAC411" w14:textId="77777777">
        <w:tc>
          <w:tcPr>
            <w:tcW w:w="0" w:type="auto"/>
          </w:tcPr>
          <w:p w14:paraId="6CB95C36" w14:textId="77777777" w:rsidR="004E4CC2" w:rsidRDefault="00000000">
            <w:pPr>
              <w:pStyle w:val="Compact"/>
            </w:pPr>
            <w:r>
              <w:t>GWB_5G</w:t>
            </w:r>
          </w:p>
        </w:tc>
        <w:tc>
          <w:tcPr>
            <w:tcW w:w="0" w:type="auto"/>
          </w:tcPr>
          <w:p w14:paraId="1E137403" w14:textId="77777777" w:rsidR="004E4CC2" w:rsidRDefault="00000000">
            <w:pPr>
              <w:pStyle w:val="Compact"/>
            </w:pPr>
            <w:r>
              <w:t>1070.918526</w:t>
            </w:r>
          </w:p>
        </w:tc>
        <w:tc>
          <w:tcPr>
            <w:tcW w:w="0" w:type="auto"/>
          </w:tcPr>
          <w:p w14:paraId="6B565C3F" w14:textId="77777777" w:rsidR="004E4CC2" w:rsidRDefault="00000000">
            <w:pPr>
              <w:pStyle w:val="Compact"/>
            </w:pPr>
            <w:r>
              <w:t>486.713588</w:t>
            </w:r>
          </w:p>
        </w:tc>
        <w:tc>
          <w:tcPr>
            <w:tcW w:w="0" w:type="auto"/>
          </w:tcPr>
          <w:p w14:paraId="6B1DCFD3" w14:textId="77777777" w:rsidR="004E4CC2" w:rsidRDefault="00000000">
            <w:pPr>
              <w:pStyle w:val="Compact"/>
            </w:pPr>
            <w:r>
              <w:t>-584.204938</w:t>
            </w:r>
          </w:p>
        </w:tc>
      </w:tr>
      <w:tr w:rsidR="004E4CC2" w14:paraId="17B4218A" w14:textId="77777777">
        <w:tc>
          <w:tcPr>
            <w:tcW w:w="0" w:type="auto"/>
          </w:tcPr>
          <w:p w14:paraId="2500A81A" w14:textId="77777777" w:rsidR="004E4CC2" w:rsidRDefault="00000000">
            <w:pPr>
              <w:pStyle w:val="Compact"/>
            </w:pPr>
            <w:r>
              <w:t>GWB_7G</w:t>
            </w:r>
          </w:p>
        </w:tc>
        <w:tc>
          <w:tcPr>
            <w:tcW w:w="0" w:type="auto"/>
          </w:tcPr>
          <w:p w14:paraId="253DC4E3" w14:textId="77777777" w:rsidR="004E4CC2" w:rsidRDefault="00000000">
            <w:pPr>
              <w:pStyle w:val="Compact"/>
            </w:pPr>
            <w:r>
              <w:t>2163.824067</w:t>
            </w:r>
          </w:p>
        </w:tc>
        <w:tc>
          <w:tcPr>
            <w:tcW w:w="0" w:type="auto"/>
          </w:tcPr>
          <w:p w14:paraId="4DB71154" w14:textId="77777777" w:rsidR="004E4CC2" w:rsidRDefault="00000000">
            <w:pPr>
              <w:pStyle w:val="Compact"/>
            </w:pPr>
            <w:r>
              <w:t>714.677751</w:t>
            </w:r>
          </w:p>
        </w:tc>
        <w:tc>
          <w:tcPr>
            <w:tcW w:w="0" w:type="auto"/>
          </w:tcPr>
          <w:p w14:paraId="0320ADB1" w14:textId="77777777" w:rsidR="004E4CC2" w:rsidRDefault="00000000">
            <w:pPr>
              <w:pStyle w:val="Compact"/>
            </w:pPr>
            <w:r>
              <w:t>-1449.146316</w:t>
            </w:r>
          </w:p>
        </w:tc>
      </w:tr>
      <w:tr w:rsidR="004E4CC2" w14:paraId="70998FF1" w14:textId="77777777">
        <w:tc>
          <w:tcPr>
            <w:tcW w:w="0" w:type="auto"/>
          </w:tcPr>
          <w:p w14:paraId="7477747D" w14:textId="77777777" w:rsidR="004E4CC2" w:rsidRDefault="00000000">
            <w:pPr>
              <w:pStyle w:val="Compact"/>
            </w:pPr>
            <w:r>
              <w:t>MFH_2G</w:t>
            </w:r>
          </w:p>
        </w:tc>
        <w:tc>
          <w:tcPr>
            <w:tcW w:w="0" w:type="auto"/>
          </w:tcPr>
          <w:p w14:paraId="25BCC996" w14:textId="77777777" w:rsidR="004E4CC2" w:rsidRDefault="00000000">
            <w:pPr>
              <w:pStyle w:val="Compact"/>
            </w:pPr>
            <w:r>
              <w:t>0.000000</w:t>
            </w:r>
          </w:p>
        </w:tc>
        <w:tc>
          <w:tcPr>
            <w:tcW w:w="0" w:type="auto"/>
          </w:tcPr>
          <w:p w14:paraId="568E41CD" w14:textId="77777777" w:rsidR="004E4CC2" w:rsidRDefault="00000000">
            <w:pPr>
              <w:pStyle w:val="Compact"/>
            </w:pPr>
            <w:r>
              <w:t>0.000000</w:t>
            </w:r>
          </w:p>
        </w:tc>
        <w:tc>
          <w:tcPr>
            <w:tcW w:w="0" w:type="auto"/>
          </w:tcPr>
          <w:p w14:paraId="2A7F4C29" w14:textId="77777777" w:rsidR="004E4CC2" w:rsidRDefault="00000000">
            <w:pPr>
              <w:pStyle w:val="Compact"/>
            </w:pPr>
            <w:r>
              <w:t>0.000000</w:t>
            </w:r>
          </w:p>
        </w:tc>
      </w:tr>
      <w:tr w:rsidR="004E4CC2" w14:paraId="1E0D42EF" w14:textId="77777777">
        <w:tc>
          <w:tcPr>
            <w:tcW w:w="0" w:type="auto"/>
          </w:tcPr>
          <w:p w14:paraId="4E340297" w14:textId="77777777" w:rsidR="004E4CC2" w:rsidRDefault="00000000">
            <w:pPr>
              <w:pStyle w:val="Compact"/>
            </w:pPr>
            <w:r>
              <w:t>MFH_4G</w:t>
            </w:r>
          </w:p>
        </w:tc>
        <w:tc>
          <w:tcPr>
            <w:tcW w:w="0" w:type="auto"/>
          </w:tcPr>
          <w:p w14:paraId="3C544661" w14:textId="77777777" w:rsidR="004E4CC2" w:rsidRDefault="00000000">
            <w:pPr>
              <w:pStyle w:val="Compact"/>
            </w:pPr>
            <w:r>
              <w:t>1739.211896</w:t>
            </w:r>
          </w:p>
        </w:tc>
        <w:tc>
          <w:tcPr>
            <w:tcW w:w="0" w:type="auto"/>
          </w:tcPr>
          <w:p w14:paraId="081CC3D2" w14:textId="77777777" w:rsidR="004E4CC2" w:rsidRDefault="00000000">
            <w:pPr>
              <w:pStyle w:val="Compact"/>
            </w:pPr>
            <w:r>
              <w:t>1003.271527</w:t>
            </w:r>
          </w:p>
        </w:tc>
        <w:tc>
          <w:tcPr>
            <w:tcW w:w="0" w:type="auto"/>
          </w:tcPr>
          <w:p w14:paraId="5290F4D4" w14:textId="77777777" w:rsidR="004E4CC2" w:rsidRDefault="00000000">
            <w:pPr>
              <w:pStyle w:val="Compact"/>
            </w:pPr>
            <w:r>
              <w:t>-735.940369</w:t>
            </w:r>
          </w:p>
        </w:tc>
      </w:tr>
      <w:tr w:rsidR="004E4CC2" w14:paraId="1D88C471" w14:textId="77777777">
        <w:tc>
          <w:tcPr>
            <w:tcW w:w="0" w:type="auto"/>
          </w:tcPr>
          <w:p w14:paraId="7DCD7D19" w14:textId="77777777" w:rsidR="004E4CC2" w:rsidRDefault="00000000">
            <w:pPr>
              <w:pStyle w:val="Compact"/>
            </w:pPr>
            <w:r>
              <w:t>NiWo_1G</w:t>
            </w:r>
          </w:p>
        </w:tc>
        <w:tc>
          <w:tcPr>
            <w:tcW w:w="0" w:type="auto"/>
          </w:tcPr>
          <w:p w14:paraId="4F4523B7" w14:textId="77777777" w:rsidR="004E4CC2" w:rsidRDefault="00000000">
            <w:pPr>
              <w:pStyle w:val="Compact"/>
            </w:pPr>
            <w:r>
              <w:t>2188.125328</w:t>
            </w:r>
          </w:p>
        </w:tc>
        <w:tc>
          <w:tcPr>
            <w:tcW w:w="0" w:type="auto"/>
          </w:tcPr>
          <w:p w14:paraId="2A77F23B" w14:textId="77777777" w:rsidR="004E4CC2" w:rsidRDefault="00000000">
            <w:pPr>
              <w:pStyle w:val="Compact"/>
            </w:pPr>
            <w:r>
              <w:t>0.000000</w:t>
            </w:r>
          </w:p>
        </w:tc>
        <w:tc>
          <w:tcPr>
            <w:tcW w:w="0" w:type="auto"/>
          </w:tcPr>
          <w:p w14:paraId="5694979A" w14:textId="77777777" w:rsidR="004E4CC2" w:rsidRDefault="00000000">
            <w:pPr>
              <w:pStyle w:val="Compact"/>
            </w:pPr>
            <w:r>
              <w:t>-2188.125328</w:t>
            </w:r>
          </w:p>
        </w:tc>
      </w:tr>
      <w:tr w:rsidR="004E4CC2" w14:paraId="42E44A97" w14:textId="77777777">
        <w:tc>
          <w:tcPr>
            <w:tcW w:w="0" w:type="auto"/>
          </w:tcPr>
          <w:p w14:paraId="22E4E032" w14:textId="77777777" w:rsidR="004E4CC2" w:rsidRDefault="00000000">
            <w:pPr>
              <w:pStyle w:val="Compact"/>
            </w:pPr>
            <w:r>
              <w:t>NiWo_2G</w:t>
            </w:r>
          </w:p>
        </w:tc>
        <w:tc>
          <w:tcPr>
            <w:tcW w:w="0" w:type="auto"/>
          </w:tcPr>
          <w:p w14:paraId="41799A08" w14:textId="77777777" w:rsidR="004E4CC2" w:rsidRDefault="00000000">
            <w:pPr>
              <w:pStyle w:val="Compact"/>
            </w:pPr>
            <w:r>
              <w:t>4909.958277</w:t>
            </w:r>
          </w:p>
        </w:tc>
        <w:tc>
          <w:tcPr>
            <w:tcW w:w="0" w:type="auto"/>
          </w:tcPr>
          <w:p w14:paraId="711703C3" w14:textId="77777777" w:rsidR="004E4CC2" w:rsidRDefault="00000000">
            <w:pPr>
              <w:pStyle w:val="Compact"/>
            </w:pPr>
            <w:r>
              <w:t>0.000000</w:t>
            </w:r>
          </w:p>
        </w:tc>
        <w:tc>
          <w:tcPr>
            <w:tcW w:w="0" w:type="auto"/>
          </w:tcPr>
          <w:p w14:paraId="1AF84E65" w14:textId="77777777" w:rsidR="004E4CC2" w:rsidRDefault="00000000">
            <w:pPr>
              <w:pStyle w:val="Compact"/>
            </w:pPr>
            <w:r>
              <w:t>-4909.958277</w:t>
            </w:r>
          </w:p>
        </w:tc>
      </w:tr>
      <w:tr w:rsidR="004E4CC2" w14:paraId="1D764892" w14:textId="77777777">
        <w:tc>
          <w:tcPr>
            <w:tcW w:w="0" w:type="auto"/>
          </w:tcPr>
          <w:p w14:paraId="4B0E4AC9" w14:textId="77777777" w:rsidR="004E4CC2" w:rsidRDefault="00000000">
            <w:pPr>
              <w:pStyle w:val="Compact"/>
            </w:pPr>
            <w:r>
              <w:t>NiWo_3G</w:t>
            </w:r>
          </w:p>
        </w:tc>
        <w:tc>
          <w:tcPr>
            <w:tcW w:w="0" w:type="auto"/>
          </w:tcPr>
          <w:p w14:paraId="7E57E93E" w14:textId="77777777" w:rsidR="004E4CC2" w:rsidRDefault="00000000">
            <w:pPr>
              <w:pStyle w:val="Compact"/>
            </w:pPr>
            <w:r>
              <w:t>9906.846278</w:t>
            </w:r>
          </w:p>
        </w:tc>
        <w:tc>
          <w:tcPr>
            <w:tcW w:w="0" w:type="auto"/>
          </w:tcPr>
          <w:p w14:paraId="0D9BE2C4" w14:textId="77777777" w:rsidR="004E4CC2" w:rsidRDefault="00000000">
            <w:pPr>
              <w:pStyle w:val="Compact"/>
            </w:pPr>
            <w:r>
              <w:t>0.000000</w:t>
            </w:r>
          </w:p>
        </w:tc>
        <w:tc>
          <w:tcPr>
            <w:tcW w:w="0" w:type="auto"/>
          </w:tcPr>
          <w:p w14:paraId="30573AC4" w14:textId="77777777" w:rsidR="004E4CC2" w:rsidRDefault="00000000">
            <w:pPr>
              <w:pStyle w:val="Compact"/>
            </w:pPr>
            <w:r>
              <w:t>-9906.846278</w:t>
            </w:r>
          </w:p>
        </w:tc>
      </w:tr>
      <w:tr w:rsidR="004E4CC2" w14:paraId="7A46E246" w14:textId="77777777">
        <w:tc>
          <w:tcPr>
            <w:tcW w:w="0" w:type="auto"/>
          </w:tcPr>
          <w:p w14:paraId="5DCADAEF" w14:textId="77777777" w:rsidR="004E4CC2" w:rsidRDefault="00000000">
            <w:pPr>
              <w:pStyle w:val="Compact"/>
            </w:pPr>
            <w:r>
              <w:t>RH_2G</w:t>
            </w:r>
          </w:p>
        </w:tc>
        <w:tc>
          <w:tcPr>
            <w:tcW w:w="0" w:type="auto"/>
          </w:tcPr>
          <w:p w14:paraId="4A3DF11E" w14:textId="77777777" w:rsidR="004E4CC2" w:rsidRDefault="00000000">
            <w:pPr>
              <w:pStyle w:val="Compact"/>
            </w:pPr>
            <w:r>
              <w:t>5696.188719</w:t>
            </w:r>
          </w:p>
        </w:tc>
        <w:tc>
          <w:tcPr>
            <w:tcW w:w="0" w:type="auto"/>
          </w:tcPr>
          <w:p w14:paraId="4557F420" w14:textId="77777777" w:rsidR="004E4CC2" w:rsidRDefault="00000000">
            <w:pPr>
              <w:pStyle w:val="Compact"/>
            </w:pPr>
            <w:r>
              <w:t>5772.806937</w:t>
            </w:r>
          </w:p>
        </w:tc>
        <w:tc>
          <w:tcPr>
            <w:tcW w:w="0" w:type="auto"/>
          </w:tcPr>
          <w:p w14:paraId="5A3D3C80" w14:textId="77777777" w:rsidR="004E4CC2" w:rsidRDefault="00000000">
            <w:pPr>
              <w:pStyle w:val="Compact"/>
            </w:pPr>
            <w:r>
              <w:t>76.618218</w:t>
            </w:r>
          </w:p>
        </w:tc>
      </w:tr>
    </w:tbl>
    <w:p w14:paraId="0C63873A" w14:textId="77777777" w:rsidR="004E4CC2" w:rsidRDefault="00000000">
      <w:pPr>
        <w:pStyle w:val="berschrift2"/>
      </w:pPr>
      <w:bookmarkStart w:id="398" w:name="sec-gebaeude-endenergie"/>
      <w:bookmarkStart w:id="399" w:name="_Toc243681377"/>
      <w:bookmarkEnd w:id="394"/>
      <w:bookmarkEnd w:id="396"/>
      <w:r>
        <w:t>E.5 5. Endenergiebilanz nach Energieträgern und Anwendungen</w:t>
      </w:r>
      <w:bookmarkEnd w:id="399"/>
    </w:p>
    <w:p w14:paraId="61476FD8" w14:textId="77777777" w:rsidR="004E4CC2" w:rsidRDefault="00000000">
      <w:pPr>
        <w:pStyle w:val="FirstParagraph"/>
      </w:pPr>
      <w:r>
        <w:t xml:space="preserve">Die elektrische Heizung ist nicht die gesamte Wärmeversorgung. Die Quelle enthält Fernwärme, Erdgas, Biomasse und „other“. </w:t>
      </w:r>
      <w:r>
        <w:rPr>
          <w:b/>
          <w:bCs/>
        </w:rPr>
        <w:t xml:space="preserve">Öl wird aus </w:t>
      </w:r>
      <w:r>
        <w:rPr>
          <w:rStyle w:val="VerbatimChar"/>
          <w:b/>
          <w:bCs/>
        </w:rPr>
        <w:t>EUI_other</w:t>
      </w:r>
      <w:r>
        <w:rPr>
          <w:b/>
          <w:bCs/>
        </w:rPr>
        <w:t xml:space="preserve"> nur für Schlüssel mit Heizsystem </w:t>
      </w:r>
      <w:r>
        <w:rPr>
          <w:rStyle w:val="VerbatimChar"/>
          <w:b/>
          <w:bCs/>
        </w:rPr>
        <w:t>Oel</w:t>
      </w:r>
      <w:r>
        <w:rPr>
          <w:b/>
          <w:bCs/>
        </w:rPr>
        <w:t xml:space="preserve"> herausgelöst</w:t>
      </w:r>
      <w:r>
        <w:t xml:space="preserve">. Ein anderer „other“-Betrag bleibt sonstige thermische Endenergie. Die Anwendungsaufteilung stammt aus den zugehörigen </w:t>
      </w:r>
      <w:r>
        <w:rPr>
          <w:rStyle w:val="VerbatimChar"/>
        </w:rPr>
        <w:t>EUIh_*</w:t>
      </w:r>
      <w:r>
        <w:t xml:space="preserve">, </w:t>
      </w:r>
      <w:r>
        <w:rPr>
          <w:rStyle w:val="VerbatimChar"/>
        </w:rPr>
        <w:t>EUIdhw_*</w:t>
      </w:r>
      <w:r>
        <w:t xml:space="preserve"> und </w:t>
      </w:r>
      <w:r>
        <w:rPr>
          <w:rStyle w:val="VerbatimChar"/>
        </w:rPr>
        <w:t>EUIc_other</w:t>
      </w:r>
      <w:r>
        <w:t>-Spalten, nicht aus angenommenen Wirkungsgraden.</w:t>
      </w:r>
    </w:p>
    <w:p w14:paraId="0C9A9F04"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r>
                <m:rPr>
                  <m:sty m:val="p"/>
                </m:rPr>
                <w:rPr>
                  <w:rFonts w:ascii="Cambria Math" w:hAnsi="Cambria Math"/>
                </w:rPr>
                <m:t>,</m:t>
              </m:r>
              <m:r>
                <w:rPr>
                  <w:rFonts w:ascii="Cambria Math" w:hAnsi="Cambria Math"/>
                </w:rPr>
                <m:t>y</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NGF</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sub>
              </m:sSub>
            </m:e>
          </m:nary>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End</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el</m:t>
              </m:r>
              <m:r>
                <m:rPr>
                  <m:sty m:val="p"/>
                </m:rPr>
                <w:rPr>
                  <w:rFonts w:ascii="Cambria Math" w:hAnsi="Cambria Math"/>
                </w:rPr>
                <m:t>,</m:t>
              </m:r>
              <m:r>
                <w:rPr>
                  <w:rFonts w:ascii="Cambria Math" w:hAnsi="Cambria Math"/>
                </w:rPr>
                <m:t>y</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el</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m:t>
                  </m:r>
                  <m:r>
                    <m:rPr>
                      <m:sty m:val="p"/>
                    </m:rPr>
                    <w:rPr>
                      <w:rFonts w:ascii="Cambria Math" w:hAnsi="Cambria Math"/>
                    </w:rPr>
                    <m:t>,</m:t>
                  </m:r>
                  <m:r>
                    <w:rPr>
                      <w:rFonts w:ascii="Cambria Math" w:hAnsi="Cambria Math"/>
                    </w:rPr>
                    <m:t>y</m:t>
                  </m:r>
                </m:sub>
              </m:sSub>
            </m:e>
          </m:nary>
          <m:r>
            <m:rPr>
              <m:sty m:val="p"/>
            </m:rPr>
            <w:rPr>
              <w:rFonts w:ascii="Cambria Math" w:hAnsi="Cambria Math"/>
            </w:rPr>
            <m:t>.</m:t>
          </m:r>
        </m:oMath>
      </m:oMathPara>
    </w:p>
    <w:p w14:paraId="22D3255C" w14:textId="77777777" w:rsidR="004E4CC2" w:rsidRDefault="00000000">
      <w:pPr>
        <w:pStyle w:val="FirstParagraph"/>
      </w:pPr>
      <w:r>
        <w:t>Der Bruttostrombedarf enthält lokal genutzten PV-Strom. Die alternativ ausgewiesene externe Lieferung enthält nur Netzbezug plus thermische Energieträger. Umweltwärme ist in diesen gelieferten Trägerkennwerten nicht als zusätzliche Endenergielieferung enthalten; diese Abgrenzung ist beim Vergleich mit nationalen Statistiken zu beachten.</w:t>
      </w:r>
    </w:p>
    <w:p w14:paraId="194D0A26" w14:textId="77777777" w:rsidR="004E4CC2" w:rsidRDefault="00000000">
      <w:pPr>
        <w:pStyle w:val="SourceCode"/>
      </w:pPr>
      <w:r>
        <w:rPr>
          <w:rStyle w:val="NormalTok"/>
        </w:rPr>
        <w:t>carriers</w:t>
      </w:r>
      <w:r>
        <w:rPr>
          <w:rStyle w:val="OperatorTok"/>
        </w:rPr>
        <w:t>=</w:t>
      </w:r>
      <w:r>
        <w:rPr>
          <w:rStyle w:val="NormalTok"/>
        </w:rPr>
        <w:t>pd.DataFrame({</w:t>
      </w:r>
      <w:r>
        <w:rPr>
          <w:rStyle w:val="StringTok"/>
        </w:rPr>
        <w:t>'Strom (Bruttobedarf)'</w:t>
      </w:r>
      <w:r>
        <w:rPr>
          <w:rStyle w:val="NormalTok"/>
        </w:rPr>
        <w:t>:data.Strombedarf,</w:t>
      </w:r>
      <w:r>
        <w:rPr>
          <w:rStyle w:val="StringTok"/>
        </w:rPr>
        <w:t>'Fernwärme'</w:t>
      </w:r>
      <w:r>
        <w:rPr>
          <w:rStyle w:val="NormalTok"/>
        </w:rPr>
        <w:t>:data.EUI_district_heating,</w:t>
      </w:r>
      <w:r>
        <w:br/>
      </w:r>
      <w:r>
        <w:rPr>
          <w:rStyle w:val="NormalTok"/>
        </w:rPr>
        <w:lastRenderedPageBreak/>
        <w:t xml:space="preserve"> </w:t>
      </w:r>
      <w:r>
        <w:rPr>
          <w:rStyle w:val="StringTok"/>
        </w:rPr>
        <w:t>'Gas'</w:t>
      </w:r>
      <w:r>
        <w:rPr>
          <w:rStyle w:val="NormalTok"/>
        </w:rPr>
        <w:t>:data.EUI_natural_gas,</w:t>
      </w:r>
      <w:r>
        <w:rPr>
          <w:rStyle w:val="StringTok"/>
        </w:rPr>
        <w:t>'Biomasse'</w:t>
      </w:r>
      <w:r>
        <w:rPr>
          <w:rStyle w:val="NormalTok"/>
        </w:rPr>
        <w:t>:data.EUI_biomass,</w:t>
      </w:r>
      <w:r>
        <w:br/>
      </w:r>
      <w:r>
        <w:rPr>
          <w:rStyle w:val="NormalTok"/>
        </w:rPr>
        <w:t xml:space="preserve"> </w:t>
      </w:r>
      <w:r>
        <w:rPr>
          <w:rStyle w:val="StringTok"/>
        </w:rPr>
        <w:t>'Öl'</w:t>
      </w:r>
      <w:r>
        <w:rPr>
          <w:rStyle w:val="NormalTok"/>
        </w:rPr>
        <w:t>:data.EUI_other.where(data.Heizung.eq(</w:t>
      </w:r>
      <w:r>
        <w:rPr>
          <w:rStyle w:val="StringTok"/>
        </w:rPr>
        <w:t>'Oel'</w:t>
      </w:r>
      <w:r>
        <w:rPr>
          <w:rStyle w:val="NormalTok"/>
        </w:rPr>
        <w:t>),</w:t>
      </w:r>
      <w:r>
        <w:rPr>
          <w:rStyle w:val="DecValTok"/>
        </w:rPr>
        <w:t>0</w:t>
      </w:r>
      <w:r>
        <w:rPr>
          <w:rStyle w:val="NormalTok"/>
        </w:rPr>
        <w:t>),</w:t>
      </w:r>
      <w:r>
        <w:br/>
      </w:r>
      <w:r>
        <w:rPr>
          <w:rStyle w:val="NormalTok"/>
        </w:rPr>
        <w:t xml:space="preserve"> </w:t>
      </w:r>
      <w:r>
        <w:rPr>
          <w:rStyle w:val="StringTok"/>
        </w:rPr>
        <w:t>'Sonstige thermisch'</w:t>
      </w:r>
      <w:r>
        <w:rPr>
          <w:rStyle w:val="NormalTok"/>
        </w:rPr>
        <w:t>:data.EUI_other.where(</w:t>
      </w:r>
      <w:r>
        <w:rPr>
          <w:rStyle w:val="OperatorTok"/>
        </w:rPr>
        <w:t>~</w:t>
      </w:r>
      <w:r>
        <w:rPr>
          <w:rStyle w:val="NormalTok"/>
        </w:rPr>
        <w:t>data.Heizung.eq(</w:t>
      </w:r>
      <w:r>
        <w:rPr>
          <w:rStyle w:val="StringTok"/>
        </w:rPr>
        <w:t>'Oel'</w:t>
      </w:r>
      <w:r>
        <w:rPr>
          <w:rStyle w:val="NormalTok"/>
        </w:rPr>
        <w:t>),</w:t>
      </w:r>
      <w:r>
        <w:rPr>
          <w:rStyle w:val="DecValTok"/>
        </w:rPr>
        <w:t>0</w:t>
      </w:r>
      <w:r>
        <w:rPr>
          <w:rStyle w:val="NormalTok"/>
        </w:rPr>
        <w:t>)})</w:t>
      </w:r>
      <w:r>
        <w:br/>
      </w:r>
      <w:r>
        <w:rPr>
          <w:rStyle w:val="NormalTok"/>
        </w:rPr>
        <w:t>thermal_apps</w:t>
      </w:r>
      <w:r>
        <w:rPr>
          <w:rStyle w:val="OperatorTok"/>
        </w:rPr>
        <w:t>=</w:t>
      </w:r>
      <w:r>
        <w:rPr>
          <w:rStyle w:val="NormalTok"/>
        </w:rPr>
        <w:t>[]</w:t>
      </w:r>
      <w:r>
        <w:br/>
      </w:r>
      <w:r>
        <w:rPr>
          <w:rStyle w:val="ControlFlowTok"/>
        </w:rPr>
        <w:t>for</w:t>
      </w:r>
      <w:r>
        <w:rPr>
          <w:rStyle w:val="NormalTok"/>
        </w:rPr>
        <w:t xml:space="preserve"> carrier,suffix </w:t>
      </w:r>
      <w:r>
        <w:rPr>
          <w:rStyle w:val="KeywordTok"/>
        </w:rPr>
        <w:t>in</w:t>
      </w:r>
      <w:r>
        <w:rPr>
          <w:rStyle w:val="NormalTok"/>
        </w:rPr>
        <w:t xml:space="preserve"> [(</w:t>
      </w:r>
      <w:r>
        <w:rPr>
          <w:rStyle w:val="StringTok"/>
        </w:rPr>
        <w:t>'Fernwärme'</w:t>
      </w:r>
      <w:r>
        <w:rPr>
          <w:rStyle w:val="NormalTok"/>
        </w:rPr>
        <w:t>,</w:t>
      </w:r>
      <w:r>
        <w:rPr>
          <w:rStyle w:val="StringTok"/>
        </w:rPr>
        <w:t>'district_heating'</w:t>
      </w:r>
      <w:r>
        <w:rPr>
          <w:rStyle w:val="NormalTok"/>
        </w:rPr>
        <w:t>),(</w:t>
      </w:r>
      <w:r>
        <w:rPr>
          <w:rStyle w:val="StringTok"/>
        </w:rPr>
        <w:t>'Gas'</w:t>
      </w:r>
      <w:r>
        <w:rPr>
          <w:rStyle w:val="NormalTok"/>
        </w:rPr>
        <w:t>,</w:t>
      </w:r>
      <w:r>
        <w:rPr>
          <w:rStyle w:val="StringTok"/>
        </w:rPr>
        <w:t>'natural_gas'</w:t>
      </w:r>
      <w:r>
        <w:rPr>
          <w:rStyle w:val="NormalTok"/>
        </w:rPr>
        <w:t>),(</w:t>
      </w:r>
      <w:r>
        <w:rPr>
          <w:rStyle w:val="StringTok"/>
        </w:rPr>
        <w:t>'Biomasse'</w:t>
      </w:r>
      <w:r>
        <w:rPr>
          <w:rStyle w:val="NormalTok"/>
        </w:rPr>
        <w:t>,</w:t>
      </w:r>
      <w:r>
        <w:rPr>
          <w:rStyle w:val="StringTok"/>
        </w:rPr>
        <w:t>'biomass'</w:t>
      </w:r>
      <w:r>
        <w:rPr>
          <w:rStyle w:val="NormalTok"/>
        </w:rPr>
        <w:t>),(</w:t>
      </w:r>
      <w:r>
        <w:rPr>
          <w:rStyle w:val="StringTok"/>
        </w:rPr>
        <w:t>'Sonstige inkl. Öl'</w:t>
      </w:r>
      <w:r>
        <w:rPr>
          <w:rStyle w:val="NormalTok"/>
        </w:rPr>
        <w:t>,</w:t>
      </w:r>
      <w:r>
        <w:rPr>
          <w:rStyle w:val="StringTok"/>
        </w:rPr>
        <w:t>'other'</w:t>
      </w:r>
      <w:r>
        <w:rPr>
          <w:rStyle w:val="NormalTok"/>
        </w:rPr>
        <w:t>)]:</w:t>
      </w:r>
      <w:r>
        <w:br/>
      </w:r>
      <w:r>
        <w:rPr>
          <w:rStyle w:val="NormalTok"/>
        </w:rPr>
        <w:t xml:space="preserve">    comps</w:t>
      </w:r>
      <w:r>
        <w:rPr>
          <w:rStyle w:val="OperatorTok"/>
        </w:rPr>
        <w:t>=</w:t>
      </w:r>
      <w:r>
        <w:rPr>
          <w:rStyle w:val="NormalTok"/>
        </w:rPr>
        <w:t>{</w:t>
      </w:r>
      <w:r>
        <w:rPr>
          <w:rStyle w:val="StringTok"/>
        </w:rPr>
        <w:t>'Heizung'</w:t>
      </w:r>
      <w:r>
        <w:rPr>
          <w:rStyle w:val="NormalTok"/>
        </w:rPr>
        <w:t>:data[</w:t>
      </w:r>
      <w:r>
        <w:rPr>
          <w:rStyle w:val="StringTok"/>
        </w:rPr>
        <w:t>'EUIh_'</w:t>
      </w:r>
      <w:r>
        <w:rPr>
          <w:rStyle w:val="OperatorTok"/>
        </w:rPr>
        <w:t>+</w:t>
      </w:r>
      <w:r>
        <w:rPr>
          <w:rStyle w:val="NormalTok"/>
        </w:rPr>
        <w:t>suffix],</w:t>
      </w:r>
      <w:r>
        <w:rPr>
          <w:rStyle w:val="StringTok"/>
        </w:rPr>
        <w:t>'Warmwasser'</w:t>
      </w:r>
      <w:r>
        <w:rPr>
          <w:rStyle w:val="NormalTok"/>
        </w:rPr>
        <w:t>:data[</w:t>
      </w:r>
      <w:r>
        <w:rPr>
          <w:rStyle w:val="StringTok"/>
        </w:rPr>
        <w:t>'EUIdhw_'</w:t>
      </w:r>
      <w:r>
        <w:rPr>
          <w:rStyle w:val="OperatorTok"/>
        </w:rPr>
        <w:t>+</w:t>
      </w:r>
      <w:r>
        <w:rPr>
          <w:rStyle w:val="NormalTok"/>
        </w:rPr>
        <w:t>suffix]}</w:t>
      </w:r>
      <w:r>
        <w:br/>
      </w:r>
      <w:r>
        <w:rPr>
          <w:rStyle w:val="NormalTok"/>
        </w:rPr>
        <w:t xml:space="preserve">    </w:t>
      </w:r>
      <w:r>
        <w:rPr>
          <w:rStyle w:val="ControlFlowTok"/>
        </w:rPr>
        <w:t>if</w:t>
      </w:r>
      <w:r>
        <w:rPr>
          <w:rStyle w:val="NormalTok"/>
        </w:rPr>
        <w:t xml:space="preserve"> suffix</w:t>
      </w:r>
      <w:r>
        <w:rPr>
          <w:rStyle w:val="OperatorTok"/>
        </w:rPr>
        <w:t>==</w:t>
      </w:r>
      <w:r>
        <w:rPr>
          <w:rStyle w:val="StringTok"/>
        </w:rPr>
        <w:t>'other'</w:t>
      </w:r>
      <w:r>
        <w:rPr>
          <w:rStyle w:val="NormalTok"/>
        </w:rPr>
        <w:t>: comps[</w:t>
      </w:r>
      <w:r>
        <w:rPr>
          <w:rStyle w:val="StringTok"/>
        </w:rPr>
        <w:t>'Kühlung'</w:t>
      </w:r>
      <w:r>
        <w:rPr>
          <w:rStyle w:val="NormalTok"/>
        </w:rPr>
        <w:t>]</w:t>
      </w:r>
      <w:r>
        <w:rPr>
          <w:rStyle w:val="OperatorTok"/>
        </w:rPr>
        <w:t>=</w:t>
      </w:r>
      <w:r>
        <w:rPr>
          <w:rStyle w:val="NormalTok"/>
        </w:rPr>
        <w:t>data.EUIc_other</w:t>
      </w:r>
      <w:r>
        <w:br/>
      </w:r>
      <w:r>
        <w:rPr>
          <w:rStyle w:val="NormalTok"/>
        </w:rPr>
        <w:t xml:space="preserve">    np.testing.assert_allclose(</w:t>
      </w:r>
      <w:r>
        <w:rPr>
          <w:rStyle w:val="BuiltInTok"/>
        </w:rPr>
        <w:t>sum</w:t>
      </w:r>
      <w:r>
        <w:rPr>
          <w:rStyle w:val="NormalTok"/>
        </w:rPr>
        <w:t>(comps.values()),data[</w:t>
      </w:r>
      <w:r>
        <w:rPr>
          <w:rStyle w:val="StringTok"/>
        </w:rPr>
        <w:t>'EUI_'</w:t>
      </w:r>
      <w:r>
        <w:rPr>
          <w:rStyle w:val="OperatorTok"/>
        </w:rPr>
        <w:t>+</w:t>
      </w:r>
      <w:r>
        <w:rPr>
          <w:rStyle w:val="NormalTok"/>
        </w:rPr>
        <w:t>suffix],atol</w:t>
      </w:r>
      <w:r>
        <w:rPr>
          <w:rStyle w:val="OperatorTok"/>
        </w:rPr>
        <w:t>=</w:t>
      </w:r>
      <w:r>
        <w:rPr>
          <w:rStyle w:val="FloatTok"/>
        </w:rPr>
        <w:t>1e-7</w:t>
      </w:r>
      <w:r>
        <w:rPr>
          <w:rStyle w:val="NormalTok"/>
        </w:rPr>
        <w:t>)</w:t>
      </w:r>
      <w:r>
        <w:br/>
      </w:r>
      <w:r>
        <w:rPr>
          <w:rStyle w:val="NormalTok"/>
        </w:rPr>
        <w:t xml:space="preserve">    </w:t>
      </w:r>
      <w:r>
        <w:rPr>
          <w:rStyle w:val="ControlFlowTok"/>
        </w:rPr>
        <w:t>for</w:t>
      </w:r>
      <w:r>
        <w:rPr>
          <w:rStyle w:val="NormalTok"/>
        </w:rPr>
        <w:t xml:space="preserve"> app,series </w:t>
      </w:r>
      <w:r>
        <w:rPr>
          <w:rStyle w:val="KeywordTok"/>
        </w:rPr>
        <w:t>in</w:t>
      </w:r>
      <w:r>
        <w:rPr>
          <w:rStyle w:val="NormalTok"/>
        </w:rPr>
        <w:t xml:space="preserve"> comps.items():</w:t>
      </w:r>
      <w:r>
        <w:br/>
      </w:r>
      <w:r>
        <w:rPr>
          <w:rStyle w:val="NormalTok"/>
        </w:rPr>
        <w:t xml:space="preserve">        thermal_apps.append({</w:t>
      </w:r>
      <w:r>
        <w:rPr>
          <w:rStyle w:val="StringTok"/>
        </w:rPr>
        <w:t>'Träger'</w:t>
      </w:r>
      <w:r>
        <w:rPr>
          <w:rStyle w:val="NormalTok"/>
        </w:rPr>
        <w:t>:carrier,</w:t>
      </w:r>
      <w:r>
        <w:rPr>
          <w:rStyle w:val="StringTok"/>
        </w:rPr>
        <w:t>'Anwendung'</w:t>
      </w:r>
      <w:r>
        <w:rPr>
          <w:rStyle w:val="NormalTok"/>
        </w:rPr>
        <w:t>:app,</w:t>
      </w:r>
      <w:r>
        <w:rPr>
          <w:rStyle w:val="StringTok"/>
        </w:rPr>
        <w:t>'GWh/a'</w:t>
      </w:r>
      <w:r>
        <w:rPr>
          <w:rStyle w:val="NormalTok"/>
        </w:rPr>
        <w:t>:aggregate(series,data[</w:t>
      </w:r>
      <w:r>
        <w:rPr>
          <w:rStyle w:val="StringTok"/>
        </w:rPr>
        <w:t>'Nationale BGF 2040'</w:t>
      </w:r>
      <w:r>
        <w:rPr>
          <w:rStyle w:val="NormalTok"/>
        </w:rPr>
        <w:t>])[</w:t>
      </w:r>
      <w:r>
        <w:rPr>
          <w:rStyle w:val="StringTok"/>
        </w:rPr>
        <w:t>'kWh'</w:t>
      </w:r>
      <w:r>
        <w:rPr>
          <w:rStyle w:val="NormalTok"/>
        </w:rPr>
        <w:t>]</w:t>
      </w:r>
      <w:r>
        <w:rPr>
          <w:rStyle w:val="OperatorTok"/>
        </w:rPr>
        <w:t>/</w:t>
      </w:r>
      <w:r>
        <w:rPr>
          <w:rStyle w:val="FloatTok"/>
        </w:rPr>
        <w:t>1e6</w:t>
      </w:r>
      <w:r>
        <w:rPr>
          <w:rStyle w:val="NormalTok"/>
        </w:rPr>
        <w:t>})</w:t>
      </w:r>
      <w:r>
        <w:br/>
      </w:r>
      <w:r>
        <w:rPr>
          <w:rStyle w:val="NormalTok"/>
        </w:rPr>
        <w:t>display(pd.DataFrame(thermal_apps))</w:t>
      </w:r>
      <w:r>
        <w:br/>
      </w:r>
      <w:r>
        <w:rPr>
          <w:rStyle w:val="NormalTok"/>
        </w:rPr>
        <w:t>ee</w:t>
      </w:r>
      <w:r>
        <w:rPr>
          <w:rStyle w:val="OperatorTok"/>
        </w:rPr>
        <w:t>=</w:t>
      </w:r>
      <w:r>
        <w:rPr>
          <w:rStyle w:val="NormalTok"/>
        </w:rPr>
        <w:t>[]</w:t>
      </w:r>
      <w:r>
        <w:br/>
      </w:r>
      <w:r>
        <w:rPr>
          <w:rStyle w:val="ControlFlowTok"/>
        </w:rPr>
        <w:t>for</w:t>
      </w:r>
      <w:r>
        <w:rPr>
          <w:rStyle w:val="NormalTok"/>
        </w:rPr>
        <w:t xml:space="preserve"> year,c </w:t>
      </w:r>
      <w:r>
        <w:rPr>
          <w:rStyle w:val="KeywordTok"/>
        </w:rPr>
        <w:t>in</w:t>
      </w:r>
      <w:r>
        <w:rPr>
          <w:rStyle w:val="NormalTok"/>
        </w:rPr>
        <w:t xml:space="preserve"> area_cols.items():</w:t>
      </w:r>
      <w:r>
        <w:br/>
      </w:r>
      <w:r>
        <w:rPr>
          <w:rStyle w:val="NormalTok"/>
        </w:rPr>
        <w:t xml:space="preserve">    </w:t>
      </w:r>
      <w:r>
        <w:rPr>
          <w:rStyle w:val="ControlFlowTok"/>
        </w:rPr>
        <w:t>for</w:t>
      </w:r>
      <w:r>
        <w:rPr>
          <w:rStyle w:val="NormalTok"/>
        </w:rPr>
        <w:t xml:space="preserve"> carrier </w:t>
      </w:r>
      <w:r>
        <w:rPr>
          <w:rStyle w:val="KeywordTok"/>
        </w:rPr>
        <w:t>in</w:t>
      </w:r>
      <w:r>
        <w:rPr>
          <w:rStyle w:val="NormalTok"/>
        </w:rPr>
        <w:t xml:space="preserve"> carriers:</w:t>
      </w:r>
      <w:r>
        <w:br/>
      </w:r>
      <w:r>
        <w:rPr>
          <w:rStyle w:val="NormalTok"/>
        </w:rPr>
        <w:t xml:space="preserve">        a</w:t>
      </w:r>
      <w:r>
        <w:rPr>
          <w:rStyle w:val="OperatorTok"/>
        </w:rPr>
        <w:t>=</w:t>
      </w:r>
      <w:r>
        <w:rPr>
          <w:rStyle w:val="NormalTok"/>
        </w:rPr>
        <w:t>aggregate(carriers[carrier],data[c])</w:t>
      </w:r>
      <w:r>
        <w:rPr>
          <w:rStyle w:val="OperatorTok"/>
        </w:rPr>
        <w:t>;</w:t>
      </w:r>
      <w:r>
        <w:rPr>
          <w:rStyle w:val="NormalTok"/>
        </w:rPr>
        <w:t>ee.append({</w:t>
      </w:r>
      <w:r>
        <w:rPr>
          <w:rStyle w:val="StringTok"/>
        </w:rPr>
        <w:t>'Stand'</w:t>
      </w:r>
      <w:r>
        <w:rPr>
          <w:rStyle w:val="NormalTok"/>
        </w:rPr>
        <w:t>:year,</w:t>
      </w:r>
      <w:r>
        <w:rPr>
          <w:rStyle w:val="StringTok"/>
        </w:rPr>
        <w:t>'Träger'</w:t>
      </w:r>
      <w:r>
        <w:rPr>
          <w:rStyle w:val="NormalTok"/>
        </w:rPr>
        <w:t>:carrier,</w:t>
      </w:r>
      <w:r>
        <w:br/>
      </w:r>
      <w:r>
        <w:rPr>
          <w:rStyle w:val="NormalTok"/>
        </w:rPr>
        <w:t xml:space="preserve">            </w:t>
      </w:r>
      <w:r>
        <w:rPr>
          <w:rStyle w:val="StringTok"/>
        </w:rPr>
        <w:t>'kWh/(m² NGF a)'</w:t>
      </w:r>
      <w:r>
        <w:rPr>
          <w:rStyle w:val="NormalTok"/>
        </w:rPr>
        <w:t>:a[</w:t>
      </w:r>
      <w:r>
        <w:rPr>
          <w:rStyle w:val="StringTok"/>
        </w:rPr>
        <w:t>'kWh'</w:t>
      </w:r>
      <w:r>
        <w:rPr>
          <w:rStyle w:val="NormalTok"/>
        </w:rPr>
        <w:t>]</w:t>
      </w:r>
      <w:r>
        <w:rPr>
          <w:rStyle w:val="OperatorTok"/>
        </w:rPr>
        <w:t>/</w:t>
      </w:r>
      <w:r>
        <w:rPr>
          <w:rStyle w:val="NormalTok"/>
        </w:rPr>
        <w:t>(data[c].</w:t>
      </w:r>
      <w:r>
        <w:rPr>
          <w:rStyle w:val="BuiltInTok"/>
        </w:rPr>
        <w:t>sum</w:t>
      </w:r>
      <w:r>
        <w:rPr>
          <w:rStyle w:val="NormalTok"/>
        </w:rPr>
        <w:t>(min_count</w:t>
      </w:r>
      <w:r>
        <w:rPr>
          <w:rStyle w:val="OperatorTok"/>
        </w:rPr>
        <w:t>=</w:t>
      </w:r>
      <w:r>
        <w:rPr>
          <w:rStyle w:val="DecValTok"/>
        </w:rPr>
        <w:t>1</w:t>
      </w:r>
      <w:r>
        <w:rPr>
          <w:rStyle w:val="NormalTok"/>
        </w:rPr>
        <w:t>)</w:t>
      </w:r>
      <w:r>
        <w:rPr>
          <w:rStyle w:val="OperatorTok"/>
        </w:rPr>
        <w:t>*</w:t>
      </w:r>
      <w:r>
        <w:rPr>
          <w:rStyle w:val="NormalTok"/>
        </w:rPr>
        <w:t>r),</w:t>
      </w:r>
      <w:r>
        <w:rPr>
          <w:rStyle w:val="StringTok"/>
        </w:rPr>
        <w:t>'GWh/a'</w:t>
      </w:r>
      <w:r>
        <w:rPr>
          <w:rStyle w:val="NormalTok"/>
        </w:rPr>
        <w:t>:a[</w:t>
      </w:r>
      <w:r>
        <w:rPr>
          <w:rStyle w:val="StringTok"/>
        </w:rPr>
        <w:t>'kWh'</w:t>
      </w:r>
      <w:r>
        <w:rPr>
          <w:rStyle w:val="NormalTok"/>
        </w:rPr>
        <w:t>]</w:t>
      </w:r>
      <w:r>
        <w:rPr>
          <w:rStyle w:val="OperatorTok"/>
        </w:rPr>
        <w:t>/</w:t>
      </w:r>
      <w:r>
        <w:rPr>
          <w:rStyle w:val="FloatTok"/>
        </w:rPr>
        <w:t>1e6</w:t>
      </w:r>
      <w:r>
        <w:rPr>
          <w:rStyle w:val="NormalTok"/>
        </w:rPr>
        <w:t>,</w:t>
      </w:r>
      <w:r>
        <w:rPr>
          <w:rStyle w:val="StringTok"/>
        </w:rPr>
        <w:t>'PJ/a'</w:t>
      </w:r>
      <w:r>
        <w:rPr>
          <w:rStyle w:val="NormalTok"/>
        </w:rPr>
        <w:t>:a[</w:t>
      </w:r>
      <w:r>
        <w:rPr>
          <w:rStyle w:val="StringTok"/>
        </w:rPr>
        <w:t>'kWh'</w:t>
      </w:r>
      <w:r>
        <w:rPr>
          <w:rStyle w:val="NormalTok"/>
        </w:rPr>
        <w:t>]</w:t>
      </w:r>
      <w:r>
        <w:rPr>
          <w:rStyle w:val="OperatorTok"/>
        </w:rPr>
        <w:t>*</w:t>
      </w:r>
      <w:r>
        <w:rPr>
          <w:rStyle w:val="FloatTok"/>
        </w:rPr>
        <w:t>3.6e-9</w:t>
      </w:r>
      <w:r>
        <w:rPr>
          <w:rStyle w:val="NormalTok"/>
        </w:rPr>
        <w:t>})</w:t>
      </w:r>
      <w:r>
        <w:br/>
      </w:r>
      <w:r>
        <w:rPr>
          <w:rStyle w:val="NormalTok"/>
        </w:rPr>
        <w:t>endenergy</w:t>
      </w:r>
      <w:r>
        <w:rPr>
          <w:rStyle w:val="OperatorTok"/>
        </w:rPr>
        <w:t>=</w:t>
      </w:r>
      <w:r>
        <w:rPr>
          <w:rStyle w:val="NormalTok"/>
        </w:rPr>
        <w:t>pd.DataFrame(ee)</w:t>
      </w:r>
      <w:r>
        <w:rPr>
          <w:rStyle w:val="OperatorTok"/>
        </w:rPr>
        <w:t>;</w:t>
      </w:r>
      <w:r>
        <w:rPr>
          <w:rStyle w:val="NormalTok"/>
        </w:rPr>
        <w:t>display(endenergy[endenergy.Stand.eq(</w:t>
      </w:r>
      <w:r>
        <w:rPr>
          <w:rStyle w:val="StringTok"/>
        </w:rPr>
        <w:t>'2040'</w:t>
      </w:r>
      <w:r>
        <w:rPr>
          <w:rStyle w:val="NormalTok"/>
        </w:rPr>
        <w:t>)])</w:t>
      </w:r>
      <w:r>
        <w:br/>
      </w:r>
      <w:r>
        <w:rPr>
          <w:rStyle w:val="NormalTok"/>
        </w:rPr>
        <w:t>endenergy.to_csv(OUT</w:t>
      </w:r>
      <w:r>
        <w:rPr>
          <w:rStyle w:val="OperatorTok"/>
        </w:rPr>
        <w:t>/</w:t>
      </w:r>
      <w:r>
        <w:rPr>
          <w:rStyle w:val="StringTok"/>
        </w:rPr>
        <w:t>'endenergiebilanz.csv'</w:t>
      </w:r>
      <w:r>
        <w:rPr>
          <w:rStyle w:val="NormalTok"/>
        </w:rPr>
        <w:t>,index</w:t>
      </w:r>
      <w:r>
        <w:rPr>
          <w:rStyle w:val="OperatorTok"/>
        </w:rPr>
        <w:t>=</w:t>
      </w:r>
      <w:r>
        <w:rPr>
          <w:rStyle w:val="VariableTok"/>
        </w:rPr>
        <w:t>False</w:t>
      </w:r>
      <w:r>
        <w:rPr>
          <w:rStyle w:val="NormalTok"/>
        </w:rPr>
        <w:t>)</w:t>
      </w:r>
      <w:r>
        <w:br/>
      </w:r>
      <w:r>
        <w:rPr>
          <w:rStyle w:val="NormalTok"/>
        </w:rPr>
        <w:t>pd.DataFrame(thermal_apps).to_csv(OUT</w:t>
      </w:r>
      <w:r>
        <w:rPr>
          <w:rStyle w:val="OperatorTok"/>
        </w:rPr>
        <w:t>/</w:t>
      </w:r>
      <w:r>
        <w:rPr>
          <w:rStyle w:val="StringTok"/>
        </w:rPr>
        <w:t>'thermische_anwendungen_2040.csv'</w:t>
      </w:r>
      <w:r>
        <w:rPr>
          <w:rStyle w:val="NormalTok"/>
        </w:rPr>
        <w:t>,index</w:t>
      </w:r>
      <w:r>
        <w:rPr>
          <w:rStyle w:val="OperatorTok"/>
        </w:rPr>
        <w:t>=</w:t>
      </w:r>
      <w:r>
        <w:rPr>
          <w:rStyle w:val="VariableTok"/>
        </w:rPr>
        <w:t>False</w:t>
      </w:r>
      <w:r>
        <w:rPr>
          <w:rStyle w:val="NormalTok"/>
        </w:rPr>
        <w:t>)</w:t>
      </w:r>
      <w:r>
        <w:br/>
      </w:r>
      <w:r>
        <w:rPr>
          <w:rStyle w:val="NormalTok"/>
        </w:rPr>
        <w:t>fig,ax</w:t>
      </w:r>
      <w:r>
        <w:rPr>
          <w:rStyle w:val="OperatorTok"/>
        </w:rPr>
        <w:t>=</w:t>
      </w:r>
      <w:r>
        <w:rPr>
          <w:rStyle w:val="NormalTok"/>
        </w:rPr>
        <w:t>plt.subplots(figsize</w:t>
      </w:r>
      <w:r>
        <w:rPr>
          <w:rStyle w:val="OperatorTok"/>
        </w:rPr>
        <w:t>=</w:t>
      </w:r>
      <w:r>
        <w:rPr>
          <w:rStyle w:val="NormalTok"/>
        </w:rPr>
        <w:t>(</w:t>
      </w:r>
      <w:r>
        <w:rPr>
          <w:rStyle w:val="DecValTok"/>
        </w:rPr>
        <w:t>8</w:t>
      </w:r>
      <w:r>
        <w:rPr>
          <w:rStyle w:val="NormalTok"/>
        </w:rPr>
        <w:t>,</w:t>
      </w:r>
      <w:r>
        <w:rPr>
          <w:rStyle w:val="DecValTok"/>
        </w:rPr>
        <w:t>4</w:t>
      </w:r>
      <w:r>
        <w:rPr>
          <w:rStyle w:val="NormalTok"/>
        </w:rPr>
        <w:t>))</w:t>
      </w:r>
      <w:r>
        <w:rPr>
          <w:rStyle w:val="OperatorTok"/>
        </w:rPr>
        <w:t>;</w:t>
      </w:r>
      <w:r>
        <w:rPr>
          <w:rStyle w:val="NormalTok"/>
        </w:rPr>
        <w:t>endenergy[endenergy.Stand.eq(</w:t>
      </w:r>
      <w:r>
        <w:rPr>
          <w:rStyle w:val="StringTok"/>
        </w:rPr>
        <w:t>'2040'</w:t>
      </w:r>
      <w:r>
        <w:rPr>
          <w:rStyle w:val="NormalTok"/>
        </w:rPr>
        <w:t>)].set_index(</w:t>
      </w:r>
      <w:r>
        <w:rPr>
          <w:rStyle w:val="StringTok"/>
        </w:rPr>
        <w:t>'Träger'</w:t>
      </w:r>
      <w:r>
        <w:rPr>
          <w:rStyle w:val="NormalTok"/>
        </w:rPr>
        <w:t>)[</w:t>
      </w:r>
      <w:r>
        <w:rPr>
          <w:rStyle w:val="StringTok"/>
        </w:rPr>
        <w:t>'PJ/a'</w:t>
      </w:r>
      <w:r>
        <w:rPr>
          <w:rStyle w:val="NormalTok"/>
        </w:rPr>
        <w:t>].plot.barh(ax</w:t>
      </w:r>
      <w:r>
        <w:rPr>
          <w:rStyle w:val="OperatorTok"/>
        </w:rPr>
        <w:t>=</w:t>
      </w:r>
      <w:r>
        <w:rPr>
          <w:rStyle w:val="NormalTok"/>
        </w:rPr>
        <w:t>ax,color</w:t>
      </w:r>
      <w:r>
        <w:rPr>
          <w:rStyle w:val="OperatorTok"/>
        </w:rPr>
        <w:t>=</w:t>
      </w:r>
      <w:r>
        <w:rPr>
          <w:rStyle w:val="NormalTok"/>
        </w:rPr>
        <w:t>[</w:t>
      </w:r>
      <w:r>
        <w:rPr>
          <w:rStyle w:val="StringTok"/>
        </w:rPr>
        <w:t>'#dfb42c'</w:t>
      </w:r>
      <w:r>
        <w:rPr>
          <w:rStyle w:val="NormalTok"/>
        </w:rPr>
        <w:t>,</w:t>
      </w:r>
      <w:r>
        <w:rPr>
          <w:rStyle w:val="StringTok"/>
        </w:rPr>
        <w:t>'#b85654'</w:t>
      </w:r>
      <w:r>
        <w:rPr>
          <w:rStyle w:val="NormalTok"/>
        </w:rPr>
        <w:t>,</w:t>
      </w:r>
      <w:r>
        <w:rPr>
          <w:rStyle w:val="StringTok"/>
        </w:rPr>
        <w:t>'#847d7a'</w:t>
      </w:r>
      <w:r>
        <w:rPr>
          <w:rStyle w:val="NormalTok"/>
        </w:rPr>
        <w:t>,</w:t>
      </w:r>
      <w:r>
        <w:rPr>
          <w:rStyle w:val="StringTok"/>
        </w:rPr>
        <w:t>'#527f4d'</w:t>
      </w:r>
      <w:r>
        <w:rPr>
          <w:rStyle w:val="NormalTok"/>
        </w:rPr>
        <w:t>,</w:t>
      </w:r>
      <w:r>
        <w:rPr>
          <w:rStyle w:val="StringTok"/>
        </w:rPr>
        <w:t>'#53545b'</w:t>
      </w:r>
      <w:r>
        <w:rPr>
          <w:rStyle w:val="NormalTok"/>
        </w:rPr>
        <w:t>,</w:t>
      </w:r>
      <w:r>
        <w:rPr>
          <w:rStyle w:val="StringTok"/>
        </w:rPr>
        <w:t>'#9b8c70'</w:t>
      </w:r>
      <w:r>
        <w:rPr>
          <w:rStyle w:val="NormalTok"/>
        </w:rPr>
        <w:t>])</w:t>
      </w:r>
      <w:r>
        <w:br/>
      </w:r>
      <w:r>
        <w:rPr>
          <w:rStyle w:val="NormalTok"/>
        </w:rPr>
        <w:t>ax.</w:t>
      </w:r>
      <w:r>
        <w:rPr>
          <w:rStyle w:val="BuiltInTok"/>
        </w:rPr>
        <w:t>set</w:t>
      </w:r>
      <w:r>
        <w:rPr>
          <w:rStyle w:val="NormalTok"/>
        </w:rPr>
        <w:t>(xlabel</w:t>
      </w:r>
      <w:r>
        <w:rPr>
          <w:rStyle w:val="OperatorTok"/>
        </w:rPr>
        <w:t>=</w:t>
      </w:r>
      <w:r>
        <w:rPr>
          <w:rStyle w:val="StringTok"/>
        </w:rPr>
        <w:t>'Jährliche Endenergie [PJ/a]'</w:t>
      </w:r>
      <w:r>
        <w:rPr>
          <w:rStyle w:val="NormalTok"/>
        </w:rPr>
        <w:t>,ylabel</w:t>
      </w:r>
      <w:r>
        <w:rPr>
          <w:rStyle w:val="OperatorTok"/>
        </w:rPr>
        <w:t>=</w:t>
      </w:r>
      <w:r>
        <w:rPr>
          <w:rStyle w:val="StringTok"/>
        </w:rPr>
        <w:t>''</w:t>
      </w:r>
      <w:r>
        <w:rPr>
          <w:rStyle w:val="NormalTok"/>
        </w:rPr>
        <w:t>)</w:t>
      </w:r>
      <w:r>
        <w:rPr>
          <w:rStyle w:val="OperatorTok"/>
        </w:rPr>
        <w:t>;</w:t>
      </w:r>
      <w:r>
        <w:rPr>
          <w:rStyle w:val="NormalTok"/>
        </w:rPr>
        <w:t>fig.tight_layout()</w:t>
      </w:r>
      <w:r>
        <w:rPr>
          <w:rStyle w:val="OperatorTok"/>
        </w:rPr>
        <w:t>;</w:t>
      </w:r>
      <w:r>
        <w:rPr>
          <w:rStyle w:val="NormalTok"/>
        </w:rPr>
        <w:t>fig.savefig(OUT</w:t>
      </w:r>
      <w:r>
        <w:rPr>
          <w:rStyle w:val="OperatorTok"/>
        </w:rPr>
        <w:t>/</w:t>
      </w:r>
      <w:r>
        <w:rPr>
          <w:rStyle w:val="StringTok"/>
        </w:rPr>
        <w:t>'endenergie.png'</w:t>
      </w:r>
      <w:r>
        <w:rPr>
          <w:rStyle w:val="NormalTok"/>
        </w:rPr>
        <w:t>,dpi</w:t>
      </w:r>
      <w:r>
        <w:rPr>
          <w:rStyle w:val="OperatorTok"/>
        </w:rPr>
        <w:t>=</w:t>
      </w:r>
      <w:r>
        <w:rPr>
          <w:rStyle w:val="DecValTok"/>
        </w:rPr>
        <w:t>180</w:t>
      </w:r>
      <w:r>
        <w:rPr>
          <w:rStyle w:val="NormalTok"/>
        </w:rPr>
        <w:t>)</w:t>
      </w:r>
      <w:r>
        <w:rPr>
          <w:rStyle w:val="OperatorTok"/>
        </w:rPr>
        <w:t>;</w:t>
      </w:r>
      <w:r>
        <w:rPr>
          <w:rStyle w:val="NormalTok"/>
        </w:rPr>
        <w:t>plt.show()</w:t>
      </w:r>
    </w:p>
    <w:tbl>
      <w:tblPr>
        <w:tblStyle w:val="Table"/>
        <w:tblW w:w="0" w:type="auto"/>
        <w:tblLook w:val="0020" w:firstRow="1" w:lastRow="0" w:firstColumn="0" w:lastColumn="0" w:noHBand="0" w:noVBand="0"/>
      </w:tblPr>
      <w:tblGrid>
        <w:gridCol w:w="473"/>
        <w:gridCol w:w="412"/>
        <w:gridCol w:w="412"/>
        <w:gridCol w:w="2359"/>
        <w:gridCol w:w="1878"/>
        <w:gridCol w:w="848"/>
        <w:gridCol w:w="848"/>
        <w:gridCol w:w="1695"/>
      </w:tblGrid>
      <w:tr w:rsidR="004E4CC2" w14:paraId="7F35A2A9"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3B8B1179" w14:textId="77777777" w:rsidR="004E4CC2" w:rsidRDefault="004E4CC2">
            <w:pPr>
              <w:pStyle w:val="Compact"/>
            </w:pPr>
          </w:p>
        </w:tc>
        <w:tc>
          <w:tcPr>
            <w:tcW w:w="0" w:type="auto"/>
            <w:gridSpan w:val="2"/>
          </w:tcPr>
          <w:p w14:paraId="612A153D" w14:textId="77777777" w:rsidR="004E4CC2" w:rsidRDefault="00000000">
            <w:pPr>
              <w:pStyle w:val="Compact"/>
            </w:pPr>
            <w:r>
              <w:t>Träger</w:t>
            </w:r>
          </w:p>
        </w:tc>
        <w:tc>
          <w:tcPr>
            <w:tcW w:w="0" w:type="auto"/>
            <w:gridSpan w:val="2"/>
          </w:tcPr>
          <w:p w14:paraId="267DAD8A" w14:textId="77777777" w:rsidR="004E4CC2" w:rsidRDefault="00000000">
            <w:pPr>
              <w:pStyle w:val="Compact"/>
            </w:pPr>
            <w:r>
              <w:t>Anwendung</w:t>
            </w:r>
          </w:p>
        </w:tc>
        <w:tc>
          <w:tcPr>
            <w:tcW w:w="0" w:type="auto"/>
            <w:gridSpan w:val="2"/>
          </w:tcPr>
          <w:p w14:paraId="3E773B95" w14:textId="77777777" w:rsidR="004E4CC2" w:rsidRDefault="00000000">
            <w:pPr>
              <w:pStyle w:val="Compact"/>
            </w:pPr>
            <w:r>
              <w:t>GWh/a</w:t>
            </w:r>
          </w:p>
        </w:tc>
      </w:tr>
      <w:tr w:rsidR="004E4CC2" w14:paraId="2ECEA3A3" w14:textId="77777777">
        <w:tc>
          <w:tcPr>
            <w:tcW w:w="0" w:type="auto"/>
            <w:gridSpan w:val="2"/>
          </w:tcPr>
          <w:p w14:paraId="47AE1DF0" w14:textId="77777777" w:rsidR="004E4CC2" w:rsidRDefault="00000000">
            <w:pPr>
              <w:pStyle w:val="Compact"/>
            </w:pPr>
            <w:r>
              <w:t>0</w:t>
            </w:r>
          </w:p>
        </w:tc>
        <w:tc>
          <w:tcPr>
            <w:tcW w:w="0" w:type="auto"/>
            <w:gridSpan w:val="2"/>
          </w:tcPr>
          <w:p w14:paraId="7DBF536E" w14:textId="77777777" w:rsidR="004E4CC2" w:rsidRDefault="00000000">
            <w:pPr>
              <w:pStyle w:val="Compact"/>
            </w:pPr>
            <w:r>
              <w:t>Fernwärme</w:t>
            </w:r>
          </w:p>
        </w:tc>
        <w:tc>
          <w:tcPr>
            <w:tcW w:w="0" w:type="auto"/>
            <w:gridSpan w:val="2"/>
          </w:tcPr>
          <w:p w14:paraId="2FF09B99" w14:textId="77777777" w:rsidR="004E4CC2" w:rsidRDefault="00000000">
            <w:pPr>
              <w:pStyle w:val="Compact"/>
            </w:pPr>
            <w:r>
              <w:t>Heizung</w:t>
            </w:r>
          </w:p>
        </w:tc>
        <w:tc>
          <w:tcPr>
            <w:tcW w:w="0" w:type="auto"/>
            <w:gridSpan w:val="2"/>
          </w:tcPr>
          <w:p w14:paraId="3C8E0124" w14:textId="77777777" w:rsidR="004E4CC2" w:rsidRDefault="00000000">
            <w:pPr>
              <w:pStyle w:val="Compact"/>
            </w:pPr>
            <w:r>
              <w:t>25469.010583</w:t>
            </w:r>
          </w:p>
        </w:tc>
      </w:tr>
      <w:tr w:rsidR="004E4CC2" w14:paraId="3301CCEE" w14:textId="77777777">
        <w:tc>
          <w:tcPr>
            <w:tcW w:w="0" w:type="auto"/>
            <w:gridSpan w:val="2"/>
          </w:tcPr>
          <w:p w14:paraId="48686AB9" w14:textId="77777777" w:rsidR="004E4CC2" w:rsidRDefault="00000000">
            <w:pPr>
              <w:pStyle w:val="Compact"/>
            </w:pPr>
            <w:r>
              <w:t>1</w:t>
            </w:r>
          </w:p>
        </w:tc>
        <w:tc>
          <w:tcPr>
            <w:tcW w:w="0" w:type="auto"/>
            <w:gridSpan w:val="2"/>
          </w:tcPr>
          <w:p w14:paraId="68D3121F" w14:textId="77777777" w:rsidR="004E4CC2" w:rsidRDefault="00000000">
            <w:pPr>
              <w:pStyle w:val="Compact"/>
            </w:pPr>
            <w:r>
              <w:t>Fernwärme</w:t>
            </w:r>
          </w:p>
        </w:tc>
        <w:tc>
          <w:tcPr>
            <w:tcW w:w="0" w:type="auto"/>
            <w:gridSpan w:val="2"/>
          </w:tcPr>
          <w:p w14:paraId="046B2414" w14:textId="77777777" w:rsidR="004E4CC2" w:rsidRDefault="00000000">
            <w:pPr>
              <w:pStyle w:val="Compact"/>
            </w:pPr>
            <w:r>
              <w:t>Warmwasser</w:t>
            </w:r>
          </w:p>
        </w:tc>
        <w:tc>
          <w:tcPr>
            <w:tcW w:w="0" w:type="auto"/>
            <w:gridSpan w:val="2"/>
          </w:tcPr>
          <w:p w14:paraId="1D53CD90" w14:textId="77777777" w:rsidR="004E4CC2" w:rsidRDefault="00000000">
            <w:pPr>
              <w:pStyle w:val="Compact"/>
            </w:pPr>
            <w:r>
              <w:t>2919.601453</w:t>
            </w:r>
          </w:p>
        </w:tc>
      </w:tr>
      <w:tr w:rsidR="004E4CC2" w14:paraId="03921EDC" w14:textId="77777777">
        <w:tc>
          <w:tcPr>
            <w:tcW w:w="0" w:type="auto"/>
            <w:gridSpan w:val="2"/>
          </w:tcPr>
          <w:p w14:paraId="671F821A" w14:textId="77777777" w:rsidR="004E4CC2" w:rsidRDefault="00000000">
            <w:pPr>
              <w:pStyle w:val="Compact"/>
            </w:pPr>
            <w:r>
              <w:t>2</w:t>
            </w:r>
          </w:p>
        </w:tc>
        <w:tc>
          <w:tcPr>
            <w:tcW w:w="0" w:type="auto"/>
            <w:gridSpan w:val="2"/>
          </w:tcPr>
          <w:p w14:paraId="3ECF0FC3" w14:textId="77777777" w:rsidR="004E4CC2" w:rsidRDefault="00000000">
            <w:pPr>
              <w:pStyle w:val="Compact"/>
            </w:pPr>
            <w:r>
              <w:t>Gas</w:t>
            </w:r>
          </w:p>
        </w:tc>
        <w:tc>
          <w:tcPr>
            <w:tcW w:w="0" w:type="auto"/>
            <w:gridSpan w:val="2"/>
          </w:tcPr>
          <w:p w14:paraId="289C9065" w14:textId="77777777" w:rsidR="004E4CC2" w:rsidRDefault="00000000">
            <w:pPr>
              <w:pStyle w:val="Compact"/>
            </w:pPr>
            <w:r>
              <w:t>Heizung</w:t>
            </w:r>
          </w:p>
        </w:tc>
        <w:tc>
          <w:tcPr>
            <w:tcW w:w="0" w:type="auto"/>
            <w:gridSpan w:val="2"/>
          </w:tcPr>
          <w:p w14:paraId="195C4364" w14:textId="77777777" w:rsidR="004E4CC2" w:rsidRDefault="00000000">
            <w:pPr>
              <w:pStyle w:val="Compact"/>
            </w:pPr>
            <w:r>
              <w:t>19758.732851</w:t>
            </w:r>
          </w:p>
        </w:tc>
      </w:tr>
      <w:tr w:rsidR="004E4CC2" w14:paraId="1EC96EAF" w14:textId="77777777">
        <w:tc>
          <w:tcPr>
            <w:tcW w:w="0" w:type="auto"/>
            <w:gridSpan w:val="2"/>
          </w:tcPr>
          <w:p w14:paraId="17B694FF" w14:textId="77777777" w:rsidR="004E4CC2" w:rsidRDefault="00000000">
            <w:pPr>
              <w:pStyle w:val="Compact"/>
            </w:pPr>
            <w:r>
              <w:t>3</w:t>
            </w:r>
          </w:p>
        </w:tc>
        <w:tc>
          <w:tcPr>
            <w:tcW w:w="0" w:type="auto"/>
            <w:gridSpan w:val="2"/>
          </w:tcPr>
          <w:p w14:paraId="527EC185" w14:textId="77777777" w:rsidR="004E4CC2" w:rsidRDefault="00000000">
            <w:pPr>
              <w:pStyle w:val="Compact"/>
            </w:pPr>
            <w:r>
              <w:t>Gas</w:t>
            </w:r>
          </w:p>
        </w:tc>
        <w:tc>
          <w:tcPr>
            <w:tcW w:w="0" w:type="auto"/>
            <w:gridSpan w:val="2"/>
          </w:tcPr>
          <w:p w14:paraId="63D2DEB6" w14:textId="77777777" w:rsidR="004E4CC2" w:rsidRDefault="00000000">
            <w:pPr>
              <w:pStyle w:val="Compact"/>
            </w:pPr>
            <w:r>
              <w:t>Warmwasser</w:t>
            </w:r>
          </w:p>
        </w:tc>
        <w:tc>
          <w:tcPr>
            <w:tcW w:w="0" w:type="auto"/>
            <w:gridSpan w:val="2"/>
          </w:tcPr>
          <w:p w14:paraId="2BB6CC54" w14:textId="77777777" w:rsidR="004E4CC2" w:rsidRDefault="00000000">
            <w:pPr>
              <w:pStyle w:val="Compact"/>
            </w:pPr>
            <w:r>
              <w:t>1539.236595</w:t>
            </w:r>
          </w:p>
        </w:tc>
      </w:tr>
      <w:tr w:rsidR="004E4CC2" w14:paraId="63B03A4C" w14:textId="77777777">
        <w:tc>
          <w:tcPr>
            <w:tcW w:w="0" w:type="auto"/>
            <w:gridSpan w:val="2"/>
          </w:tcPr>
          <w:p w14:paraId="30A803F2" w14:textId="77777777" w:rsidR="004E4CC2" w:rsidRDefault="00000000">
            <w:pPr>
              <w:pStyle w:val="Compact"/>
            </w:pPr>
            <w:r>
              <w:t>4</w:t>
            </w:r>
          </w:p>
        </w:tc>
        <w:tc>
          <w:tcPr>
            <w:tcW w:w="0" w:type="auto"/>
            <w:gridSpan w:val="2"/>
          </w:tcPr>
          <w:p w14:paraId="38AC229F" w14:textId="77777777" w:rsidR="004E4CC2" w:rsidRDefault="00000000">
            <w:pPr>
              <w:pStyle w:val="Compact"/>
            </w:pPr>
            <w:r>
              <w:t>Biomasse</w:t>
            </w:r>
          </w:p>
        </w:tc>
        <w:tc>
          <w:tcPr>
            <w:tcW w:w="0" w:type="auto"/>
            <w:gridSpan w:val="2"/>
          </w:tcPr>
          <w:p w14:paraId="3EB90115" w14:textId="77777777" w:rsidR="004E4CC2" w:rsidRDefault="00000000">
            <w:pPr>
              <w:pStyle w:val="Compact"/>
            </w:pPr>
            <w:r>
              <w:t>Heizung</w:t>
            </w:r>
          </w:p>
        </w:tc>
        <w:tc>
          <w:tcPr>
            <w:tcW w:w="0" w:type="auto"/>
            <w:gridSpan w:val="2"/>
          </w:tcPr>
          <w:p w14:paraId="5A6B5BDE" w14:textId="77777777" w:rsidR="004E4CC2" w:rsidRDefault="00000000">
            <w:pPr>
              <w:pStyle w:val="Compact"/>
            </w:pPr>
            <w:r>
              <w:t>17839.911366</w:t>
            </w:r>
          </w:p>
        </w:tc>
      </w:tr>
      <w:tr w:rsidR="004E4CC2" w14:paraId="0D228EE2" w14:textId="77777777">
        <w:tc>
          <w:tcPr>
            <w:tcW w:w="0" w:type="auto"/>
            <w:gridSpan w:val="2"/>
          </w:tcPr>
          <w:p w14:paraId="7AB96FF7" w14:textId="77777777" w:rsidR="004E4CC2" w:rsidRDefault="00000000">
            <w:pPr>
              <w:pStyle w:val="Compact"/>
            </w:pPr>
            <w:r>
              <w:t>5</w:t>
            </w:r>
          </w:p>
        </w:tc>
        <w:tc>
          <w:tcPr>
            <w:tcW w:w="0" w:type="auto"/>
            <w:gridSpan w:val="2"/>
          </w:tcPr>
          <w:p w14:paraId="37094853" w14:textId="77777777" w:rsidR="004E4CC2" w:rsidRDefault="00000000">
            <w:pPr>
              <w:pStyle w:val="Compact"/>
            </w:pPr>
            <w:r>
              <w:t>Biomasse</w:t>
            </w:r>
          </w:p>
        </w:tc>
        <w:tc>
          <w:tcPr>
            <w:tcW w:w="0" w:type="auto"/>
            <w:gridSpan w:val="2"/>
          </w:tcPr>
          <w:p w14:paraId="7A2859B6" w14:textId="77777777" w:rsidR="004E4CC2" w:rsidRDefault="00000000">
            <w:pPr>
              <w:pStyle w:val="Compact"/>
            </w:pPr>
            <w:r>
              <w:t>Warmwasser</w:t>
            </w:r>
          </w:p>
        </w:tc>
        <w:tc>
          <w:tcPr>
            <w:tcW w:w="0" w:type="auto"/>
            <w:gridSpan w:val="2"/>
          </w:tcPr>
          <w:p w14:paraId="790698D8" w14:textId="77777777" w:rsidR="004E4CC2" w:rsidRDefault="00000000">
            <w:pPr>
              <w:pStyle w:val="Compact"/>
            </w:pPr>
            <w:r>
              <w:t>1398.711472</w:t>
            </w:r>
          </w:p>
        </w:tc>
      </w:tr>
      <w:tr w:rsidR="004E4CC2" w14:paraId="2277E3B6" w14:textId="77777777">
        <w:tc>
          <w:tcPr>
            <w:tcW w:w="0" w:type="auto"/>
            <w:gridSpan w:val="2"/>
          </w:tcPr>
          <w:p w14:paraId="01D023AF" w14:textId="77777777" w:rsidR="004E4CC2" w:rsidRDefault="00000000">
            <w:pPr>
              <w:pStyle w:val="Compact"/>
            </w:pPr>
            <w:r>
              <w:t>6</w:t>
            </w:r>
          </w:p>
        </w:tc>
        <w:tc>
          <w:tcPr>
            <w:tcW w:w="0" w:type="auto"/>
            <w:gridSpan w:val="2"/>
          </w:tcPr>
          <w:p w14:paraId="28F5B12A" w14:textId="77777777" w:rsidR="004E4CC2" w:rsidRDefault="00000000">
            <w:pPr>
              <w:pStyle w:val="Compact"/>
            </w:pPr>
            <w:r>
              <w:t>Sonstige inkl. Öl</w:t>
            </w:r>
          </w:p>
        </w:tc>
        <w:tc>
          <w:tcPr>
            <w:tcW w:w="0" w:type="auto"/>
            <w:gridSpan w:val="2"/>
          </w:tcPr>
          <w:p w14:paraId="749A61C3" w14:textId="77777777" w:rsidR="004E4CC2" w:rsidRDefault="00000000">
            <w:pPr>
              <w:pStyle w:val="Compact"/>
            </w:pPr>
            <w:r>
              <w:t>Heizung</w:t>
            </w:r>
          </w:p>
        </w:tc>
        <w:tc>
          <w:tcPr>
            <w:tcW w:w="0" w:type="auto"/>
            <w:gridSpan w:val="2"/>
          </w:tcPr>
          <w:p w14:paraId="61A56DF3" w14:textId="77777777" w:rsidR="004E4CC2" w:rsidRDefault="00000000">
            <w:pPr>
              <w:pStyle w:val="Compact"/>
            </w:pPr>
            <w:r>
              <w:t>15341.777127</w:t>
            </w:r>
          </w:p>
        </w:tc>
      </w:tr>
      <w:tr w:rsidR="004E4CC2" w14:paraId="06871B70" w14:textId="77777777">
        <w:tc>
          <w:tcPr>
            <w:tcW w:w="0" w:type="auto"/>
            <w:gridSpan w:val="2"/>
          </w:tcPr>
          <w:p w14:paraId="6C678E30" w14:textId="77777777" w:rsidR="004E4CC2" w:rsidRDefault="00000000">
            <w:pPr>
              <w:pStyle w:val="Compact"/>
            </w:pPr>
            <w:r>
              <w:t>7</w:t>
            </w:r>
          </w:p>
        </w:tc>
        <w:tc>
          <w:tcPr>
            <w:tcW w:w="0" w:type="auto"/>
            <w:gridSpan w:val="2"/>
          </w:tcPr>
          <w:p w14:paraId="5BC6B5CE" w14:textId="77777777" w:rsidR="004E4CC2" w:rsidRDefault="00000000">
            <w:pPr>
              <w:pStyle w:val="Compact"/>
            </w:pPr>
            <w:r>
              <w:t>Sonstige inkl. Öl</w:t>
            </w:r>
          </w:p>
        </w:tc>
        <w:tc>
          <w:tcPr>
            <w:tcW w:w="0" w:type="auto"/>
            <w:gridSpan w:val="2"/>
          </w:tcPr>
          <w:p w14:paraId="71398F1A" w14:textId="77777777" w:rsidR="004E4CC2" w:rsidRDefault="00000000">
            <w:pPr>
              <w:pStyle w:val="Compact"/>
            </w:pPr>
            <w:r>
              <w:t>Warmwasser</w:t>
            </w:r>
          </w:p>
        </w:tc>
        <w:tc>
          <w:tcPr>
            <w:tcW w:w="0" w:type="auto"/>
            <w:gridSpan w:val="2"/>
          </w:tcPr>
          <w:p w14:paraId="4833CE88" w14:textId="77777777" w:rsidR="004E4CC2" w:rsidRDefault="00000000">
            <w:pPr>
              <w:pStyle w:val="Compact"/>
            </w:pPr>
            <w:r>
              <w:t>911.609076</w:t>
            </w:r>
          </w:p>
        </w:tc>
      </w:tr>
      <w:tr w:rsidR="004E4CC2" w14:paraId="4736BB9B" w14:textId="77777777">
        <w:tc>
          <w:tcPr>
            <w:tcW w:w="0" w:type="auto"/>
            <w:gridSpan w:val="2"/>
          </w:tcPr>
          <w:p w14:paraId="08345DF9" w14:textId="77777777" w:rsidR="004E4CC2" w:rsidRDefault="00000000">
            <w:pPr>
              <w:pStyle w:val="Compact"/>
            </w:pPr>
            <w:r>
              <w:t>8</w:t>
            </w:r>
          </w:p>
        </w:tc>
        <w:tc>
          <w:tcPr>
            <w:tcW w:w="0" w:type="auto"/>
            <w:gridSpan w:val="2"/>
          </w:tcPr>
          <w:p w14:paraId="5C05DB78" w14:textId="77777777" w:rsidR="004E4CC2" w:rsidRDefault="00000000">
            <w:pPr>
              <w:pStyle w:val="Compact"/>
            </w:pPr>
            <w:r>
              <w:t>Sonstige inkl. Öl</w:t>
            </w:r>
          </w:p>
        </w:tc>
        <w:tc>
          <w:tcPr>
            <w:tcW w:w="0" w:type="auto"/>
            <w:gridSpan w:val="2"/>
          </w:tcPr>
          <w:p w14:paraId="67C16568" w14:textId="77777777" w:rsidR="004E4CC2" w:rsidRDefault="00000000">
            <w:pPr>
              <w:pStyle w:val="Compact"/>
            </w:pPr>
            <w:r>
              <w:t>Kühlung</w:t>
            </w:r>
          </w:p>
        </w:tc>
        <w:tc>
          <w:tcPr>
            <w:tcW w:w="0" w:type="auto"/>
            <w:gridSpan w:val="2"/>
          </w:tcPr>
          <w:p w14:paraId="015C2652" w14:textId="77777777" w:rsidR="004E4CC2" w:rsidRDefault="00000000">
            <w:pPr>
              <w:pStyle w:val="Compact"/>
            </w:pPr>
            <w:r>
              <w:t>0.000000</w:t>
            </w:r>
          </w:p>
        </w:tc>
      </w:tr>
      <w:tr w:rsidR="004E4CC2" w14:paraId="1D7AA5BE" w14:textId="77777777" w:rsidTr="004E4CC2">
        <w:trPr>
          <w:tblHeader/>
        </w:trPr>
        <w:tc>
          <w:tcPr>
            <w:tcW w:w="0" w:type="auto"/>
          </w:tcPr>
          <w:p w14:paraId="19C7FC68" w14:textId="77777777" w:rsidR="004E4CC2" w:rsidRDefault="004E4CC2">
            <w:pPr>
              <w:pStyle w:val="Compact"/>
            </w:pPr>
          </w:p>
        </w:tc>
        <w:tc>
          <w:tcPr>
            <w:tcW w:w="0" w:type="auto"/>
            <w:gridSpan w:val="2"/>
          </w:tcPr>
          <w:p w14:paraId="282AF195" w14:textId="77777777" w:rsidR="004E4CC2" w:rsidRDefault="00000000">
            <w:pPr>
              <w:pStyle w:val="Compact"/>
            </w:pPr>
            <w:r>
              <w:t>Stand</w:t>
            </w:r>
          </w:p>
        </w:tc>
        <w:tc>
          <w:tcPr>
            <w:tcW w:w="0" w:type="auto"/>
          </w:tcPr>
          <w:p w14:paraId="1282A5C4" w14:textId="77777777" w:rsidR="004E4CC2" w:rsidRDefault="00000000">
            <w:pPr>
              <w:pStyle w:val="Compact"/>
            </w:pPr>
            <w:r>
              <w:t>Träger</w:t>
            </w:r>
          </w:p>
        </w:tc>
        <w:tc>
          <w:tcPr>
            <w:tcW w:w="0" w:type="auto"/>
          </w:tcPr>
          <w:p w14:paraId="391E125E" w14:textId="77777777" w:rsidR="004E4CC2" w:rsidRDefault="00000000">
            <w:pPr>
              <w:pStyle w:val="Compact"/>
            </w:pPr>
            <w:r>
              <w:t>kWh/(m² NGF a)</w:t>
            </w:r>
          </w:p>
        </w:tc>
        <w:tc>
          <w:tcPr>
            <w:tcW w:w="0" w:type="auto"/>
            <w:gridSpan w:val="2"/>
          </w:tcPr>
          <w:p w14:paraId="51B36289" w14:textId="77777777" w:rsidR="004E4CC2" w:rsidRDefault="00000000">
            <w:pPr>
              <w:pStyle w:val="Compact"/>
            </w:pPr>
            <w:r>
              <w:t>GWh/a</w:t>
            </w:r>
          </w:p>
        </w:tc>
        <w:tc>
          <w:tcPr>
            <w:tcW w:w="0" w:type="auto"/>
          </w:tcPr>
          <w:p w14:paraId="69D7F90F" w14:textId="77777777" w:rsidR="004E4CC2" w:rsidRDefault="00000000">
            <w:pPr>
              <w:pStyle w:val="Compact"/>
            </w:pPr>
            <w:r>
              <w:t>PJ/a</w:t>
            </w:r>
          </w:p>
        </w:tc>
      </w:tr>
      <w:tr w:rsidR="004E4CC2" w14:paraId="5C13FC47" w14:textId="77777777">
        <w:tc>
          <w:tcPr>
            <w:tcW w:w="0" w:type="auto"/>
          </w:tcPr>
          <w:p w14:paraId="05353614" w14:textId="77777777" w:rsidR="004E4CC2" w:rsidRDefault="00000000">
            <w:pPr>
              <w:pStyle w:val="Compact"/>
            </w:pPr>
            <w:r>
              <w:t>6</w:t>
            </w:r>
          </w:p>
        </w:tc>
        <w:tc>
          <w:tcPr>
            <w:tcW w:w="0" w:type="auto"/>
            <w:gridSpan w:val="2"/>
          </w:tcPr>
          <w:p w14:paraId="65685EC0" w14:textId="77777777" w:rsidR="004E4CC2" w:rsidRDefault="00000000">
            <w:pPr>
              <w:pStyle w:val="Compact"/>
            </w:pPr>
            <w:r>
              <w:t>2040</w:t>
            </w:r>
          </w:p>
        </w:tc>
        <w:tc>
          <w:tcPr>
            <w:tcW w:w="0" w:type="auto"/>
          </w:tcPr>
          <w:p w14:paraId="7007E282" w14:textId="77777777" w:rsidR="004E4CC2" w:rsidRDefault="00000000">
            <w:pPr>
              <w:pStyle w:val="Compact"/>
            </w:pPr>
            <w:r>
              <w:t>Strom (Bruttobedarf)</w:t>
            </w:r>
          </w:p>
        </w:tc>
        <w:tc>
          <w:tcPr>
            <w:tcW w:w="0" w:type="auto"/>
          </w:tcPr>
          <w:p w14:paraId="7989919B" w14:textId="77777777" w:rsidR="004E4CC2" w:rsidRDefault="00000000">
            <w:pPr>
              <w:pStyle w:val="Compact"/>
            </w:pPr>
            <w:r>
              <w:t>42.376726</w:t>
            </w:r>
          </w:p>
        </w:tc>
        <w:tc>
          <w:tcPr>
            <w:tcW w:w="0" w:type="auto"/>
            <w:gridSpan w:val="2"/>
          </w:tcPr>
          <w:p w14:paraId="2DA3D53B" w14:textId="77777777" w:rsidR="004E4CC2" w:rsidRDefault="00000000">
            <w:pPr>
              <w:pStyle w:val="Compact"/>
            </w:pPr>
            <w:r>
              <w:t>38192.572254</w:t>
            </w:r>
          </w:p>
        </w:tc>
        <w:tc>
          <w:tcPr>
            <w:tcW w:w="0" w:type="auto"/>
          </w:tcPr>
          <w:p w14:paraId="0137FDE5" w14:textId="77777777" w:rsidR="004E4CC2" w:rsidRDefault="00000000">
            <w:pPr>
              <w:pStyle w:val="Compact"/>
            </w:pPr>
            <w:r>
              <w:t>137.493260</w:t>
            </w:r>
          </w:p>
        </w:tc>
      </w:tr>
      <w:tr w:rsidR="004E4CC2" w14:paraId="57B03467" w14:textId="77777777">
        <w:tc>
          <w:tcPr>
            <w:tcW w:w="0" w:type="auto"/>
          </w:tcPr>
          <w:p w14:paraId="05C21194" w14:textId="77777777" w:rsidR="004E4CC2" w:rsidRDefault="00000000">
            <w:pPr>
              <w:pStyle w:val="Compact"/>
            </w:pPr>
            <w:r>
              <w:t>7</w:t>
            </w:r>
          </w:p>
        </w:tc>
        <w:tc>
          <w:tcPr>
            <w:tcW w:w="0" w:type="auto"/>
            <w:gridSpan w:val="2"/>
          </w:tcPr>
          <w:p w14:paraId="01291B48" w14:textId="77777777" w:rsidR="004E4CC2" w:rsidRDefault="00000000">
            <w:pPr>
              <w:pStyle w:val="Compact"/>
            </w:pPr>
            <w:r>
              <w:t>2040</w:t>
            </w:r>
          </w:p>
        </w:tc>
        <w:tc>
          <w:tcPr>
            <w:tcW w:w="0" w:type="auto"/>
          </w:tcPr>
          <w:p w14:paraId="21085BB2" w14:textId="77777777" w:rsidR="004E4CC2" w:rsidRDefault="00000000">
            <w:pPr>
              <w:pStyle w:val="Compact"/>
            </w:pPr>
            <w:r>
              <w:t>Fernwärme</w:t>
            </w:r>
          </w:p>
        </w:tc>
        <w:tc>
          <w:tcPr>
            <w:tcW w:w="0" w:type="auto"/>
          </w:tcPr>
          <w:p w14:paraId="58B27A87" w14:textId="77777777" w:rsidR="004E4CC2" w:rsidRDefault="00000000">
            <w:pPr>
              <w:pStyle w:val="Compact"/>
            </w:pPr>
            <w:r>
              <w:t>31.498702</w:t>
            </w:r>
          </w:p>
        </w:tc>
        <w:tc>
          <w:tcPr>
            <w:tcW w:w="0" w:type="auto"/>
            <w:gridSpan w:val="2"/>
          </w:tcPr>
          <w:p w14:paraId="52138198" w14:textId="77777777" w:rsidR="004E4CC2" w:rsidRDefault="00000000">
            <w:pPr>
              <w:pStyle w:val="Compact"/>
            </w:pPr>
            <w:r>
              <w:t>28388.612036</w:t>
            </w:r>
          </w:p>
        </w:tc>
        <w:tc>
          <w:tcPr>
            <w:tcW w:w="0" w:type="auto"/>
          </w:tcPr>
          <w:p w14:paraId="515F7FA1" w14:textId="77777777" w:rsidR="004E4CC2" w:rsidRDefault="00000000">
            <w:pPr>
              <w:pStyle w:val="Compact"/>
            </w:pPr>
            <w:r>
              <w:t>102.199003</w:t>
            </w:r>
          </w:p>
        </w:tc>
      </w:tr>
      <w:tr w:rsidR="004E4CC2" w14:paraId="514B8D9D" w14:textId="77777777">
        <w:tc>
          <w:tcPr>
            <w:tcW w:w="0" w:type="auto"/>
          </w:tcPr>
          <w:p w14:paraId="1DD7495C" w14:textId="77777777" w:rsidR="004E4CC2" w:rsidRDefault="00000000">
            <w:pPr>
              <w:pStyle w:val="Compact"/>
            </w:pPr>
            <w:r>
              <w:t>8</w:t>
            </w:r>
          </w:p>
        </w:tc>
        <w:tc>
          <w:tcPr>
            <w:tcW w:w="0" w:type="auto"/>
            <w:gridSpan w:val="2"/>
          </w:tcPr>
          <w:p w14:paraId="6725FE26" w14:textId="77777777" w:rsidR="004E4CC2" w:rsidRDefault="00000000">
            <w:pPr>
              <w:pStyle w:val="Compact"/>
            </w:pPr>
            <w:r>
              <w:t>2040</w:t>
            </w:r>
          </w:p>
        </w:tc>
        <w:tc>
          <w:tcPr>
            <w:tcW w:w="0" w:type="auto"/>
          </w:tcPr>
          <w:p w14:paraId="3793ECB2" w14:textId="77777777" w:rsidR="004E4CC2" w:rsidRDefault="00000000">
            <w:pPr>
              <w:pStyle w:val="Compact"/>
            </w:pPr>
            <w:r>
              <w:t>Gas</w:t>
            </w:r>
          </w:p>
        </w:tc>
        <w:tc>
          <w:tcPr>
            <w:tcW w:w="0" w:type="auto"/>
          </w:tcPr>
          <w:p w14:paraId="40EC29ED" w14:textId="77777777" w:rsidR="004E4CC2" w:rsidRDefault="00000000">
            <w:pPr>
              <w:pStyle w:val="Compact"/>
            </w:pPr>
            <w:r>
              <w:t>23.631250</w:t>
            </w:r>
          </w:p>
        </w:tc>
        <w:tc>
          <w:tcPr>
            <w:tcW w:w="0" w:type="auto"/>
            <w:gridSpan w:val="2"/>
          </w:tcPr>
          <w:p w14:paraId="3F114AF4" w14:textId="77777777" w:rsidR="004E4CC2" w:rsidRDefault="00000000">
            <w:pPr>
              <w:pStyle w:val="Compact"/>
            </w:pPr>
            <w:r>
              <w:t>21297.969446</w:t>
            </w:r>
          </w:p>
        </w:tc>
        <w:tc>
          <w:tcPr>
            <w:tcW w:w="0" w:type="auto"/>
          </w:tcPr>
          <w:p w14:paraId="15755506" w14:textId="77777777" w:rsidR="004E4CC2" w:rsidRDefault="00000000">
            <w:pPr>
              <w:pStyle w:val="Compact"/>
            </w:pPr>
            <w:r>
              <w:t>76.672690</w:t>
            </w:r>
          </w:p>
        </w:tc>
      </w:tr>
      <w:tr w:rsidR="004E4CC2" w14:paraId="3A78FABC" w14:textId="77777777">
        <w:tc>
          <w:tcPr>
            <w:tcW w:w="0" w:type="auto"/>
          </w:tcPr>
          <w:p w14:paraId="5A848FFB" w14:textId="77777777" w:rsidR="004E4CC2" w:rsidRDefault="00000000">
            <w:pPr>
              <w:pStyle w:val="Compact"/>
            </w:pPr>
            <w:r>
              <w:lastRenderedPageBreak/>
              <w:t>9</w:t>
            </w:r>
          </w:p>
        </w:tc>
        <w:tc>
          <w:tcPr>
            <w:tcW w:w="0" w:type="auto"/>
            <w:gridSpan w:val="2"/>
          </w:tcPr>
          <w:p w14:paraId="2A94891F" w14:textId="77777777" w:rsidR="004E4CC2" w:rsidRDefault="00000000">
            <w:pPr>
              <w:pStyle w:val="Compact"/>
            </w:pPr>
            <w:r>
              <w:t>2040</w:t>
            </w:r>
          </w:p>
        </w:tc>
        <w:tc>
          <w:tcPr>
            <w:tcW w:w="0" w:type="auto"/>
          </w:tcPr>
          <w:p w14:paraId="1F5D242F" w14:textId="77777777" w:rsidR="004E4CC2" w:rsidRDefault="00000000">
            <w:pPr>
              <w:pStyle w:val="Compact"/>
            </w:pPr>
            <w:r>
              <w:t>Biomasse</w:t>
            </w:r>
          </w:p>
        </w:tc>
        <w:tc>
          <w:tcPr>
            <w:tcW w:w="0" w:type="auto"/>
          </w:tcPr>
          <w:p w14:paraId="5341E236" w14:textId="77777777" w:rsidR="004E4CC2" w:rsidRDefault="00000000">
            <w:pPr>
              <w:pStyle w:val="Compact"/>
            </w:pPr>
            <w:r>
              <w:t>21.346293</w:t>
            </w:r>
          </w:p>
        </w:tc>
        <w:tc>
          <w:tcPr>
            <w:tcW w:w="0" w:type="auto"/>
            <w:gridSpan w:val="2"/>
          </w:tcPr>
          <w:p w14:paraId="219001DE" w14:textId="77777777" w:rsidR="004E4CC2" w:rsidRDefault="00000000">
            <w:pPr>
              <w:pStyle w:val="Compact"/>
            </w:pPr>
            <w:r>
              <w:t>19238.622838</w:t>
            </w:r>
          </w:p>
        </w:tc>
        <w:tc>
          <w:tcPr>
            <w:tcW w:w="0" w:type="auto"/>
          </w:tcPr>
          <w:p w14:paraId="2CA469BB" w14:textId="77777777" w:rsidR="004E4CC2" w:rsidRDefault="00000000">
            <w:pPr>
              <w:pStyle w:val="Compact"/>
            </w:pPr>
            <w:r>
              <w:t>69.259042</w:t>
            </w:r>
          </w:p>
        </w:tc>
      </w:tr>
      <w:tr w:rsidR="004E4CC2" w14:paraId="4D222807" w14:textId="77777777">
        <w:tc>
          <w:tcPr>
            <w:tcW w:w="0" w:type="auto"/>
          </w:tcPr>
          <w:p w14:paraId="4E37C2EE" w14:textId="77777777" w:rsidR="004E4CC2" w:rsidRDefault="00000000">
            <w:pPr>
              <w:pStyle w:val="Compact"/>
            </w:pPr>
            <w:r>
              <w:t>10</w:t>
            </w:r>
          </w:p>
        </w:tc>
        <w:tc>
          <w:tcPr>
            <w:tcW w:w="0" w:type="auto"/>
            <w:gridSpan w:val="2"/>
          </w:tcPr>
          <w:p w14:paraId="4C3E0CFC" w14:textId="77777777" w:rsidR="004E4CC2" w:rsidRDefault="00000000">
            <w:pPr>
              <w:pStyle w:val="Compact"/>
            </w:pPr>
            <w:r>
              <w:t>2040</w:t>
            </w:r>
          </w:p>
        </w:tc>
        <w:tc>
          <w:tcPr>
            <w:tcW w:w="0" w:type="auto"/>
          </w:tcPr>
          <w:p w14:paraId="0385084D" w14:textId="77777777" w:rsidR="004E4CC2" w:rsidRDefault="00000000">
            <w:pPr>
              <w:pStyle w:val="Compact"/>
            </w:pPr>
            <w:r>
              <w:t>Öl</w:t>
            </w:r>
          </w:p>
        </w:tc>
        <w:tc>
          <w:tcPr>
            <w:tcW w:w="0" w:type="auto"/>
          </w:tcPr>
          <w:p w14:paraId="219C22E7" w14:textId="77777777" w:rsidR="004E4CC2" w:rsidRDefault="00000000">
            <w:pPr>
              <w:pStyle w:val="Compact"/>
            </w:pPr>
            <w:r>
              <w:t>18.034012</w:t>
            </w:r>
          </w:p>
        </w:tc>
        <w:tc>
          <w:tcPr>
            <w:tcW w:w="0" w:type="auto"/>
            <w:gridSpan w:val="2"/>
          </w:tcPr>
          <w:p w14:paraId="7DF3C2D8" w14:textId="77777777" w:rsidR="004E4CC2" w:rsidRDefault="00000000">
            <w:pPr>
              <w:pStyle w:val="Compact"/>
            </w:pPr>
            <w:r>
              <w:t>16253.386204</w:t>
            </w:r>
          </w:p>
        </w:tc>
        <w:tc>
          <w:tcPr>
            <w:tcW w:w="0" w:type="auto"/>
          </w:tcPr>
          <w:p w14:paraId="0B86CAE3" w14:textId="77777777" w:rsidR="004E4CC2" w:rsidRDefault="00000000">
            <w:pPr>
              <w:pStyle w:val="Compact"/>
            </w:pPr>
            <w:r>
              <w:t>58.512190</w:t>
            </w:r>
          </w:p>
        </w:tc>
      </w:tr>
      <w:tr w:rsidR="004E4CC2" w14:paraId="64C66A75" w14:textId="77777777">
        <w:tc>
          <w:tcPr>
            <w:tcW w:w="0" w:type="auto"/>
          </w:tcPr>
          <w:p w14:paraId="32666BE9" w14:textId="77777777" w:rsidR="004E4CC2" w:rsidRDefault="00000000">
            <w:pPr>
              <w:pStyle w:val="Compact"/>
            </w:pPr>
            <w:r>
              <w:t>11</w:t>
            </w:r>
          </w:p>
        </w:tc>
        <w:tc>
          <w:tcPr>
            <w:tcW w:w="0" w:type="auto"/>
            <w:gridSpan w:val="2"/>
          </w:tcPr>
          <w:p w14:paraId="1E469B8B" w14:textId="77777777" w:rsidR="004E4CC2" w:rsidRDefault="00000000">
            <w:pPr>
              <w:pStyle w:val="Compact"/>
            </w:pPr>
            <w:r>
              <w:t>2040</w:t>
            </w:r>
          </w:p>
        </w:tc>
        <w:tc>
          <w:tcPr>
            <w:tcW w:w="0" w:type="auto"/>
          </w:tcPr>
          <w:p w14:paraId="15C9EB6E" w14:textId="77777777" w:rsidR="004E4CC2" w:rsidRDefault="00000000">
            <w:pPr>
              <w:pStyle w:val="Compact"/>
            </w:pPr>
            <w:r>
              <w:t>Sonstige thermisch</w:t>
            </w:r>
          </w:p>
        </w:tc>
        <w:tc>
          <w:tcPr>
            <w:tcW w:w="0" w:type="auto"/>
          </w:tcPr>
          <w:p w14:paraId="7E599CD2" w14:textId="77777777" w:rsidR="004E4CC2" w:rsidRDefault="00000000">
            <w:pPr>
              <w:pStyle w:val="Compact"/>
            </w:pPr>
            <w:r>
              <w:t>0.000000</w:t>
            </w:r>
          </w:p>
        </w:tc>
        <w:tc>
          <w:tcPr>
            <w:tcW w:w="0" w:type="auto"/>
            <w:gridSpan w:val="2"/>
          </w:tcPr>
          <w:p w14:paraId="4EE21787" w14:textId="77777777" w:rsidR="004E4CC2" w:rsidRDefault="00000000">
            <w:pPr>
              <w:pStyle w:val="Compact"/>
            </w:pPr>
            <w:r>
              <w:t>0.000000</w:t>
            </w:r>
          </w:p>
        </w:tc>
        <w:tc>
          <w:tcPr>
            <w:tcW w:w="0" w:type="auto"/>
          </w:tcPr>
          <w:p w14:paraId="52AD7DF8" w14:textId="77777777" w:rsidR="004E4CC2" w:rsidRDefault="00000000">
            <w:pPr>
              <w:pStyle w:val="Compact"/>
            </w:pPr>
            <w:r>
              <w:t>0.000000</w:t>
            </w:r>
          </w:p>
        </w:tc>
      </w:tr>
    </w:tbl>
    <w:p w14:paraId="2AEF02C4" w14:textId="77777777" w:rsidR="004E4CC2" w:rsidRDefault="00000000">
      <w:pPr>
        <w:pStyle w:val="Textkrper"/>
      </w:pPr>
      <w:r>
        <w:rPr>
          <w:noProof/>
        </w:rPr>
        <w:drawing>
          <wp:inline distT="0" distB="0" distL="0" distR="0" wp14:anchorId="27AE0201" wp14:editId="598FB03C">
            <wp:extent cx="5334000" cy="2636021"/>
            <wp:effectExtent l="0" t="0" r="0" b="0"/>
            <wp:docPr id="411" name="Picture"/>
            <wp:cNvGraphicFramePr/>
            <a:graphic xmlns:a="http://schemas.openxmlformats.org/drawingml/2006/main">
              <a:graphicData uri="http://schemas.openxmlformats.org/drawingml/2006/picture">
                <pic:pic xmlns:pic="http://schemas.openxmlformats.org/drawingml/2006/picture">
                  <pic:nvPicPr>
                    <pic:cNvPr id="412" name="Picture" descr="Berechnungen\gebaeudesektormodell/Gebaeudesektormodell_files/figure-docx/cell-6-output-3.png"/>
                    <pic:cNvPicPr>
                      <a:picLocks noChangeAspect="1" noChangeArrowheads="1"/>
                    </pic:cNvPicPr>
                  </pic:nvPicPr>
                  <pic:blipFill>
                    <a:blip r:embed="rId79"/>
                    <a:stretch>
                      <a:fillRect/>
                    </a:stretch>
                  </pic:blipFill>
                  <pic:spPr bwMode="auto">
                    <a:xfrm>
                      <a:off x="0" y="0"/>
                      <a:ext cx="5334000" cy="2636021"/>
                    </a:xfrm>
                    <a:prstGeom prst="rect">
                      <a:avLst/>
                    </a:prstGeom>
                    <a:noFill/>
                    <a:ln w="9525">
                      <a:noFill/>
                      <a:headEnd/>
                      <a:tailEnd/>
                    </a:ln>
                  </pic:spPr>
                </pic:pic>
              </a:graphicData>
            </a:graphic>
          </wp:inline>
        </w:drawing>
      </w:r>
    </w:p>
    <w:p w14:paraId="2E49E123" w14:textId="77777777" w:rsidR="004E4CC2" w:rsidRDefault="00000000">
      <w:pPr>
        <w:pStyle w:val="berschrift2"/>
      </w:pPr>
      <w:bookmarkStart w:id="400" w:name="sec-gebaeude-pe"/>
      <w:bookmarkStart w:id="401" w:name="_Toc243681378"/>
      <w:bookmarkEnd w:id="398"/>
      <w:r>
        <w:t>E.6 6. Primärenergie: gelieferter Bewertungsstand</w:t>
      </w:r>
      <w:bookmarkEnd w:id="401"/>
    </w:p>
    <w:p w14:paraId="634EBD93" w14:textId="77777777" w:rsidR="004E4CC2" w:rsidRDefault="00000000">
      <w:pPr>
        <w:pStyle w:val="FirstParagraph"/>
      </w:pPr>
      <w:r>
        <w:t xml:space="preserve">Die physische Import-/Exportbilanz lautet </w:t>
      </w:r>
      <m:oMath>
        <m:sSub>
          <m:sSubPr>
            <m:ctrlPr>
              <w:rPr>
                <w:rFonts w:ascii="Cambria Math" w:hAnsi="Cambria Math"/>
              </w:rPr>
            </m:ctrlPr>
          </m:sSubPr>
          <m:e>
            <m:r>
              <w:rPr>
                <w:rFonts w:ascii="Cambria Math" w:hAnsi="Cambria Math"/>
              </w:rPr>
              <m:t>B</m:t>
            </m:r>
          </m:e>
          <m:sub>
            <m:r>
              <w:rPr>
                <w:rFonts w:ascii="Cambria Math" w:hAnsi="Cambria Math"/>
              </w:rPr>
              <m:t>PE</m:t>
            </m:r>
            <m:r>
              <m:rPr>
                <m:sty m:val="p"/>
              </m:rPr>
              <w:rPr>
                <w:rFonts w:ascii="Cambria Math" w:hAnsi="Cambria Math"/>
              </w:rPr>
              <m:t>,</m:t>
            </m:r>
            <m:r>
              <w:rPr>
                <w:rFonts w:ascii="Cambria Math" w:hAnsi="Cambria Math"/>
              </w:rPr>
              <m:t>y</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NGF</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sub>
            </m:sSub>
          </m:e>
        </m:nary>
        <m:r>
          <m:rPr>
            <m:sty m:val="p"/>
          </m:rPr>
          <w:rPr>
            <w:rFonts w:ascii="Cambria Math" w:hAnsi="Cambria Math"/>
          </w:rPr>
          <m:t>(</m:t>
        </m:r>
        <m:r>
          <w:rPr>
            <w:rFonts w:ascii="Cambria Math" w:hAnsi="Cambria Math"/>
          </w:rPr>
          <m:t>PE</m:t>
        </m:r>
        <m:sSub>
          <m:sSubPr>
            <m:ctrlPr>
              <w:rPr>
                <w:rFonts w:ascii="Cambria Math" w:hAnsi="Cambria Math"/>
              </w:rPr>
            </m:ctrlPr>
          </m:sSubPr>
          <m:e>
            <m:r>
              <w:rPr>
                <w:rFonts w:ascii="Cambria Math" w:hAnsi="Cambria Math"/>
              </w:rPr>
              <m:t>I</m:t>
            </m:r>
          </m:e>
          <m:sub>
            <m:r>
              <w:rPr>
                <w:rFonts w:ascii="Cambria Math" w:hAnsi="Cambria Math"/>
              </w:rPr>
              <m:t>export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PE</m:t>
        </m:r>
        <m:sSub>
          <m:sSubPr>
            <m:ctrlPr>
              <w:rPr>
                <w:rFonts w:ascii="Cambria Math" w:hAnsi="Cambria Math"/>
              </w:rPr>
            </m:ctrlPr>
          </m:sSubPr>
          <m:e>
            <m:r>
              <w:rPr>
                <w:rFonts w:ascii="Cambria Math" w:hAnsi="Cambria Math"/>
              </w:rPr>
              <m:t>I</m:t>
            </m:r>
          </m:e>
          <m:sub>
            <m:r>
              <w:rPr>
                <w:rFonts w:ascii="Cambria Math" w:hAnsi="Cambria Math"/>
              </w:rPr>
              <m:t>import</m:t>
            </m:r>
            <m:r>
              <m:rPr>
                <m:sty m:val="p"/>
              </m:rPr>
              <w:rPr>
                <w:rFonts w:ascii="Cambria Math" w:hAnsi="Cambria Math"/>
              </w:rPr>
              <m:t>,</m:t>
            </m:r>
            <m:r>
              <w:rPr>
                <w:rFonts w:ascii="Cambria Math" w:hAnsi="Cambria Math"/>
              </w:rPr>
              <m:t>k</m:t>
            </m:r>
          </m:sub>
        </m:sSub>
        <m:r>
          <m:rPr>
            <m:sty m:val="p"/>
          </m:rPr>
          <w:rPr>
            <w:rFonts w:ascii="Cambria Math" w:hAnsi="Cambria Math"/>
          </w:rPr>
          <m:t>)</m:t>
        </m:r>
      </m:oMath>
      <w:r>
        <w:t xml:space="preserve">. Die gelieferten </w:t>
      </w:r>
      <w:r>
        <w:rPr>
          <w:rStyle w:val="VerbatimChar"/>
        </w:rPr>
        <w:t>PEI</w:t>
      </w:r>
      <w:r>
        <w:t xml:space="preserve">-Werte werden aggregiert, </w:t>
      </w:r>
      <w:r>
        <w:rPr>
          <w:b/>
          <w:bCs/>
        </w:rPr>
        <w:t>ohne</w:t>
      </w:r>
      <w:r>
        <w:t xml:space="preserve"> virtuelle Kontextwerte einzurechnen. Ihre Konsistenz wird gegen Netzstrom-PE plus die vier thermischen PE-Komponenten geprüft.</w:t>
      </w:r>
    </w:p>
    <w:p w14:paraId="5ECBA3A4" w14:textId="77777777" w:rsidR="004E4CC2" w:rsidRDefault="00000000">
      <w:pPr>
        <w:pStyle w:val="Textkrper"/>
      </w:pPr>
      <w:r>
        <w:t xml:space="preserve">Die sektorale Zuordnung 2040 bleibt eine Endenergieaufgabe. Die nachgelagerte PE-Bewertung soll die Kompatibilität mit heutigen Bewertungsverfahren herstellen, nicht die PE-Intensität des Energiesystems 2040 prognostizieren. Die Datei liefert bereits zeit-/typabhängig gewichtete PEI; ihr genauer Faktorensatz und dessen Bezugsjahr sind noch zu bestätigen. Ein pauschaler Jahresfaktor würde diese Ergebnisse nicht reproduzieren. Deshalb werden </w:t>
      </w:r>
      <w:r>
        <w:rPr>
          <w:b/>
          <w:bCs/>
        </w:rPr>
        <w:t>implizite effektive Faktoren</w:t>
      </w:r>
      <w:r>
        <w:t xml:space="preserve"> </w:t>
      </w:r>
      <m:oMath>
        <m:sSub>
          <m:sSubPr>
            <m:ctrlPr>
              <w:rPr>
                <w:rFonts w:ascii="Cambria Math" w:hAnsi="Cambria Math"/>
              </w:rPr>
            </m:ctrlPr>
          </m:sSubPr>
          <m:e>
            <m:r>
              <w:rPr>
                <w:rFonts w:ascii="Cambria Math" w:hAnsi="Cambria Math"/>
              </w:rPr>
              <m:t>f</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PE</m:t>
        </m:r>
        <m:sSub>
          <m:sSubPr>
            <m:ctrlPr>
              <w:rPr>
                <w:rFonts w:ascii="Cambria Math" w:hAnsi="Cambria Math"/>
              </w:rPr>
            </m:ctrlPr>
          </m:sSubPr>
          <m:e>
            <m:r>
              <w:rPr>
                <w:rFonts w:ascii="Cambria Math" w:hAnsi="Cambria Math"/>
              </w:rPr>
              <m:t>I</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r>
              <m:rPr>
                <m:sty m:val="p"/>
              </m:rPr>
              <w:rPr>
                <w:rFonts w:ascii="Cambria Math" w:hAnsi="Cambria Math"/>
              </w:rPr>
              <m:t>,</m:t>
            </m:r>
            <m:r>
              <w:rPr>
                <w:rFonts w:ascii="Cambria Math" w:hAnsi="Cambria Math"/>
              </w:rPr>
              <m:t>k</m:t>
            </m:r>
          </m:sub>
        </m:sSub>
      </m:oMath>
      <w:r>
        <w:t xml:space="preserve"> nur diagnostisch ausgewiesen. Bei Nenner null bleibt der Quotient leer. Die Tabelle </w:t>
      </w:r>
      <w:r>
        <w:rPr>
          <w:rStyle w:val="VerbatimChar"/>
        </w:rPr>
        <w:t>PE_Faktoren</w:t>
      </w:r>
      <w:r>
        <w:t xml:space="preserve"> bereitet explizite, quellenbelegte Jahresfaktoren/Absenkpfade vor und bleibt zunächst leer.</w:t>
      </w:r>
    </w:p>
    <w:p w14:paraId="4551B25B" w14:textId="77777777" w:rsidR="004E4CC2" w:rsidRDefault="00000000">
      <w:pPr>
        <w:pStyle w:val="SourceCode"/>
      </w:pPr>
      <w:r>
        <w:rPr>
          <w:rStyle w:val="NormalTok"/>
        </w:rPr>
        <w:t>thermal_pe</w:t>
      </w:r>
      <w:r>
        <w:rPr>
          <w:rStyle w:val="OperatorTok"/>
        </w:rPr>
        <w:t>=</w:t>
      </w:r>
      <w:r>
        <w:rPr>
          <w:rStyle w:val="NormalTok"/>
        </w:rPr>
        <w:t>data[[</w:t>
      </w:r>
      <w:r>
        <w:rPr>
          <w:rStyle w:val="StringTok"/>
        </w:rPr>
        <w:t>'PEI_district_heating'</w:t>
      </w:r>
      <w:r>
        <w:rPr>
          <w:rStyle w:val="NormalTok"/>
        </w:rPr>
        <w:t>,</w:t>
      </w:r>
      <w:r>
        <w:rPr>
          <w:rStyle w:val="StringTok"/>
        </w:rPr>
        <w:t>'PEI_natural_gas'</w:t>
      </w:r>
      <w:r>
        <w:rPr>
          <w:rStyle w:val="NormalTok"/>
        </w:rPr>
        <w:t>,</w:t>
      </w:r>
      <w:r>
        <w:rPr>
          <w:rStyle w:val="StringTok"/>
        </w:rPr>
        <w:t>'PEI_biomass'</w:t>
      </w:r>
      <w:r>
        <w:rPr>
          <w:rStyle w:val="NormalTok"/>
        </w:rPr>
        <w:t>,</w:t>
      </w:r>
      <w:r>
        <w:rPr>
          <w:rStyle w:val="StringTok"/>
        </w:rPr>
        <w:t>'PEI_other'</w:t>
      </w:r>
      <w:r>
        <w:rPr>
          <w:rStyle w:val="NormalTok"/>
        </w:rPr>
        <w:t>]].</w:t>
      </w:r>
      <w:r>
        <w:rPr>
          <w:rStyle w:val="BuiltInTok"/>
        </w:rPr>
        <w:t>sum</w:t>
      </w:r>
      <w:r>
        <w:rPr>
          <w:rStyle w:val="NormalTok"/>
        </w:rPr>
        <w:t>(axis</w:t>
      </w:r>
      <w:r>
        <w:rPr>
          <w:rStyle w:val="OperatorTok"/>
        </w:rPr>
        <w:t>=</w:t>
      </w:r>
      <w:r>
        <w:rPr>
          <w:rStyle w:val="DecValTok"/>
        </w:rPr>
        <w:t>1</w:t>
      </w:r>
      <w:r>
        <w:rPr>
          <w:rStyle w:val="NormalTok"/>
        </w:rPr>
        <w:t>,min_count</w:t>
      </w:r>
      <w:r>
        <w:rPr>
          <w:rStyle w:val="OperatorTok"/>
        </w:rPr>
        <w:t>=</w:t>
      </w:r>
      <w:r>
        <w:rPr>
          <w:rStyle w:val="DecValTok"/>
        </w:rPr>
        <w:t>4</w:t>
      </w:r>
      <w:r>
        <w:rPr>
          <w:rStyle w:val="NormalTok"/>
        </w:rPr>
        <w:t>)</w:t>
      </w:r>
      <w:r>
        <w:br/>
      </w:r>
      <w:r>
        <w:rPr>
          <w:rStyle w:val="NormalTok"/>
        </w:rPr>
        <w:t>np.testing.assert_allclose(data.PEI_import,data.PEI_grid_import</w:t>
      </w:r>
      <w:r>
        <w:rPr>
          <w:rStyle w:val="OperatorTok"/>
        </w:rPr>
        <w:t>+</w:t>
      </w:r>
      <w:r>
        <w:rPr>
          <w:rStyle w:val="NormalTok"/>
        </w:rPr>
        <w:t>thermal_pe,atol</w:t>
      </w:r>
      <w:r>
        <w:rPr>
          <w:rStyle w:val="OperatorTok"/>
        </w:rPr>
        <w:t>=</w:t>
      </w:r>
      <w:r>
        <w:rPr>
          <w:rStyle w:val="FloatTok"/>
        </w:rPr>
        <w:t>1e-7</w:t>
      </w:r>
      <w:r>
        <w:rPr>
          <w:rStyle w:val="NormalTok"/>
        </w:rPr>
        <w:t>)</w:t>
      </w:r>
      <w:r>
        <w:br/>
      </w:r>
      <w:r>
        <w:rPr>
          <w:rStyle w:val="NormalTok"/>
        </w:rPr>
        <w:t>data[</w:t>
      </w:r>
      <w:r>
        <w:rPr>
          <w:rStyle w:val="StringTok"/>
        </w:rPr>
        <w:t>'PE_Saldo'</w:t>
      </w:r>
      <w:r>
        <w:rPr>
          <w:rStyle w:val="NormalTok"/>
        </w:rPr>
        <w:t>]</w:t>
      </w:r>
      <w:r>
        <w:rPr>
          <w:rStyle w:val="OperatorTok"/>
        </w:rPr>
        <w:t>=</w:t>
      </w:r>
      <w:r>
        <w:rPr>
          <w:rStyle w:val="NormalTok"/>
        </w:rPr>
        <w:t>data.PEI_export</w:t>
      </w:r>
      <w:r>
        <w:rPr>
          <w:rStyle w:val="OperatorTok"/>
        </w:rPr>
        <w:t>-</w:t>
      </w:r>
      <w:r>
        <w:rPr>
          <w:rStyle w:val="NormalTok"/>
        </w:rPr>
        <w:t>data.PEI_import</w:t>
      </w:r>
      <w:r>
        <w:br/>
      </w:r>
      <w:r>
        <w:rPr>
          <w:rStyle w:val="NormalTok"/>
        </w:rPr>
        <w:t>pe_records</w:t>
      </w:r>
      <w:r>
        <w:rPr>
          <w:rStyle w:val="OperatorTok"/>
        </w:rPr>
        <w:t>=</w:t>
      </w:r>
      <w:r>
        <w:rPr>
          <w:rStyle w:val="NormalTok"/>
        </w:rPr>
        <w:t>[]</w:t>
      </w:r>
      <w:r>
        <w:br/>
      </w:r>
      <w:r>
        <w:rPr>
          <w:rStyle w:val="ControlFlowTok"/>
        </w:rPr>
        <w:t>for</w:t>
      </w:r>
      <w:r>
        <w:rPr>
          <w:rStyle w:val="NormalTok"/>
        </w:rPr>
        <w:t xml:space="preserve"> year,c </w:t>
      </w:r>
      <w:r>
        <w:rPr>
          <w:rStyle w:val="KeywordTok"/>
        </w:rPr>
        <w:t>in</w:t>
      </w:r>
      <w:r>
        <w:rPr>
          <w:rStyle w:val="NormalTok"/>
        </w:rPr>
        <w:t xml:space="preserve"> area_cols.items():</w:t>
      </w:r>
      <w:r>
        <w:br/>
      </w:r>
      <w:r>
        <w:rPr>
          <w:rStyle w:val="NormalTok"/>
        </w:rPr>
        <w:t xml:space="preserve">    </w:t>
      </w:r>
      <w:r>
        <w:rPr>
          <w:rStyle w:val="ControlFlowTok"/>
        </w:rPr>
        <w:t>for</w:t>
      </w:r>
      <w:r>
        <w:rPr>
          <w:rStyle w:val="NormalTok"/>
        </w:rPr>
        <w:t xml:space="preserve"> metric </w:t>
      </w:r>
      <w:r>
        <w:rPr>
          <w:rStyle w:val="KeywordTok"/>
        </w:rPr>
        <w:t>in</w:t>
      </w:r>
      <w:r>
        <w:rPr>
          <w:rStyle w:val="NormalTok"/>
        </w:rPr>
        <w:t xml:space="preserve"> [</w:t>
      </w:r>
      <w:r>
        <w:rPr>
          <w:rStyle w:val="StringTok"/>
        </w:rPr>
        <w:t>'PEI_grid_import'</w:t>
      </w:r>
      <w:r>
        <w:rPr>
          <w:rStyle w:val="NormalTok"/>
        </w:rPr>
        <w:t>,</w:t>
      </w:r>
      <w:r>
        <w:rPr>
          <w:rStyle w:val="StringTok"/>
        </w:rPr>
        <w:t>'PEI_import'</w:t>
      </w:r>
      <w:r>
        <w:rPr>
          <w:rStyle w:val="NormalTok"/>
        </w:rPr>
        <w:t>,</w:t>
      </w:r>
      <w:r>
        <w:rPr>
          <w:rStyle w:val="StringTok"/>
        </w:rPr>
        <w:t>'PEI_export'</w:t>
      </w:r>
      <w:r>
        <w:rPr>
          <w:rStyle w:val="NormalTok"/>
        </w:rPr>
        <w:t>,</w:t>
      </w:r>
      <w:r>
        <w:rPr>
          <w:rStyle w:val="StringTok"/>
        </w:rPr>
        <w:t>'PE_Saldo'</w:t>
      </w:r>
      <w:r>
        <w:rPr>
          <w:rStyle w:val="NormalTok"/>
        </w:rPr>
        <w:t>]:</w:t>
      </w:r>
      <w:r>
        <w:br/>
      </w:r>
      <w:r>
        <w:rPr>
          <w:rStyle w:val="NormalTok"/>
        </w:rPr>
        <w:t xml:space="preserve">        a</w:t>
      </w:r>
      <w:r>
        <w:rPr>
          <w:rStyle w:val="OperatorTok"/>
        </w:rPr>
        <w:t>=</w:t>
      </w:r>
      <w:r>
        <w:rPr>
          <w:rStyle w:val="NormalTok"/>
        </w:rPr>
        <w:t>aggregate(data[metric],data[c])</w:t>
      </w:r>
      <w:r>
        <w:rPr>
          <w:rStyle w:val="OperatorTok"/>
        </w:rPr>
        <w:t>;</w:t>
      </w:r>
      <w:r>
        <w:rPr>
          <w:rStyle w:val="NormalTok"/>
        </w:rPr>
        <w:t>pe_records.append({</w:t>
      </w:r>
      <w:r>
        <w:rPr>
          <w:rStyle w:val="StringTok"/>
        </w:rPr>
        <w:t>'Stand'</w:t>
      </w:r>
      <w:r>
        <w:rPr>
          <w:rStyle w:val="NormalTok"/>
        </w:rPr>
        <w:t>:year,</w:t>
      </w:r>
      <w:r>
        <w:rPr>
          <w:rStyle w:val="StringTok"/>
        </w:rPr>
        <w:t>'Größe'</w:t>
      </w:r>
      <w:r>
        <w:rPr>
          <w:rStyle w:val="NormalTok"/>
        </w:rPr>
        <w:t>:metric,</w:t>
      </w:r>
      <w:r>
        <w:rPr>
          <w:rStyle w:val="StringTok"/>
        </w:rPr>
        <w:t>'GWh_PE/a'</w:t>
      </w:r>
      <w:r>
        <w:rPr>
          <w:rStyle w:val="NormalTok"/>
        </w:rPr>
        <w:t>:a[</w:t>
      </w:r>
      <w:r>
        <w:rPr>
          <w:rStyle w:val="StringTok"/>
        </w:rPr>
        <w:t>'kWh'</w:t>
      </w:r>
      <w:r>
        <w:rPr>
          <w:rStyle w:val="NormalTok"/>
        </w:rPr>
        <w:t>]</w:t>
      </w:r>
      <w:r>
        <w:rPr>
          <w:rStyle w:val="OperatorTok"/>
        </w:rPr>
        <w:t>/</w:t>
      </w:r>
      <w:r>
        <w:rPr>
          <w:rStyle w:val="FloatTok"/>
        </w:rPr>
        <w:t>1e6</w:t>
      </w:r>
      <w:r>
        <w:rPr>
          <w:rStyle w:val="NormalTok"/>
        </w:rPr>
        <w:t>,</w:t>
      </w:r>
      <w:r>
        <w:rPr>
          <w:rStyle w:val="StringTok"/>
        </w:rPr>
        <w:t>'PJ_PE/a'</w:t>
      </w:r>
      <w:r>
        <w:rPr>
          <w:rStyle w:val="NormalTok"/>
        </w:rPr>
        <w:t>:a[</w:t>
      </w:r>
      <w:r>
        <w:rPr>
          <w:rStyle w:val="StringTok"/>
        </w:rPr>
        <w:t>'kWh'</w:t>
      </w:r>
      <w:r>
        <w:rPr>
          <w:rStyle w:val="NormalTok"/>
        </w:rPr>
        <w:t>]</w:t>
      </w:r>
      <w:r>
        <w:rPr>
          <w:rStyle w:val="OperatorTok"/>
        </w:rPr>
        <w:t>*</w:t>
      </w:r>
      <w:r>
        <w:rPr>
          <w:rStyle w:val="FloatTok"/>
        </w:rPr>
        <w:t>3.6e-9</w:t>
      </w:r>
      <w:r>
        <w:rPr>
          <w:rStyle w:val="NormalTok"/>
        </w:rPr>
        <w:t>})</w:t>
      </w:r>
      <w:r>
        <w:br/>
      </w:r>
      <w:r>
        <w:rPr>
          <w:rStyle w:val="NormalTok"/>
        </w:rPr>
        <w:t>primary</w:t>
      </w:r>
      <w:r>
        <w:rPr>
          <w:rStyle w:val="OperatorTok"/>
        </w:rPr>
        <w:t>=</w:t>
      </w:r>
      <w:r>
        <w:rPr>
          <w:rStyle w:val="NormalTok"/>
        </w:rPr>
        <w:t>pd.DataFrame(pe_records)</w:t>
      </w:r>
      <w:r>
        <w:rPr>
          <w:rStyle w:val="OperatorTok"/>
        </w:rPr>
        <w:t>;</w:t>
      </w:r>
      <w:r>
        <w:rPr>
          <w:rStyle w:val="NormalTok"/>
        </w:rPr>
        <w:t>display(primary[primary.Stand.eq(</w:t>
      </w:r>
      <w:r>
        <w:rPr>
          <w:rStyle w:val="StringTok"/>
        </w:rPr>
        <w:t>'2040'</w:t>
      </w:r>
      <w:r>
        <w:rPr>
          <w:rStyle w:val="NormalTok"/>
        </w:rPr>
        <w:t>)])</w:t>
      </w:r>
      <w:r>
        <w:br/>
      </w:r>
      <w:r>
        <w:rPr>
          <w:rStyle w:val="NormalTok"/>
        </w:rPr>
        <w:lastRenderedPageBreak/>
        <w:t>implicit</w:t>
      </w:r>
      <w:r>
        <w:rPr>
          <w:rStyle w:val="OperatorTok"/>
        </w:rPr>
        <w:t>=</w:t>
      </w:r>
      <w:r>
        <w:rPr>
          <w:rStyle w:val="NormalTok"/>
        </w:rPr>
        <w:t>[]</w:t>
      </w:r>
      <w:r>
        <w:br/>
      </w:r>
      <w:r>
        <w:rPr>
          <w:rStyle w:val="ControlFlowTok"/>
        </w:rPr>
        <w:t>for</w:t>
      </w:r>
      <w:r>
        <w:rPr>
          <w:rStyle w:val="NormalTok"/>
        </w:rPr>
        <w:t xml:space="preserve"> carrier,ee_col,pe_col </w:t>
      </w:r>
      <w:r>
        <w:rPr>
          <w:rStyle w:val="KeywordTok"/>
        </w:rPr>
        <w:t>in</w:t>
      </w:r>
      <w:r>
        <w:rPr>
          <w:rStyle w:val="NormalTok"/>
        </w:rPr>
        <w:t xml:space="preserve"> [(</w:t>
      </w:r>
      <w:r>
        <w:rPr>
          <w:rStyle w:val="StringTok"/>
        </w:rPr>
        <w:t>'Netzstrom'</w:t>
      </w:r>
      <w:r>
        <w:rPr>
          <w:rStyle w:val="NormalTok"/>
        </w:rPr>
        <w:t>,</w:t>
      </w:r>
      <w:r>
        <w:rPr>
          <w:rStyle w:val="StringTok"/>
        </w:rPr>
        <w:t>'Grid_to_building_min'</w:t>
      </w:r>
      <w:r>
        <w:rPr>
          <w:rStyle w:val="NormalTok"/>
        </w:rPr>
        <w:t>,</w:t>
      </w:r>
      <w:r>
        <w:rPr>
          <w:rStyle w:val="StringTok"/>
        </w:rPr>
        <w:t>'PEI_grid_import'</w:t>
      </w:r>
      <w:r>
        <w:rPr>
          <w:rStyle w:val="NormalTok"/>
        </w:rPr>
        <w:t>),(</w:t>
      </w:r>
      <w:r>
        <w:rPr>
          <w:rStyle w:val="StringTok"/>
        </w:rPr>
        <w:t>'PV-Export'</w:t>
      </w:r>
      <w:r>
        <w:rPr>
          <w:rStyle w:val="NormalTok"/>
        </w:rPr>
        <w:t>,</w:t>
      </w:r>
      <w:r>
        <w:rPr>
          <w:rStyle w:val="StringTok"/>
        </w:rPr>
        <w:t>'PV_to_Egrid'</w:t>
      </w:r>
      <w:r>
        <w:rPr>
          <w:rStyle w:val="NormalTok"/>
        </w:rPr>
        <w:t>,</w:t>
      </w:r>
      <w:r>
        <w:rPr>
          <w:rStyle w:val="StringTok"/>
        </w:rPr>
        <w:t>'PEI_export'</w:t>
      </w:r>
      <w:r>
        <w:rPr>
          <w:rStyle w:val="NormalTok"/>
        </w:rPr>
        <w:t>),</w:t>
      </w:r>
      <w:r>
        <w:br/>
      </w:r>
      <w:r>
        <w:rPr>
          <w:rStyle w:val="NormalTok"/>
        </w:rPr>
        <w:t xml:space="preserve"> (</w:t>
      </w:r>
      <w:r>
        <w:rPr>
          <w:rStyle w:val="StringTok"/>
        </w:rPr>
        <w:t>'Fernwärme'</w:t>
      </w:r>
      <w:r>
        <w:rPr>
          <w:rStyle w:val="NormalTok"/>
        </w:rPr>
        <w:t>,</w:t>
      </w:r>
      <w:r>
        <w:rPr>
          <w:rStyle w:val="StringTok"/>
        </w:rPr>
        <w:t>'EUI_district_heating'</w:t>
      </w:r>
      <w:r>
        <w:rPr>
          <w:rStyle w:val="NormalTok"/>
        </w:rPr>
        <w:t>,</w:t>
      </w:r>
      <w:r>
        <w:rPr>
          <w:rStyle w:val="StringTok"/>
        </w:rPr>
        <w:t>'PEI_district_heating'</w:t>
      </w:r>
      <w:r>
        <w:rPr>
          <w:rStyle w:val="NormalTok"/>
        </w:rPr>
        <w:t>),(</w:t>
      </w:r>
      <w:r>
        <w:rPr>
          <w:rStyle w:val="StringTok"/>
        </w:rPr>
        <w:t>'Gas'</w:t>
      </w:r>
      <w:r>
        <w:rPr>
          <w:rStyle w:val="NormalTok"/>
        </w:rPr>
        <w:t>,</w:t>
      </w:r>
      <w:r>
        <w:rPr>
          <w:rStyle w:val="StringTok"/>
        </w:rPr>
        <w:t>'EUI_natural_gas'</w:t>
      </w:r>
      <w:r>
        <w:rPr>
          <w:rStyle w:val="NormalTok"/>
        </w:rPr>
        <w:t>,</w:t>
      </w:r>
      <w:r>
        <w:rPr>
          <w:rStyle w:val="StringTok"/>
        </w:rPr>
        <w:t>'PEI_natural_gas'</w:t>
      </w:r>
      <w:r>
        <w:rPr>
          <w:rStyle w:val="NormalTok"/>
        </w:rPr>
        <w:t>),</w:t>
      </w:r>
      <w:r>
        <w:br/>
      </w:r>
      <w:r>
        <w:rPr>
          <w:rStyle w:val="NormalTok"/>
        </w:rPr>
        <w:t xml:space="preserve"> (</w:t>
      </w:r>
      <w:r>
        <w:rPr>
          <w:rStyle w:val="StringTok"/>
        </w:rPr>
        <w:t>'Biomasse'</w:t>
      </w:r>
      <w:r>
        <w:rPr>
          <w:rStyle w:val="NormalTok"/>
        </w:rPr>
        <w:t>,</w:t>
      </w:r>
      <w:r>
        <w:rPr>
          <w:rStyle w:val="StringTok"/>
        </w:rPr>
        <w:t>'EUI_biomass'</w:t>
      </w:r>
      <w:r>
        <w:rPr>
          <w:rStyle w:val="NormalTok"/>
        </w:rPr>
        <w:t>,</w:t>
      </w:r>
      <w:r>
        <w:rPr>
          <w:rStyle w:val="StringTok"/>
        </w:rPr>
        <w:t>'PEI_biomass'</w:t>
      </w:r>
      <w:r>
        <w:rPr>
          <w:rStyle w:val="NormalTok"/>
        </w:rPr>
        <w:t>),(</w:t>
      </w:r>
      <w:r>
        <w:rPr>
          <w:rStyle w:val="StringTok"/>
        </w:rPr>
        <w:t>'Sonstige inkl. Öl'</w:t>
      </w:r>
      <w:r>
        <w:rPr>
          <w:rStyle w:val="NormalTok"/>
        </w:rPr>
        <w:t>,</w:t>
      </w:r>
      <w:r>
        <w:rPr>
          <w:rStyle w:val="StringTok"/>
        </w:rPr>
        <w:t>'EUI_other'</w:t>
      </w:r>
      <w:r>
        <w:rPr>
          <w:rStyle w:val="NormalTok"/>
        </w:rPr>
        <w:t>,</w:t>
      </w:r>
      <w:r>
        <w:rPr>
          <w:rStyle w:val="StringTok"/>
        </w:rPr>
        <w:t>'PEI_other'</w:t>
      </w:r>
      <w:r>
        <w:rPr>
          <w:rStyle w:val="NormalTok"/>
        </w:rPr>
        <w:t>)]:</w:t>
      </w:r>
      <w:r>
        <w:br/>
      </w:r>
      <w:r>
        <w:rPr>
          <w:rStyle w:val="NormalTok"/>
        </w:rPr>
        <w:t xml:space="preserve">    f</w:t>
      </w:r>
      <w:r>
        <w:rPr>
          <w:rStyle w:val="OperatorTok"/>
        </w:rPr>
        <w:t>=</w:t>
      </w:r>
      <w:r>
        <w:rPr>
          <w:rStyle w:val="NormalTok"/>
        </w:rPr>
        <w:t>data[pe_col].div(data[ee_col].where(data[ee_col].ne(</w:t>
      </w:r>
      <w:r>
        <w:rPr>
          <w:rStyle w:val="DecValTok"/>
        </w:rPr>
        <w:t>0</w:t>
      </w:r>
      <w:r>
        <w:rPr>
          <w:rStyle w:val="NormalTok"/>
        </w:rPr>
        <w:t>)))</w:t>
      </w:r>
      <w:r>
        <w:br/>
      </w:r>
      <w:r>
        <w:rPr>
          <w:rStyle w:val="NormalTok"/>
        </w:rPr>
        <w:t xml:space="preserve">    implicit.append(pd.DataFrame({</w:t>
      </w:r>
      <w:r>
        <w:rPr>
          <w:rStyle w:val="StringTok"/>
        </w:rPr>
        <w:t>'Archetype'</w:t>
      </w:r>
      <w:r>
        <w:rPr>
          <w:rStyle w:val="NormalTok"/>
        </w:rPr>
        <w:t>:data.Archetype,</w:t>
      </w:r>
      <w:r>
        <w:rPr>
          <w:rStyle w:val="StringTok"/>
        </w:rPr>
        <w:t>'Träger'</w:t>
      </w:r>
      <w:r>
        <w:rPr>
          <w:rStyle w:val="NormalTok"/>
        </w:rPr>
        <w:t>:carrier,</w:t>
      </w:r>
      <w:r>
        <w:rPr>
          <w:rStyle w:val="StringTok"/>
        </w:rPr>
        <w:t>'f_PE_effektiv'</w:t>
      </w:r>
      <w:r>
        <w:rPr>
          <w:rStyle w:val="NormalTok"/>
        </w:rPr>
        <w:t>:f,</w:t>
      </w:r>
      <w:r>
        <w:rPr>
          <w:rStyle w:val="StringTok"/>
        </w:rPr>
        <w:t>'Bezugsjahr'</w:t>
      </w:r>
      <w:r>
        <w:rPr>
          <w:rStyle w:val="NormalTok"/>
        </w:rPr>
        <w:t>:params[</w:t>
      </w:r>
      <w:r>
        <w:rPr>
          <w:rStyle w:val="StringTok"/>
        </w:rPr>
        <w:t>'jahr_pe_bewertung'</w:t>
      </w:r>
      <w:r>
        <w:rPr>
          <w:rStyle w:val="NormalTok"/>
        </w:rPr>
        <w:t>]}))</w:t>
      </w:r>
      <w:r>
        <w:br/>
      </w:r>
      <w:r>
        <w:rPr>
          <w:rStyle w:val="NormalTok"/>
        </w:rPr>
        <w:t>implicit</w:t>
      </w:r>
      <w:r>
        <w:rPr>
          <w:rStyle w:val="OperatorTok"/>
        </w:rPr>
        <w:t>=</w:t>
      </w:r>
      <w:r>
        <w:rPr>
          <w:rStyle w:val="NormalTok"/>
        </w:rPr>
        <w:t>pd.concat(implicit,ignore_index</w:t>
      </w:r>
      <w:r>
        <w:rPr>
          <w:rStyle w:val="OperatorTok"/>
        </w:rPr>
        <w:t>=</w:t>
      </w:r>
      <w:r>
        <w:rPr>
          <w:rStyle w:val="VariableTok"/>
        </w:rPr>
        <w:t>True</w:t>
      </w:r>
      <w:r>
        <w:rPr>
          <w:rStyle w:val="NormalTok"/>
        </w:rPr>
        <w:t>)</w:t>
      </w:r>
      <w:r>
        <w:rPr>
          <w:rStyle w:val="OperatorTok"/>
        </w:rPr>
        <w:t>;</w:t>
      </w:r>
      <w:r>
        <w:rPr>
          <w:rStyle w:val="NormalTok"/>
        </w:rPr>
        <w:t>display(implicit.groupby(</w:t>
      </w:r>
      <w:r>
        <w:rPr>
          <w:rStyle w:val="StringTok"/>
        </w:rPr>
        <w:t>'Träger'</w:t>
      </w:r>
      <w:r>
        <w:rPr>
          <w:rStyle w:val="NormalTok"/>
        </w:rPr>
        <w:t>).f_PE_effektiv.agg([</w:t>
      </w:r>
      <w:r>
        <w:rPr>
          <w:rStyle w:val="StringTok"/>
        </w:rPr>
        <w:t>'min'</w:t>
      </w:r>
      <w:r>
        <w:rPr>
          <w:rStyle w:val="NormalTok"/>
        </w:rPr>
        <w:t>,</w:t>
      </w:r>
      <w:r>
        <w:rPr>
          <w:rStyle w:val="StringTok"/>
        </w:rPr>
        <w:t>'max'</w:t>
      </w:r>
      <w:r>
        <w:rPr>
          <w:rStyle w:val="NormalTok"/>
        </w:rPr>
        <w:t>]))</w:t>
      </w:r>
      <w:r>
        <w:br/>
      </w:r>
      <w:r>
        <w:rPr>
          <w:rStyle w:val="NormalTok"/>
        </w:rPr>
        <w:t>primary.to_csv(OUT</w:t>
      </w:r>
      <w:r>
        <w:rPr>
          <w:rStyle w:val="OperatorTok"/>
        </w:rPr>
        <w:t>/</w:t>
      </w:r>
      <w:r>
        <w:rPr>
          <w:rStyle w:val="StringTok"/>
        </w:rPr>
        <w:t>'primaerenergiebilanz.csv'</w:t>
      </w:r>
      <w:r>
        <w:rPr>
          <w:rStyle w:val="NormalTok"/>
        </w:rPr>
        <w:t>,index</w:t>
      </w:r>
      <w:r>
        <w:rPr>
          <w:rStyle w:val="OperatorTok"/>
        </w:rPr>
        <w:t>=</w:t>
      </w:r>
      <w:r>
        <w:rPr>
          <w:rStyle w:val="VariableTok"/>
        </w:rPr>
        <w:t>False</w:t>
      </w:r>
      <w:r>
        <w:rPr>
          <w:rStyle w:val="NormalTok"/>
        </w:rPr>
        <w:t>)</w:t>
      </w:r>
      <w:r>
        <w:rPr>
          <w:rStyle w:val="OperatorTok"/>
        </w:rPr>
        <w:t>;</w:t>
      </w:r>
      <w:r>
        <w:rPr>
          <w:rStyle w:val="NormalTok"/>
        </w:rPr>
        <w:t>implicit.to_csv(OUT</w:t>
      </w:r>
      <w:r>
        <w:rPr>
          <w:rStyle w:val="OperatorTok"/>
        </w:rPr>
        <w:t>/</w:t>
      </w:r>
      <w:r>
        <w:rPr>
          <w:rStyle w:val="StringTok"/>
        </w:rPr>
        <w:t>'pe_faktoren_effektiv.csv'</w:t>
      </w:r>
      <w:r>
        <w:rPr>
          <w:rStyle w:val="NormalTok"/>
        </w:rPr>
        <w:t>,index</w:t>
      </w:r>
      <w:r>
        <w:rPr>
          <w:rStyle w:val="OperatorTok"/>
        </w:rPr>
        <w:t>=</w:t>
      </w:r>
      <w:r>
        <w:rPr>
          <w:rStyle w:val="VariableTok"/>
        </w:rPr>
        <w:t>False</w:t>
      </w:r>
      <w:r>
        <w:rPr>
          <w:rStyle w:val="NormalTok"/>
        </w:rPr>
        <w:t>)</w:t>
      </w:r>
    </w:p>
    <w:tbl>
      <w:tblPr>
        <w:tblStyle w:val="Table"/>
        <w:tblW w:w="0" w:type="auto"/>
        <w:tblLook w:val="0020" w:firstRow="1" w:lastRow="0" w:firstColumn="0" w:lastColumn="0" w:noHBand="0" w:noVBand="0"/>
      </w:tblPr>
      <w:tblGrid>
        <w:gridCol w:w="1121"/>
        <w:gridCol w:w="763"/>
        <w:gridCol w:w="412"/>
        <w:gridCol w:w="1847"/>
        <w:gridCol w:w="953"/>
        <w:gridCol w:w="953"/>
        <w:gridCol w:w="1521"/>
      </w:tblGrid>
      <w:tr w:rsidR="004E4CC2" w14:paraId="3F9A7735"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6A34167C" w14:textId="77777777" w:rsidR="004E4CC2" w:rsidRDefault="004E4CC2">
            <w:pPr>
              <w:pStyle w:val="Compact"/>
            </w:pPr>
          </w:p>
        </w:tc>
        <w:tc>
          <w:tcPr>
            <w:tcW w:w="0" w:type="auto"/>
            <w:gridSpan w:val="2"/>
          </w:tcPr>
          <w:p w14:paraId="6B4F938C" w14:textId="77777777" w:rsidR="004E4CC2" w:rsidRDefault="00000000">
            <w:pPr>
              <w:pStyle w:val="Compact"/>
            </w:pPr>
            <w:r>
              <w:t>Stand</w:t>
            </w:r>
          </w:p>
        </w:tc>
        <w:tc>
          <w:tcPr>
            <w:tcW w:w="0" w:type="auto"/>
          </w:tcPr>
          <w:p w14:paraId="66DC4F67" w14:textId="77777777" w:rsidR="004E4CC2" w:rsidRDefault="00000000">
            <w:pPr>
              <w:pStyle w:val="Compact"/>
            </w:pPr>
            <w:r>
              <w:t>Größe</w:t>
            </w:r>
          </w:p>
        </w:tc>
        <w:tc>
          <w:tcPr>
            <w:tcW w:w="0" w:type="auto"/>
            <w:gridSpan w:val="2"/>
          </w:tcPr>
          <w:p w14:paraId="2CDF11D6" w14:textId="77777777" w:rsidR="004E4CC2" w:rsidRDefault="00000000">
            <w:pPr>
              <w:pStyle w:val="Compact"/>
            </w:pPr>
            <w:r>
              <w:t>GWh_PE/a</w:t>
            </w:r>
          </w:p>
        </w:tc>
        <w:tc>
          <w:tcPr>
            <w:tcW w:w="0" w:type="auto"/>
          </w:tcPr>
          <w:p w14:paraId="04BC1C68" w14:textId="77777777" w:rsidR="004E4CC2" w:rsidRDefault="00000000">
            <w:pPr>
              <w:pStyle w:val="Compact"/>
            </w:pPr>
            <w:r>
              <w:t>PJ_PE/a</w:t>
            </w:r>
          </w:p>
        </w:tc>
      </w:tr>
      <w:tr w:rsidR="004E4CC2" w14:paraId="64939FB4" w14:textId="77777777">
        <w:tc>
          <w:tcPr>
            <w:tcW w:w="0" w:type="auto"/>
          </w:tcPr>
          <w:p w14:paraId="23DBF34A" w14:textId="77777777" w:rsidR="004E4CC2" w:rsidRDefault="00000000">
            <w:pPr>
              <w:pStyle w:val="Compact"/>
            </w:pPr>
            <w:r>
              <w:t>4</w:t>
            </w:r>
          </w:p>
        </w:tc>
        <w:tc>
          <w:tcPr>
            <w:tcW w:w="0" w:type="auto"/>
            <w:gridSpan w:val="2"/>
          </w:tcPr>
          <w:p w14:paraId="481118DA" w14:textId="77777777" w:rsidR="004E4CC2" w:rsidRDefault="00000000">
            <w:pPr>
              <w:pStyle w:val="Compact"/>
            </w:pPr>
            <w:r>
              <w:t>2040</w:t>
            </w:r>
          </w:p>
        </w:tc>
        <w:tc>
          <w:tcPr>
            <w:tcW w:w="0" w:type="auto"/>
          </w:tcPr>
          <w:p w14:paraId="52F33B29" w14:textId="77777777" w:rsidR="004E4CC2" w:rsidRDefault="00000000">
            <w:pPr>
              <w:pStyle w:val="Compact"/>
            </w:pPr>
            <w:r>
              <w:t>PEI_grid_import</w:t>
            </w:r>
          </w:p>
        </w:tc>
        <w:tc>
          <w:tcPr>
            <w:tcW w:w="0" w:type="auto"/>
            <w:gridSpan w:val="2"/>
          </w:tcPr>
          <w:p w14:paraId="5831772C" w14:textId="77777777" w:rsidR="004E4CC2" w:rsidRDefault="00000000">
            <w:pPr>
              <w:pStyle w:val="Compact"/>
            </w:pPr>
            <w:r>
              <w:t>59495.871149</w:t>
            </w:r>
          </w:p>
        </w:tc>
        <w:tc>
          <w:tcPr>
            <w:tcW w:w="0" w:type="auto"/>
          </w:tcPr>
          <w:p w14:paraId="7CB5C6AC" w14:textId="77777777" w:rsidR="004E4CC2" w:rsidRDefault="00000000">
            <w:pPr>
              <w:pStyle w:val="Compact"/>
            </w:pPr>
            <w:r>
              <w:t>214.185136</w:t>
            </w:r>
          </w:p>
        </w:tc>
      </w:tr>
      <w:tr w:rsidR="004E4CC2" w14:paraId="38792EFC" w14:textId="77777777">
        <w:tc>
          <w:tcPr>
            <w:tcW w:w="0" w:type="auto"/>
          </w:tcPr>
          <w:p w14:paraId="0E62B9E6" w14:textId="77777777" w:rsidR="004E4CC2" w:rsidRDefault="00000000">
            <w:pPr>
              <w:pStyle w:val="Compact"/>
            </w:pPr>
            <w:r>
              <w:t>5</w:t>
            </w:r>
          </w:p>
        </w:tc>
        <w:tc>
          <w:tcPr>
            <w:tcW w:w="0" w:type="auto"/>
            <w:gridSpan w:val="2"/>
          </w:tcPr>
          <w:p w14:paraId="7C82698B" w14:textId="77777777" w:rsidR="004E4CC2" w:rsidRDefault="00000000">
            <w:pPr>
              <w:pStyle w:val="Compact"/>
            </w:pPr>
            <w:r>
              <w:t>2040</w:t>
            </w:r>
          </w:p>
        </w:tc>
        <w:tc>
          <w:tcPr>
            <w:tcW w:w="0" w:type="auto"/>
          </w:tcPr>
          <w:p w14:paraId="3217F428" w14:textId="77777777" w:rsidR="004E4CC2" w:rsidRDefault="00000000">
            <w:pPr>
              <w:pStyle w:val="Compact"/>
            </w:pPr>
            <w:r>
              <w:t>PEI_import</w:t>
            </w:r>
          </w:p>
        </w:tc>
        <w:tc>
          <w:tcPr>
            <w:tcW w:w="0" w:type="auto"/>
            <w:gridSpan w:val="2"/>
          </w:tcPr>
          <w:p w14:paraId="5BFE6358" w14:textId="77777777" w:rsidR="004E4CC2" w:rsidRDefault="00000000">
            <w:pPr>
              <w:pStyle w:val="Compact"/>
            </w:pPr>
            <w:r>
              <w:t>137528.611871</w:t>
            </w:r>
          </w:p>
        </w:tc>
        <w:tc>
          <w:tcPr>
            <w:tcW w:w="0" w:type="auto"/>
          </w:tcPr>
          <w:p w14:paraId="49360561" w14:textId="77777777" w:rsidR="004E4CC2" w:rsidRDefault="00000000">
            <w:pPr>
              <w:pStyle w:val="Compact"/>
            </w:pPr>
            <w:r>
              <w:t>495.103003</w:t>
            </w:r>
          </w:p>
        </w:tc>
      </w:tr>
      <w:tr w:rsidR="004E4CC2" w14:paraId="76DA53B1" w14:textId="77777777">
        <w:tc>
          <w:tcPr>
            <w:tcW w:w="0" w:type="auto"/>
          </w:tcPr>
          <w:p w14:paraId="1C0C3DBC" w14:textId="77777777" w:rsidR="004E4CC2" w:rsidRDefault="00000000">
            <w:pPr>
              <w:pStyle w:val="Compact"/>
            </w:pPr>
            <w:r>
              <w:t>6</w:t>
            </w:r>
          </w:p>
        </w:tc>
        <w:tc>
          <w:tcPr>
            <w:tcW w:w="0" w:type="auto"/>
            <w:gridSpan w:val="2"/>
          </w:tcPr>
          <w:p w14:paraId="1CA91404" w14:textId="77777777" w:rsidR="004E4CC2" w:rsidRDefault="00000000">
            <w:pPr>
              <w:pStyle w:val="Compact"/>
            </w:pPr>
            <w:r>
              <w:t>2040</w:t>
            </w:r>
          </w:p>
        </w:tc>
        <w:tc>
          <w:tcPr>
            <w:tcW w:w="0" w:type="auto"/>
          </w:tcPr>
          <w:p w14:paraId="1D719235" w14:textId="77777777" w:rsidR="004E4CC2" w:rsidRDefault="00000000">
            <w:pPr>
              <w:pStyle w:val="Compact"/>
            </w:pPr>
            <w:r>
              <w:t>PEI_export</w:t>
            </w:r>
          </w:p>
        </w:tc>
        <w:tc>
          <w:tcPr>
            <w:tcW w:w="0" w:type="auto"/>
            <w:gridSpan w:val="2"/>
          </w:tcPr>
          <w:p w14:paraId="2902A9F0" w14:textId="77777777" w:rsidR="004E4CC2" w:rsidRDefault="00000000">
            <w:pPr>
              <w:pStyle w:val="Compact"/>
            </w:pPr>
            <w:r>
              <w:t>23816.432121</w:t>
            </w:r>
          </w:p>
        </w:tc>
        <w:tc>
          <w:tcPr>
            <w:tcW w:w="0" w:type="auto"/>
          </w:tcPr>
          <w:p w14:paraId="663E15E1" w14:textId="77777777" w:rsidR="004E4CC2" w:rsidRDefault="00000000">
            <w:pPr>
              <w:pStyle w:val="Compact"/>
            </w:pPr>
            <w:r>
              <w:t>85.739156</w:t>
            </w:r>
          </w:p>
        </w:tc>
      </w:tr>
      <w:tr w:rsidR="004E4CC2" w14:paraId="48F4DCD7" w14:textId="77777777">
        <w:tc>
          <w:tcPr>
            <w:tcW w:w="0" w:type="auto"/>
          </w:tcPr>
          <w:p w14:paraId="30C9B047" w14:textId="77777777" w:rsidR="004E4CC2" w:rsidRDefault="00000000">
            <w:pPr>
              <w:pStyle w:val="Compact"/>
            </w:pPr>
            <w:r>
              <w:t>7</w:t>
            </w:r>
          </w:p>
        </w:tc>
        <w:tc>
          <w:tcPr>
            <w:tcW w:w="0" w:type="auto"/>
            <w:gridSpan w:val="2"/>
          </w:tcPr>
          <w:p w14:paraId="447C5AC0" w14:textId="77777777" w:rsidR="004E4CC2" w:rsidRDefault="00000000">
            <w:pPr>
              <w:pStyle w:val="Compact"/>
            </w:pPr>
            <w:r>
              <w:t>2040</w:t>
            </w:r>
          </w:p>
        </w:tc>
        <w:tc>
          <w:tcPr>
            <w:tcW w:w="0" w:type="auto"/>
          </w:tcPr>
          <w:p w14:paraId="71B2521C" w14:textId="77777777" w:rsidR="004E4CC2" w:rsidRDefault="00000000">
            <w:pPr>
              <w:pStyle w:val="Compact"/>
            </w:pPr>
            <w:r>
              <w:t>PE_Saldo</w:t>
            </w:r>
          </w:p>
        </w:tc>
        <w:tc>
          <w:tcPr>
            <w:tcW w:w="0" w:type="auto"/>
            <w:gridSpan w:val="2"/>
          </w:tcPr>
          <w:p w14:paraId="6104FE9F" w14:textId="77777777" w:rsidR="004E4CC2" w:rsidRDefault="00000000">
            <w:pPr>
              <w:pStyle w:val="Compact"/>
            </w:pPr>
            <w:r>
              <w:t>-113712.179750</w:t>
            </w:r>
          </w:p>
        </w:tc>
        <w:tc>
          <w:tcPr>
            <w:tcW w:w="0" w:type="auto"/>
          </w:tcPr>
          <w:p w14:paraId="17A8FCBF" w14:textId="77777777" w:rsidR="004E4CC2" w:rsidRDefault="00000000">
            <w:pPr>
              <w:pStyle w:val="Compact"/>
            </w:pPr>
            <w:r>
              <w:t>-409.363847</w:t>
            </w:r>
          </w:p>
        </w:tc>
      </w:tr>
      <w:tr w:rsidR="004E4CC2" w14:paraId="051834E8" w14:textId="77777777" w:rsidTr="004E4CC2">
        <w:trPr>
          <w:tblHeader/>
        </w:trPr>
        <w:tc>
          <w:tcPr>
            <w:tcW w:w="0" w:type="auto"/>
            <w:gridSpan w:val="2"/>
          </w:tcPr>
          <w:p w14:paraId="74C8F972" w14:textId="77777777" w:rsidR="004E4CC2" w:rsidRDefault="004E4CC2">
            <w:pPr>
              <w:pStyle w:val="Compact"/>
            </w:pPr>
          </w:p>
        </w:tc>
        <w:tc>
          <w:tcPr>
            <w:tcW w:w="0" w:type="auto"/>
            <w:gridSpan w:val="3"/>
          </w:tcPr>
          <w:p w14:paraId="5D168658" w14:textId="77777777" w:rsidR="004E4CC2" w:rsidRDefault="00000000">
            <w:pPr>
              <w:pStyle w:val="Compact"/>
            </w:pPr>
            <w:r>
              <w:t>min</w:t>
            </w:r>
          </w:p>
        </w:tc>
        <w:tc>
          <w:tcPr>
            <w:tcW w:w="0" w:type="auto"/>
            <w:gridSpan w:val="2"/>
          </w:tcPr>
          <w:p w14:paraId="442CC897" w14:textId="77777777" w:rsidR="004E4CC2" w:rsidRDefault="00000000">
            <w:pPr>
              <w:pStyle w:val="Compact"/>
            </w:pPr>
            <w:r>
              <w:t>max</w:t>
            </w:r>
          </w:p>
        </w:tc>
      </w:tr>
      <w:tr w:rsidR="004E4CC2" w14:paraId="28EAAEB0" w14:textId="77777777" w:rsidTr="004E4CC2">
        <w:trPr>
          <w:tblHeader/>
        </w:trPr>
        <w:tc>
          <w:tcPr>
            <w:tcW w:w="0" w:type="auto"/>
            <w:gridSpan w:val="2"/>
          </w:tcPr>
          <w:p w14:paraId="0CB258EA" w14:textId="77777777" w:rsidR="004E4CC2" w:rsidRDefault="00000000">
            <w:pPr>
              <w:pStyle w:val="Compact"/>
            </w:pPr>
            <w:r>
              <w:t>Träger</w:t>
            </w:r>
          </w:p>
        </w:tc>
        <w:tc>
          <w:tcPr>
            <w:tcW w:w="0" w:type="auto"/>
            <w:gridSpan w:val="3"/>
          </w:tcPr>
          <w:p w14:paraId="3109B810" w14:textId="77777777" w:rsidR="004E4CC2" w:rsidRDefault="004E4CC2">
            <w:pPr>
              <w:pStyle w:val="Compact"/>
            </w:pPr>
          </w:p>
        </w:tc>
        <w:tc>
          <w:tcPr>
            <w:tcW w:w="0" w:type="auto"/>
            <w:gridSpan w:val="2"/>
          </w:tcPr>
          <w:p w14:paraId="5CE71A59" w14:textId="77777777" w:rsidR="004E4CC2" w:rsidRDefault="004E4CC2">
            <w:pPr>
              <w:pStyle w:val="Compact"/>
            </w:pPr>
          </w:p>
        </w:tc>
      </w:tr>
      <w:tr w:rsidR="004E4CC2" w14:paraId="3D8EE751" w14:textId="77777777">
        <w:tc>
          <w:tcPr>
            <w:tcW w:w="0" w:type="auto"/>
            <w:gridSpan w:val="2"/>
          </w:tcPr>
          <w:p w14:paraId="4E3C4E0F" w14:textId="77777777" w:rsidR="004E4CC2" w:rsidRDefault="00000000">
            <w:pPr>
              <w:pStyle w:val="Compact"/>
            </w:pPr>
            <w:r>
              <w:t>Biomasse</w:t>
            </w:r>
          </w:p>
        </w:tc>
        <w:tc>
          <w:tcPr>
            <w:tcW w:w="0" w:type="auto"/>
            <w:gridSpan w:val="3"/>
          </w:tcPr>
          <w:p w14:paraId="7A8B7128" w14:textId="77777777" w:rsidR="004E4CC2" w:rsidRDefault="00000000">
            <w:pPr>
              <w:pStyle w:val="Compact"/>
            </w:pPr>
            <w:r>
              <w:t>1.130000</w:t>
            </w:r>
          </w:p>
        </w:tc>
        <w:tc>
          <w:tcPr>
            <w:tcW w:w="0" w:type="auto"/>
            <w:gridSpan w:val="2"/>
          </w:tcPr>
          <w:p w14:paraId="52811852" w14:textId="77777777" w:rsidR="004E4CC2" w:rsidRDefault="00000000">
            <w:pPr>
              <w:pStyle w:val="Compact"/>
            </w:pPr>
            <w:r>
              <w:t>1.130000</w:t>
            </w:r>
          </w:p>
        </w:tc>
      </w:tr>
      <w:tr w:rsidR="004E4CC2" w14:paraId="42F6A1B4" w14:textId="77777777">
        <w:tc>
          <w:tcPr>
            <w:tcW w:w="0" w:type="auto"/>
            <w:gridSpan w:val="2"/>
          </w:tcPr>
          <w:p w14:paraId="2E4CECFD" w14:textId="77777777" w:rsidR="004E4CC2" w:rsidRDefault="00000000">
            <w:pPr>
              <w:pStyle w:val="Compact"/>
            </w:pPr>
            <w:r>
              <w:t>Fernwärme</w:t>
            </w:r>
          </w:p>
        </w:tc>
        <w:tc>
          <w:tcPr>
            <w:tcW w:w="0" w:type="auto"/>
            <w:gridSpan w:val="3"/>
          </w:tcPr>
          <w:p w14:paraId="582C623A" w14:textId="77777777" w:rsidR="004E4CC2" w:rsidRDefault="00000000">
            <w:pPr>
              <w:pStyle w:val="Compact"/>
            </w:pPr>
            <w:r>
              <w:t>0.330000</w:t>
            </w:r>
          </w:p>
        </w:tc>
        <w:tc>
          <w:tcPr>
            <w:tcW w:w="0" w:type="auto"/>
            <w:gridSpan w:val="2"/>
          </w:tcPr>
          <w:p w14:paraId="39C12D60" w14:textId="77777777" w:rsidR="004E4CC2" w:rsidRDefault="00000000">
            <w:pPr>
              <w:pStyle w:val="Compact"/>
            </w:pPr>
            <w:r>
              <w:t>1.681410</w:t>
            </w:r>
          </w:p>
        </w:tc>
      </w:tr>
      <w:tr w:rsidR="004E4CC2" w14:paraId="60C7C523" w14:textId="77777777">
        <w:tc>
          <w:tcPr>
            <w:tcW w:w="0" w:type="auto"/>
            <w:gridSpan w:val="2"/>
          </w:tcPr>
          <w:p w14:paraId="0AA64A77" w14:textId="77777777" w:rsidR="004E4CC2" w:rsidRDefault="00000000">
            <w:pPr>
              <w:pStyle w:val="Compact"/>
            </w:pPr>
            <w:r>
              <w:t>Gas</w:t>
            </w:r>
          </w:p>
        </w:tc>
        <w:tc>
          <w:tcPr>
            <w:tcW w:w="0" w:type="auto"/>
            <w:gridSpan w:val="3"/>
          </w:tcPr>
          <w:p w14:paraId="28836311" w14:textId="77777777" w:rsidR="004E4CC2" w:rsidRDefault="00000000">
            <w:pPr>
              <w:pStyle w:val="Compact"/>
            </w:pPr>
            <w:r>
              <w:t>1.100000</w:t>
            </w:r>
          </w:p>
        </w:tc>
        <w:tc>
          <w:tcPr>
            <w:tcW w:w="0" w:type="auto"/>
            <w:gridSpan w:val="2"/>
          </w:tcPr>
          <w:p w14:paraId="537C409E" w14:textId="77777777" w:rsidR="004E4CC2" w:rsidRDefault="00000000">
            <w:pPr>
              <w:pStyle w:val="Compact"/>
            </w:pPr>
            <w:r>
              <w:t>1.100000</w:t>
            </w:r>
          </w:p>
        </w:tc>
      </w:tr>
      <w:tr w:rsidR="004E4CC2" w14:paraId="0922D40B" w14:textId="77777777">
        <w:tc>
          <w:tcPr>
            <w:tcW w:w="0" w:type="auto"/>
            <w:gridSpan w:val="2"/>
          </w:tcPr>
          <w:p w14:paraId="6AE2C473" w14:textId="77777777" w:rsidR="004E4CC2" w:rsidRDefault="00000000">
            <w:pPr>
              <w:pStyle w:val="Compact"/>
            </w:pPr>
            <w:r>
              <w:t>Netzstrom</w:t>
            </w:r>
          </w:p>
        </w:tc>
        <w:tc>
          <w:tcPr>
            <w:tcW w:w="0" w:type="auto"/>
            <w:gridSpan w:val="3"/>
          </w:tcPr>
          <w:p w14:paraId="18976FD5" w14:textId="77777777" w:rsidR="004E4CC2" w:rsidRDefault="00000000">
            <w:pPr>
              <w:pStyle w:val="Compact"/>
            </w:pPr>
            <w:r>
              <w:t>1.815914</w:t>
            </w:r>
          </w:p>
        </w:tc>
        <w:tc>
          <w:tcPr>
            <w:tcW w:w="0" w:type="auto"/>
            <w:gridSpan w:val="2"/>
          </w:tcPr>
          <w:p w14:paraId="04AA0231" w14:textId="77777777" w:rsidR="004E4CC2" w:rsidRDefault="00000000">
            <w:pPr>
              <w:pStyle w:val="Compact"/>
            </w:pPr>
            <w:r>
              <w:t>2.027190</w:t>
            </w:r>
          </w:p>
        </w:tc>
      </w:tr>
      <w:tr w:rsidR="004E4CC2" w14:paraId="213CAA5B" w14:textId="77777777">
        <w:tc>
          <w:tcPr>
            <w:tcW w:w="0" w:type="auto"/>
            <w:gridSpan w:val="2"/>
          </w:tcPr>
          <w:p w14:paraId="182D4CFE" w14:textId="77777777" w:rsidR="004E4CC2" w:rsidRDefault="00000000">
            <w:pPr>
              <w:pStyle w:val="Compact"/>
            </w:pPr>
            <w:r>
              <w:t>PV-Export</w:t>
            </w:r>
          </w:p>
        </w:tc>
        <w:tc>
          <w:tcPr>
            <w:tcW w:w="0" w:type="auto"/>
            <w:gridSpan w:val="3"/>
          </w:tcPr>
          <w:p w14:paraId="1CEF5915" w14:textId="77777777" w:rsidR="004E4CC2" w:rsidRDefault="00000000">
            <w:pPr>
              <w:pStyle w:val="Compact"/>
            </w:pPr>
            <w:r>
              <w:t>1.437099</w:t>
            </w:r>
          </w:p>
        </w:tc>
        <w:tc>
          <w:tcPr>
            <w:tcW w:w="0" w:type="auto"/>
            <w:gridSpan w:val="2"/>
          </w:tcPr>
          <w:p w14:paraId="253945EF" w14:textId="77777777" w:rsidR="004E4CC2" w:rsidRDefault="00000000">
            <w:pPr>
              <w:pStyle w:val="Compact"/>
            </w:pPr>
            <w:r>
              <w:t>1.610513</w:t>
            </w:r>
          </w:p>
        </w:tc>
      </w:tr>
      <w:tr w:rsidR="004E4CC2" w14:paraId="7188943F" w14:textId="77777777">
        <w:tc>
          <w:tcPr>
            <w:tcW w:w="0" w:type="auto"/>
            <w:gridSpan w:val="2"/>
          </w:tcPr>
          <w:p w14:paraId="2F60384E" w14:textId="77777777" w:rsidR="004E4CC2" w:rsidRDefault="00000000">
            <w:pPr>
              <w:pStyle w:val="Compact"/>
            </w:pPr>
            <w:r>
              <w:t>Sonstige inkl. Öl</w:t>
            </w:r>
          </w:p>
        </w:tc>
        <w:tc>
          <w:tcPr>
            <w:tcW w:w="0" w:type="auto"/>
            <w:gridSpan w:val="3"/>
          </w:tcPr>
          <w:p w14:paraId="195CDA9C" w14:textId="77777777" w:rsidR="004E4CC2" w:rsidRDefault="00000000">
            <w:pPr>
              <w:pStyle w:val="Compact"/>
            </w:pPr>
            <w:r>
              <w:t>1.200000</w:t>
            </w:r>
          </w:p>
        </w:tc>
        <w:tc>
          <w:tcPr>
            <w:tcW w:w="0" w:type="auto"/>
            <w:gridSpan w:val="2"/>
          </w:tcPr>
          <w:p w14:paraId="1A3B5716" w14:textId="77777777" w:rsidR="004E4CC2" w:rsidRDefault="00000000">
            <w:pPr>
              <w:pStyle w:val="Compact"/>
            </w:pPr>
            <w:r>
              <w:t>1.200000</w:t>
            </w:r>
          </w:p>
        </w:tc>
      </w:tr>
    </w:tbl>
    <w:p w14:paraId="1FAC2A00" w14:textId="77777777" w:rsidR="004E4CC2" w:rsidRDefault="00000000">
      <w:pPr>
        <w:pStyle w:val="berschrift2"/>
      </w:pPr>
      <w:bookmarkStart w:id="402" w:name="sec-gebaeude-gfz"/>
      <w:bookmarkStart w:id="403" w:name="_Toc243681379"/>
      <w:bookmarkEnd w:id="400"/>
      <w:r>
        <w:t>E.7 7. GFZ-Zuordnung, Flächengewichtung und Dichte-Erwartungswert</w:t>
      </w:r>
      <w:bookmarkEnd w:id="403"/>
    </w:p>
    <w:p w14:paraId="2AD4183E" w14:textId="77777777" w:rsidR="004E4CC2" w:rsidRDefault="00000000">
      <w:pPr>
        <w:pStyle w:val="FirstParagraph"/>
      </w:pPr>
      <w:r>
        <w:t xml:space="preserve">Die Zuordnung aus </w:t>
      </w:r>
      <w:r>
        <w:rPr>
          <w:rStyle w:val="VerbatimChar"/>
        </w:rPr>
        <w:t>zuordnung_gfz</w:t>
      </w:r>
      <w:r>
        <w:t xml:space="preserve"> wird auf die Kategorien der vorhandenen GFZ-Hochrechnung 2021 übersetzt. Die Quellgruppen mit einer bzw. zwei Wohnungen haben identische Zuordnungen und werden </w:t>
      </w:r>
      <w:r>
        <w:rPr>
          <w:b/>
          <w:bCs/>
        </w:rPr>
        <w:t>einmal</w:t>
      </w:r>
      <w:r>
        <w:t xml:space="preserve"> auf die zusammengefasste GFZ-Gruppe „Ein- und Zweifamilienhäuser“ angewendet. Die 50/50-Aufteilung zwischen EFH_2G und RH_2G wird übernommen. Die vom Auftraggeber am 23.10.2026 bestätigte Regel lautet: </w:t>
      </w:r>
      <w:r>
        <w:rPr>
          <w:b/>
          <w:bCs/>
        </w:rPr>
        <w:t>Eine einzige Zielklasse erhält 100 %; die zweite Zielspalte dient nur einer Aufteilung.</w:t>
      </w:r>
      <w:r>
        <w:t xml:space="preserve"> Die aktualisierte Excel enthält diese 100-%-Werte nun explizit. Es sind keine fehlenden Quellanteile mehr zu ergänzen. Die Regel bleibt für weitere Einzelzuordnungen implementiert und wird im Audit protokolliert. MFH_2G hat keine Zuordnung und keine positive Fläche; sein Erwartungswert bleibt leer. Es wird kein Ersatz aus anderen Gebäudetypen erfunden.</w:t>
      </w:r>
    </w:p>
    <w:p w14:paraId="25B2DEFD" w14:textId="77777777" w:rsidR="004E4CC2" w:rsidRDefault="00000000">
      <w:pPr>
        <w:pStyle w:val="Textkrper"/>
      </w:pPr>
      <w:r>
        <w:t xml:space="preserve">Aus GFZ-Referenzfläche </w:t>
      </w:r>
      <m:oMath>
        <m:sSub>
          <m:sSubPr>
            <m:ctrlPr>
              <w:rPr>
                <w:rFonts w:ascii="Cambria Math" w:hAnsi="Cambria Math"/>
              </w:rPr>
            </m:ctrlPr>
          </m:sSubPr>
          <m:e>
            <m:r>
              <w:rPr>
                <w:rFonts w:ascii="Cambria Math" w:hAnsi="Cambria Math"/>
              </w:rPr>
              <m:t>R</m:t>
            </m:r>
          </m:e>
          <m:sub>
            <m:r>
              <w:rPr>
                <w:rFonts w:ascii="Cambria Math" w:hAnsi="Cambria Math"/>
              </w:rPr>
              <m:t>u</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j</m:t>
            </m:r>
          </m:sub>
        </m:sSub>
      </m:oMath>
      <w:r>
        <w:t xml:space="preserve"> und Zuordnungsanteil </w:t>
      </w:r>
      <m:oMath>
        <m:sSub>
          <m:sSubPr>
            <m:ctrlPr>
              <w:rPr>
                <w:rFonts w:ascii="Cambria Math" w:hAnsi="Cambria Math"/>
              </w:rPr>
            </m:ctrlPr>
          </m:sSubPr>
          <m:e>
            <m:r>
              <w:rPr>
                <w:rFonts w:ascii="Cambria Math" w:hAnsi="Cambria Math"/>
              </w:rPr>
              <m:t>z</m:t>
            </m:r>
          </m:e>
          <m:sub>
            <m:r>
              <w:rPr>
                <w:rFonts w:ascii="Cambria Math" w:hAnsi="Cambria Math"/>
              </w:rPr>
              <m:t>u</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k</m:t>
            </m:r>
          </m:sub>
        </m:sSub>
      </m:oMath>
      <w:r>
        <w:t xml:space="preserve"> entsteht</w:t>
      </w:r>
    </w:p>
    <w:p w14:paraId="5A2148EE"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k</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u</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k</m:t>
                  </m:r>
                </m:sub>
              </m:sSub>
            </m:e>
          </m:nary>
          <m:sSub>
            <m:sSubPr>
              <m:ctrlPr>
                <w:rPr>
                  <w:rFonts w:ascii="Cambria Math" w:hAnsi="Cambria Math"/>
                </w:rPr>
              </m:ctrlPr>
            </m:sSubPr>
            <m:e>
              <m:r>
                <w:rPr>
                  <w:rFonts w:ascii="Cambria Math" w:hAnsi="Cambria Math"/>
                </w:rPr>
                <m:t>R</m:t>
              </m:r>
            </m:e>
            <m:sub>
              <m:r>
                <w:rPr>
                  <w:rFonts w:ascii="Cambria Math" w:hAnsi="Cambria Math"/>
                </w:rPr>
                <m:t>u</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k</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k</m:t>
                  </m:r>
                  <m:r>
                    <m:rPr>
                      <m:sty m:val="p"/>
                    </m:rPr>
                    <w:rPr>
                      <w:rFonts w:ascii="Cambria Math" w:hAnsi="Cambria Math"/>
                    </w:rPr>
                    <m:t>,</m:t>
                  </m:r>
                  <m:r>
                    <w:rPr>
                      <w:rFonts w:ascii="Cambria Math" w:hAnsi="Cambria Math"/>
                    </w:rPr>
                    <m:t>j</m:t>
                  </m:r>
                </m:sub>
              </m:sSub>
            </m:e>
          </m:nary>
          <m:r>
            <m:rPr>
              <m:sty m:val="p"/>
            </m:rPr>
            <w:rPr>
              <w:rFonts w:ascii="Cambria Math" w:hAnsi="Cambria Math"/>
            </w:rPr>
            <m:t>.</m:t>
          </m:r>
        </m:oMath>
      </m:oMathPara>
    </w:p>
    <w:p w14:paraId="49F7B511" w14:textId="77777777" w:rsidR="004E4CC2" w:rsidRDefault="00000000">
      <w:pPr>
        <w:pStyle w:val="FirstParagraph"/>
      </w:pPr>
      <w:r>
        <w:t xml:space="preserve">Diese </w:t>
      </w:r>
      <w:r>
        <w:rPr>
          <w:b/>
          <w:bCs/>
        </w:rPr>
        <w:t>bedingte Verteilung</w:t>
      </w:r>
      <w:r>
        <w:t xml:space="preserve"> wird auf die unabhängig gelieferte Typenfläche übertragen: </w:t>
      </w:r>
      <m:oMath>
        <m:sSubSup>
          <m:sSubSupPr>
            <m:ctrlPr>
              <w:rPr>
                <w:rFonts w:ascii="Cambria Math" w:hAnsi="Cambria Math"/>
              </w:rPr>
            </m:ctrlPr>
          </m:sSubSup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up>
            <m:r>
              <w:rPr>
                <w:rFonts w:ascii="Cambria Math" w:hAnsi="Cambria Math"/>
              </w:rPr>
              <m:t>2040</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2040</m:t>
            </m:r>
          </m:sup>
        </m:sSubSup>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oMath>
      <w:r>
        <w:t>. Die Referenzfläche wird nicht als zusätzliche nationale Fläche addiert. Die Annahme ist, dass Hüll- und Technikvarianten derselben Geometrie die gleiche Dichteverteilung besitzen; eine räumliche Änderung bis 2040 ist damit noch nicht modelliert. Die vorhandene freigegebene GFZ-Ersatzregel (1,696 % Referenz-BGF) bleibt unverändert.</w:t>
      </w:r>
    </w:p>
    <w:p w14:paraId="3EEA2884" w14:textId="77777777" w:rsidR="004E4CC2" w:rsidRDefault="00000000">
      <w:pPr>
        <w:pStyle w:val="Textkrper"/>
      </w:pPr>
      <w:r>
        <w:t xml:space="preserve">Als historische </w:t>
      </w:r>
      <w:r>
        <w:rPr>
          <w:b/>
          <w:bCs/>
        </w:rPr>
        <w:t>elektrische</w:t>
      </w:r>
      <w:r>
        <w:t xml:space="preserve"> Referenz wird die Tabellenparametrisierung der PED-Typen aus Schneider et al. (2023), Gl. 7/Tabelle 5, verwendet (Schneider u. a. 2023):</w:t>
      </w:r>
    </w:p>
    <w:p w14:paraId="3821138A" w14:textId="77777777" w:rsidR="004E4CC2" w:rsidRDefault="00000000">
      <w:pPr>
        <w:pStyle w:val="Textkrper"/>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D</m:t>
              </m:r>
            </m:sub>
            <m:sup>
              <m:r>
                <w:rPr>
                  <w:rFonts w:ascii="Cambria Math" w:hAnsi="Cambria Math"/>
                </w:rPr>
                <m:t>el</m:t>
              </m:r>
            </m:sup>
          </m:sSubSup>
          <m:r>
            <m:rPr>
              <m:sty m:val="p"/>
            </m:rPr>
            <w:rPr>
              <w:rFonts w:ascii="Cambria Math" w:hAnsi="Cambria Math"/>
            </w:rPr>
            <m:t>(</m:t>
          </m:r>
          <m:r>
            <w:rPr>
              <w:rFonts w:ascii="Cambria Math" w:hAnsi="Cambria Math"/>
            </w:rPr>
            <m:t>d</m:t>
          </m:r>
          <m:r>
            <m:rPr>
              <m:sty m:val="p"/>
            </m:rPr>
            <w:rPr>
              <w:rFonts w:ascii="Cambria Math" w:hAnsi="Cambria Math"/>
            </w:rPr>
            <m:t>)=-min</m:t>
          </m:r>
          <m:d>
            <m:dPr>
              <m:ctrlPr>
                <w:rPr>
                  <w:rFonts w:ascii="Cambria Math" w:hAnsi="Cambria Math"/>
                </w:rPr>
              </m:ctrlPr>
            </m:dPr>
            <m:e>
              <m:f>
                <m:fPr>
                  <m:ctrlPr>
                    <w:rPr>
                      <w:rFonts w:ascii="Cambria Math" w:hAnsi="Cambria Math"/>
                    </w:rPr>
                  </m:ctrlPr>
                </m:fPr>
                <m:num>
                  <m:r>
                    <w:rPr>
                      <w:rFonts w:ascii="Cambria Math" w:hAnsi="Cambria Math"/>
                    </w:rPr>
                    <m:t>30</m:t>
                  </m:r>
                  <m:r>
                    <m:rPr>
                      <m:sty m:val="p"/>
                    </m:rPr>
                    <w:rPr>
                      <w:rFonts w:ascii="Cambria Math" w:hAnsi="Cambria Math"/>
                    </w:rPr>
                    <m:t>,</m:t>
                  </m:r>
                  <m:r>
                    <w:rPr>
                      <w:rFonts w:ascii="Cambria Math" w:hAnsi="Cambria Math"/>
                    </w:rPr>
                    <m:t>4</m:t>
                  </m:r>
                </m:num>
                <m:den>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m:t>
                  </m:r>
                </m:den>
              </m:f>
              <m:r>
                <m:rPr>
                  <m:sty m:val="p"/>
                </m:rPr>
                <w:rPr>
                  <w:rFonts w:ascii="Cambria Math" w:hAnsi="Cambria Math"/>
                </w:rPr>
                <m:t>-</m:t>
              </m:r>
              <m:r>
                <w:rPr>
                  <w:rFonts w:ascii="Cambria Math" w:hAnsi="Cambria Math"/>
                </w:rPr>
                <m:t>26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62</m:t>
              </m:r>
            </m:e>
          </m:d>
          <m:r>
            <w:rPr>
              <w:rFonts w:ascii="Cambria Math" w:hAnsi="Cambria Math"/>
            </w:rPr>
            <m:t> </m:t>
          </m:r>
          <m:r>
            <m:rPr>
              <m:sty m:val="p"/>
            </m:rPr>
            <w:rPr>
              <w:rFonts w:ascii="Cambria Math" w:hAnsi="Cambria Math"/>
            </w:rPr>
            <m:t>[</m:t>
          </m:r>
          <m:r>
            <w:rPr>
              <w:rFonts w:ascii="Cambria Math" w:hAnsi="Cambria Math"/>
            </w:rPr>
            <m:t>kWh</m:t>
          </m:r>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 BGF a</m:t>
          </m:r>
          <m:r>
            <m:rPr>
              <m:sty m:val="p"/>
            </m:rPr>
            <w:rPr>
              <w:rFonts w:ascii="Cambria Math" w:hAnsi="Cambria Math"/>
            </w:rPr>
            <m:t>)].</m:t>
          </m:r>
        </m:oMath>
      </m:oMathPara>
    </w:p>
    <w:p w14:paraId="67F768D3" w14:textId="77777777" w:rsidR="004E4CC2" w:rsidRDefault="00000000">
      <w:pPr>
        <w:pStyle w:val="FirstParagraph"/>
      </w:pPr>
      <w:r>
        <w:t xml:space="preserve">Die Originaltabelle enthält widersprüchliche EE-/PE-Einheitenbeschriftungen (insbesondere bei der Begrenzung). Hier wird die elektrische Tabellenlesart als </w:t>
      </w:r>
      <w:r>
        <w:rPr>
          <w:b/>
          <w:bCs/>
        </w:rPr>
        <w:t>Referenzansatz</w:t>
      </w:r>
      <w:r>
        <w:t xml:space="preserve"> dokumentiert; daraus entsteht keine neu freigegebene Anforderung. Die bereits PE-gewichteten Kontextwerte der Einzelsimulation werden nicht als EE ausgegeben und nicht zur GFZ-Hochrechnung benutzt. Positive </w:t>
      </w:r>
      <m:oMath>
        <m:sSub>
          <m:sSubPr>
            <m:ctrlPr>
              <w:rPr>
                <w:rFonts w:ascii="Cambria Math" w:hAnsi="Cambria Math"/>
              </w:rPr>
            </m:ctrlPr>
          </m:sSubPr>
          <m:e>
            <m:r>
              <w:rPr>
                <w:rFonts w:ascii="Cambria Math" w:hAnsi="Cambria Math"/>
              </w:rPr>
              <m:t>c</m:t>
            </m:r>
          </m:e>
          <m:sub>
            <m:r>
              <w:rPr>
                <w:rFonts w:ascii="Cambria Math" w:hAnsi="Cambria Math"/>
              </w:rPr>
              <m:t>D</m:t>
            </m:r>
          </m:sub>
        </m:sSub>
      </m:oMath>
      <w:r>
        <w:t xml:space="preserve"> sind virtuelle Gutschriften, negative zusätzliche Anforderungen.</w:t>
      </w:r>
    </w:p>
    <w:p w14:paraId="197D62BC" w14:textId="77777777" w:rsidR="004E4CC2" w:rsidRDefault="00000000">
      <w:pPr>
        <w:pStyle w:val="Textkrper"/>
      </w:pPr>
      <m:oMathPara>
        <m:oMathParaPr>
          <m:jc m:val="center"/>
        </m:oMathParaP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GFZ</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e>
          </m:nary>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e>
          </m:nary>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oMath>
      </m:oMathPara>
    </w:p>
    <w:p w14:paraId="7A419857" w14:textId="77777777" w:rsidR="004E4CC2" w:rsidRDefault="00000000">
      <w:pPr>
        <w:pStyle w:val="FirstParagraph"/>
      </w:pPr>
      <w:r>
        <w:t xml:space="preserve">Wegen der Nichtlinearität gilt im Allgemeinen </w:t>
      </w:r>
      <m:oMath>
        <m:r>
          <m:rPr>
            <m:scr m:val="double-struck"/>
            <m:sty m:val="p"/>
          </m:rP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r>
          <m:rPr>
            <m:scr m:val="double-struck"/>
            <m:sty m:val="p"/>
          </m:rPr>
          <w:rPr>
            <w:rFonts w:ascii="Cambria Math" w:hAnsi="Cambria Math"/>
          </w:rPr>
          <m:t>(E[</m:t>
        </m:r>
        <m:r>
          <w:rPr>
            <w:rFonts w:ascii="Cambria Math" w:hAnsi="Cambria Math"/>
          </w:rPr>
          <m:t>d</m:t>
        </m:r>
        <m:r>
          <m:rPr>
            <m:sty m:val="p"/>
          </m:rPr>
          <w:rPr>
            <w:rFonts w:ascii="Cambria Math" w:hAnsi="Cambria Math"/>
          </w:rPr>
          <m:t>])</m:t>
        </m:r>
      </m:oMath>
      <w:r>
        <w:t xml:space="preserve">. NGF-spezifische Kontextwerte ergeben sich durch Division durch </w:t>
      </w:r>
      <m:oMath>
        <m:r>
          <w:rPr>
            <w:rFonts w:ascii="Cambria Math" w:hAnsi="Cambria Math"/>
          </w:rPr>
          <m:t>r</m:t>
        </m:r>
      </m:oMath>
      <w:r>
        <w:t xml:space="preserve">, noch </w:t>
      </w:r>
      <w:r>
        <w:rPr>
          <w:b/>
          <w:bCs/>
        </w:rPr>
        <w:t>ohne PE-Umrechnung</w:t>
      </w:r>
      <w:r>
        <w:t>. Die Verteilung des Kontextwerts wird für jeden GFZ-Bin exportiert; die Typenerwartung beschreibt den Kalibrierungsansatz, nicht einer automatischen Gutschrift für alle Typen.</w:t>
      </w:r>
    </w:p>
    <w:p w14:paraId="417E3DD6" w14:textId="77777777" w:rsidR="004E4CC2" w:rsidRDefault="00000000">
      <w:pPr>
        <w:pStyle w:val="berschrift3"/>
      </w:pPr>
      <w:bookmarkStart w:id="404" w:name="was-bedeutet-der-erwartungswert"/>
      <w:bookmarkStart w:id="405" w:name="_Toc243681380"/>
      <w:r>
        <w:t>E.7.1 Was bedeutet der Erwartungswert?</w:t>
      </w:r>
      <w:bookmarkEnd w:id="405"/>
    </w:p>
    <w:tbl>
      <w:tblPr>
        <w:tblStyle w:val="Table"/>
        <w:tblW w:w="5000" w:type="pct"/>
        <w:tblLayout w:type="fixed"/>
        <w:tblLook w:val="0020" w:firstRow="1" w:lastRow="0" w:firstColumn="0" w:lastColumn="0" w:noHBand="0" w:noVBand="0"/>
      </w:tblPr>
      <w:tblGrid>
        <w:gridCol w:w="3208"/>
        <w:gridCol w:w="3207"/>
        <w:gridCol w:w="3207"/>
      </w:tblGrid>
      <w:tr w:rsidR="004E4CC2" w14:paraId="158E5B8C"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23171AE1" w14:textId="77777777" w:rsidR="004E4CC2" w:rsidRDefault="00000000">
            <w:pPr>
              <w:pStyle w:val="Compact"/>
            </w:pPr>
            <w:r>
              <w:t>Symbol</w:t>
            </w:r>
          </w:p>
        </w:tc>
        <w:tc>
          <w:tcPr>
            <w:tcW w:w="2640" w:type="dxa"/>
          </w:tcPr>
          <w:p w14:paraId="486EDEF0" w14:textId="77777777" w:rsidR="004E4CC2" w:rsidRDefault="00000000">
            <w:pPr>
              <w:pStyle w:val="Compact"/>
            </w:pPr>
            <w:r>
              <w:t>Bedeutung</w:t>
            </w:r>
          </w:p>
        </w:tc>
        <w:tc>
          <w:tcPr>
            <w:tcW w:w="2640" w:type="dxa"/>
          </w:tcPr>
          <w:p w14:paraId="606B75AD" w14:textId="77777777" w:rsidR="004E4CC2" w:rsidRDefault="00000000">
            <w:pPr>
              <w:pStyle w:val="Compact"/>
            </w:pPr>
            <w:r>
              <w:t>Einheit</w:t>
            </w:r>
          </w:p>
        </w:tc>
      </w:tr>
      <w:tr w:rsidR="004E4CC2" w14:paraId="22D3962C" w14:textId="77777777">
        <w:tc>
          <w:tcPr>
            <w:tcW w:w="2640" w:type="dxa"/>
          </w:tcPr>
          <w:p w14:paraId="115ABA57" w14:textId="77777777" w:rsidR="004E4CC2" w:rsidRDefault="00000000">
            <w:pPr>
              <w:pStyle w:val="Compact"/>
            </w:pPr>
            <m:oMath>
              <m:r>
                <w:rPr>
                  <w:rFonts w:ascii="Cambria Math" w:hAnsi="Cambria Math"/>
                </w:rPr>
                <m:t>k</m:t>
              </m:r>
            </m:oMath>
            <w:r>
              <w:t>​</w:t>
            </w:r>
          </w:p>
        </w:tc>
        <w:tc>
          <w:tcPr>
            <w:tcW w:w="2640" w:type="dxa"/>
          </w:tcPr>
          <w:p w14:paraId="60AB6316" w14:textId="77777777" w:rsidR="004E4CC2" w:rsidRDefault="00000000">
            <w:pPr>
              <w:pStyle w:val="Compact"/>
            </w:pPr>
            <w:r>
              <w:t>Energetischer Gebäudetyp; die GFZ-Verteilung folgt seiner Geometrie</w:t>
            </w:r>
          </w:p>
        </w:tc>
        <w:tc>
          <w:tcPr>
            <w:tcW w:w="2640" w:type="dxa"/>
          </w:tcPr>
          <w:p w14:paraId="2A0527C6" w14:textId="77777777" w:rsidR="004E4CC2" w:rsidRDefault="00000000">
            <w:pPr>
              <w:pStyle w:val="Compact"/>
            </w:pPr>
            <w:r>
              <w:t>–</w:t>
            </w:r>
          </w:p>
        </w:tc>
      </w:tr>
      <w:tr w:rsidR="004E4CC2" w14:paraId="7D5C3A88" w14:textId="77777777">
        <w:tc>
          <w:tcPr>
            <w:tcW w:w="2640" w:type="dxa"/>
          </w:tcPr>
          <w:p w14:paraId="2A34D527" w14:textId="77777777" w:rsidR="004E4CC2" w:rsidRDefault="00000000">
            <w:pPr>
              <w:pStyle w:val="Compact"/>
            </w:pPr>
            <m:oMath>
              <m:r>
                <w:rPr>
                  <w:rFonts w:ascii="Cambria Math" w:hAnsi="Cambria Math"/>
                </w:rPr>
                <m:t>u</m:t>
              </m:r>
              <m:r>
                <m:rPr>
                  <m:sty m:val="p"/>
                </m:rPr>
                <w:rPr>
                  <w:rFonts w:ascii="Cambria Math" w:hAnsi="Cambria Math"/>
                </w:rPr>
                <m:t>,</m:t>
              </m:r>
              <m:r>
                <w:rPr>
                  <w:rFonts w:ascii="Cambria Math" w:hAnsi="Cambria Math"/>
                </w:rPr>
                <m:t>g</m:t>
              </m:r>
            </m:oMath>
            <w:r>
              <w:t>​</w:t>
            </w:r>
          </w:p>
        </w:tc>
        <w:tc>
          <w:tcPr>
            <w:tcW w:w="2640" w:type="dxa"/>
          </w:tcPr>
          <w:p w14:paraId="47E1F15D" w14:textId="77777777" w:rsidR="004E4CC2" w:rsidRDefault="00000000">
            <w:pPr>
              <w:pStyle w:val="Compact"/>
            </w:pPr>
            <w:r>
              <w:t>Statistische Nutzung und Geschoßklasse</w:t>
            </w:r>
          </w:p>
        </w:tc>
        <w:tc>
          <w:tcPr>
            <w:tcW w:w="2640" w:type="dxa"/>
          </w:tcPr>
          <w:p w14:paraId="41F55F77" w14:textId="77777777" w:rsidR="004E4CC2" w:rsidRDefault="00000000">
            <w:pPr>
              <w:pStyle w:val="Compact"/>
            </w:pPr>
            <w:r>
              <w:t>–</w:t>
            </w:r>
          </w:p>
        </w:tc>
      </w:tr>
      <w:tr w:rsidR="004E4CC2" w14:paraId="6743E7FA" w14:textId="77777777">
        <w:tc>
          <w:tcPr>
            <w:tcW w:w="2640" w:type="dxa"/>
          </w:tcPr>
          <w:p w14:paraId="563E7F99" w14:textId="77777777" w:rsidR="004E4CC2" w:rsidRDefault="00000000">
            <w:pPr>
              <w:pStyle w:val="Compact"/>
            </w:pPr>
            <m:oMath>
              <m:r>
                <w:rPr>
                  <w:rFonts w:ascii="Cambria Math" w:hAnsi="Cambria Math"/>
                </w:rPr>
                <m:t>j</m:t>
              </m:r>
            </m:oMath>
            <w:r>
              <w:t>​</w:t>
            </w:r>
          </w:p>
        </w:tc>
        <w:tc>
          <w:tcPr>
            <w:tcW w:w="2640" w:type="dxa"/>
          </w:tcPr>
          <w:p w14:paraId="36B1E4BA" w14:textId="77777777" w:rsidR="004E4CC2" w:rsidRDefault="00000000">
            <w:pPr>
              <w:pStyle w:val="Compact"/>
            </w:pPr>
            <w:r>
              <w:t>GFZ-Bin im Referenzraster</w:t>
            </w:r>
          </w:p>
        </w:tc>
        <w:tc>
          <w:tcPr>
            <w:tcW w:w="2640" w:type="dxa"/>
          </w:tcPr>
          <w:p w14:paraId="61A08CBC" w14:textId="77777777" w:rsidR="004E4CC2" w:rsidRDefault="00000000">
            <w:pPr>
              <w:pStyle w:val="Compact"/>
            </w:pPr>
            <w:r>
              <w:t>–</w:t>
            </w:r>
          </w:p>
        </w:tc>
      </w:tr>
      <w:tr w:rsidR="004E4CC2" w14:paraId="619DA10D" w14:textId="77777777">
        <w:tc>
          <w:tcPr>
            <w:tcW w:w="2640" w:type="dxa"/>
          </w:tcPr>
          <w:p w14:paraId="3327604D" w14:textId="77777777" w:rsidR="004E4CC2" w:rsidRDefault="00000000">
            <w:pPr>
              <w:pStyle w:val="Compact"/>
            </w:pPr>
            <m:oMath>
              <m:sSub>
                <m:sSubPr>
                  <m:ctrlPr>
                    <w:rPr>
                      <w:rFonts w:ascii="Cambria Math" w:hAnsi="Cambria Math"/>
                    </w:rPr>
                  </m:ctrlPr>
                </m:sSubPr>
                <m:e>
                  <m:r>
                    <w:rPr>
                      <w:rFonts w:ascii="Cambria Math" w:hAnsi="Cambria Math"/>
                    </w:rPr>
                    <m:t>d</m:t>
                  </m:r>
                </m:e>
                <m:sub>
                  <m:r>
                    <w:rPr>
                      <w:rFonts w:ascii="Cambria Math" w:hAnsi="Cambria Math"/>
                    </w:rPr>
                    <m:t>j</m:t>
                  </m:r>
                </m:sub>
              </m:sSub>
            </m:oMath>
            <w:r>
              <w:t>​</w:t>
            </w:r>
          </w:p>
        </w:tc>
        <w:tc>
          <w:tcPr>
            <w:tcW w:w="2640" w:type="dxa"/>
          </w:tcPr>
          <w:p w14:paraId="08A634D4" w14:textId="77777777" w:rsidR="004E4CC2" w:rsidRDefault="00000000">
            <w:pPr>
              <w:pStyle w:val="Compact"/>
            </w:pPr>
            <w:r>
              <w:t>GFZ des Bins</w:t>
            </w:r>
          </w:p>
        </w:tc>
        <w:tc>
          <w:tcPr>
            <w:tcW w:w="2640" w:type="dxa"/>
          </w:tcPr>
          <w:p w14:paraId="6B456E19" w14:textId="77777777" w:rsidR="004E4CC2" w:rsidRDefault="00000000">
            <w:pPr>
              <w:pStyle w:val="Compact"/>
            </w:pPr>
            <w:r>
              <w:t>m² BGF / m² Grundstück</w:t>
            </w:r>
          </w:p>
        </w:tc>
      </w:tr>
      <w:tr w:rsidR="004E4CC2" w14:paraId="714ED8DE" w14:textId="77777777">
        <w:tc>
          <w:tcPr>
            <w:tcW w:w="2640" w:type="dxa"/>
          </w:tcPr>
          <w:p w14:paraId="7738662E" w14:textId="77777777" w:rsidR="004E4CC2" w:rsidRDefault="00000000">
            <w:pPr>
              <w:pStyle w:val="Compact"/>
            </w:pPr>
            <m:oMath>
              <m:sSub>
                <m:sSubPr>
                  <m:ctrlPr>
                    <w:rPr>
                      <w:rFonts w:ascii="Cambria Math" w:hAnsi="Cambria Math"/>
                    </w:rPr>
                  </m:ctrlPr>
                </m:sSubPr>
                <m:e>
                  <m:r>
                    <w:rPr>
                      <w:rFonts w:ascii="Cambria Math" w:hAnsi="Cambria Math"/>
                    </w:rPr>
                    <m:t>R</m:t>
                  </m:r>
                </m:e>
                <m:sub>
                  <m:r>
                    <w:rPr>
                      <w:rFonts w:ascii="Cambria Math" w:hAnsi="Cambria Math"/>
                    </w:rPr>
                    <m:t>u</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j</m:t>
                  </m:r>
                </m:sub>
              </m:sSub>
            </m:oMath>
            <w:r>
              <w:t>​</w:t>
            </w:r>
          </w:p>
        </w:tc>
        <w:tc>
          <w:tcPr>
            <w:tcW w:w="2640" w:type="dxa"/>
          </w:tcPr>
          <w:p w14:paraId="49B4F995" w14:textId="77777777" w:rsidR="004E4CC2" w:rsidRDefault="00000000">
            <w:pPr>
              <w:pStyle w:val="Compact"/>
            </w:pPr>
            <w:r>
              <w:t>Referenz-BGF der Nutzung/Geschoßklasse im Bin</w:t>
            </w:r>
          </w:p>
        </w:tc>
        <w:tc>
          <w:tcPr>
            <w:tcW w:w="2640" w:type="dxa"/>
          </w:tcPr>
          <w:p w14:paraId="3ED7A12C" w14:textId="77777777" w:rsidR="004E4CC2" w:rsidRDefault="00000000">
            <w:pPr>
              <w:pStyle w:val="Compact"/>
            </w:pPr>
            <w:r>
              <w:t>m² BGF</w:t>
            </w:r>
          </w:p>
        </w:tc>
      </w:tr>
      <w:tr w:rsidR="004E4CC2" w14:paraId="47EEF89B" w14:textId="77777777">
        <w:tc>
          <w:tcPr>
            <w:tcW w:w="2640" w:type="dxa"/>
          </w:tcPr>
          <w:p w14:paraId="78E2AC37" w14:textId="77777777" w:rsidR="004E4CC2" w:rsidRDefault="00000000">
            <w:pPr>
              <w:pStyle w:val="Compact"/>
            </w:pPr>
            <m:oMath>
              <m:sSub>
                <m:sSubPr>
                  <m:ctrlPr>
                    <w:rPr>
                      <w:rFonts w:ascii="Cambria Math" w:hAnsi="Cambria Math"/>
                    </w:rPr>
                  </m:ctrlPr>
                </m:sSubPr>
                <m:e>
                  <m:r>
                    <w:rPr>
                      <w:rFonts w:ascii="Cambria Math" w:hAnsi="Cambria Math"/>
                    </w:rPr>
                    <m:t>z</m:t>
                  </m:r>
                </m:e>
                <m:sub>
                  <m:r>
                    <w:rPr>
                      <w:rFonts w:ascii="Cambria Math" w:hAnsi="Cambria Math"/>
                    </w:rPr>
                    <m:t>u</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k</m:t>
                  </m:r>
                </m:sub>
              </m:sSub>
            </m:oMath>
            <w:r>
              <w:t>​</w:t>
            </w:r>
          </w:p>
        </w:tc>
        <w:tc>
          <w:tcPr>
            <w:tcW w:w="2640" w:type="dxa"/>
          </w:tcPr>
          <w:p w14:paraId="2AF5A5A7" w14:textId="77777777" w:rsidR="004E4CC2" w:rsidRDefault="00000000">
            <w:pPr>
              <w:pStyle w:val="Compact"/>
            </w:pPr>
            <w:r>
              <w:t xml:space="preserve">Zuordnungsanteil aus </w:t>
            </w:r>
            <w:r>
              <w:rPr>
                <w:rStyle w:val="VerbatimChar"/>
              </w:rPr>
              <w:t>zuordnung_gfz</w:t>
            </w:r>
          </w:p>
        </w:tc>
        <w:tc>
          <w:tcPr>
            <w:tcW w:w="2640" w:type="dxa"/>
          </w:tcPr>
          <w:p w14:paraId="2CE0D242" w14:textId="77777777" w:rsidR="004E4CC2" w:rsidRDefault="00000000">
            <w:pPr>
              <w:pStyle w:val="Compact"/>
            </w:pPr>
            <w:r>
              <w:t>0–1</w:t>
            </w:r>
          </w:p>
        </w:tc>
      </w:tr>
      <w:tr w:rsidR="004E4CC2" w14:paraId="3FB3FF6C" w14:textId="77777777">
        <w:tc>
          <w:tcPr>
            <w:tcW w:w="2640" w:type="dxa"/>
          </w:tcPr>
          <w:p w14:paraId="35C428DA" w14:textId="77777777" w:rsidR="004E4CC2" w:rsidRDefault="00000000">
            <w:pPr>
              <w:pStyle w:val="Compact"/>
            </w:pPr>
            <m:oMath>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oMath>
            <w:r>
              <w:t>​</w:t>
            </w:r>
          </w:p>
        </w:tc>
        <w:tc>
          <w:tcPr>
            <w:tcW w:w="2640" w:type="dxa"/>
          </w:tcPr>
          <w:p w14:paraId="4160052B" w14:textId="77777777" w:rsidR="004E4CC2" w:rsidRDefault="00000000">
            <w:pPr>
              <w:pStyle w:val="Compact"/>
            </w:pPr>
            <w:r>
              <w:t xml:space="preserve">Anteil des Bins an der BGF von Typ </w:t>
            </w:r>
            <m:oMath>
              <m:r>
                <w:rPr>
                  <w:rFonts w:ascii="Cambria Math" w:hAnsi="Cambria Math"/>
                </w:rPr>
                <m:t>k</m:t>
              </m:r>
            </m:oMath>
            <w:r>
              <w:t xml:space="preserve">; Summe über </w:t>
            </w:r>
            <m:oMath>
              <m:r>
                <w:rPr>
                  <w:rFonts w:ascii="Cambria Math" w:hAnsi="Cambria Math"/>
                </w:rPr>
                <m:t>j</m:t>
              </m:r>
            </m:oMath>
            <w:r>
              <w:t xml:space="preserve"> = 1</w:t>
            </w:r>
          </w:p>
        </w:tc>
        <w:tc>
          <w:tcPr>
            <w:tcW w:w="2640" w:type="dxa"/>
          </w:tcPr>
          <w:p w14:paraId="1BB31186" w14:textId="77777777" w:rsidR="004E4CC2" w:rsidRDefault="00000000">
            <w:pPr>
              <w:pStyle w:val="Compact"/>
            </w:pPr>
            <w:r>
              <w:t>0–1</w:t>
            </w:r>
          </w:p>
        </w:tc>
      </w:tr>
      <w:tr w:rsidR="004E4CC2" w14:paraId="0EFB8DA7" w14:textId="77777777">
        <w:tc>
          <w:tcPr>
            <w:tcW w:w="2640" w:type="dxa"/>
          </w:tcPr>
          <w:p w14:paraId="775A9F7B" w14:textId="77777777" w:rsidR="004E4CC2" w:rsidRDefault="00000000">
            <w:pPr>
              <w:pStyle w:val="Compact"/>
            </w:pPr>
            <m:oMath>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oMath>
            <w:r>
              <w:t>​</w:t>
            </w:r>
          </w:p>
        </w:tc>
        <w:tc>
          <w:tcPr>
            <w:tcW w:w="2640" w:type="dxa"/>
          </w:tcPr>
          <w:p w14:paraId="6AA53C4C" w14:textId="77777777" w:rsidR="004E4CC2" w:rsidRDefault="00000000">
            <w:pPr>
              <w:pStyle w:val="Compact"/>
            </w:pPr>
            <w:r>
              <w:t>Dichtewert im Bin; positiv = Gutschrift, negativ = Zusatzanforderung</w:t>
            </w:r>
          </w:p>
        </w:tc>
        <w:tc>
          <w:tcPr>
            <w:tcW w:w="2640" w:type="dxa"/>
          </w:tcPr>
          <w:p w14:paraId="6007314F" w14:textId="77777777" w:rsidR="004E4CC2" w:rsidRDefault="00000000">
            <w:pPr>
              <w:pStyle w:val="Compact"/>
            </w:pPr>
            <w:r>
              <w:t>kWh EE/(m² BGF·a)</w:t>
            </w:r>
          </w:p>
        </w:tc>
      </w:tr>
      <w:tr w:rsidR="004E4CC2" w14:paraId="027D32B3" w14:textId="77777777">
        <w:tc>
          <w:tcPr>
            <w:tcW w:w="2640" w:type="dxa"/>
          </w:tcPr>
          <w:p w14:paraId="6375ECFF" w14:textId="77777777" w:rsidR="004E4CC2" w:rsidRDefault="00000000">
            <w:pPr>
              <w:pStyle w:val="Compact"/>
            </w:pP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rPr>
                <m:t>]</m:t>
              </m:r>
            </m:oMath>
            <w:r>
              <w:t>​</w:t>
            </w:r>
          </w:p>
        </w:tc>
        <w:tc>
          <w:tcPr>
            <w:tcW w:w="2640" w:type="dxa"/>
          </w:tcPr>
          <w:p w14:paraId="3E11EEB8" w14:textId="77777777" w:rsidR="004E4CC2" w:rsidRDefault="00000000">
            <w:pPr>
              <w:pStyle w:val="Compact"/>
            </w:pPr>
            <w:r>
              <w:t xml:space="preserve">Mit </w:t>
            </w:r>
            <m:oMath>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oMath>
            <w:r>
              <w:t xml:space="preserve"> gewichteter mittlerer Dichtewert des Typs</w:t>
            </w:r>
          </w:p>
        </w:tc>
        <w:tc>
          <w:tcPr>
            <w:tcW w:w="2640" w:type="dxa"/>
          </w:tcPr>
          <w:p w14:paraId="50FFDAE4" w14:textId="77777777" w:rsidR="004E4CC2" w:rsidRDefault="00000000">
            <w:pPr>
              <w:pStyle w:val="Compact"/>
            </w:pPr>
            <w:r>
              <w:t>kWh EE/(m² BGF·a)</w:t>
            </w:r>
          </w:p>
        </w:tc>
      </w:tr>
      <w:tr w:rsidR="004E4CC2" w14:paraId="60929F0B" w14:textId="77777777">
        <w:tc>
          <w:tcPr>
            <w:tcW w:w="2640" w:type="dxa"/>
          </w:tcPr>
          <w:p w14:paraId="180EB6A6" w14:textId="77777777" w:rsidR="004E4CC2" w:rsidRDefault="00000000">
            <w:pPr>
              <w:pStyle w:val="Compact"/>
            </w:pPr>
            <m:oMath>
              <m:sSub>
                <m:sSubPr>
                  <m:ctrlPr>
                    <w:rPr>
                      <w:rFonts w:ascii="Cambria Math" w:hAnsi="Cambria Math"/>
                    </w:rPr>
                  </m:ctrlPr>
                </m:sSubPr>
                <m:e>
                  <m:r>
                    <w:rPr>
                      <w:rFonts w:ascii="Cambria Math" w:hAnsi="Cambria Math"/>
                    </w:rPr>
                    <m:t>A</m:t>
                  </m:r>
                </m:e>
                <m:sub>
                  <m:r>
                    <w:rPr>
                      <w:rFonts w:ascii="Cambria Math" w:hAnsi="Cambria Math"/>
                    </w:rPr>
                    <m:t>BGF</m:t>
                  </m:r>
                  <m:r>
                    <m:rPr>
                      <m:sty m:val="p"/>
                    </m:rPr>
                    <w:rPr>
                      <w:rFonts w:ascii="Cambria Math" w:hAnsi="Cambria Math"/>
                    </w:rPr>
                    <m:t>,</m:t>
                  </m:r>
                  <m:r>
                    <w:rPr>
                      <w:rFonts w:ascii="Cambria Math" w:hAnsi="Cambria Math"/>
                    </w:rPr>
                    <m:t>k</m:t>
                  </m:r>
                </m:sub>
              </m:sSub>
            </m:oMath>
            <w:r>
              <w:t>​</w:t>
            </w:r>
          </w:p>
        </w:tc>
        <w:tc>
          <w:tcPr>
            <w:tcW w:w="2640" w:type="dxa"/>
          </w:tcPr>
          <w:p w14:paraId="0781CBF0" w14:textId="77777777" w:rsidR="004E4CC2" w:rsidRDefault="00000000">
            <w:pPr>
              <w:pStyle w:val="Compact"/>
            </w:pPr>
            <w:r>
              <w:t>Nationale BGF des Typs 2040</w:t>
            </w:r>
          </w:p>
        </w:tc>
        <w:tc>
          <w:tcPr>
            <w:tcW w:w="2640" w:type="dxa"/>
          </w:tcPr>
          <w:p w14:paraId="19796133" w14:textId="77777777" w:rsidR="004E4CC2" w:rsidRDefault="00000000">
            <w:pPr>
              <w:pStyle w:val="Compact"/>
            </w:pPr>
            <w:r>
              <w:t>m² BGF</w:t>
            </w:r>
          </w:p>
        </w:tc>
      </w:tr>
      <w:tr w:rsidR="004E4CC2" w14:paraId="22C6F6D5" w14:textId="77777777">
        <w:tc>
          <w:tcPr>
            <w:tcW w:w="2640" w:type="dxa"/>
          </w:tcPr>
          <w:p w14:paraId="73EC47B4" w14:textId="77777777" w:rsidR="004E4CC2" w:rsidRDefault="00000000">
            <w:pPr>
              <w:pStyle w:val="Compact"/>
            </w:pPr>
            <m:oMath>
              <m:sSub>
                <m:sSubPr>
                  <m:ctrlPr>
                    <w:rPr>
                      <w:rFonts w:ascii="Cambria Math" w:hAnsi="Cambria Math"/>
                    </w:rPr>
                  </m:ctrlPr>
                </m:sSubPr>
                <m:e>
                  <m:r>
                    <w:rPr>
                      <w:rFonts w:ascii="Cambria Math" w:hAnsi="Cambria Math"/>
                    </w:rPr>
                    <m:t>C</m:t>
                  </m:r>
                </m:e>
                <m:sub>
                  <m:r>
                    <w:rPr>
                      <w:rFonts w:ascii="Cambria Math" w:hAnsi="Cambria Math"/>
                    </w:rPr>
                    <m:t>D</m:t>
                  </m:r>
                  <m:r>
                    <m:rPr>
                      <m:sty m:val="p"/>
                    </m:rPr>
                    <w:rPr>
                      <w:rFonts w:ascii="Cambria Math" w:hAnsi="Cambria Math"/>
                    </w:rPr>
                    <m:t>,</m:t>
                  </m:r>
                  <m:r>
                    <w:rPr>
                      <w:rFonts w:ascii="Cambria Math" w:hAnsi="Cambria Math"/>
                    </w:rPr>
                    <m:t>k</m:t>
                  </m:r>
                </m:sub>
              </m:sSub>
            </m:oMath>
            <w:r>
              <w:t>​</w:t>
            </w:r>
          </w:p>
        </w:tc>
        <w:tc>
          <w:tcPr>
            <w:tcW w:w="2640" w:type="dxa"/>
          </w:tcPr>
          <w:p w14:paraId="4A87B502" w14:textId="77777777" w:rsidR="004E4CC2" w:rsidRDefault="00000000">
            <w:pPr>
              <w:pStyle w:val="Compact"/>
            </w:pPr>
            <w:r>
              <w:t xml:space="preserve">Virtueller jährlicher Beitrag des Typs: </w:t>
            </w:r>
            <m:oMath>
              <m:sSub>
                <m:sSubPr>
                  <m:ctrlPr>
                    <w:rPr>
                      <w:rFonts w:ascii="Cambria Math" w:hAnsi="Cambria Math"/>
                    </w:rPr>
                  </m:ctrlPr>
                </m:sSubPr>
                <m:e>
                  <m:r>
                    <w:rPr>
                      <w:rFonts w:ascii="Cambria Math" w:hAnsi="Cambria Math"/>
                    </w:rPr>
                    <m:t>A</m:t>
                  </m:r>
                </m:e>
                <m:sub>
                  <m:r>
                    <w:rPr>
                      <w:rFonts w:ascii="Cambria Math" w:hAnsi="Cambria Math"/>
                    </w:rPr>
                    <m:t>BGF</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cr m:val="double-struck"/>
                      <m:sty m:val="p"/>
                    </m:rP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rPr>
                <m:t>]</m:t>
              </m:r>
            </m:oMath>
          </w:p>
        </w:tc>
        <w:tc>
          <w:tcPr>
            <w:tcW w:w="2640" w:type="dxa"/>
          </w:tcPr>
          <w:p w14:paraId="5337E7DD" w14:textId="77777777" w:rsidR="004E4CC2" w:rsidRDefault="00000000">
            <w:pPr>
              <w:pStyle w:val="Compact"/>
            </w:pPr>
            <w:r>
              <w:t>kWh EE-Äquivalent/a</w:t>
            </w:r>
          </w:p>
        </w:tc>
      </w:tr>
    </w:tbl>
    <w:p w14:paraId="45F81249" w14:textId="77777777" w:rsidR="004E4CC2" w:rsidRDefault="00000000">
      <w:pPr>
        <w:pStyle w:val="Textkrper"/>
      </w:pPr>
      <w:r>
        <w:rPr>
          <w:b/>
          <w:bCs/>
        </w:rPr>
        <w:t>Beispiel EFH_1G:</w:t>
      </w:r>
      <w:r>
        <w:t xml:space="preserve"> Der mittlere Kontextwert beträgt −41,63 kWh EE/(m² BGF·a). Bei 1 Mio. m² BGF entspricht dies −0,150 PJ-Äquivalent/a. Das negative Vorzeichen erhöht die Anforderung an diese Geometrie; es beschreibt keine zusätzliche Stromlast.</w:t>
      </w:r>
    </w:p>
    <w:p w14:paraId="58E24A3E" w14:textId="77777777" w:rsidR="004E4CC2" w:rsidRDefault="00000000">
      <w:pPr>
        <w:pStyle w:val="berschrift3"/>
      </w:pPr>
      <w:bookmarkStart w:id="406" w:name="anwendung-im-vergleichsfall"/>
      <w:bookmarkStart w:id="407" w:name="_Toc243681381"/>
      <w:bookmarkEnd w:id="404"/>
      <w:r>
        <w:t>E.7.2 Anwendung im Vergleichsfall</w:t>
      </w:r>
      <w:bookmarkEnd w:id="407"/>
    </w:p>
    <w:p w14:paraId="7C47108D" w14:textId="77777777" w:rsidR="004E4CC2" w:rsidRDefault="00000000">
      <w:pPr>
        <w:pStyle w:val="FirstParagraph"/>
      </w:pPr>
      <w:r>
        <w:t xml:space="preserve">Die physische Typenbilanz lautet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el</m:t>
            </m:r>
            <m:r>
              <m:rPr>
                <m:sty m:val="p"/>
              </m:rPr>
              <w:rPr>
                <w:rFonts w:ascii="Cambria Math" w:hAnsi="Cambria Math"/>
              </w:rPr>
              <m:t>,</m:t>
            </m:r>
            <m:r>
              <w:rPr>
                <w:rFonts w:ascii="Cambria Math" w:hAnsi="Cambria Math"/>
              </w:rPr>
              <m:t>k</m:t>
            </m:r>
          </m:sub>
        </m:sSub>
        <m:r>
          <m:rPr>
            <m:sty m:val="p"/>
          </m:rPr>
          <w:rPr>
            <w:rFonts w:ascii="Cambria Math" w:hAnsi="Cambria Math"/>
          </w:rPr>
          <m:t>)</m:t>
        </m:r>
      </m:oMath>
      <w:r>
        <w:t xml:space="preserve"> je m² BGF. Der Vergleichsfall ergänzt sie zu </w:t>
      </w:r>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rPr>
          <m:t>]</m:t>
        </m:r>
      </m:oMath>
      <w:r>
        <w:t>. Damit gilt national:</w:t>
      </w:r>
    </w:p>
    <w:p w14:paraId="4D52DDDE"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phys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BGF</m:t>
                  </m:r>
                  <m:r>
                    <m:rPr>
                      <m:sty m:val="p"/>
                    </m:rPr>
                    <w:rPr>
                      <w:rFonts w:ascii="Cambria Math" w:hAnsi="Cambria Math"/>
                    </w:rPr>
                    <m:t>,</m:t>
                  </m:r>
                  <m:r>
                    <w:rPr>
                      <w:rFonts w:ascii="Cambria Math" w:hAnsi="Cambria Math"/>
                    </w:rPr>
                    <m:t>k</m:t>
                  </m:r>
                </m:sub>
              </m:sSub>
            </m:e>
          </m:nary>
          <m:sSub>
            <m:sSubPr>
              <m:ctrlPr>
                <w:rPr>
                  <w:rFonts w:ascii="Cambria Math" w:hAnsi="Cambria Math"/>
                </w:rPr>
              </m:ctrlPr>
            </m:sSubPr>
            <m:e>
              <m:r>
                <m:rPr>
                  <m:scr m:val="double-struck"/>
                  <m:sty m:val="p"/>
                </m:rP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rPr>
            <m:t>].</m:t>
          </m:r>
        </m:oMath>
      </m:oMathPara>
    </w:p>
    <w:p w14:paraId="7F16762B" w14:textId="77777777" w:rsidR="004E4CC2" w:rsidRDefault="00000000">
      <w:pPr>
        <w:pStyle w:val="FirstParagraph"/>
      </w:pPr>
      <w:r>
        <w:t xml:space="preserve">Die anschließende Grafik zeigt Bedarf, PV und Kontextwert getrennt für </w:t>
      </w:r>
      <w:r>
        <w:rPr>
          <w:b/>
          <w:bCs/>
        </w:rPr>
        <w:t>alle 900 Typen</w:t>
      </w:r>
      <w:r>
        <w:t>. Geometrieauswahl und Achsenregler halten die Darstellung lesbar. Der Tooltip nennt die nationale BGF; Typen mit Nullfläche tragen national nichts bei. Für MFH_2G bleibt der nicht zugeordnete Kontextwert leer.</w:t>
      </w:r>
    </w:p>
    <w:p w14:paraId="1BC05EBD" w14:textId="77777777" w:rsidR="004E4CC2" w:rsidRDefault="00000000">
      <w:pPr>
        <w:pStyle w:val="Textkrper"/>
      </w:pPr>
      <w:r>
        <w:t>Für den nationalen Vergleich wird die historische Formel auf alle positiv gewichteten Flächen angewandt. Das ist eine explizite Bewertungsvariante, keine Festlegung, dass jede Fläche PEQ-berechtigt ist. Eine eingeschränkte Anwendung benötigt typenspezifische PEQ-Anteile. Die physischen Kennwerte und die PE-Bilanz werden durch diese Variante nicht verändert.</w:t>
      </w:r>
    </w:p>
    <w:p w14:paraId="3DFF29BD" w14:textId="77777777" w:rsidR="004E4CC2" w:rsidRDefault="00000000">
      <w:pPr>
        <w:pStyle w:val="SourceCode"/>
      </w:pPr>
      <w:r>
        <w:rPr>
          <w:rStyle w:val="NormalTok"/>
        </w:rPr>
        <w:t>mapping</w:t>
      </w:r>
      <w:r>
        <w:rPr>
          <w:rStyle w:val="OperatorTok"/>
        </w:rPr>
        <w:t>=</w:t>
      </w:r>
      <w:r>
        <w:rPr>
          <w:rStyle w:val="NormalTok"/>
        </w:rPr>
        <w:t>inputs[</w:t>
      </w:r>
      <w:r>
        <w:rPr>
          <w:rStyle w:val="StringTok"/>
        </w:rPr>
        <w:t>'GFZ_Zuordnung'</w:t>
      </w:r>
      <w:r>
        <w:rPr>
          <w:rStyle w:val="NormalTok"/>
        </w:rPr>
        <w:t>].copy()</w:t>
      </w:r>
      <w:r>
        <w:br/>
      </w:r>
      <w:r>
        <w:rPr>
          <w:rStyle w:val="NormalTok"/>
        </w:rPr>
        <w:t>use_map</w:t>
      </w:r>
      <w:r>
        <w:rPr>
          <w:rStyle w:val="OperatorTok"/>
        </w:rPr>
        <w:t>=</w:t>
      </w:r>
      <w:r>
        <w:rPr>
          <w:rStyle w:val="NormalTok"/>
        </w:rPr>
        <w:t>{</w:t>
      </w:r>
      <w:r>
        <w:rPr>
          <w:rStyle w:val="StringTok"/>
        </w:rPr>
        <w:t>'Gebäude für Gemeinschaften'</w:t>
      </w:r>
      <w:r>
        <w:rPr>
          <w:rStyle w:val="NormalTok"/>
        </w:rPr>
        <w:t>:</w:t>
      </w:r>
      <w:r>
        <w:rPr>
          <w:rStyle w:val="StringTok"/>
        </w:rPr>
        <w:t>'Gemeinschaftsgebäude'</w:t>
      </w:r>
      <w:r>
        <w:rPr>
          <w:rStyle w:val="NormalTok"/>
        </w:rPr>
        <w:t>,</w:t>
      </w:r>
      <w:r>
        <w:rPr>
          <w:rStyle w:val="StringTok"/>
        </w:rPr>
        <w:t>'Hotels und ähnliche Gebäude'</w:t>
      </w:r>
      <w:r>
        <w:rPr>
          <w:rStyle w:val="NormalTok"/>
        </w:rPr>
        <w:t>:</w:t>
      </w:r>
      <w:r>
        <w:rPr>
          <w:rStyle w:val="StringTok"/>
        </w:rPr>
        <w:t>'Hotels o.Ä.'</w:t>
      </w:r>
      <w:r>
        <w:rPr>
          <w:rStyle w:val="NormalTok"/>
        </w:rPr>
        <w:t>,</w:t>
      </w:r>
      <w:r>
        <w:br/>
      </w:r>
      <w:r>
        <w:rPr>
          <w:rStyle w:val="NormalTok"/>
        </w:rPr>
        <w:t xml:space="preserve"> </w:t>
      </w:r>
      <w:r>
        <w:rPr>
          <w:rStyle w:val="StringTok"/>
        </w:rPr>
        <w:t>'Bürogebäude'</w:t>
      </w:r>
      <w:r>
        <w:rPr>
          <w:rStyle w:val="NormalTok"/>
        </w:rPr>
        <w:t>:</w:t>
      </w:r>
      <w:r>
        <w:rPr>
          <w:rStyle w:val="StringTok"/>
        </w:rPr>
        <w:t>'Büronutzung'</w:t>
      </w:r>
      <w:r>
        <w:rPr>
          <w:rStyle w:val="NormalTok"/>
        </w:rPr>
        <w:t>,</w:t>
      </w:r>
      <w:r>
        <w:rPr>
          <w:rStyle w:val="StringTok"/>
        </w:rPr>
        <w:t>'Groß- und Einzelhandelsgebäude'</w:t>
      </w:r>
      <w:r>
        <w:rPr>
          <w:rStyle w:val="NormalTok"/>
        </w:rPr>
        <w:t>:</w:t>
      </w:r>
      <w:r>
        <w:rPr>
          <w:rStyle w:val="StringTok"/>
        </w:rPr>
        <w:t>'Groß- und Einzelhandelsgebäude'</w:t>
      </w:r>
      <w:r>
        <w:rPr>
          <w:rStyle w:val="NormalTok"/>
        </w:rPr>
        <w:t>,</w:t>
      </w:r>
      <w:r>
        <w:br/>
      </w:r>
      <w:r>
        <w:rPr>
          <w:rStyle w:val="NormalTok"/>
        </w:rPr>
        <w:t xml:space="preserve"> </w:t>
      </w:r>
      <w:r>
        <w:rPr>
          <w:rStyle w:val="StringTok"/>
        </w:rPr>
        <w:t>'Gebäude des Verkehrs- und Nachrichtenwesens'</w:t>
      </w:r>
      <w:r>
        <w:rPr>
          <w:rStyle w:val="NormalTok"/>
        </w:rPr>
        <w:t>:</w:t>
      </w:r>
      <w:r>
        <w:rPr>
          <w:rStyle w:val="StringTok"/>
        </w:rPr>
        <w:t>'Verkehrs- und Nachrichtenwesen'</w:t>
      </w:r>
      <w:r>
        <w:rPr>
          <w:rStyle w:val="NormalTok"/>
        </w:rPr>
        <w:t>,</w:t>
      </w:r>
      <w:r>
        <w:rPr>
          <w:rStyle w:val="StringTok"/>
        </w:rPr>
        <w:t>'Industrie- und Lagergebäude'</w:t>
      </w:r>
      <w:r>
        <w:rPr>
          <w:rStyle w:val="NormalTok"/>
        </w:rPr>
        <w:t>:</w:t>
      </w:r>
      <w:r>
        <w:rPr>
          <w:rStyle w:val="StringTok"/>
        </w:rPr>
        <w:t>'Industrie und Lagerung'</w:t>
      </w:r>
      <w:r>
        <w:rPr>
          <w:rStyle w:val="NormalTok"/>
        </w:rPr>
        <w:t>,</w:t>
      </w:r>
      <w:r>
        <w:br/>
      </w:r>
      <w:r>
        <w:rPr>
          <w:rStyle w:val="NormalTok"/>
        </w:rPr>
        <w:t xml:space="preserve"> </w:t>
      </w:r>
      <w:r>
        <w:rPr>
          <w:rStyle w:val="StringTok"/>
        </w:rPr>
        <w:t>'Gebäude für Kultur- und Freizeitzwecke sowie des Bildungs- und Gesundheitswesens'</w:t>
      </w:r>
      <w:r>
        <w:rPr>
          <w:rStyle w:val="NormalTok"/>
        </w:rPr>
        <w:t>:</w:t>
      </w:r>
      <w:r>
        <w:rPr>
          <w:rStyle w:val="StringTok"/>
        </w:rPr>
        <w:t>'Kultur, Freizeit, Bildung und Gesundheit'</w:t>
      </w:r>
      <w:r>
        <w:rPr>
          <w:rStyle w:val="NormalTok"/>
        </w:rPr>
        <w:t>,</w:t>
      </w:r>
      <w:r>
        <w:br/>
      </w:r>
      <w:r>
        <w:rPr>
          <w:rStyle w:val="NormalTok"/>
        </w:rPr>
        <w:t xml:space="preserve"> </w:t>
      </w:r>
      <w:r>
        <w:rPr>
          <w:rStyle w:val="StringTok"/>
        </w:rPr>
        <w:t>'Wohngebäude mit einer Wohnung'</w:t>
      </w:r>
      <w:r>
        <w:rPr>
          <w:rStyle w:val="NormalTok"/>
        </w:rPr>
        <w:t>:</w:t>
      </w:r>
      <w:r>
        <w:rPr>
          <w:rStyle w:val="StringTok"/>
        </w:rPr>
        <w:t>'Ein- und Zweifamilienhäuser'</w:t>
      </w:r>
      <w:r>
        <w:rPr>
          <w:rStyle w:val="NormalTok"/>
        </w:rPr>
        <w:t>,</w:t>
      </w:r>
      <w:r>
        <w:rPr>
          <w:rStyle w:val="StringTok"/>
        </w:rPr>
        <w:t>'Wohngebäude mit zwei Wohnungen'</w:t>
      </w:r>
      <w:r>
        <w:rPr>
          <w:rStyle w:val="NormalTok"/>
        </w:rPr>
        <w:t>:</w:t>
      </w:r>
      <w:r>
        <w:rPr>
          <w:rStyle w:val="StringTok"/>
        </w:rPr>
        <w:t>'Ein- und Zweifamilienhäuser'</w:t>
      </w:r>
      <w:r>
        <w:rPr>
          <w:rStyle w:val="NormalTok"/>
        </w:rPr>
        <w:t>,</w:t>
      </w:r>
      <w:r>
        <w:br/>
      </w:r>
      <w:r>
        <w:rPr>
          <w:rStyle w:val="NormalTok"/>
        </w:rPr>
        <w:lastRenderedPageBreak/>
        <w:t xml:space="preserve"> </w:t>
      </w:r>
      <w:r>
        <w:rPr>
          <w:rStyle w:val="StringTok"/>
        </w:rPr>
        <w:t>'Wohngebäude mit drei und mehr Wohnungen'</w:t>
      </w:r>
      <w:r>
        <w:rPr>
          <w:rStyle w:val="NormalTok"/>
        </w:rPr>
        <w:t>:</w:t>
      </w:r>
      <w:r>
        <w:rPr>
          <w:rStyle w:val="StringTok"/>
        </w:rPr>
        <w:t>'Mehrfamilienhaus'</w:t>
      </w:r>
      <w:r>
        <w:rPr>
          <w:rStyle w:val="NormalTok"/>
        </w:rPr>
        <w:t>}</w:t>
      </w:r>
      <w:r>
        <w:br/>
      </w:r>
      <w:r>
        <w:rPr>
          <w:rStyle w:val="NormalTok"/>
        </w:rPr>
        <w:t>mapping[</w:t>
      </w:r>
      <w:r>
        <w:rPr>
          <w:rStyle w:val="StringTok"/>
        </w:rPr>
        <w:t>'GWR_Nutzung'</w:t>
      </w:r>
      <w:r>
        <w:rPr>
          <w:rStyle w:val="NormalTok"/>
        </w:rPr>
        <w:t>]</w:t>
      </w:r>
      <w:r>
        <w:rPr>
          <w:rStyle w:val="OperatorTok"/>
        </w:rPr>
        <w:t>=</w:t>
      </w:r>
      <w:r>
        <w:rPr>
          <w:rStyle w:val="NormalTok"/>
        </w:rPr>
        <w:t>mapping.Nutzung.</w:t>
      </w:r>
      <w:r>
        <w:rPr>
          <w:rStyle w:val="BuiltInTok"/>
        </w:rPr>
        <w:t>map</w:t>
      </w:r>
      <w:r>
        <w:rPr>
          <w:rStyle w:val="NormalTok"/>
        </w:rPr>
        <w:t>(use_map)</w:t>
      </w:r>
      <w:r>
        <w:rPr>
          <w:rStyle w:val="OperatorTok"/>
        </w:rPr>
        <w:t>;</w:t>
      </w:r>
      <w:r>
        <w:rPr>
          <w:rStyle w:val="NormalTok"/>
        </w:rPr>
        <w:t xml:space="preserve"> </w:t>
      </w:r>
      <w:r>
        <w:rPr>
          <w:rStyle w:val="ControlFlowTok"/>
        </w:rPr>
        <w:t>assert</w:t>
      </w:r>
      <w:r>
        <w:rPr>
          <w:rStyle w:val="NormalTok"/>
        </w:rPr>
        <w:t xml:space="preserve"> mapping.GWR_Nutzung.notna().</w:t>
      </w:r>
      <w:r>
        <w:rPr>
          <w:rStyle w:val="BuiltInTok"/>
        </w:rPr>
        <w:t>all</w:t>
      </w:r>
      <w:r>
        <w:rPr>
          <w:rStyle w:val="NormalTok"/>
        </w:rPr>
        <w:t>()</w:t>
      </w:r>
      <w:r>
        <w:br/>
      </w:r>
      <w:r>
        <w:rPr>
          <w:rStyle w:val="NormalTok"/>
        </w:rPr>
        <w:t>mapping[</w:t>
      </w:r>
      <w:r>
        <w:rPr>
          <w:rStyle w:val="StringTok"/>
        </w:rPr>
        <w:t>'GK'</w:t>
      </w:r>
      <w:r>
        <w:rPr>
          <w:rStyle w:val="NormalTok"/>
        </w:rPr>
        <w:t>]</w:t>
      </w:r>
      <w:r>
        <w:rPr>
          <w:rStyle w:val="OperatorTok"/>
        </w:rPr>
        <w:t>=</w:t>
      </w:r>
      <w:r>
        <w:rPr>
          <w:rStyle w:val="NormalTok"/>
        </w:rPr>
        <w:t>mapping.Geschoss.</w:t>
      </w:r>
      <w:r>
        <w:rPr>
          <w:rStyle w:val="BuiltInTok"/>
        </w:rPr>
        <w:t>str</w:t>
      </w:r>
      <w:r>
        <w:rPr>
          <w:rStyle w:val="NormalTok"/>
        </w:rPr>
        <w:t>.replace(</w:t>
      </w:r>
      <w:r>
        <w:rPr>
          <w:rStyle w:val="StringTok"/>
        </w:rPr>
        <w:t>' Geschoße'</w:t>
      </w:r>
      <w:r>
        <w:rPr>
          <w:rStyle w:val="NormalTok"/>
        </w:rPr>
        <w:t>,</w:t>
      </w:r>
      <w:r>
        <w:rPr>
          <w:rStyle w:val="StringTok"/>
        </w:rPr>
        <w:t>''</w:t>
      </w:r>
      <w:r>
        <w:rPr>
          <w:rStyle w:val="NormalTok"/>
        </w:rPr>
        <w:t>,regex</w:t>
      </w:r>
      <w:r>
        <w:rPr>
          <w:rStyle w:val="OperatorTok"/>
        </w:rPr>
        <w:t>=</w:t>
      </w:r>
      <w:r>
        <w:rPr>
          <w:rStyle w:val="VariableTok"/>
        </w:rPr>
        <w:t>False</w:t>
      </w:r>
      <w:r>
        <w:rPr>
          <w:rStyle w:val="NormalTok"/>
        </w:rPr>
        <w:t>).</w:t>
      </w:r>
      <w:r>
        <w:rPr>
          <w:rStyle w:val="BuiltInTok"/>
        </w:rPr>
        <w:t>str</w:t>
      </w:r>
      <w:r>
        <w:rPr>
          <w:rStyle w:val="NormalTok"/>
        </w:rPr>
        <w:t>.replace(</w:t>
      </w:r>
      <w:r>
        <w:rPr>
          <w:rStyle w:val="StringTok"/>
        </w:rPr>
        <w:t>' Geschoß'</w:t>
      </w:r>
      <w:r>
        <w:rPr>
          <w:rStyle w:val="NormalTok"/>
        </w:rPr>
        <w:t>,</w:t>
      </w:r>
      <w:r>
        <w:rPr>
          <w:rStyle w:val="StringTok"/>
        </w:rPr>
        <w:t>''</w:t>
      </w:r>
      <w:r>
        <w:rPr>
          <w:rStyle w:val="NormalTok"/>
        </w:rPr>
        <w:t>,regex</w:t>
      </w:r>
      <w:r>
        <w:rPr>
          <w:rStyle w:val="OperatorTok"/>
        </w:rPr>
        <w:t>=</w:t>
      </w:r>
      <w:r>
        <w:rPr>
          <w:rStyle w:val="VariableTok"/>
        </w:rPr>
        <w:t>False</w:t>
      </w:r>
      <w:r>
        <w:rPr>
          <w:rStyle w:val="NormalTok"/>
        </w:rPr>
        <w:t>).replace({</w:t>
      </w:r>
      <w:r>
        <w:rPr>
          <w:rStyle w:val="StringTok"/>
        </w:rPr>
        <w:t>'6 bis 10'</w:t>
      </w:r>
      <w:r>
        <w:rPr>
          <w:rStyle w:val="NormalTok"/>
        </w:rPr>
        <w:t>:</w:t>
      </w:r>
      <w:r>
        <w:rPr>
          <w:rStyle w:val="StringTok"/>
        </w:rPr>
        <w:t>'6-10'</w:t>
      </w:r>
      <w:r>
        <w:rPr>
          <w:rStyle w:val="NormalTok"/>
        </w:rPr>
        <w:t>,</w:t>
      </w:r>
      <w:r>
        <w:rPr>
          <w:rStyle w:val="StringTok"/>
        </w:rPr>
        <w:t>'11 und mehr'</w:t>
      </w:r>
      <w:r>
        <w:rPr>
          <w:rStyle w:val="NormalTok"/>
        </w:rPr>
        <w:t>:</w:t>
      </w:r>
      <w:r>
        <w:rPr>
          <w:rStyle w:val="StringTok"/>
        </w:rPr>
        <w:t>'11+'</w:t>
      </w:r>
      <w:r>
        <w:rPr>
          <w:rStyle w:val="NormalTok"/>
        </w:rPr>
        <w:t>})</w:t>
      </w:r>
      <w:r>
        <w:br/>
      </w:r>
      <w:r>
        <w:rPr>
          <w:rStyle w:val="NormalTok"/>
        </w:rPr>
        <w:t>mapping[</w:t>
      </w:r>
      <w:r>
        <w:rPr>
          <w:rStyle w:val="StringTok"/>
        </w:rPr>
        <w:t>'Einzelziel_ergänzt'</w:t>
      </w:r>
      <w:r>
        <w:rPr>
          <w:rStyle w:val="NormalTok"/>
        </w:rPr>
        <w:t>]</w:t>
      </w:r>
      <w:r>
        <w:rPr>
          <w:rStyle w:val="OperatorTok"/>
        </w:rPr>
        <w:t>=</w:t>
      </w:r>
      <w:r>
        <w:rPr>
          <w:rStyle w:val="NormalTok"/>
        </w:rPr>
        <w:t xml:space="preserve">mapping.Anteil1.isna() </w:t>
      </w:r>
      <w:r>
        <w:rPr>
          <w:rStyle w:val="OperatorTok"/>
        </w:rPr>
        <w:t>&amp;</w:t>
      </w:r>
      <w:r>
        <w:rPr>
          <w:rStyle w:val="NormalTok"/>
        </w:rPr>
        <w:t xml:space="preserve"> mapping.Archetype1.notna() </w:t>
      </w:r>
      <w:r>
        <w:rPr>
          <w:rStyle w:val="OperatorTok"/>
        </w:rPr>
        <w:t>&amp;</w:t>
      </w:r>
      <w:r>
        <w:rPr>
          <w:rStyle w:val="NormalTok"/>
        </w:rPr>
        <w:t xml:space="preserve"> mapping.Archetype2.isna()</w:t>
      </w:r>
      <w:r>
        <w:br/>
      </w:r>
      <w:r>
        <w:rPr>
          <w:rStyle w:val="ControlFlowTok"/>
        </w:rPr>
        <w:t>if</w:t>
      </w:r>
      <w:r>
        <w:rPr>
          <w:rStyle w:val="NormalTok"/>
        </w:rPr>
        <w:t xml:space="preserve"> params[</w:t>
      </w:r>
      <w:r>
        <w:rPr>
          <w:rStyle w:val="StringTok"/>
        </w:rPr>
        <w:t>'single_target_missing_share'</w:t>
      </w:r>
      <w:r>
        <w:rPr>
          <w:rStyle w:val="NormalTok"/>
        </w:rPr>
        <w:t>]</w:t>
      </w:r>
      <w:r>
        <w:rPr>
          <w:rStyle w:val="OperatorTok"/>
        </w:rPr>
        <w:t>==</w:t>
      </w:r>
      <w:r>
        <w:rPr>
          <w:rStyle w:val="DecValTok"/>
        </w:rPr>
        <w:t>1</w:t>
      </w:r>
      <w:r>
        <w:rPr>
          <w:rStyle w:val="NormalTok"/>
        </w:rPr>
        <w:t>:</w:t>
      </w:r>
      <w:r>
        <w:br/>
      </w:r>
      <w:r>
        <w:rPr>
          <w:rStyle w:val="NormalTok"/>
        </w:rPr>
        <w:t xml:space="preserve">    mapping.loc[mapping[</w:t>
      </w:r>
      <w:r>
        <w:rPr>
          <w:rStyle w:val="StringTok"/>
        </w:rPr>
        <w:t>'Einzelziel_ergänzt'</w:t>
      </w:r>
      <w:r>
        <w:rPr>
          <w:rStyle w:val="NormalTok"/>
        </w:rPr>
        <w:t>],</w:t>
      </w:r>
      <w:r>
        <w:rPr>
          <w:rStyle w:val="StringTok"/>
        </w:rPr>
        <w:t>'Anteil1'</w:t>
      </w:r>
      <w:r>
        <w:rPr>
          <w:rStyle w:val="NormalTok"/>
        </w:rPr>
        <w:t>]</w:t>
      </w:r>
      <w:r>
        <w:rPr>
          <w:rStyle w:val="OperatorTok"/>
        </w:rPr>
        <w:t>=</w:t>
      </w:r>
      <w:r>
        <w:rPr>
          <w:rStyle w:val="FloatTok"/>
        </w:rPr>
        <w:t>1.0</w:t>
      </w:r>
      <w:r>
        <w:br/>
      </w:r>
      <w:r>
        <w:rPr>
          <w:rStyle w:val="NormalTok"/>
        </w:rPr>
        <w:t>mapping.to_csv(OUT</w:t>
      </w:r>
      <w:r>
        <w:rPr>
          <w:rStyle w:val="OperatorTok"/>
        </w:rPr>
        <w:t>/</w:t>
      </w:r>
      <w:r>
        <w:rPr>
          <w:rStyle w:val="StringTok"/>
        </w:rPr>
        <w:t>'gfz_zuordnung_audit.csv'</w:t>
      </w:r>
      <w:r>
        <w:rPr>
          <w:rStyle w:val="NormalTok"/>
        </w:rPr>
        <w:t>,index</w:t>
      </w:r>
      <w:r>
        <w:rPr>
          <w:rStyle w:val="OperatorTok"/>
        </w:rPr>
        <w:t>=</w:t>
      </w:r>
      <w:r>
        <w:rPr>
          <w:rStyle w:val="VariableTok"/>
        </w:rPr>
        <w:t>False</w:t>
      </w:r>
      <w:r>
        <w:rPr>
          <w:rStyle w:val="NormalTok"/>
        </w:rPr>
        <w:t>)</w:t>
      </w:r>
      <w:r>
        <w:br/>
      </w:r>
      <w:r>
        <w:rPr>
          <w:rStyle w:val="CommentTok"/>
        </w:rPr>
        <w:t># Doppelte Statistiknutzungen nur zusammenführen, wenn ihre Regeln identisch sind.</w:t>
      </w:r>
      <w:r>
        <w:br/>
      </w:r>
      <w:r>
        <w:rPr>
          <w:rStyle w:val="ControlFlowTok"/>
        </w:rPr>
        <w:t>for</w:t>
      </w:r>
      <w:r>
        <w:rPr>
          <w:rStyle w:val="NormalTok"/>
        </w:rPr>
        <w:t xml:space="preserve"> key,group </w:t>
      </w:r>
      <w:r>
        <w:rPr>
          <w:rStyle w:val="KeywordTok"/>
        </w:rPr>
        <w:t>in</w:t>
      </w:r>
      <w:r>
        <w:rPr>
          <w:rStyle w:val="NormalTok"/>
        </w:rPr>
        <w:t xml:space="preserve"> mapping.groupby([</w:t>
      </w:r>
      <w:r>
        <w:rPr>
          <w:rStyle w:val="StringTok"/>
        </w:rPr>
        <w:t>'GWR_Nutzung'</w:t>
      </w:r>
      <w:r>
        <w:rPr>
          <w:rStyle w:val="NormalTok"/>
        </w:rPr>
        <w:t>,</w:t>
      </w:r>
      <w:r>
        <w:rPr>
          <w:rStyle w:val="StringTok"/>
        </w:rPr>
        <w:t>'GK'</w:t>
      </w:r>
      <w:r>
        <w:rPr>
          <w:rStyle w:val="NormalTok"/>
        </w:rPr>
        <w:t>]):</w:t>
      </w:r>
      <w:r>
        <w:br/>
      </w:r>
      <w:r>
        <w:rPr>
          <w:rStyle w:val="NormalTok"/>
        </w:rPr>
        <w:t xml:space="preserve">    </w:t>
      </w:r>
      <w:r>
        <w:rPr>
          <w:rStyle w:val="ControlFlowTok"/>
        </w:rPr>
        <w:t>assert</w:t>
      </w:r>
      <w:r>
        <w:rPr>
          <w:rStyle w:val="NormalTok"/>
        </w:rPr>
        <w:t xml:space="preserve"> </w:t>
      </w:r>
      <w:r>
        <w:rPr>
          <w:rStyle w:val="BuiltInTok"/>
        </w:rPr>
        <w:t>len</w:t>
      </w:r>
      <w:r>
        <w:rPr>
          <w:rStyle w:val="NormalTok"/>
        </w:rPr>
        <w:t>(group[[</w:t>
      </w:r>
      <w:r>
        <w:rPr>
          <w:rStyle w:val="StringTok"/>
        </w:rPr>
        <w:t>'Anteil1'</w:t>
      </w:r>
      <w:r>
        <w:rPr>
          <w:rStyle w:val="NormalTok"/>
        </w:rPr>
        <w:t>,</w:t>
      </w:r>
      <w:r>
        <w:rPr>
          <w:rStyle w:val="StringTok"/>
        </w:rPr>
        <w:t>'Archetype1'</w:t>
      </w:r>
      <w:r>
        <w:rPr>
          <w:rStyle w:val="NormalTok"/>
        </w:rPr>
        <w:t>,</w:t>
      </w:r>
      <w:r>
        <w:rPr>
          <w:rStyle w:val="StringTok"/>
        </w:rPr>
        <w:t>'Anteil2'</w:t>
      </w:r>
      <w:r>
        <w:rPr>
          <w:rStyle w:val="NormalTok"/>
        </w:rPr>
        <w:t>,</w:t>
      </w:r>
      <w:r>
        <w:rPr>
          <w:rStyle w:val="StringTok"/>
        </w:rPr>
        <w:t>'Archetype2'</w:t>
      </w:r>
      <w:r>
        <w:rPr>
          <w:rStyle w:val="NormalTok"/>
        </w:rPr>
        <w:t>]].drop_duplicates())</w:t>
      </w:r>
      <w:r>
        <w:rPr>
          <w:rStyle w:val="OperatorTok"/>
        </w:rPr>
        <w:t>==</w:t>
      </w:r>
      <w:r>
        <w:rPr>
          <w:rStyle w:val="DecValTok"/>
        </w:rPr>
        <w:t>1</w:t>
      </w:r>
      <w:r>
        <w:rPr>
          <w:rStyle w:val="NormalTok"/>
        </w:rPr>
        <w:t>,key</w:t>
      </w:r>
      <w:r>
        <w:br/>
      </w:r>
      <w:r>
        <w:rPr>
          <w:rStyle w:val="NormalTok"/>
        </w:rPr>
        <w:t>unique</w:t>
      </w:r>
      <w:r>
        <w:rPr>
          <w:rStyle w:val="OperatorTok"/>
        </w:rPr>
        <w:t>=</w:t>
      </w:r>
      <w:r>
        <w:rPr>
          <w:rStyle w:val="NormalTok"/>
        </w:rPr>
        <w:t>mapping.drop_duplicates([</w:t>
      </w:r>
      <w:r>
        <w:rPr>
          <w:rStyle w:val="StringTok"/>
        </w:rPr>
        <w:t>'GWR_Nutzung'</w:t>
      </w:r>
      <w:r>
        <w:rPr>
          <w:rStyle w:val="NormalTok"/>
        </w:rPr>
        <w:t>,</w:t>
      </w:r>
      <w:r>
        <w:rPr>
          <w:rStyle w:val="StringTok"/>
        </w:rPr>
        <w:t>'GK'</w:t>
      </w:r>
      <w:r>
        <w:rPr>
          <w:rStyle w:val="NormalTok"/>
        </w:rPr>
        <w:t>])</w:t>
      </w:r>
      <w:r>
        <w:br/>
      </w:r>
      <w:r>
        <w:rPr>
          <w:rStyle w:val="BuiltInTok"/>
        </w:rPr>
        <w:t>long</w:t>
      </w:r>
      <w:r>
        <w:rPr>
          <w:rStyle w:val="OperatorTok"/>
        </w:rPr>
        <w:t>=</w:t>
      </w:r>
      <w:r>
        <w:rPr>
          <w:rStyle w:val="NormalTok"/>
        </w:rPr>
        <w:t>[]</w:t>
      </w:r>
      <w:r>
        <w:br/>
      </w:r>
      <w:r>
        <w:rPr>
          <w:rStyle w:val="ControlFlowTok"/>
        </w:rPr>
        <w:t>for</w:t>
      </w:r>
      <w:r>
        <w:rPr>
          <w:rStyle w:val="NormalTok"/>
        </w:rPr>
        <w:t xml:space="preserve"> _,row </w:t>
      </w:r>
      <w:r>
        <w:rPr>
          <w:rStyle w:val="KeywordTok"/>
        </w:rPr>
        <w:t>in</w:t>
      </w:r>
      <w:r>
        <w:rPr>
          <w:rStyle w:val="NormalTok"/>
        </w:rPr>
        <w:t xml:space="preserve"> unique.iterrows():</w:t>
      </w:r>
      <w:r>
        <w:br/>
      </w:r>
      <w:r>
        <w:rPr>
          <w:rStyle w:val="NormalTok"/>
        </w:rPr>
        <w:t xml:space="preserve">    </w:t>
      </w:r>
      <w:r>
        <w:rPr>
          <w:rStyle w:val="ControlFlowTok"/>
        </w:rPr>
        <w:t>for</w:t>
      </w:r>
      <w:r>
        <w:rPr>
          <w:rStyle w:val="NormalTok"/>
        </w:rPr>
        <w:t xml:space="preserve"> n </w:t>
      </w:r>
      <w:r>
        <w:rPr>
          <w:rStyle w:val="KeywordTok"/>
        </w:rPr>
        <w:t>in</w:t>
      </w:r>
      <w:r>
        <w:rPr>
          <w:rStyle w:val="NormalTok"/>
        </w:rPr>
        <w:t xml:space="preserve"> [</w:t>
      </w:r>
      <w:r>
        <w:rPr>
          <w:rStyle w:val="DecValTok"/>
        </w:rPr>
        <w:t>1</w:t>
      </w:r>
      <w:r>
        <w:rPr>
          <w:rStyle w:val="NormalTok"/>
        </w:rPr>
        <w:t>,</w:t>
      </w:r>
      <w:r>
        <w:rPr>
          <w:rStyle w:val="DecValTok"/>
        </w:rPr>
        <w:t>2</w:t>
      </w:r>
      <w:r>
        <w:rPr>
          <w:rStyle w:val="NormalTok"/>
        </w:rPr>
        <w:t>]:</w:t>
      </w:r>
      <w:r>
        <w:br/>
      </w:r>
      <w:r>
        <w:rPr>
          <w:rStyle w:val="NormalTok"/>
        </w:rPr>
        <w:t xml:space="preserve">        </w:t>
      </w:r>
      <w:r>
        <w:rPr>
          <w:rStyle w:val="ControlFlowTok"/>
        </w:rPr>
        <w:t>if</w:t>
      </w:r>
      <w:r>
        <w:rPr>
          <w:rStyle w:val="NormalTok"/>
        </w:rPr>
        <w:t xml:space="preserve"> pd.notna(row[</w:t>
      </w:r>
      <w:r>
        <w:rPr>
          <w:rStyle w:val="SpecialStringTok"/>
        </w:rPr>
        <w:t>f'Archetype</w:t>
      </w:r>
      <w:r>
        <w:rPr>
          <w:rStyle w:val="SpecialCharTok"/>
        </w:rPr>
        <w:t>{</w:t>
      </w:r>
      <w:r>
        <w:rPr>
          <w:rStyle w:val="NormalTok"/>
        </w:rPr>
        <w:t>n</w:t>
      </w:r>
      <w:r>
        <w:rPr>
          <w:rStyle w:val="SpecialCharTok"/>
        </w:rPr>
        <w:t>}</w:t>
      </w:r>
      <w:r>
        <w:rPr>
          <w:rStyle w:val="SpecialStringTok"/>
        </w:rPr>
        <w:t>'</w:t>
      </w:r>
      <w:r>
        <w:rPr>
          <w:rStyle w:val="NormalTok"/>
        </w:rPr>
        <w:t>]):</w:t>
      </w:r>
      <w:r>
        <w:br/>
      </w:r>
      <w:r>
        <w:rPr>
          <w:rStyle w:val="NormalTok"/>
        </w:rPr>
        <w:t xml:space="preserve">            </w:t>
      </w:r>
      <w:r>
        <w:rPr>
          <w:rStyle w:val="BuiltInTok"/>
        </w:rPr>
        <w:t>long</w:t>
      </w:r>
      <w:r>
        <w:rPr>
          <w:rStyle w:val="NormalTok"/>
        </w:rPr>
        <w:t>.append({</w:t>
      </w:r>
      <w:r>
        <w:rPr>
          <w:rStyle w:val="StringTok"/>
        </w:rPr>
        <w:t>'GWR_Nutzung'</w:t>
      </w:r>
      <w:r>
        <w:rPr>
          <w:rStyle w:val="NormalTok"/>
        </w:rPr>
        <w:t>:row.GWR_Nutzung,</w:t>
      </w:r>
      <w:r>
        <w:rPr>
          <w:rStyle w:val="StringTok"/>
        </w:rPr>
        <w:t>'GK'</w:t>
      </w:r>
      <w:r>
        <w:rPr>
          <w:rStyle w:val="NormalTok"/>
        </w:rPr>
        <w:t>:row.GK,</w:t>
      </w:r>
      <w:r>
        <w:rPr>
          <w:rStyle w:val="StringTok"/>
        </w:rPr>
        <w:t>'Geometrie'</w:t>
      </w:r>
      <w:r>
        <w:rPr>
          <w:rStyle w:val="NormalTok"/>
        </w:rPr>
        <w:t>:row[</w:t>
      </w:r>
      <w:r>
        <w:rPr>
          <w:rStyle w:val="SpecialStringTok"/>
        </w:rPr>
        <w:t>f'Archetype</w:t>
      </w:r>
      <w:r>
        <w:rPr>
          <w:rStyle w:val="SpecialCharTok"/>
        </w:rPr>
        <w:t>{</w:t>
      </w:r>
      <w:r>
        <w:rPr>
          <w:rStyle w:val="NormalTok"/>
        </w:rPr>
        <w:t>n</w:t>
      </w:r>
      <w:r>
        <w:rPr>
          <w:rStyle w:val="SpecialCharTok"/>
        </w:rPr>
        <w:t>}</w:t>
      </w:r>
      <w:r>
        <w:rPr>
          <w:rStyle w:val="SpecialStringTok"/>
        </w:rPr>
        <w:t>'</w:t>
      </w:r>
      <w:r>
        <w:rPr>
          <w:rStyle w:val="NormalTok"/>
        </w:rPr>
        <w:t>],</w:t>
      </w:r>
      <w:r>
        <w:rPr>
          <w:rStyle w:val="StringTok"/>
        </w:rPr>
        <w:t>'Anteil'</w:t>
      </w:r>
      <w:r>
        <w:rPr>
          <w:rStyle w:val="NormalTok"/>
        </w:rPr>
        <w:t>:row[</w:t>
      </w:r>
      <w:r>
        <w:rPr>
          <w:rStyle w:val="SpecialStringTok"/>
        </w:rPr>
        <w:t>f'Anteil</w:t>
      </w:r>
      <w:r>
        <w:rPr>
          <w:rStyle w:val="SpecialCharTok"/>
        </w:rPr>
        <w:t>{</w:t>
      </w:r>
      <w:r>
        <w:rPr>
          <w:rStyle w:val="NormalTok"/>
        </w:rPr>
        <w:t>n</w:t>
      </w:r>
      <w:r>
        <w:rPr>
          <w:rStyle w:val="SpecialCharTok"/>
        </w:rPr>
        <w:t>}</w:t>
      </w:r>
      <w:r>
        <w:rPr>
          <w:rStyle w:val="SpecialStringTok"/>
        </w:rPr>
        <w:t>'</w:t>
      </w:r>
      <w:r>
        <w:rPr>
          <w:rStyle w:val="NormalTok"/>
        </w:rPr>
        <w:t>]})</w:t>
      </w:r>
      <w:r>
        <w:br/>
      </w:r>
      <w:r>
        <w:rPr>
          <w:rStyle w:val="NormalTok"/>
        </w:rPr>
        <w:t>links</w:t>
      </w:r>
      <w:r>
        <w:rPr>
          <w:rStyle w:val="OperatorTok"/>
        </w:rPr>
        <w:t>=</w:t>
      </w:r>
      <w:r>
        <w:rPr>
          <w:rStyle w:val="NormalTok"/>
        </w:rPr>
        <w:t>pd.DataFrame(</w:t>
      </w:r>
      <w:r>
        <w:rPr>
          <w:rStyle w:val="BuiltInTok"/>
        </w:rPr>
        <w:t>long</w:t>
      </w:r>
      <w:r>
        <w:rPr>
          <w:rStyle w:val="NormalTok"/>
        </w:rPr>
        <w:t>)</w:t>
      </w:r>
      <w:r>
        <w:br/>
      </w:r>
      <w:r>
        <w:rPr>
          <w:rStyle w:val="ControlFlowTok"/>
        </w:rPr>
        <w:t>assert</w:t>
      </w:r>
      <w:r>
        <w:rPr>
          <w:rStyle w:val="NormalTok"/>
        </w:rPr>
        <w:t xml:space="preserve"> links.Anteil.notna().</w:t>
      </w:r>
      <w:r>
        <w:rPr>
          <w:rStyle w:val="BuiltInTok"/>
        </w:rPr>
        <w:t>all</w:t>
      </w:r>
      <w:r>
        <w:rPr>
          <w:rStyle w:val="NormalTok"/>
        </w:rPr>
        <w:t xml:space="preserve">(), </w:t>
      </w:r>
      <w:r>
        <w:rPr>
          <w:rStyle w:val="StringTok"/>
        </w:rPr>
        <w:t>'GFZ-Anteile offen; Einzelzielregel oder Eingaben prüfen'</w:t>
      </w:r>
      <w:r>
        <w:br/>
      </w:r>
      <w:r>
        <w:rPr>
          <w:rStyle w:val="ControlFlowTok"/>
        </w:rPr>
        <w:t>assert</w:t>
      </w:r>
      <w:r>
        <w:rPr>
          <w:rStyle w:val="NormalTok"/>
        </w:rPr>
        <w:t xml:space="preserve"> links.Anteil.between(</w:t>
      </w:r>
      <w:r>
        <w:rPr>
          <w:rStyle w:val="DecValTok"/>
        </w:rPr>
        <w:t>0</w:t>
      </w:r>
      <w:r>
        <w:rPr>
          <w:rStyle w:val="NormalTok"/>
        </w:rPr>
        <w:t>,</w:t>
      </w:r>
      <w:r>
        <w:rPr>
          <w:rStyle w:val="DecValTok"/>
        </w:rPr>
        <w:t>1</w:t>
      </w:r>
      <w:r>
        <w:rPr>
          <w:rStyle w:val="NormalTok"/>
        </w:rPr>
        <w:t>).</w:t>
      </w:r>
      <w:r>
        <w:rPr>
          <w:rStyle w:val="BuiltInTok"/>
        </w:rPr>
        <w:t>all</w:t>
      </w:r>
      <w:r>
        <w:rPr>
          <w:rStyle w:val="NormalTok"/>
        </w:rPr>
        <w:t>()</w:t>
      </w:r>
      <w:r>
        <w:br/>
      </w:r>
      <w:r>
        <w:rPr>
          <w:rStyle w:val="NormalTok"/>
        </w:rPr>
        <w:t>np.testing.assert_allclose(links.groupby([</w:t>
      </w:r>
      <w:r>
        <w:rPr>
          <w:rStyle w:val="StringTok"/>
        </w:rPr>
        <w:t>'GWR_Nutzung'</w:t>
      </w:r>
      <w:r>
        <w:rPr>
          <w:rStyle w:val="NormalTok"/>
        </w:rPr>
        <w:t>,</w:t>
      </w:r>
      <w:r>
        <w:rPr>
          <w:rStyle w:val="StringTok"/>
        </w:rPr>
        <w:t>'GK'</w:t>
      </w:r>
      <w:r>
        <w:rPr>
          <w:rStyle w:val="NormalTok"/>
        </w:rPr>
        <w:t>]).Anteil.</w:t>
      </w:r>
      <w:r>
        <w:rPr>
          <w:rStyle w:val="BuiltInTok"/>
        </w:rPr>
        <w:t>sum</w:t>
      </w:r>
      <w:r>
        <w:rPr>
          <w:rStyle w:val="NormalTok"/>
        </w:rPr>
        <w:t>(),</w:t>
      </w:r>
      <w:r>
        <w:rPr>
          <w:rStyle w:val="DecValTok"/>
        </w:rPr>
        <w:t>1</w:t>
      </w:r>
      <w:r>
        <w:rPr>
          <w:rStyle w:val="NormalTok"/>
        </w:rPr>
        <w:t>)</w:t>
      </w:r>
      <w:r>
        <w:br/>
      </w:r>
      <w:r>
        <w:rPr>
          <w:rStyle w:val="NormalTok"/>
        </w:rPr>
        <w:t>gfz</w:t>
      </w:r>
      <w:r>
        <w:rPr>
          <w:rStyle w:val="OperatorTok"/>
        </w:rPr>
        <w:t>=</w:t>
      </w:r>
      <w:r>
        <w:rPr>
          <w:rStyle w:val="NormalTok"/>
        </w:rPr>
        <w:t>pd.read_csv(ROOT</w:t>
      </w:r>
      <w:r>
        <w:rPr>
          <w:rStyle w:val="OperatorTok"/>
        </w:rPr>
        <w:t>/</w:t>
      </w:r>
      <w:r>
        <w:rPr>
          <w:rStyle w:val="StringTok"/>
        </w:rPr>
        <w:t>'Berechnungen/gfz_at/outputs/recalculated/gfz_distribution_by_province_use_storeys.csv'</w:t>
      </w:r>
      <w:r>
        <w:rPr>
          <w:rStyle w:val="NormalTok"/>
        </w:rPr>
        <w:t>,dtype</w:t>
      </w:r>
      <w:r>
        <w:rPr>
          <w:rStyle w:val="OperatorTok"/>
        </w:rPr>
        <w:t>=</w:t>
      </w:r>
      <w:r>
        <w:rPr>
          <w:rStyle w:val="NormalTok"/>
        </w:rPr>
        <w:t>{</w:t>
      </w:r>
      <w:r>
        <w:rPr>
          <w:rStyle w:val="StringTok"/>
        </w:rPr>
        <w:t>'GK'</w:t>
      </w:r>
      <w:r>
        <w:rPr>
          <w:rStyle w:val="NormalTok"/>
        </w:rPr>
        <w:t>:</w:t>
      </w:r>
      <w:r>
        <w:rPr>
          <w:rStyle w:val="BuiltInTok"/>
        </w:rPr>
        <w:t>str</w:t>
      </w:r>
      <w:r>
        <w:rPr>
          <w:rStyle w:val="NormalTok"/>
        </w:rPr>
        <w:t>})</w:t>
      </w:r>
      <w:r>
        <w:br/>
      </w:r>
      <w:r>
        <w:rPr>
          <w:rStyle w:val="NormalTok"/>
        </w:rPr>
        <w:t>joined</w:t>
      </w:r>
      <w:r>
        <w:rPr>
          <w:rStyle w:val="OperatorTok"/>
        </w:rPr>
        <w:t>=</w:t>
      </w:r>
      <w:r>
        <w:rPr>
          <w:rStyle w:val="NormalTok"/>
        </w:rPr>
        <w:t>gfz.merge(links,on</w:t>
      </w:r>
      <w:r>
        <w:rPr>
          <w:rStyle w:val="OperatorTok"/>
        </w:rPr>
        <w:t>=</w:t>
      </w:r>
      <w:r>
        <w:rPr>
          <w:rStyle w:val="NormalTok"/>
        </w:rPr>
        <w:t>[</w:t>
      </w:r>
      <w:r>
        <w:rPr>
          <w:rStyle w:val="StringTok"/>
        </w:rPr>
        <w:t>'GWR_Nutzung'</w:t>
      </w:r>
      <w:r>
        <w:rPr>
          <w:rStyle w:val="NormalTok"/>
        </w:rPr>
        <w:t>,</w:t>
      </w:r>
      <w:r>
        <w:rPr>
          <w:rStyle w:val="StringTok"/>
        </w:rPr>
        <w:t>'GK'</w:t>
      </w:r>
      <w:r>
        <w:rPr>
          <w:rStyle w:val="NormalTok"/>
        </w:rPr>
        <w:t>],how</w:t>
      </w:r>
      <w:r>
        <w:rPr>
          <w:rStyle w:val="OperatorTok"/>
        </w:rPr>
        <w:t>=</w:t>
      </w:r>
      <w:r>
        <w:rPr>
          <w:rStyle w:val="StringTok"/>
        </w:rPr>
        <w:t>'left'</w:t>
      </w:r>
      <w:r>
        <w:rPr>
          <w:rStyle w:val="NormalTok"/>
        </w:rPr>
        <w:t>,indicator</w:t>
      </w:r>
      <w:r>
        <w:rPr>
          <w:rStyle w:val="OperatorTok"/>
        </w:rPr>
        <w:t>=</w:t>
      </w:r>
      <w:r>
        <w:rPr>
          <w:rStyle w:val="VariableTok"/>
        </w:rPr>
        <w:t>True</w:t>
      </w:r>
      <w:r>
        <w:rPr>
          <w:rStyle w:val="NormalTok"/>
        </w:rPr>
        <w:t>)</w:t>
      </w:r>
      <w:r>
        <w:br/>
      </w:r>
      <w:r>
        <w:rPr>
          <w:rStyle w:val="ControlFlowTok"/>
        </w:rPr>
        <w:t>assert</w:t>
      </w:r>
      <w:r>
        <w:rPr>
          <w:rStyle w:val="NormalTok"/>
        </w:rPr>
        <w:t xml:space="preserve"> joined[</w:t>
      </w:r>
      <w:r>
        <w:rPr>
          <w:rStyle w:val="StringTok"/>
        </w:rPr>
        <w:t>'_merge'</w:t>
      </w:r>
      <w:r>
        <w:rPr>
          <w:rStyle w:val="NormalTok"/>
        </w:rPr>
        <w:t>].eq(</w:t>
      </w:r>
      <w:r>
        <w:rPr>
          <w:rStyle w:val="StringTok"/>
        </w:rPr>
        <w:t>'both'</w:t>
      </w:r>
      <w:r>
        <w:rPr>
          <w:rStyle w:val="NormalTok"/>
        </w:rPr>
        <w:t>).</w:t>
      </w:r>
      <w:r>
        <w:rPr>
          <w:rStyle w:val="BuiltInTok"/>
        </w:rPr>
        <w:t>all</w:t>
      </w:r>
      <w:r>
        <w:rPr>
          <w:rStyle w:val="NormalTok"/>
        </w:rPr>
        <w:t>()</w:t>
      </w:r>
      <w:r>
        <w:br/>
      </w:r>
      <w:r>
        <w:rPr>
          <w:rStyle w:val="NormalTok"/>
        </w:rPr>
        <w:t>joined[</w:t>
      </w:r>
      <w:r>
        <w:rPr>
          <w:rStyle w:val="StringTok"/>
        </w:rPr>
        <w:t>'zugeordnete_BGF'</w:t>
      </w:r>
      <w:r>
        <w:rPr>
          <w:rStyle w:val="NormalTok"/>
        </w:rPr>
        <w:t>]</w:t>
      </w:r>
      <w:r>
        <w:rPr>
          <w:rStyle w:val="OperatorTok"/>
        </w:rPr>
        <w:t>=</w:t>
      </w:r>
      <w:r>
        <w:rPr>
          <w:rStyle w:val="NormalTok"/>
        </w:rPr>
        <w:t>joined.BGF_m2</w:t>
      </w:r>
      <w:r>
        <w:rPr>
          <w:rStyle w:val="OperatorTok"/>
        </w:rPr>
        <w:t>*</w:t>
      </w:r>
      <w:r>
        <w:rPr>
          <w:rStyle w:val="NormalTok"/>
        </w:rPr>
        <w:t>joined.Anteil</w:t>
      </w:r>
      <w:r>
        <w:br/>
      </w:r>
      <w:r>
        <w:rPr>
          <w:rStyle w:val="NormalTok"/>
        </w:rPr>
        <w:t>np.testing.assert_allclose(joined.zugeordnete_BGF.</w:t>
      </w:r>
      <w:r>
        <w:rPr>
          <w:rStyle w:val="BuiltInTok"/>
        </w:rPr>
        <w:t>sum</w:t>
      </w:r>
      <w:r>
        <w:rPr>
          <w:rStyle w:val="NormalTok"/>
        </w:rPr>
        <w:t>(),gfz.BGF_m2.</w:t>
      </w:r>
      <w:r>
        <w:rPr>
          <w:rStyle w:val="BuiltInTok"/>
        </w:rPr>
        <w:t>sum</w:t>
      </w:r>
      <w:r>
        <w:rPr>
          <w:rStyle w:val="NormalTok"/>
        </w:rPr>
        <w:t>(),rtol</w:t>
      </w:r>
      <w:r>
        <w:rPr>
          <w:rStyle w:val="OperatorTok"/>
        </w:rPr>
        <w:t>=</w:t>
      </w:r>
      <w:r>
        <w:rPr>
          <w:rStyle w:val="FloatTok"/>
        </w:rPr>
        <w:t>1e-12</w:t>
      </w:r>
      <w:r>
        <w:rPr>
          <w:rStyle w:val="NormalTok"/>
        </w:rPr>
        <w:t>)</w:t>
      </w:r>
      <w:r>
        <w:br/>
      </w:r>
      <w:r>
        <w:rPr>
          <w:rStyle w:val="NormalTok"/>
        </w:rPr>
        <w:t>bins</w:t>
      </w:r>
      <w:r>
        <w:rPr>
          <w:rStyle w:val="OperatorTok"/>
        </w:rPr>
        <w:t>=</w:t>
      </w:r>
      <w:r>
        <w:rPr>
          <w:rStyle w:val="NormalTok"/>
        </w:rPr>
        <w:t>joined.groupby([</w:t>
      </w:r>
      <w:r>
        <w:rPr>
          <w:rStyle w:val="StringTok"/>
        </w:rPr>
        <w:t>'Geometrie'</w:t>
      </w:r>
      <w:r>
        <w:rPr>
          <w:rStyle w:val="NormalTok"/>
        </w:rPr>
        <w:t>,</w:t>
      </w:r>
      <w:r>
        <w:rPr>
          <w:rStyle w:val="StringTok"/>
        </w:rPr>
        <w:t>'GFZ'</w:t>
      </w:r>
      <w:r>
        <w:rPr>
          <w:rStyle w:val="NormalTok"/>
        </w:rPr>
        <w:t>],as_index</w:t>
      </w:r>
      <w:r>
        <w:rPr>
          <w:rStyle w:val="OperatorTok"/>
        </w:rPr>
        <w:t>=</w:t>
      </w:r>
      <w:r>
        <w:rPr>
          <w:rStyle w:val="VariableTok"/>
        </w:rPr>
        <w:t>False</w:t>
      </w:r>
      <w:r>
        <w:rPr>
          <w:rStyle w:val="NormalTok"/>
        </w:rPr>
        <w:t>).zugeordnete_BGF.</w:t>
      </w:r>
      <w:r>
        <w:rPr>
          <w:rStyle w:val="BuiltInTok"/>
        </w:rPr>
        <w:t>sum</w:t>
      </w:r>
      <w:r>
        <w:rPr>
          <w:rStyle w:val="NormalTok"/>
        </w:rPr>
        <w:t>()</w:t>
      </w:r>
      <w:r>
        <w:br/>
      </w:r>
      <w:r>
        <w:rPr>
          <w:rStyle w:val="NormalTok"/>
        </w:rPr>
        <w:t>bins[</w:t>
      </w:r>
      <w:r>
        <w:rPr>
          <w:rStyle w:val="StringTok"/>
        </w:rPr>
        <w:t>'s'</w:t>
      </w:r>
      <w:r>
        <w:rPr>
          <w:rStyle w:val="NormalTok"/>
        </w:rPr>
        <w:t>]</w:t>
      </w:r>
      <w:r>
        <w:rPr>
          <w:rStyle w:val="OperatorTok"/>
        </w:rPr>
        <w:t>=</w:t>
      </w:r>
      <w:r>
        <w:rPr>
          <w:rStyle w:val="NormalTok"/>
        </w:rPr>
        <w:t>bins.zugeordnete_BGF</w:t>
      </w:r>
      <w:r>
        <w:rPr>
          <w:rStyle w:val="OperatorTok"/>
        </w:rPr>
        <w:t>/</w:t>
      </w:r>
      <w:r>
        <w:rPr>
          <w:rStyle w:val="NormalTok"/>
        </w:rPr>
        <w:t>bins.groupby(</w:t>
      </w:r>
      <w:r>
        <w:rPr>
          <w:rStyle w:val="StringTok"/>
        </w:rPr>
        <w:t>'Geometrie'</w:t>
      </w:r>
      <w:r>
        <w:rPr>
          <w:rStyle w:val="NormalTok"/>
        </w:rPr>
        <w:t>).zugeordnete_BGF.transform(</w:t>
      </w:r>
      <w:r>
        <w:rPr>
          <w:rStyle w:val="StringTok"/>
        </w:rPr>
        <w:t>'sum'</w:t>
      </w:r>
      <w:r>
        <w:rPr>
          <w:rStyle w:val="NormalTok"/>
        </w:rPr>
        <w:t>)</w:t>
      </w:r>
      <w:r>
        <w:br/>
      </w:r>
      <w:r>
        <w:rPr>
          <w:rStyle w:val="NormalTok"/>
        </w:rPr>
        <w:t>bins[</w:t>
      </w:r>
      <w:r>
        <w:rPr>
          <w:rStyle w:val="StringTok"/>
        </w:rPr>
        <w:t>'c_D_EE_BGF'</w:t>
      </w:r>
      <w:r>
        <w:rPr>
          <w:rStyle w:val="NormalTok"/>
        </w:rPr>
        <w:t>]</w:t>
      </w:r>
      <w:r>
        <w:rPr>
          <w:rStyle w:val="OperatorTok"/>
        </w:rPr>
        <w:t>=-</w:t>
      </w:r>
      <w:r>
        <w:rPr>
          <w:rStyle w:val="NormalTok"/>
        </w:rPr>
        <w:t>np.minimum(</w:t>
      </w:r>
      <w:r>
        <w:rPr>
          <w:rStyle w:val="BuiltInTok"/>
        </w:rPr>
        <w:t>float</w:t>
      </w:r>
      <w:r>
        <w:rPr>
          <w:rStyle w:val="NormalTok"/>
        </w:rPr>
        <w:t>(params[</w:t>
      </w:r>
      <w:r>
        <w:rPr>
          <w:rStyle w:val="StringTok"/>
        </w:rPr>
        <w:t>'density_f_res'</w:t>
      </w:r>
      <w:r>
        <w:rPr>
          <w:rStyle w:val="NormalTok"/>
        </w:rPr>
        <w:t>])</w:t>
      </w:r>
      <w:r>
        <w:rPr>
          <w:rStyle w:val="OperatorTok"/>
        </w:rPr>
        <w:t>/</w:t>
      </w:r>
      <w:r>
        <w:rPr>
          <w:rStyle w:val="NormalTok"/>
        </w:rPr>
        <w:t>(bins.GFZ</w:t>
      </w:r>
      <w:r>
        <w:rPr>
          <w:rStyle w:val="OperatorTok"/>
        </w:rPr>
        <w:t>+</w:t>
      </w:r>
      <w:r>
        <w:rPr>
          <w:rStyle w:val="BuiltInTok"/>
        </w:rPr>
        <w:t>float</w:t>
      </w:r>
      <w:r>
        <w:rPr>
          <w:rStyle w:val="NormalTok"/>
        </w:rPr>
        <w:t>(params[</w:t>
      </w:r>
      <w:r>
        <w:rPr>
          <w:rStyle w:val="StringTok"/>
        </w:rPr>
        <w:t>'density_dx'</w:t>
      </w:r>
      <w:r>
        <w:rPr>
          <w:rStyle w:val="NormalTok"/>
        </w:rPr>
        <w:t>]))</w:t>
      </w:r>
      <w:r>
        <w:rPr>
          <w:rStyle w:val="OperatorTok"/>
        </w:rPr>
        <w:t>-</w:t>
      </w:r>
      <w:r>
        <w:rPr>
          <w:rStyle w:val="BuiltInTok"/>
        </w:rPr>
        <w:t>float</w:t>
      </w:r>
      <w:r>
        <w:rPr>
          <w:rStyle w:val="NormalTok"/>
        </w:rPr>
        <w:t>(params[</w:t>
      </w:r>
      <w:r>
        <w:rPr>
          <w:rStyle w:val="StringTok"/>
        </w:rPr>
        <w:t>'density_f_ed'</w:t>
      </w:r>
      <w:r>
        <w:rPr>
          <w:rStyle w:val="NormalTok"/>
        </w:rPr>
        <w:t>]),</w:t>
      </w:r>
      <w:r>
        <w:rPr>
          <w:rStyle w:val="BuiltInTok"/>
        </w:rPr>
        <w:t>float</w:t>
      </w:r>
      <w:r>
        <w:rPr>
          <w:rStyle w:val="NormalTok"/>
        </w:rPr>
        <w:t>(params[</w:t>
      </w:r>
      <w:r>
        <w:rPr>
          <w:rStyle w:val="StringTok"/>
        </w:rPr>
        <w:t>'density_cutoff'</w:t>
      </w:r>
      <w:r>
        <w:rPr>
          <w:rStyle w:val="NormalTok"/>
        </w:rPr>
        <w:t>]))</w:t>
      </w:r>
      <w:r>
        <w:br/>
      </w:r>
      <w:r>
        <w:rPr>
          <w:rStyle w:val="NormalTok"/>
        </w:rPr>
        <w:t>bins[</w:t>
      </w:r>
      <w:r>
        <w:rPr>
          <w:rStyle w:val="StringTok"/>
        </w:rPr>
        <w:t>'c_D_EE_NGF'</w:t>
      </w:r>
      <w:r>
        <w:rPr>
          <w:rStyle w:val="NormalTok"/>
        </w:rPr>
        <w:t>]</w:t>
      </w:r>
      <w:r>
        <w:rPr>
          <w:rStyle w:val="OperatorTok"/>
        </w:rPr>
        <w:t>=</w:t>
      </w:r>
      <w:r>
        <w:rPr>
          <w:rStyle w:val="NormalTok"/>
        </w:rPr>
        <w:t>bins.c_D_EE_BGF</w:t>
      </w:r>
      <w:r>
        <w:rPr>
          <w:rStyle w:val="OperatorTok"/>
        </w:rPr>
        <w:t>/</w:t>
      </w:r>
      <w:r>
        <w:rPr>
          <w:rStyle w:val="NormalTok"/>
        </w:rPr>
        <w:t>r</w:t>
      </w:r>
      <w:r>
        <w:br/>
      </w:r>
      <w:r>
        <w:rPr>
          <w:rStyle w:val="NormalTok"/>
        </w:rPr>
        <w:t>bins[</w:t>
      </w:r>
      <w:r>
        <w:rPr>
          <w:rStyle w:val="StringTok"/>
        </w:rPr>
        <w:t>'gew_GFZ'</w:t>
      </w:r>
      <w:r>
        <w:rPr>
          <w:rStyle w:val="NormalTok"/>
        </w:rPr>
        <w:t>]</w:t>
      </w:r>
      <w:r>
        <w:rPr>
          <w:rStyle w:val="OperatorTok"/>
        </w:rPr>
        <w:t>=</w:t>
      </w:r>
      <w:r>
        <w:rPr>
          <w:rStyle w:val="NormalTok"/>
        </w:rPr>
        <w:t>bins.GFZ</w:t>
      </w:r>
      <w:r>
        <w:rPr>
          <w:rStyle w:val="OperatorTok"/>
        </w:rPr>
        <w:t>*</w:t>
      </w:r>
      <w:r>
        <w:rPr>
          <w:rStyle w:val="NormalTok"/>
        </w:rPr>
        <w:t>bins.s</w:t>
      </w:r>
      <w:r>
        <w:rPr>
          <w:rStyle w:val="OperatorTok"/>
        </w:rPr>
        <w:t>;</w:t>
      </w:r>
      <w:r>
        <w:rPr>
          <w:rStyle w:val="NormalTok"/>
        </w:rPr>
        <w:t xml:space="preserve"> bins[</w:t>
      </w:r>
      <w:r>
        <w:rPr>
          <w:rStyle w:val="StringTok"/>
        </w:rPr>
        <w:t>'gew_c'</w:t>
      </w:r>
      <w:r>
        <w:rPr>
          <w:rStyle w:val="NormalTok"/>
        </w:rPr>
        <w:t>]</w:t>
      </w:r>
      <w:r>
        <w:rPr>
          <w:rStyle w:val="OperatorTok"/>
        </w:rPr>
        <w:t>=</w:t>
      </w:r>
      <w:r>
        <w:rPr>
          <w:rStyle w:val="NormalTok"/>
        </w:rPr>
        <w:t>bins.c_D_EE_BGF</w:t>
      </w:r>
      <w:r>
        <w:rPr>
          <w:rStyle w:val="OperatorTok"/>
        </w:rPr>
        <w:t>*</w:t>
      </w:r>
      <w:r>
        <w:rPr>
          <w:rStyle w:val="NormalTok"/>
        </w:rPr>
        <w:t>bins.s</w:t>
      </w:r>
      <w:r>
        <w:br/>
      </w:r>
      <w:r>
        <w:rPr>
          <w:rStyle w:val="NormalTok"/>
        </w:rPr>
        <w:t>density</w:t>
      </w:r>
      <w:r>
        <w:rPr>
          <w:rStyle w:val="OperatorTok"/>
        </w:rPr>
        <w:t>=</w:t>
      </w:r>
      <w:r>
        <w:rPr>
          <w:rStyle w:val="NormalTok"/>
        </w:rPr>
        <w:t>bins.groupby(</w:t>
      </w:r>
      <w:r>
        <w:rPr>
          <w:rStyle w:val="StringTok"/>
        </w:rPr>
        <w:t>'Geometrie'</w:t>
      </w:r>
      <w:r>
        <w:rPr>
          <w:rStyle w:val="NormalTok"/>
        </w:rPr>
        <w:t>).agg(GFZ_Mittel</w:t>
      </w:r>
      <w:r>
        <w:rPr>
          <w:rStyle w:val="OperatorTok"/>
        </w:rPr>
        <w:t>=</w:t>
      </w:r>
      <w:r>
        <w:rPr>
          <w:rStyle w:val="NormalTok"/>
        </w:rPr>
        <w:t>(</w:t>
      </w:r>
      <w:r>
        <w:rPr>
          <w:rStyle w:val="StringTok"/>
        </w:rPr>
        <w:t>'gew_GFZ'</w:t>
      </w:r>
      <w:r>
        <w:rPr>
          <w:rStyle w:val="NormalTok"/>
        </w:rPr>
        <w:t>,</w:t>
      </w:r>
      <w:r>
        <w:rPr>
          <w:rStyle w:val="StringTok"/>
        </w:rPr>
        <w:t>'sum'</w:t>
      </w:r>
      <w:r>
        <w:rPr>
          <w:rStyle w:val="NormalTok"/>
        </w:rPr>
        <w:t>),c_D_EE_BGF</w:t>
      </w:r>
      <w:r>
        <w:rPr>
          <w:rStyle w:val="OperatorTok"/>
        </w:rPr>
        <w:t>=</w:t>
      </w:r>
      <w:r>
        <w:rPr>
          <w:rStyle w:val="NormalTok"/>
        </w:rPr>
        <w:t>(</w:t>
      </w:r>
      <w:r>
        <w:rPr>
          <w:rStyle w:val="StringTok"/>
        </w:rPr>
        <w:t>'gew_c'</w:t>
      </w:r>
      <w:r>
        <w:rPr>
          <w:rStyle w:val="NormalTok"/>
        </w:rPr>
        <w:t>,</w:t>
      </w:r>
      <w:r>
        <w:rPr>
          <w:rStyle w:val="StringTok"/>
        </w:rPr>
        <w:t>'sum'</w:t>
      </w:r>
      <w:r>
        <w:rPr>
          <w:rStyle w:val="NormalTok"/>
        </w:rPr>
        <w:t>),Referenz_BGF</w:t>
      </w:r>
      <w:r>
        <w:rPr>
          <w:rStyle w:val="OperatorTok"/>
        </w:rPr>
        <w:t>=</w:t>
      </w:r>
      <w:r>
        <w:rPr>
          <w:rStyle w:val="NormalTok"/>
        </w:rPr>
        <w:t>(</w:t>
      </w:r>
      <w:r>
        <w:rPr>
          <w:rStyle w:val="StringTok"/>
        </w:rPr>
        <w:t>'zugeordnete_BGF'</w:t>
      </w:r>
      <w:r>
        <w:rPr>
          <w:rStyle w:val="NormalTok"/>
        </w:rPr>
        <w:t>,</w:t>
      </w:r>
      <w:r>
        <w:rPr>
          <w:rStyle w:val="StringTok"/>
        </w:rPr>
        <w:t>'sum'</w:t>
      </w:r>
      <w:r>
        <w:rPr>
          <w:rStyle w:val="NormalTok"/>
        </w:rPr>
        <w:t>))</w:t>
      </w:r>
      <w:r>
        <w:br/>
      </w:r>
      <w:r>
        <w:rPr>
          <w:rStyle w:val="NormalTok"/>
        </w:rPr>
        <w:t>density[</w:t>
      </w:r>
      <w:r>
        <w:rPr>
          <w:rStyle w:val="StringTok"/>
        </w:rPr>
        <w:t>'c_D_EE_NGF'</w:t>
      </w:r>
      <w:r>
        <w:rPr>
          <w:rStyle w:val="NormalTok"/>
        </w:rPr>
        <w:t>]</w:t>
      </w:r>
      <w:r>
        <w:rPr>
          <w:rStyle w:val="OperatorTok"/>
        </w:rPr>
        <w:t>=</w:t>
      </w:r>
      <w:r>
        <w:rPr>
          <w:rStyle w:val="NormalTok"/>
        </w:rPr>
        <w:t>density.c_D_EE_BGF</w:t>
      </w:r>
      <w:r>
        <w:rPr>
          <w:rStyle w:val="OperatorTok"/>
        </w:rPr>
        <w:t>/</w:t>
      </w:r>
      <w:r>
        <w:rPr>
          <w:rStyle w:val="NormalTok"/>
        </w:rPr>
        <w:t>r</w:t>
      </w:r>
      <w:r>
        <w:br/>
      </w:r>
      <w:r>
        <w:rPr>
          <w:rStyle w:val="NormalTok"/>
        </w:rPr>
        <w:t>density[</w:t>
      </w:r>
      <w:r>
        <w:rPr>
          <w:rStyle w:val="StringTok"/>
        </w:rPr>
        <w:t>'c_am_GFZ_Mittel'</w:t>
      </w:r>
      <w:r>
        <w:rPr>
          <w:rStyle w:val="NormalTok"/>
        </w:rPr>
        <w:t>]</w:t>
      </w:r>
      <w:r>
        <w:rPr>
          <w:rStyle w:val="OperatorTok"/>
        </w:rPr>
        <w:t>=-</w:t>
      </w:r>
      <w:r>
        <w:rPr>
          <w:rStyle w:val="NormalTok"/>
        </w:rPr>
        <w:t>np.minimum(</w:t>
      </w:r>
      <w:r>
        <w:rPr>
          <w:rStyle w:val="BuiltInTok"/>
        </w:rPr>
        <w:t>float</w:t>
      </w:r>
      <w:r>
        <w:rPr>
          <w:rStyle w:val="NormalTok"/>
        </w:rPr>
        <w:t>(params[</w:t>
      </w:r>
      <w:r>
        <w:rPr>
          <w:rStyle w:val="StringTok"/>
        </w:rPr>
        <w:t>'density_f_res'</w:t>
      </w:r>
      <w:r>
        <w:rPr>
          <w:rStyle w:val="NormalTok"/>
        </w:rPr>
        <w:t>])</w:t>
      </w:r>
      <w:r>
        <w:rPr>
          <w:rStyle w:val="OperatorTok"/>
        </w:rPr>
        <w:t>/</w:t>
      </w:r>
      <w:r>
        <w:rPr>
          <w:rStyle w:val="NormalTok"/>
        </w:rPr>
        <w:t>(density.GFZ_Mittel</w:t>
      </w:r>
      <w:r>
        <w:rPr>
          <w:rStyle w:val="OperatorTok"/>
        </w:rPr>
        <w:t>+</w:t>
      </w:r>
      <w:r>
        <w:rPr>
          <w:rStyle w:val="BuiltInTok"/>
        </w:rPr>
        <w:t>float</w:t>
      </w:r>
      <w:r>
        <w:rPr>
          <w:rStyle w:val="NormalTok"/>
        </w:rPr>
        <w:t>(params[</w:t>
      </w:r>
      <w:r>
        <w:rPr>
          <w:rStyle w:val="StringTok"/>
        </w:rPr>
        <w:t>'density_dx'</w:t>
      </w:r>
      <w:r>
        <w:rPr>
          <w:rStyle w:val="NormalTok"/>
        </w:rPr>
        <w:t>]))</w:t>
      </w:r>
      <w:r>
        <w:rPr>
          <w:rStyle w:val="OperatorTok"/>
        </w:rPr>
        <w:t>-</w:t>
      </w:r>
      <w:r>
        <w:rPr>
          <w:rStyle w:val="BuiltInTok"/>
        </w:rPr>
        <w:t>float</w:t>
      </w:r>
      <w:r>
        <w:rPr>
          <w:rStyle w:val="NormalTok"/>
        </w:rPr>
        <w:t>(params[</w:t>
      </w:r>
      <w:r>
        <w:rPr>
          <w:rStyle w:val="StringTok"/>
        </w:rPr>
        <w:t>'density_f_ed'</w:t>
      </w:r>
      <w:r>
        <w:rPr>
          <w:rStyle w:val="NormalTok"/>
        </w:rPr>
        <w:t>]),</w:t>
      </w:r>
      <w:r>
        <w:rPr>
          <w:rStyle w:val="BuiltInTok"/>
        </w:rPr>
        <w:t>float</w:t>
      </w:r>
      <w:r>
        <w:rPr>
          <w:rStyle w:val="NormalTok"/>
        </w:rPr>
        <w:t>(params[</w:t>
      </w:r>
      <w:r>
        <w:rPr>
          <w:rStyle w:val="StringTok"/>
        </w:rPr>
        <w:t>'density_cutoff'</w:t>
      </w:r>
      <w:r>
        <w:rPr>
          <w:rStyle w:val="NormalTok"/>
        </w:rPr>
        <w:t>]))</w:t>
      </w:r>
      <w:r>
        <w:br/>
      </w:r>
      <w:r>
        <w:rPr>
          <w:rStyle w:val="NormalTok"/>
        </w:rPr>
        <w:t>data</w:t>
      </w:r>
      <w:r>
        <w:rPr>
          <w:rStyle w:val="OperatorTok"/>
        </w:rPr>
        <w:t>=</w:t>
      </w:r>
      <w:r>
        <w:rPr>
          <w:rStyle w:val="NormalTok"/>
        </w:rPr>
        <w:t>data.merge(density[[</w:t>
      </w:r>
      <w:r>
        <w:rPr>
          <w:rStyle w:val="StringTok"/>
        </w:rPr>
        <w:t>'GFZ_Mittel'</w:t>
      </w:r>
      <w:r>
        <w:rPr>
          <w:rStyle w:val="NormalTok"/>
        </w:rPr>
        <w:t>,</w:t>
      </w:r>
      <w:r>
        <w:rPr>
          <w:rStyle w:val="StringTok"/>
        </w:rPr>
        <w:t>'c_D_EE_BGF'</w:t>
      </w:r>
      <w:r>
        <w:rPr>
          <w:rStyle w:val="NormalTok"/>
        </w:rPr>
        <w:t>,</w:t>
      </w:r>
      <w:r>
        <w:rPr>
          <w:rStyle w:val="StringTok"/>
        </w:rPr>
        <w:t>'c_D_EE_NGF'</w:t>
      </w:r>
      <w:r>
        <w:rPr>
          <w:rStyle w:val="NormalTok"/>
        </w:rPr>
        <w:t>]],left_on</w:t>
      </w:r>
      <w:r>
        <w:rPr>
          <w:rStyle w:val="OperatorTok"/>
        </w:rPr>
        <w:t>=</w:t>
      </w:r>
      <w:r>
        <w:rPr>
          <w:rStyle w:val="StringTok"/>
        </w:rPr>
        <w:t>'Geometrie'</w:t>
      </w:r>
      <w:r>
        <w:rPr>
          <w:rStyle w:val="NormalTok"/>
        </w:rPr>
        <w:t>,right_index</w:t>
      </w:r>
      <w:r>
        <w:rPr>
          <w:rStyle w:val="OperatorTok"/>
        </w:rPr>
        <w:t>=</w:t>
      </w:r>
      <w:r>
        <w:rPr>
          <w:rStyle w:val="VariableTok"/>
        </w:rPr>
        <w:t>True</w:t>
      </w:r>
      <w:r>
        <w:rPr>
          <w:rStyle w:val="NormalTok"/>
        </w:rPr>
        <w:t>,how</w:t>
      </w:r>
      <w:r>
        <w:rPr>
          <w:rStyle w:val="OperatorTok"/>
        </w:rPr>
        <w:t>=</w:t>
      </w:r>
      <w:r>
        <w:rPr>
          <w:rStyle w:val="StringTok"/>
        </w:rPr>
        <w:t>'left'</w:t>
      </w:r>
      <w:r>
        <w:rPr>
          <w:rStyle w:val="NormalTok"/>
        </w:rPr>
        <w:t>,validate</w:t>
      </w:r>
      <w:r>
        <w:rPr>
          <w:rStyle w:val="OperatorTok"/>
        </w:rPr>
        <w:t>=</w:t>
      </w:r>
      <w:r>
        <w:rPr>
          <w:rStyle w:val="StringTok"/>
        </w:rPr>
        <w:t>'many_to_one'</w:t>
      </w:r>
      <w:r>
        <w:rPr>
          <w:rStyle w:val="NormalTok"/>
        </w:rPr>
        <w:t>)</w:t>
      </w:r>
      <w:r>
        <w:br/>
      </w:r>
      <w:r>
        <w:rPr>
          <w:rStyle w:val="ControlFlowTok"/>
        </w:rPr>
        <w:lastRenderedPageBreak/>
        <w:t>assert</w:t>
      </w:r>
      <w:r>
        <w:rPr>
          <w:rStyle w:val="NormalTok"/>
        </w:rPr>
        <w:t xml:space="preserve"> data.loc[data[</w:t>
      </w:r>
      <w:r>
        <w:rPr>
          <w:rStyle w:val="StringTok"/>
        </w:rPr>
        <w:t>'Nationale BGF 2040'</w:t>
      </w:r>
      <w:r>
        <w:rPr>
          <w:rStyle w:val="NormalTok"/>
        </w:rPr>
        <w:t>].gt(</w:t>
      </w:r>
      <w:r>
        <w:rPr>
          <w:rStyle w:val="DecValTok"/>
        </w:rPr>
        <w:t>0</w:t>
      </w:r>
      <w:r>
        <w:rPr>
          <w:rStyle w:val="NormalTok"/>
        </w:rPr>
        <w:t>),</w:t>
      </w:r>
      <w:r>
        <w:rPr>
          <w:rStyle w:val="StringTok"/>
        </w:rPr>
        <w:t>'GFZ_Mittel'</w:t>
      </w:r>
      <w:r>
        <w:rPr>
          <w:rStyle w:val="NormalTok"/>
        </w:rPr>
        <w:t>].notna().</w:t>
      </w:r>
      <w:r>
        <w:rPr>
          <w:rStyle w:val="BuiltInTok"/>
        </w:rPr>
        <w:t>all</w:t>
      </w:r>
      <w:r>
        <w:rPr>
          <w:rStyle w:val="NormalTok"/>
        </w:rPr>
        <w:t>()</w:t>
      </w:r>
      <w:r>
        <w:br/>
      </w:r>
      <w:r>
        <w:rPr>
          <w:rStyle w:val="BuiltInTok"/>
        </w:rPr>
        <w:t>print</w:t>
      </w:r>
      <w:r>
        <w:rPr>
          <w:rStyle w:val="NormalTok"/>
        </w:rPr>
        <w:t>(</w:t>
      </w:r>
      <w:r>
        <w:rPr>
          <w:rStyle w:val="StringTok"/>
        </w:rPr>
        <w:t>'Nach bestätigter Einzelzielregel ergänzte leere Anteile:'</w:t>
      </w:r>
      <w:r>
        <w:rPr>
          <w:rStyle w:val="NormalTok"/>
        </w:rPr>
        <w:t>,</w:t>
      </w:r>
      <w:r>
        <w:rPr>
          <w:rStyle w:val="BuiltInTok"/>
        </w:rPr>
        <w:t>int</w:t>
      </w:r>
      <w:r>
        <w:rPr>
          <w:rStyle w:val="NormalTok"/>
        </w:rPr>
        <w:t>(mapping[</w:t>
      </w:r>
      <w:r>
        <w:rPr>
          <w:rStyle w:val="StringTok"/>
        </w:rPr>
        <w:t>'Einzelziel_ergänzt'</w:t>
      </w:r>
      <w:r>
        <w:rPr>
          <w:rStyle w:val="NormalTok"/>
        </w:rPr>
        <w:t>].</w:t>
      </w:r>
      <w:r>
        <w:rPr>
          <w:rStyle w:val="BuiltInTok"/>
        </w:rPr>
        <w:t>sum</w:t>
      </w:r>
      <w:r>
        <w:rPr>
          <w:rStyle w:val="NormalTok"/>
        </w:rPr>
        <w:t>()),</w:t>
      </w:r>
      <w:r>
        <w:rPr>
          <w:rStyle w:val="StringTok"/>
        </w:rPr>
        <w:t>'Quellzeilen'</w:t>
      </w:r>
      <w:r>
        <w:rPr>
          <w:rStyle w:val="NormalTok"/>
        </w:rPr>
        <w:t>)</w:t>
      </w:r>
      <w:r>
        <w:br/>
      </w:r>
      <w:r>
        <w:rPr>
          <w:rStyle w:val="NormalTok"/>
        </w:rPr>
        <w:t>affected</w:t>
      </w:r>
      <w:r>
        <w:rPr>
          <w:rStyle w:val="OperatorTok"/>
        </w:rPr>
        <w:t>=</w:t>
      </w:r>
      <w:r>
        <w:rPr>
          <w:rStyle w:val="NormalTok"/>
        </w:rPr>
        <w:t>unique.loc[unique[</w:t>
      </w:r>
      <w:r>
        <w:rPr>
          <w:rStyle w:val="StringTok"/>
        </w:rPr>
        <w:t>'Einzelziel_ergänzt'</w:t>
      </w:r>
      <w:r>
        <w:rPr>
          <w:rStyle w:val="NormalTok"/>
        </w:rPr>
        <w:t>],[</w:t>
      </w:r>
      <w:r>
        <w:rPr>
          <w:rStyle w:val="StringTok"/>
        </w:rPr>
        <w:t>'GWR_Nutzung'</w:t>
      </w:r>
      <w:r>
        <w:rPr>
          <w:rStyle w:val="NormalTok"/>
        </w:rPr>
        <w:t>,</w:t>
      </w:r>
      <w:r>
        <w:rPr>
          <w:rStyle w:val="StringTok"/>
        </w:rPr>
        <w:t>'GK'</w:t>
      </w:r>
      <w:r>
        <w:rPr>
          <w:rStyle w:val="NormalTok"/>
        </w:rPr>
        <w:t>]]</w:t>
      </w:r>
      <w:r>
        <w:br/>
      </w:r>
      <w:r>
        <w:rPr>
          <w:rStyle w:val="NormalTok"/>
        </w:rPr>
        <w:t>affected_area</w:t>
      </w:r>
      <w:r>
        <w:rPr>
          <w:rStyle w:val="OperatorTok"/>
        </w:rPr>
        <w:t>=</w:t>
      </w:r>
      <w:r>
        <w:rPr>
          <w:rStyle w:val="NormalTok"/>
        </w:rPr>
        <w:t>gfz.merge(affected,on</w:t>
      </w:r>
      <w:r>
        <w:rPr>
          <w:rStyle w:val="OperatorTok"/>
        </w:rPr>
        <w:t>=</w:t>
      </w:r>
      <w:r>
        <w:rPr>
          <w:rStyle w:val="NormalTok"/>
        </w:rPr>
        <w:t>[</w:t>
      </w:r>
      <w:r>
        <w:rPr>
          <w:rStyle w:val="StringTok"/>
        </w:rPr>
        <w:t>'GWR_Nutzung'</w:t>
      </w:r>
      <w:r>
        <w:rPr>
          <w:rStyle w:val="NormalTok"/>
        </w:rPr>
        <w:t>,</w:t>
      </w:r>
      <w:r>
        <w:rPr>
          <w:rStyle w:val="StringTok"/>
        </w:rPr>
        <w:t>'GK'</w:t>
      </w:r>
      <w:r>
        <w:rPr>
          <w:rStyle w:val="NormalTok"/>
        </w:rPr>
        <w:t>]).BGF_m2.</w:t>
      </w:r>
      <w:r>
        <w:rPr>
          <w:rStyle w:val="BuiltInTok"/>
        </w:rPr>
        <w:t>sum</w:t>
      </w:r>
      <w:r>
        <w:rPr>
          <w:rStyle w:val="NormalTok"/>
        </w:rPr>
        <w:t>()</w:t>
      </w:r>
      <w:r>
        <w:br/>
      </w:r>
      <w:r>
        <w:rPr>
          <w:rStyle w:val="BuiltInTok"/>
        </w:rPr>
        <w:t>print</w:t>
      </w:r>
      <w:r>
        <w:rPr>
          <w:rStyle w:val="NormalTok"/>
        </w:rPr>
        <w:t>(</w:t>
      </w:r>
      <w:r>
        <w:rPr>
          <w:rStyle w:val="StringTok"/>
        </w:rPr>
        <w:t>'Davon betroffene Referenz-BGF [%]:'</w:t>
      </w:r>
      <w:r>
        <w:rPr>
          <w:rStyle w:val="NormalTok"/>
        </w:rPr>
        <w:t>,</w:t>
      </w:r>
      <w:r>
        <w:rPr>
          <w:rStyle w:val="DecValTok"/>
        </w:rPr>
        <w:t>100</w:t>
      </w:r>
      <w:r>
        <w:rPr>
          <w:rStyle w:val="OperatorTok"/>
        </w:rPr>
        <w:t>*</w:t>
      </w:r>
      <w:r>
        <w:rPr>
          <w:rStyle w:val="NormalTok"/>
        </w:rPr>
        <w:t>affected_area</w:t>
      </w:r>
      <w:r>
        <w:rPr>
          <w:rStyle w:val="OperatorTok"/>
        </w:rPr>
        <w:t>/</w:t>
      </w:r>
      <w:r>
        <w:rPr>
          <w:rStyle w:val="NormalTok"/>
        </w:rPr>
        <w:t>gfz.BGF_m2.</w:t>
      </w:r>
      <w:r>
        <w:rPr>
          <w:rStyle w:val="BuiltInTok"/>
        </w:rPr>
        <w:t>sum</w:t>
      </w:r>
      <w:r>
        <w:rPr>
          <w:rStyle w:val="NormalTok"/>
        </w:rPr>
        <w:t>())</w:t>
      </w:r>
      <w:r>
        <w:br/>
      </w:r>
      <w:r>
        <w:rPr>
          <w:rStyle w:val="NormalTok"/>
        </w:rPr>
        <w:t>display(density)</w:t>
      </w:r>
      <w:r>
        <w:br/>
      </w:r>
      <w:r>
        <w:rPr>
          <w:rStyle w:val="NormalTok"/>
        </w:rPr>
        <w:t>matrix</w:t>
      </w:r>
      <w:r>
        <w:rPr>
          <w:rStyle w:val="OperatorTok"/>
        </w:rPr>
        <w:t>=</w:t>
      </w:r>
      <w:r>
        <w:rPr>
          <w:rStyle w:val="NormalTok"/>
        </w:rPr>
        <w:t>data.loc[data[</w:t>
      </w:r>
      <w:r>
        <w:rPr>
          <w:rStyle w:val="StringTok"/>
        </w:rPr>
        <w:t>'Nationale BGF 2040'</w:t>
      </w:r>
      <w:r>
        <w:rPr>
          <w:rStyle w:val="NormalTok"/>
        </w:rPr>
        <w:t>].gt(</w:t>
      </w:r>
      <w:r>
        <w:rPr>
          <w:rStyle w:val="DecValTok"/>
        </w:rPr>
        <w:t>0</w:t>
      </w:r>
      <w:r>
        <w:rPr>
          <w:rStyle w:val="NormalTok"/>
        </w:rPr>
        <w:t>),[</w:t>
      </w:r>
      <w:r>
        <w:rPr>
          <w:rStyle w:val="StringTok"/>
        </w:rPr>
        <w:t>'Archetype'</w:t>
      </w:r>
      <w:r>
        <w:rPr>
          <w:rStyle w:val="NormalTok"/>
        </w:rPr>
        <w:t>,</w:t>
      </w:r>
      <w:r>
        <w:rPr>
          <w:rStyle w:val="StringTok"/>
        </w:rPr>
        <w:t>'Geometrie'</w:t>
      </w:r>
      <w:r>
        <w:rPr>
          <w:rStyle w:val="NormalTok"/>
        </w:rPr>
        <w:t>,</w:t>
      </w:r>
      <w:r>
        <w:rPr>
          <w:rStyle w:val="StringTok"/>
        </w:rPr>
        <w:t>'Nationale BGF 2040'</w:t>
      </w:r>
      <w:r>
        <w:rPr>
          <w:rStyle w:val="NormalTok"/>
        </w:rPr>
        <w:t>]].merge(bins[[</w:t>
      </w:r>
      <w:r>
        <w:rPr>
          <w:rStyle w:val="StringTok"/>
        </w:rPr>
        <w:t>'Geometrie'</w:t>
      </w:r>
      <w:r>
        <w:rPr>
          <w:rStyle w:val="NormalTok"/>
        </w:rPr>
        <w:t>,</w:t>
      </w:r>
      <w:r>
        <w:rPr>
          <w:rStyle w:val="StringTok"/>
        </w:rPr>
        <w:t>'GFZ'</w:t>
      </w:r>
      <w:r>
        <w:rPr>
          <w:rStyle w:val="NormalTok"/>
        </w:rPr>
        <w:t>,</w:t>
      </w:r>
      <w:r>
        <w:rPr>
          <w:rStyle w:val="StringTok"/>
        </w:rPr>
        <w:t>'s'</w:t>
      </w:r>
      <w:r>
        <w:rPr>
          <w:rStyle w:val="NormalTok"/>
        </w:rPr>
        <w:t>,</w:t>
      </w:r>
      <w:r>
        <w:rPr>
          <w:rStyle w:val="StringTok"/>
        </w:rPr>
        <w:t>'c_D_EE_BGF'</w:t>
      </w:r>
      <w:r>
        <w:rPr>
          <w:rStyle w:val="NormalTok"/>
        </w:rPr>
        <w:t>]],on</w:t>
      </w:r>
      <w:r>
        <w:rPr>
          <w:rStyle w:val="OperatorTok"/>
        </w:rPr>
        <w:t>=</w:t>
      </w:r>
      <w:r>
        <w:rPr>
          <w:rStyle w:val="StringTok"/>
        </w:rPr>
        <w:t>'Geometrie'</w:t>
      </w:r>
      <w:r>
        <w:rPr>
          <w:rStyle w:val="NormalTok"/>
        </w:rPr>
        <w:t>,validate</w:t>
      </w:r>
      <w:r>
        <w:rPr>
          <w:rStyle w:val="OperatorTok"/>
        </w:rPr>
        <w:t>=</w:t>
      </w:r>
      <w:r>
        <w:rPr>
          <w:rStyle w:val="StringTok"/>
        </w:rPr>
        <w:t>'many_to_many'</w:t>
      </w:r>
      <w:r>
        <w:rPr>
          <w:rStyle w:val="NormalTok"/>
        </w:rPr>
        <w:t>)</w:t>
      </w:r>
      <w:r>
        <w:br/>
      </w:r>
      <w:r>
        <w:rPr>
          <w:rStyle w:val="NormalTok"/>
        </w:rPr>
        <w:t>matrix[</w:t>
      </w:r>
      <w:r>
        <w:rPr>
          <w:rStyle w:val="StringTok"/>
        </w:rPr>
        <w:t>'BGF_2040_m2'</w:t>
      </w:r>
      <w:r>
        <w:rPr>
          <w:rStyle w:val="NormalTok"/>
        </w:rPr>
        <w:t>]</w:t>
      </w:r>
      <w:r>
        <w:rPr>
          <w:rStyle w:val="OperatorTok"/>
        </w:rPr>
        <w:t>=</w:t>
      </w:r>
      <w:r>
        <w:rPr>
          <w:rStyle w:val="NormalTok"/>
        </w:rPr>
        <w:t>matrix[</w:t>
      </w:r>
      <w:r>
        <w:rPr>
          <w:rStyle w:val="StringTok"/>
        </w:rPr>
        <w:t>'Nationale BGF 2040'</w:t>
      </w:r>
      <w:r>
        <w:rPr>
          <w:rStyle w:val="NormalTok"/>
        </w:rPr>
        <w:t>]</w:t>
      </w:r>
      <w:r>
        <w:rPr>
          <w:rStyle w:val="OperatorTok"/>
        </w:rPr>
        <w:t>*</w:t>
      </w:r>
      <w:r>
        <w:rPr>
          <w:rStyle w:val="NormalTok"/>
        </w:rPr>
        <w:t>matrix.s</w:t>
      </w:r>
      <w:r>
        <w:br/>
      </w:r>
      <w:r>
        <w:rPr>
          <w:rStyle w:val="NormalTok"/>
        </w:rPr>
        <w:t>by_type</w:t>
      </w:r>
      <w:r>
        <w:rPr>
          <w:rStyle w:val="OperatorTok"/>
        </w:rPr>
        <w:t>=</w:t>
      </w:r>
      <w:r>
        <w:rPr>
          <w:rStyle w:val="NormalTok"/>
        </w:rPr>
        <w:t>matrix.groupby(</w:t>
      </w:r>
      <w:r>
        <w:rPr>
          <w:rStyle w:val="StringTok"/>
        </w:rPr>
        <w:t>'Archetype'</w:t>
      </w:r>
      <w:r>
        <w:rPr>
          <w:rStyle w:val="NormalTok"/>
        </w:rPr>
        <w:t>).BGF_2040_m2.</w:t>
      </w:r>
      <w:r>
        <w:rPr>
          <w:rStyle w:val="BuiltInTok"/>
        </w:rPr>
        <w:t>sum</w:t>
      </w:r>
      <w:r>
        <w:rPr>
          <w:rStyle w:val="NormalTok"/>
        </w:rPr>
        <w:t>()</w:t>
      </w:r>
      <w:r>
        <w:br/>
      </w:r>
      <w:r>
        <w:rPr>
          <w:rStyle w:val="NormalTok"/>
        </w:rPr>
        <w:t>np.testing.assert_allclose(by_type,data.set_index(</w:t>
      </w:r>
      <w:r>
        <w:rPr>
          <w:rStyle w:val="StringTok"/>
        </w:rPr>
        <w:t>'Archetype'</w:t>
      </w:r>
      <w:r>
        <w:rPr>
          <w:rStyle w:val="NormalTok"/>
        </w:rPr>
        <w:t>).loc[by_type.index,</w:t>
      </w:r>
      <w:r>
        <w:rPr>
          <w:rStyle w:val="StringTok"/>
        </w:rPr>
        <w:t>'Nationale BGF 2040'</w:t>
      </w:r>
      <w:r>
        <w:rPr>
          <w:rStyle w:val="NormalTok"/>
        </w:rPr>
        <w:t>],rtol</w:t>
      </w:r>
      <w:r>
        <w:rPr>
          <w:rStyle w:val="OperatorTok"/>
        </w:rPr>
        <w:t>=</w:t>
      </w:r>
      <w:r>
        <w:rPr>
          <w:rStyle w:val="FloatTok"/>
        </w:rPr>
        <w:t>1e-12</w:t>
      </w:r>
      <w:r>
        <w:rPr>
          <w:rStyle w:val="NormalTok"/>
        </w:rPr>
        <w:t>)</w:t>
      </w:r>
      <w:r>
        <w:br/>
      </w:r>
      <w:r>
        <w:rPr>
          <w:rStyle w:val="NormalTok"/>
        </w:rPr>
        <w:t>matrix[[</w:t>
      </w:r>
      <w:r>
        <w:rPr>
          <w:rStyle w:val="StringTok"/>
        </w:rPr>
        <w:t>'Archetype'</w:t>
      </w:r>
      <w:r>
        <w:rPr>
          <w:rStyle w:val="NormalTok"/>
        </w:rPr>
        <w:t>,</w:t>
      </w:r>
      <w:r>
        <w:rPr>
          <w:rStyle w:val="StringTok"/>
        </w:rPr>
        <w:t>'Geometrie'</w:t>
      </w:r>
      <w:r>
        <w:rPr>
          <w:rStyle w:val="NormalTok"/>
        </w:rPr>
        <w:t>,</w:t>
      </w:r>
      <w:r>
        <w:rPr>
          <w:rStyle w:val="StringTok"/>
        </w:rPr>
        <w:t>'GFZ'</w:t>
      </w:r>
      <w:r>
        <w:rPr>
          <w:rStyle w:val="NormalTok"/>
        </w:rPr>
        <w:t>,</w:t>
      </w:r>
      <w:r>
        <w:rPr>
          <w:rStyle w:val="StringTok"/>
        </w:rPr>
        <w:t>'s'</w:t>
      </w:r>
      <w:r>
        <w:rPr>
          <w:rStyle w:val="NormalTok"/>
        </w:rPr>
        <w:t>,</w:t>
      </w:r>
      <w:r>
        <w:rPr>
          <w:rStyle w:val="StringTok"/>
        </w:rPr>
        <w:t>'BGF_2040_m2'</w:t>
      </w:r>
      <w:r>
        <w:rPr>
          <w:rStyle w:val="NormalTok"/>
        </w:rPr>
        <w:t>,</w:t>
      </w:r>
      <w:r>
        <w:rPr>
          <w:rStyle w:val="StringTok"/>
        </w:rPr>
        <w:t>'c_D_EE_BGF'</w:t>
      </w:r>
      <w:r>
        <w:rPr>
          <w:rStyle w:val="NormalTok"/>
        </w:rPr>
        <w:t>]].to_csv(OUT</w:t>
      </w:r>
      <w:r>
        <w:rPr>
          <w:rStyle w:val="OperatorTok"/>
        </w:rPr>
        <w:t>/</w:t>
      </w:r>
      <w:r>
        <w:rPr>
          <w:rStyle w:val="StringTok"/>
        </w:rPr>
        <w:t>'typologie_gfz_2040.csv.gz'</w:t>
      </w:r>
      <w:r>
        <w:rPr>
          <w:rStyle w:val="NormalTok"/>
        </w:rPr>
        <w:t>,index</w:t>
      </w:r>
      <w:r>
        <w:rPr>
          <w:rStyle w:val="OperatorTok"/>
        </w:rPr>
        <w:t>=</w:t>
      </w:r>
      <w:r>
        <w:rPr>
          <w:rStyle w:val="VariableTok"/>
        </w:rPr>
        <w:t>False</w:t>
      </w:r>
      <w:r>
        <w:rPr>
          <w:rStyle w:val="NormalTok"/>
        </w:rPr>
        <w:t>,compression</w:t>
      </w:r>
      <w:r>
        <w:rPr>
          <w:rStyle w:val="OperatorTok"/>
        </w:rPr>
        <w:t>=</w:t>
      </w:r>
      <w:r>
        <w:rPr>
          <w:rStyle w:val="StringTok"/>
        </w:rPr>
        <w:t>'gzip'</w:t>
      </w:r>
      <w:r>
        <w:rPr>
          <w:rStyle w:val="NormalTok"/>
        </w:rPr>
        <w:t>)</w:t>
      </w:r>
      <w:r>
        <w:br/>
      </w:r>
      <w:r>
        <w:rPr>
          <w:rStyle w:val="NormalTok"/>
        </w:rPr>
        <w:t>bins.to_csv(OUT</w:t>
      </w:r>
      <w:r>
        <w:rPr>
          <w:rStyle w:val="OperatorTok"/>
        </w:rPr>
        <w:t>/</w:t>
      </w:r>
      <w:r>
        <w:rPr>
          <w:rStyle w:val="StringTok"/>
        </w:rPr>
        <w:t>'gfz_kontext_verteilungen.csv'</w:t>
      </w:r>
      <w:r>
        <w:rPr>
          <w:rStyle w:val="NormalTok"/>
        </w:rPr>
        <w:t>,index</w:t>
      </w:r>
      <w:r>
        <w:rPr>
          <w:rStyle w:val="OperatorTok"/>
        </w:rPr>
        <w:t>=</w:t>
      </w:r>
      <w:r>
        <w:rPr>
          <w:rStyle w:val="VariableTok"/>
        </w:rPr>
        <w:t>False</w:t>
      </w:r>
      <w:r>
        <w:rPr>
          <w:rStyle w:val="NormalTok"/>
        </w:rPr>
        <w:t>)</w:t>
      </w:r>
      <w:r>
        <w:rPr>
          <w:rStyle w:val="OperatorTok"/>
        </w:rPr>
        <w:t>;</w:t>
      </w:r>
      <w:r>
        <w:rPr>
          <w:rStyle w:val="NormalTok"/>
        </w:rPr>
        <w:t>density.to_csv(OUT</w:t>
      </w:r>
      <w:r>
        <w:rPr>
          <w:rStyle w:val="OperatorTok"/>
        </w:rPr>
        <w:t>/</w:t>
      </w:r>
      <w:r>
        <w:rPr>
          <w:rStyle w:val="StringTok"/>
        </w:rPr>
        <w:t>'dichte_erwartungswerte.csv'</w:t>
      </w:r>
      <w:r>
        <w:rPr>
          <w:rStyle w:val="NormalTok"/>
        </w:rPr>
        <w:t>)</w:t>
      </w:r>
      <w:r>
        <w:br/>
      </w:r>
      <w:r>
        <w:rPr>
          <w:rStyle w:val="NormalTok"/>
        </w:rPr>
        <w:t>data[[</w:t>
      </w:r>
      <w:r>
        <w:rPr>
          <w:rStyle w:val="StringTok"/>
        </w:rPr>
        <w:t>'Archetype'</w:t>
      </w:r>
      <w:r>
        <w:rPr>
          <w:rStyle w:val="NormalTok"/>
        </w:rPr>
        <w:t>,</w:t>
      </w:r>
      <w:r>
        <w:rPr>
          <w:rStyle w:val="StringTok"/>
        </w:rPr>
        <w:t>'Geometrie'</w:t>
      </w:r>
      <w:r>
        <w:rPr>
          <w:rStyle w:val="NormalTok"/>
        </w:rPr>
        <w:t>,</w:t>
      </w:r>
      <w:r>
        <w:rPr>
          <w:rStyle w:val="StringTok"/>
        </w:rPr>
        <w:t>'GFZ_Mittel'</w:t>
      </w:r>
      <w:r>
        <w:rPr>
          <w:rStyle w:val="NormalTok"/>
        </w:rPr>
        <w:t>,</w:t>
      </w:r>
      <w:r>
        <w:rPr>
          <w:rStyle w:val="StringTok"/>
        </w:rPr>
        <w:t>'c_D_EE_BGF'</w:t>
      </w:r>
      <w:r>
        <w:rPr>
          <w:rStyle w:val="NormalTok"/>
        </w:rPr>
        <w:t>,</w:t>
      </w:r>
      <w:r>
        <w:rPr>
          <w:rStyle w:val="StringTok"/>
        </w:rPr>
        <w:t>'c_D_EE_NGF'</w:t>
      </w:r>
      <w:r>
        <w:rPr>
          <w:rStyle w:val="NormalTok"/>
        </w:rPr>
        <w:t>,</w:t>
      </w:r>
      <w:r>
        <w:rPr>
          <w:rStyle w:val="StringTok"/>
        </w:rPr>
        <w:t>'Nationale BGF 2040'</w:t>
      </w:r>
      <w:r>
        <w:rPr>
          <w:rStyle w:val="NormalTok"/>
        </w:rPr>
        <w:t>]].to_csv(OUT</w:t>
      </w:r>
      <w:r>
        <w:rPr>
          <w:rStyle w:val="OperatorTok"/>
        </w:rPr>
        <w:t>/</w:t>
      </w:r>
      <w:r>
        <w:rPr>
          <w:rStyle w:val="StringTok"/>
        </w:rPr>
        <w:t>'typologie_dichte.csv'</w:t>
      </w:r>
      <w:r>
        <w:rPr>
          <w:rStyle w:val="NormalTok"/>
        </w:rPr>
        <w:t>,index</w:t>
      </w:r>
      <w:r>
        <w:rPr>
          <w:rStyle w:val="OperatorTok"/>
        </w:rPr>
        <w:t>=</w:t>
      </w:r>
      <w:r>
        <w:rPr>
          <w:rStyle w:val="VariableTok"/>
        </w:rPr>
        <w:t>False</w:t>
      </w:r>
      <w:r>
        <w:rPr>
          <w:rStyle w:val="NormalTok"/>
        </w:rPr>
        <w:t>)</w:t>
      </w:r>
      <w:r>
        <w:br/>
      </w:r>
      <w:r>
        <w:rPr>
          <w:rStyle w:val="NormalTok"/>
        </w:rPr>
        <w:t>fig,axes</w:t>
      </w:r>
      <w:r>
        <w:rPr>
          <w:rStyle w:val="OperatorTok"/>
        </w:rPr>
        <w:t>=</w:t>
      </w:r>
      <w:r>
        <w:rPr>
          <w:rStyle w:val="NormalTok"/>
        </w:rPr>
        <w:t>plt.subplots(</w:t>
      </w:r>
      <w:r>
        <w:rPr>
          <w:rStyle w:val="DecValTok"/>
        </w:rPr>
        <w:t>1</w:t>
      </w:r>
      <w:r>
        <w:rPr>
          <w:rStyle w:val="NormalTok"/>
        </w:rPr>
        <w:t>,</w:t>
      </w:r>
      <w:r>
        <w:rPr>
          <w:rStyle w:val="DecValTok"/>
        </w:rPr>
        <w:t>2</w:t>
      </w:r>
      <w:r>
        <w:rPr>
          <w:rStyle w:val="NormalTok"/>
        </w:rPr>
        <w:t>,figsize</w:t>
      </w:r>
      <w:r>
        <w:rPr>
          <w:rStyle w:val="OperatorTok"/>
        </w:rPr>
        <w:t>=</w:t>
      </w:r>
      <w:r>
        <w:rPr>
          <w:rStyle w:val="NormalTok"/>
        </w:rPr>
        <w:t>(</w:t>
      </w:r>
      <w:r>
        <w:rPr>
          <w:rStyle w:val="DecValTok"/>
        </w:rPr>
        <w:t>11</w:t>
      </w:r>
      <w:r>
        <w:rPr>
          <w:rStyle w:val="NormalTok"/>
        </w:rPr>
        <w:t>,</w:t>
      </w:r>
      <w:r>
        <w:rPr>
          <w:rStyle w:val="DecValTok"/>
        </w:rPr>
        <w:t>4</w:t>
      </w:r>
      <w:r>
        <w:rPr>
          <w:rStyle w:val="NormalTok"/>
        </w:rPr>
        <w:t>))</w:t>
      </w:r>
      <w:r>
        <w:br/>
      </w:r>
      <w:r>
        <w:rPr>
          <w:rStyle w:val="ControlFlowTok"/>
        </w:rPr>
        <w:t>for</w:t>
      </w:r>
      <w:r>
        <w:rPr>
          <w:rStyle w:val="NormalTok"/>
        </w:rPr>
        <w:t xml:space="preserve"> name,g </w:t>
      </w:r>
      <w:r>
        <w:rPr>
          <w:rStyle w:val="KeywordTok"/>
        </w:rPr>
        <w:t>in</w:t>
      </w:r>
      <w:r>
        <w:rPr>
          <w:rStyle w:val="NormalTok"/>
        </w:rPr>
        <w:t xml:space="preserve"> bins.groupby(</w:t>
      </w:r>
      <w:r>
        <w:rPr>
          <w:rStyle w:val="StringTok"/>
        </w:rPr>
        <w:t>'Geometrie'</w:t>
      </w:r>
      <w:r>
        <w:rPr>
          <w:rStyle w:val="NormalTok"/>
        </w:rPr>
        <w:t>):</w:t>
      </w:r>
      <w:r>
        <w:br/>
      </w:r>
      <w:r>
        <w:rPr>
          <w:rStyle w:val="NormalTok"/>
        </w:rPr>
        <w:t xml:space="preserve">    axes[</w:t>
      </w:r>
      <w:r>
        <w:rPr>
          <w:rStyle w:val="DecValTok"/>
        </w:rPr>
        <w:t>0</w:t>
      </w:r>
      <w:r>
        <w:rPr>
          <w:rStyle w:val="NormalTok"/>
        </w:rPr>
        <w:t>].plot(g.GFZ,g.s</w:t>
      </w:r>
      <w:r>
        <w:rPr>
          <w:rStyle w:val="OperatorTok"/>
        </w:rPr>
        <w:t>*</w:t>
      </w:r>
      <w:r>
        <w:rPr>
          <w:rStyle w:val="DecValTok"/>
        </w:rPr>
        <w:t>100</w:t>
      </w:r>
      <w:r>
        <w:rPr>
          <w:rStyle w:val="NormalTok"/>
        </w:rPr>
        <w:t>,label</w:t>
      </w:r>
      <w:r>
        <w:rPr>
          <w:rStyle w:val="OperatorTok"/>
        </w:rPr>
        <w:t>=</w:t>
      </w:r>
      <w:r>
        <w:rPr>
          <w:rStyle w:val="NormalTok"/>
        </w:rPr>
        <w:t>name)</w:t>
      </w:r>
      <w:r>
        <w:br/>
      </w:r>
      <w:r>
        <w:rPr>
          <w:rStyle w:val="NormalTok"/>
        </w:rPr>
        <w:t>axes[</w:t>
      </w:r>
      <w:r>
        <w:rPr>
          <w:rStyle w:val="DecValTok"/>
        </w:rPr>
        <w:t>0</w:t>
      </w:r>
      <w:r>
        <w:rPr>
          <w:rStyle w:val="NormalTok"/>
        </w:rPr>
        <w:t>].</w:t>
      </w:r>
      <w:r>
        <w:rPr>
          <w:rStyle w:val="BuiltInTok"/>
        </w:rPr>
        <w:t>set</w:t>
      </w:r>
      <w:r>
        <w:rPr>
          <w:rStyle w:val="NormalTok"/>
        </w:rPr>
        <w:t>(xlim</w:t>
      </w:r>
      <w:r>
        <w:rPr>
          <w:rStyle w:val="OperatorTok"/>
        </w:rPr>
        <w:t>=</w:t>
      </w:r>
      <w:r>
        <w:rPr>
          <w:rStyle w:val="NormalTok"/>
        </w:rPr>
        <w:t>(</w:t>
      </w:r>
      <w:r>
        <w:rPr>
          <w:rStyle w:val="DecValTok"/>
        </w:rPr>
        <w:t>0</w:t>
      </w:r>
      <w:r>
        <w:rPr>
          <w:rStyle w:val="NormalTok"/>
        </w:rPr>
        <w:t>,</w:t>
      </w:r>
      <w:r>
        <w:rPr>
          <w:rStyle w:val="DecValTok"/>
        </w:rPr>
        <w:t>8</w:t>
      </w:r>
      <w:r>
        <w:rPr>
          <w:rStyle w:val="NormalTok"/>
        </w:rPr>
        <w:t>),xlabel</w:t>
      </w:r>
      <w:r>
        <w:rPr>
          <w:rStyle w:val="OperatorTok"/>
        </w:rPr>
        <w:t>=</w:t>
      </w:r>
      <w:r>
        <w:rPr>
          <w:rStyle w:val="StringTok"/>
        </w:rPr>
        <w:t>'GFZ'</w:t>
      </w:r>
      <w:r>
        <w:rPr>
          <w:rStyle w:val="NormalTok"/>
        </w:rPr>
        <w:t>,ylabel</w:t>
      </w:r>
      <w:r>
        <w:rPr>
          <w:rStyle w:val="OperatorTok"/>
        </w:rPr>
        <w:t>=</w:t>
      </w:r>
      <w:r>
        <w:rPr>
          <w:rStyle w:val="StringTok"/>
        </w:rPr>
        <w:t>'BGF-Anteil [% je GFZ-Bin 0,1]'</w:t>
      </w:r>
      <w:r>
        <w:rPr>
          <w:rStyle w:val="NormalTok"/>
        </w:rPr>
        <w:t>)</w:t>
      </w:r>
      <w:r>
        <w:rPr>
          <w:rStyle w:val="OperatorTok"/>
        </w:rPr>
        <w:t>;</w:t>
      </w:r>
      <w:r>
        <w:rPr>
          <w:rStyle w:val="NormalTok"/>
        </w:rPr>
        <w:t>axes[</w:t>
      </w:r>
      <w:r>
        <w:rPr>
          <w:rStyle w:val="DecValTok"/>
        </w:rPr>
        <w:t>0</w:t>
      </w:r>
      <w:r>
        <w:rPr>
          <w:rStyle w:val="NormalTok"/>
        </w:rPr>
        <w:t>].legend(fontsize</w:t>
      </w:r>
      <w:r>
        <w:rPr>
          <w:rStyle w:val="OperatorTok"/>
        </w:rPr>
        <w:t>=</w:t>
      </w:r>
      <w:r>
        <w:rPr>
          <w:rStyle w:val="DecValTok"/>
        </w:rPr>
        <w:t>7</w:t>
      </w:r>
      <w:r>
        <w:rPr>
          <w:rStyle w:val="NormalTok"/>
        </w:rPr>
        <w:t>,ncol</w:t>
      </w:r>
      <w:r>
        <w:rPr>
          <w:rStyle w:val="OperatorTok"/>
        </w:rPr>
        <w:t>=</w:t>
      </w:r>
      <w:r>
        <w:rPr>
          <w:rStyle w:val="DecValTok"/>
        </w:rPr>
        <w:t>2</w:t>
      </w:r>
      <w:r>
        <w:rPr>
          <w:rStyle w:val="NormalTok"/>
        </w:rPr>
        <w:t>)</w:t>
      </w:r>
      <w:r>
        <w:br/>
      </w:r>
      <w:r>
        <w:rPr>
          <w:rStyle w:val="NormalTok"/>
        </w:rPr>
        <w:t>density.c_D_EE_BGF.sort_values().plot.barh(ax</w:t>
      </w:r>
      <w:r>
        <w:rPr>
          <w:rStyle w:val="OperatorTok"/>
        </w:rPr>
        <w:t>=</w:t>
      </w:r>
      <w:r>
        <w:rPr>
          <w:rStyle w:val="NormalTok"/>
        </w:rPr>
        <w:t>axes[</w:t>
      </w:r>
      <w:r>
        <w:rPr>
          <w:rStyle w:val="DecValTok"/>
        </w:rPr>
        <w:t>1</w:t>
      </w:r>
      <w:r>
        <w:rPr>
          <w:rStyle w:val="NormalTok"/>
        </w:rPr>
        <w:t>],color</w:t>
      </w:r>
      <w:r>
        <w:rPr>
          <w:rStyle w:val="OperatorTok"/>
        </w:rPr>
        <w:t>=</w:t>
      </w:r>
      <w:r>
        <w:rPr>
          <w:rStyle w:val="StringTok"/>
        </w:rPr>
        <w:t>'#59856b'</w:t>
      </w:r>
      <w:r>
        <w:rPr>
          <w:rStyle w:val="NormalTok"/>
        </w:rPr>
        <w:t>)</w:t>
      </w:r>
      <w:r>
        <w:rPr>
          <w:rStyle w:val="OperatorTok"/>
        </w:rPr>
        <w:t>;</w:t>
      </w:r>
      <w:r>
        <w:rPr>
          <w:rStyle w:val="NormalTok"/>
        </w:rPr>
        <w:t>axes[</w:t>
      </w:r>
      <w:r>
        <w:rPr>
          <w:rStyle w:val="DecValTok"/>
        </w:rPr>
        <w:t>1</w:t>
      </w:r>
      <w:r>
        <w:rPr>
          <w:rStyle w:val="NormalTok"/>
        </w:rPr>
        <w:t>].axvline(</w:t>
      </w:r>
      <w:r>
        <w:rPr>
          <w:rStyle w:val="DecValTok"/>
        </w:rPr>
        <w:t>0</w:t>
      </w:r>
      <w:r>
        <w:rPr>
          <w:rStyle w:val="NormalTok"/>
        </w:rPr>
        <w:t>,color</w:t>
      </w:r>
      <w:r>
        <w:rPr>
          <w:rStyle w:val="OperatorTok"/>
        </w:rPr>
        <w:t>=</w:t>
      </w:r>
      <w:r>
        <w:rPr>
          <w:rStyle w:val="StringTok"/>
        </w:rPr>
        <w:t>'black'</w:t>
      </w:r>
      <w:r>
        <w:rPr>
          <w:rStyle w:val="NormalTok"/>
        </w:rPr>
        <w:t>,linewidth</w:t>
      </w:r>
      <w:r>
        <w:rPr>
          <w:rStyle w:val="OperatorTok"/>
        </w:rPr>
        <w:t>=</w:t>
      </w:r>
      <w:r>
        <w:rPr>
          <w:rStyle w:val="FloatTok"/>
        </w:rPr>
        <w:t>.6</w:t>
      </w:r>
      <w:r>
        <w:rPr>
          <w:rStyle w:val="NormalTok"/>
        </w:rPr>
        <w:t>)</w:t>
      </w:r>
      <w:r>
        <w:br/>
      </w:r>
      <w:r>
        <w:rPr>
          <w:rStyle w:val="NormalTok"/>
        </w:rPr>
        <w:t>axes[</w:t>
      </w:r>
      <w:r>
        <w:rPr>
          <w:rStyle w:val="DecValTok"/>
        </w:rPr>
        <w:t>1</w:t>
      </w:r>
      <w:r>
        <w:rPr>
          <w:rStyle w:val="NormalTok"/>
        </w:rPr>
        <w:t>].</w:t>
      </w:r>
      <w:r>
        <w:rPr>
          <w:rStyle w:val="BuiltInTok"/>
        </w:rPr>
        <w:t>set</w:t>
      </w:r>
      <w:r>
        <w:rPr>
          <w:rStyle w:val="NormalTok"/>
        </w:rPr>
        <w:t>(xlabel</w:t>
      </w:r>
      <w:r>
        <w:rPr>
          <w:rStyle w:val="OperatorTok"/>
        </w:rPr>
        <w:t>=</w:t>
      </w:r>
      <w:r>
        <w:rPr>
          <w:rStyle w:val="StringTok"/>
        </w:rPr>
        <w:t>'E[c_D] [kWh EE/(m² BGF a)]'</w:t>
      </w:r>
      <w:r>
        <w:rPr>
          <w:rStyle w:val="NormalTok"/>
        </w:rPr>
        <w:t>,ylabel</w:t>
      </w:r>
      <w:r>
        <w:rPr>
          <w:rStyle w:val="OperatorTok"/>
        </w:rPr>
        <w:t>=</w:t>
      </w:r>
      <w:r>
        <w:rPr>
          <w:rStyle w:val="StringTok"/>
        </w:rPr>
        <w:t>''</w:t>
      </w:r>
      <w:r>
        <w:rPr>
          <w:rStyle w:val="NormalTok"/>
        </w:rPr>
        <w:t>)</w:t>
      </w:r>
      <w:r>
        <w:rPr>
          <w:rStyle w:val="OperatorTok"/>
        </w:rPr>
        <w:t>;</w:t>
      </w:r>
      <w:r>
        <w:rPr>
          <w:rStyle w:val="NormalTok"/>
        </w:rPr>
        <w:t>fig.tight_layout()</w:t>
      </w:r>
      <w:r>
        <w:rPr>
          <w:rStyle w:val="OperatorTok"/>
        </w:rPr>
        <w:t>;</w:t>
      </w:r>
      <w:r>
        <w:rPr>
          <w:rStyle w:val="NormalTok"/>
        </w:rPr>
        <w:t>fig.savefig(OUT</w:t>
      </w:r>
      <w:r>
        <w:rPr>
          <w:rStyle w:val="OperatorTok"/>
        </w:rPr>
        <w:t>/</w:t>
      </w:r>
      <w:r>
        <w:rPr>
          <w:rStyle w:val="StringTok"/>
        </w:rPr>
        <w:t>'gfz_dichte.png'</w:t>
      </w:r>
      <w:r>
        <w:rPr>
          <w:rStyle w:val="NormalTok"/>
        </w:rPr>
        <w:t>,dpi</w:t>
      </w:r>
      <w:r>
        <w:rPr>
          <w:rStyle w:val="OperatorTok"/>
        </w:rPr>
        <w:t>=</w:t>
      </w:r>
      <w:r>
        <w:rPr>
          <w:rStyle w:val="DecValTok"/>
        </w:rPr>
        <w:t>180</w:t>
      </w:r>
      <w:r>
        <w:rPr>
          <w:rStyle w:val="NormalTok"/>
        </w:rPr>
        <w:t>)</w:t>
      </w:r>
      <w:r>
        <w:rPr>
          <w:rStyle w:val="OperatorTok"/>
        </w:rPr>
        <w:t>;</w:t>
      </w:r>
      <w:r>
        <w:rPr>
          <w:rStyle w:val="NormalTok"/>
        </w:rPr>
        <w:t>plt.show()</w:t>
      </w:r>
      <w:r>
        <w:br/>
      </w:r>
      <w:r>
        <w:br/>
      </w:r>
      <w:r>
        <w:rPr>
          <w:rStyle w:val="CommentTok"/>
        </w:rPr>
        <w:t># Zusätzliche, ausdrücklich virtuelle Bewertung; keine Änderung der physischen Bilanz.</w:t>
      </w:r>
      <w:r>
        <w:br/>
      </w:r>
      <w:r>
        <w:rPr>
          <w:rStyle w:val="NormalTok"/>
        </w:rPr>
        <w:t>data[</w:t>
      </w:r>
      <w:r>
        <w:rPr>
          <w:rStyle w:val="StringTok"/>
        </w:rPr>
        <w:t>'Bedarf_BGF'</w:t>
      </w:r>
      <w:r>
        <w:rPr>
          <w:rStyle w:val="NormalTok"/>
        </w:rPr>
        <w:t>]</w:t>
      </w:r>
      <w:r>
        <w:rPr>
          <w:rStyle w:val="OperatorTok"/>
        </w:rPr>
        <w:t>=</w:t>
      </w:r>
      <w:r>
        <w:rPr>
          <w:rStyle w:val="NormalTok"/>
        </w:rPr>
        <w:t>data.Strombedarf</w:t>
      </w:r>
      <w:r>
        <w:rPr>
          <w:rStyle w:val="OperatorTok"/>
        </w:rPr>
        <w:t>*</w:t>
      </w:r>
      <w:r>
        <w:rPr>
          <w:rStyle w:val="NormalTok"/>
        </w:rPr>
        <w:t>r</w:t>
      </w:r>
      <w:r>
        <w:br/>
      </w:r>
      <w:r>
        <w:rPr>
          <w:rStyle w:val="NormalTok"/>
        </w:rPr>
        <w:t>data[</w:t>
      </w:r>
      <w:r>
        <w:rPr>
          <w:rStyle w:val="StringTok"/>
        </w:rPr>
        <w:t>'PV_BGF'</w:t>
      </w:r>
      <w:r>
        <w:rPr>
          <w:rStyle w:val="NormalTok"/>
        </w:rPr>
        <w:t>]</w:t>
      </w:r>
      <w:r>
        <w:rPr>
          <w:rStyle w:val="OperatorTok"/>
        </w:rPr>
        <w:t>=</w:t>
      </w:r>
      <w:r>
        <w:rPr>
          <w:rStyle w:val="NormalTok"/>
        </w:rPr>
        <w:t>data.PV_Erzeugung</w:t>
      </w:r>
      <w:r>
        <w:rPr>
          <w:rStyle w:val="OperatorTok"/>
        </w:rPr>
        <w:t>*</w:t>
      </w:r>
      <w:r>
        <w:rPr>
          <w:rStyle w:val="NormalTok"/>
        </w:rPr>
        <w:t>r</w:t>
      </w:r>
      <w:r>
        <w:br/>
      </w:r>
      <w:r>
        <w:rPr>
          <w:rStyle w:val="NormalTok"/>
        </w:rPr>
        <w:t>positive</w:t>
      </w:r>
      <w:r>
        <w:rPr>
          <w:rStyle w:val="OperatorTok"/>
        </w:rPr>
        <w:t>=</w:t>
      </w:r>
      <w:r>
        <w:rPr>
          <w:rStyle w:val="NormalTok"/>
        </w:rPr>
        <w:t>data[</w:t>
      </w:r>
      <w:r>
        <w:rPr>
          <w:rStyle w:val="StringTok"/>
        </w:rPr>
        <w:t>'Nationale BGF 2040'</w:t>
      </w:r>
      <w:r>
        <w:rPr>
          <w:rStyle w:val="NormalTok"/>
        </w:rPr>
        <w:t>].gt(</w:t>
      </w:r>
      <w:r>
        <w:rPr>
          <w:rStyle w:val="DecValTok"/>
        </w:rPr>
        <w:t>0</w:t>
      </w:r>
      <w:r>
        <w:rPr>
          <w:rStyle w:val="NormalTok"/>
        </w:rPr>
        <w:t>)</w:t>
      </w:r>
      <w:r>
        <w:br/>
      </w:r>
      <w:r>
        <w:rPr>
          <w:rStyle w:val="ControlFlowTok"/>
        </w:rPr>
        <w:t>assert</w:t>
      </w:r>
      <w:r>
        <w:rPr>
          <w:rStyle w:val="NormalTok"/>
        </w:rPr>
        <w:t xml:space="preserve"> data.loc[positive,</w:t>
      </w:r>
      <w:r>
        <w:rPr>
          <w:rStyle w:val="StringTok"/>
        </w:rPr>
        <w:t>'c_D_EE_BGF'</w:t>
      </w:r>
      <w:r>
        <w:rPr>
          <w:rStyle w:val="NormalTok"/>
        </w:rPr>
        <w:t>].notna().</w:t>
      </w:r>
      <w:r>
        <w:rPr>
          <w:rStyle w:val="BuiltInTok"/>
        </w:rPr>
        <w:t>all</w:t>
      </w:r>
      <w:r>
        <w:rPr>
          <w:rStyle w:val="NormalTok"/>
        </w:rPr>
        <w:t>()</w:t>
      </w:r>
      <w:r>
        <w:br/>
      </w:r>
      <w:r>
        <w:rPr>
          <w:rStyle w:val="NormalTok"/>
        </w:rPr>
        <w:t>data[</w:t>
      </w:r>
      <w:r>
        <w:rPr>
          <w:rStyle w:val="StringTok"/>
        </w:rPr>
        <w:t>'Dichtebeitrag_PJ'</w:t>
      </w:r>
      <w:r>
        <w:rPr>
          <w:rStyle w:val="NormalTok"/>
        </w:rPr>
        <w:t>]</w:t>
      </w:r>
      <w:r>
        <w:rPr>
          <w:rStyle w:val="OperatorTok"/>
        </w:rPr>
        <w:t>=</w:t>
      </w:r>
      <w:r>
        <w:rPr>
          <w:rStyle w:val="FloatTok"/>
        </w:rPr>
        <w:t>0.0</w:t>
      </w:r>
      <w:r>
        <w:br/>
      </w:r>
      <w:r>
        <w:rPr>
          <w:rStyle w:val="NormalTok"/>
        </w:rPr>
        <w:t>data.loc[positive,</w:t>
      </w:r>
      <w:r>
        <w:rPr>
          <w:rStyle w:val="StringTok"/>
        </w:rPr>
        <w:t>'Dichtebeitrag_PJ'</w:t>
      </w:r>
      <w:r>
        <w:rPr>
          <w:rStyle w:val="NormalTok"/>
        </w:rPr>
        <w:t>]</w:t>
      </w:r>
      <w:r>
        <w:rPr>
          <w:rStyle w:val="OperatorTok"/>
        </w:rPr>
        <w:t>=</w:t>
      </w:r>
      <w:r>
        <w:rPr>
          <w:rStyle w:val="NormalTok"/>
        </w:rPr>
        <w:t>data.loc[positive,</w:t>
      </w:r>
      <w:r>
        <w:rPr>
          <w:rStyle w:val="StringTok"/>
        </w:rPr>
        <w:t>'Nationale BGF 2040'</w:t>
      </w:r>
      <w:r>
        <w:rPr>
          <w:rStyle w:val="NormalTok"/>
        </w:rPr>
        <w:t>]</w:t>
      </w:r>
      <w:r>
        <w:rPr>
          <w:rStyle w:val="OperatorTok"/>
        </w:rPr>
        <w:t>*</w:t>
      </w:r>
      <w:r>
        <w:rPr>
          <w:rStyle w:val="NormalTok"/>
        </w:rPr>
        <w:t>data.loc[positive,</w:t>
      </w:r>
      <w:r>
        <w:rPr>
          <w:rStyle w:val="StringTok"/>
        </w:rPr>
        <w:t>'c_D_EE_BGF'</w:t>
      </w:r>
      <w:r>
        <w:rPr>
          <w:rStyle w:val="NormalTok"/>
        </w:rPr>
        <w:t>]</w:t>
      </w:r>
      <w:r>
        <w:rPr>
          <w:rStyle w:val="OperatorTok"/>
        </w:rPr>
        <w:t>*</w:t>
      </w:r>
      <w:r>
        <w:rPr>
          <w:rStyle w:val="FloatTok"/>
        </w:rPr>
        <w:t>3.6e-9</w:t>
      </w:r>
      <w:r>
        <w:br/>
      </w:r>
      <w:r>
        <w:rPr>
          <w:rStyle w:val="NormalTok"/>
        </w:rPr>
        <w:t>context_pj</w:t>
      </w:r>
      <w:r>
        <w:rPr>
          <w:rStyle w:val="OperatorTok"/>
        </w:rPr>
        <w:t>=</w:t>
      </w:r>
      <w:r>
        <w:rPr>
          <w:rStyle w:val="BuiltInTok"/>
        </w:rPr>
        <w:t>float</w:t>
      </w:r>
      <w:r>
        <w:rPr>
          <w:rStyle w:val="NormalTok"/>
        </w:rPr>
        <w:t>(data.Dichtebeitrag_PJ.</w:t>
      </w:r>
      <w:r>
        <w:rPr>
          <w:rStyle w:val="BuiltInTok"/>
        </w:rPr>
        <w:t>sum</w:t>
      </w:r>
      <w:r>
        <w:rPr>
          <w:rStyle w:val="NormalTok"/>
        </w:rPr>
        <w:t>())</w:t>
      </w:r>
      <w:r>
        <w:br/>
      </w:r>
      <w:r>
        <w:rPr>
          <w:rStyle w:val="NormalTok"/>
        </w:rPr>
        <w:t>data[[</w:t>
      </w:r>
      <w:r>
        <w:rPr>
          <w:rStyle w:val="StringTok"/>
        </w:rPr>
        <w:t>'Archetype'</w:t>
      </w:r>
      <w:r>
        <w:rPr>
          <w:rStyle w:val="NormalTok"/>
        </w:rPr>
        <w:t>,</w:t>
      </w:r>
      <w:r>
        <w:rPr>
          <w:rStyle w:val="StringTok"/>
        </w:rPr>
        <w:t>'Geometrie'</w:t>
      </w:r>
      <w:r>
        <w:rPr>
          <w:rStyle w:val="NormalTok"/>
        </w:rPr>
        <w:t>,</w:t>
      </w:r>
      <w:r>
        <w:rPr>
          <w:rStyle w:val="StringTok"/>
        </w:rPr>
        <w:t>'Nationale BGF 2040'</w:t>
      </w:r>
      <w:r>
        <w:rPr>
          <w:rStyle w:val="NormalTok"/>
        </w:rPr>
        <w:t>,</w:t>
      </w:r>
      <w:r>
        <w:rPr>
          <w:rStyle w:val="StringTok"/>
        </w:rPr>
        <w:t>'Bedarf_BGF'</w:t>
      </w:r>
      <w:r>
        <w:rPr>
          <w:rStyle w:val="NormalTok"/>
        </w:rPr>
        <w:t>,</w:t>
      </w:r>
      <w:r>
        <w:rPr>
          <w:rStyle w:val="StringTok"/>
        </w:rPr>
        <w:t>'PV_BGF'</w:t>
      </w:r>
      <w:r>
        <w:rPr>
          <w:rStyle w:val="NormalTok"/>
        </w:rPr>
        <w:t>,</w:t>
      </w:r>
      <w:r>
        <w:rPr>
          <w:rStyle w:val="StringTok"/>
        </w:rPr>
        <w:t>'c_D_EE_BGF'</w:t>
      </w:r>
      <w:r>
        <w:rPr>
          <w:rStyle w:val="NormalTok"/>
        </w:rPr>
        <w:t>,</w:t>
      </w:r>
      <w:r>
        <w:rPr>
          <w:rStyle w:val="StringTok"/>
        </w:rPr>
        <w:t>'Dichtebeitrag_PJ'</w:t>
      </w:r>
      <w:r>
        <w:rPr>
          <w:rStyle w:val="NormalTok"/>
        </w:rPr>
        <w:t>]].to_csv(OUT</w:t>
      </w:r>
      <w:r>
        <w:rPr>
          <w:rStyle w:val="OperatorTok"/>
        </w:rPr>
        <w:t>/</w:t>
      </w:r>
      <w:r>
        <w:rPr>
          <w:rStyle w:val="StringTok"/>
        </w:rPr>
        <w:t>'typen_bewertung_dichte.csv'</w:t>
      </w:r>
      <w:r>
        <w:rPr>
          <w:rStyle w:val="NormalTok"/>
        </w:rPr>
        <w:t>,index</w:t>
      </w:r>
      <w:r>
        <w:rPr>
          <w:rStyle w:val="OperatorTok"/>
        </w:rPr>
        <w:t>=</w:t>
      </w:r>
      <w:r>
        <w:rPr>
          <w:rStyle w:val="VariableTok"/>
        </w:rPr>
        <w:t>False</w:t>
      </w:r>
      <w:r>
        <w:rPr>
          <w:rStyle w:val="NormalTok"/>
        </w:rPr>
        <w:t>)</w:t>
      </w:r>
      <w:r>
        <w:br/>
      </w:r>
      <w:r>
        <w:br/>
      </w:r>
      <w:r>
        <w:rPr>
          <w:rStyle w:val="ImportTok"/>
        </w:rPr>
        <w:t>from</w:t>
      </w:r>
      <w:r>
        <w:rPr>
          <w:rStyle w:val="NormalTok"/>
        </w:rPr>
        <w:t xml:space="preserve"> IPython.display </w:t>
      </w:r>
      <w:r>
        <w:rPr>
          <w:rStyle w:val="ImportTok"/>
        </w:rPr>
        <w:t>import</w:t>
      </w:r>
      <w:r>
        <w:rPr>
          <w:rStyle w:val="NormalTok"/>
        </w:rPr>
        <w:t xml:space="preserve"> HTML</w:t>
      </w:r>
      <w:r>
        <w:br/>
      </w:r>
      <w:r>
        <w:rPr>
          <w:rStyle w:val="NormalTok"/>
        </w:rPr>
        <w:t>display(HTML(</w:t>
      </w:r>
      <w:r>
        <w:rPr>
          <w:rStyle w:val="StringTok"/>
        </w:rPr>
        <w:t>'&lt;iframe title="Typenvergleich mit Dichtekorrektur" src="../../Abbildungen/methodik/typen_deckung.html" style="width:100%;height:850px;border:0"&gt;&lt;/iframe&gt;'</w:t>
      </w:r>
      <w:r>
        <w:rPr>
          <w:rStyle w:val="NormalTok"/>
        </w:rPr>
        <w:t>))</w:t>
      </w:r>
    </w:p>
    <w:p w14:paraId="00F11087" w14:textId="77777777" w:rsidR="004E4CC2" w:rsidRDefault="00000000">
      <w:pPr>
        <w:pStyle w:val="SourceCode"/>
      </w:pPr>
      <w:r>
        <w:rPr>
          <w:rStyle w:val="VerbatimChar"/>
        </w:rPr>
        <w:t>Nach bestätigter Einzelzielregel ergänzte leere Anteile: 0 Quellzeilen</w:t>
      </w:r>
      <w:r>
        <w:br/>
      </w:r>
      <w:r>
        <w:rPr>
          <w:rStyle w:val="VerbatimChar"/>
        </w:rPr>
        <w:t>Davon betroffene Referenz-BGF [%]: 0.0</w:t>
      </w:r>
    </w:p>
    <w:tbl>
      <w:tblPr>
        <w:tblStyle w:val="Table"/>
        <w:tblW w:w="0" w:type="auto"/>
        <w:tblLook w:val="0020" w:firstRow="1" w:lastRow="0" w:firstColumn="0" w:lastColumn="0" w:noHBand="0" w:noVBand="0"/>
      </w:tblPr>
      <w:tblGrid>
        <w:gridCol w:w="1318"/>
        <w:gridCol w:w="1338"/>
        <w:gridCol w:w="1546"/>
        <w:gridCol w:w="1694"/>
        <w:gridCol w:w="1571"/>
        <w:gridCol w:w="2016"/>
      </w:tblGrid>
      <w:tr w:rsidR="004E4CC2" w14:paraId="76E5E8AA"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3B13CEDB" w14:textId="77777777" w:rsidR="004E4CC2" w:rsidRDefault="004E4CC2">
            <w:pPr>
              <w:pStyle w:val="Compact"/>
            </w:pPr>
          </w:p>
        </w:tc>
        <w:tc>
          <w:tcPr>
            <w:tcW w:w="0" w:type="auto"/>
          </w:tcPr>
          <w:p w14:paraId="01F369CD" w14:textId="77777777" w:rsidR="004E4CC2" w:rsidRDefault="00000000">
            <w:pPr>
              <w:pStyle w:val="Compact"/>
            </w:pPr>
            <w:r>
              <w:t>GFZ_Mittel</w:t>
            </w:r>
          </w:p>
        </w:tc>
        <w:tc>
          <w:tcPr>
            <w:tcW w:w="0" w:type="auto"/>
          </w:tcPr>
          <w:p w14:paraId="722E8BED" w14:textId="77777777" w:rsidR="004E4CC2" w:rsidRDefault="00000000">
            <w:pPr>
              <w:pStyle w:val="Compact"/>
            </w:pPr>
            <w:r>
              <w:t>c_D_EE_BGF</w:t>
            </w:r>
          </w:p>
        </w:tc>
        <w:tc>
          <w:tcPr>
            <w:tcW w:w="0" w:type="auto"/>
          </w:tcPr>
          <w:p w14:paraId="7EBAF49D" w14:textId="77777777" w:rsidR="004E4CC2" w:rsidRDefault="00000000">
            <w:pPr>
              <w:pStyle w:val="Compact"/>
            </w:pPr>
            <w:r>
              <w:t>Referenz_BGF</w:t>
            </w:r>
          </w:p>
        </w:tc>
        <w:tc>
          <w:tcPr>
            <w:tcW w:w="0" w:type="auto"/>
          </w:tcPr>
          <w:p w14:paraId="654722FE" w14:textId="77777777" w:rsidR="004E4CC2" w:rsidRDefault="00000000">
            <w:pPr>
              <w:pStyle w:val="Compact"/>
            </w:pPr>
            <w:r>
              <w:t>c_D_EE_NGF</w:t>
            </w:r>
          </w:p>
        </w:tc>
        <w:tc>
          <w:tcPr>
            <w:tcW w:w="0" w:type="auto"/>
          </w:tcPr>
          <w:p w14:paraId="75166321" w14:textId="77777777" w:rsidR="004E4CC2" w:rsidRDefault="00000000">
            <w:pPr>
              <w:pStyle w:val="Compact"/>
            </w:pPr>
            <w:r>
              <w:t>c_am_GFZ_Mittel</w:t>
            </w:r>
          </w:p>
        </w:tc>
      </w:tr>
      <w:tr w:rsidR="004E4CC2" w14:paraId="40DBCD3D"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6D1BAF60" w14:textId="77777777" w:rsidR="004E4CC2" w:rsidRDefault="00000000">
            <w:pPr>
              <w:pStyle w:val="Compact"/>
            </w:pPr>
            <w:r>
              <w:t>Geometrie</w:t>
            </w:r>
          </w:p>
        </w:tc>
        <w:tc>
          <w:tcPr>
            <w:tcW w:w="0" w:type="auto"/>
          </w:tcPr>
          <w:p w14:paraId="5A23EC2F" w14:textId="77777777" w:rsidR="004E4CC2" w:rsidRDefault="004E4CC2">
            <w:pPr>
              <w:pStyle w:val="Compact"/>
            </w:pPr>
          </w:p>
        </w:tc>
        <w:tc>
          <w:tcPr>
            <w:tcW w:w="0" w:type="auto"/>
          </w:tcPr>
          <w:p w14:paraId="2F28C016" w14:textId="77777777" w:rsidR="004E4CC2" w:rsidRDefault="004E4CC2">
            <w:pPr>
              <w:pStyle w:val="Compact"/>
            </w:pPr>
          </w:p>
        </w:tc>
        <w:tc>
          <w:tcPr>
            <w:tcW w:w="0" w:type="auto"/>
          </w:tcPr>
          <w:p w14:paraId="495DCCE1" w14:textId="77777777" w:rsidR="004E4CC2" w:rsidRDefault="004E4CC2">
            <w:pPr>
              <w:pStyle w:val="Compact"/>
            </w:pPr>
          </w:p>
        </w:tc>
        <w:tc>
          <w:tcPr>
            <w:tcW w:w="0" w:type="auto"/>
          </w:tcPr>
          <w:p w14:paraId="2E89B91E" w14:textId="77777777" w:rsidR="004E4CC2" w:rsidRDefault="004E4CC2">
            <w:pPr>
              <w:pStyle w:val="Compact"/>
            </w:pPr>
          </w:p>
        </w:tc>
        <w:tc>
          <w:tcPr>
            <w:tcW w:w="0" w:type="auto"/>
          </w:tcPr>
          <w:p w14:paraId="748F8485" w14:textId="77777777" w:rsidR="004E4CC2" w:rsidRDefault="004E4CC2">
            <w:pPr>
              <w:pStyle w:val="Compact"/>
            </w:pPr>
          </w:p>
        </w:tc>
      </w:tr>
      <w:tr w:rsidR="004E4CC2" w14:paraId="4C11B74F" w14:textId="77777777">
        <w:tc>
          <w:tcPr>
            <w:tcW w:w="0" w:type="auto"/>
          </w:tcPr>
          <w:p w14:paraId="4B5D7ECB" w14:textId="77777777" w:rsidR="004E4CC2" w:rsidRDefault="00000000">
            <w:pPr>
              <w:pStyle w:val="Compact"/>
            </w:pPr>
            <w:r>
              <w:t>EFH_1G</w:t>
            </w:r>
          </w:p>
        </w:tc>
        <w:tc>
          <w:tcPr>
            <w:tcW w:w="0" w:type="auto"/>
          </w:tcPr>
          <w:p w14:paraId="5CD5FF38" w14:textId="77777777" w:rsidR="004E4CC2" w:rsidRDefault="00000000">
            <w:pPr>
              <w:pStyle w:val="Compact"/>
            </w:pPr>
            <w:r>
              <w:t>0.317942</w:t>
            </w:r>
          </w:p>
        </w:tc>
        <w:tc>
          <w:tcPr>
            <w:tcW w:w="0" w:type="auto"/>
          </w:tcPr>
          <w:p w14:paraId="18AD0081" w14:textId="77777777" w:rsidR="004E4CC2" w:rsidRDefault="00000000">
            <w:pPr>
              <w:pStyle w:val="Compact"/>
            </w:pPr>
            <w:r>
              <w:t>-41.630722</w:t>
            </w:r>
          </w:p>
        </w:tc>
        <w:tc>
          <w:tcPr>
            <w:tcW w:w="0" w:type="auto"/>
          </w:tcPr>
          <w:p w14:paraId="3FF923B0" w14:textId="77777777" w:rsidR="004E4CC2" w:rsidRDefault="00000000">
            <w:pPr>
              <w:pStyle w:val="Compact"/>
            </w:pPr>
            <w:r>
              <w:t>1.297227e+08</w:t>
            </w:r>
          </w:p>
        </w:tc>
        <w:tc>
          <w:tcPr>
            <w:tcW w:w="0" w:type="auto"/>
          </w:tcPr>
          <w:p w14:paraId="53DAF413" w14:textId="77777777" w:rsidR="004E4CC2" w:rsidRDefault="00000000">
            <w:pPr>
              <w:pStyle w:val="Compact"/>
            </w:pPr>
            <w:r>
              <w:t>-52.038402</w:t>
            </w:r>
          </w:p>
        </w:tc>
        <w:tc>
          <w:tcPr>
            <w:tcW w:w="0" w:type="auto"/>
          </w:tcPr>
          <w:p w14:paraId="11D24E47" w14:textId="77777777" w:rsidR="004E4CC2" w:rsidRDefault="00000000">
            <w:pPr>
              <w:pStyle w:val="Compact"/>
            </w:pPr>
            <w:r>
              <w:t>-38.565338</w:t>
            </w:r>
          </w:p>
        </w:tc>
      </w:tr>
      <w:tr w:rsidR="004E4CC2" w14:paraId="0C28D33F" w14:textId="77777777">
        <w:tc>
          <w:tcPr>
            <w:tcW w:w="0" w:type="auto"/>
          </w:tcPr>
          <w:p w14:paraId="5EB23068" w14:textId="77777777" w:rsidR="004E4CC2" w:rsidRDefault="00000000">
            <w:pPr>
              <w:pStyle w:val="Compact"/>
            </w:pPr>
            <w:r>
              <w:t>EFH_2G</w:t>
            </w:r>
          </w:p>
        </w:tc>
        <w:tc>
          <w:tcPr>
            <w:tcW w:w="0" w:type="auto"/>
          </w:tcPr>
          <w:p w14:paraId="74F7F665" w14:textId="77777777" w:rsidR="004E4CC2" w:rsidRDefault="00000000">
            <w:pPr>
              <w:pStyle w:val="Compact"/>
            </w:pPr>
            <w:r>
              <w:t>0.614984</w:t>
            </w:r>
          </w:p>
        </w:tc>
        <w:tc>
          <w:tcPr>
            <w:tcW w:w="0" w:type="auto"/>
          </w:tcPr>
          <w:p w14:paraId="67B4811E" w14:textId="77777777" w:rsidR="004E4CC2" w:rsidRDefault="00000000">
            <w:pPr>
              <w:pStyle w:val="Compact"/>
            </w:pPr>
            <w:r>
              <w:t>-22.798103</w:t>
            </w:r>
          </w:p>
        </w:tc>
        <w:tc>
          <w:tcPr>
            <w:tcW w:w="0" w:type="auto"/>
          </w:tcPr>
          <w:p w14:paraId="12CA42A1" w14:textId="77777777" w:rsidR="004E4CC2" w:rsidRDefault="00000000">
            <w:pPr>
              <w:pStyle w:val="Compact"/>
            </w:pPr>
            <w:r>
              <w:t>1.724298e+08</w:t>
            </w:r>
          </w:p>
        </w:tc>
        <w:tc>
          <w:tcPr>
            <w:tcW w:w="0" w:type="auto"/>
          </w:tcPr>
          <w:p w14:paraId="746ACF16" w14:textId="77777777" w:rsidR="004E4CC2" w:rsidRDefault="00000000">
            <w:pPr>
              <w:pStyle w:val="Compact"/>
            </w:pPr>
            <w:r>
              <w:t>-28.497629</w:t>
            </w:r>
          </w:p>
        </w:tc>
        <w:tc>
          <w:tcPr>
            <w:tcW w:w="0" w:type="auto"/>
          </w:tcPr>
          <w:p w14:paraId="40976C76" w14:textId="77777777" w:rsidR="004E4CC2" w:rsidRDefault="00000000">
            <w:pPr>
              <w:pStyle w:val="Compact"/>
            </w:pPr>
            <w:r>
              <w:t>-13.339407</w:t>
            </w:r>
          </w:p>
        </w:tc>
      </w:tr>
      <w:tr w:rsidR="004E4CC2" w14:paraId="275D3656" w14:textId="77777777">
        <w:tc>
          <w:tcPr>
            <w:tcW w:w="0" w:type="auto"/>
          </w:tcPr>
          <w:p w14:paraId="153CCC57" w14:textId="77777777" w:rsidR="004E4CC2" w:rsidRDefault="00000000">
            <w:pPr>
              <w:pStyle w:val="Compact"/>
            </w:pPr>
            <w:r>
              <w:t>GWB_5G</w:t>
            </w:r>
          </w:p>
        </w:tc>
        <w:tc>
          <w:tcPr>
            <w:tcW w:w="0" w:type="auto"/>
          </w:tcPr>
          <w:p w14:paraId="5877DEC6" w14:textId="77777777" w:rsidR="004E4CC2" w:rsidRDefault="00000000">
            <w:pPr>
              <w:pStyle w:val="Compact"/>
            </w:pPr>
            <w:r>
              <w:t>2.266322</w:t>
            </w:r>
          </w:p>
        </w:tc>
        <w:tc>
          <w:tcPr>
            <w:tcW w:w="0" w:type="auto"/>
          </w:tcPr>
          <w:p w14:paraId="09AA427A" w14:textId="77777777" w:rsidR="004E4CC2" w:rsidRDefault="00000000">
            <w:pPr>
              <w:pStyle w:val="Compact"/>
            </w:pPr>
            <w:r>
              <w:t>8.965535</w:t>
            </w:r>
          </w:p>
        </w:tc>
        <w:tc>
          <w:tcPr>
            <w:tcW w:w="0" w:type="auto"/>
          </w:tcPr>
          <w:p w14:paraId="63C4EF0D" w14:textId="77777777" w:rsidR="004E4CC2" w:rsidRDefault="00000000">
            <w:pPr>
              <w:pStyle w:val="Compact"/>
            </w:pPr>
            <w:r>
              <w:t>3.707040e+07</w:t>
            </w:r>
          </w:p>
        </w:tc>
        <w:tc>
          <w:tcPr>
            <w:tcW w:w="0" w:type="auto"/>
          </w:tcPr>
          <w:p w14:paraId="1513B06C" w14:textId="77777777" w:rsidR="004E4CC2" w:rsidRDefault="00000000">
            <w:pPr>
              <w:pStyle w:val="Compact"/>
            </w:pPr>
            <w:r>
              <w:t>11.206919</w:t>
            </w:r>
          </w:p>
        </w:tc>
        <w:tc>
          <w:tcPr>
            <w:tcW w:w="0" w:type="auto"/>
          </w:tcPr>
          <w:p w14:paraId="2F63EBE3" w14:textId="77777777" w:rsidR="004E4CC2" w:rsidRDefault="00000000">
            <w:pPr>
              <w:pStyle w:val="Compact"/>
            </w:pPr>
            <w:r>
              <w:t>13.818897</w:t>
            </w:r>
          </w:p>
        </w:tc>
      </w:tr>
      <w:tr w:rsidR="004E4CC2" w14:paraId="175F28AF" w14:textId="77777777">
        <w:tc>
          <w:tcPr>
            <w:tcW w:w="0" w:type="auto"/>
          </w:tcPr>
          <w:p w14:paraId="3DFA5709" w14:textId="77777777" w:rsidR="004E4CC2" w:rsidRDefault="00000000">
            <w:pPr>
              <w:pStyle w:val="Compact"/>
            </w:pPr>
            <w:r>
              <w:t>GWB_7G</w:t>
            </w:r>
          </w:p>
        </w:tc>
        <w:tc>
          <w:tcPr>
            <w:tcW w:w="0" w:type="auto"/>
          </w:tcPr>
          <w:p w14:paraId="47E9CD49" w14:textId="77777777" w:rsidR="004E4CC2" w:rsidRDefault="00000000">
            <w:pPr>
              <w:pStyle w:val="Compact"/>
            </w:pPr>
            <w:r>
              <w:t>4.000472</w:t>
            </w:r>
          </w:p>
        </w:tc>
        <w:tc>
          <w:tcPr>
            <w:tcW w:w="0" w:type="auto"/>
          </w:tcPr>
          <w:p w14:paraId="6F753B44" w14:textId="77777777" w:rsidR="004E4CC2" w:rsidRDefault="00000000">
            <w:pPr>
              <w:pStyle w:val="Compact"/>
            </w:pPr>
            <w:r>
              <w:t>16.439657</w:t>
            </w:r>
          </w:p>
        </w:tc>
        <w:tc>
          <w:tcPr>
            <w:tcW w:w="0" w:type="auto"/>
          </w:tcPr>
          <w:p w14:paraId="7F6F800F" w14:textId="77777777" w:rsidR="004E4CC2" w:rsidRDefault="00000000">
            <w:pPr>
              <w:pStyle w:val="Compact"/>
            </w:pPr>
            <w:r>
              <w:t>7.518450e+07</w:t>
            </w:r>
          </w:p>
        </w:tc>
        <w:tc>
          <w:tcPr>
            <w:tcW w:w="0" w:type="auto"/>
          </w:tcPr>
          <w:p w14:paraId="7390B010" w14:textId="77777777" w:rsidR="004E4CC2" w:rsidRDefault="00000000">
            <w:pPr>
              <w:pStyle w:val="Compact"/>
            </w:pPr>
            <w:r>
              <w:t>20.549571</w:t>
            </w:r>
          </w:p>
        </w:tc>
        <w:tc>
          <w:tcPr>
            <w:tcW w:w="0" w:type="auto"/>
          </w:tcPr>
          <w:p w14:paraId="10BF5651" w14:textId="77777777" w:rsidR="004E4CC2" w:rsidRDefault="00000000">
            <w:pPr>
              <w:pStyle w:val="Compact"/>
            </w:pPr>
            <w:r>
              <w:t>19.075532</w:t>
            </w:r>
          </w:p>
        </w:tc>
      </w:tr>
      <w:tr w:rsidR="004E4CC2" w14:paraId="76DA810D" w14:textId="77777777">
        <w:tc>
          <w:tcPr>
            <w:tcW w:w="0" w:type="auto"/>
          </w:tcPr>
          <w:p w14:paraId="38A89173" w14:textId="77777777" w:rsidR="004E4CC2" w:rsidRDefault="00000000">
            <w:pPr>
              <w:pStyle w:val="Compact"/>
            </w:pPr>
            <w:r>
              <w:t>MFH_4G</w:t>
            </w:r>
          </w:p>
        </w:tc>
        <w:tc>
          <w:tcPr>
            <w:tcW w:w="0" w:type="auto"/>
          </w:tcPr>
          <w:p w14:paraId="35E0B462" w14:textId="77777777" w:rsidR="004E4CC2" w:rsidRDefault="00000000">
            <w:pPr>
              <w:pStyle w:val="Compact"/>
            </w:pPr>
            <w:r>
              <w:t>1.541462</w:t>
            </w:r>
          </w:p>
        </w:tc>
        <w:tc>
          <w:tcPr>
            <w:tcW w:w="0" w:type="auto"/>
          </w:tcPr>
          <w:p w14:paraId="0874D1A5" w14:textId="77777777" w:rsidR="004E4CC2" w:rsidRDefault="00000000">
            <w:pPr>
              <w:pStyle w:val="Compact"/>
            </w:pPr>
            <w:r>
              <w:t>1.431515</w:t>
            </w:r>
          </w:p>
        </w:tc>
        <w:tc>
          <w:tcPr>
            <w:tcW w:w="0" w:type="auto"/>
          </w:tcPr>
          <w:p w14:paraId="049B69B5" w14:textId="77777777" w:rsidR="004E4CC2" w:rsidRDefault="00000000">
            <w:pPr>
              <w:pStyle w:val="Compact"/>
            </w:pPr>
            <w:r>
              <w:t>6.056382e+07</w:t>
            </w:r>
          </w:p>
        </w:tc>
        <w:tc>
          <w:tcPr>
            <w:tcW w:w="0" w:type="auto"/>
          </w:tcPr>
          <w:p w14:paraId="5932F229" w14:textId="77777777" w:rsidR="004E4CC2" w:rsidRDefault="00000000">
            <w:pPr>
              <w:pStyle w:val="Compact"/>
            </w:pPr>
            <w:r>
              <w:t>1.789394</w:t>
            </w:r>
          </w:p>
        </w:tc>
        <w:tc>
          <w:tcPr>
            <w:tcW w:w="0" w:type="auto"/>
          </w:tcPr>
          <w:p w14:paraId="1280EB95" w14:textId="77777777" w:rsidR="004E4CC2" w:rsidRDefault="00000000">
            <w:pPr>
              <w:pStyle w:val="Compact"/>
            </w:pPr>
            <w:r>
              <w:t>8.427382</w:t>
            </w:r>
          </w:p>
        </w:tc>
      </w:tr>
      <w:tr w:rsidR="004E4CC2" w14:paraId="690821E1" w14:textId="77777777">
        <w:tc>
          <w:tcPr>
            <w:tcW w:w="0" w:type="auto"/>
          </w:tcPr>
          <w:p w14:paraId="3795CC54" w14:textId="77777777" w:rsidR="004E4CC2" w:rsidRDefault="00000000">
            <w:pPr>
              <w:pStyle w:val="Compact"/>
            </w:pPr>
            <w:r>
              <w:t>NiWo_1G</w:t>
            </w:r>
          </w:p>
        </w:tc>
        <w:tc>
          <w:tcPr>
            <w:tcW w:w="0" w:type="auto"/>
          </w:tcPr>
          <w:p w14:paraId="08CC8F0E" w14:textId="77777777" w:rsidR="004E4CC2" w:rsidRDefault="00000000">
            <w:pPr>
              <w:pStyle w:val="Compact"/>
            </w:pPr>
            <w:r>
              <w:t>0.490604</w:t>
            </w:r>
          </w:p>
        </w:tc>
        <w:tc>
          <w:tcPr>
            <w:tcW w:w="0" w:type="auto"/>
          </w:tcPr>
          <w:p w14:paraId="2A98CC14" w14:textId="77777777" w:rsidR="004E4CC2" w:rsidRDefault="00000000">
            <w:pPr>
              <w:pStyle w:val="Compact"/>
            </w:pPr>
            <w:r>
              <w:t>-29.353340</w:t>
            </w:r>
          </w:p>
        </w:tc>
        <w:tc>
          <w:tcPr>
            <w:tcW w:w="0" w:type="auto"/>
          </w:tcPr>
          <w:p w14:paraId="42D9D363" w14:textId="77777777" w:rsidR="004E4CC2" w:rsidRDefault="00000000">
            <w:pPr>
              <w:pStyle w:val="Compact"/>
            </w:pPr>
            <w:r>
              <w:t>8.710480e+07</w:t>
            </w:r>
          </w:p>
        </w:tc>
        <w:tc>
          <w:tcPr>
            <w:tcW w:w="0" w:type="auto"/>
          </w:tcPr>
          <w:p w14:paraId="398F58AE" w14:textId="77777777" w:rsidR="004E4CC2" w:rsidRDefault="00000000">
            <w:pPr>
              <w:pStyle w:val="Compact"/>
            </w:pPr>
            <w:r>
              <w:t>-36.691675</w:t>
            </w:r>
          </w:p>
        </w:tc>
        <w:tc>
          <w:tcPr>
            <w:tcW w:w="0" w:type="auto"/>
          </w:tcPr>
          <w:p w14:paraId="4B49CB46" w14:textId="77777777" w:rsidR="004E4CC2" w:rsidRDefault="00000000">
            <w:pPr>
              <w:pStyle w:val="Compact"/>
            </w:pPr>
            <w:r>
              <w:t>-21.055233</w:t>
            </w:r>
          </w:p>
        </w:tc>
      </w:tr>
      <w:tr w:rsidR="004E4CC2" w14:paraId="008C486C" w14:textId="77777777">
        <w:tc>
          <w:tcPr>
            <w:tcW w:w="0" w:type="auto"/>
          </w:tcPr>
          <w:p w14:paraId="7808B2B1" w14:textId="77777777" w:rsidR="004E4CC2" w:rsidRDefault="00000000">
            <w:pPr>
              <w:pStyle w:val="Compact"/>
            </w:pPr>
            <w:r>
              <w:t>NiWo_2G</w:t>
            </w:r>
          </w:p>
        </w:tc>
        <w:tc>
          <w:tcPr>
            <w:tcW w:w="0" w:type="auto"/>
          </w:tcPr>
          <w:p w14:paraId="00BC171B" w14:textId="77777777" w:rsidR="004E4CC2" w:rsidRDefault="00000000">
            <w:pPr>
              <w:pStyle w:val="Compact"/>
            </w:pPr>
            <w:r>
              <w:t>0.874806</w:t>
            </w:r>
          </w:p>
        </w:tc>
        <w:tc>
          <w:tcPr>
            <w:tcW w:w="0" w:type="auto"/>
          </w:tcPr>
          <w:p w14:paraId="4ACF2260" w14:textId="77777777" w:rsidR="004E4CC2" w:rsidRDefault="00000000">
            <w:pPr>
              <w:pStyle w:val="Compact"/>
            </w:pPr>
            <w:r>
              <w:t>-13.124038</w:t>
            </w:r>
          </w:p>
        </w:tc>
        <w:tc>
          <w:tcPr>
            <w:tcW w:w="0" w:type="auto"/>
          </w:tcPr>
          <w:p w14:paraId="0766A63B" w14:textId="77777777" w:rsidR="004E4CC2" w:rsidRDefault="00000000">
            <w:pPr>
              <w:pStyle w:val="Compact"/>
            </w:pPr>
            <w:r>
              <w:t>1.368895e+08</w:t>
            </w:r>
          </w:p>
        </w:tc>
        <w:tc>
          <w:tcPr>
            <w:tcW w:w="0" w:type="auto"/>
          </w:tcPr>
          <w:p w14:paraId="0803CCDA" w14:textId="77777777" w:rsidR="004E4CC2" w:rsidRDefault="00000000">
            <w:pPr>
              <w:pStyle w:val="Compact"/>
            </w:pPr>
            <w:r>
              <w:t>-16.405047</w:t>
            </w:r>
          </w:p>
        </w:tc>
        <w:tc>
          <w:tcPr>
            <w:tcW w:w="0" w:type="auto"/>
          </w:tcPr>
          <w:p w14:paraId="14D66924" w14:textId="77777777" w:rsidR="004E4CC2" w:rsidRDefault="00000000">
            <w:pPr>
              <w:pStyle w:val="Compact"/>
            </w:pPr>
            <w:r>
              <w:t>-3.264162</w:t>
            </w:r>
          </w:p>
        </w:tc>
      </w:tr>
      <w:tr w:rsidR="004E4CC2" w14:paraId="73B49959" w14:textId="77777777">
        <w:tc>
          <w:tcPr>
            <w:tcW w:w="0" w:type="auto"/>
          </w:tcPr>
          <w:p w14:paraId="20C30F82" w14:textId="77777777" w:rsidR="004E4CC2" w:rsidRDefault="00000000">
            <w:pPr>
              <w:pStyle w:val="Compact"/>
            </w:pPr>
            <w:r>
              <w:t>NiWo_3G</w:t>
            </w:r>
          </w:p>
        </w:tc>
        <w:tc>
          <w:tcPr>
            <w:tcW w:w="0" w:type="auto"/>
          </w:tcPr>
          <w:p w14:paraId="7636B183" w14:textId="77777777" w:rsidR="004E4CC2" w:rsidRDefault="00000000">
            <w:pPr>
              <w:pStyle w:val="Compact"/>
            </w:pPr>
            <w:r>
              <w:t>2.183130</w:t>
            </w:r>
          </w:p>
        </w:tc>
        <w:tc>
          <w:tcPr>
            <w:tcW w:w="0" w:type="auto"/>
          </w:tcPr>
          <w:p w14:paraId="2B44D847" w14:textId="77777777" w:rsidR="004E4CC2" w:rsidRDefault="00000000">
            <w:pPr>
              <w:pStyle w:val="Compact"/>
            </w:pPr>
            <w:r>
              <w:t>3.923841</w:t>
            </w:r>
          </w:p>
        </w:tc>
        <w:tc>
          <w:tcPr>
            <w:tcW w:w="0" w:type="auto"/>
          </w:tcPr>
          <w:p w14:paraId="0B29EA65" w14:textId="77777777" w:rsidR="004E4CC2" w:rsidRDefault="00000000">
            <w:pPr>
              <w:pStyle w:val="Compact"/>
            </w:pPr>
            <w:r>
              <w:t>1.875395e+08</w:t>
            </w:r>
          </w:p>
        </w:tc>
        <w:tc>
          <w:tcPr>
            <w:tcW w:w="0" w:type="auto"/>
          </w:tcPr>
          <w:p w14:paraId="6211ECEC" w14:textId="77777777" w:rsidR="004E4CC2" w:rsidRDefault="00000000">
            <w:pPr>
              <w:pStyle w:val="Compact"/>
            </w:pPr>
            <w:r>
              <w:t>4.904801</w:t>
            </w:r>
          </w:p>
        </w:tc>
        <w:tc>
          <w:tcPr>
            <w:tcW w:w="0" w:type="auto"/>
          </w:tcPr>
          <w:p w14:paraId="64BAF778" w14:textId="77777777" w:rsidR="004E4CC2" w:rsidRDefault="00000000">
            <w:pPr>
              <w:pStyle w:val="Compact"/>
            </w:pPr>
            <w:r>
              <w:t>13.370295</w:t>
            </w:r>
          </w:p>
        </w:tc>
      </w:tr>
      <w:tr w:rsidR="004E4CC2" w14:paraId="4225A382" w14:textId="77777777">
        <w:tc>
          <w:tcPr>
            <w:tcW w:w="0" w:type="auto"/>
          </w:tcPr>
          <w:p w14:paraId="726BD49B" w14:textId="77777777" w:rsidR="004E4CC2" w:rsidRDefault="00000000">
            <w:pPr>
              <w:pStyle w:val="Compact"/>
            </w:pPr>
            <w:r>
              <w:t>RH_2G</w:t>
            </w:r>
          </w:p>
        </w:tc>
        <w:tc>
          <w:tcPr>
            <w:tcW w:w="0" w:type="auto"/>
          </w:tcPr>
          <w:p w14:paraId="2DC82017" w14:textId="77777777" w:rsidR="004E4CC2" w:rsidRDefault="00000000">
            <w:pPr>
              <w:pStyle w:val="Compact"/>
            </w:pPr>
            <w:r>
              <w:t>0.614984</w:t>
            </w:r>
          </w:p>
        </w:tc>
        <w:tc>
          <w:tcPr>
            <w:tcW w:w="0" w:type="auto"/>
          </w:tcPr>
          <w:p w14:paraId="7183EDD7" w14:textId="77777777" w:rsidR="004E4CC2" w:rsidRDefault="00000000">
            <w:pPr>
              <w:pStyle w:val="Compact"/>
            </w:pPr>
            <w:r>
              <w:t>-22.798103</w:t>
            </w:r>
          </w:p>
        </w:tc>
        <w:tc>
          <w:tcPr>
            <w:tcW w:w="0" w:type="auto"/>
          </w:tcPr>
          <w:p w14:paraId="6D4848FD" w14:textId="77777777" w:rsidR="004E4CC2" w:rsidRDefault="00000000">
            <w:pPr>
              <w:pStyle w:val="Compact"/>
            </w:pPr>
            <w:r>
              <w:t>1.724298e+08</w:t>
            </w:r>
          </w:p>
        </w:tc>
        <w:tc>
          <w:tcPr>
            <w:tcW w:w="0" w:type="auto"/>
          </w:tcPr>
          <w:p w14:paraId="092503BB" w14:textId="77777777" w:rsidR="004E4CC2" w:rsidRDefault="00000000">
            <w:pPr>
              <w:pStyle w:val="Compact"/>
            </w:pPr>
            <w:r>
              <w:t>-28.497629</w:t>
            </w:r>
          </w:p>
        </w:tc>
        <w:tc>
          <w:tcPr>
            <w:tcW w:w="0" w:type="auto"/>
          </w:tcPr>
          <w:p w14:paraId="6C0CCD1C" w14:textId="77777777" w:rsidR="004E4CC2" w:rsidRDefault="00000000">
            <w:pPr>
              <w:pStyle w:val="Compact"/>
            </w:pPr>
            <w:r>
              <w:t>-13.339407</w:t>
            </w:r>
          </w:p>
        </w:tc>
      </w:tr>
    </w:tbl>
    <w:p w14:paraId="38FE8147" w14:textId="77777777" w:rsidR="004E4CC2" w:rsidRDefault="00000000">
      <w:pPr>
        <w:pStyle w:val="Textkrper"/>
      </w:pPr>
      <w:r>
        <w:rPr>
          <w:noProof/>
        </w:rPr>
        <w:drawing>
          <wp:inline distT="0" distB="0" distL="0" distR="0" wp14:anchorId="7868DFC2" wp14:editId="6A5D203E">
            <wp:extent cx="5334000" cy="1909955"/>
            <wp:effectExtent l="0" t="0" r="0" b="0"/>
            <wp:docPr id="417" name="Picture"/>
            <wp:cNvGraphicFramePr/>
            <a:graphic xmlns:a="http://schemas.openxmlformats.org/drawingml/2006/main">
              <a:graphicData uri="http://schemas.openxmlformats.org/drawingml/2006/picture">
                <pic:pic xmlns:pic="http://schemas.openxmlformats.org/drawingml/2006/picture">
                  <pic:nvPicPr>
                    <pic:cNvPr id="418" name="Picture" descr="Berechnungen\gebaeudesektormodell/Gebaeudesektormodell_files/figure-docx/cell-8-output-3.png"/>
                    <pic:cNvPicPr>
                      <a:picLocks noChangeAspect="1" noChangeArrowheads="1"/>
                    </pic:cNvPicPr>
                  </pic:nvPicPr>
                  <pic:blipFill>
                    <a:blip r:embed="rId80"/>
                    <a:stretch>
                      <a:fillRect/>
                    </a:stretch>
                  </pic:blipFill>
                  <pic:spPr bwMode="auto">
                    <a:xfrm>
                      <a:off x="0" y="0"/>
                      <a:ext cx="5334000" cy="1909955"/>
                    </a:xfrm>
                    <a:prstGeom prst="rect">
                      <a:avLst/>
                    </a:prstGeom>
                    <a:noFill/>
                    <a:ln w="9525">
                      <a:noFill/>
                      <a:headEnd/>
                      <a:tailEnd/>
                    </a:ln>
                  </pic:spPr>
                </pic:pic>
              </a:graphicData>
            </a:graphic>
          </wp:inline>
        </w:drawing>
      </w:r>
    </w:p>
    <w:p w14:paraId="16B24C79" w14:textId="77777777" w:rsidR="004E4CC2" w:rsidRDefault="00000000">
      <w:pPr>
        <w:pStyle w:val="SourceCode"/>
      </w:pPr>
      <w:r>
        <w:rPr>
          <w:rStyle w:val="VerbatimChar"/>
        </w:rPr>
        <w:t>C:\Users\schneids\AppData\Roaming\Python\Python313\site-packages\IPython\core\display.py:447: UserWarning: Consider using IPython.display.IFrame instead</w:t>
      </w:r>
      <w:r>
        <w:br/>
      </w:r>
      <w:r>
        <w:rPr>
          <w:rStyle w:val="VerbatimChar"/>
        </w:rPr>
        <w:t xml:space="preserve">  warnings.warn("Consider using IPython.display.IFrame instead")</w:t>
      </w:r>
    </w:p>
    <w:p w14:paraId="512C82F7" w14:textId="77777777" w:rsidR="004E4CC2" w:rsidRDefault="00000000">
      <w:pPr>
        <w:pStyle w:val="SourceCode"/>
      </w:pPr>
      <w:r>
        <w:rPr>
          <w:rStyle w:val="VerbatimChar"/>
        </w:rPr>
        <w:t>&lt;IPython.core.display.HTML object&gt;</w:t>
      </w:r>
    </w:p>
    <w:p w14:paraId="33A922BC" w14:textId="77777777" w:rsidR="004E4CC2" w:rsidRDefault="00000000">
      <w:pPr>
        <w:pStyle w:val="berschrift2"/>
      </w:pPr>
      <w:bookmarkStart w:id="408" w:name="sec-gebaeude-abgleich"/>
      <w:bookmarkStart w:id="409" w:name="_Toc243681382"/>
      <w:bookmarkEnd w:id="402"/>
      <w:bookmarkEnd w:id="406"/>
      <w:r>
        <w:t>E.8 8. Abgleich mit der sektoralen Allokation und Grenzen</w:t>
      </w:r>
      <w:bookmarkEnd w:id="409"/>
    </w:p>
    <w:p w14:paraId="7AA65A70" w14:textId="77777777" w:rsidR="004E4CC2" w:rsidRDefault="00000000">
      <w:pPr>
        <w:pStyle w:val="FirstParagraph"/>
      </w:pPr>
      <w:r>
        <w:t xml:space="preserve">Zunächst wird der </w:t>
      </w:r>
      <w:r>
        <w:rPr>
          <w:b/>
          <w:bCs/>
        </w:rPr>
        <w:t>betriebliche Stromsaldo</w:t>
      </w:r>
      <w:r>
        <w:t xml:space="preserve"> mit Gebäude-PV minus Gebäudestrom aus der UBA-Allokation verglichen. Erst danach werden identische MIV-Mengen auf beiden Seiten einbezogen:</w:t>
      </w:r>
    </w:p>
    <w:p w14:paraId="5AE87A37"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BU</m:t>
              </m:r>
              <m:r>
                <m:rPr>
                  <m:sty m:val="p"/>
                </m:rPr>
                <w:rPr>
                  <w:rFonts w:ascii="Cambria Math" w:hAnsi="Cambria Math"/>
                </w:rPr>
                <m:t>,</m:t>
              </m:r>
              <m:r>
                <w:rPr>
                  <w:rFonts w:ascii="Cambria Math" w:hAnsi="Cambria Math"/>
                </w:rPr>
                <m:t>erweitert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BU</m:t>
              </m:r>
              <m:r>
                <m:rPr>
                  <m:sty m:val="p"/>
                </m:rPr>
                <w:rPr>
                  <w:rFonts w:ascii="Cambria Math" w:hAnsi="Cambria Math"/>
                </w:rPr>
                <m:t>,</m:t>
              </m:r>
              <m:r>
                <w:rPr>
                  <w:rFonts w:ascii="Cambria Math" w:hAnsi="Cambria Math"/>
                </w:rPr>
                <m:t>Betrieb</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MIV</m:t>
              </m:r>
              <m:r>
                <m:rPr>
                  <m:sty m:val="p"/>
                </m:rPr>
                <w:rPr>
                  <w:rFonts w:ascii="Cambria Math" w:hAnsi="Cambria Math"/>
                </w:rPr>
                <m:t>,</m:t>
              </m:r>
              <m:r>
                <w:rPr>
                  <w:rFonts w:ascii="Cambria Math" w:hAnsi="Cambria Math"/>
                </w:rPr>
                <m:t>Budget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MIV</m:t>
              </m:r>
              <m:r>
                <m:rPr>
                  <m:sty m:val="p"/>
                </m:rPr>
                <w:rPr>
                  <w:rFonts w:ascii="Cambria Math" w:hAnsi="Cambria Math"/>
                </w:rPr>
                <m:t>,</m:t>
              </m:r>
              <m:r>
                <w:rPr>
                  <w:rFonts w:ascii="Cambria Math" w:hAnsi="Cambria Math"/>
                </w:rPr>
                <m:t>Bedarf</m:t>
              </m:r>
            </m:sub>
          </m:sSub>
          <m:r>
            <m:rPr>
              <m:sty m:val="p"/>
            </m:rPr>
            <w:rPr>
              <w:rFonts w:ascii="Cambria Math" w:hAnsi="Cambria Math"/>
            </w:rPr>
            <m:t>.</m:t>
          </m:r>
        </m:oMath>
      </m:oMathPara>
    </w:p>
    <w:p w14:paraId="23A56FD1" w14:textId="77777777" w:rsidR="004E4CC2" w:rsidRDefault="00000000">
      <w:pPr>
        <w:pStyle w:val="FirstParagraph"/>
      </w:pPr>
      <w:r>
        <w:t xml:space="preserve">Das verändert die Differenz nicht. Zusätzliche virtuelle Dichtewerte werden hier </w:t>
      </w:r>
      <w:r>
        <w:rPr>
          <w:b/>
          <w:bCs/>
        </w:rPr>
        <w:t>nicht</w:t>
      </w:r>
      <w:r>
        <w:t xml:space="preserve"> addiert: Sie würden ohne freigegebene PEQ-Flächenanteile und Zielwertdefinition eine neue Bilanzgrenze erzeugen. Ebenso dürfen thermische Endenergien nicht kommentarlos mit einem reinen Stromziel verglichen werden.</w:t>
      </w:r>
    </w:p>
    <w:p w14:paraId="1CBF649E" w14:textId="77777777" w:rsidR="004E4CC2" w:rsidRDefault="00000000">
      <w:pPr>
        <w:pStyle w:val="Textkrper"/>
      </w:pPr>
      <w:r>
        <w:t xml:space="preserve">Der Pool enthält durchgehend PV30/noFlex und weiterhin fossile Wärmeversorgung im Zieljahr. Ein Abstand zu Transition ist daher ein </w:t>
      </w:r>
      <w:r>
        <w:rPr>
          <w:b/>
          <w:bCs/>
        </w:rPr>
        <w:t>inhaltlicher Szenariobefund</w:t>
      </w:r>
      <w:r>
        <w:t xml:space="preserve">, kein Rundungsfehler, der durch Skalieren zu beseitigen wäre. Der PEQ-Anteil ist in der </w:t>
      </w:r>
      <w:r>
        <w:lastRenderedPageBreak/>
        <w:t>Reinschrift als offenes Eingabefeld vorbereitet. Die Zahl allein, etwa ein positiver Stromsaldo eines Typs, belegt keine Standardkonformität.</w:t>
      </w:r>
    </w:p>
    <w:p w14:paraId="7583C402" w14:textId="77777777" w:rsidR="004E4CC2" w:rsidRDefault="00000000">
      <w:pPr>
        <w:pStyle w:val="Textkrper"/>
      </w:pPr>
      <w:r>
        <w:t xml:space="preserve">Das Vergleichsdiagramm verwendet drei Gruppen: </w:t>
      </w:r>
      <w:r>
        <w:rPr>
          <w:b/>
          <w:bCs/>
        </w:rPr>
        <w:t>Top-down (UBA-Allokation)</w:t>
      </w:r>
      <w:r>
        <w:t xml:space="preserve">, </w:t>
      </w:r>
      <w:r>
        <w:rPr>
          <w:b/>
          <w:bCs/>
        </w:rPr>
        <w:t>Bottom-up (gelieferter Gebäudepool)</w:t>
      </w:r>
      <w:r>
        <w:t xml:space="preserve"> und </w:t>
      </w:r>
      <w:r>
        <w:rPr>
          <w:b/>
          <w:bCs/>
        </w:rPr>
        <w:t>Bottom-up mit historischer Dichteformel</w:t>
      </w:r>
      <w:r>
        <w:t>. Alle Gruppen enthalten dieselben MIV-Mengen. Die dritte Gruppe enthält zusätzlich den schraffierten virtuellen Dichtebeitrag. Ihr Saldo ist ein Bewertungssaldo in PJ-EE-Äquivalent/a; Bedarf und PV bleiben physische Jahresstrommengen. Der Ansatz macht die Wirkung der Dichteformel sichtbar, ohne sie als neue Kalibrierung auszugeben.</w:t>
      </w:r>
    </w:p>
    <w:p w14:paraId="5B036CEC" w14:textId="77777777" w:rsidR="004E4CC2" w:rsidRDefault="00000000">
      <w:pPr>
        <w:pStyle w:val="SourceCode"/>
      </w:pPr>
      <w:r>
        <w:rPr>
          <w:rStyle w:val="NormalTok"/>
        </w:rPr>
        <w:t>allocation_path</w:t>
      </w:r>
      <w:r>
        <w:rPr>
          <w:rStyle w:val="OperatorTok"/>
        </w:rPr>
        <w:t>=</w:t>
      </w:r>
      <w:r>
        <w:rPr>
          <w:rStyle w:val="NormalTok"/>
        </w:rPr>
        <w:t>ROOT</w:t>
      </w:r>
      <w:r>
        <w:rPr>
          <w:rStyle w:val="OperatorTok"/>
        </w:rPr>
        <w:t>/</w:t>
      </w:r>
      <w:r>
        <w:rPr>
          <w:rStyle w:val="StringTok"/>
        </w:rPr>
        <w:t>'Berechnungen/sektorenmodell/outputs/allokation/allokation.json'</w:t>
      </w:r>
      <w:r>
        <w:br/>
      </w:r>
      <w:r>
        <w:rPr>
          <w:rStyle w:val="NormalTok"/>
        </w:rPr>
        <w:t>allocation</w:t>
      </w:r>
      <w:r>
        <w:rPr>
          <w:rStyle w:val="OperatorTok"/>
        </w:rPr>
        <w:t>=</w:t>
      </w:r>
      <w:r>
        <w:rPr>
          <w:rStyle w:val="NormalTok"/>
        </w:rPr>
        <w:t>json.loads(allocation_path.read_text(encoding</w:t>
      </w:r>
      <w:r>
        <w:rPr>
          <w:rStyle w:val="OperatorTok"/>
        </w:rPr>
        <w:t>=</w:t>
      </w:r>
      <w:r>
        <w:rPr>
          <w:rStyle w:val="StringTok"/>
        </w:rPr>
        <w:t>'utf-8'</w:t>
      </w:r>
      <w:r>
        <w:rPr>
          <w:rStyle w:val="NormalTok"/>
        </w:rPr>
        <w:t>))</w:t>
      </w:r>
      <w:r>
        <w:rPr>
          <w:rStyle w:val="OperatorTok"/>
        </w:rPr>
        <w:t>;</w:t>
      </w:r>
      <w:r>
        <w:rPr>
          <w:rStyle w:val="NormalTok"/>
        </w:rPr>
        <w:t xml:space="preserve"> top</w:t>
      </w:r>
      <w:r>
        <w:rPr>
          <w:rStyle w:val="OperatorTok"/>
        </w:rPr>
        <w:t>=</w:t>
      </w:r>
      <w:r>
        <w:rPr>
          <w:rStyle w:val="NormalTok"/>
        </w:rPr>
        <w:t>allocation[</w:t>
      </w:r>
      <w:r>
        <w:rPr>
          <w:rStyle w:val="StringTok"/>
        </w:rPr>
        <w:t>'result'</w:t>
      </w:r>
      <w:r>
        <w:rPr>
          <w:rStyle w:val="NormalTok"/>
        </w:rPr>
        <w:t>]</w:t>
      </w:r>
      <w:r>
        <w:br/>
      </w:r>
      <w:r>
        <w:rPr>
          <w:rStyle w:val="KeywordTok"/>
        </w:rPr>
        <w:t>def</w:t>
      </w:r>
      <w:r>
        <w:rPr>
          <w:rStyle w:val="NormalTok"/>
        </w:rPr>
        <w:t xml:space="preserve"> val(metric):</w:t>
      </w:r>
      <w:r>
        <w:br/>
      </w:r>
      <w:r>
        <w:rPr>
          <w:rStyle w:val="NormalTok"/>
        </w:rPr>
        <w:t xml:space="preserve">    </w:t>
      </w:r>
      <w:r>
        <w:rPr>
          <w:rStyle w:val="ControlFlowTok"/>
        </w:rPr>
        <w:t>return</w:t>
      </w:r>
      <w:r>
        <w:rPr>
          <w:rStyle w:val="NormalTok"/>
        </w:rPr>
        <w:t xml:space="preserve"> </w:t>
      </w:r>
      <w:r>
        <w:rPr>
          <w:rStyle w:val="BuiltInTok"/>
        </w:rPr>
        <w:t>float</w:t>
      </w:r>
      <w:r>
        <w:rPr>
          <w:rStyle w:val="NormalTok"/>
        </w:rPr>
        <w:t>(energy.loc[energy.Stand.eq(</w:t>
      </w:r>
      <w:r>
        <w:rPr>
          <w:rStyle w:val="StringTok"/>
        </w:rPr>
        <w:t>'2040'</w:t>
      </w:r>
      <w:r>
        <w:rPr>
          <w:rStyle w:val="NormalTok"/>
        </w:rPr>
        <w:t xml:space="preserve">) </w:t>
      </w:r>
      <w:r>
        <w:rPr>
          <w:rStyle w:val="OperatorTok"/>
        </w:rPr>
        <w:t>&amp;</w:t>
      </w:r>
      <w:r>
        <w:rPr>
          <w:rStyle w:val="NormalTok"/>
        </w:rPr>
        <w:t xml:space="preserve"> energy[</w:t>
      </w:r>
      <w:r>
        <w:rPr>
          <w:rStyle w:val="StringTok"/>
        </w:rPr>
        <w:t>'Größe'</w:t>
      </w:r>
      <w:r>
        <w:rPr>
          <w:rStyle w:val="NormalTok"/>
        </w:rPr>
        <w:t>].eq(metric),</w:t>
      </w:r>
      <w:r>
        <w:rPr>
          <w:rStyle w:val="StringTok"/>
        </w:rPr>
        <w:t>'PJ/a'</w:t>
      </w:r>
      <w:r>
        <w:rPr>
          <w:rStyle w:val="NormalTok"/>
        </w:rPr>
        <w:t>].iloc[</w:t>
      </w:r>
      <w:r>
        <w:rPr>
          <w:rStyle w:val="DecValTok"/>
        </w:rPr>
        <w:t>0</w:t>
      </w:r>
      <w:r>
        <w:rPr>
          <w:rStyle w:val="NormalTok"/>
        </w:rPr>
        <w:t>])</w:t>
      </w:r>
      <w:r>
        <w:br/>
      </w:r>
      <w:r>
        <w:rPr>
          <w:rStyle w:val="NormalTok"/>
        </w:rPr>
        <w:t>operating</w:t>
      </w:r>
      <w:r>
        <w:rPr>
          <w:rStyle w:val="OperatorTok"/>
        </w:rPr>
        <w:t>=</w:t>
      </w:r>
      <w:r>
        <w:rPr>
          <w:rStyle w:val="NormalTok"/>
        </w:rPr>
        <w:t>val(</w:t>
      </w:r>
      <w:r>
        <w:rPr>
          <w:rStyle w:val="StringTok"/>
        </w:rPr>
        <w:t>'Stromsaldo'</w:t>
      </w:r>
      <w:r>
        <w:rPr>
          <w:rStyle w:val="NormalTok"/>
        </w:rPr>
        <w:t>)</w:t>
      </w:r>
      <w:r>
        <w:br/>
      </w:r>
      <w:r>
        <w:rPr>
          <w:rStyle w:val="NormalTok"/>
        </w:rPr>
        <w:t>extended</w:t>
      </w:r>
      <w:r>
        <w:rPr>
          <w:rStyle w:val="OperatorTok"/>
        </w:rPr>
        <w:t>=</w:t>
      </w:r>
      <w:r>
        <w:rPr>
          <w:rStyle w:val="NormalTok"/>
        </w:rPr>
        <w:t>operating</w:t>
      </w:r>
      <w:r>
        <w:rPr>
          <w:rStyle w:val="OperatorTok"/>
        </w:rPr>
        <w:t>+</w:t>
      </w:r>
      <w:r>
        <w:rPr>
          <w:rStyle w:val="NormalTok"/>
        </w:rPr>
        <w:t>top[</w:t>
      </w:r>
      <w:r>
        <w:rPr>
          <w:rStyle w:val="StringTok"/>
        </w:rPr>
        <w:t>'miv_budget_pj'</w:t>
      </w:r>
      <w:r>
        <w:rPr>
          <w:rStyle w:val="NormalTok"/>
        </w:rPr>
        <w:t>]</w:t>
      </w:r>
      <w:r>
        <w:rPr>
          <w:rStyle w:val="OperatorTok"/>
        </w:rPr>
        <w:t>-</w:t>
      </w:r>
      <w:r>
        <w:rPr>
          <w:rStyle w:val="NormalTok"/>
        </w:rPr>
        <w:t>top[</w:t>
      </w:r>
      <w:r>
        <w:rPr>
          <w:rStyle w:val="StringTok"/>
        </w:rPr>
        <w:t>'miv_demand_pj'</w:t>
      </w:r>
      <w:r>
        <w:rPr>
          <w:rStyle w:val="NormalTok"/>
        </w:rPr>
        <w:t>]</w:t>
      </w:r>
      <w:r>
        <w:br/>
      </w:r>
      <w:r>
        <w:rPr>
          <w:rStyle w:val="NormalTok"/>
        </w:rPr>
        <w:t>comparison</w:t>
      </w:r>
      <w:r>
        <w:rPr>
          <w:rStyle w:val="OperatorTok"/>
        </w:rPr>
        <w:t>=</w:t>
      </w:r>
      <w:r>
        <w:rPr>
          <w:rStyle w:val="NormalTok"/>
        </w:rPr>
        <w:t>pd.DataFrame([</w:t>
      </w:r>
      <w:r>
        <w:br/>
      </w:r>
      <w:r>
        <w:rPr>
          <w:rStyle w:val="NormalTok"/>
        </w:rPr>
        <w:t xml:space="preserve"> {</w:t>
      </w:r>
      <w:r>
        <w:rPr>
          <w:rStyle w:val="StringTok"/>
        </w:rPr>
        <w:t>'Größe'</w:t>
      </w:r>
      <w:r>
        <w:rPr>
          <w:rStyle w:val="NormalTok"/>
        </w:rPr>
        <w:t>:</w:t>
      </w:r>
      <w:r>
        <w:rPr>
          <w:rStyle w:val="StringTok"/>
        </w:rPr>
        <w:t>'PV-Erzeugung'</w:t>
      </w:r>
      <w:r>
        <w:rPr>
          <w:rStyle w:val="NormalTok"/>
        </w:rPr>
        <w:t>,</w:t>
      </w:r>
      <w:r>
        <w:rPr>
          <w:rStyle w:val="StringTok"/>
        </w:rPr>
        <w:t>'Bottom-up [PJ/a]'</w:t>
      </w:r>
      <w:r>
        <w:rPr>
          <w:rStyle w:val="NormalTok"/>
        </w:rPr>
        <w:t>:val(</w:t>
      </w:r>
      <w:r>
        <w:rPr>
          <w:rStyle w:val="StringTok"/>
        </w:rPr>
        <w:t>'PV_Erzeugung'</w:t>
      </w:r>
      <w:r>
        <w:rPr>
          <w:rStyle w:val="NormalTok"/>
        </w:rPr>
        <w:t>),</w:t>
      </w:r>
      <w:r>
        <w:rPr>
          <w:rStyle w:val="StringTok"/>
        </w:rPr>
        <w:t>'Top-down [PJ/a]'</w:t>
      </w:r>
      <w:r>
        <w:rPr>
          <w:rStyle w:val="NormalTok"/>
        </w:rPr>
        <w:t>:top[</w:t>
      </w:r>
      <w:r>
        <w:rPr>
          <w:rStyle w:val="StringTok"/>
        </w:rPr>
        <w:t>'building_pv_pj'</w:t>
      </w:r>
      <w:r>
        <w:rPr>
          <w:rStyle w:val="NormalTok"/>
        </w:rPr>
        <w:t>]},</w:t>
      </w:r>
      <w:r>
        <w:br/>
      </w:r>
      <w:r>
        <w:rPr>
          <w:rStyle w:val="NormalTok"/>
        </w:rPr>
        <w:t xml:space="preserve"> {</w:t>
      </w:r>
      <w:r>
        <w:rPr>
          <w:rStyle w:val="StringTok"/>
        </w:rPr>
        <w:t>'Größe'</w:t>
      </w:r>
      <w:r>
        <w:rPr>
          <w:rStyle w:val="NormalTok"/>
        </w:rPr>
        <w:t>:</w:t>
      </w:r>
      <w:r>
        <w:rPr>
          <w:rStyle w:val="StringTok"/>
        </w:rPr>
        <w:t>'Gebäudestrombedarf'</w:t>
      </w:r>
      <w:r>
        <w:rPr>
          <w:rStyle w:val="NormalTok"/>
        </w:rPr>
        <w:t>,</w:t>
      </w:r>
      <w:r>
        <w:rPr>
          <w:rStyle w:val="StringTok"/>
        </w:rPr>
        <w:t>'Bottom-up [PJ/a]'</w:t>
      </w:r>
      <w:r>
        <w:rPr>
          <w:rStyle w:val="NormalTok"/>
        </w:rPr>
        <w:t>:val(</w:t>
      </w:r>
      <w:r>
        <w:rPr>
          <w:rStyle w:val="StringTok"/>
        </w:rPr>
        <w:t>'Strombedarf'</w:t>
      </w:r>
      <w:r>
        <w:rPr>
          <w:rStyle w:val="NormalTok"/>
        </w:rPr>
        <w:t>),</w:t>
      </w:r>
      <w:r>
        <w:rPr>
          <w:rStyle w:val="StringTok"/>
        </w:rPr>
        <w:t>'Top-down [PJ/a]'</w:t>
      </w:r>
      <w:r>
        <w:rPr>
          <w:rStyle w:val="NormalTok"/>
        </w:rPr>
        <w:t>:top[</w:t>
      </w:r>
      <w:r>
        <w:rPr>
          <w:rStyle w:val="StringTok"/>
        </w:rPr>
        <w:t>'building_pv_pj'</w:t>
      </w:r>
      <w:r>
        <w:rPr>
          <w:rStyle w:val="NormalTok"/>
        </w:rPr>
        <w:t>]</w:t>
      </w:r>
      <w:r>
        <w:rPr>
          <w:rStyle w:val="OperatorTok"/>
        </w:rPr>
        <w:t>-</w:t>
      </w:r>
      <w:r>
        <w:rPr>
          <w:rStyle w:val="NormalTok"/>
        </w:rPr>
        <w:t>top[</w:t>
      </w:r>
      <w:r>
        <w:rPr>
          <w:rStyle w:val="StringTok"/>
        </w:rPr>
        <w:t>'building_operation_pj'</w:t>
      </w:r>
      <w:r>
        <w:rPr>
          <w:rStyle w:val="NormalTok"/>
        </w:rPr>
        <w:t>]},</w:t>
      </w:r>
      <w:r>
        <w:br/>
      </w:r>
      <w:r>
        <w:rPr>
          <w:rStyle w:val="NormalTok"/>
        </w:rPr>
        <w:t xml:space="preserve"> {</w:t>
      </w:r>
      <w:r>
        <w:rPr>
          <w:rStyle w:val="StringTok"/>
        </w:rPr>
        <w:t>'Größe'</w:t>
      </w:r>
      <w:r>
        <w:rPr>
          <w:rStyle w:val="NormalTok"/>
        </w:rPr>
        <w:t>:</w:t>
      </w:r>
      <w:r>
        <w:rPr>
          <w:rStyle w:val="StringTok"/>
        </w:rPr>
        <w:t>'Betrieblicher Stromsaldo'</w:t>
      </w:r>
      <w:r>
        <w:rPr>
          <w:rStyle w:val="NormalTok"/>
        </w:rPr>
        <w:t>,</w:t>
      </w:r>
      <w:r>
        <w:rPr>
          <w:rStyle w:val="StringTok"/>
        </w:rPr>
        <w:t>'Bottom-up [PJ/a]'</w:t>
      </w:r>
      <w:r>
        <w:rPr>
          <w:rStyle w:val="NormalTok"/>
        </w:rPr>
        <w:t>:operating,</w:t>
      </w:r>
      <w:r>
        <w:rPr>
          <w:rStyle w:val="StringTok"/>
        </w:rPr>
        <w:t>'Top-down [PJ/a]'</w:t>
      </w:r>
      <w:r>
        <w:rPr>
          <w:rStyle w:val="NormalTok"/>
        </w:rPr>
        <w:t>:top[</w:t>
      </w:r>
      <w:r>
        <w:rPr>
          <w:rStyle w:val="StringTok"/>
        </w:rPr>
        <w:t>'building_operation_pj'</w:t>
      </w:r>
      <w:r>
        <w:rPr>
          <w:rStyle w:val="NormalTok"/>
        </w:rPr>
        <w:t>]},</w:t>
      </w:r>
      <w:r>
        <w:br/>
      </w:r>
      <w:r>
        <w:rPr>
          <w:rStyle w:val="NormalTok"/>
        </w:rPr>
        <w:t xml:space="preserve"> {</w:t>
      </w:r>
      <w:r>
        <w:rPr>
          <w:rStyle w:val="StringTok"/>
        </w:rPr>
        <w:t>'Größe'</w:t>
      </w:r>
      <w:r>
        <w:rPr>
          <w:rStyle w:val="NormalTok"/>
        </w:rPr>
        <w:t>:</w:t>
      </w:r>
      <w:r>
        <w:rPr>
          <w:rStyle w:val="StringTok"/>
        </w:rPr>
        <w:t>'Saldo einschließlich MIV'</w:t>
      </w:r>
      <w:r>
        <w:rPr>
          <w:rStyle w:val="NormalTok"/>
        </w:rPr>
        <w:t>,</w:t>
      </w:r>
      <w:r>
        <w:rPr>
          <w:rStyle w:val="StringTok"/>
        </w:rPr>
        <w:t>'Bottom-up [PJ/a]'</w:t>
      </w:r>
      <w:r>
        <w:rPr>
          <w:rStyle w:val="NormalTok"/>
        </w:rPr>
        <w:t>:extended,</w:t>
      </w:r>
      <w:r>
        <w:rPr>
          <w:rStyle w:val="StringTok"/>
        </w:rPr>
        <w:t>'Top-down [PJ/a]'</w:t>
      </w:r>
      <w:r>
        <w:rPr>
          <w:rStyle w:val="NormalTok"/>
        </w:rPr>
        <w:t>:top[</w:t>
      </w:r>
      <w:r>
        <w:rPr>
          <w:rStyle w:val="StringTok"/>
        </w:rPr>
        <w:t>'building_target_pj'</w:t>
      </w:r>
      <w:r>
        <w:rPr>
          <w:rStyle w:val="NormalTok"/>
        </w:rPr>
        <w:t>]}])</w:t>
      </w:r>
      <w:r>
        <w:br/>
      </w:r>
      <w:r>
        <w:rPr>
          <w:rStyle w:val="NormalTok"/>
        </w:rPr>
        <w:t>comparison[</w:t>
      </w:r>
      <w:r>
        <w:rPr>
          <w:rStyle w:val="StringTok"/>
        </w:rPr>
        <w:t>'Differenz [PJ/a]'</w:t>
      </w:r>
      <w:r>
        <w:rPr>
          <w:rStyle w:val="NormalTok"/>
        </w:rPr>
        <w:t>]</w:t>
      </w:r>
      <w:r>
        <w:rPr>
          <w:rStyle w:val="OperatorTok"/>
        </w:rPr>
        <w:t>=</w:t>
      </w:r>
      <w:r>
        <w:rPr>
          <w:rStyle w:val="NormalTok"/>
        </w:rPr>
        <w:t>comparison[</w:t>
      </w:r>
      <w:r>
        <w:rPr>
          <w:rStyle w:val="StringTok"/>
        </w:rPr>
        <w:t>'Bottom-up [PJ/a]'</w:t>
      </w:r>
      <w:r>
        <w:rPr>
          <w:rStyle w:val="NormalTok"/>
        </w:rPr>
        <w:t>]</w:t>
      </w:r>
      <w:r>
        <w:rPr>
          <w:rStyle w:val="OperatorTok"/>
        </w:rPr>
        <w:t>-</w:t>
      </w:r>
      <w:r>
        <w:rPr>
          <w:rStyle w:val="NormalTok"/>
        </w:rPr>
        <w:t>comparison[</w:t>
      </w:r>
      <w:r>
        <w:rPr>
          <w:rStyle w:val="StringTok"/>
        </w:rPr>
        <w:t>'Top-down [PJ/a]'</w:t>
      </w:r>
      <w:r>
        <w:rPr>
          <w:rStyle w:val="NormalTok"/>
        </w:rPr>
        <w:t>]</w:t>
      </w:r>
      <w:r>
        <w:br/>
      </w:r>
      <w:r>
        <w:rPr>
          <w:rStyle w:val="NormalTok"/>
        </w:rPr>
        <w:t>display(comparison)</w:t>
      </w:r>
      <w:r>
        <w:br/>
      </w:r>
      <w:r>
        <w:rPr>
          <w:rStyle w:val="ControlFlowTok"/>
        </w:rPr>
        <w:t>assert</w:t>
      </w:r>
      <w:r>
        <w:rPr>
          <w:rStyle w:val="NormalTok"/>
        </w:rPr>
        <w:t xml:space="preserve"> np.isclose(extended</w:t>
      </w:r>
      <w:r>
        <w:rPr>
          <w:rStyle w:val="OperatorTok"/>
        </w:rPr>
        <w:t>-</w:t>
      </w:r>
      <w:r>
        <w:rPr>
          <w:rStyle w:val="NormalTok"/>
        </w:rPr>
        <w:t>top[</w:t>
      </w:r>
      <w:r>
        <w:rPr>
          <w:rStyle w:val="StringTok"/>
        </w:rPr>
        <w:t>'building_target_pj'</w:t>
      </w:r>
      <w:r>
        <w:rPr>
          <w:rStyle w:val="NormalTok"/>
        </w:rPr>
        <w:t>],operating</w:t>
      </w:r>
      <w:r>
        <w:rPr>
          <w:rStyle w:val="OperatorTok"/>
        </w:rPr>
        <w:t>-</w:t>
      </w:r>
      <w:r>
        <w:rPr>
          <w:rStyle w:val="NormalTok"/>
        </w:rPr>
        <w:t>top[</w:t>
      </w:r>
      <w:r>
        <w:rPr>
          <w:rStyle w:val="StringTok"/>
        </w:rPr>
        <w:t>'building_operation_pj'</w:t>
      </w:r>
      <w:r>
        <w:rPr>
          <w:rStyle w:val="NormalTok"/>
        </w:rPr>
        <w:t>])</w:t>
      </w:r>
      <w:r>
        <w:br/>
      </w:r>
      <w:r>
        <w:rPr>
          <w:rStyle w:val="NormalTok"/>
        </w:rPr>
        <w:t>comparison.to_csv(OUT</w:t>
      </w:r>
      <w:r>
        <w:rPr>
          <w:rStyle w:val="OperatorTok"/>
        </w:rPr>
        <w:t>/</w:t>
      </w:r>
      <w:r>
        <w:rPr>
          <w:rStyle w:val="StringTok"/>
        </w:rPr>
        <w:t>'abgleich_allokation.csv'</w:t>
      </w:r>
      <w:r>
        <w:rPr>
          <w:rStyle w:val="NormalTok"/>
        </w:rPr>
        <w:t>,index</w:t>
      </w:r>
      <w:r>
        <w:rPr>
          <w:rStyle w:val="OperatorTok"/>
        </w:rPr>
        <w:t>=</w:t>
      </w:r>
      <w:r>
        <w:rPr>
          <w:rStyle w:val="VariableTok"/>
        </w:rPr>
        <w:t>False</w:t>
      </w:r>
      <w:r>
        <w:rPr>
          <w:rStyle w:val="NormalTok"/>
        </w:rPr>
        <w:t>)</w:t>
      </w:r>
      <w:r>
        <w:br/>
      </w:r>
      <w:r>
        <w:rPr>
          <w:rStyle w:val="BuiltInTok"/>
        </w:rPr>
        <w:t>print</w:t>
      </w:r>
      <w:r>
        <w:rPr>
          <w:rStyle w:val="NormalTok"/>
        </w:rPr>
        <w:t>(</w:t>
      </w:r>
      <w:r>
        <w:rPr>
          <w:rStyle w:val="StringTok"/>
        </w:rPr>
        <w:t>'PEQ-Anteile offen:'</w:t>
      </w:r>
      <w:r>
        <w:rPr>
          <w:rStyle w:val="NormalTok"/>
        </w:rPr>
        <w:t>,data.PEQ_Anteil_2040.isna().</w:t>
      </w:r>
      <w:r>
        <w:rPr>
          <w:rStyle w:val="BuiltInTok"/>
        </w:rPr>
        <w:t>sum</w:t>
      </w:r>
      <w:r>
        <w:rPr>
          <w:rStyle w:val="NormalTok"/>
        </w:rPr>
        <w:t>(),</w:t>
      </w:r>
      <w:r>
        <w:rPr>
          <w:rStyle w:val="StringTok"/>
        </w:rPr>
        <w:t>'von'</w:t>
      </w:r>
      <w:r>
        <w:rPr>
          <w:rStyle w:val="NormalTok"/>
        </w:rPr>
        <w:t>,</w:t>
      </w:r>
      <w:r>
        <w:rPr>
          <w:rStyle w:val="BuiltInTok"/>
        </w:rPr>
        <w:t>len</w:t>
      </w:r>
      <w:r>
        <w:rPr>
          <w:rStyle w:val="NormalTok"/>
        </w:rPr>
        <w:t>(data))</w:t>
      </w:r>
      <w:r>
        <w:br/>
      </w:r>
      <w:r>
        <w:rPr>
          <w:rStyle w:val="NormalTok"/>
        </w:rPr>
        <w:t>sensitivity</w:t>
      </w:r>
      <w:r>
        <w:rPr>
          <w:rStyle w:val="OperatorTok"/>
        </w:rPr>
        <w:t>=</w:t>
      </w:r>
      <w:r>
        <w:rPr>
          <w:rStyle w:val="NormalTok"/>
        </w:rPr>
        <w:t>pd.DataFrame([{</w:t>
      </w:r>
      <w:r>
        <w:rPr>
          <w:rStyle w:val="StringTok"/>
        </w:rPr>
        <w:t>'NGF/BGF'</w:t>
      </w:r>
      <w:r>
        <w:rPr>
          <w:rStyle w:val="NormalTok"/>
        </w:rPr>
        <w:t>:ratio,</w:t>
      </w:r>
      <w:r>
        <w:rPr>
          <w:rStyle w:val="StringTok"/>
        </w:rPr>
        <w:t>'Strombedarf [PJ/a]'</w:t>
      </w:r>
      <w:r>
        <w:rPr>
          <w:rStyle w:val="NormalTok"/>
        </w:rPr>
        <w:t>:val(</w:t>
      </w:r>
      <w:r>
        <w:rPr>
          <w:rStyle w:val="StringTok"/>
        </w:rPr>
        <w:t>'Strombedarf'</w:t>
      </w:r>
      <w:r>
        <w:rPr>
          <w:rStyle w:val="NormalTok"/>
        </w:rPr>
        <w:t>)</w:t>
      </w:r>
      <w:r>
        <w:rPr>
          <w:rStyle w:val="OperatorTok"/>
        </w:rPr>
        <w:t>*</w:t>
      </w:r>
      <w:r>
        <w:rPr>
          <w:rStyle w:val="NormalTok"/>
        </w:rPr>
        <w:t>ratio</w:t>
      </w:r>
      <w:r>
        <w:rPr>
          <w:rStyle w:val="OperatorTok"/>
        </w:rPr>
        <w:t>/</w:t>
      </w:r>
      <w:r>
        <w:rPr>
          <w:rStyle w:val="NormalTok"/>
        </w:rPr>
        <w:t>r,</w:t>
      </w:r>
      <w:r>
        <w:rPr>
          <w:rStyle w:val="StringTok"/>
        </w:rPr>
        <w:t>'Stromsaldo [PJ/a]'</w:t>
      </w:r>
      <w:r>
        <w:rPr>
          <w:rStyle w:val="NormalTok"/>
        </w:rPr>
        <w:t>:operating</w:t>
      </w:r>
      <w:r>
        <w:rPr>
          <w:rStyle w:val="OperatorTok"/>
        </w:rPr>
        <w:t>*</w:t>
      </w:r>
      <w:r>
        <w:rPr>
          <w:rStyle w:val="NormalTok"/>
        </w:rPr>
        <w:t>ratio</w:t>
      </w:r>
      <w:r>
        <w:rPr>
          <w:rStyle w:val="OperatorTok"/>
        </w:rPr>
        <w:t>/</w:t>
      </w:r>
      <w:r>
        <w:rPr>
          <w:rStyle w:val="NormalTok"/>
        </w:rPr>
        <w:t xml:space="preserve">r} </w:t>
      </w:r>
      <w:r>
        <w:rPr>
          <w:rStyle w:val="ControlFlowTok"/>
        </w:rPr>
        <w:t>for</w:t>
      </w:r>
      <w:r>
        <w:rPr>
          <w:rStyle w:val="NormalTok"/>
        </w:rPr>
        <w:t xml:space="preserve"> ratio </w:t>
      </w:r>
      <w:r>
        <w:rPr>
          <w:rStyle w:val="KeywordTok"/>
        </w:rPr>
        <w:t>in</w:t>
      </w:r>
      <w:r>
        <w:rPr>
          <w:rStyle w:val="NormalTok"/>
        </w:rPr>
        <w:t xml:space="preserve"> [</w:t>
      </w:r>
      <w:r>
        <w:rPr>
          <w:rStyle w:val="FloatTok"/>
        </w:rPr>
        <w:t>.75</w:t>
      </w:r>
      <w:r>
        <w:rPr>
          <w:rStyle w:val="NormalTok"/>
        </w:rPr>
        <w:t>,</w:t>
      </w:r>
      <w:r>
        <w:rPr>
          <w:rStyle w:val="FloatTok"/>
        </w:rPr>
        <w:t>.8</w:t>
      </w:r>
      <w:r>
        <w:rPr>
          <w:rStyle w:val="NormalTok"/>
        </w:rPr>
        <w:t>,</w:t>
      </w:r>
      <w:r>
        <w:rPr>
          <w:rStyle w:val="FloatTok"/>
        </w:rPr>
        <w:t>.85</w:t>
      </w:r>
      <w:r>
        <w:rPr>
          <w:rStyle w:val="NormalTok"/>
        </w:rPr>
        <w:t>]])</w:t>
      </w:r>
      <w:r>
        <w:br/>
      </w:r>
      <w:r>
        <w:rPr>
          <w:rStyle w:val="NormalTok"/>
        </w:rPr>
        <w:t>display(sensitivity)</w:t>
      </w:r>
      <w:r>
        <w:br/>
      </w:r>
      <w:r>
        <w:br/>
      </w:r>
      <w:r>
        <w:rPr>
          <w:rStyle w:val="ImportTok"/>
        </w:rPr>
        <w:t>import</w:t>
      </w:r>
      <w:r>
        <w:rPr>
          <w:rStyle w:val="NormalTok"/>
        </w:rPr>
        <w:t xml:space="preserve"> sys</w:t>
      </w:r>
      <w:r>
        <w:br/>
      </w:r>
      <w:r>
        <w:rPr>
          <w:rStyle w:val="NormalTok"/>
        </w:rPr>
        <w:t>sys.path.insert(</w:t>
      </w:r>
      <w:r>
        <w:rPr>
          <w:rStyle w:val="DecValTok"/>
        </w:rPr>
        <w:t>0</w:t>
      </w:r>
      <w:r>
        <w:rPr>
          <w:rStyle w:val="NormalTok"/>
        </w:rPr>
        <w:t>,</w:t>
      </w:r>
      <w:r>
        <w:rPr>
          <w:rStyle w:val="BuiltInTok"/>
        </w:rPr>
        <w:t>str</w:t>
      </w:r>
      <w:r>
        <w:rPr>
          <w:rStyle w:val="NormalTok"/>
        </w:rPr>
        <w:t>(ROOT))</w:t>
      </w:r>
      <w:r>
        <w:br/>
      </w:r>
      <w:r>
        <w:rPr>
          <w:rStyle w:val="ImportTok"/>
        </w:rPr>
        <w:t>from</w:t>
      </w:r>
      <w:r>
        <w:rPr>
          <w:rStyle w:val="NormalTok"/>
        </w:rPr>
        <w:t xml:space="preserve"> Berechnungen.methodik_plots </w:t>
      </w:r>
      <w:r>
        <w:rPr>
          <w:rStyle w:val="ImportTok"/>
        </w:rPr>
        <w:t>import</w:t>
      </w:r>
      <w:r>
        <w:rPr>
          <w:rStyle w:val="NormalTok"/>
        </w:rPr>
        <w:t xml:space="preserve"> building_figures</w:t>
      </w:r>
      <w:r>
        <w:br/>
      </w:r>
      <w:r>
        <w:rPr>
          <w:rStyle w:val="ImportTok"/>
        </w:rPr>
        <w:t>from</w:t>
      </w:r>
      <w:r>
        <w:rPr>
          <w:rStyle w:val="NormalTok"/>
        </w:rPr>
        <w:t xml:space="preserve"> IPython.display </w:t>
      </w:r>
      <w:r>
        <w:rPr>
          <w:rStyle w:val="ImportTok"/>
        </w:rPr>
        <w:t>import</w:t>
      </w:r>
      <w:r>
        <w:rPr>
          <w:rStyle w:val="NormalTok"/>
        </w:rPr>
        <w:t xml:space="preserve"> HTML</w:t>
      </w:r>
      <w:r>
        <w:br/>
      </w:r>
      <w:r>
        <w:rPr>
          <w:rStyle w:val="NormalTok"/>
        </w:rPr>
        <w:t>sector_comparison</w:t>
      </w:r>
      <w:r>
        <w:rPr>
          <w:rStyle w:val="OperatorTok"/>
        </w:rPr>
        <w:t>=</w:t>
      </w:r>
      <w:r>
        <w:rPr>
          <w:rStyle w:val="NormalTok"/>
        </w:rPr>
        <w:t>pd.DataFrame([</w:t>
      </w:r>
      <w:r>
        <w:br/>
      </w:r>
      <w:r>
        <w:rPr>
          <w:rStyle w:val="NormalTok"/>
        </w:rPr>
        <w:t xml:space="preserve"> {</w:t>
      </w:r>
      <w:r>
        <w:rPr>
          <w:rStyle w:val="StringTok"/>
        </w:rPr>
        <w:t>'Modell'</w:t>
      </w:r>
      <w:r>
        <w:rPr>
          <w:rStyle w:val="NormalTok"/>
        </w:rPr>
        <w:t>:</w:t>
      </w:r>
      <w:r>
        <w:rPr>
          <w:rStyle w:val="StringTok"/>
        </w:rPr>
        <w:t>'Top-down: UBA 2040'</w:t>
      </w:r>
      <w:r>
        <w:rPr>
          <w:rStyle w:val="NormalTok"/>
        </w:rPr>
        <w:t>,</w:t>
      </w:r>
      <w:r>
        <w:rPr>
          <w:rStyle w:val="StringTok"/>
        </w:rPr>
        <w:t>'Bedarf'</w:t>
      </w:r>
      <w:r>
        <w:rPr>
          <w:rStyle w:val="NormalTok"/>
        </w:rPr>
        <w:t>:top[</w:t>
      </w:r>
      <w:r>
        <w:rPr>
          <w:rStyle w:val="StringTok"/>
        </w:rPr>
        <w:t>'building_pv_pj'</w:t>
      </w:r>
      <w:r>
        <w:rPr>
          <w:rStyle w:val="NormalTok"/>
        </w:rPr>
        <w:t>]</w:t>
      </w:r>
      <w:r>
        <w:rPr>
          <w:rStyle w:val="OperatorTok"/>
        </w:rPr>
        <w:t>-</w:t>
      </w:r>
      <w:r>
        <w:rPr>
          <w:rStyle w:val="NormalTok"/>
        </w:rPr>
        <w:t>top[</w:t>
      </w:r>
      <w:r>
        <w:rPr>
          <w:rStyle w:val="StringTok"/>
        </w:rPr>
        <w:t>'building_operation_pj'</w:t>
      </w:r>
      <w:r>
        <w:rPr>
          <w:rStyle w:val="NormalTok"/>
        </w:rPr>
        <w:t>]</w:t>
      </w:r>
      <w:r>
        <w:rPr>
          <w:rStyle w:val="OperatorTok"/>
        </w:rPr>
        <w:t>+</w:t>
      </w:r>
      <w:r>
        <w:rPr>
          <w:rStyle w:val="NormalTok"/>
        </w:rPr>
        <w:t>top[</w:t>
      </w:r>
      <w:r>
        <w:rPr>
          <w:rStyle w:val="StringTok"/>
        </w:rPr>
        <w:t>'miv_demand_pj'</w:t>
      </w:r>
      <w:r>
        <w:rPr>
          <w:rStyle w:val="NormalTok"/>
        </w:rPr>
        <w:t>],</w:t>
      </w:r>
      <w:r>
        <w:rPr>
          <w:rStyle w:val="StringTok"/>
        </w:rPr>
        <w:t>'Deckung'</w:t>
      </w:r>
      <w:r>
        <w:rPr>
          <w:rStyle w:val="NormalTok"/>
        </w:rPr>
        <w:t>:top[</w:t>
      </w:r>
      <w:r>
        <w:rPr>
          <w:rStyle w:val="StringTok"/>
        </w:rPr>
        <w:t>'building_pv_pj'</w:t>
      </w:r>
      <w:r>
        <w:rPr>
          <w:rStyle w:val="NormalTok"/>
        </w:rPr>
        <w:t>]</w:t>
      </w:r>
      <w:r>
        <w:rPr>
          <w:rStyle w:val="OperatorTok"/>
        </w:rPr>
        <w:t>+</w:t>
      </w:r>
      <w:r>
        <w:rPr>
          <w:rStyle w:val="NormalTok"/>
        </w:rPr>
        <w:t>top[</w:t>
      </w:r>
      <w:r>
        <w:rPr>
          <w:rStyle w:val="StringTok"/>
        </w:rPr>
        <w:t>'miv_budget_pj'</w:t>
      </w:r>
      <w:r>
        <w:rPr>
          <w:rStyle w:val="NormalTok"/>
        </w:rPr>
        <w:t>],</w:t>
      </w:r>
      <w:r>
        <w:rPr>
          <w:rStyle w:val="StringTok"/>
        </w:rPr>
        <w:t>'Dichte'</w:t>
      </w:r>
      <w:r>
        <w:rPr>
          <w:rStyle w:val="NormalTok"/>
        </w:rPr>
        <w:t>:</w:t>
      </w:r>
      <w:r>
        <w:rPr>
          <w:rStyle w:val="FloatTok"/>
        </w:rPr>
        <w:t>0.</w:t>
      </w:r>
      <w:r>
        <w:rPr>
          <w:rStyle w:val="NormalTok"/>
        </w:rPr>
        <w:t>,</w:t>
      </w:r>
      <w:r>
        <w:rPr>
          <w:rStyle w:val="StringTok"/>
        </w:rPr>
        <w:t>'Saldo'</w:t>
      </w:r>
      <w:r>
        <w:rPr>
          <w:rStyle w:val="NormalTok"/>
        </w:rPr>
        <w:t>:top[</w:t>
      </w:r>
      <w:r>
        <w:rPr>
          <w:rStyle w:val="StringTok"/>
        </w:rPr>
        <w:t>'building_target_pj'</w:t>
      </w:r>
      <w:r>
        <w:rPr>
          <w:rStyle w:val="NormalTok"/>
        </w:rPr>
        <w:t>]},</w:t>
      </w:r>
      <w:r>
        <w:br/>
      </w:r>
      <w:r>
        <w:rPr>
          <w:rStyle w:val="NormalTok"/>
        </w:rPr>
        <w:t xml:space="preserve"> {</w:t>
      </w:r>
      <w:r>
        <w:rPr>
          <w:rStyle w:val="StringTok"/>
        </w:rPr>
        <w:t>'Modell'</w:t>
      </w:r>
      <w:r>
        <w:rPr>
          <w:rStyle w:val="NormalTok"/>
        </w:rPr>
        <w:t>:</w:t>
      </w:r>
      <w:r>
        <w:rPr>
          <w:rStyle w:val="StringTok"/>
        </w:rPr>
        <w:t>'Bottom-up: Pool'</w:t>
      </w:r>
      <w:r>
        <w:rPr>
          <w:rStyle w:val="NormalTok"/>
        </w:rPr>
        <w:t>,</w:t>
      </w:r>
      <w:r>
        <w:rPr>
          <w:rStyle w:val="StringTok"/>
        </w:rPr>
        <w:t>'Bedarf'</w:t>
      </w:r>
      <w:r>
        <w:rPr>
          <w:rStyle w:val="NormalTok"/>
        </w:rPr>
        <w:t>:val(</w:t>
      </w:r>
      <w:r>
        <w:rPr>
          <w:rStyle w:val="StringTok"/>
        </w:rPr>
        <w:t>'Strombedarf'</w:t>
      </w:r>
      <w:r>
        <w:rPr>
          <w:rStyle w:val="NormalTok"/>
        </w:rPr>
        <w:t>)</w:t>
      </w:r>
      <w:r>
        <w:rPr>
          <w:rStyle w:val="OperatorTok"/>
        </w:rPr>
        <w:t>+</w:t>
      </w:r>
      <w:r>
        <w:rPr>
          <w:rStyle w:val="NormalTok"/>
        </w:rPr>
        <w:t>top[</w:t>
      </w:r>
      <w:r>
        <w:rPr>
          <w:rStyle w:val="StringTok"/>
        </w:rPr>
        <w:t>'miv_demand_pj'</w:t>
      </w:r>
      <w:r>
        <w:rPr>
          <w:rStyle w:val="NormalTok"/>
        </w:rPr>
        <w:t>],</w:t>
      </w:r>
      <w:r>
        <w:rPr>
          <w:rStyle w:val="StringTok"/>
        </w:rPr>
        <w:t>'Deckung'</w:t>
      </w:r>
      <w:r>
        <w:rPr>
          <w:rStyle w:val="NormalTok"/>
        </w:rPr>
        <w:t>:val(</w:t>
      </w:r>
      <w:r>
        <w:rPr>
          <w:rStyle w:val="StringTok"/>
        </w:rPr>
        <w:t>'PV_Erzeugung'</w:t>
      </w:r>
      <w:r>
        <w:rPr>
          <w:rStyle w:val="NormalTok"/>
        </w:rPr>
        <w:t>)</w:t>
      </w:r>
      <w:r>
        <w:rPr>
          <w:rStyle w:val="OperatorTok"/>
        </w:rPr>
        <w:t>+</w:t>
      </w:r>
      <w:r>
        <w:rPr>
          <w:rStyle w:val="NormalTok"/>
        </w:rPr>
        <w:t>top[</w:t>
      </w:r>
      <w:r>
        <w:rPr>
          <w:rStyle w:val="StringTok"/>
        </w:rPr>
        <w:t>'miv_budget_pj'</w:t>
      </w:r>
      <w:r>
        <w:rPr>
          <w:rStyle w:val="NormalTok"/>
        </w:rPr>
        <w:t>],</w:t>
      </w:r>
      <w:r>
        <w:rPr>
          <w:rStyle w:val="StringTok"/>
        </w:rPr>
        <w:t>'Dichte'</w:t>
      </w:r>
      <w:r>
        <w:rPr>
          <w:rStyle w:val="NormalTok"/>
        </w:rPr>
        <w:t>:</w:t>
      </w:r>
      <w:r>
        <w:rPr>
          <w:rStyle w:val="FloatTok"/>
        </w:rPr>
        <w:t>0.</w:t>
      </w:r>
      <w:r>
        <w:rPr>
          <w:rStyle w:val="NormalTok"/>
        </w:rPr>
        <w:t>,</w:t>
      </w:r>
      <w:r>
        <w:rPr>
          <w:rStyle w:val="StringTok"/>
        </w:rPr>
        <w:t>'Saldo'</w:t>
      </w:r>
      <w:r>
        <w:rPr>
          <w:rStyle w:val="NormalTok"/>
        </w:rPr>
        <w:t>:extend</w:t>
      </w:r>
      <w:r>
        <w:rPr>
          <w:rStyle w:val="NormalTok"/>
        </w:rPr>
        <w:lastRenderedPageBreak/>
        <w:t>ed},</w:t>
      </w:r>
      <w:r>
        <w:br/>
      </w:r>
      <w:r>
        <w:rPr>
          <w:rStyle w:val="NormalTok"/>
        </w:rPr>
        <w:t xml:space="preserve"> {</w:t>
      </w:r>
      <w:r>
        <w:rPr>
          <w:rStyle w:val="StringTok"/>
        </w:rPr>
        <w:t>'Modell'</w:t>
      </w:r>
      <w:r>
        <w:rPr>
          <w:rStyle w:val="NormalTok"/>
        </w:rPr>
        <w:t>:</w:t>
      </w:r>
      <w:r>
        <w:rPr>
          <w:rStyle w:val="StringTok"/>
        </w:rPr>
        <w:t>'Bottom-up + Dichte'</w:t>
      </w:r>
      <w:r>
        <w:rPr>
          <w:rStyle w:val="NormalTok"/>
        </w:rPr>
        <w:t>,</w:t>
      </w:r>
      <w:r>
        <w:rPr>
          <w:rStyle w:val="StringTok"/>
        </w:rPr>
        <w:t>'Bedarf'</w:t>
      </w:r>
      <w:r>
        <w:rPr>
          <w:rStyle w:val="NormalTok"/>
        </w:rPr>
        <w:t>:val(</w:t>
      </w:r>
      <w:r>
        <w:rPr>
          <w:rStyle w:val="StringTok"/>
        </w:rPr>
        <w:t>'Strombedarf'</w:t>
      </w:r>
      <w:r>
        <w:rPr>
          <w:rStyle w:val="NormalTok"/>
        </w:rPr>
        <w:t>)</w:t>
      </w:r>
      <w:r>
        <w:rPr>
          <w:rStyle w:val="OperatorTok"/>
        </w:rPr>
        <w:t>+</w:t>
      </w:r>
      <w:r>
        <w:rPr>
          <w:rStyle w:val="NormalTok"/>
        </w:rPr>
        <w:t>top[</w:t>
      </w:r>
      <w:r>
        <w:rPr>
          <w:rStyle w:val="StringTok"/>
        </w:rPr>
        <w:t>'miv_demand_pj'</w:t>
      </w:r>
      <w:r>
        <w:rPr>
          <w:rStyle w:val="NormalTok"/>
        </w:rPr>
        <w:t>],</w:t>
      </w:r>
      <w:r>
        <w:rPr>
          <w:rStyle w:val="StringTok"/>
        </w:rPr>
        <w:t>'Deckung'</w:t>
      </w:r>
      <w:r>
        <w:rPr>
          <w:rStyle w:val="NormalTok"/>
        </w:rPr>
        <w:t>:val(</w:t>
      </w:r>
      <w:r>
        <w:rPr>
          <w:rStyle w:val="StringTok"/>
        </w:rPr>
        <w:t>'PV_Erzeugung'</w:t>
      </w:r>
      <w:r>
        <w:rPr>
          <w:rStyle w:val="NormalTok"/>
        </w:rPr>
        <w:t>)</w:t>
      </w:r>
      <w:r>
        <w:rPr>
          <w:rStyle w:val="OperatorTok"/>
        </w:rPr>
        <w:t>+</w:t>
      </w:r>
      <w:r>
        <w:rPr>
          <w:rStyle w:val="NormalTok"/>
        </w:rPr>
        <w:t>top[</w:t>
      </w:r>
      <w:r>
        <w:rPr>
          <w:rStyle w:val="StringTok"/>
        </w:rPr>
        <w:t>'miv_budget_pj'</w:t>
      </w:r>
      <w:r>
        <w:rPr>
          <w:rStyle w:val="NormalTok"/>
        </w:rPr>
        <w:t>],</w:t>
      </w:r>
      <w:r>
        <w:rPr>
          <w:rStyle w:val="StringTok"/>
        </w:rPr>
        <w:t>'Dichte'</w:t>
      </w:r>
      <w:r>
        <w:rPr>
          <w:rStyle w:val="NormalTok"/>
        </w:rPr>
        <w:t>:context_pj,</w:t>
      </w:r>
      <w:r>
        <w:rPr>
          <w:rStyle w:val="StringTok"/>
        </w:rPr>
        <w:t>'Saldo'</w:t>
      </w:r>
      <w:r>
        <w:rPr>
          <w:rStyle w:val="NormalTok"/>
        </w:rPr>
        <w:t>:extended</w:t>
      </w:r>
      <w:r>
        <w:rPr>
          <w:rStyle w:val="OperatorTok"/>
        </w:rPr>
        <w:t>+</w:t>
      </w:r>
      <w:r>
        <w:rPr>
          <w:rStyle w:val="NormalTok"/>
        </w:rPr>
        <w:t>context_pj}])</w:t>
      </w:r>
      <w:r>
        <w:br/>
      </w:r>
      <w:r>
        <w:rPr>
          <w:rStyle w:val="NormalTok"/>
        </w:rPr>
        <w:t>np.testing.assert_allclose(sector_comparison.Deckung</w:t>
      </w:r>
      <w:r>
        <w:rPr>
          <w:rStyle w:val="OperatorTok"/>
        </w:rPr>
        <w:t>-</w:t>
      </w:r>
      <w:r>
        <w:rPr>
          <w:rStyle w:val="NormalTok"/>
        </w:rPr>
        <w:t>sector_comparison.Bedarf</w:t>
      </w:r>
      <w:r>
        <w:rPr>
          <w:rStyle w:val="OperatorTok"/>
        </w:rPr>
        <w:t>+</w:t>
      </w:r>
      <w:r>
        <w:rPr>
          <w:rStyle w:val="NormalTok"/>
        </w:rPr>
        <w:t>sector_comparison.Dichte,sector_comparison.Saldo)</w:t>
      </w:r>
      <w:r>
        <w:br/>
      </w:r>
      <w:r>
        <w:rPr>
          <w:rStyle w:val="NormalTok"/>
        </w:rPr>
        <w:t>sector_comparison.to_csv(OUT</w:t>
      </w:r>
      <w:r>
        <w:rPr>
          <w:rStyle w:val="OperatorTok"/>
        </w:rPr>
        <w:t>/</w:t>
      </w:r>
      <w:r>
        <w:rPr>
          <w:rStyle w:val="StringTok"/>
        </w:rPr>
        <w:t>'sektorvergleich_dichte.csv'</w:t>
      </w:r>
      <w:r>
        <w:rPr>
          <w:rStyle w:val="NormalTok"/>
        </w:rPr>
        <w:t>,index</w:t>
      </w:r>
      <w:r>
        <w:rPr>
          <w:rStyle w:val="OperatorTok"/>
        </w:rPr>
        <w:t>=</w:t>
      </w:r>
      <w:r>
        <w:rPr>
          <w:rStyle w:val="VariableTok"/>
        </w:rPr>
        <w:t>False</w:t>
      </w:r>
      <w:r>
        <w:rPr>
          <w:rStyle w:val="NormalTok"/>
        </w:rPr>
        <w:t>)</w:t>
      </w:r>
      <w:r>
        <w:br/>
      </w:r>
      <w:r>
        <w:rPr>
          <w:rStyle w:val="NormalTok"/>
        </w:rPr>
        <w:t>building_figures(data,sector_comparison)</w:t>
      </w:r>
      <w:r>
        <w:br/>
      </w:r>
      <w:r>
        <w:rPr>
          <w:rStyle w:val="NormalTok"/>
        </w:rPr>
        <w:t>display(sector_comparison)</w:t>
      </w:r>
      <w:r>
        <w:br/>
      </w:r>
      <w:r>
        <w:rPr>
          <w:rStyle w:val="ControlFlowTok"/>
        </w:rPr>
        <w:t>for</w:t>
      </w:r>
      <w:r>
        <w:rPr>
          <w:rStyle w:val="NormalTok"/>
        </w:rPr>
        <w:t xml:space="preserve"> name,height </w:t>
      </w:r>
      <w:r>
        <w:rPr>
          <w:rStyle w:val="KeywordTok"/>
        </w:rPr>
        <w:t>in</w:t>
      </w:r>
      <w:r>
        <w:rPr>
          <w:rStyle w:val="NormalTok"/>
        </w:rPr>
        <w:t xml:space="preserve"> [(</w:t>
      </w:r>
      <w:r>
        <w:rPr>
          <w:rStyle w:val="StringTok"/>
        </w:rPr>
        <w:t>'sektorvergleich'</w:t>
      </w:r>
      <w:r>
        <w:rPr>
          <w:rStyle w:val="NormalTok"/>
        </w:rPr>
        <w:t>,</w:t>
      </w:r>
      <w:r>
        <w:rPr>
          <w:rStyle w:val="DecValTok"/>
        </w:rPr>
        <w:t>690</w:t>
      </w:r>
      <w:r>
        <w:rPr>
          <w:rStyle w:val="NormalTok"/>
        </w:rPr>
        <w:t>)]:</w:t>
      </w:r>
      <w:r>
        <w:br/>
      </w:r>
      <w:r>
        <w:rPr>
          <w:rStyle w:val="NormalTok"/>
        </w:rPr>
        <w:t xml:space="preserve">    display(HTML(</w:t>
      </w:r>
      <w:r>
        <w:rPr>
          <w:rStyle w:val="SpecialStringTok"/>
        </w:rPr>
        <w:t>f'&lt;iframe title="</w:t>
      </w:r>
      <w:r>
        <w:rPr>
          <w:rStyle w:val="SpecialCharTok"/>
        </w:rPr>
        <w:t>{</w:t>
      </w:r>
      <w:r>
        <w:rPr>
          <w:rStyle w:val="NormalTok"/>
        </w:rPr>
        <w:t>name</w:t>
      </w:r>
      <w:r>
        <w:rPr>
          <w:rStyle w:val="SpecialCharTok"/>
        </w:rPr>
        <w:t>}</w:t>
      </w:r>
      <w:r>
        <w:rPr>
          <w:rStyle w:val="SpecialStringTok"/>
        </w:rPr>
        <w:t>" src="../../Abbildungen/methodik/</w:t>
      </w:r>
      <w:r>
        <w:rPr>
          <w:rStyle w:val="SpecialCharTok"/>
        </w:rPr>
        <w:t>{</w:t>
      </w:r>
      <w:r>
        <w:rPr>
          <w:rStyle w:val="NormalTok"/>
        </w:rPr>
        <w:t>name</w:t>
      </w:r>
      <w:r>
        <w:rPr>
          <w:rStyle w:val="SpecialCharTok"/>
        </w:rPr>
        <w:t>}</w:t>
      </w:r>
      <w:r>
        <w:rPr>
          <w:rStyle w:val="SpecialStringTok"/>
        </w:rPr>
        <w:t>.html" style="width:100%;height:</w:t>
      </w:r>
      <w:r>
        <w:rPr>
          <w:rStyle w:val="SpecialCharTok"/>
        </w:rPr>
        <w:t>{</w:t>
      </w:r>
      <w:r>
        <w:rPr>
          <w:rStyle w:val="NormalTok"/>
        </w:rPr>
        <w:t>height</w:t>
      </w:r>
      <w:r>
        <w:rPr>
          <w:rStyle w:val="SpecialCharTok"/>
        </w:rPr>
        <w:t>}</w:t>
      </w:r>
      <w:r>
        <w:rPr>
          <w:rStyle w:val="SpecialStringTok"/>
        </w:rPr>
        <w:t>px;border:0"&gt;&lt;/iframe&gt;'</w:t>
      </w:r>
      <w:r>
        <w:rPr>
          <w:rStyle w:val="NormalTok"/>
        </w:rPr>
        <w:t>))</w:t>
      </w:r>
      <w:r>
        <w:br/>
      </w:r>
      <w:r>
        <w:rPr>
          <w:rStyle w:val="BuiltInTok"/>
        </w:rPr>
        <w:t>print</w:t>
      </w:r>
      <w:r>
        <w:rPr>
          <w:rStyle w:val="NormalTok"/>
        </w:rPr>
        <w:t>(</w:t>
      </w:r>
      <w:r>
        <w:rPr>
          <w:rStyle w:val="StringTok"/>
        </w:rPr>
        <w:t>'Virtueller Dichtebeitrag [PJ-Äquivalent/a]:'</w:t>
      </w:r>
      <w:r>
        <w:rPr>
          <w:rStyle w:val="NormalTok"/>
        </w:rPr>
        <w:t>,context_pj)</w:t>
      </w:r>
      <w:r>
        <w:br/>
      </w:r>
      <w:r>
        <w:rPr>
          <w:rStyle w:val="BuiltInTok"/>
        </w:rPr>
        <w:t>print</w:t>
      </w:r>
      <w:r>
        <w:rPr>
          <w:rStyle w:val="NormalTok"/>
        </w:rPr>
        <w:t>(</w:t>
      </w:r>
      <w:r>
        <w:rPr>
          <w:rStyle w:val="StringTok"/>
        </w:rPr>
        <w:t>'Betrieblicher Bewertungssaldo mit Dichte:'</w:t>
      </w:r>
      <w:r>
        <w:rPr>
          <w:rStyle w:val="NormalTok"/>
        </w:rPr>
        <w:t>,operating</w:t>
      </w:r>
      <w:r>
        <w:rPr>
          <w:rStyle w:val="OperatorTok"/>
        </w:rPr>
        <w:t>+</w:t>
      </w:r>
      <w:r>
        <w:rPr>
          <w:rStyle w:val="NormalTok"/>
        </w:rPr>
        <w:t>context_pj)</w:t>
      </w:r>
    </w:p>
    <w:tbl>
      <w:tblPr>
        <w:tblStyle w:val="Table"/>
        <w:tblW w:w="0" w:type="auto"/>
        <w:tblLook w:val="0020" w:firstRow="1" w:lastRow="0" w:firstColumn="0" w:lastColumn="0" w:noHBand="0" w:noVBand="0"/>
      </w:tblPr>
      <w:tblGrid>
        <w:gridCol w:w="345"/>
        <w:gridCol w:w="2802"/>
        <w:gridCol w:w="1954"/>
        <w:gridCol w:w="1869"/>
        <w:gridCol w:w="1771"/>
      </w:tblGrid>
      <w:tr w:rsidR="004E4CC2" w14:paraId="2CED9640"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2D767EAA" w14:textId="77777777" w:rsidR="004E4CC2" w:rsidRDefault="004E4CC2">
            <w:pPr>
              <w:pStyle w:val="Compact"/>
            </w:pPr>
          </w:p>
        </w:tc>
        <w:tc>
          <w:tcPr>
            <w:tcW w:w="0" w:type="auto"/>
          </w:tcPr>
          <w:p w14:paraId="35E60CEF" w14:textId="77777777" w:rsidR="004E4CC2" w:rsidRDefault="00000000">
            <w:pPr>
              <w:pStyle w:val="Compact"/>
            </w:pPr>
            <w:r>
              <w:t>Größe</w:t>
            </w:r>
          </w:p>
        </w:tc>
        <w:tc>
          <w:tcPr>
            <w:tcW w:w="0" w:type="auto"/>
          </w:tcPr>
          <w:p w14:paraId="558B0A1C" w14:textId="77777777" w:rsidR="004E4CC2" w:rsidRDefault="00000000">
            <w:pPr>
              <w:pStyle w:val="Compact"/>
            </w:pPr>
            <w:r>
              <w:t>Bottom-up [PJ/a]</w:t>
            </w:r>
          </w:p>
        </w:tc>
        <w:tc>
          <w:tcPr>
            <w:tcW w:w="0" w:type="auto"/>
          </w:tcPr>
          <w:p w14:paraId="520FB37B" w14:textId="77777777" w:rsidR="004E4CC2" w:rsidRDefault="00000000">
            <w:pPr>
              <w:pStyle w:val="Compact"/>
            </w:pPr>
            <w:r>
              <w:t>Top-down [PJ/a]</w:t>
            </w:r>
          </w:p>
        </w:tc>
        <w:tc>
          <w:tcPr>
            <w:tcW w:w="0" w:type="auto"/>
          </w:tcPr>
          <w:p w14:paraId="3F655152" w14:textId="77777777" w:rsidR="004E4CC2" w:rsidRDefault="00000000">
            <w:pPr>
              <w:pStyle w:val="Compact"/>
            </w:pPr>
            <w:r>
              <w:t>Differenz [PJ/a]</w:t>
            </w:r>
          </w:p>
        </w:tc>
      </w:tr>
      <w:tr w:rsidR="004E4CC2" w14:paraId="1342438E" w14:textId="77777777">
        <w:tc>
          <w:tcPr>
            <w:tcW w:w="0" w:type="auto"/>
          </w:tcPr>
          <w:p w14:paraId="31A9D876" w14:textId="77777777" w:rsidR="004E4CC2" w:rsidRDefault="00000000">
            <w:pPr>
              <w:pStyle w:val="Compact"/>
            </w:pPr>
            <w:r>
              <w:t>0</w:t>
            </w:r>
          </w:p>
        </w:tc>
        <w:tc>
          <w:tcPr>
            <w:tcW w:w="0" w:type="auto"/>
          </w:tcPr>
          <w:p w14:paraId="5BE1FE15" w14:textId="77777777" w:rsidR="004E4CC2" w:rsidRDefault="00000000">
            <w:pPr>
              <w:pStyle w:val="Compact"/>
            </w:pPr>
            <w:r>
              <w:t>PV-Erzeugung</w:t>
            </w:r>
          </w:p>
        </w:tc>
        <w:tc>
          <w:tcPr>
            <w:tcW w:w="0" w:type="auto"/>
          </w:tcPr>
          <w:p w14:paraId="07DD55F5" w14:textId="77777777" w:rsidR="004E4CC2" w:rsidRDefault="00000000">
            <w:pPr>
              <w:pStyle w:val="Compact"/>
            </w:pPr>
            <w:r>
              <w:t>78.245462</w:t>
            </w:r>
          </w:p>
        </w:tc>
        <w:tc>
          <w:tcPr>
            <w:tcW w:w="0" w:type="auto"/>
          </w:tcPr>
          <w:p w14:paraId="513741D0" w14:textId="77777777" w:rsidR="004E4CC2" w:rsidRDefault="00000000">
            <w:pPr>
              <w:pStyle w:val="Compact"/>
            </w:pPr>
            <w:r>
              <w:t>149.0</w:t>
            </w:r>
          </w:p>
        </w:tc>
        <w:tc>
          <w:tcPr>
            <w:tcW w:w="0" w:type="auto"/>
          </w:tcPr>
          <w:p w14:paraId="4FE4B00A" w14:textId="77777777" w:rsidR="004E4CC2" w:rsidRDefault="00000000">
            <w:pPr>
              <w:pStyle w:val="Compact"/>
            </w:pPr>
            <w:r>
              <w:t>-70.754538</w:t>
            </w:r>
          </w:p>
        </w:tc>
      </w:tr>
      <w:tr w:rsidR="004E4CC2" w14:paraId="0C0CD945" w14:textId="77777777">
        <w:tc>
          <w:tcPr>
            <w:tcW w:w="0" w:type="auto"/>
          </w:tcPr>
          <w:p w14:paraId="702662D8" w14:textId="77777777" w:rsidR="004E4CC2" w:rsidRDefault="00000000">
            <w:pPr>
              <w:pStyle w:val="Compact"/>
            </w:pPr>
            <w:r>
              <w:t>1</w:t>
            </w:r>
          </w:p>
        </w:tc>
        <w:tc>
          <w:tcPr>
            <w:tcW w:w="0" w:type="auto"/>
          </w:tcPr>
          <w:p w14:paraId="0BAAE485" w14:textId="77777777" w:rsidR="004E4CC2" w:rsidRDefault="00000000">
            <w:pPr>
              <w:pStyle w:val="Compact"/>
            </w:pPr>
            <w:r>
              <w:t>Gebäudestrombedarf</w:t>
            </w:r>
          </w:p>
        </w:tc>
        <w:tc>
          <w:tcPr>
            <w:tcW w:w="0" w:type="auto"/>
          </w:tcPr>
          <w:p w14:paraId="360D7318" w14:textId="77777777" w:rsidR="004E4CC2" w:rsidRDefault="00000000">
            <w:pPr>
              <w:pStyle w:val="Compact"/>
            </w:pPr>
            <w:r>
              <w:t>137.493260</w:t>
            </w:r>
          </w:p>
        </w:tc>
        <w:tc>
          <w:tcPr>
            <w:tcW w:w="0" w:type="auto"/>
          </w:tcPr>
          <w:p w14:paraId="3D054313" w14:textId="77777777" w:rsidR="004E4CC2" w:rsidRDefault="00000000">
            <w:pPr>
              <w:pStyle w:val="Compact"/>
            </w:pPr>
            <w:r>
              <w:t>108.0</w:t>
            </w:r>
          </w:p>
        </w:tc>
        <w:tc>
          <w:tcPr>
            <w:tcW w:w="0" w:type="auto"/>
          </w:tcPr>
          <w:p w14:paraId="0DEB0433" w14:textId="77777777" w:rsidR="004E4CC2" w:rsidRDefault="00000000">
            <w:pPr>
              <w:pStyle w:val="Compact"/>
            </w:pPr>
            <w:r>
              <w:t>29.493260</w:t>
            </w:r>
          </w:p>
        </w:tc>
      </w:tr>
      <w:tr w:rsidR="004E4CC2" w14:paraId="20B19FAF" w14:textId="77777777">
        <w:tc>
          <w:tcPr>
            <w:tcW w:w="0" w:type="auto"/>
          </w:tcPr>
          <w:p w14:paraId="63F7DD24" w14:textId="77777777" w:rsidR="004E4CC2" w:rsidRDefault="00000000">
            <w:pPr>
              <w:pStyle w:val="Compact"/>
            </w:pPr>
            <w:r>
              <w:t>2</w:t>
            </w:r>
          </w:p>
        </w:tc>
        <w:tc>
          <w:tcPr>
            <w:tcW w:w="0" w:type="auto"/>
          </w:tcPr>
          <w:p w14:paraId="36EBAD4F" w14:textId="77777777" w:rsidR="004E4CC2" w:rsidRDefault="00000000">
            <w:pPr>
              <w:pStyle w:val="Compact"/>
            </w:pPr>
            <w:r>
              <w:t>Betrieblicher Stromsaldo</w:t>
            </w:r>
          </w:p>
        </w:tc>
        <w:tc>
          <w:tcPr>
            <w:tcW w:w="0" w:type="auto"/>
          </w:tcPr>
          <w:p w14:paraId="0A647383" w14:textId="77777777" w:rsidR="004E4CC2" w:rsidRDefault="00000000">
            <w:pPr>
              <w:pStyle w:val="Compact"/>
            </w:pPr>
            <w:r>
              <w:t>-59.247798</w:t>
            </w:r>
          </w:p>
        </w:tc>
        <w:tc>
          <w:tcPr>
            <w:tcW w:w="0" w:type="auto"/>
          </w:tcPr>
          <w:p w14:paraId="4AB02AD3" w14:textId="77777777" w:rsidR="004E4CC2" w:rsidRDefault="00000000">
            <w:pPr>
              <w:pStyle w:val="Compact"/>
            </w:pPr>
            <w:r>
              <w:t>41.0</w:t>
            </w:r>
          </w:p>
        </w:tc>
        <w:tc>
          <w:tcPr>
            <w:tcW w:w="0" w:type="auto"/>
          </w:tcPr>
          <w:p w14:paraId="6367D05E" w14:textId="77777777" w:rsidR="004E4CC2" w:rsidRDefault="00000000">
            <w:pPr>
              <w:pStyle w:val="Compact"/>
            </w:pPr>
            <w:r>
              <w:t>-100.247798</w:t>
            </w:r>
          </w:p>
        </w:tc>
      </w:tr>
      <w:tr w:rsidR="004E4CC2" w14:paraId="0EE65908" w14:textId="77777777">
        <w:tc>
          <w:tcPr>
            <w:tcW w:w="0" w:type="auto"/>
          </w:tcPr>
          <w:p w14:paraId="5947C7E0" w14:textId="77777777" w:rsidR="004E4CC2" w:rsidRDefault="00000000">
            <w:pPr>
              <w:pStyle w:val="Compact"/>
            </w:pPr>
            <w:r>
              <w:t>3</w:t>
            </w:r>
          </w:p>
        </w:tc>
        <w:tc>
          <w:tcPr>
            <w:tcW w:w="0" w:type="auto"/>
          </w:tcPr>
          <w:p w14:paraId="31CBCB45" w14:textId="77777777" w:rsidR="004E4CC2" w:rsidRDefault="00000000">
            <w:pPr>
              <w:pStyle w:val="Compact"/>
            </w:pPr>
            <w:r>
              <w:t>Saldo einschließlich MIV</w:t>
            </w:r>
          </w:p>
        </w:tc>
        <w:tc>
          <w:tcPr>
            <w:tcW w:w="0" w:type="auto"/>
          </w:tcPr>
          <w:p w14:paraId="7241E94F" w14:textId="77777777" w:rsidR="004E4CC2" w:rsidRDefault="00000000">
            <w:pPr>
              <w:pStyle w:val="Compact"/>
            </w:pPr>
            <w:r>
              <w:t>-107.247798</w:t>
            </w:r>
          </w:p>
        </w:tc>
        <w:tc>
          <w:tcPr>
            <w:tcW w:w="0" w:type="auto"/>
          </w:tcPr>
          <w:p w14:paraId="65A07455" w14:textId="77777777" w:rsidR="004E4CC2" w:rsidRDefault="00000000">
            <w:pPr>
              <w:pStyle w:val="Compact"/>
            </w:pPr>
            <w:r>
              <w:t>-7.0</w:t>
            </w:r>
          </w:p>
        </w:tc>
        <w:tc>
          <w:tcPr>
            <w:tcW w:w="0" w:type="auto"/>
          </w:tcPr>
          <w:p w14:paraId="579BCBCD" w14:textId="77777777" w:rsidR="004E4CC2" w:rsidRDefault="00000000">
            <w:pPr>
              <w:pStyle w:val="Compact"/>
            </w:pPr>
            <w:r>
              <w:t>-100.247798</w:t>
            </w:r>
          </w:p>
        </w:tc>
      </w:tr>
    </w:tbl>
    <w:p w14:paraId="35F24E6A" w14:textId="77777777" w:rsidR="004E4CC2" w:rsidRDefault="00000000">
      <w:pPr>
        <w:pStyle w:val="SourceCode"/>
      </w:pPr>
      <w:r>
        <w:rPr>
          <w:rStyle w:val="VerbatimChar"/>
        </w:rPr>
        <w:t>PEQ-Anteile offen: 900 von 900</w:t>
      </w:r>
    </w:p>
    <w:tbl>
      <w:tblPr>
        <w:tblStyle w:val="Table"/>
        <w:tblW w:w="0" w:type="auto"/>
        <w:tblLook w:val="0020" w:firstRow="1" w:lastRow="0" w:firstColumn="0" w:lastColumn="0" w:noHBand="0" w:noVBand="0"/>
      </w:tblPr>
      <w:tblGrid>
        <w:gridCol w:w="345"/>
        <w:gridCol w:w="1191"/>
        <w:gridCol w:w="1191"/>
        <w:gridCol w:w="1311"/>
        <w:gridCol w:w="2140"/>
        <w:gridCol w:w="696"/>
        <w:gridCol w:w="696"/>
        <w:gridCol w:w="2038"/>
      </w:tblGrid>
      <w:tr w:rsidR="004E4CC2" w14:paraId="464B490B"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2BB70F6D" w14:textId="77777777" w:rsidR="004E4CC2" w:rsidRDefault="004E4CC2">
            <w:pPr>
              <w:pStyle w:val="Compact"/>
            </w:pPr>
          </w:p>
        </w:tc>
        <w:tc>
          <w:tcPr>
            <w:tcW w:w="0" w:type="auto"/>
            <w:gridSpan w:val="2"/>
          </w:tcPr>
          <w:p w14:paraId="28D7970D" w14:textId="77777777" w:rsidR="004E4CC2" w:rsidRDefault="00000000">
            <w:pPr>
              <w:pStyle w:val="Compact"/>
            </w:pPr>
            <w:r>
              <w:t>NGF/BGF</w:t>
            </w:r>
          </w:p>
        </w:tc>
        <w:tc>
          <w:tcPr>
            <w:tcW w:w="0" w:type="auto"/>
            <w:gridSpan w:val="2"/>
          </w:tcPr>
          <w:p w14:paraId="71CA8804" w14:textId="77777777" w:rsidR="004E4CC2" w:rsidRDefault="00000000">
            <w:pPr>
              <w:pStyle w:val="Compact"/>
            </w:pPr>
            <w:r>
              <w:t>Strombedarf [PJ/a]</w:t>
            </w:r>
          </w:p>
        </w:tc>
        <w:tc>
          <w:tcPr>
            <w:tcW w:w="0" w:type="auto"/>
            <w:gridSpan w:val="2"/>
          </w:tcPr>
          <w:p w14:paraId="01D0E76F" w14:textId="77777777" w:rsidR="004E4CC2" w:rsidRDefault="00000000">
            <w:pPr>
              <w:pStyle w:val="Compact"/>
            </w:pPr>
            <w:r>
              <w:t>Stromsaldo [PJ/a]</w:t>
            </w:r>
          </w:p>
        </w:tc>
      </w:tr>
      <w:tr w:rsidR="004E4CC2" w14:paraId="5D686CBF" w14:textId="77777777">
        <w:tc>
          <w:tcPr>
            <w:tcW w:w="0" w:type="auto"/>
            <w:gridSpan w:val="2"/>
          </w:tcPr>
          <w:p w14:paraId="513DFBEC" w14:textId="77777777" w:rsidR="004E4CC2" w:rsidRDefault="00000000">
            <w:pPr>
              <w:pStyle w:val="Compact"/>
            </w:pPr>
            <w:r>
              <w:t>0</w:t>
            </w:r>
          </w:p>
        </w:tc>
        <w:tc>
          <w:tcPr>
            <w:tcW w:w="0" w:type="auto"/>
            <w:gridSpan w:val="2"/>
          </w:tcPr>
          <w:p w14:paraId="51F65DCE" w14:textId="77777777" w:rsidR="004E4CC2" w:rsidRDefault="00000000">
            <w:pPr>
              <w:pStyle w:val="Compact"/>
            </w:pPr>
            <w:r>
              <w:t>0.75</w:t>
            </w:r>
          </w:p>
        </w:tc>
        <w:tc>
          <w:tcPr>
            <w:tcW w:w="0" w:type="auto"/>
            <w:gridSpan w:val="2"/>
          </w:tcPr>
          <w:p w14:paraId="73799634" w14:textId="77777777" w:rsidR="004E4CC2" w:rsidRDefault="00000000">
            <w:pPr>
              <w:pStyle w:val="Compact"/>
            </w:pPr>
            <w:r>
              <w:t>128.899931</w:t>
            </w:r>
          </w:p>
        </w:tc>
        <w:tc>
          <w:tcPr>
            <w:tcW w:w="0" w:type="auto"/>
            <w:gridSpan w:val="2"/>
          </w:tcPr>
          <w:p w14:paraId="1A843816" w14:textId="77777777" w:rsidR="004E4CC2" w:rsidRDefault="00000000">
            <w:pPr>
              <w:pStyle w:val="Compact"/>
            </w:pPr>
            <w:r>
              <w:t>-55.544811</w:t>
            </w:r>
          </w:p>
        </w:tc>
      </w:tr>
      <w:tr w:rsidR="004E4CC2" w14:paraId="34334887" w14:textId="77777777">
        <w:tc>
          <w:tcPr>
            <w:tcW w:w="0" w:type="auto"/>
            <w:gridSpan w:val="2"/>
          </w:tcPr>
          <w:p w14:paraId="0A20C38A" w14:textId="77777777" w:rsidR="004E4CC2" w:rsidRDefault="00000000">
            <w:pPr>
              <w:pStyle w:val="Compact"/>
            </w:pPr>
            <w:r>
              <w:t>1</w:t>
            </w:r>
          </w:p>
        </w:tc>
        <w:tc>
          <w:tcPr>
            <w:tcW w:w="0" w:type="auto"/>
            <w:gridSpan w:val="2"/>
          </w:tcPr>
          <w:p w14:paraId="25FA4B0B" w14:textId="77777777" w:rsidR="004E4CC2" w:rsidRDefault="00000000">
            <w:pPr>
              <w:pStyle w:val="Compact"/>
            </w:pPr>
            <w:r>
              <w:t>0.80</w:t>
            </w:r>
          </w:p>
        </w:tc>
        <w:tc>
          <w:tcPr>
            <w:tcW w:w="0" w:type="auto"/>
            <w:gridSpan w:val="2"/>
          </w:tcPr>
          <w:p w14:paraId="0E1DAA88" w14:textId="77777777" w:rsidR="004E4CC2" w:rsidRDefault="00000000">
            <w:pPr>
              <w:pStyle w:val="Compact"/>
            </w:pPr>
            <w:r>
              <w:t>137.493260</w:t>
            </w:r>
          </w:p>
        </w:tc>
        <w:tc>
          <w:tcPr>
            <w:tcW w:w="0" w:type="auto"/>
            <w:gridSpan w:val="2"/>
          </w:tcPr>
          <w:p w14:paraId="2323EC77" w14:textId="77777777" w:rsidR="004E4CC2" w:rsidRDefault="00000000">
            <w:pPr>
              <w:pStyle w:val="Compact"/>
            </w:pPr>
            <w:r>
              <w:t>-59.247798</w:t>
            </w:r>
          </w:p>
        </w:tc>
      </w:tr>
      <w:tr w:rsidR="004E4CC2" w14:paraId="6BAFB0AB" w14:textId="77777777">
        <w:tc>
          <w:tcPr>
            <w:tcW w:w="0" w:type="auto"/>
            <w:gridSpan w:val="2"/>
          </w:tcPr>
          <w:p w14:paraId="2E723ED5" w14:textId="77777777" w:rsidR="004E4CC2" w:rsidRDefault="00000000">
            <w:pPr>
              <w:pStyle w:val="Compact"/>
            </w:pPr>
            <w:r>
              <w:t>2</w:t>
            </w:r>
          </w:p>
        </w:tc>
        <w:tc>
          <w:tcPr>
            <w:tcW w:w="0" w:type="auto"/>
            <w:gridSpan w:val="2"/>
          </w:tcPr>
          <w:p w14:paraId="6FE13869" w14:textId="77777777" w:rsidR="004E4CC2" w:rsidRDefault="00000000">
            <w:pPr>
              <w:pStyle w:val="Compact"/>
            </w:pPr>
            <w:r>
              <w:t>0.85</w:t>
            </w:r>
          </w:p>
        </w:tc>
        <w:tc>
          <w:tcPr>
            <w:tcW w:w="0" w:type="auto"/>
            <w:gridSpan w:val="2"/>
          </w:tcPr>
          <w:p w14:paraId="2E3DF57A" w14:textId="77777777" w:rsidR="004E4CC2" w:rsidRDefault="00000000">
            <w:pPr>
              <w:pStyle w:val="Compact"/>
            </w:pPr>
            <w:r>
              <w:t>146.086589</w:t>
            </w:r>
          </w:p>
        </w:tc>
        <w:tc>
          <w:tcPr>
            <w:tcW w:w="0" w:type="auto"/>
            <w:gridSpan w:val="2"/>
          </w:tcPr>
          <w:p w14:paraId="19FF215D" w14:textId="77777777" w:rsidR="004E4CC2" w:rsidRDefault="00000000">
            <w:pPr>
              <w:pStyle w:val="Compact"/>
            </w:pPr>
            <w:r>
              <w:t>-62.950786</w:t>
            </w:r>
          </w:p>
        </w:tc>
      </w:tr>
      <w:tr w:rsidR="004E4CC2" w14:paraId="3D1C310B" w14:textId="77777777" w:rsidTr="004E4CC2">
        <w:trPr>
          <w:tblHeader/>
        </w:trPr>
        <w:tc>
          <w:tcPr>
            <w:tcW w:w="0" w:type="auto"/>
          </w:tcPr>
          <w:p w14:paraId="4E197FB0" w14:textId="77777777" w:rsidR="004E4CC2" w:rsidRDefault="004E4CC2">
            <w:pPr>
              <w:pStyle w:val="Compact"/>
            </w:pPr>
          </w:p>
        </w:tc>
        <w:tc>
          <w:tcPr>
            <w:tcW w:w="0" w:type="auto"/>
            <w:gridSpan w:val="2"/>
          </w:tcPr>
          <w:p w14:paraId="43446E9C" w14:textId="77777777" w:rsidR="004E4CC2" w:rsidRDefault="00000000">
            <w:pPr>
              <w:pStyle w:val="Compact"/>
            </w:pPr>
            <w:r>
              <w:t>Modell</w:t>
            </w:r>
          </w:p>
        </w:tc>
        <w:tc>
          <w:tcPr>
            <w:tcW w:w="0" w:type="auto"/>
          </w:tcPr>
          <w:p w14:paraId="33543130" w14:textId="77777777" w:rsidR="004E4CC2" w:rsidRDefault="00000000">
            <w:pPr>
              <w:pStyle w:val="Compact"/>
            </w:pPr>
            <w:r>
              <w:t>Bedarf</w:t>
            </w:r>
          </w:p>
        </w:tc>
        <w:tc>
          <w:tcPr>
            <w:tcW w:w="0" w:type="auto"/>
          </w:tcPr>
          <w:p w14:paraId="3FEFC219" w14:textId="77777777" w:rsidR="004E4CC2" w:rsidRDefault="00000000">
            <w:pPr>
              <w:pStyle w:val="Compact"/>
            </w:pPr>
            <w:r>
              <w:t>Deckung</w:t>
            </w:r>
          </w:p>
        </w:tc>
        <w:tc>
          <w:tcPr>
            <w:tcW w:w="0" w:type="auto"/>
            <w:gridSpan w:val="2"/>
          </w:tcPr>
          <w:p w14:paraId="6BF613BE" w14:textId="77777777" w:rsidR="004E4CC2" w:rsidRDefault="00000000">
            <w:pPr>
              <w:pStyle w:val="Compact"/>
            </w:pPr>
            <w:r>
              <w:t>Dichte</w:t>
            </w:r>
          </w:p>
        </w:tc>
        <w:tc>
          <w:tcPr>
            <w:tcW w:w="0" w:type="auto"/>
          </w:tcPr>
          <w:p w14:paraId="5A6057FB" w14:textId="77777777" w:rsidR="004E4CC2" w:rsidRDefault="00000000">
            <w:pPr>
              <w:pStyle w:val="Compact"/>
            </w:pPr>
            <w:r>
              <w:t>Saldo</w:t>
            </w:r>
          </w:p>
        </w:tc>
      </w:tr>
      <w:tr w:rsidR="004E4CC2" w14:paraId="5B5AB986" w14:textId="77777777">
        <w:tc>
          <w:tcPr>
            <w:tcW w:w="0" w:type="auto"/>
          </w:tcPr>
          <w:p w14:paraId="7D924C4F" w14:textId="77777777" w:rsidR="004E4CC2" w:rsidRDefault="00000000">
            <w:pPr>
              <w:pStyle w:val="Compact"/>
            </w:pPr>
            <w:r>
              <w:t>0</w:t>
            </w:r>
          </w:p>
        </w:tc>
        <w:tc>
          <w:tcPr>
            <w:tcW w:w="0" w:type="auto"/>
            <w:gridSpan w:val="2"/>
          </w:tcPr>
          <w:p w14:paraId="70866051" w14:textId="77777777" w:rsidR="004E4CC2" w:rsidRDefault="00000000">
            <w:pPr>
              <w:pStyle w:val="Compact"/>
            </w:pPr>
            <w:r>
              <w:t>Top-down: UBA 2040</w:t>
            </w:r>
          </w:p>
        </w:tc>
        <w:tc>
          <w:tcPr>
            <w:tcW w:w="0" w:type="auto"/>
          </w:tcPr>
          <w:p w14:paraId="6E29F9BC" w14:textId="77777777" w:rsidR="004E4CC2" w:rsidRDefault="00000000">
            <w:pPr>
              <w:pStyle w:val="Compact"/>
            </w:pPr>
            <w:r>
              <w:t>180.00000</w:t>
            </w:r>
          </w:p>
        </w:tc>
        <w:tc>
          <w:tcPr>
            <w:tcW w:w="0" w:type="auto"/>
          </w:tcPr>
          <w:p w14:paraId="5B5E9A4E" w14:textId="77777777" w:rsidR="004E4CC2" w:rsidRDefault="00000000">
            <w:pPr>
              <w:pStyle w:val="Compact"/>
            </w:pPr>
            <w:r>
              <w:t>173.000000</w:t>
            </w:r>
          </w:p>
        </w:tc>
        <w:tc>
          <w:tcPr>
            <w:tcW w:w="0" w:type="auto"/>
            <w:gridSpan w:val="2"/>
          </w:tcPr>
          <w:p w14:paraId="575289A9" w14:textId="77777777" w:rsidR="004E4CC2" w:rsidRDefault="00000000">
            <w:pPr>
              <w:pStyle w:val="Compact"/>
            </w:pPr>
            <w:r>
              <w:t>0.000000</w:t>
            </w:r>
          </w:p>
        </w:tc>
        <w:tc>
          <w:tcPr>
            <w:tcW w:w="0" w:type="auto"/>
          </w:tcPr>
          <w:p w14:paraId="147804BE" w14:textId="77777777" w:rsidR="004E4CC2" w:rsidRDefault="00000000">
            <w:pPr>
              <w:pStyle w:val="Compact"/>
            </w:pPr>
            <w:r>
              <w:t>-7.000000</w:t>
            </w:r>
          </w:p>
        </w:tc>
      </w:tr>
      <w:tr w:rsidR="004E4CC2" w14:paraId="7E5A7438" w14:textId="77777777">
        <w:tc>
          <w:tcPr>
            <w:tcW w:w="0" w:type="auto"/>
          </w:tcPr>
          <w:p w14:paraId="428C34FA" w14:textId="77777777" w:rsidR="004E4CC2" w:rsidRDefault="00000000">
            <w:pPr>
              <w:pStyle w:val="Compact"/>
            </w:pPr>
            <w:r>
              <w:t>1</w:t>
            </w:r>
          </w:p>
        </w:tc>
        <w:tc>
          <w:tcPr>
            <w:tcW w:w="0" w:type="auto"/>
            <w:gridSpan w:val="2"/>
          </w:tcPr>
          <w:p w14:paraId="17D938DC" w14:textId="77777777" w:rsidR="004E4CC2" w:rsidRDefault="00000000">
            <w:pPr>
              <w:pStyle w:val="Compact"/>
            </w:pPr>
            <w:r>
              <w:t>Bottom-up: Pool</w:t>
            </w:r>
          </w:p>
        </w:tc>
        <w:tc>
          <w:tcPr>
            <w:tcW w:w="0" w:type="auto"/>
          </w:tcPr>
          <w:p w14:paraId="036701D4" w14:textId="77777777" w:rsidR="004E4CC2" w:rsidRDefault="00000000">
            <w:pPr>
              <w:pStyle w:val="Compact"/>
            </w:pPr>
            <w:r>
              <w:t>209.49326</w:t>
            </w:r>
          </w:p>
        </w:tc>
        <w:tc>
          <w:tcPr>
            <w:tcW w:w="0" w:type="auto"/>
          </w:tcPr>
          <w:p w14:paraId="21BDD472" w14:textId="77777777" w:rsidR="004E4CC2" w:rsidRDefault="00000000">
            <w:pPr>
              <w:pStyle w:val="Compact"/>
            </w:pPr>
            <w:r>
              <w:t>102.245462</w:t>
            </w:r>
          </w:p>
        </w:tc>
        <w:tc>
          <w:tcPr>
            <w:tcW w:w="0" w:type="auto"/>
            <w:gridSpan w:val="2"/>
          </w:tcPr>
          <w:p w14:paraId="0A8BD642" w14:textId="77777777" w:rsidR="004E4CC2" w:rsidRDefault="00000000">
            <w:pPr>
              <w:pStyle w:val="Compact"/>
            </w:pPr>
            <w:r>
              <w:t>0.000000</w:t>
            </w:r>
          </w:p>
        </w:tc>
        <w:tc>
          <w:tcPr>
            <w:tcW w:w="0" w:type="auto"/>
          </w:tcPr>
          <w:p w14:paraId="31A76856" w14:textId="77777777" w:rsidR="004E4CC2" w:rsidRDefault="00000000">
            <w:pPr>
              <w:pStyle w:val="Compact"/>
            </w:pPr>
            <w:r>
              <w:t>-107.247798</w:t>
            </w:r>
          </w:p>
        </w:tc>
      </w:tr>
      <w:tr w:rsidR="004E4CC2" w14:paraId="64319193" w14:textId="77777777">
        <w:tc>
          <w:tcPr>
            <w:tcW w:w="0" w:type="auto"/>
          </w:tcPr>
          <w:p w14:paraId="6F298566" w14:textId="77777777" w:rsidR="004E4CC2" w:rsidRDefault="00000000">
            <w:pPr>
              <w:pStyle w:val="Compact"/>
            </w:pPr>
            <w:r>
              <w:t>2</w:t>
            </w:r>
          </w:p>
        </w:tc>
        <w:tc>
          <w:tcPr>
            <w:tcW w:w="0" w:type="auto"/>
            <w:gridSpan w:val="2"/>
          </w:tcPr>
          <w:p w14:paraId="26EF7A0A" w14:textId="77777777" w:rsidR="004E4CC2" w:rsidRDefault="00000000">
            <w:pPr>
              <w:pStyle w:val="Compact"/>
            </w:pPr>
            <w:r>
              <w:t>Bottom-up + Dichte</w:t>
            </w:r>
          </w:p>
        </w:tc>
        <w:tc>
          <w:tcPr>
            <w:tcW w:w="0" w:type="auto"/>
          </w:tcPr>
          <w:p w14:paraId="4C299F55" w14:textId="77777777" w:rsidR="004E4CC2" w:rsidRDefault="00000000">
            <w:pPr>
              <w:pStyle w:val="Compact"/>
            </w:pPr>
            <w:r>
              <w:t>209.49326</w:t>
            </w:r>
          </w:p>
        </w:tc>
        <w:tc>
          <w:tcPr>
            <w:tcW w:w="0" w:type="auto"/>
          </w:tcPr>
          <w:p w14:paraId="73D26794" w14:textId="77777777" w:rsidR="004E4CC2" w:rsidRDefault="00000000">
            <w:pPr>
              <w:pStyle w:val="Compact"/>
            </w:pPr>
            <w:r>
              <w:t>102.245462</w:t>
            </w:r>
          </w:p>
        </w:tc>
        <w:tc>
          <w:tcPr>
            <w:tcW w:w="0" w:type="auto"/>
            <w:gridSpan w:val="2"/>
          </w:tcPr>
          <w:p w14:paraId="69DC8197" w14:textId="77777777" w:rsidR="004E4CC2" w:rsidRDefault="00000000">
            <w:pPr>
              <w:pStyle w:val="Compact"/>
            </w:pPr>
            <w:r>
              <w:t>-57.808696</w:t>
            </w:r>
          </w:p>
        </w:tc>
        <w:tc>
          <w:tcPr>
            <w:tcW w:w="0" w:type="auto"/>
          </w:tcPr>
          <w:p w14:paraId="4B645C31" w14:textId="77777777" w:rsidR="004E4CC2" w:rsidRDefault="00000000">
            <w:pPr>
              <w:pStyle w:val="Compact"/>
            </w:pPr>
            <w:r>
              <w:t>-165.056495</w:t>
            </w:r>
          </w:p>
        </w:tc>
      </w:tr>
    </w:tbl>
    <w:p w14:paraId="5CAAA312" w14:textId="77777777" w:rsidR="004E4CC2" w:rsidRDefault="00000000">
      <w:pPr>
        <w:pStyle w:val="SourceCode"/>
      </w:pPr>
      <w:r>
        <w:rPr>
          <w:rStyle w:val="VerbatimChar"/>
        </w:rPr>
        <w:t>C:\Users\schneids\AppData\Roaming\Python\Python313\site-packages\IPython\core\display.py:447: UserWarning:</w:t>
      </w:r>
      <w:r>
        <w:br/>
      </w:r>
      <w:r>
        <w:br/>
      </w:r>
      <w:r>
        <w:rPr>
          <w:rStyle w:val="VerbatimChar"/>
        </w:rPr>
        <w:t>Consider using IPython.display.IFrame instead</w:t>
      </w:r>
    </w:p>
    <w:p w14:paraId="193ECE3F" w14:textId="77777777" w:rsidR="004E4CC2" w:rsidRDefault="00000000">
      <w:pPr>
        <w:pStyle w:val="SourceCode"/>
      </w:pPr>
      <w:r>
        <w:rPr>
          <w:rStyle w:val="VerbatimChar"/>
        </w:rPr>
        <w:t>&lt;IPython.core.display.HTML object&gt;</w:t>
      </w:r>
    </w:p>
    <w:p w14:paraId="197AFF29" w14:textId="77777777" w:rsidR="004E4CC2" w:rsidRDefault="00000000">
      <w:pPr>
        <w:pStyle w:val="SourceCode"/>
      </w:pPr>
      <w:r>
        <w:rPr>
          <w:rStyle w:val="VerbatimChar"/>
        </w:rPr>
        <w:t>Virtueller Dichtebeitrag [PJ-Äquivalent/a]: -57.808696422686694</w:t>
      </w:r>
      <w:r>
        <w:br/>
      </w:r>
      <w:r>
        <w:rPr>
          <w:rStyle w:val="VerbatimChar"/>
        </w:rPr>
        <w:t>Betrieblicher Bewertungssaldo mit Dichte: -117.05649462066046</w:t>
      </w:r>
    </w:p>
    <w:p w14:paraId="1E9B8B2F" w14:textId="77777777" w:rsidR="004E4CC2" w:rsidRDefault="00000000">
      <w:pPr>
        <w:pStyle w:val="berschrift2"/>
      </w:pPr>
      <w:bookmarkStart w:id="410" w:name="ergebnisexport-und-bilanzkontrollen"/>
      <w:bookmarkStart w:id="411" w:name="_Toc243681383"/>
      <w:bookmarkEnd w:id="408"/>
      <w:r>
        <w:t>E.9 9. Ergebnisexport und Bilanzkontrollen</w:t>
      </w:r>
      <w:bookmarkEnd w:id="411"/>
    </w:p>
    <w:p w14:paraId="503741E5" w14:textId="77777777" w:rsidR="004E4CC2" w:rsidRDefault="00000000">
      <w:pPr>
        <w:pStyle w:val="FirstParagraph"/>
      </w:pPr>
      <w:r>
        <w:t>Die kleine NGF/BGF-Variation illustriert die Bedeutung des Flächenbezugs; sie ist keine Optimierung. Die Ausführung prüft eindeutige Schlüssel, Quell-Cache-Konsistenz, Anwendungen, PV- und Strombilanz, thermische Teilbilanzen, PE-Importkomponenten, nicht doppelte GFZ-Zuordnung und Erhalt jeder positiven Typenfläche in der GFZ-Matrix.</w:t>
      </w:r>
    </w:p>
    <w:p w14:paraId="72E7D464" w14:textId="77777777" w:rsidR="004E4CC2" w:rsidRDefault="00000000">
      <w:pPr>
        <w:pStyle w:val="Textkrper"/>
      </w:pPr>
      <w:r>
        <w:lastRenderedPageBreak/>
        <w:t xml:space="preserve">Für die Fortschreibung benötigt werden: das genaue Bezugsjahr „heute“ und gegebenenfalls echte 2020-Flächen; Herleitung der Flächenentwicklung und Bestands-/Sanierungsanteile; Bestätigung von NGF/BGF je Typ; Definition und Anteil der PEQ-Klassen; alternative PV-/Flexibilitätsausstattungen; Prüfung der fossil beheizten Flächen 2040; Faktorversion der gelieferten PEI; eindeutige EE-Einheiten des historischen Dichte-Referenzstands. Die Einzelzielregel der GFZ-Zuordnung ist inzwischen bestätigt und in der Quelle ergänzt. Erst nach Klärung der noch offenen methodischen Punkte kann die nationale Zielwertfunktion neu kalibriert werden. Die aktuellen Ergebnisse sind nachvollziehbare </w:t>
      </w:r>
      <w:r>
        <w:rPr>
          <w:b/>
          <w:bCs/>
        </w:rPr>
        <w:t>Pool-Ergebnisse</w:t>
      </w:r>
      <w:r>
        <w:t>, keine Bestätigung der Klimaneutralität des Gebäudesektors.</w:t>
      </w:r>
    </w:p>
    <w:p w14:paraId="42CBF73D" w14:textId="77777777" w:rsidR="004E4CC2" w:rsidRDefault="00000000">
      <w:pPr>
        <w:pStyle w:val="SourceCode"/>
      </w:pPr>
      <w:r>
        <w:rPr>
          <w:rStyle w:val="CommentTok"/>
        </w:rPr>
        <w:t># Null ist eine Zahl, unbekannt bleibt unbekannt: unabhängige kleine Regressionen.</w:t>
      </w:r>
      <w:r>
        <w:br/>
      </w:r>
      <w:r>
        <w:rPr>
          <w:rStyle w:val="ControlFlowTok"/>
        </w:rPr>
        <w:t>assert</w:t>
      </w:r>
      <w:r>
        <w:rPr>
          <w:rStyle w:val="NormalTok"/>
        </w:rPr>
        <w:t xml:space="preserve"> np.isnan(aggregate(pd.Series([</w:t>
      </w:r>
      <w:r>
        <w:rPr>
          <w:rStyle w:val="FloatTok"/>
        </w:rPr>
        <w:t>1.</w:t>
      </w:r>
      <w:r>
        <w:rPr>
          <w:rStyle w:val="NormalTok"/>
        </w:rPr>
        <w:t>,np.nan]),pd.Series([</w:t>
      </w:r>
      <w:r>
        <w:rPr>
          <w:rStyle w:val="FloatTok"/>
        </w:rPr>
        <w:t>1.</w:t>
      </w:r>
      <w:r>
        <w:rPr>
          <w:rStyle w:val="NormalTok"/>
        </w:rPr>
        <w:t>,</w:t>
      </w:r>
      <w:r>
        <w:rPr>
          <w:rStyle w:val="FloatTok"/>
        </w:rPr>
        <w:t>1.</w:t>
      </w:r>
      <w:r>
        <w:rPr>
          <w:rStyle w:val="NormalTok"/>
        </w:rPr>
        <w:t>]))[</w:t>
      </w:r>
      <w:r>
        <w:rPr>
          <w:rStyle w:val="StringTok"/>
        </w:rPr>
        <w:t>'kWh'</w:t>
      </w:r>
      <w:r>
        <w:rPr>
          <w:rStyle w:val="NormalTok"/>
        </w:rPr>
        <w:t>])</w:t>
      </w:r>
      <w:r>
        <w:br/>
      </w:r>
      <w:r>
        <w:rPr>
          <w:rStyle w:val="ControlFlowTok"/>
        </w:rPr>
        <w:t>assert</w:t>
      </w:r>
      <w:r>
        <w:rPr>
          <w:rStyle w:val="NormalTok"/>
        </w:rPr>
        <w:t xml:space="preserve"> aggregate(pd.Series([</w:t>
      </w:r>
      <w:r>
        <w:rPr>
          <w:rStyle w:val="FloatTok"/>
        </w:rPr>
        <w:t>1.</w:t>
      </w:r>
      <w:r>
        <w:rPr>
          <w:rStyle w:val="NormalTok"/>
        </w:rPr>
        <w:t>,np.nan]),pd.Series([</w:t>
      </w:r>
      <w:r>
        <w:rPr>
          <w:rStyle w:val="FloatTok"/>
        </w:rPr>
        <w:t>1.</w:t>
      </w:r>
      <w:r>
        <w:rPr>
          <w:rStyle w:val="NormalTok"/>
        </w:rPr>
        <w:t>,</w:t>
      </w:r>
      <w:r>
        <w:rPr>
          <w:rStyle w:val="FloatTok"/>
        </w:rPr>
        <w:t>0.</w:t>
      </w:r>
      <w:r>
        <w:rPr>
          <w:rStyle w:val="NormalTok"/>
        </w:rPr>
        <w:t>]))[</w:t>
      </w:r>
      <w:r>
        <w:rPr>
          <w:rStyle w:val="StringTok"/>
        </w:rPr>
        <w:t>'kWh'</w:t>
      </w:r>
      <w:r>
        <w:rPr>
          <w:rStyle w:val="NormalTok"/>
        </w:rPr>
        <w:t>]</w:t>
      </w:r>
      <w:r>
        <w:rPr>
          <w:rStyle w:val="OperatorTok"/>
        </w:rPr>
        <w:t>==</w:t>
      </w:r>
      <w:r>
        <w:rPr>
          <w:rStyle w:val="NormalTok"/>
        </w:rPr>
        <w:t>r</w:t>
      </w:r>
      <w:r>
        <w:br/>
      </w:r>
      <w:r>
        <w:rPr>
          <w:rStyle w:val="ControlFlowTok"/>
        </w:rPr>
        <w:t>assert</w:t>
      </w:r>
      <w:r>
        <w:rPr>
          <w:rStyle w:val="NormalTok"/>
        </w:rPr>
        <w:t xml:space="preserve"> np.isnan(aggregate(pd.Series([</w:t>
      </w:r>
      <w:r>
        <w:rPr>
          <w:rStyle w:val="FloatTok"/>
        </w:rPr>
        <w:t>1.</w:t>
      </w:r>
      <w:r>
        <w:rPr>
          <w:rStyle w:val="NormalTok"/>
        </w:rPr>
        <w:t>,</w:t>
      </w:r>
      <w:r>
        <w:rPr>
          <w:rStyle w:val="FloatTok"/>
        </w:rPr>
        <w:t>2.</w:t>
      </w:r>
      <w:r>
        <w:rPr>
          <w:rStyle w:val="NormalTok"/>
        </w:rPr>
        <w:t>]),pd.Series([</w:t>
      </w:r>
      <w:r>
        <w:rPr>
          <w:rStyle w:val="FloatTok"/>
        </w:rPr>
        <w:t>1.</w:t>
      </w:r>
      <w:r>
        <w:rPr>
          <w:rStyle w:val="NormalTok"/>
        </w:rPr>
        <w:t>,np.nan]))[</w:t>
      </w:r>
      <w:r>
        <w:rPr>
          <w:rStyle w:val="StringTok"/>
        </w:rPr>
        <w:t>'kWh'</w:t>
      </w:r>
      <w:r>
        <w:rPr>
          <w:rStyle w:val="NormalTok"/>
        </w:rPr>
        <w:t>])</w:t>
      </w:r>
      <w:r>
        <w:br/>
      </w:r>
      <w:r>
        <w:rPr>
          <w:rStyle w:val="ControlFlowTok"/>
        </w:rPr>
        <w:t>assert</w:t>
      </w:r>
      <w:r>
        <w:rPr>
          <w:rStyle w:val="NormalTok"/>
        </w:rPr>
        <w:t xml:space="preserve"> energy.loc[energy.Stand.eq(</w:t>
      </w:r>
      <w:r>
        <w:rPr>
          <w:rStyle w:val="StringTok"/>
        </w:rPr>
        <w:t>'2020'</w:t>
      </w:r>
      <w:r>
        <w:rPr>
          <w:rStyle w:val="NormalTok"/>
        </w:rPr>
        <w:t>),</w:t>
      </w:r>
      <w:r>
        <w:rPr>
          <w:rStyle w:val="StringTok"/>
        </w:rPr>
        <w:t>'PJ/a'</w:t>
      </w:r>
      <w:r>
        <w:rPr>
          <w:rStyle w:val="NormalTok"/>
        </w:rPr>
        <w:t>].isna().</w:t>
      </w:r>
      <w:r>
        <w:rPr>
          <w:rStyle w:val="BuiltInTok"/>
        </w:rPr>
        <w:t>all</w:t>
      </w:r>
      <w:r>
        <w:rPr>
          <w:rStyle w:val="NormalTok"/>
        </w:rPr>
        <w:t xml:space="preserve">() </w:t>
      </w:r>
      <w:r>
        <w:rPr>
          <w:rStyle w:val="ControlFlowTok"/>
        </w:rPr>
        <w:t>if</w:t>
      </w:r>
      <w:r>
        <w:rPr>
          <w:rStyle w:val="NormalTok"/>
        </w:rPr>
        <w:t xml:space="preserve"> data.BGF_2020_m2.isna().</w:t>
      </w:r>
      <w:r>
        <w:rPr>
          <w:rStyle w:val="BuiltInTok"/>
        </w:rPr>
        <w:t>all</w:t>
      </w:r>
      <w:r>
        <w:rPr>
          <w:rStyle w:val="NormalTok"/>
        </w:rPr>
        <w:t xml:space="preserve">() </w:t>
      </w:r>
      <w:r>
        <w:rPr>
          <w:rStyle w:val="ControlFlowTok"/>
        </w:rPr>
        <w:t>else</w:t>
      </w:r>
      <w:r>
        <w:rPr>
          <w:rStyle w:val="NormalTok"/>
        </w:rPr>
        <w:t xml:space="preserve"> </w:t>
      </w:r>
      <w:r>
        <w:rPr>
          <w:rStyle w:val="VariableTok"/>
        </w:rPr>
        <w:t>True</w:t>
      </w:r>
      <w:r>
        <w:br/>
      </w:r>
      <w:r>
        <w:rPr>
          <w:rStyle w:val="NormalTok"/>
        </w:rPr>
        <w:t>table</w:t>
      </w:r>
      <w:r>
        <w:rPr>
          <w:rStyle w:val="OperatorTok"/>
        </w:rPr>
        <w:t>=</w:t>
      </w:r>
      <w:r>
        <w:rPr>
          <w:rStyle w:val="NormalTok"/>
        </w:rPr>
        <w:t>geometry_area.rename(columns</w:t>
      </w:r>
      <w:r>
        <w:rPr>
          <w:rStyle w:val="OperatorTok"/>
        </w:rPr>
        <w:t>=</w:t>
      </w:r>
      <w:r>
        <w:rPr>
          <w:rStyle w:val="NormalTok"/>
        </w:rPr>
        <w:t>{</w:t>
      </w:r>
      <w:r>
        <w:rPr>
          <w:rStyle w:val="StringTok"/>
        </w:rPr>
        <w:t>'Nationale BGF heute'</w:t>
      </w:r>
      <w:r>
        <w:rPr>
          <w:rStyle w:val="NormalTok"/>
        </w:rPr>
        <w:t>:</w:t>
      </w:r>
      <w:r>
        <w:rPr>
          <w:rStyle w:val="StringTok"/>
        </w:rPr>
        <w:t>'BGF heute [Mio. m²]'</w:t>
      </w:r>
      <w:r>
        <w:rPr>
          <w:rStyle w:val="NormalTok"/>
        </w:rPr>
        <w:t>,</w:t>
      </w:r>
      <w:r>
        <w:rPr>
          <w:rStyle w:val="StringTok"/>
        </w:rPr>
        <w:t>'Nationale BGF 2040'</w:t>
      </w:r>
      <w:r>
        <w:rPr>
          <w:rStyle w:val="NormalTok"/>
        </w:rPr>
        <w:t>:</w:t>
      </w:r>
      <w:r>
        <w:rPr>
          <w:rStyle w:val="StringTok"/>
        </w:rPr>
        <w:t>'BGF 2040 [Mio. m²]'</w:t>
      </w:r>
      <w:r>
        <w:rPr>
          <w:rStyle w:val="NormalTok"/>
        </w:rPr>
        <w:t>}).reset_index()</w:t>
      </w:r>
      <w:r>
        <w:br/>
      </w:r>
      <w:r>
        <w:rPr>
          <w:rStyle w:val="NormalTok"/>
        </w:rPr>
        <w:t>table</w:t>
      </w:r>
      <w:r>
        <w:rPr>
          <w:rStyle w:val="OperatorTok"/>
        </w:rPr>
        <w:t>=</w:t>
      </w:r>
      <w:r>
        <w:rPr>
          <w:rStyle w:val="NormalTok"/>
        </w:rPr>
        <w:t>table.merge(density[[</w:t>
      </w:r>
      <w:r>
        <w:rPr>
          <w:rStyle w:val="StringTok"/>
        </w:rPr>
        <w:t>'GFZ_Mittel'</w:t>
      </w:r>
      <w:r>
        <w:rPr>
          <w:rStyle w:val="NormalTok"/>
        </w:rPr>
        <w:t>,</w:t>
      </w:r>
      <w:r>
        <w:rPr>
          <w:rStyle w:val="StringTok"/>
        </w:rPr>
        <w:t>'c_D_EE_BGF'</w:t>
      </w:r>
      <w:r>
        <w:rPr>
          <w:rStyle w:val="NormalTok"/>
        </w:rPr>
        <w:t>]].reset_index(),on</w:t>
      </w:r>
      <w:r>
        <w:rPr>
          <w:rStyle w:val="OperatorTok"/>
        </w:rPr>
        <w:t>=</w:t>
      </w:r>
      <w:r>
        <w:rPr>
          <w:rStyle w:val="StringTok"/>
        </w:rPr>
        <w:t>'Geometrie'</w:t>
      </w:r>
      <w:r>
        <w:rPr>
          <w:rStyle w:val="NormalTok"/>
        </w:rPr>
        <w:t>,how</w:t>
      </w:r>
      <w:r>
        <w:rPr>
          <w:rStyle w:val="OperatorTok"/>
        </w:rPr>
        <w:t>=</w:t>
      </w:r>
      <w:r>
        <w:rPr>
          <w:rStyle w:val="StringTok"/>
        </w:rPr>
        <w:t>'left'</w:t>
      </w:r>
      <w:r>
        <w:rPr>
          <w:rStyle w:val="NormalTok"/>
        </w:rPr>
        <w:t>)</w:t>
      </w:r>
      <w:r>
        <w:br/>
      </w:r>
      <w:r>
        <w:rPr>
          <w:rStyle w:val="NormalTok"/>
        </w:rPr>
        <w:t>(GEN</w:t>
      </w:r>
      <w:r>
        <w:rPr>
          <w:rStyle w:val="OperatorTok"/>
        </w:rPr>
        <w:t>/</w:t>
      </w:r>
      <w:r>
        <w:rPr>
          <w:rStyle w:val="StringTok"/>
        </w:rPr>
        <w:t>'gebaeude-typologien.qmd'</w:t>
      </w:r>
      <w:r>
        <w:rPr>
          <w:rStyle w:val="NormalTok"/>
        </w:rPr>
        <w:t>).write_text(markdown_table(table,</w:t>
      </w:r>
      <w:r>
        <w:rPr>
          <w:rStyle w:val="StringTok"/>
        </w:rPr>
        <w:t>'Gelieferte Flächen und BGF-gewichtete Dichte-Erwartungswerte. Heute: Bezugsjahr offen; Dichtefunktion in elektrischer Energie.'</w:t>
      </w:r>
      <w:r>
        <w:rPr>
          <w:rStyle w:val="NormalTok"/>
        </w:rPr>
        <w:t>,</w:t>
      </w:r>
      <w:r>
        <w:rPr>
          <w:rStyle w:val="StringTok"/>
        </w:rPr>
        <w:t>'tbl-gebaeude-typologien'</w:t>
      </w:r>
      <w:r>
        <w:rPr>
          <w:rStyle w:val="NormalTok"/>
        </w:rPr>
        <w:t>),encoding</w:t>
      </w:r>
      <w:r>
        <w:rPr>
          <w:rStyle w:val="OperatorTok"/>
        </w:rPr>
        <w:t>=</w:t>
      </w:r>
      <w:r>
        <w:rPr>
          <w:rStyle w:val="StringTok"/>
        </w:rPr>
        <w:t>'utf-8'</w:t>
      </w:r>
      <w:r>
        <w:rPr>
          <w:rStyle w:val="NormalTok"/>
        </w:rPr>
        <w:t>)</w:t>
      </w:r>
      <w:r>
        <w:br/>
      </w:r>
      <w:r>
        <w:rPr>
          <w:rStyle w:val="NormalTok"/>
        </w:rPr>
        <w:t>(GEN</w:t>
      </w:r>
      <w:r>
        <w:rPr>
          <w:rStyle w:val="OperatorTok"/>
        </w:rPr>
        <w:t>/</w:t>
      </w:r>
      <w:r>
        <w:rPr>
          <w:rStyle w:val="StringTok"/>
        </w:rPr>
        <w:t>'gebaeude-strom.qmd'</w:t>
      </w:r>
      <w:r>
        <w:rPr>
          <w:rStyle w:val="NormalTok"/>
        </w:rPr>
        <w:t>).write_text(markdown_table(energy.loc[energy.Stand.eq(</w:t>
      </w:r>
      <w:r>
        <w:rPr>
          <w:rStyle w:val="StringTok"/>
        </w:rPr>
        <w:t>'2040'</w:t>
      </w:r>
      <w:r>
        <w:rPr>
          <w:rStyle w:val="NormalTok"/>
        </w:rPr>
        <w:t>),[</w:t>
      </w:r>
      <w:r>
        <w:rPr>
          <w:rStyle w:val="StringTok"/>
        </w:rPr>
        <w:t>'Größe'</w:t>
      </w:r>
      <w:r>
        <w:rPr>
          <w:rStyle w:val="NormalTok"/>
        </w:rPr>
        <w:t>,</w:t>
      </w:r>
      <w:r>
        <w:rPr>
          <w:rStyle w:val="StringTok"/>
        </w:rPr>
        <w:t>'kWh/(m² NGF a)'</w:t>
      </w:r>
      <w:r>
        <w:rPr>
          <w:rStyle w:val="NormalTok"/>
        </w:rPr>
        <w:t>,</w:t>
      </w:r>
      <w:r>
        <w:rPr>
          <w:rStyle w:val="StringTok"/>
        </w:rPr>
        <w:t>'GWh/a'</w:t>
      </w:r>
      <w:r>
        <w:rPr>
          <w:rStyle w:val="NormalTok"/>
        </w:rPr>
        <w:t>,</w:t>
      </w:r>
      <w:r>
        <w:rPr>
          <w:rStyle w:val="StringTok"/>
        </w:rPr>
        <w:t>'PJ/a'</w:t>
      </w:r>
      <w:r>
        <w:rPr>
          <w:rStyle w:val="NormalTok"/>
        </w:rPr>
        <w:t>]],</w:t>
      </w:r>
      <w:r>
        <w:rPr>
          <w:rStyle w:val="StringTok"/>
        </w:rPr>
        <w:t>'Strombilanz 2040 aus den gelieferten Typenkennwerten bei NGF/BGF = '</w:t>
      </w:r>
      <w:r>
        <w:rPr>
          <w:rStyle w:val="OperatorTok"/>
        </w:rPr>
        <w:t>+</w:t>
      </w:r>
      <w:r>
        <w:rPr>
          <w:rStyle w:val="BuiltInTok"/>
        </w:rPr>
        <w:t>str</w:t>
      </w:r>
      <w:r>
        <w:rPr>
          <w:rStyle w:val="NormalTok"/>
        </w:rPr>
        <w:t>(r)</w:t>
      </w:r>
      <w:r>
        <w:rPr>
          <w:rStyle w:val="OperatorTok"/>
        </w:rPr>
        <w:t>+</w:t>
      </w:r>
      <w:r>
        <w:rPr>
          <w:rStyle w:val="StringTok"/>
        </w:rPr>
        <w:t>'.'</w:t>
      </w:r>
      <w:r>
        <w:rPr>
          <w:rStyle w:val="NormalTok"/>
        </w:rPr>
        <w:t>,</w:t>
      </w:r>
      <w:r>
        <w:rPr>
          <w:rStyle w:val="StringTok"/>
        </w:rPr>
        <w:t>'tbl-gebaeude-strom'</w:t>
      </w:r>
      <w:r>
        <w:rPr>
          <w:rStyle w:val="NormalTok"/>
        </w:rPr>
        <w:t>),encoding</w:t>
      </w:r>
      <w:r>
        <w:rPr>
          <w:rStyle w:val="OperatorTok"/>
        </w:rPr>
        <w:t>=</w:t>
      </w:r>
      <w:r>
        <w:rPr>
          <w:rStyle w:val="StringTok"/>
        </w:rPr>
        <w:t>'utf-8'</w:t>
      </w:r>
      <w:r>
        <w:rPr>
          <w:rStyle w:val="NormalTok"/>
        </w:rPr>
        <w:t>)</w:t>
      </w:r>
      <w:r>
        <w:br/>
      </w:r>
      <w:r>
        <w:rPr>
          <w:rStyle w:val="NormalTok"/>
        </w:rPr>
        <w:t>(GEN</w:t>
      </w:r>
      <w:r>
        <w:rPr>
          <w:rStyle w:val="OperatorTok"/>
        </w:rPr>
        <w:t>/</w:t>
      </w:r>
      <w:r>
        <w:rPr>
          <w:rStyle w:val="StringTok"/>
        </w:rPr>
        <w:t>'gebaeude-endenergie.qmd'</w:t>
      </w:r>
      <w:r>
        <w:rPr>
          <w:rStyle w:val="NormalTok"/>
        </w:rPr>
        <w:t>).write_text(markdown_table(endenergy.loc[endenergy.Stand.eq(</w:t>
      </w:r>
      <w:r>
        <w:rPr>
          <w:rStyle w:val="StringTok"/>
        </w:rPr>
        <w:t>'2040'</w:t>
      </w:r>
      <w:r>
        <w:rPr>
          <w:rStyle w:val="NormalTok"/>
        </w:rPr>
        <w:t>)].drop(columns</w:t>
      </w:r>
      <w:r>
        <w:rPr>
          <w:rStyle w:val="OperatorTok"/>
        </w:rPr>
        <w:t>=</w:t>
      </w:r>
      <w:r>
        <w:rPr>
          <w:rStyle w:val="StringTok"/>
        </w:rPr>
        <w:t>'Stand'</w:t>
      </w:r>
      <w:r>
        <w:rPr>
          <w:rStyle w:val="NormalTok"/>
        </w:rPr>
        <w:t>),</w:t>
      </w:r>
      <w:r>
        <w:rPr>
          <w:rStyle w:val="StringTok"/>
        </w:rPr>
        <w:t>'Endenergie 2040 nach Energieträgern. Strom enthält PV-Direktverbrauch; sonstige thermische Energie wird separat geführt.'</w:t>
      </w:r>
      <w:r>
        <w:rPr>
          <w:rStyle w:val="NormalTok"/>
        </w:rPr>
        <w:t>,</w:t>
      </w:r>
      <w:r>
        <w:rPr>
          <w:rStyle w:val="StringTok"/>
        </w:rPr>
        <w:t>'tbl-gebaeude-endenergie'</w:t>
      </w:r>
      <w:r>
        <w:rPr>
          <w:rStyle w:val="NormalTok"/>
        </w:rPr>
        <w:t>),encoding</w:t>
      </w:r>
      <w:r>
        <w:rPr>
          <w:rStyle w:val="OperatorTok"/>
        </w:rPr>
        <w:t>=</w:t>
      </w:r>
      <w:r>
        <w:rPr>
          <w:rStyle w:val="StringTok"/>
        </w:rPr>
        <w:t>'utf-8'</w:t>
      </w:r>
      <w:r>
        <w:rPr>
          <w:rStyle w:val="NormalTok"/>
        </w:rPr>
        <w:t>)</w:t>
      </w:r>
      <w:r>
        <w:br/>
      </w:r>
      <w:r>
        <w:rPr>
          <w:rStyle w:val="NormalTok"/>
        </w:rPr>
        <w:t>(GEN</w:t>
      </w:r>
      <w:r>
        <w:rPr>
          <w:rStyle w:val="OperatorTok"/>
        </w:rPr>
        <w:t>/</w:t>
      </w:r>
      <w:r>
        <w:rPr>
          <w:rStyle w:val="StringTok"/>
        </w:rPr>
        <w:t>'gebaeude-abgleich.qmd'</w:t>
      </w:r>
      <w:r>
        <w:rPr>
          <w:rStyle w:val="NormalTok"/>
        </w:rPr>
        <w:t>).write_text(markdown_table(comparison,</w:t>
      </w:r>
      <w:r>
        <w:rPr>
          <w:rStyle w:val="StringTok"/>
        </w:rPr>
        <w:t>'Vergleich bei gleichen elektrischen Bilanzgrenzen; Top-down-Zuordnungen gemäß dokumentiertem Referenzfall.'</w:t>
      </w:r>
      <w:r>
        <w:rPr>
          <w:rStyle w:val="NormalTok"/>
        </w:rPr>
        <w:t>,</w:t>
      </w:r>
      <w:r>
        <w:rPr>
          <w:rStyle w:val="StringTok"/>
        </w:rPr>
        <w:t>'tbl-gebaeude-abgleich'</w:t>
      </w:r>
      <w:r>
        <w:rPr>
          <w:rStyle w:val="NormalTok"/>
        </w:rPr>
        <w:t>),encoding</w:t>
      </w:r>
      <w:r>
        <w:rPr>
          <w:rStyle w:val="OperatorTok"/>
        </w:rPr>
        <w:t>=</w:t>
      </w:r>
      <w:r>
        <w:rPr>
          <w:rStyle w:val="StringTok"/>
        </w:rPr>
        <w:t>'utf-8'</w:t>
      </w:r>
      <w:r>
        <w:rPr>
          <w:rStyle w:val="NormalTok"/>
        </w:rPr>
        <w:t>)</w:t>
      </w:r>
      <w:r>
        <w:br/>
      </w:r>
      <w:r>
        <w:rPr>
          <w:rStyle w:val="NormalTok"/>
        </w:rPr>
        <w:t>(GEN</w:t>
      </w:r>
      <w:r>
        <w:rPr>
          <w:rStyle w:val="OperatorTok"/>
        </w:rPr>
        <w:t>/</w:t>
      </w:r>
      <w:r>
        <w:rPr>
          <w:rStyle w:val="StringTok"/>
        </w:rPr>
        <w:t>'gebaeude-status.qmd'</w:t>
      </w:r>
      <w:r>
        <w:rPr>
          <w:rStyle w:val="NormalTok"/>
        </w:rPr>
        <w:t>).write_text(markdown_table(status,</w:t>
      </w:r>
      <w:r>
        <w:rPr>
          <w:rStyle w:val="StringTok"/>
        </w:rPr>
        <w:t>'Flächengewichtete Zuordnung zu Bestand, Neubau und Sanierung im Zieljahr.'</w:t>
      </w:r>
      <w:r>
        <w:rPr>
          <w:rStyle w:val="NormalTok"/>
        </w:rPr>
        <w:t>,</w:t>
      </w:r>
      <w:r>
        <w:rPr>
          <w:rStyle w:val="StringTok"/>
        </w:rPr>
        <w:t>'tbl-gebaeude-status'</w:t>
      </w:r>
      <w:r>
        <w:rPr>
          <w:rStyle w:val="NormalTok"/>
        </w:rPr>
        <w:t>),encoding</w:t>
      </w:r>
      <w:r>
        <w:rPr>
          <w:rStyle w:val="OperatorTok"/>
        </w:rPr>
        <w:t>=</w:t>
      </w:r>
      <w:r>
        <w:rPr>
          <w:rStyle w:val="StringTok"/>
        </w:rPr>
        <w:t>'utf-8'</w:t>
      </w:r>
      <w:r>
        <w:rPr>
          <w:rStyle w:val="NormalTok"/>
        </w:rPr>
        <w:t>)</w:t>
      </w:r>
      <w:r>
        <w:br/>
      </w:r>
      <w:r>
        <w:rPr>
          <w:rStyle w:val="NormalTok"/>
        </w:rPr>
        <w:t>(GEN</w:t>
      </w:r>
      <w:r>
        <w:rPr>
          <w:rStyle w:val="OperatorTok"/>
        </w:rPr>
        <w:t>/</w:t>
      </w:r>
      <w:r>
        <w:rPr>
          <w:rStyle w:val="StringTok"/>
        </w:rPr>
        <w:t>'gebaeude-pe.qmd'</w:t>
      </w:r>
      <w:r>
        <w:rPr>
          <w:rStyle w:val="NormalTok"/>
        </w:rPr>
        <w:t>).write_text(markdown_table(primary.loc[primary.Stand.eq(</w:t>
      </w:r>
      <w:r>
        <w:rPr>
          <w:rStyle w:val="StringTok"/>
        </w:rPr>
        <w:t>'2040'</w:t>
      </w:r>
      <w:r>
        <w:rPr>
          <w:rStyle w:val="NormalTok"/>
        </w:rPr>
        <w:t>)].drop(columns</w:t>
      </w:r>
      <w:r>
        <w:rPr>
          <w:rStyle w:val="OperatorTok"/>
        </w:rPr>
        <w:t>=</w:t>
      </w:r>
      <w:r>
        <w:rPr>
          <w:rStyle w:val="StringTok"/>
        </w:rPr>
        <w:t>'Stand'</w:t>
      </w:r>
      <w:r>
        <w:rPr>
          <w:rStyle w:val="NormalTok"/>
        </w:rPr>
        <w:t>),</w:t>
      </w:r>
      <w:r>
        <w:rPr>
          <w:rStyle w:val="StringTok"/>
        </w:rPr>
        <w:t>'Gelieferter PE-Bewertungsstand; Faktorversion und Bezugsjahr noch zu bestätigen, ohne virtuelle Kontextwerte.'</w:t>
      </w:r>
      <w:r>
        <w:rPr>
          <w:rStyle w:val="NormalTok"/>
        </w:rPr>
        <w:t>,</w:t>
      </w:r>
      <w:r>
        <w:rPr>
          <w:rStyle w:val="StringTok"/>
        </w:rPr>
        <w:t>'tbl-gebaeude-pe'</w:t>
      </w:r>
      <w:r>
        <w:rPr>
          <w:rStyle w:val="NormalTok"/>
        </w:rPr>
        <w:t>),encoding</w:t>
      </w:r>
      <w:r>
        <w:rPr>
          <w:rStyle w:val="OperatorTok"/>
        </w:rPr>
        <w:t>=</w:t>
      </w:r>
      <w:r>
        <w:rPr>
          <w:rStyle w:val="StringTok"/>
        </w:rPr>
        <w:t>'utf-8'</w:t>
      </w:r>
      <w:r>
        <w:rPr>
          <w:rStyle w:val="NormalTok"/>
        </w:rPr>
        <w:t>)</w:t>
      </w:r>
      <w:r>
        <w:br/>
      </w:r>
      <w:r>
        <w:rPr>
          <w:rStyle w:val="NormalTok"/>
        </w:rPr>
        <w:t>summary</w:t>
      </w:r>
      <w:r>
        <w:rPr>
          <w:rStyle w:val="OperatorTok"/>
        </w:rPr>
        <w:t>=</w:t>
      </w:r>
      <w:r>
        <w:rPr>
          <w:rStyle w:val="NormalTok"/>
        </w:rPr>
        <w:t>{</w:t>
      </w:r>
      <w:r>
        <w:rPr>
          <w:rStyle w:val="StringTok"/>
        </w:rPr>
        <w:t>'provenance'</w:t>
      </w:r>
      <w:r>
        <w:rPr>
          <w:rStyle w:val="NormalTok"/>
        </w:rPr>
        <w:t>:provenance,</w:t>
      </w:r>
      <w:r>
        <w:rPr>
          <w:rStyle w:val="StringTok"/>
        </w:rPr>
        <w:t>'allocation_sha256'</w:t>
      </w:r>
      <w:r>
        <w:rPr>
          <w:rStyle w:val="NormalTok"/>
        </w:rPr>
        <w:t>:sha256(allocation_path),</w:t>
      </w:r>
      <w:r>
        <w:rPr>
          <w:rStyle w:val="StringTok"/>
        </w:rPr>
        <w:t>'ngf_bgf'</w:t>
      </w:r>
      <w:r>
        <w:rPr>
          <w:rStyle w:val="NormalTok"/>
        </w:rPr>
        <w:t>:r,</w:t>
      </w:r>
      <w:r>
        <w:br/>
      </w:r>
      <w:r>
        <w:rPr>
          <w:rStyle w:val="NormalTok"/>
        </w:rPr>
        <w:t xml:space="preserve"> </w:t>
      </w:r>
      <w:r>
        <w:rPr>
          <w:rStyle w:val="StringTok"/>
        </w:rPr>
        <w:t>'type_count'</w:t>
      </w:r>
      <w:r>
        <w:rPr>
          <w:rStyle w:val="NormalTok"/>
        </w:rPr>
        <w:t>:</w:t>
      </w:r>
      <w:r>
        <w:rPr>
          <w:rStyle w:val="BuiltInTok"/>
        </w:rPr>
        <w:t>len</w:t>
      </w:r>
      <w:r>
        <w:rPr>
          <w:rStyle w:val="NormalTok"/>
        </w:rPr>
        <w:t>(data),</w:t>
      </w:r>
      <w:r>
        <w:rPr>
          <w:rStyle w:val="StringTok"/>
        </w:rPr>
        <w:t>'positive_types_2040'</w:t>
      </w:r>
      <w:r>
        <w:rPr>
          <w:rStyle w:val="NormalTok"/>
        </w:rPr>
        <w:t>:</w:t>
      </w:r>
      <w:r>
        <w:rPr>
          <w:rStyle w:val="BuiltInTok"/>
        </w:rPr>
        <w:t>int</w:t>
      </w:r>
      <w:r>
        <w:rPr>
          <w:rStyle w:val="NormalTok"/>
        </w:rPr>
        <w:t>(data[</w:t>
      </w:r>
      <w:r>
        <w:rPr>
          <w:rStyle w:val="StringTok"/>
        </w:rPr>
        <w:t>'Nationale BGF 2040'</w:t>
      </w:r>
      <w:r>
        <w:rPr>
          <w:rStyle w:val="NormalTok"/>
        </w:rPr>
        <w:t>].gt(</w:t>
      </w:r>
      <w:r>
        <w:rPr>
          <w:rStyle w:val="DecValTok"/>
        </w:rPr>
        <w:t>0</w:t>
      </w:r>
      <w:r>
        <w:rPr>
          <w:rStyle w:val="NormalTok"/>
        </w:rPr>
        <w:t>).</w:t>
      </w:r>
      <w:r>
        <w:rPr>
          <w:rStyle w:val="BuiltInTok"/>
        </w:rPr>
        <w:t>sum</w:t>
      </w:r>
      <w:r>
        <w:rPr>
          <w:rStyle w:val="NormalTok"/>
        </w:rPr>
        <w:t>()),</w:t>
      </w:r>
      <w:r>
        <w:br/>
      </w:r>
      <w:r>
        <w:rPr>
          <w:rStyle w:val="NormalTok"/>
        </w:rPr>
        <w:t xml:space="preserve"> </w:t>
      </w:r>
      <w:r>
        <w:rPr>
          <w:rStyle w:val="StringTok"/>
        </w:rPr>
        <w:t>'bgf_2040_m2'</w:t>
      </w:r>
      <w:r>
        <w:rPr>
          <w:rStyle w:val="NormalTok"/>
        </w:rPr>
        <w:t>:</w:t>
      </w:r>
      <w:r>
        <w:rPr>
          <w:rStyle w:val="BuiltInTok"/>
        </w:rPr>
        <w:t>float</w:t>
      </w:r>
      <w:r>
        <w:rPr>
          <w:rStyle w:val="NormalTok"/>
        </w:rPr>
        <w:t>(data[</w:t>
      </w:r>
      <w:r>
        <w:rPr>
          <w:rStyle w:val="StringTok"/>
        </w:rPr>
        <w:t>'Nationale BGF 2040'</w:t>
      </w:r>
      <w:r>
        <w:rPr>
          <w:rStyle w:val="NormalTok"/>
        </w:rPr>
        <w:t>].</w:t>
      </w:r>
      <w:r>
        <w:rPr>
          <w:rStyle w:val="BuiltInTok"/>
        </w:rPr>
        <w:t>sum</w:t>
      </w:r>
      <w:r>
        <w:rPr>
          <w:rStyle w:val="NormalTok"/>
        </w:rPr>
        <w:t>()),</w:t>
      </w:r>
      <w:r>
        <w:rPr>
          <w:rStyle w:val="StringTok"/>
        </w:rPr>
        <w:t>'bgf_today_m2'</w:t>
      </w:r>
      <w:r>
        <w:rPr>
          <w:rStyle w:val="NormalTok"/>
        </w:rPr>
        <w:t>:</w:t>
      </w:r>
      <w:r>
        <w:rPr>
          <w:rStyle w:val="BuiltInTok"/>
        </w:rPr>
        <w:t>float</w:t>
      </w:r>
      <w:r>
        <w:rPr>
          <w:rStyle w:val="NormalTok"/>
        </w:rPr>
        <w:t>(data[</w:t>
      </w:r>
      <w:r>
        <w:rPr>
          <w:rStyle w:val="StringTok"/>
        </w:rPr>
        <w:t>'Nationale BGF heute'</w:t>
      </w:r>
      <w:r>
        <w:rPr>
          <w:rStyle w:val="NormalTok"/>
        </w:rPr>
        <w:t>].</w:t>
      </w:r>
      <w:r>
        <w:rPr>
          <w:rStyle w:val="BuiltInTok"/>
        </w:rPr>
        <w:t>sum</w:t>
      </w:r>
      <w:r>
        <w:rPr>
          <w:rStyle w:val="NormalTok"/>
        </w:rPr>
        <w:t>()),</w:t>
      </w:r>
      <w:r>
        <w:br/>
      </w:r>
      <w:r>
        <w:rPr>
          <w:rStyle w:val="NormalTok"/>
        </w:rPr>
        <w:lastRenderedPageBreak/>
        <w:t xml:space="preserve"> </w:t>
      </w:r>
      <w:r>
        <w:rPr>
          <w:rStyle w:val="StringTok"/>
        </w:rPr>
        <w:t>'electricity_demand_pj'</w:t>
      </w:r>
      <w:r>
        <w:rPr>
          <w:rStyle w:val="NormalTok"/>
        </w:rPr>
        <w:t>:val(</w:t>
      </w:r>
      <w:r>
        <w:rPr>
          <w:rStyle w:val="StringTok"/>
        </w:rPr>
        <w:t>'Strombedarf'</w:t>
      </w:r>
      <w:r>
        <w:rPr>
          <w:rStyle w:val="NormalTok"/>
        </w:rPr>
        <w:t>),</w:t>
      </w:r>
      <w:r>
        <w:rPr>
          <w:rStyle w:val="StringTok"/>
        </w:rPr>
        <w:t>'pv_pj'</w:t>
      </w:r>
      <w:r>
        <w:rPr>
          <w:rStyle w:val="NormalTok"/>
        </w:rPr>
        <w:t>:val(</w:t>
      </w:r>
      <w:r>
        <w:rPr>
          <w:rStyle w:val="StringTok"/>
        </w:rPr>
        <w:t>'PV_Erzeugung'</w:t>
      </w:r>
      <w:r>
        <w:rPr>
          <w:rStyle w:val="NormalTok"/>
        </w:rPr>
        <w:t>),</w:t>
      </w:r>
      <w:r>
        <w:rPr>
          <w:rStyle w:val="StringTok"/>
        </w:rPr>
        <w:t>'electricity_balance_pj'</w:t>
      </w:r>
      <w:r>
        <w:rPr>
          <w:rStyle w:val="NormalTok"/>
        </w:rPr>
        <w:t>:operating,</w:t>
      </w:r>
      <w:r>
        <w:br/>
      </w:r>
      <w:r>
        <w:rPr>
          <w:rStyle w:val="NormalTok"/>
        </w:rPr>
        <w:t xml:space="preserve"> </w:t>
      </w:r>
      <w:r>
        <w:rPr>
          <w:rStyle w:val="StringTok"/>
        </w:rPr>
        <w:t>'extended_balance_pj'</w:t>
      </w:r>
      <w:r>
        <w:rPr>
          <w:rStyle w:val="NormalTok"/>
        </w:rPr>
        <w:t>:extended,</w:t>
      </w:r>
      <w:r>
        <w:rPr>
          <w:rStyle w:val="StringTok"/>
        </w:rPr>
        <w:t>'gap_topdown_pj'</w:t>
      </w:r>
      <w:r>
        <w:rPr>
          <w:rStyle w:val="NormalTok"/>
        </w:rPr>
        <w:t>:extended</w:t>
      </w:r>
      <w:r>
        <w:rPr>
          <w:rStyle w:val="OperatorTok"/>
        </w:rPr>
        <w:t>-</w:t>
      </w:r>
      <w:r>
        <w:rPr>
          <w:rStyle w:val="NormalTok"/>
        </w:rPr>
        <w:t>top[</w:t>
      </w:r>
      <w:r>
        <w:rPr>
          <w:rStyle w:val="StringTok"/>
        </w:rPr>
        <w:t>'building_target_pj'</w:t>
      </w:r>
      <w:r>
        <w:rPr>
          <w:rStyle w:val="NormalTok"/>
        </w:rPr>
        <w:t>],</w:t>
      </w:r>
      <w:r>
        <w:br/>
      </w:r>
      <w:r>
        <w:rPr>
          <w:rStyle w:val="NormalTok"/>
        </w:rPr>
        <w:t xml:space="preserve"> </w:t>
      </w:r>
      <w:r>
        <w:rPr>
          <w:rStyle w:val="StringTok"/>
        </w:rPr>
        <w:t>'single_target_missing_share_rows'</w:t>
      </w:r>
      <w:r>
        <w:rPr>
          <w:rStyle w:val="NormalTok"/>
        </w:rPr>
        <w:t>:</w:t>
      </w:r>
      <w:r>
        <w:rPr>
          <w:rStyle w:val="BuiltInTok"/>
        </w:rPr>
        <w:t>int</w:t>
      </w:r>
      <w:r>
        <w:rPr>
          <w:rStyle w:val="NormalTok"/>
        </w:rPr>
        <w:t>(mapping[</w:t>
      </w:r>
      <w:r>
        <w:rPr>
          <w:rStyle w:val="StringTok"/>
        </w:rPr>
        <w:t>'Einzelziel_ergänzt'</w:t>
      </w:r>
      <w:r>
        <w:rPr>
          <w:rStyle w:val="NormalTok"/>
        </w:rPr>
        <w:t>].</w:t>
      </w:r>
      <w:r>
        <w:rPr>
          <w:rStyle w:val="BuiltInTok"/>
        </w:rPr>
        <w:t>sum</w:t>
      </w:r>
      <w:r>
        <w:rPr>
          <w:rStyle w:val="NormalTok"/>
        </w:rPr>
        <w:t>()),</w:t>
      </w:r>
      <w:r>
        <w:br/>
      </w:r>
      <w:r>
        <w:rPr>
          <w:rStyle w:val="NormalTok"/>
        </w:rPr>
        <w:t xml:space="preserve"> </w:t>
      </w:r>
      <w:r>
        <w:rPr>
          <w:rStyle w:val="StringTok"/>
        </w:rPr>
        <w:t>'affected_reference_area_pct'</w:t>
      </w:r>
      <w:r>
        <w:rPr>
          <w:rStyle w:val="NormalTok"/>
        </w:rPr>
        <w:t>:</w:t>
      </w:r>
      <w:r>
        <w:rPr>
          <w:rStyle w:val="DecValTok"/>
        </w:rPr>
        <w:t>100</w:t>
      </w:r>
      <w:r>
        <w:rPr>
          <w:rStyle w:val="OperatorTok"/>
        </w:rPr>
        <w:t>*</w:t>
      </w:r>
      <w:r>
        <w:rPr>
          <w:rStyle w:val="NormalTok"/>
        </w:rPr>
        <w:t>affected_area</w:t>
      </w:r>
      <w:r>
        <w:rPr>
          <w:rStyle w:val="OperatorTok"/>
        </w:rPr>
        <w:t>/</w:t>
      </w:r>
      <w:r>
        <w:rPr>
          <w:rStyle w:val="NormalTok"/>
        </w:rPr>
        <w:t>gfz.BGF_m2.</w:t>
      </w:r>
      <w:r>
        <w:rPr>
          <w:rStyle w:val="BuiltInTok"/>
        </w:rPr>
        <w:t>sum</w:t>
      </w:r>
      <w:r>
        <w:rPr>
          <w:rStyle w:val="NormalTok"/>
        </w:rPr>
        <w:t>(),</w:t>
      </w:r>
      <w:r>
        <w:br/>
      </w:r>
      <w:r>
        <w:rPr>
          <w:rStyle w:val="NormalTok"/>
        </w:rPr>
        <w:t xml:space="preserve"> </w:t>
      </w:r>
      <w:r>
        <w:rPr>
          <w:rStyle w:val="StringTok"/>
        </w:rPr>
        <w:t>'pe_balance_pj'</w:t>
      </w:r>
      <w:r>
        <w:rPr>
          <w:rStyle w:val="NormalTok"/>
        </w:rPr>
        <w:t>:</w:t>
      </w:r>
      <w:r>
        <w:rPr>
          <w:rStyle w:val="BuiltInTok"/>
        </w:rPr>
        <w:t>float</w:t>
      </w:r>
      <w:r>
        <w:rPr>
          <w:rStyle w:val="NormalTok"/>
        </w:rPr>
        <w:t>(primary.loc[primary.Stand.eq(</w:t>
      </w:r>
      <w:r>
        <w:rPr>
          <w:rStyle w:val="StringTok"/>
        </w:rPr>
        <w:t>'2040'</w:t>
      </w:r>
      <w:r>
        <w:rPr>
          <w:rStyle w:val="NormalTok"/>
        </w:rPr>
        <w:t xml:space="preserve">) </w:t>
      </w:r>
      <w:r>
        <w:rPr>
          <w:rStyle w:val="OperatorTok"/>
        </w:rPr>
        <w:t>&amp;</w:t>
      </w:r>
      <w:r>
        <w:rPr>
          <w:rStyle w:val="NormalTok"/>
        </w:rPr>
        <w:t xml:space="preserve"> primary[</w:t>
      </w:r>
      <w:r>
        <w:rPr>
          <w:rStyle w:val="StringTok"/>
        </w:rPr>
        <w:t>'Größe'</w:t>
      </w:r>
      <w:r>
        <w:rPr>
          <w:rStyle w:val="NormalTok"/>
        </w:rPr>
        <w:t>].eq(</w:t>
      </w:r>
      <w:r>
        <w:rPr>
          <w:rStyle w:val="StringTok"/>
        </w:rPr>
        <w:t>'PE_Saldo'</w:t>
      </w:r>
      <w:r>
        <w:rPr>
          <w:rStyle w:val="NormalTok"/>
        </w:rPr>
        <w:t>),</w:t>
      </w:r>
      <w:r>
        <w:rPr>
          <w:rStyle w:val="StringTok"/>
        </w:rPr>
        <w:t>'PJ_PE/a'</w:t>
      </w:r>
      <w:r>
        <w:rPr>
          <w:rStyle w:val="NormalTok"/>
        </w:rPr>
        <w:t>].iloc[</w:t>
      </w:r>
      <w:r>
        <w:rPr>
          <w:rStyle w:val="DecValTok"/>
        </w:rPr>
        <w:t>0</w:t>
      </w:r>
      <w:r>
        <w:rPr>
          <w:rStyle w:val="NormalTok"/>
        </w:rPr>
        <w:t>]),</w:t>
      </w:r>
      <w:r>
        <w:br/>
      </w:r>
      <w:r>
        <w:rPr>
          <w:rStyle w:val="NormalTok"/>
        </w:rPr>
        <w:t xml:space="preserve"> </w:t>
      </w:r>
      <w:r>
        <w:rPr>
          <w:rStyle w:val="StringTok"/>
        </w:rPr>
        <w:t>'controls'</w:t>
      </w:r>
      <w:r>
        <w:rPr>
          <w:rStyle w:val="NormalTok"/>
        </w:rPr>
        <w:t>:</w:t>
      </w:r>
      <w:r>
        <w:rPr>
          <w:rStyle w:val="StringTok"/>
        </w:rPr>
        <w:t>'All assertions passed; source values are not an independently rerun PEExcel simulation.'</w:t>
      </w:r>
      <w:r>
        <w:rPr>
          <w:rStyle w:val="NormalTok"/>
        </w:rPr>
        <w:t>}</w:t>
      </w:r>
      <w:r>
        <w:br/>
      </w:r>
      <w:r>
        <w:rPr>
          <w:rStyle w:val="NormalTok"/>
        </w:rPr>
        <w:t>(OUT</w:t>
      </w:r>
      <w:r>
        <w:rPr>
          <w:rStyle w:val="OperatorTok"/>
        </w:rPr>
        <w:t>/</w:t>
      </w:r>
      <w:r>
        <w:rPr>
          <w:rStyle w:val="StringTok"/>
        </w:rPr>
        <w:t>'validation.json'</w:t>
      </w:r>
      <w:r>
        <w:rPr>
          <w:rStyle w:val="NormalTok"/>
        </w:rPr>
        <w:t>).write_text(json.dumps(summary,ensure_ascii</w:t>
      </w:r>
      <w:r>
        <w:rPr>
          <w:rStyle w:val="OperatorTok"/>
        </w:rPr>
        <w:t>=</w:t>
      </w:r>
      <w:r>
        <w:rPr>
          <w:rStyle w:val="VariableTok"/>
        </w:rPr>
        <w:t>False</w:t>
      </w:r>
      <w:r>
        <w:rPr>
          <w:rStyle w:val="NormalTok"/>
        </w:rPr>
        <w:t>,indent</w:t>
      </w:r>
      <w:r>
        <w:rPr>
          <w:rStyle w:val="OperatorTok"/>
        </w:rPr>
        <w:t>=</w:t>
      </w:r>
      <w:r>
        <w:rPr>
          <w:rStyle w:val="DecValTok"/>
        </w:rPr>
        <w:t>2</w:t>
      </w:r>
      <w:r>
        <w:rPr>
          <w:rStyle w:val="NormalTok"/>
        </w:rPr>
        <w:t>),encoding</w:t>
      </w:r>
      <w:r>
        <w:rPr>
          <w:rStyle w:val="OperatorTok"/>
        </w:rPr>
        <w:t>=</w:t>
      </w:r>
      <w:r>
        <w:rPr>
          <w:rStyle w:val="StringTok"/>
        </w:rPr>
        <w:t>'utf-8'</w:t>
      </w:r>
      <w:r>
        <w:rPr>
          <w:rStyle w:val="NormalTok"/>
        </w:rPr>
        <w:t>)</w:t>
      </w:r>
      <w:r>
        <w:br/>
      </w:r>
      <w:r>
        <w:rPr>
          <w:rStyle w:val="NormalTok"/>
        </w:rPr>
        <w:t>data.to_csv(OUT</w:t>
      </w:r>
      <w:r>
        <w:rPr>
          <w:rStyle w:val="OperatorTok"/>
        </w:rPr>
        <w:t>/</w:t>
      </w:r>
      <w:r>
        <w:rPr>
          <w:rStyle w:val="StringTok"/>
        </w:rPr>
        <w:t>'typen_ergebnisse.csv'</w:t>
      </w:r>
      <w:r>
        <w:rPr>
          <w:rStyle w:val="NormalTok"/>
        </w:rPr>
        <w:t>,index</w:t>
      </w:r>
      <w:r>
        <w:rPr>
          <w:rStyle w:val="OperatorTok"/>
        </w:rPr>
        <w:t>=</w:t>
      </w:r>
      <w:r>
        <w:rPr>
          <w:rStyle w:val="VariableTok"/>
        </w:rPr>
        <w:t>False</w:t>
      </w:r>
      <w:r>
        <w:rPr>
          <w:rStyle w:val="NormalTok"/>
        </w:rPr>
        <w:t>)</w:t>
      </w:r>
      <w:r>
        <w:br/>
      </w:r>
      <w:r>
        <w:rPr>
          <w:rStyle w:val="NormalTok"/>
        </w:rPr>
        <w:t>area_summary.to_csv(OUT</w:t>
      </w:r>
      <w:r>
        <w:rPr>
          <w:rStyle w:val="OperatorTok"/>
        </w:rPr>
        <w:t>/</w:t>
      </w:r>
      <w:r>
        <w:rPr>
          <w:rStyle w:val="StringTok"/>
        </w:rPr>
        <w:t>'flaechenbilanz.csv'</w:t>
      </w:r>
      <w:r>
        <w:rPr>
          <w:rStyle w:val="NormalTok"/>
        </w:rPr>
        <w:t>,index</w:t>
      </w:r>
      <w:r>
        <w:rPr>
          <w:rStyle w:val="OperatorTok"/>
        </w:rPr>
        <w:t>=</w:t>
      </w:r>
      <w:r>
        <w:rPr>
          <w:rStyle w:val="VariableTok"/>
        </w:rPr>
        <w:t>False</w:t>
      </w:r>
      <w:r>
        <w:rPr>
          <w:rStyle w:val="NormalTok"/>
        </w:rPr>
        <w:t>)</w:t>
      </w:r>
      <w:r>
        <w:br/>
      </w:r>
      <w:r>
        <w:rPr>
          <w:rStyle w:val="NormalTok"/>
        </w:rPr>
        <w:t>status.to_csv(OUT</w:t>
      </w:r>
      <w:r>
        <w:rPr>
          <w:rStyle w:val="OperatorTok"/>
        </w:rPr>
        <w:t>/</w:t>
      </w:r>
      <w:r>
        <w:rPr>
          <w:rStyle w:val="StringTok"/>
        </w:rPr>
        <w:t>'zustandsflaechen_2040.csv'</w:t>
      </w:r>
      <w:r>
        <w:rPr>
          <w:rStyle w:val="NormalTok"/>
        </w:rPr>
        <w:t>,index</w:t>
      </w:r>
      <w:r>
        <w:rPr>
          <w:rStyle w:val="OperatorTok"/>
        </w:rPr>
        <w:t>=</w:t>
      </w:r>
      <w:r>
        <w:rPr>
          <w:rStyle w:val="VariableTok"/>
        </w:rPr>
        <w:t>False</w:t>
      </w:r>
      <w:r>
        <w:rPr>
          <w:rStyle w:val="NormalTok"/>
        </w:rPr>
        <w:t>)</w:t>
      </w:r>
      <w:r>
        <w:br/>
      </w:r>
      <w:r>
        <w:rPr>
          <w:rStyle w:val="BuiltInTok"/>
        </w:rPr>
        <w:t>print</w:t>
      </w:r>
      <w:r>
        <w:rPr>
          <w:rStyle w:val="NormalTok"/>
        </w:rPr>
        <w:t>(json.dumps(summary,ensure_ascii</w:t>
      </w:r>
      <w:r>
        <w:rPr>
          <w:rStyle w:val="OperatorTok"/>
        </w:rPr>
        <w:t>=</w:t>
      </w:r>
      <w:r>
        <w:rPr>
          <w:rStyle w:val="VariableTok"/>
        </w:rPr>
        <w:t>False</w:t>
      </w:r>
      <w:r>
        <w:rPr>
          <w:rStyle w:val="NormalTok"/>
        </w:rPr>
        <w:t>,indent</w:t>
      </w:r>
      <w:r>
        <w:rPr>
          <w:rStyle w:val="OperatorTok"/>
        </w:rPr>
        <w:t>=</w:t>
      </w:r>
      <w:r>
        <w:rPr>
          <w:rStyle w:val="DecValTok"/>
        </w:rPr>
        <w:t>2</w:t>
      </w:r>
      <w:r>
        <w:rPr>
          <w:rStyle w:val="NormalTok"/>
        </w:rPr>
        <w:t>))</w:t>
      </w:r>
    </w:p>
    <w:p w14:paraId="25D8C331" w14:textId="77777777" w:rsidR="004E4CC2" w:rsidRDefault="00000000">
      <w:pPr>
        <w:pStyle w:val="SourceCode"/>
      </w:pPr>
      <w:r>
        <w:rPr>
          <w:rStyle w:val="VerbatimChar"/>
        </w:rPr>
        <w:t>{</w:t>
      </w:r>
      <w:r>
        <w:br/>
      </w:r>
      <w:r>
        <w:rPr>
          <w:rStyle w:val="VerbatimChar"/>
        </w:rPr>
        <w:t xml:space="preserve">  "provenance": {</w:t>
      </w:r>
      <w:r>
        <w:br/>
      </w:r>
      <w:r>
        <w:rPr>
          <w:rStyle w:val="VerbatimChar"/>
        </w:rPr>
        <w:t xml:space="preserve">    "source_sha256": "b032c1bd7148b0bdac8541196a1eaa7fc58f538f87912e1f2714af88ac80a7cd",</w:t>
      </w:r>
      <w:r>
        <w:br/>
      </w:r>
      <w:r>
        <w:rPr>
          <w:rStyle w:val="VerbatimChar"/>
        </w:rPr>
        <w:t xml:space="preserve">    "input_sha256": "cd09efbfbea7bc7e8cfd82b07146f72c6f3712d3a381625532b14c947dd75bc1",</w:t>
      </w:r>
      <w:r>
        <w:br/>
      </w:r>
      <w:r>
        <w:rPr>
          <w:rStyle w:val="VerbatimChar"/>
        </w:rPr>
        <w:t xml:space="preserve">    "gfz_sha256": "b17c1f98b6104a5b8ed6da4fe436ebff14d2f7708cc2043860d166b17d3f1c3b"</w:t>
      </w:r>
      <w:r>
        <w:br/>
      </w:r>
      <w:r>
        <w:rPr>
          <w:rStyle w:val="VerbatimChar"/>
        </w:rPr>
        <w:t xml:space="preserve">  },</w:t>
      </w:r>
      <w:r>
        <w:br/>
      </w:r>
      <w:r>
        <w:rPr>
          <w:rStyle w:val="VerbatimChar"/>
        </w:rPr>
        <w:t xml:space="preserve">  "allocation_sha256": "3614c6769be82ce4a53ea0e15ae7ea872a3dbf9b94b63a6f476ecf77a8992835",</w:t>
      </w:r>
      <w:r>
        <w:br/>
      </w:r>
      <w:r>
        <w:rPr>
          <w:rStyle w:val="VerbatimChar"/>
        </w:rPr>
        <w:t xml:space="preserve">  "ngf_bgf": 0.8,</w:t>
      </w:r>
      <w:r>
        <w:br/>
      </w:r>
      <w:r>
        <w:rPr>
          <w:rStyle w:val="VerbatimChar"/>
        </w:rPr>
        <w:t xml:space="preserve">  "type_count": 900,</w:t>
      </w:r>
      <w:r>
        <w:br/>
      </w:r>
      <w:r>
        <w:rPr>
          <w:rStyle w:val="VerbatimChar"/>
        </w:rPr>
        <w:t xml:space="preserve">  "positive_types_2040": 603,</w:t>
      </w:r>
      <w:r>
        <w:br/>
      </w:r>
      <w:r>
        <w:rPr>
          <w:rStyle w:val="VerbatimChar"/>
        </w:rPr>
        <w:t xml:space="preserve">  "bgf_2040_m2": 1126578658.428,</w:t>
      </w:r>
      <w:r>
        <w:br/>
      </w:r>
      <w:r>
        <w:rPr>
          <w:rStyle w:val="VerbatimChar"/>
        </w:rPr>
        <w:t xml:space="preserve">  "bgf_today_m2": 1112340697.5,</w:t>
      </w:r>
      <w:r>
        <w:br/>
      </w:r>
      <w:r>
        <w:rPr>
          <w:rStyle w:val="VerbatimChar"/>
        </w:rPr>
        <w:t xml:space="preserve">  "electricity_demand_pj": 137.49326011458797,</w:t>
      </w:r>
      <w:r>
        <w:br/>
      </w:r>
      <w:r>
        <w:rPr>
          <w:rStyle w:val="VerbatimChar"/>
        </w:rPr>
        <w:t xml:space="preserve">  "pv_pj": 78.24546191661419,</w:t>
      </w:r>
      <w:r>
        <w:br/>
      </w:r>
      <w:r>
        <w:rPr>
          <w:rStyle w:val="VerbatimChar"/>
        </w:rPr>
        <w:t xml:space="preserve">  "electricity_balance_pj": -59.24779819797377,</w:t>
      </w:r>
      <w:r>
        <w:br/>
      </w:r>
      <w:r>
        <w:rPr>
          <w:rStyle w:val="VerbatimChar"/>
        </w:rPr>
        <w:t xml:space="preserve">  "extended_balance_pj": -107.24779819797376,</w:t>
      </w:r>
      <w:r>
        <w:br/>
      </w:r>
      <w:r>
        <w:rPr>
          <w:rStyle w:val="VerbatimChar"/>
        </w:rPr>
        <w:t xml:space="preserve">  "gap_topdown_pj": -100.24779819797376,</w:t>
      </w:r>
      <w:r>
        <w:br/>
      </w:r>
      <w:r>
        <w:rPr>
          <w:rStyle w:val="VerbatimChar"/>
        </w:rPr>
        <w:t xml:space="preserve">  "single_target_missing_share_rows": 0,</w:t>
      </w:r>
      <w:r>
        <w:br/>
      </w:r>
      <w:r>
        <w:rPr>
          <w:rStyle w:val="VerbatimChar"/>
        </w:rPr>
        <w:t xml:space="preserve">  "affected_reference_area_pct": 0.0,</w:t>
      </w:r>
      <w:r>
        <w:br/>
      </w:r>
      <w:r>
        <w:rPr>
          <w:rStyle w:val="VerbatimChar"/>
        </w:rPr>
        <w:t xml:space="preserve">  "pe_balance_pj": -409.3638470994995,</w:t>
      </w:r>
      <w:r>
        <w:br/>
      </w:r>
      <w:r>
        <w:rPr>
          <w:rStyle w:val="VerbatimChar"/>
        </w:rPr>
        <w:t xml:space="preserve">  "controls": "All assertions passed; source values are not an independently rerun PEExcel simulation."</w:t>
      </w:r>
      <w:r>
        <w:br/>
      </w:r>
      <w:r>
        <w:rPr>
          <w:rStyle w:val="VerbatimChar"/>
        </w:rPr>
        <w:t>}</w:t>
      </w:r>
    </w:p>
    <w:p w14:paraId="07C4F516" w14:textId="77777777" w:rsidR="004E4CC2" w:rsidRDefault="00000000">
      <w:pPr>
        <w:pStyle w:val="berschrift1"/>
      </w:pPr>
      <w:bookmarkStart w:id="412" w:name="sec-anhang-quartiersbilanzierung"/>
      <w:bookmarkStart w:id="413" w:name="_Toc243681384"/>
      <w:bookmarkEnd w:id="386"/>
      <w:bookmarkEnd w:id="410"/>
      <w:r>
        <w:t>Appendix F — Annahmen der Quartiersbilanzierung</w:t>
      </w:r>
      <w:bookmarkEnd w:id="413"/>
    </w:p>
    <w:p w14:paraId="29FB0F01" w14:textId="77777777" w:rsidR="004E4CC2" w:rsidRDefault="00000000">
      <w:pPr>
        <w:pStyle w:val="FirstParagraph"/>
      </w:pPr>
      <w:r>
        <w:t xml:space="preserve">Die Quartiersbilanz verbindet projektspezifische Gebäude- und Anlagendaten mit Annahmen über Nutzung, Mobilität, Klima und Betriebsweise. Dieser Teil dokumentiert die </w:t>
      </w:r>
      <w:r>
        <w:lastRenderedPageBreak/>
        <w:t xml:space="preserve">für vergleichbare Ergebnisse wesentlichen Ansätze. Die Ableitung der Anforderungen steht in </w:t>
      </w:r>
      <w:hyperlink w:anchor="sec-anhang">
        <w:r>
          <w:rPr>
            <w:rStyle w:val="Hyperlink"/>
          </w:rPr>
          <w:t>Anhang B</w:t>
        </w:r>
      </w:hyperlink>
      <w:r>
        <w:t>.</w:t>
      </w:r>
    </w:p>
    <w:p w14:paraId="1F7B742E" w14:textId="77777777" w:rsidR="004E4CC2" w:rsidRDefault="00000000">
      <w:pPr>
        <w:pStyle w:val="Textkrper"/>
      </w:pPr>
      <w:r>
        <w:t>Technische Presets erleichtern die Eingabe von Projektvarianten. Sie sind nicht allein durch ihre Verfügbarkeit verbindliche Deklarationsvorgaben. Gebäudehülle, Anlagenwahl und Dimensionierung werden deshalb als Projektgrößen beschrieben; nutzungsbezogene Referenzbedarfe und übergreifende Modellannahmen werden tabellarisch ausgewiesen.</w:t>
      </w:r>
    </w:p>
    <w:p w14:paraId="5E24C1E1" w14:textId="77777777" w:rsidR="004E4CC2" w:rsidRDefault="00000000">
      <w:pPr>
        <w:pStyle w:val="Textkrper"/>
      </w:pPr>
      <w:r>
        <w:rPr>
          <w:b/>
          <w:bCs/>
        </w:rPr>
        <w:t>Vorläufig</w:t>
      </w:r>
      <w:r>
        <w:t xml:space="preserve"> bezeichnet Werte aus dem PEExcel-Entwicklungsschema </w:t>
      </w:r>
      <w:r>
        <w:rPr>
          <w:rStyle w:val="VerbatimChar"/>
        </w:rPr>
        <w:t>1.13.1_dev</w:t>
      </w:r>
      <w:r>
        <w:t xml:space="preserve"> (Eingabeschema 8, Export vom 18.08.2026), deren fachliche Festlegung noch aussteht. </w:t>
      </w:r>
      <w:r>
        <w:rPr>
          <w:b/>
          <w:bCs/>
        </w:rPr>
        <w:t>Noch zu ergänzen</w:t>
      </w:r>
      <w:r>
        <w:t xml:space="preserve"> kennzeichnet fehlende Angaben dieser Berichtsfassung. </w:t>
      </w:r>
      <w:r>
        <w:rPr>
          <w:b/>
          <w:bCs/>
        </w:rPr>
        <w:t>Projektwert</w:t>
      </w:r>
      <w:r>
        <w:t xml:space="preserve"> bezeichnet eine aus dem Vorhaben zu bestimmende Größe, keine Lücke. PEExcel-Kennungen dienen dem Wiederfinden im Tool.</w:t>
      </w:r>
    </w:p>
    <w:p w14:paraId="432EC548" w14:textId="77777777" w:rsidR="004E4CC2" w:rsidRDefault="00000000">
      <w:pPr>
        <w:pStyle w:val="berschrift2"/>
      </w:pPr>
      <w:bookmarkStart w:id="414" w:name="nutzerstrom-und-warmwasserwärmebedarf"/>
      <w:bookmarkStart w:id="415" w:name="_Toc243681385"/>
      <w:r>
        <w:t>F.1 Nutzerstrom und Warmwasserwärmebedarf</w:t>
      </w:r>
      <w:bookmarkEnd w:id="415"/>
    </w:p>
    <w:p w14:paraId="74532E40" w14:textId="77777777" w:rsidR="004E4CC2" w:rsidRDefault="00000000">
      <w:pPr>
        <w:pStyle w:val="FirstParagraph"/>
      </w:pPr>
      <w:r>
        <w:t>Die Jahresbedarfe beziehen sich auf die Nettogrundfläche der jeweiligen Nutzung. Warmwasserwärmebedarf bezeichnet die benötigte Nutzwärme; Erzeugungs-, Speicher- und Verteilverluste werden zusätzlich im Versorgungssystem berücksichtigt. Die Werte sind auf zwei Dezimalstellen gerundet.</w:t>
      </w:r>
    </w:p>
    <w:p w14:paraId="362237F3" w14:textId="77777777" w:rsidR="004E4CC2" w:rsidRDefault="00000000">
      <w:pPr>
        <w:pStyle w:val="TableCaption"/>
      </w:pPr>
      <w:r>
        <w:rPr>
          <w:b/>
          <w:bCs/>
        </w:rPr>
        <w:t>Vorläufige Referenzwerte:</w:t>
      </w:r>
      <w:r>
        <w:t xml:space="preserve"> Schema 1.13.1_dev, Blatt </w:t>
      </w:r>
      <w:r>
        <w:rPr>
          <w:rStyle w:val="VerbatimChar"/>
        </w:rPr>
        <w:t>plugloads</w:t>
      </w:r>
      <w:r>
        <w:t xml:space="preserve">, E5:E11, und </w:t>
      </w:r>
      <w:r>
        <w:rPr>
          <w:rStyle w:val="VerbatimChar"/>
        </w:rPr>
        <w:t>dhw_demand</w:t>
      </w:r>
      <w:r>
        <w:t xml:space="preserve">, G4:G10, jeweils Variante „Deklaration“. Fachliche Quellen und endgültige Gültigkeit sind </w:t>
      </w:r>
      <w:r>
        <w:rPr>
          <w:b/>
          <w:bCs/>
        </w:rPr>
        <w:t>noch zu ergänzen</w:t>
      </w:r>
      <w:r>
        <w:t xml:space="preserve">. Der Variantenname allein begründet keine verbindliche Vorgabe. </w:t>
      </w:r>
      <w:r>
        <w:rPr>
          <w:iCs/>
        </w:rPr>
        <w:t>Der exportierte Nullwert für sonstige Nutzung ist keine allgemeine Annahme eines stromfreien Betriebs; ein geeigneter Referenzbedarf fehlt.</w:t>
      </w:r>
    </w:p>
    <w:tbl>
      <w:tblPr>
        <w:tblStyle w:val="Table"/>
        <w:tblW w:w="5000" w:type="pct"/>
        <w:tblLayout w:type="fixed"/>
        <w:tblLook w:val="0020" w:firstRow="1" w:lastRow="0" w:firstColumn="0" w:lastColumn="0" w:noHBand="0" w:noVBand="0"/>
      </w:tblPr>
      <w:tblGrid>
        <w:gridCol w:w="2062"/>
        <w:gridCol w:w="2749"/>
        <w:gridCol w:w="2749"/>
        <w:gridCol w:w="2062"/>
      </w:tblGrid>
      <w:tr w:rsidR="004E4CC2" w14:paraId="1A31D740"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697" w:type="dxa"/>
          </w:tcPr>
          <w:p w14:paraId="59C931EE" w14:textId="77777777" w:rsidR="004E4CC2" w:rsidRDefault="00000000">
            <w:pPr>
              <w:pStyle w:val="Compact"/>
            </w:pPr>
            <w:r>
              <w:t>Nutzung</w:t>
            </w:r>
          </w:p>
        </w:tc>
        <w:tc>
          <w:tcPr>
            <w:tcW w:w="2262" w:type="dxa"/>
          </w:tcPr>
          <w:p w14:paraId="168D4A56" w14:textId="77777777" w:rsidR="004E4CC2" w:rsidRDefault="00000000">
            <w:pPr>
              <w:pStyle w:val="Compact"/>
              <w:jc w:val="right"/>
            </w:pPr>
            <w:r>
              <w:t>Nutzerstrom [kWh/(m² NGF a)]</w:t>
            </w:r>
          </w:p>
        </w:tc>
        <w:tc>
          <w:tcPr>
            <w:tcW w:w="2262" w:type="dxa"/>
          </w:tcPr>
          <w:p w14:paraId="456974AC" w14:textId="77777777" w:rsidR="004E4CC2" w:rsidRDefault="00000000">
            <w:pPr>
              <w:pStyle w:val="Compact"/>
              <w:jc w:val="right"/>
            </w:pPr>
            <w:r>
              <w:t>Warmwasserwärmebedarf [kWh/(m² NGF a)]</w:t>
            </w:r>
          </w:p>
        </w:tc>
        <w:tc>
          <w:tcPr>
            <w:tcW w:w="1697" w:type="dxa"/>
          </w:tcPr>
          <w:p w14:paraId="79ADC37F" w14:textId="77777777" w:rsidR="004E4CC2" w:rsidRDefault="00000000">
            <w:pPr>
              <w:pStyle w:val="Compact"/>
            </w:pPr>
            <w:r>
              <w:t>PEExcel-Nutzungsschlüssel</w:t>
            </w:r>
          </w:p>
        </w:tc>
      </w:tr>
      <w:tr w:rsidR="004E4CC2" w14:paraId="1D2A3A07" w14:textId="77777777">
        <w:tc>
          <w:tcPr>
            <w:tcW w:w="1697" w:type="dxa"/>
          </w:tcPr>
          <w:p w14:paraId="051B6C53" w14:textId="77777777" w:rsidR="004E4CC2" w:rsidRDefault="00000000">
            <w:pPr>
              <w:pStyle w:val="Compact"/>
            </w:pPr>
            <w:r>
              <w:t>Wohnen</w:t>
            </w:r>
          </w:p>
        </w:tc>
        <w:tc>
          <w:tcPr>
            <w:tcW w:w="2262" w:type="dxa"/>
          </w:tcPr>
          <w:p w14:paraId="081756DD" w14:textId="77777777" w:rsidR="004E4CC2" w:rsidRDefault="00000000">
            <w:pPr>
              <w:pStyle w:val="Compact"/>
              <w:jc w:val="right"/>
            </w:pPr>
            <w:r>
              <w:t>20,53</w:t>
            </w:r>
          </w:p>
        </w:tc>
        <w:tc>
          <w:tcPr>
            <w:tcW w:w="2262" w:type="dxa"/>
          </w:tcPr>
          <w:p w14:paraId="026C244C" w14:textId="77777777" w:rsidR="004E4CC2" w:rsidRDefault="00000000">
            <w:pPr>
              <w:pStyle w:val="Compact"/>
              <w:jc w:val="right"/>
            </w:pPr>
            <w:r>
              <w:t>12,78</w:t>
            </w:r>
          </w:p>
        </w:tc>
        <w:tc>
          <w:tcPr>
            <w:tcW w:w="1697" w:type="dxa"/>
          </w:tcPr>
          <w:p w14:paraId="09B91A14" w14:textId="77777777" w:rsidR="004E4CC2" w:rsidRDefault="00000000">
            <w:pPr>
              <w:pStyle w:val="Compact"/>
            </w:pPr>
            <w:r>
              <w:rPr>
                <w:rStyle w:val="VerbatimChar"/>
              </w:rPr>
              <w:t>residential</w:t>
            </w:r>
          </w:p>
        </w:tc>
      </w:tr>
      <w:tr w:rsidR="004E4CC2" w14:paraId="60D30E8D" w14:textId="77777777">
        <w:tc>
          <w:tcPr>
            <w:tcW w:w="1697" w:type="dxa"/>
          </w:tcPr>
          <w:p w14:paraId="7800D0F5" w14:textId="77777777" w:rsidR="004E4CC2" w:rsidRDefault="00000000">
            <w:pPr>
              <w:pStyle w:val="Compact"/>
            </w:pPr>
            <w:r>
              <w:t>Büro</w:t>
            </w:r>
          </w:p>
        </w:tc>
        <w:tc>
          <w:tcPr>
            <w:tcW w:w="2262" w:type="dxa"/>
          </w:tcPr>
          <w:p w14:paraId="525D4153" w14:textId="77777777" w:rsidR="004E4CC2" w:rsidRDefault="00000000">
            <w:pPr>
              <w:pStyle w:val="Compact"/>
              <w:jc w:val="right"/>
            </w:pPr>
            <w:r>
              <w:t>24,64</w:t>
            </w:r>
          </w:p>
        </w:tc>
        <w:tc>
          <w:tcPr>
            <w:tcW w:w="2262" w:type="dxa"/>
          </w:tcPr>
          <w:p w14:paraId="5E9FE830" w14:textId="77777777" w:rsidR="004E4CC2" w:rsidRDefault="00000000">
            <w:pPr>
              <w:pStyle w:val="Compact"/>
              <w:jc w:val="right"/>
            </w:pPr>
            <w:r>
              <w:t>3,03</w:t>
            </w:r>
          </w:p>
        </w:tc>
        <w:tc>
          <w:tcPr>
            <w:tcW w:w="1697" w:type="dxa"/>
          </w:tcPr>
          <w:p w14:paraId="379B6DE0" w14:textId="77777777" w:rsidR="004E4CC2" w:rsidRDefault="00000000">
            <w:pPr>
              <w:pStyle w:val="Compact"/>
            </w:pPr>
            <w:r>
              <w:rPr>
                <w:rStyle w:val="VerbatimChar"/>
              </w:rPr>
              <w:t>office</w:t>
            </w:r>
          </w:p>
        </w:tc>
      </w:tr>
      <w:tr w:rsidR="004E4CC2" w14:paraId="53515103" w14:textId="77777777">
        <w:tc>
          <w:tcPr>
            <w:tcW w:w="1697" w:type="dxa"/>
          </w:tcPr>
          <w:p w14:paraId="1BE231CF" w14:textId="77777777" w:rsidR="004E4CC2" w:rsidRDefault="00000000">
            <w:pPr>
              <w:pStyle w:val="Compact"/>
            </w:pPr>
            <w:r>
              <w:t>Bildung sekundär</w:t>
            </w:r>
          </w:p>
        </w:tc>
        <w:tc>
          <w:tcPr>
            <w:tcW w:w="2262" w:type="dxa"/>
          </w:tcPr>
          <w:p w14:paraId="4F9D8BF8" w14:textId="77777777" w:rsidR="004E4CC2" w:rsidRDefault="00000000">
            <w:pPr>
              <w:pStyle w:val="Compact"/>
              <w:jc w:val="right"/>
            </w:pPr>
            <w:r>
              <w:t>51,32</w:t>
            </w:r>
          </w:p>
        </w:tc>
        <w:tc>
          <w:tcPr>
            <w:tcW w:w="2262" w:type="dxa"/>
          </w:tcPr>
          <w:p w14:paraId="6A0F84A7" w14:textId="77777777" w:rsidR="004E4CC2" w:rsidRDefault="00000000">
            <w:pPr>
              <w:pStyle w:val="Compact"/>
              <w:jc w:val="right"/>
            </w:pPr>
            <w:r>
              <w:t>3,36</w:t>
            </w:r>
          </w:p>
        </w:tc>
        <w:tc>
          <w:tcPr>
            <w:tcW w:w="1697" w:type="dxa"/>
          </w:tcPr>
          <w:p w14:paraId="7060F985" w14:textId="77777777" w:rsidR="004E4CC2" w:rsidRDefault="00000000">
            <w:pPr>
              <w:pStyle w:val="Compact"/>
            </w:pPr>
            <w:r>
              <w:rPr>
                <w:rStyle w:val="VerbatimChar"/>
              </w:rPr>
              <w:t>schoolsec</w:t>
            </w:r>
          </w:p>
        </w:tc>
      </w:tr>
      <w:tr w:rsidR="004E4CC2" w14:paraId="30130906" w14:textId="77777777">
        <w:tc>
          <w:tcPr>
            <w:tcW w:w="1697" w:type="dxa"/>
          </w:tcPr>
          <w:p w14:paraId="719DB6EE" w14:textId="77777777" w:rsidR="004E4CC2" w:rsidRDefault="00000000">
            <w:pPr>
              <w:pStyle w:val="Compact"/>
            </w:pPr>
            <w:r>
              <w:t>Bildung primär</w:t>
            </w:r>
          </w:p>
        </w:tc>
        <w:tc>
          <w:tcPr>
            <w:tcW w:w="2262" w:type="dxa"/>
          </w:tcPr>
          <w:p w14:paraId="4A7FB64E" w14:textId="77777777" w:rsidR="004E4CC2" w:rsidRDefault="00000000">
            <w:pPr>
              <w:pStyle w:val="Compact"/>
              <w:jc w:val="right"/>
            </w:pPr>
            <w:r>
              <w:t>30,79</w:t>
            </w:r>
          </w:p>
        </w:tc>
        <w:tc>
          <w:tcPr>
            <w:tcW w:w="2262" w:type="dxa"/>
          </w:tcPr>
          <w:p w14:paraId="2081B344" w14:textId="77777777" w:rsidR="004E4CC2" w:rsidRDefault="00000000">
            <w:pPr>
              <w:pStyle w:val="Compact"/>
              <w:jc w:val="right"/>
            </w:pPr>
            <w:r>
              <w:t>3,36</w:t>
            </w:r>
          </w:p>
        </w:tc>
        <w:tc>
          <w:tcPr>
            <w:tcW w:w="1697" w:type="dxa"/>
          </w:tcPr>
          <w:p w14:paraId="2AC704E2" w14:textId="77777777" w:rsidR="004E4CC2" w:rsidRDefault="00000000">
            <w:pPr>
              <w:pStyle w:val="Compact"/>
            </w:pPr>
            <w:r>
              <w:rPr>
                <w:rStyle w:val="VerbatimChar"/>
              </w:rPr>
              <w:t>schoolprim</w:t>
            </w:r>
          </w:p>
        </w:tc>
      </w:tr>
      <w:tr w:rsidR="004E4CC2" w14:paraId="380E9475" w14:textId="77777777">
        <w:tc>
          <w:tcPr>
            <w:tcW w:w="1697" w:type="dxa"/>
          </w:tcPr>
          <w:p w14:paraId="654E0A7D" w14:textId="77777777" w:rsidR="004E4CC2" w:rsidRDefault="00000000">
            <w:pPr>
              <w:pStyle w:val="Compact"/>
            </w:pPr>
            <w:r>
              <w:t>Lebensmittelhandel</w:t>
            </w:r>
          </w:p>
        </w:tc>
        <w:tc>
          <w:tcPr>
            <w:tcW w:w="2262" w:type="dxa"/>
          </w:tcPr>
          <w:p w14:paraId="7DF5390B" w14:textId="77777777" w:rsidR="004E4CC2" w:rsidRDefault="00000000">
            <w:pPr>
              <w:pStyle w:val="Compact"/>
              <w:jc w:val="right"/>
            </w:pPr>
            <w:r>
              <w:t>30,80</w:t>
            </w:r>
          </w:p>
        </w:tc>
        <w:tc>
          <w:tcPr>
            <w:tcW w:w="2262" w:type="dxa"/>
          </w:tcPr>
          <w:p w14:paraId="439A60D1" w14:textId="77777777" w:rsidR="004E4CC2" w:rsidRDefault="00000000">
            <w:pPr>
              <w:pStyle w:val="Compact"/>
              <w:jc w:val="right"/>
            </w:pPr>
            <w:r>
              <w:t>6,34</w:t>
            </w:r>
          </w:p>
        </w:tc>
        <w:tc>
          <w:tcPr>
            <w:tcW w:w="1697" w:type="dxa"/>
          </w:tcPr>
          <w:p w14:paraId="14811BA7" w14:textId="77777777" w:rsidR="004E4CC2" w:rsidRDefault="00000000">
            <w:pPr>
              <w:pStyle w:val="Compact"/>
            </w:pPr>
            <w:r>
              <w:rPr>
                <w:rStyle w:val="VerbatimChar"/>
              </w:rPr>
              <w:t>retailfood</w:t>
            </w:r>
          </w:p>
        </w:tc>
      </w:tr>
      <w:tr w:rsidR="004E4CC2" w14:paraId="3FFF8F22" w14:textId="77777777">
        <w:tc>
          <w:tcPr>
            <w:tcW w:w="1697" w:type="dxa"/>
          </w:tcPr>
          <w:p w14:paraId="22622E96" w14:textId="77777777" w:rsidR="004E4CC2" w:rsidRDefault="00000000">
            <w:pPr>
              <w:pStyle w:val="Compact"/>
            </w:pPr>
            <w:r>
              <w:t>Sonstiger Handel</w:t>
            </w:r>
          </w:p>
        </w:tc>
        <w:tc>
          <w:tcPr>
            <w:tcW w:w="2262" w:type="dxa"/>
          </w:tcPr>
          <w:p w14:paraId="2BA2016B" w14:textId="77777777" w:rsidR="004E4CC2" w:rsidRDefault="00000000">
            <w:pPr>
              <w:pStyle w:val="Compact"/>
              <w:jc w:val="right"/>
            </w:pPr>
            <w:r>
              <w:t>30,80</w:t>
            </w:r>
          </w:p>
        </w:tc>
        <w:tc>
          <w:tcPr>
            <w:tcW w:w="2262" w:type="dxa"/>
          </w:tcPr>
          <w:p w14:paraId="011D1FF2" w14:textId="77777777" w:rsidR="004E4CC2" w:rsidRDefault="00000000">
            <w:pPr>
              <w:pStyle w:val="Compact"/>
              <w:jc w:val="right"/>
            </w:pPr>
            <w:r>
              <w:t>6,34</w:t>
            </w:r>
          </w:p>
        </w:tc>
        <w:tc>
          <w:tcPr>
            <w:tcW w:w="1697" w:type="dxa"/>
          </w:tcPr>
          <w:p w14:paraId="555F319F" w14:textId="77777777" w:rsidR="004E4CC2" w:rsidRDefault="00000000">
            <w:pPr>
              <w:pStyle w:val="Compact"/>
            </w:pPr>
            <w:r>
              <w:rPr>
                <w:rStyle w:val="VerbatimChar"/>
              </w:rPr>
              <w:t>retailother</w:t>
            </w:r>
          </w:p>
        </w:tc>
      </w:tr>
      <w:tr w:rsidR="004E4CC2" w14:paraId="1D29E166" w14:textId="77777777">
        <w:tc>
          <w:tcPr>
            <w:tcW w:w="1697" w:type="dxa"/>
          </w:tcPr>
          <w:p w14:paraId="4A22DFA5" w14:textId="77777777" w:rsidR="004E4CC2" w:rsidRDefault="00000000">
            <w:pPr>
              <w:pStyle w:val="Compact"/>
            </w:pPr>
            <w:r>
              <w:t>Sonstige Nutzung</w:t>
            </w:r>
          </w:p>
        </w:tc>
        <w:tc>
          <w:tcPr>
            <w:tcW w:w="2262" w:type="dxa"/>
          </w:tcPr>
          <w:p w14:paraId="36EAA40B" w14:textId="77777777" w:rsidR="004E4CC2" w:rsidRDefault="00000000">
            <w:pPr>
              <w:pStyle w:val="Compact"/>
              <w:jc w:val="right"/>
            </w:pPr>
            <w:r>
              <w:t>0,00*</w:t>
            </w:r>
          </w:p>
        </w:tc>
        <w:tc>
          <w:tcPr>
            <w:tcW w:w="2262" w:type="dxa"/>
          </w:tcPr>
          <w:p w14:paraId="62A41170" w14:textId="77777777" w:rsidR="004E4CC2" w:rsidRDefault="00000000">
            <w:pPr>
              <w:pStyle w:val="Compact"/>
              <w:jc w:val="right"/>
            </w:pPr>
            <w:r>
              <w:t>6,34</w:t>
            </w:r>
          </w:p>
        </w:tc>
        <w:tc>
          <w:tcPr>
            <w:tcW w:w="1697" w:type="dxa"/>
          </w:tcPr>
          <w:p w14:paraId="4B3DCE8D" w14:textId="77777777" w:rsidR="004E4CC2" w:rsidRDefault="00000000">
            <w:pPr>
              <w:pStyle w:val="Compact"/>
            </w:pPr>
            <w:r>
              <w:rPr>
                <w:rStyle w:val="VerbatimChar"/>
              </w:rPr>
              <w:t>other</w:t>
            </w:r>
          </w:p>
        </w:tc>
      </w:tr>
    </w:tbl>
    <w:p w14:paraId="6AB8C84A" w14:textId="77777777" w:rsidR="004E4CC2" w:rsidRDefault="00000000">
      <w:pPr>
        <w:pStyle w:val="Textkrper"/>
      </w:pPr>
      <w:r>
        <w:t xml:space="preserve">PEExcel-Zuordnung: </w:t>
      </w:r>
      <w:r>
        <w:rPr>
          <w:rStyle w:val="VerbatimChar"/>
        </w:rPr>
        <w:t>plugloads_&lt;Nutzungsschlüssel&gt;</w:t>
      </w:r>
      <w:r>
        <w:t xml:space="preserve"> und </w:t>
      </w:r>
      <w:r>
        <w:rPr>
          <w:rStyle w:val="VerbatimChar"/>
        </w:rPr>
        <w:t>DHW_demand_&lt;Nutzungsschlüssel&gt;_kWhm2</w:t>
      </w:r>
      <w:r>
        <w:t>.</w:t>
      </w:r>
    </w:p>
    <w:tbl>
      <w:tblPr>
        <w:tblStyle w:val="Table"/>
        <w:tblW w:w="5000" w:type="pct"/>
        <w:tblLayout w:type="fixed"/>
        <w:tblLook w:val="0020" w:firstRow="1" w:lastRow="0" w:firstColumn="0" w:lastColumn="0" w:noHBand="0" w:noVBand="0"/>
      </w:tblPr>
      <w:tblGrid>
        <w:gridCol w:w="3208"/>
        <w:gridCol w:w="3207"/>
        <w:gridCol w:w="3207"/>
      </w:tblGrid>
      <w:tr w:rsidR="004E4CC2" w14:paraId="628F3A7F"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4DE8AE9A" w14:textId="77777777" w:rsidR="004E4CC2" w:rsidRDefault="00000000">
            <w:pPr>
              <w:pStyle w:val="Compact"/>
            </w:pPr>
            <w:r>
              <w:t>Ergänzende Annahme</w:t>
            </w:r>
          </w:p>
        </w:tc>
        <w:tc>
          <w:tcPr>
            <w:tcW w:w="2640" w:type="dxa"/>
          </w:tcPr>
          <w:p w14:paraId="727F1D1D" w14:textId="77777777" w:rsidR="004E4CC2" w:rsidRDefault="00000000">
            <w:pPr>
              <w:pStyle w:val="Compact"/>
            </w:pPr>
            <w:r>
              <w:t>Stand</w:t>
            </w:r>
          </w:p>
        </w:tc>
        <w:tc>
          <w:tcPr>
            <w:tcW w:w="2640" w:type="dxa"/>
          </w:tcPr>
          <w:p w14:paraId="118CD334" w14:textId="77777777" w:rsidR="004E4CC2" w:rsidRDefault="00000000">
            <w:pPr>
              <w:pStyle w:val="Compact"/>
            </w:pPr>
            <w:r>
              <w:t>Bedeutung</w:t>
            </w:r>
          </w:p>
        </w:tc>
      </w:tr>
      <w:tr w:rsidR="004E4CC2" w14:paraId="2727E080" w14:textId="77777777">
        <w:tc>
          <w:tcPr>
            <w:tcW w:w="2640" w:type="dxa"/>
          </w:tcPr>
          <w:p w14:paraId="2BC3F45A" w14:textId="77777777" w:rsidR="004E4CC2" w:rsidRDefault="00000000">
            <w:pPr>
              <w:pStyle w:val="Compact"/>
            </w:pPr>
            <w:r>
              <w:t>Zeitliche Verteilung der Jahresbedarfe</w:t>
            </w:r>
          </w:p>
        </w:tc>
        <w:tc>
          <w:tcPr>
            <w:tcW w:w="2640" w:type="dxa"/>
          </w:tcPr>
          <w:p w14:paraId="1781EED9" w14:textId="77777777" w:rsidR="004E4CC2" w:rsidRDefault="00000000">
            <w:pPr>
              <w:pStyle w:val="Compact"/>
            </w:pPr>
            <w:r>
              <w:rPr>
                <w:b/>
                <w:bCs/>
              </w:rPr>
              <w:t>Noch zu ergänzen:</w:t>
            </w:r>
            <w:r>
              <w:t xml:space="preserve"> Stundenprofile, Wochen-</w:t>
            </w:r>
            <w:r>
              <w:lastRenderedPageBreak/>
              <w:t>/Feiertags- und Jahresverlauf je Nutzung</w:t>
            </w:r>
          </w:p>
        </w:tc>
        <w:tc>
          <w:tcPr>
            <w:tcW w:w="2640" w:type="dxa"/>
          </w:tcPr>
          <w:p w14:paraId="6EB4BF9D" w14:textId="77777777" w:rsidR="004E4CC2" w:rsidRDefault="00000000">
            <w:pPr>
              <w:pStyle w:val="Compact"/>
            </w:pPr>
            <w:r>
              <w:lastRenderedPageBreak/>
              <w:t xml:space="preserve">Bestimmt Gleichzeitigkeit mit PV und Wirkung von </w:t>
            </w:r>
            <w:r>
              <w:lastRenderedPageBreak/>
              <w:t>Speichern</w:t>
            </w:r>
          </w:p>
        </w:tc>
      </w:tr>
      <w:tr w:rsidR="004E4CC2" w14:paraId="6AE807BB" w14:textId="77777777">
        <w:tc>
          <w:tcPr>
            <w:tcW w:w="2640" w:type="dxa"/>
          </w:tcPr>
          <w:p w14:paraId="3FDC48B8" w14:textId="77777777" w:rsidR="004E4CC2" w:rsidRDefault="00000000">
            <w:pPr>
              <w:pStyle w:val="Compact"/>
            </w:pPr>
            <w:r>
              <w:lastRenderedPageBreak/>
              <w:t>Abgrenzung des Nutzerstroms</w:t>
            </w:r>
          </w:p>
        </w:tc>
        <w:tc>
          <w:tcPr>
            <w:tcW w:w="2640" w:type="dxa"/>
          </w:tcPr>
          <w:p w14:paraId="00DE99DB" w14:textId="77777777" w:rsidR="004E4CC2" w:rsidRDefault="00000000">
            <w:pPr>
              <w:pStyle w:val="Compact"/>
            </w:pPr>
            <w:r>
              <w:rPr>
                <w:b/>
                <w:bCs/>
              </w:rPr>
              <w:t>Noch zu ergänzen:</w:t>
            </w:r>
            <w:r>
              <w:t xml:space="preserve"> enthaltene Anwendungen je Nutzung</w:t>
            </w:r>
          </w:p>
        </w:tc>
        <w:tc>
          <w:tcPr>
            <w:tcW w:w="2640" w:type="dxa"/>
          </w:tcPr>
          <w:p w14:paraId="76C12652" w14:textId="77777777" w:rsidR="004E4CC2" w:rsidRDefault="00000000">
            <w:pPr>
              <w:pStyle w:val="Compact"/>
            </w:pPr>
            <w:r>
              <w:t>Vermeidet Überschneidungen mit Beleuchtung, Allgemeinstrom, Haustechnik und Prozessenergie</w:t>
            </w:r>
          </w:p>
        </w:tc>
      </w:tr>
      <w:tr w:rsidR="004E4CC2" w14:paraId="640F311C" w14:textId="77777777">
        <w:tc>
          <w:tcPr>
            <w:tcW w:w="2640" w:type="dxa"/>
          </w:tcPr>
          <w:p w14:paraId="627D848C" w14:textId="77777777" w:rsidR="004E4CC2" w:rsidRDefault="00000000">
            <w:pPr>
              <w:pStyle w:val="Compact"/>
            </w:pPr>
            <w:r>
              <w:t>Warmwassernutzung</w:t>
            </w:r>
          </w:p>
        </w:tc>
        <w:tc>
          <w:tcPr>
            <w:tcW w:w="2640" w:type="dxa"/>
          </w:tcPr>
          <w:p w14:paraId="0452D331" w14:textId="77777777" w:rsidR="004E4CC2" w:rsidRDefault="00000000">
            <w:pPr>
              <w:pStyle w:val="Compact"/>
            </w:pPr>
            <w:r>
              <w:rPr>
                <w:b/>
                <w:bCs/>
              </w:rPr>
              <w:t>Noch zu ergänzen:</w:t>
            </w:r>
            <w:r>
              <w:t xml:space="preserve"> Zapfprofile und Nutzungsintensität</w:t>
            </w:r>
          </w:p>
        </w:tc>
        <w:tc>
          <w:tcPr>
            <w:tcW w:w="2640" w:type="dxa"/>
          </w:tcPr>
          <w:p w14:paraId="787CBA97" w14:textId="77777777" w:rsidR="004E4CC2" w:rsidRDefault="00000000">
            <w:pPr>
              <w:pStyle w:val="Compact"/>
            </w:pPr>
            <w:r>
              <w:t>Verknüpft Jahreswärmebedarf mit Leistungs- und Speicherbedarf</w:t>
            </w:r>
          </w:p>
        </w:tc>
      </w:tr>
      <w:tr w:rsidR="004E4CC2" w14:paraId="169E778E" w14:textId="77777777">
        <w:tc>
          <w:tcPr>
            <w:tcW w:w="2640" w:type="dxa"/>
          </w:tcPr>
          <w:p w14:paraId="35DBDB8F" w14:textId="77777777" w:rsidR="004E4CC2" w:rsidRDefault="00000000">
            <w:pPr>
              <w:pStyle w:val="Compact"/>
            </w:pPr>
            <w:r>
              <w:t>Sondernutzungen</w:t>
            </w:r>
          </w:p>
        </w:tc>
        <w:tc>
          <w:tcPr>
            <w:tcW w:w="2640" w:type="dxa"/>
          </w:tcPr>
          <w:p w14:paraId="4E82D55D" w14:textId="77777777" w:rsidR="004E4CC2" w:rsidRDefault="00000000">
            <w:pPr>
              <w:pStyle w:val="Compact"/>
            </w:pPr>
            <w:r>
              <w:rPr>
                <w:b/>
                <w:bCs/>
              </w:rPr>
              <w:t>Noch zu ergänzen:</w:t>
            </w:r>
            <w:r>
              <w:t xml:space="preserve"> Zuordnungsregel und Referenzbedarfe</w:t>
            </w:r>
          </w:p>
        </w:tc>
        <w:tc>
          <w:tcPr>
            <w:tcW w:w="2640" w:type="dxa"/>
          </w:tcPr>
          <w:p w14:paraId="0C403784" w14:textId="77777777" w:rsidR="004E4CC2" w:rsidRDefault="00000000">
            <w:pPr>
              <w:pStyle w:val="Compact"/>
            </w:pPr>
            <w:r>
              <w:t>Für Nutzungen, die durch die vorhandenen Kategorien nicht angemessen beschrieben werden</w:t>
            </w:r>
          </w:p>
        </w:tc>
      </w:tr>
    </w:tbl>
    <w:p w14:paraId="585D49B1" w14:textId="77777777" w:rsidR="004E4CC2" w:rsidRDefault="00000000">
      <w:pPr>
        <w:pStyle w:val="berschrift2"/>
      </w:pPr>
      <w:bookmarkStart w:id="416" w:name="X3e95c389cd6670b7d9e468e872aa53b43fee85e"/>
      <w:bookmarkStart w:id="417" w:name="_Toc243681386"/>
      <w:bookmarkEnd w:id="414"/>
      <w:r>
        <w:t>F.2 Allgemeinstrom, Beleuchtung und innere Wärmegewinne</w:t>
      </w:r>
      <w:bookmarkEnd w:id="417"/>
    </w:p>
    <w:tbl>
      <w:tblPr>
        <w:tblStyle w:val="Table"/>
        <w:tblW w:w="5000" w:type="pct"/>
        <w:tblLayout w:type="fixed"/>
        <w:tblLook w:val="0020" w:firstRow="1" w:lastRow="0" w:firstColumn="0" w:lastColumn="0" w:noHBand="0" w:noVBand="0"/>
      </w:tblPr>
      <w:tblGrid>
        <w:gridCol w:w="3208"/>
        <w:gridCol w:w="3207"/>
        <w:gridCol w:w="3207"/>
      </w:tblGrid>
      <w:tr w:rsidR="004E4CC2" w14:paraId="57CA4C70"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0DE0F39B" w14:textId="77777777" w:rsidR="004E4CC2" w:rsidRDefault="00000000">
            <w:pPr>
              <w:pStyle w:val="Compact"/>
            </w:pPr>
            <w:r>
              <w:t>Größe</w:t>
            </w:r>
          </w:p>
        </w:tc>
        <w:tc>
          <w:tcPr>
            <w:tcW w:w="2640" w:type="dxa"/>
          </w:tcPr>
          <w:p w14:paraId="09EE2ECB" w14:textId="77777777" w:rsidR="004E4CC2" w:rsidRDefault="00000000">
            <w:pPr>
              <w:pStyle w:val="Compact"/>
            </w:pPr>
            <w:r>
              <w:t>Benötigter Ansatz</w:t>
            </w:r>
          </w:p>
        </w:tc>
        <w:tc>
          <w:tcPr>
            <w:tcW w:w="2640" w:type="dxa"/>
          </w:tcPr>
          <w:p w14:paraId="1185DF0A" w14:textId="77777777" w:rsidR="004E4CC2" w:rsidRDefault="00000000">
            <w:pPr>
              <w:pStyle w:val="Compact"/>
            </w:pPr>
            <w:r>
              <w:t>Stand / PEExcel-Bezug</w:t>
            </w:r>
          </w:p>
        </w:tc>
      </w:tr>
      <w:tr w:rsidR="004E4CC2" w14:paraId="50EA7384" w14:textId="77777777">
        <w:tc>
          <w:tcPr>
            <w:tcW w:w="2640" w:type="dxa"/>
          </w:tcPr>
          <w:p w14:paraId="06E33B4F" w14:textId="77777777" w:rsidR="004E4CC2" w:rsidRDefault="00000000">
            <w:pPr>
              <w:pStyle w:val="Compact"/>
            </w:pPr>
            <w:r>
              <w:t>Allgemeinstrom</w:t>
            </w:r>
          </w:p>
        </w:tc>
        <w:tc>
          <w:tcPr>
            <w:tcW w:w="2640" w:type="dxa"/>
          </w:tcPr>
          <w:p w14:paraId="5666F846" w14:textId="77777777" w:rsidR="004E4CC2" w:rsidRDefault="00000000">
            <w:pPr>
              <w:pStyle w:val="Compact"/>
            </w:pPr>
            <w:r>
              <w:t>Jahresbedarf je Nutzung in kWh/(m² NGF a), enthaltene Anwendungen</w:t>
            </w:r>
          </w:p>
        </w:tc>
        <w:tc>
          <w:tcPr>
            <w:tcW w:w="2640" w:type="dxa"/>
          </w:tcPr>
          <w:p w14:paraId="474F8692" w14:textId="77777777" w:rsidR="004E4CC2" w:rsidRDefault="00000000">
            <w:pPr>
              <w:pStyle w:val="Compact"/>
            </w:pPr>
            <w:r>
              <w:rPr>
                <w:b/>
                <w:bCs/>
              </w:rPr>
              <w:t>Noch zu ergänzen</w:t>
            </w:r>
            <w:r>
              <w:t xml:space="preserve">; </w:t>
            </w:r>
            <w:r>
              <w:rPr>
                <w:rStyle w:val="VerbatimChar"/>
              </w:rPr>
              <w:t>aux_el_demand_&lt;Nutzungsschlüssel&gt;_kWhm2</w:t>
            </w:r>
          </w:p>
        </w:tc>
      </w:tr>
      <w:tr w:rsidR="004E4CC2" w14:paraId="51BDEBC9" w14:textId="77777777">
        <w:tc>
          <w:tcPr>
            <w:tcW w:w="2640" w:type="dxa"/>
          </w:tcPr>
          <w:p w14:paraId="4D5E7F0C" w14:textId="77777777" w:rsidR="004E4CC2" w:rsidRDefault="00000000">
            <w:pPr>
              <w:pStyle w:val="Compact"/>
            </w:pPr>
            <w:r>
              <w:t>Beleuchtungsleistung</w:t>
            </w:r>
          </w:p>
        </w:tc>
        <w:tc>
          <w:tcPr>
            <w:tcW w:w="2640" w:type="dxa"/>
          </w:tcPr>
          <w:p w14:paraId="3D3CBF02" w14:textId="77777777" w:rsidR="004E4CC2" w:rsidRDefault="00000000">
            <w:pPr>
              <w:pStyle w:val="Compact"/>
            </w:pPr>
            <w:r>
              <w:t>Installierte bzw. angesetzte Leistung in W/m² und Mindestleistung</w:t>
            </w:r>
          </w:p>
        </w:tc>
        <w:tc>
          <w:tcPr>
            <w:tcW w:w="2640" w:type="dxa"/>
          </w:tcPr>
          <w:p w14:paraId="5E788CC9" w14:textId="77777777" w:rsidR="004E4CC2" w:rsidRDefault="00000000">
            <w:pPr>
              <w:pStyle w:val="Compact"/>
            </w:pPr>
            <w:r>
              <w:rPr>
                <w:b/>
                <w:bCs/>
              </w:rPr>
              <w:t>Noch zu ergänzen</w:t>
            </w:r>
            <w:r>
              <w:t xml:space="preserve">; </w:t>
            </w:r>
            <w:r>
              <w:rPr>
                <w:rStyle w:val="VerbatimChar"/>
              </w:rPr>
              <w:t>Plight_max_*</w:t>
            </w:r>
            <w:r>
              <w:t xml:space="preserve">, </w:t>
            </w:r>
            <w:r>
              <w:rPr>
                <w:rStyle w:val="VerbatimChar"/>
              </w:rPr>
              <w:t>Plight_min_*</w:t>
            </w:r>
            <w:r>
              <w:t xml:space="preserve"> für Büro und Bildungsnutzungen</w:t>
            </w:r>
          </w:p>
        </w:tc>
      </w:tr>
      <w:tr w:rsidR="004E4CC2" w14:paraId="52B7E917" w14:textId="77777777">
        <w:tc>
          <w:tcPr>
            <w:tcW w:w="2640" w:type="dxa"/>
          </w:tcPr>
          <w:p w14:paraId="7E0B6604" w14:textId="77777777" w:rsidR="004E4CC2" w:rsidRDefault="00000000">
            <w:pPr>
              <w:pStyle w:val="Compact"/>
            </w:pPr>
            <w:r>
              <w:t>Beleuchtungsbetrieb</w:t>
            </w:r>
          </w:p>
        </w:tc>
        <w:tc>
          <w:tcPr>
            <w:tcW w:w="2640" w:type="dxa"/>
          </w:tcPr>
          <w:p w14:paraId="1655AC27" w14:textId="77777777" w:rsidR="004E4CC2" w:rsidRDefault="00000000">
            <w:pPr>
              <w:pStyle w:val="Compact"/>
            </w:pPr>
            <w:r>
              <w:t>Nutzungszeiten, Regelung und Skalierung</w:t>
            </w:r>
          </w:p>
        </w:tc>
        <w:tc>
          <w:tcPr>
            <w:tcW w:w="2640" w:type="dxa"/>
          </w:tcPr>
          <w:p w14:paraId="6FBA2204" w14:textId="77777777" w:rsidR="004E4CC2" w:rsidRDefault="00000000">
            <w:pPr>
              <w:pStyle w:val="Compact"/>
            </w:pPr>
            <w:r>
              <w:rPr>
                <w:b/>
                <w:bCs/>
              </w:rPr>
              <w:t>Noch zu ergänzen</w:t>
            </w:r>
            <w:r>
              <w:t xml:space="preserve">; </w:t>
            </w:r>
            <w:r>
              <w:rPr>
                <w:rStyle w:val="VerbatimChar"/>
              </w:rPr>
              <w:t>lighting_factor_*</w:t>
            </w:r>
            <w:r>
              <w:t xml:space="preserve"> und Zeitprofile</w:t>
            </w:r>
          </w:p>
        </w:tc>
      </w:tr>
      <w:tr w:rsidR="004E4CC2" w14:paraId="1492940D" w14:textId="77777777">
        <w:tc>
          <w:tcPr>
            <w:tcW w:w="2640" w:type="dxa"/>
          </w:tcPr>
          <w:p w14:paraId="7475F816" w14:textId="77777777" w:rsidR="004E4CC2" w:rsidRDefault="00000000">
            <w:pPr>
              <w:pStyle w:val="Compact"/>
            </w:pPr>
            <w:r>
              <w:t>Tageslichtnutzung</w:t>
            </w:r>
          </w:p>
        </w:tc>
        <w:tc>
          <w:tcPr>
            <w:tcW w:w="2640" w:type="dxa"/>
          </w:tcPr>
          <w:p w14:paraId="6CBB50EF" w14:textId="77777777" w:rsidR="004E4CC2" w:rsidRDefault="00000000">
            <w:pPr>
              <w:pStyle w:val="Compact"/>
            </w:pPr>
            <w:r>
              <w:t>Tageslichtkoeffizient und Anteil tageslichtgesteuerter Beleuchtung</w:t>
            </w:r>
          </w:p>
        </w:tc>
        <w:tc>
          <w:tcPr>
            <w:tcW w:w="2640" w:type="dxa"/>
          </w:tcPr>
          <w:p w14:paraId="691CE538" w14:textId="77777777" w:rsidR="004E4CC2" w:rsidRDefault="00000000">
            <w:pPr>
              <w:pStyle w:val="Compact"/>
            </w:pPr>
            <w:r>
              <w:rPr>
                <w:b/>
                <w:bCs/>
              </w:rPr>
              <w:t>Noch zu ergänzen</w:t>
            </w:r>
            <w:r>
              <w:t xml:space="preserve">; </w:t>
            </w:r>
            <w:r>
              <w:rPr>
                <w:rStyle w:val="VerbatimChar"/>
              </w:rPr>
              <w:t>Daylightcoefficient_*</w:t>
            </w:r>
            <w:r>
              <w:t xml:space="preserve">, </w:t>
            </w:r>
            <w:r>
              <w:rPr>
                <w:rStyle w:val="VerbatimChar"/>
              </w:rPr>
              <w:t>daylightcontr_*</w:t>
            </w:r>
            <w:r>
              <w:t xml:space="preserve"> für Büro und Bildungsnutzungen</w:t>
            </w:r>
          </w:p>
        </w:tc>
      </w:tr>
      <w:tr w:rsidR="004E4CC2" w14:paraId="791AE69D" w14:textId="77777777">
        <w:tc>
          <w:tcPr>
            <w:tcW w:w="2640" w:type="dxa"/>
          </w:tcPr>
          <w:p w14:paraId="5646701E" w14:textId="77777777" w:rsidR="004E4CC2" w:rsidRDefault="00000000">
            <w:pPr>
              <w:pStyle w:val="Compact"/>
            </w:pPr>
            <w:r>
              <w:t>Beleuchtung weiterer Nutzungen</w:t>
            </w:r>
          </w:p>
        </w:tc>
        <w:tc>
          <w:tcPr>
            <w:tcW w:w="2640" w:type="dxa"/>
          </w:tcPr>
          <w:p w14:paraId="67480DFB" w14:textId="77777777" w:rsidR="004E4CC2" w:rsidRDefault="00000000">
            <w:pPr>
              <w:pStyle w:val="Compact"/>
            </w:pPr>
            <w:r>
              <w:t>Einbeziehung in Nutzerstrom oder gesonderte Berechnung</w:t>
            </w:r>
          </w:p>
        </w:tc>
        <w:tc>
          <w:tcPr>
            <w:tcW w:w="2640" w:type="dxa"/>
          </w:tcPr>
          <w:p w14:paraId="524D4347" w14:textId="77777777" w:rsidR="004E4CC2" w:rsidRDefault="00000000">
            <w:pPr>
              <w:pStyle w:val="Compact"/>
            </w:pPr>
            <w:r>
              <w:rPr>
                <w:b/>
                <w:bCs/>
              </w:rPr>
              <w:t>Noch zu ergänzen:</w:t>
            </w:r>
            <w:r>
              <w:t xml:space="preserve"> Abgrenzung für Wohnen, Handel und sonstige Nutzungen</w:t>
            </w:r>
          </w:p>
        </w:tc>
      </w:tr>
      <w:tr w:rsidR="004E4CC2" w14:paraId="735FD171" w14:textId="77777777">
        <w:tc>
          <w:tcPr>
            <w:tcW w:w="2640" w:type="dxa"/>
          </w:tcPr>
          <w:p w14:paraId="180DFD7D" w14:textId="77777777" w:rsidR="004E4CC2" w:rsidRDefault="00000000">
            <w:pPr>
              <w:pStyle w:val="Compact"/>
            </w:pPr>
            <w:r>
              <w:t>Personenwärme</w:t>
            </w:r>
          </w:p>
        </w:tc>
        <w:tc>
          <w:tcPr>
            <w:tcW w:w="2640" w:type="dxa"/>
          </w:tcPr>
          <w:p w14:paraId="6BC25FFA" w14:textId="77777777" w:rsidR="004E4CC2" w:rsidRDefault="00000000">
            <w:pPr>
              <w:pStyle w:val="Compact"/>
            </w:pPr>
            <w:r>
              <w:t>Wärmeabgabe je Person, Belegung und Anwesenheit</w:t>
            </w:r>
          </w:p>
        </w:tc>
        <w:tc>
          <w:tcPr>
            <w:tcW w:w="2640" w:type="dxa"/>
          </w:tcPr>
          <w:p w14:paraId="1AE8E32C" w14:textId="77777777" w:rsidR="004E4CC2" w:rsidRDefault="00000000">
            <w:pPr>
              <w:pStyle w:val="Compact"/>
            </w:pPr>
            <w:r>
              <w:rPr>
                <w:b/>
                <w:bCs/>
              </w:rPr>
              <w:t>Noch zu ergänzen:</w:t>
            </w:r>
            <w:r>
              <w:t xml:space="preserve"> Werte, Quellen und Zuordnung der Wärmeanteile</w:t>
            </w:r>
          </w:p>
        </w:tc>
      </w:tr>
      <w:tr w:rsidR="004E4CC2" w14:paraId="7CB4A09C" w14:textId="77777777">
        <w:tc>
          <w:tcPr>
            <w:tcW w:w="2640" w:type="dxa"/>
          </w:tcPr>
          <w:p w14:paraId="3DF2E0AD" w14:textId="77777777" w:rsidR="004E4CC2" w:rsidRDefault="00000000">
            <w:pPr>
              <w:pStyle w:val="Compact"/>
            </w:pPr>
            <w:r>
              <w:t xml:space="preserve">Geräte- und </w:t>
            </w:r>
            <w:r>
              <w:lastRenderedPageBreak/>
              <w:t>Beleuchtungswärme</w:t>
            </w:r>
          </w:p>
        </w:tc>
        <w:tc>
          <w:tcPr>
            <w:tcW w:w="2640" w:type="dxa"/>
          </w:tcPr>
          <w:p w14:paraId="29A213CE" w14:textId="77777777" w:rsidR="004E4CC2" w:rsidRDefault="00000000">
            <w:pPr>
              <w:pStyle w:val="Compact"/>
            </w:pPr>
            <w:r>
              <w:lastRenderedPageBreak/>
              <w:t xml:space="preserve">Raumwirksamer Anteil der </w:t>
            </w:r>
            <w:r>
              <w:lastRenderedPageBreak/>
              <w:t>elektrischen Energie</w:t>
            </w:r>
          </w:p>
        </w:tc>
        <w:tc>
          <w:tcPr>
            <w:tcW w:w="2640" w:type="dxa"/>
          </w:tcPr>
          <w:p w14:paraId="49DEA033" w14:textId="77777777" w:rsidR="004E4CC2" w:rsidRDefault="00000000">
            <w:pPr>
              <w:pStyle w:val="Compact"/>
            </w:pPr>
            <w:r>
              <w:rPr>
                <w:b/>
                <w:bCs/>
              </w:rPr>
              <w:lastRenderedPageBreak/>
              <w:t>Noch zu ergänzen:</w:t>
            </w:r>
            <w:r>
              <w:t xml:space="preserve"> Anteile </w:t>
            </w:r>
            <w:r>
              <w:lastRenderedPageBreak/>
              <w:t>und zeitliche Zuordnung, einschließlich außerhalb der thermischen Zone abgeführter Wärme</w:t>
            </w:r>
          </w:p>
        </w:tc>
      </w:tr>
      <w:tr w:rsidR="004E4CC2" w14:paraId="2D1AA884" w14:textId="77777777">
        <w:tc>
          <w:tcPr>
            <w:tcW w:w="2640" w:type="dxa"/>
          </w:tcPr>
          <w:p w14:paraId="388289F1" w14:textId="77777777" w:rsidR="004E4CC2" w:rsidRDefault="00000000">
            <w:pPr>
              <w:pStyle w:val="Compact"/>
            </w:pPr>
            <w:r>
              <w:lastRenderedPageBreak/>
              <w:t>Gleichzeitigkeit innerer Wärmegewinne</w:t>
            </w:r>
          </w:p>
        </w:tc>
        <w:tc>
          <w:tcPr>
            <w:tcW w:w="2640" w:type="dxa"/>
          </w:tcPr>
          <w:p w14:paraId="02F2B367" w14:textId="77777777" w:rsidR="004E4CC2" w:rsidRDefault="00000000">
            <w:pPr>
              <w:pStyle w:val="Compact"/>
            </w:pPr>
            <w:r>
              <w:t>Nutzungsbezogene Sommer-/Winteransätze</w:t>
            </w:r>
          </w:p>
        </w:tc>
        <w:tc>
          <w:tcPr>
            <w:tcW w:w="2640" w:type="dxa"/>
          </w:tcPr>
          <w:p w14:paraId="33D92985" w14:textId="77777777" w:rsidR="004E4CC2" w:rsidRDefault="00000000">
            <w:pPr>
              <w:pStyle w:val="Compact"/>
            </w:pPr>
            <w:r>
              <w:rPr>
                <w:b/>
                <w:bCs/>
              </w:rPr>
              <w:t>Noch zu ergänzen</w:t>
            </w:r>
            <w:r>
              <w:t xml:space="preserve">; </w:t>
            </w:r>
            <w:r>
              <w:rPr>
                <w:rStyle w:val="VerbatimChar"/>
              </w:rPr>
              <w:t>usage_concurrency_summer_*</w:t>
            </w:r>
            <w:r>
              <w:t xml:space="preserve">, </w:t>
            </w:r>
            <w:r>
              <w:rPr>
                <w:rStyle w:val="VerbatimChar"/>
              </w:rPr>
              <w:t>usage_concurrency_winter_*</w:t>
            </w:r>
          </w:p>
        </w:tc>
      </w:tr>
    </w:tbl>
    <w:p w14:paraId="72BF8839" w14:textId="77777777" w:rsidR="004E4CC2" w:rsidRDefault="00000000">
      <w:pPr>
        <w:pStyle w:val="Textkrper"/>
      </w:pPr>
      <w:r>
        <w:t>Elektrischer Bedarf und innere Wärmegewinne beschreiben unterschiedliche Wirkungen derselben Nutzung. Ein zusätzlicher pauschaler Wärmegewinn darf bereits aus Personen, Geräten und Beleuchtung erfasste Beiträge nicht doppelt enthalten.</w:t>
      </w:r>
    </w:p>
    <w:p w14:paraId="38D9DC5B" w14:textId="77777777" w:rsidR="004E4CC2" w:rsidRDefault="00000000">
      <w:pPr>
        <w:pStyle w:val="berschrift2"/>
      </w:pPr>
      <w:bookmarkStart w:id="418" w:name="Xa2bf1ed8ab96dcc310e1adeff0ad3ad368ff950"/>
      <w:bookmarkStart w:id="419" w:name="_Toc243681387"/>
      <w:bookmarkEnd w:id="416"/>
      <w:r>
        <w:t>F.3 Belegung, Komfort und thermische Randbedingungen</w:t>
      </w:r>
      <w:bookmarkEnd w:id="419"/>
    </w:p>
    <w:tbl>
      <w:tblPr>
        <w:tblStyle w:val="Table"/>
        <w:tblW w:w="5000" w:type="pct"/>
        <w:tblLayout w:type="fixed"/>
        <w:tblLook w:val="0020" w:firstRow="1" w:lastRow="0" w:firstColumn="0" w:lastColumn="0" w:noHBand="0" w:noVBand="0"/>
      </w:tblPr>
      <w:tblGrid>
        <w:gridCol w:w="3208"/>
        <w:gridCol w:w="3207"/>
        <w:gridCol w:w="3207"/>
      </w:tblGrid>
      <w:tr w:rsidR="004E4CC2" w14:paraId="201AC443"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18E76D65" w14:textId="77777777" w:rsidR="004E4CC2" w:rsidRDefault="00000000">
            <w:pPr>
              <w:pStyle w:val="Compact"/>
            </w:pPr>
            <w:r>
              <w:t>Größe</w:t>
            </w:r>
          </w:p>
        </w:tc>
        <w:tc>
          <w:tcPr>
            <w:tcW w:w="2640" w:type="dxa"/>
          </w:tcPr>
          <w:p w14:paraId="015C8979" w14:textId="77777777" w:rsidR="004E4CC2" w:rsidRDefault="00000000">
            <w:pPr>
              <w:pStyle w:val="Compact"/>
            </w:pPr>
            <w:r>
              <w:t>Ansatz / Einheit</w:t>
            </w:r>
          </w:p>
        </w:tc>
        <w:tc>
          <w:tcPr>
            <w:tcW w:w="2640" w:type="dxa"/>
          </w:tcPr>
          <w:p w14:paraId="561288E6" w14:textId="77777777" w:rsidR="004E4CC2" w:rsidRDefault="00000000">
            <w:pPr>
              <w:pStyle w:val="Compact"/>
            </w:pPr>
            <w:r>
              <w:t>Stand / PEExcel-Bezug</w:t>
            </w:r>
          </w:p>
        </w:tc>
      </w:tr>
      <w:tr w:rsidR="004E4CC2" w14:paraId="279338AF" w14:textId="77777777">
        <w:tc>
          <w:tcPr>
            <w:tcW w:w="2640" w:type="dxa"/>
          </w:tcPr>
          <w:p w14:paraId="3DE80213" w14:textId="77777777" w:rsidR="004E4CC2" w:rsidRDefault="00000000">
            <w:pPr>
              <w:pStyle w:val="Compact"/>
            </w:pPr>
            <w:r>
              <w:t>Nutzflächen nach Nutzung</w:t>
            </w:r>
          </w:p>
        </w:tc>
        <w:tc>
          <w:tcPr>
            <w:tcW w:w="2640" w:type="dxa"/>
          </w:tcPr>
          <w:p w14:paraId="08A4748A" w14:textId="77777777" w:rsidR="004E4CC2" w:rsidRDefault="00000000">
            <w:pPr>
              <w:pStyle w:val="Compact"/>
            </w:pPr>
            <w:r>
              <w:t>Projektwert in m² NGF</w:t>
            </w:r>
          </w:p>
        </w:tc>
        <w:tc>
          <w:tcPr>
            <w:tcW w:w="2640" w:type="dxa"/>
          </w:tcPr>
          <w:p w14:paraId="2817793F" w14:textId="77777777" w:rsidR="004E4CC2" w:rsidRDefault="00000000">
            <w:pPr>
              <w:pStyle w:val="Compact"/>
            </w:pPr>
            <w:r>
              <w:t>Grundlage der Bedarfsgewichtung</w:t>
            </w:r>
          </w:p>
        </w:tc>
      </w:tr>
      <w:tr w:rsidR="004E4CC2" w14:paraId="036016DE" w14:textId="77777777">
        <w:tc>
          <w:tcPr>
            <w:tcW w:w="2640" w:type="dxa"/>
          </w:tcPr>
          <w:p w14:paraId="55F26066" w14:textId="77777777" w:rsidR="004E4CC2" w:rsidRDefault="00000000">
            <w:pPr>
              <w:pStyle w:val="Compact"/>
            </w:pPr>
            <w:r>
              <w:t>NGF/BGF-Verhältnis</w:t>
            </w:r>
          </w:p>
        </w:tc>
        <w:tc>
          <w:tcPr>
            <w:tcW w:w="2640" w:type="dxa"/>
          </w:tcPr>
          <w:p w14:paraId="4E690631" w14:textId="77777777" w:rsidR="004E4CC2" w:rsidRDefault="00000000">
            <w:pPr>
              <w:pStyle w:val="Compact"/>
            </w:pPr>
            <w:r>
              <w:t>Projektwert oder begründeter Referenzwert je Nutzung</w:t>
            </w:r>
          </w:p>
        </w:tc>
        <w:tc>
          <w:tcPr>
            <w:tcW w:w="2640" w:type="dxa"/>
          </w:tcPr>
          <w:p w14:paraId="2E1F572D" w14:textId="77777777" w:rsidR="004E4CC2" w:rsidRDefault="00000000">
            <w:pPr>
              <w:pStyle w:val="Compact"/>
            </w:pPr>
            <w:r>
              <w:rPr>
                <w:b/>
                <w:bCs/>
              </w:rPr>
              <w:t>Noch zu ergänzen:</w:t>
            </w:r>
            <w:r>
              <w:t xml:space="preserve"> Referenzwerte und Flächendefinition; </w:t>
            </w:r>
            <w:r>
              <w:rPr>
                <w:rStyle w:val="VerbatimChar"/>
              </w:rPr>
              <w:t>NFA_to_GFA_ratio_*</w:t>
            </w:r>
          </w:p>
        </w:tc>
      </w:tr>
      <w:tr w:rsidR="004E4CC2" w14:paraId="4AF86768" w14:textId="77777777">
        <w:tc>
          <w:tcPr>
            <w:tcW w:w="2640" w:type="dxa"/>
          </w:tcPr>
          <w:p w14:paraId="1859FAFF" w14:textId="77777777" w:rsidR="004E4CC2" w:rsidRDefault="00000000">
            <w:pPr>
              <w:pStyle w:val="Compact"/>
            </w:pPr>
            <w:r>
              <w:t>Belegungsdichte</w:t>
            </w:r>
          </w:p>
        </w:tc>
        <w:tc>
          <w:tcPr>
            <w:tcW w:w="2640" w:type="dxa"/>
          </w:tcPr>
          <w:p w14:paraId="4EFED2E4" w14:textId="77777777" w:rsidR="004E4CC2" w:rsidRDefault="00000000">
            <w:pPr>
              <w:pStyle w:val="Compact"/>
            </w:pPr>
            <w:r>
              <w:t>m² je Person, ergänzt um Anwesenheit</w:t>
            </w:r>
          </w:p>
        </w:tc>
        <w:tc>
          <w:tcPr>
            <w:tcW w:w="2640" w:type="dxa"/>
          </w:tcPr>
          <w:p w14:paraId="20ED4EE5" w14:textId="77777777" w:rsidR="004E4CC2" w:rsidRDefault="00000000">
            <w:pPr>
              <w:pStyle w:val="Compact"/>
            </w:pPr>
            <w:r>
              <w:rPr>
                <w:b/>
                <w:bCs/>
              </w:rPr>
              <w:t>Noch zu ergänzen:</w:t>
            </w:r>
            <w:r>
              <w:t xml:space="preserve"> nutzungsspezifische Werte; </w:t>
            </w:r>
            <w:r>
              <w:rPr>
                <w:rStyle w:val="VerbatimChar"/>
              </w:rPr>
              <w:t>density_NFApPers_*</w:t>
            </w:r>
          </w:p>
        </w:tc>
      </w:tr>
      <w:tr w:rsidR="004E4CC2" w14:paraId="5B402608" w14:textId="77777777">
        <w:tc>
          <w:tcPr>
            <w:tcW w:w="2640" w:type="dxa"/>
          </w:tcPr>
          <w:p w14:paraId="36A3CDCF" w14:textId="77777777" w:rsidR="004E4CC2" w:rsidRDefault="00000000">
            <w:pPr>
              <w:pStyle w:val="Compact"/>
            </w:pPr>
            <w:r>
              <w:t>Heiz- und Kühlsolltemperaturen</w:t>
            </w:r>
          </w:p>
        </w:tc>
        <w:tc>
          <w:tcPr>
            <w:tcW w:w="2640" w:type="dxa"/>
          </w:tcPr>
          <w:p w14:paraId="451B4D8C" w14:textId="77777777" w:rsidR="004E4CC2" w:rsidRDefault="00000000">
            <w:pPr>
              <w:pStyle w:val="Compact"/>
            </w:pPr>
            <w:r>
              <w:t>°C, einschließlich Absenkung und Nutzungszeiten</w:t>
            </w:r>
          </w:p>
        </w:tc>
        <w:tc>
          <w:tcPr>
            <w:tcW w:w="2640" w:type="dxa"/>
          </w:tcPr>
          <w:p w14:paraId="437ADB69" w14:textId="77777777" w:rsidR="004E4CC2" w:rsidRDefault="00000000">
            <w:pPr>
              <w:pStyle w:val="Compact"/>
            </w:pPr>
            <w:r>
              <w:rPr>
                <w:b/>
                <w:bCs/>
              </w:rPr>
              <w:t>Noch zu ergänzen:</w:t>
            </w:r>
            <w:r>
              <w:t xml:space="preserve"> Referenzbedingungen je Nutzung</w:t>
            </w:r>
          </w:p>
        </w:tc>
      </w:tr>
      <w:tr w:rsidR="004E4CC2" w14:paraId="08DFAB9A" w14:textId="77777777">
        <w:tc>
          <w:tcPr>
            <w:tcW w:w="2640" w:type="dxa"/>
          </w:tcPr>
          <w:p w14:paraId="46FFE768" w14:textId="77777777" w:rsidR="004E4CC2" w:rsidRDefault="00000000">
            <w:pPr>
              <w:pStyle w:val="Compact"/>
            </w:pPr>
            <w:r>
              <w:t>Hygienischer Außenluftbedarf</w:t>
            </w:r>
          </w:p>
        </w:tc>
        <w:tc>
          <w:tcPr>
            <w:tcW w:w="2640" w:type="dxa"/>
          </w:tcPr>
          <w:p w14:paraId="625D6D33" w14:textId="77777777" w:rsidR="004E4CC2" w:rsidRDefault="00000000">
            <w:pPr>
              <w:pStyle w:val="Compact"/>
            </w:pPr>
            <w:r>
              <w:t>Personen- oder flächenbezogener Luftvolumenstrom</w:t>
            </w:r>
          </w:p>
        </w:tc>
        <w:tc>
          <w:tcPr>
            <w:tcW w:w="2640" w:type="dxa"/>
          </w:tcPr>
          <w:p w14:paraId="3533375D" w14:textId="77777777" w:rsidR="004E4CC2" w:rsidRDefault="00000000">
            <w:pPr>
              <w:pStyle w:val="Compact"/>
            </w:pPr>
            <w:r>
              <w:rPr>
                <w:b/>
                <w:bCs/>
              </w:rPr>
              <w:t>Noch zu ergänzen:</w:t>
            </w:r>
            <w:r>
              <w:t xml:space="preserve"> Referenzwerte, Betriebszeiten und Grundlage</w:t>
            </w:r>
          </w:p>
        </w:tc>
      </w:tr>
      <w:tr w:rsidR="004E4CC2" w14:paraId="2547383B" w14:textId="77777777">
        <w:tc>
          <w:tcPr>
            <w:tcW w:w="2640" w:type="dxa"/>
          </w:tcPr>
          <w:p w14:paraId="07C6EAFF" w14:textId="77777777" w:rsidR="004E4CC2" w:rsidRDefault="00000000">
            <w:pPr>
              <w:pStyle w:val="Compact"/>
            </w:pPr>
            <w:r>
              <w:t>Thermische Zonen</w:t>
            </w:r>
          </w:p>
        </w:tc>
        <w:tc>
          <w:tcPr>
            <w:tcW w:w="2640" w:type="dxa"/>
          </w:tcPr>
          <w:p w14:paraId="7531E704" w14:textId="77777777" w:rsidR="004E4CC2" w:rsidRDefault="00000000">
            <w:pPr>
              <w:pStyle w:val="Compact"/>
            </w:pPr>
            <w:r>
              <w:t>Zwei aggregierte Zonen, mit und ohne aktive Kühlung</w:t>
            </w:r>
          </w:p>
        </w:tc>
        <w:tc>
          <w:tcPr>
            <w:tcW w:w="2640" w:type="dxa"/>
          </w:tcPr>
          <w:p w14:paraId="16786F01" w14:textId="77777777" w:rsidR="004E4CC2" w:rsidRDefault="00000000">
            <w:pPr>
              <w:pStyle w:val="Compact"/>
            </w:pPr>
            <w:r>
              <w:t>Modellansatz nach Schneider (2026), Abschn. 3.3.3</w:t>
            </w:r>
          </w:p>
        </w:tc>
      </w:tr>
      <w:tr w:rsidR="004E4CC2" w14:paraId="505A4B50" w14:textId="77777777">
        <w:tc>
          <w:tcPr>
            <w:tcW w:w="2640" w:type="dxa"/>
          </w:tcPr>
          <w:p w14:paraId="3844F21F" w14:textId="77777777" w:rsidR="004E4CC2" w:rsidRDefault="00000000">
            <w:pPr>
              <w:pStyle w:val="Compact"/>
            </w:pPr>
            <w:r>
              <w:t>Kühlung und Lüftung</w:t>
            </w:r>
          </w:p>
        </w:tc>
        <w:tc>
          <w:tcPr>
            <w:tcW w:w="2640" w:type="dxa"/>
          </w:tcPr>
          <w:p w14:paraId="48095C10" w14:textId="77777777" w:rsidR="004E4CC2" w:rsidRDefault="00000000">
            <w:pPr>
              <w:pStyle w:val="Compact"/>
            </w:pPr>
            <w:r>
              <w:t>Projektbezogene Flächenanteile und Betriebsweise</w:t>
            </w:r>
          </w:p>
        </w:tc>
        <w:tc>
          <w:tcPr>
            <w:tcW w:w="2640" w:type="dxa"/>
          </w:tcPr>
          <w:p w14:paraId="2A1DB29F" w14:textId="77777777" w:rsidR="004E4CC2" w:rsidRDefault="00000000">
            <w:pPr>
              <w:pStyle w:val="Compact"/>
            </w:pPr>
            <w:r>
              <w:rPr>
                <w:rStyle w:val="VerbatimChar"/>
              </w:rPr>
              <w:t>cooling_modes</w:t>
            </w:r>
            <w:r>
              <w:t xml:space="preserve">, </w:t>
            </w:r>
            <w:r>
              <w:rPr>
                <w:rStyle w:val="VerbatimChar"/>
              </w:rPr>
              <w:t>vent_modes</w:t>
            </w:r>
            <w:r>
              <w:t xml:space="preserve">, </w:t>
            </w:r>
            <w:r>
              <w:rPr>
                <w:rStyle w:val="VerbatimChar"/>
              </w:rPr>
              <w:t>vent_night_modes</w:t>
            </w:r>
            <w:r>
              <w:t>; keine pauschale Vorgabe einer Anlagenausstattung</w:t>
            </w:r>
          </w:p>
        </w:tc>
      </w:tr>
      <w:tr w:rsidR="004E4CC2" w14:paraId="048AD0EA" w14:textId="77777777">
        <w:tc>
          <w:tcPr>
            <w:tcW w:w="2640" w:type="dxa"/>
          </w:tcPr>
          <w:p w14:paraId="330815D4" w14:textId="77777777" w:rsidR="004E4CC2" w:rsidRDefault="00000000">
            <w:pPr>
              <w:pStyle w:val="Compact"/>
            </w:pPr>
            <w:r>
              <w:t>Sommerbetrieb / Nachtauskühlung</w:t>
            </w:r>
          </w:p>
        </w:tc>
        <w:tc>
          <w:tcPr>
            <w:tcW w:w="2640" w:type="dxa"/>
          </w:tcPr>
          <w:p w14:paraId="583A30B8" w14:textId="77777777" w:rsidR="004E4CC2" w:rsidRDefault="00000000">
            <w:pPr>
              <w:pStyle w:val="Compact"/>
            </w:pPr>
            <w:r>
              <w:t>Projektwert unter realisierbaren Betriebsbedingungen</w:t>
            </w:r>
          </w:p>
        </w:tc>
        <w:tc>
          <w:tcPr>
            <w:tcW w:w="2640" w:type="dxa"/>
          </w:tcPr>
          <w:p w14:paraId="4B6BE05B" w14:textId="77777777" w:rsidR="004E4CC2" w:rsidRDefault="00000000">
            <w:pPr>
              <w:pStyle w:val="Compact"/>
            </w:pPr>
            <w:r>
              <w:rPr>
                <w:b/>
                <w:bCs/>
              </w:rPr>
              <w:t>Noch zu ergänzen:</w:t>
            </w:r>
            <w:r>
              <w:t xml:space="preserve"> Referenzannahmen zu Freigaben, </w:t>
            </w:r>
            <w:r>
              <w:lastRenderedPageBreak/>
              <w:t>Temperaturgrenzen und Verfügbarkeit</w:t>
            </w:r>
          </w:p>
        </w:tc>
      </w:tr>
    </w:tbl>
    <w:p w14:paraId="5C7D49EB" w14:textId="77777777" w:rsidR="004E4CC2" w:rsidRDefault="00000000">
      <w:pPr>
        <w:pStyle w:val="berschrift2"/>
      </w:pPr>
      <w:bookmarkStart w:id="420" w:name="mobilitätsannahmen"/>
      <w:bookmarkStart w:id="421" w:name="_Toc243681388"/>
      <w:bookmarkEnd w:id="418"/>
      <w:r>
        <w:lastRenderedPageBreak/>
        <w:t>F.4 Mobilitätsannahmen</w:t>
      </w:r>
      <w:bookmarkEnd w:id="421"/>
    </w:p>
    <w:p w14:paraId="4D899CF4" w14:textId="77777777" w:rsidR="004E4CC2" w:rsidRDefault="00000000">
      <w:pPr>
        <w:pStyle w:val="FirstParagraph"/>
      </w:pPr>
      <w:r>
        <w:t xml:space="preserve">Die Mobilitätsbilanz umfasst den dem Quartier zugeordneten MIV nach dem Zielverkehrsprinzip. Die nutzungsbezogenen Gutschriften stehen in </w:t>
      </w:r>
      <w:hyperlink w:anchor="sec-anhang">
        <w:r>
          <w:rPr>
            <w:rStyle w:val="Hyperlink"/>
          </w:rPr>
          <w:t>Anhang B</w:t>
        </w:r>
      </w:hyperlink>
      <w:r>
        <w:t>. Standort und Mobilitätskonzept beeinflussen den Bedarf, nicht automatisch den Budgetanspruch.</w:t>
      </w:r>
    </w:p>
    <w:tbl>
      <w:tblPr>
        <w:tblStyle w:val="Table"/>
        <w:tblW w:w="5000" w:type="pct"/>
        <w:tblLayout w:type="fixed"/>
        <w:tblLook w:val="0020" w:firstRow="1" w:lastRow="0" w:firstColumn="0" w:lastColumn="0" w:noHBand="0" w:noVBand="0"/>
      </w:tblPr>
      <w:tblGrid>
        <w:gridCol w:w="3208"/>
        <w:gridCol w:w="3207"/>
        <w:gridCol w:w="3207"/>
      </w:tblGrid>
      <w:tr w:rsidR="004E4CC2" w14:paraId="0F6361FF"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33571BA7" w14:textId="77777777" w:rsidR="004E4CC2" w:rsidRDefault="00000000">
            <w:pPr>
              <w:pStyle w:val="Compact"/>
            </w:pPr>
            <w:r>
              <w:t>Größe</w:t>
            </w:r>
          </w:p>
        </w:tc>
        <w:tc>
          <w:tcPr>
            <w:tcW w:w="2640" w:type="dxa"/>
          </w:tcPr>
          <w:p w14:paraId="2FCC956F" w14:textId="77777777" w:rsidR="004E4CC2" w:rsidRDefault="00000000">
            <w:pPr>
              <w:pStyle w:val="Compact"/>
            </w:pPr>
            <w:r>
              <w:t>Ansatz</w:t>
            </w:r>
          </w:p>
        </w:tc>
        <w:tc>
          <w:tcPr>
            <w:tcW w:w="2640" w:type="dxa"/>
          </w:tcPr>
          <w:p w14:paraId="568D8CE7" w14:textId="77777777" w:rsidR="004E4CC2" w:rsidRDefault="00000000">
            <w:pPr>
              <w:pStyle w:val="Compact"/>
            </w:pPr>
            <w:r>
              <w:t>Stand / Zuordnung</w:t>
            </w:r>
          </w:p>
        </w:tc>
      </w:tr>
      <w:tr w:rsidR="004E4CC2" w14:paraId="1BC17610" w14:textId="77777777">
        <w:tc>
          <w:tcPr>
            <w:tcW w:w="2640" w:type="dxa"/>
          </w:tcPr>
          <w:p w14:paraId="72B33293" w14:textId="77777777" w:rsidR="004E4CC2" w:rsidRDefault="00000000">
            <w:pPr>
              <w:pStyle w:val="Compact"/>
            </w:pPr>
            <w:r>
              <w:t>Verkehrsgrundlage</w:t>
            </w:r>
          </w:p>
        </w:tc>
        <w:tc>
          <w:tcPr>
            <w:tcW w:w="2640" w:type="dxa"/>
          </w:tcPr>
          <w:p w14:paraId="5FA8216B" w14:textId="77777777" w:rsidR="004E4CC2" w:rsidRDefault="00000000">
            <w:pPr>
              <w:pStyle w:val="Compact"/>
            </w:pPr>
            <w:r>
              <w:t>Mobilitätserhebung 2013/2014 im beschriebenen Ansatz</w:t>
            </w:r>
          </w:p>
        </w:tc>
        <w:tc>
          <w:tcPr>
            <w:tcW w:w="2640" w:type="dxa"/>
          </w:tcPr>
          <w:p w14:paraId="5016F4FD" w14:textId="77777777" w:rsidR="004E4CC2" w:rsidRDefault="00000000">
            <w:pPr>
              <w:pStyle w:val="Compact"/>
            </w:pPr>
            <w:r>
              <w:rPr>
                <w:b/>
                <w:bCs/>
              </w:rPr>
              <w:t>Noch zu ergänzen:</w:t>
            </w:r>
            <w:r>
              <w:t xml:space="preserve"> Datentabelle nach Region, Nutzung und Wegezweck; Aktualisierung mit neuer Erhebung vorgesehen</w:t>
            </w:r>
          </w:p>
        </w:tc>
      </w:tr>
      <w:tr w:rsidR="004E4CC2" w14:paraId="63F8F1ED" w14:textId="77777777">
        <w:tc>
          <w:tcPr>
            <w:tcW w:w="2640" w:type="dxa"/>
          </w:tcPr>
          <w:p w14:paraId="67DB09B8" w14:textId="77777777" w:rsidR="004E4CC2" w:rsidRDefault="00000000">
            <w:pPr>
              <w:pStyle w:val="Compact"/>
            </w:pPr>
            <w:r>
              <w:t>Standortzuordnung</w:t>
            </w:r>
          </w:p>
        </w:tc>
        <w:tc>
          <w:tcPr>
            <w:tcW w:w="2640" w:type="dxa"/>
          </w:tcPr>
          <w:p w14:paraId="5910C3BD" w14:textId="77777777" w:rsidR="004E4CC2" w:rsidRDefault="00000000">
            <w:pPr>
              <w:pStyle w:val="Compact"/>
            </w:pPr>
            <w:r>
              <w:t>Gemeinde / Mobilitätsregion</w:t>
            </w:r>
          </w:p>
        </w:tc>
        <w:tc>
          <w:tcPr>
            <w:tcW w:w="2640" w:type="dxa"/>
          </w:tcPr>
          <w:p w14:paraId="73321913" w14:textId="77777777" w:rsidR="004E4CC2" w:rsidRDefault="00000000">
            <w:pPr>
              <w:pStyle w:val="Compact"/>
            </w:pPr>
            <w:r>
              <w:t xml:space="preserve">Projektwert; Presetgruppe </w:t>
            </w:r>
            <w:r>
              <w:rPr>
                <w:rStyle w:val="VerbatimChar"/>
              </w:rPr>
              <w:t>mobility</w:t>
            </w:r>
            <w:r>
              <w:t xml:space="preserve"> dient der Auswahl</w:t>
            </w:r>
          </w:p>
        </w:tc>
      </w:tr>
      <w:tr w:rsidR="004E4CC2" w14:paraId="17DF17F8" w14:textId="77777777">
        <w:tc>
          <w:tcPr>
            <w:tcW w:w="2640" w:type="dxa"/>
          </w:tcPr>
          <w:p w14:paraId="6065ED08" w14:textId="77777777" w:rsidR="004E4CC2" w:rsidRDefault="00000000">
            <w:pPr>
              <w:pStyle w:val="Compact"/>
            </w:pPr>
            <w:r>
              <w:t>Wege, Wegelängen und MIV-Anteile</w:t>
            </w:r>
          </w:p>
        </w:tc>
        <w:tc>
          <w:tcPr>
            <w:tcW w:w="2640" w:type="dxa"/>
          </w:tcPr>
          <w:p w14:paraId="4143473D" w14:textId="77777777" w:rsidR="004E4CC2" w:rsidRDefault="00000000">
            <w:pPr>
              <w:pStyle w:val="Compact"/>
            </w:pPr>
            <w:r>
              <w:t>Nutzungs- und standortbezogene Referenzwerte</w:t>
            </w:r>
          </w:p>
        </w:tc>
        <w:tc>
          <w:tcPr>
            <w:tcW w:w="2640" w:type="dxa"/>
          </w:tcPr>
          <w:p w14:paraId="4D10C840" w14:textId="77777777" w:rsidR="004E4CC2" w:rsidRDefault="00000000">
            <w:pPr>
              <w:pStyle w:val="Compact"/>
            </w:pPr>
            <w:r>
              <w:rPr>
                <w:b/>
                <w:bCs/>
              </w:rPr>
              <w:t>Noch zu ergänzen:</w:t>
            </w:r>
            <w:r>
              <w:t xml:space="preserve"> Werte und Quellen einschließlich Umrechnung in jährliche Personen- bzw. Fahrzeugkilometer</w:t>
            </w:r>
          </w:p>
        </w:tc>
      </w:tr>
      <w:tr w:rsidR="004E4CC2" w14:paraId="53836D04" w14:textId="77777777">
        <w:tc>
          <w:tcPr>
            <w:tcW w:w="2640" w:type="dxa"/>
          </w:tcPr>
          <w:p w14:paraId="64A73AF7" w14:textId="77777777" w:rsidR="004E4CC2" w:rsidRDefault="00000000">
            <w:pPr>
              <w:pStyle w:val="Compact"/>
            </w:pPr>
            <w:r>
              <w:t>Motorisierung</w:t>
            </w:r>
          </w:p>
        </w:tc>
        <w:tc>
          <w:tcPr>
            <w:tcW w:w="2640" w:type="dxa"/>
          </w:tcPr>
          <w:p w14:paraId="7E8E0692" w14:textId="77777777" w:rsidR="004E4CC2" w:rsidRDefault="00000000">
            <w:pPr>
              <w:pStyle w:val="Compact"/>
            </w:pPr>
            <w:r>
              <w:t>Fahrzeuge je 100 m² Bezugsfläche</w:t>
            </w:r>
          </w:p>
        </w:tc>
        <w:tc>
          <w:tcPr>
            <w:tcW w:w="2640" w:type="dxa"/>
          </w:tcPr>
          <w:p w14:paraId="299EFE02" w14:textId="77777777" w:rsidR="004E4CC2" w:rsidRDefault="00000000">
            <w:pPr>
              <w:pStyle w:val="Compact"/>
            </w:pPr>
            <w:r>
              <w:rPr>
                <w:b/>
                <w:bCs/>
              </w:rPr>
              <w:t>Noch zu ergänzen:</w:t>
            </w:r>
            <w:r>
              <w:t xml:space="preserve"> Flächenbezug und Werte; </w:t>
            </w:r>
            <w:r>
              <w:rPr>
                <w:rStyle w:val="VerbatimChar"/>
              </w:rPr>
              <w:t>mob_motorization_perNFA_residential</w:t>
            </w:r>
            <w:r>
              <w:t xml:space="preserve">, </w:t>
            </w:r>
            <w:r>
              <w:rPr>
                <w:rStyle w:val="VerbatimChar"/>
              </w:rPr>
              <w:t>_work</w:t>
            </w:r>
            <w:r>
              <w:t xml:space="preserve">, </w:t>
            </w:r>
            <w:r>
              <w:rPr>
                <w:rStyle w:val="VerbatimChar"/>
              </w:rPr>
              <w:t>_retail</w:t>
            </w:r>
          </w:p>
        </w:tc>
      </w:tr>
      <w:tr w:rsidR="004E4CC2" w14:paraId="49B63429" w14:textId="77777777">
        <w:tc>
          <w:tcPr>
            <w:tcW w:w="2640" w:type="dxa"/>
          </w:tcPr>
          <w:p w14:paraId="73FA0792" w14:textId="77777777" w:rsidR="004E4CC2" w:rsidRDefault="00000000">
            <w:pPr>
              <w:pStyle w:val="Compact"/>
            </w:pPr>
            <w:r>
              <w:t>Gleichzeitigkeit</w:t>
            </w:r>
          </w:p>
        </w:tc>
        <w:tc>
          <w:tcPr>
            <w:tcW w:w="2640" w:type="dxa"/>
          </w:tcPr>
          <w:p w14:paraId="5A015310" w14:textId="77777777" w:rsidR="004E4CC2" w:rsidRDefault="00000000">
            <w:pPr>
              <w:pStyle w:val="Compact"/>
            </w:pPr>
            <w:r>
              <w:t>Nutzungsabhängiger Ansatz für Arbeit, Bildung und Einkauf</w:t>
            </w:r>
          </w:p>
        </w:tc>
        <w:tc>
          <w:tcPr>
            <w:tcW w:w="2640" w:type="dxa"/>
          </w:tcPr>
          <w:p w14:paraId="7FDC83B8" w14:textId="77777777" w:rsidR="004E4CC2" w:rsidRDefault="00000000">
            <w:pPr>
              <w:pStyle w:val="Compact"/>
            </w:pPr>
            <w:r>
              <w:rPr>
                <w:b/>
                <w:bCs/>
              </w:rPr>
              <w:t>Noch zu ergänzen:</w:t>
            </w:r>
            <w:r>
              <w:t xml:space="preserve"> Werte und Definition; </w:t>
            </w:r>
            <w:r>
              <w:rPr>
                <w:rStyle w:val="VerbatimChar"/>
              </w:rPr>
              <w:t>mob_simultaneity_office</w:t>
            </w:r>
            <w:r>
              <w:t xml:space="preserve">, </w:t>
            </w:r>
            <w:r>
              <w:rPr>
                <w:rStyle w:val="VerbatimChar"/>
              </w:rPr>
              <w:t>_edu</w:t>
            </w:r>
            <w:r>
              <w:t xml:space="preserve">, </w:t>
            </w:r>
            <w:r>
              <w:rPr>
                <w:rStyle w:val="VerbatimChar"/>
              </w:rPr>
              <w:t>_retail</w:t>
            </w:r>
          </w:p>
        </w:tc>
      </w:tr>
      <w:tr w:rsidR="004E4CC2" w14:paraId="05E76989" w14:textId="77777777">
        <w:tc>
          <w:tcPr>
            <w:tcW w:w="2640" w:type="dxa"/>
          </w:tcPr>
          <w:p w14:paraId="6DFBEEB8" w14:textId="77777777" w:rsidR="004E4CC2" w:rsidRDefault="00000000">
            <w:pPr>
              <w:pStyle w:val="Compact"/>
            </w:pPr>
            <w:r>
              <w:t>Wirkung von Mobilitätsmaßnahmen</w:t>
            </w:r>
          </w:p>
        </w:tc>
        <w:tc>
          <w:tcPr>
            <w:tcW w:w="2640" w:type="dxa"/>
          </w:tcPr>
          <w:p w14:paraId="75020346" w14:textId="77777777" w:rsidR="004E4CC2" w:rsidRDefault="00000000">
            <w:pPr>
              <w:pStyle w:val="Compact"/>
            </w:pPr>
            <w:r>
              <w:t>Begründete Veränderung der MIV-Fahrleistung</w:t>
            </w:r>
          </w:p>
        </w:tc>
        <w:tc>
          <w:tcPr>
            <w:tcW w:w="2640" w:type="dxa"/>
          </w:tcPr>
          <w:p w14:paraId="69448D23" w14:textId="77777777" w:rsidR="004E4CC2" w:rsidRDefault="00000000">
            <w:pPr>
              <w:pStyle w:val="Compact"/>
            </w:pPr>
            <w:r>
              <w:rPr>
                <w:b/>
                <w:bCs/>
              </w:rPr>
              <w:t>Noch zu ergänzen:</w:t>
            </w:r>
            <w:r>
              <w:t xml:space="preserve"> Referenz und Herleitung; </w:t>
            </w:r>
            <w:r>
              <w:rPr>
                <w:rStyle w:val="VerbatimChar"/>
              </w:rPr>
              <w:t>mob_pkm_factor</w:t>
            </w:r>
          </w:p>
        </w:tc>
      </w:tr>
      <w:tr w:rsidR="004E4CC2" w14:paraId="15CB3BB6" w14:textId="77777777">
        <w:tc>
          <w:tcPr>
            <w:tcW w:w="2640" w:type="dxa"/>
          </w:tcPr>
          <w:p w14:paraId="19C85CE0" w14:textId="77777777" w:rsidR="004E4CC2" w:rsidRDefault="00000000">
            <w:pPr>
              <w:pStyle w:val="Compact"/>
            </w:pPr>
            <w:r>
              <w:t>Fahrzeugflotte</w:t>
            </w:r>
          </w:p>
        </w:tc>
        <w:tc>
          <w:tcPr>
            <w:tcW w:w="2640" w:type="dxa"/>
          </w:tcPr>
          <w:p w14:paraId="369FC861" w14:textId="77777777" w:rsidR="004E4CC2" w:rsidRDefault="00000000">
            <w:pPr>
              <w:pStyle w:val="Compact"/>
            </w:pPr>
            <w:r>
              <w:t>Antriebsanteile, Verbrauch, Besetzungsgrad und Entwicklung</w:t>
            </w:r>
          </w:p>
        </w:tc>
        <w:tc>
          <w:tcPr>
            <w:tcW w:w="2640" w:type="dxa"/>
          </w:tcPr>
          <w:p w14:paraId="2AD70443" w14:textId="77777777" w:rsidR="004E4CC2" w:rsidRDefault="00000000">
            <w:pPr>
              <w:pStyle w:val="Compact"/>
            </w:pPr>
            <w:r>
              <w:rPr>
                <w:b/>
                <w:bCs/>
              </w:rPr>
              <w:t>Noch zu ergänzen:</w:t>
            </w:r>
            <w:r>
              <w:t xml:space="preserve"> Werte je Bezugsjahr; Absenkpfade siehe </w:t>
            </w:r>
            <w:hyperlink w:anchor="sec-anhang">
              <w:r>
                <w:rPr>
                  <w:rStyle w:val="Hyperlink"/>
                </w:rPr>
                <w:t>Anhang B</w:t>
              </w:r>
            </w:hyperlink>
          </w:p>
        </w:tc>
      </w:tr>
      <w:tr w:rsidR="004E4CC2" w14:paraId="51D21E09" w14:textId="77777777">
        <w:tc>
          <w:tcPr>
            <w:tcW w:w="2640" w:type="dxa"/>
          </w:tcPr>
          <w:p w14:paraId="30BE5F87" w14:textId="77777777" w:rsidR="004E4CC2" w:rsidRDefault="00000000">
            <w:pPr>
              <w:pStyle w:val="Compact"/>
            </w:pPr>
            <w:r>
              <w:t>Laden und Anwesenheit</w:t>
            </w:r>
          </w:p>
        </w:tc>
        <w:tc>
          <w:tcPr>
            <w:tcW w:w="2640" w:type="dxa"/>
          </w:tcPr>
          <w:p w14:paraId="1263908B" w14:textId="77777777" w:rsidR="004E4CC2" w:rsidRDefault="00000000">
            <w:pPr>
              <w:pStyle w:val="Compact"/>
            </w:pPr>
            <w:r>
              <w:t>Zeitprofile für Ankunft, Abfahrt und angeschlossene Fahrzeuge</w:t>
            </w:r>
          </w:p>
        </w:tc>
        <w:tc>
          <w:tcPr>
            <w:tcW w:w="2640" w:type="dxa"/>
          </w:tcPr>
          <w:p w14:paraId="10ACD773" w14:textId="77777777" w:rsidR="004E4CC2" w:rsidRDefault="00000000">
            <w:pPr>
              <w:pStyle w:val="Compact"/>
            </w:pPr>
            <w:r>
              <w:rPr>
                <w:b/>
                <w:bCs/>
              </w:rPr>
              <w:t>Noch zu ergänzen:</w:t>
            </w:r>
            <w:r>
              <w:t xml:space="preserve"> Profile, Ladeleistungen, Ladeverluste und Mindestladezustände</w:t>
            </w:r>
          </w:p>
        </w:tc>
      </w:tr>
      <w:tr w:rsidR="004E4CC2" w14:paraId="456CEE2E" w14:textId="77777777">
        <w:tc>
          <w:tcPr>
            <w:tcW w:w="2640" w:type="dxa"/>
          </w:tcPr>
          <w:p w14:paraId="04D70F26" w14:textId="77777777" w:rsidR="004E4CC2" w:rsidRDefault="00000000">
            <w:pPr>
              <w:pStyle w:val="Compact"/>
            </w:pPr>
            <w:r>
              <w:t>Fahrzeugrückspeisung</w:t>
            </w:r>
          </w:p>
        </w:tc>
        <w:tc>
          <w:tcPr>
            <w:tcW w:w="2640" w:type="dxa"/>
          </w:tcPr>
          <w:p w14:paraId="496CCA0B" w14:textId="77777777" w:rsidR="004E4CC2" w:rsidRDefault="00000000">
            <w:pPr>
              <w:pStyle w:val="Compact"/>
            </w:pPr>
            <w:r>
              <w:t xml:space="preserve">Im beschriebenen Modell </w:t>
            </w:r>
            <w:r>
              <w:lastRenderedPageBreak/>
              <w:t>auf Wohnnutzung begrenzt</w:t>
            </w:r>
          </w:p>
        </w:tc>
        <w:tc>
          <w:tcPr>
            <w:tcW w:w="2640" w:type="dxa"/>
          </w:tcPr>
          <w:p w14:paraId="6D8FEC66" w14:textId="77777777" w:rsidR="004E4CC2" w:rsidRDefault="00000000">
            <w:pPr>
              <w:pStyle w:val="Compact"/>
            </w:pPr>
            <w:r>
              <w:lastRenderedPageBreak/>
              <w:t xml:space="preserve">Projektabhängige </w:t>
            </w:r>
            <w:r>
              <w:lastRenderedPageBreak/>
              <w:t xml:space="preserve">Verfügbarkeit; </w:t>
            </w:r>
            <w:r>
              <w:rPr>
                <w:b/>
                <w:bCs/>
              </w:rPr>
              <w:t>noch zu ergänzen:</w:t>
            </w:r>
            <w:r>
              <w:t xml:space="preserve"> Teilnahmeanteil und Betriebsgrenzen</w:t>
            </w:r>
          </w:p>
        </w:tc>
      </w:tr>
      <w:tr w:rsidR="004E4CC2" w14:paraId="2E8219E0" w14:textId="77777777">
        <w:tc>
          <w:tcPr>
            <w:tcW w:w="2640" w:type="dxa"/>
          </w:tcPr>
          <w:p w14:paraId="7EFA2E8D" w14:textId="77777777" w:rsidR="004E4CC2" w:rsidRDefault="00000000">
            <w:pPr>
              <w:pStyle w:val="Compact"/>
            </w:pPr>
            <w:r>
              <w:lastRenderedPageBreak/>
              <w:t>Außerhalb des Quartiers geladene Energie</w:t>
            </w:r>
          </w:p>
        </w:tc>
        <w:tc>
          <w:tcPr>
            <w:tcW w:w="2640" w:type="dxa"/>
          </w:tcPr>
          <w:p w14:paraId="5ED8E13D" w14:textId="77777777" w:rsidR="004E4CC2" w:rsidRDefault="00000000">
            <w:pPr>
              <w:pStyle w:val="Compact"/>
            </w:pPr>
            <w:r>
              <w:t>Erfasst und entsprechend der Verkehrszuordnung bilanziert</w:t>
            </w:r>
          </w:p>
        </w:tc>
        <w:tc>
          <w:tcPr>
            <w:tcW w:w="2640" w:type="dxa"/>
          </w:tcPr>
          <w:p w14:paraId="4145D17A" w14:textId="77777777" w:rsidR="004E4CC2" w:rsidRDefault="00000000">
            <w:pPr>
              <w:pStyle w:val="Compact"/>
            </w:pPr>
            <w:r>
              <w:t>Modellregel nach Schneider (2026), Abschn. 3.3.4</w:t>
            </w:r>
          </w:p>
        </w:tc>
      </w:tr>
      <w:tr w:rsidR="004E4CC2" w14:paraId="72147BEF" w14:textId="77777777">
        <w:tc>
          <w:tcPr>
            <w:tcW w:w="2640" w:type="dxa"/>
          </w:tcPr>
          <w:p w14:paraId="50277712" w14:textId="77777777" w:rsidR="004E4CC2" w:rsidRDefault="00000000">
            <w:pPr>
              <w:pStyle w:val="Compact"/>
            </w:pPr>
            <w:r>
              <w:t>Fahrzeugherstellung</w:t>
            </w:r>
          </w:p>
        </w:tc>
        <w:tc>
          <w:tcPr>
            <w:tcW w:w="2640" w:type="dxa"/>
          </w:tcPr>
          <w:p w14:paraId="150FDF6F" w14:textId="77777777" w:rsidR="004E4CC2" w:rsidRDefault="00000000">
            <w:pPr>
              <w:pStyle w:val="Compact"/>
            </w:pPr>
            <w:r>
              <w:t>Einmaliger Ansatz im beschriebenen THG-Verfahren</w:t>
            </w:r>
          </w:p>
        </w:tc>
        <w:tc>
          <w:tcPr>
            <w:tcW w:w="2640" w:type="dxa"/>
          </w:tcPr>
          <w:p w14:paraId="1CFB5C66" w14:textId="77777777" w:rsidR="004E4CC2" w:rsidRDefault="00000000">
            <w:pPr>
              <w:pStyle w:val="Compact"/>
            </w:pPr>
            <w:r>
              <w:rPr>
                <w:b/>
                <w:bCs/>
              </w:rPr>
              <w:t>Noch zu ergänzen:</w:t>
            </w:r>
            <w:r>
              <w:t xml:space="preserve"> Kennwerte und Datensätze; keine vollständige Fortschreibung aller Fahrzeugwechsel</w:t>
            </w:r>
          </w:p>
        </w:tc>
      </w:tr>
    </w:tbl>
    <w:p w14:paraId="16E37996" w14:textId="77777777" w:rsidR="004E4CC2" w:rsidRDefault="00000000">
      <w:pPr>
        <w:pStyle w:val="berschrift2"/>
      </w:pPr>
      <w:bookmarkStart w:id="422" w:name="klima-energiesignale-und-bewertung"/>
      <w:bookmarkStart w:id="423" w:name="_Toc243681389"/>
      <w:bookmarkEnd w:id="420"/>
      <w:r>
        <w:t>F.5 Klima, Energiesignale und Bewertung</w:t>
      </w:r>
      <w:bookmarkEnd w:id="423"/>
    </w:p>
    <w:tbl>
      <w:tblPr>
        <w:tblStyle w:val="Table"/>
        <w:tblW w:w="5000" w:type="pct"/>
        <w:tblLayout w:type="fixed"/>
        <w:tblLook w:val="0020" w:firstRow="1" w:lastRow="0" w:firstColumn="0" w:lastColumn="0" w:noHBand="0" w:noVBand="0"/>
      </w:tblPr>
      <w:tblGrid>
        <w:gridCol w:w="3208"/>
        <w:gridCol w:w="3207"/>
        <w:gridCol w:w="3207"/>
      </w:tblGrid>
      <w:tr w:rsidR="004E4CC2" w14:paraId="4E369BE2"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2FBC296A" w14:textId="77777777" w:rsidR="004E4CC2" w:rsidRDefault="00000000">
            <w:pPr>
              <w:pStyle w:val="Compact"/>
            </w:pPr>
            <w:r>
              <w:t>Grundlage</w:t>
            </w:r>
          </w:p>
        </w:tc>
        <w:tc>
          <w:tcPr>
            <w:tcW w:w="2640" w:type="dxa"/>
          </w:tcPr>
          <w:p w14:paraId="608D8AA4" w14:textId="77777777" w:rsidR="004E4CC2" w:rsidRDefault="00000000">
            <w:pPr>
              <w:pStyle w:val="Compact"/>
            </w:pPr>
            <w:r>
              <w:t>Ansatz</w:t>
            </w:r>
          </w:p>
        </w:tc>
        <w:tc>
          <w:tcPr>
            <w:tcW w:w="2640" w:type="dxa"/>
          </w:tcPr>
          <w:p w14:paraId="310CAC31" w14:textId="77777777" w:rsidR="004E4CC2" w:rsidRDefault="00000000">
            <w:pPr>
              <w:pStyle w:val="Compact"/>
            </w:pPr>
            <w:r>
              <w:t>Stand / PEExcel-Bezug</w:t>
            </w:r>
          </w:p>
        </w:tc>
      </w:tr>
      <w:tr w:rsidR="004E4CC2" w14:paraId="3E6DAB23" w14:textId="77777777">
        <w:tc>
          <w:tcPr>
            <w:tcW w:w="2640" w:type="dxa"/>
          </w:tcPr>
          <w:p w14:paraId="2006FCE7" w14:textId="77777777" w:rsidR="004E4CC2" w:rsidRDefault="00000000">
            <w:pPr>
              <w:pStyle w:val="Compact"/>
            </w:pPr>
            <w:r>
              <w:t>Simulationsauflösung</w:t>
            </w:r>
          </w:p>
        </w:tc>
        <w:tc>
          <w:tcPr>
            <w:tcW w:w="2640" w:type="dxa"/>
          </w:tcPr>
          <w:p w14:paraId="4720EE8D" w14:textId="77777777" w:rsidR="004E4CC2" w:rsidRDefault="00000000">
            <w:pPr>
              <w:pStyle w:val="Compact"/>
            </w:pPr>
            <w:r>
              <w:t>Stündlich über ein vollständiges Jahr</w:t>
            </w:r>
          </w:p>
        </w:tc>
        <w:tc>
          <w:tcPr>
            <w:tcW w:w="2640" w:type="dxa"/>
          </w:tcPr>
          <w:p w14:paraId="556C7FBF" w14:textId="77777777" w:rsidR="004E4CC2" w:rsidRDefault="00000000">
            <w:pPr>
              <w:pStyle w:val="Compact"/>
            </w:pPr>
            <w:r>
              <w:t>Modell nach Schneider (2026), Abschn. 3.3</w:t>
            </w:r>
          </w:p>
        </w:tc>
      </w:tr>
      <w:tr w:rsidR="004E4CC2" w14:paraId="6CF39A7A" w14:textId="77777777">
        <w:tc>
          <w:tcPr>
            <w:tcW w:w="2640" w:type="dxa"/>
          </w:tcPr>
          <w:p w14:paraId="104B3502" w14:textId="77777777" w:rsidR="004E4CC2" w:rsidRDefault="00000000">
            <w:pPr>
              <w:pStyle w:val="Compact"/>
            </w:pPr>
            <w:r>
              <w:t>Wetter</w:t>
            </w:r>
          </w:p>
        </w:tc>
        <w:tc>
          <w:tcPr>
            <w:tcW w:w="2640" w:type="dxa"/>
          </w:tcPr>
          <w:p w14:paraId="303D58A8" w14:textId="77777777" w:rsidR="004E4CC2" w:rsidRDefault="00000000">
            <w:pPr>
              <w:pStyle w:val="Compact"/>
            </w:pPr>
            <w:r>
              <w:t>Zusammengehörige Temperatur- und Strahlungszeitreihen</w:t>
            </w:r>
          </w:p>
        </w:tc>
        <w:tc>
          <w:tcPr>
            <w:tcW w:w="2640" w:type="dxa"/>
          </w:tcPr>
          <w:p w14:paraId="3C7EF116" w14:textId="77777777" w:rsidR="004E4CC2" w:rsidRDefault="00000000">
            <w:pPr>
              <w:pStyle w:val="Compact"/>
            </w:pPr>
            <w:r>
              <w:rPr>
                <w:b/>
                <w:bCs/>
              </w:rPr>
              <w:t>Noch zu ergänzen:</w:t>
            </w:r>
            <w:r>
              <w:t xml:space="preserve"> Datensatz, Standort, Referenzjahr und Quelle; </w:t>
            </w:r>
            <w:r>
              <w:rPr>
                <w:rStyle w:val="VerbatimChar"/>
              </w:rPr>
              <w:t>weather_name</w:t>
            </w:r>
          </w:p>
        </w:tc>
      </w:tr>
      <w:tr w:rsidR="004E4CC2" w14:paraId="6172008F" w14:textId="77777777">
        <w:tc>
          <w:tcPr>
            <w:tcW w:w="2640" w:type="dxa"/>
          </w:tcPr>
          <w:p w14:paraId="587A3115" w14:textId="77777777" w:rsidR="004E4CC2" w:rsidRDefault="00000000">
            <w:pPr>
              <w:pStyle w:val="Compact"/>
            </w:pPr>
            <w:r>
              <w:t>PV-Ertrag</w:t>
            </w:r>
          </w:p>
        </w:tc>
        <w:tc>
          <w:tcPr>
            <w:tcW w:w="2640" w:type="dxa"/>
          </w:tcPr>
          <w:p w14:paraId="62B9C8B8" w14:textId="77777777" w:rsidR="004E4CC2" w:rsidRDefault="00000000">
            <w:pPr>
              <w:pStyle w:val="Compact"/>
            </w:pPr>
            <w:r>
              <w:t>Projektbezogene Leistung, Orientierung und Verschattung mit Zeitprofil</w:t>
            </w:r>
          </w:p>
        </w:tc>
        <w:tc>
          <w:tcPr>
            <w:tcW w:w="2640" w:type="dxa"/>
          </w:tcPr>
          <w:p w14:paraId="0C562FBC" w14:textId="77777777" w:rsidR="004E4CC2" w:rsidRDefault="00000000">
            <w:pPr>
              <w:pStyle w:val="Compact"/>
            </w:pPr>
            <w:r>
              <w:rPr>
                <w:b/>
                <w:bCs/>
              </w:rPr>
              <w:t>Noch zu ergänzen:</w:t>
            </w:r>
            <w:r>
              <w:t xml:space="preserve"> Referenzdatensatz, Verluste und Profildefinition; </w:t>
            </w:r>
            <w:r>
              <w:rPr>
                <w:rStyle w:val="VerbatimChar"/>
              </w:rPr>
              <w:t>PV_profile_name</w:t>
            </w:r>
          </w:p>
        </w:tc>
      </w:tr>
      <w:tr w:rsidR="004E4CC2" w14:paraId="1666D81D" w14:textId="77777777">
        <w:tc>
          <w:tcPr>
            <w:tcW w:w="2640" w:type="dxa"/>
          </w:tcPr>
          <w:p w14:paraId="6D8C4FCE" w14:textId="77777777" w:rsidR="004E4CC2" w:rsidRDefault="00000000">
            <w:pPr>
              <w:pStyle w:val="Compact"/>
            </w:pPr>
            <w:r>
              <w:t>PE- und THG-Bewertung</w:t>
            </w:r>
          </w:p>
        </w:tc>
        <w:tc>
          <w:tcPr>
            <w:tcW w:w="2640" w:type="dxa"/>
          </w:tcPr>
          <w:p w14:paraId="3ADE7438" w14:textId="77777777" w:rsidR="004E4CC2" w:rsidRDefault="00000000">
            <w:pPr>
              <w:pStyle w:val="Compact"/>
            </w:pPr>
            <w:r>
              <w:t>Monatsfaktoren im beschriebenen Deklarationsansatz</w:t>
            </w:r>
          </w:p>
        </w:tc>
        <w:tc>
          <w:tcPr>
            <w:tcW w:w="2640" w:type="dxa"/>
          </w:tcPr>
          <w:p w14:paraId="031D4EDB" w14:textId="77777777" w:rsidR="004E4CC2" w:rsidRDefault="00000000">
            <w:pPr>
              <w:pStyle w:val="Compact"/>
            </w:pPr>
            <w:r>
              <w:rPr>
                <w:b/>
                <w:bCs/>
              </w:rPr>
              <w:t>Noch zu ergänzen:</w:t>
            </w:r>
            <w:r>
              <w:t xml:space="preserve"> Faktorwerte, Einheiten, Bezugsjahr und Quelle; </w:t>
            </w:r>
            <w:r>
              <w:rPr>
                <w:rStyle w:val="VerbatimChar"/>
              </w:rPr>
              <w:t>fPE_grid_profile</w:t>
            </w:r>
            <w:r>
              <w:t xml:space="preserve">, </w:t>
            </w:r>
            <w:r>
              <w:rPr>
                <w:rStyle w:val="VerbatimChar"/>
              </w:rPr>
              <w:t>fGHG_grid_profile</w:t>
            </w:r>
          </w:p>
        </w:tc>
      </w:tr>
      <w:tr w:rsidR="004E4CC2" w14:paraId="45FE0417" w14:textId="77777777">
        <w:tc>
          <w:tcPr>
            <w:tcW w:w="2640" w:type="dxa"/>
          </w:tcPr>
          <w:p w14:paraId="027D9EFE" w14:textId="77777777" w:rsidR="004E4CC2" w:rsidRDefault="00000000">
            <w:pPr>
              <w:pStyle w:val="Compact"/>
            </w:pPr>
            <w:r>
              <w:t>Fernwärme und weitere Energieträger</w:t>
            </w:r>
          </w:p>
        </w:tc>
        <w:tc>
          <w:tcPr>
            <w:tcW w:w="2640" w:type="dxa"/>
          </w:tcPr>
          <w:p w14:paraId="28492136" w14:textId="77777777" w:rsidR="004E4CC2" w:rsidRDefault="00000000">
            <w:pPr>
              <w:pStyle w:val="Compact"/>
            </w:pPr>
            <w:r>
              <w:t>Versorgungsspezifische Faktoren</w:t>
            </w:r>
          </w:p>
        </w:tc>
        <w:tc>
          <w:tcPr>
            <w:tcW w:w="2640" w:type="dxa"/>
          </w:tcPr>
          <w:p w14:paraId="188BCB2C" w14:textId="77777777" w:rsidR="004E4CC2" w:rsidRDefault="00000000">
            <w:pPr>
              <w:pStyle w:val="Compact"/>
            </w:pPr>
            <w:r>
              <w:rPr>
                <w:b/>
                <w:bCs/>
              </w:rPr>
              <w:t>Noch zu ergänzen:</w:t>
            </w:r>
            <w:r>
              <w:t xml:space="preserve"> Faktortabelle und Gültigkeit; u. a. </w:t>
            </w:r>
            <w:r>
              <w:rPr>
                <w:rStyle w:val="VerbatimChar"/>
              </w:rPr>
              <w:t>district_heating_conversion_profile</w:t>
            </w:r>
          </w:p>
        </w:tc>
      </w:tr>
      <w:tr w:rsidR="004E4CC2" w14:paraId="6148D0AB" w14:textId="77777777">
        <w:tc>
          <w:tcPr>
            <w:tcW w:w="2640" w:type="dxa"/>
          </w:tcPr>
          <w:p w14:paraId="3CEFCD88" w14:textId="77777777" w:rsidR="004E4CC2" w:rsidRDefault="00000000">
            <w:pPr>
              <w:pStyle w:val="Compact"/>
            </w:pPr>
            <w:r>
              <w:t>Bezug und Export</w:t>
            </w:r>
          </w:p>
        </w:tc>
        <w:tc>
          <w:tcPr>
            <w:tcW w:w="2640" w:type="dxa"/>
          </w:tcPr>
          <w:p w14:paraId="56ACB8D1" w14:textId="77777777" w:rsidR="004E4CC2" w:rsidRDefault="00000000">
            <w:pPr>
              <w:pStyle w:val="Compact"/>
            </w:pPr>
            <w:r>
              <w:t>Gleiche zeitbezogene operative Faktoren im Referenzverfahren</w:t>
            </w:r>
          </w:p>
        </w:tc>
        <w:tc>
          <w:tcPr>
            <w:tcW w:w="2640" w:type="dxa"/>
          </w:tcPr>
          <w:p w14:paraId="3B3AFEAC" w14:textId="77777777" w:rsidR="004E4CC2" w:rsidRDefault="00000000">
            <w:pPr>
              <w:pStyle w:val="Compact"/>
            </w:pPr>
            <w:r>
              <w:t>Schneider u. a. (2025), Abschn. 2.4.1; reale Einspeisebegrenzungen bleiben Projektgrößen</w:t>
            </w:r>
          </w:p>
        </w:tc>
      </w:tr>
      <w:tr w:rsidR="004E4CC2" w14:paraId="21D09BD2" w14:textId="77777777">
        <w:tc>
          <w:tcPr>
            <w:tcW w:w="2640" w:type="dxa"/>
          </w:tcPr>
          <w:p w14:paraId="417A1533" w14:textId="77777777" w:rsidR="004E4CC2" w:rsidRDefault="00000000">
            <w:pPr>
              <w:pStyle w:val="Compact"/>
            </w:pPr>
            <w:r>
              <w:t>Externe Flexibilität</w:t>
            </w:r>
          </w:p>
        </w:tc>
        <w:tc>
          <w:tcPr>
            <w:tcW w:w="2640" w:type="dxa"/>
          </w:tcPr>
          <w:p w14:paraId="038C20A5" w14:textId="77777777" w:rsidR="004E4CC2" w:rsidRDefault="00000000">
            <w:pPr>
              <w:pStyle w:val="Compact"/>
            </w:pPr>
            <w:r>
              <w:t>Signalabhängige Nutzung und Bewertung erneuerbarer Überschüsse</w:t>
            </w:r>
          </w:p>
        </w:tc>
        <w:tc>
          <w:tcPr>
            <w:tcW w:w="2640" w:type="dxa"/>
          </w:tcPr>
          <w:p w14:paraId="31CD089F" w14:textId="77777777" w:rsidR="004E4CC2" w:rsidRDefault="00000000">
            <w:pPr>
              <w:pStyle w:val="Compact"/>
            </w:pPr>
            <w:r>
              <w:rPr>
                <w:b/>
                <w:bCs/>
              </w:rPr>
              <w:t>Noch zu ergänzen:</w:t>
            </w:r>
            <w:r>
              <w:t xml:space="preserve"> Signaldefinition, Faktoransatz und Zeitreihen; </w:t>
            </w:r>
            <w:r>
              <w:rPr>
                <w:rStyle w:val="VerbatimChar"/>
              </w:rPr>
              <w:t>FLEX_signal_name</w:t>
            </w:r>
            <w:r>
              <w:t xml:space="preserve">, </w:t>
            </w:r>
            <w:r>
              <w:rPr>
                <w:rStyle w:val="VerbatimChar"/>
              </w:rPr>
              <w:lastRenderedPageBreak/>
              <w:t>fPE_flex_factor</w:t>
            </w:r>
          </w:p>
        </w:tc>
      </w:tr>
      <w:tr w:rsidR="004E4CC2" w14:paraId="3E353B0D" w14:textId="77777777">
        <w:tc>
          <w:tcPr>
            <w:tcW w:w="2640" w:type="dxa"/>
          </w:tcPr>
          <w:p w14:paraId="5AF69BE2" w14:textId="77777777" w:rsidR="004E4CC2" w:rsidRDefault="00000000">
            <w:pPr>
              <w:pStyle w:val="Compact"/>
            </w:pPr>
            <w:r>
              <w:lastRenderedPageBreak/>
              <w:t>Langfristige Emissionsentwicklung</w:t>
            </w:r>
          </w:p>
        </w:tc>
        <w:tc>
          <w:tcPr>
            <w:tcW w:w="2640" w:type="dxa"/>
          </w:tcPr>
          <w:p w14:paraId="41C709B7" w14:textId="77777777" w:rsidR="004E4CC2" w:rsidRDefault="00000000">
            <w:pPr>
              <w:pStyle w:val="Compact"/>
            </w:pPr>
            <w:r>
              <w:t>Anwendung der Absenkpfade aus Teil A</w:t>
            </w:r>
          </w:p>
        </w:tc>
        <w:tc>
          <w:tcPr>
            <w:tcW w:w="2640" w:type="dxa"/>
          </w:tcPr>
          <w:p w14:paraId="0BCC7871" w14:textId="77777777" w:rsidR="004E4CC2" w:rsidRDefault="00000000">
            <w:pPr>
              <w:pStyle w:val="Compact"/>
            </w:pPr>
            <w:r>
              <w:rPr>
                <w:b/>
                <w:bCs/>
              </w:rPr>
              <w:t>Noch zu ergänzen:</w:t>
            </w:r>
            <w:r>
              <w:t xml:space="preserve"> Zuordnung der Faktoren zu Stützjahren und Prozessen</w:t>
            </w:r>
          </w:p>
        </w:tc>
      </w:tr>
    </w:tbl>
    <w:p w14:paraId="1B273DD0" w14:textId="77777777" w:rsidR="004E4CC2" w:rsidRDefault="00000000">
      <w:pPr>
        <w:pStyle w:val="Textkrper"/>
      </w:pPr>
      <w:r>
        <w:t>Wetter, Erzeugung, Verbrauchsprofile und Flexibilitätssignale müssen zeitlich zusammenpassen. Die spätere Verwendung stündlicher Bewertungsfaktoren ist eine mögliche Weiterentwicklung; sie ist nicht durch die stündliche Simulation allein bereits festgelegt.</w:t>
      </w:r>
    </w:p>
    <w:p w14:paraId="4B7B111B" w14:textId="77777777" w:rsidR="004E4CC2" w:rsidRDefault="00000000">
      <w:pPr>
        <w:pStyle w:val="berschrift2"/>
      </w:pPr>
      <w:bookmarkStart w:id="424" w:name="X123ab7bef637efcf1c0dea418956f12927058bd"/>
      <w:bookmarkStart w:id="425" w:name="_Toc243681390"/>
      <w:bookmarkEnd w:id="422"/>
      <w:r>
        <w:t>F.6 Projektspezifische Technik und Lebenszyklus</w:t>
      </w:r>
      <w:bookmarkEnd w:id="425"/>
    </w:p>
    <w:tbl>
      <w:tblPr>
        <w:tblStyle w:val="Table"/>
        <w:tblW w:w="5000" w:type="pct"/>
        <w:tblLayout w:type="fixed"/>
        <w:tblLook w:val="0020" w:firstRow="1" w:lastRow="0" w:firstColumn="0" w:lastColumn="0" w:noHBand="0" w:noVBand="0"/>
      </w:tblPr>
      <w:tblGrid>
        <w:gridCol w:w="3208"/>
        <w:gridCol w:w="3207"/>
        <w:gridCol w:w="3207"/>
      </w:tblGrid>
      <w:tr w:rsidR="004E4CC2" w14:paraId="5847B082"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4B4C09A8" w14:textId="77777777" w:rsidR="004E4CC2" w:rsidRDefault="00000000">
            <w:pPr>
              <w:pStyle w:val="Compact"/>
            </w:pPr>
            <w:r>
              <w:t>Gegenstand</w:t>
            </w:r>
          </w:p>
        </w:tc>
        <w:tc>
          <w:tcPr>
            <w:tcW w:w="2640" w:type="dxa"/>
          </w:tcPr>
          <w:p w14:paraId="3F1B4B7F" w14:textId="77777777" w:rsidR="004E4CC2" w:rsidRDefault="00000000">
            <w:pPr>
              <w:pStyle w:val="Compact"/>
            </w:pPr>
            <w:r>
              <w:t>Projektbezogene Angaben</w:t>
            </w:r>
          </w:p>
        </w:tc>
        <w:tc>
          <w:tcPr>
            <w:tcW w:w="2640" w:type="dxa"/>
          </w:tcPr>
          <w:p w14:paraId="152C1C55" w14:textId="77777777" w:rsidR="004E4CC2" w:rsidRDefault="00000000">
            <w:pPr>
              <w:pStyle w:val="Compact"/>
            </w:pPr>
            <w:r>
              <w:t>Übergreifend noch benötigte Annahmen</w:t>
            </w:r>
          </w:p>
        </w:tc>
      </w:tr>
      <w:tr w:rsidR="004E4CC2" w14:paraId="3A95E040" w14:textId="77777777">
        <w:tc>
          <w:tcPr>
            <w:tcW w:w="2640" w:type="dxa"/>
          </w:tcPr>
          <w:p w14:paraId="514B5DF1" w14:textId="77777777" w:rsidR="004E4CC2" w:rsidRDefault="00000000">
            <w:pPr>
              <w:pStyle w:val="Compact"/>
            </w:pPr>
            <w:r>
              <w:t>Gebäudehülle</w:t>
            </w:r>
          </w:p>
        </w:tc>
        <w:tc>
          <w:tcPr>
            <w:tcW w:w="2640" w:type="dxa"/>
          </w:tcPr>
          <w:p w14:paraId="535FC3E9" w14:textId="77777777" w:rsidR="004E4CC2" w:rsidRDefault="00000000">
            <w:pPr>
              <w:pStyle w:val="Compact"/>
            </w:pPr>
            <w:r>
              <w:t>Geometrie, Bauteilflächen, U-Werte, Luftdichtheit, Speichermasse und Sonnenschutz</w:t>
            </w:r>
          </w:p>
        </w:tc>
        <w:tc>
          <w:tcPr>
            <w:tcW w:w="2640" w:type="dxa"/>
          </w:tcPr>
          <w:p w14:paraId="1BEBA7ED" w14:textId="77777777" w:rsidR="004E4CC2" w:rsidRDefault="00000000">
            <w:pPr>
              <w:pStyle w:val="Compact"/>
            </w:pPr>
            <w:r>
              <w:rPr>
                <w:b/>
                <w:bCs/>
              </w:rPr>
              <w:t>Noch zu ergänzen:</w:t>
            </w:r>
            <w:r>
              <w:t xml:space="preserve"> Referenzbedingungen und Grenzen vereinfachter Ansätze; keine vollständige Vorgabe aller Hüllpresets</w:t>
            </w:r>
          </w:p>
        </w:tc>
      </w:tr>
      <w:tr w:rsidR="004E4CC2" w14:paraId="59415945" w14:textId="77777777">
        <w:tc>
          <w:tcPr>
            <w:tcW w:w="2640" w:type="dxa"/>
          </w:tcPr>
          <w:p w14:paraId="22C8D716" w14:textId="77777777" w:rsidR="004E4CC2" w:rsidRDefault="00000000">
            <w:pPr>
              <w:pStyle w:val="Compact"/>
            </w:pPr>
            <w:r>
              <w:t>Wärme, Kälte und Warmwasser</w:t>
            </w:r>
          </w:p>
        </w:tc>
        <w:tc>
          <w:tcPr>
            <w:tcW w:w="2640" w:type="dxa"/>
          </w:tcPr>
          <w:p w14:paraId="0DF026AF" w14:textId="77777777" w:rsidR="004E4CC2" w:rsidRDefault="00000000">
            <w:pPr>
              <w:pStyle w:val="Compact"/>
            </w:pPr>
            <w:r>
              <w:t>Erzeuger, Systemtemperaturen, Wirkungsgrade, Leistungen und Verteilung</w:t>
            </w:r>
          </w:p>
        </w:tc>
        <w:tc>
          <w:tcPr>
            <w:tcW w:w="2640" w:type="dxa"/>
          </w:tcPr>
          <w:p w14:paraId="5108CA2F" w14:textId="77777777" w:rsidR="004E4CC2" w:rsidRDefault="00000000">
            <w:pPr>
              <w:pStyle w:val="Compact"/>
            </w:pPr>
            <w:r>
              <w:rPr>
                <w:b/>
                <w:bCs/>
              </w:rPr>
              <w:t>Noch zu ergänzen:</w:t>
            </w:r>
            <w:r>
              <w:t xml:space="preserve"> Behandlung von Teillast, Hilfsenergie, Speicher- und Verteilverlusten</w:t>
            </w:r>
          </w:p>
        </w:tc>
      </w:tr>
      <w:tr w:rsidR="004E4CC2" w14:paraId="5C557724" w14:textId="77777777">
        <w:tc>
          <w:tcPr>
            <w:tcW w:w="2640" w:type="dxa"/>
          </w:tcPr>
          <w:p w14:paraId="3B0A90FF" w14:textId="77777777" w:rsidR="004E4CC2" w:rsidRDefault="00000000">
            <w:pPr>
              <w:pStyle w:val="Compact"/>
            </w:pPr>
            <w:r>
              <w:t>Speicher und Regelung</w:t>
            </w:r>
          </w:p>
        </w:tc>
        <w:tc>
          <w:tcPr>
            <w:tcW w:w="2640" w:type="dxa"/>
          </w:tcPr>
          <w:p w14:paraId="1F6953D1" w14:textId="77777777" w:rsidR="004E4CC2" w:rsidRDefault="00000000">
            <w:pPr>
              <w:pStyle w:val="Compact"/>
            </w:pPr>
            <w:r>
              <w:t>Kapazität, Leistung, Verluste, Betriebsgrenzen</w:t>
            </w:r>
          </w:p>
        </w:tc>
        <w:tc>
          <w:tcPr>
            <w:tcW w:w="2640" w:type="dxa"/>
          </w:tcPr>
          <w:p w14:paraId="26C12FDA" w14:textId="77777777" w:rsidR="004E4CC2" w:rsidRDefault="00000000">
            <w:pPr>
              <w:pStyle w:val="Compact"/>
            </w:pPr>
            <w:r>
              <w:rPr>
                <w:b/>
                <w:bCs/>
              </w:rPr>
              <w:t>Noch zu ergänzen:</w:t>
            </w:r>
            <w:r>
              <w:t xml:space="preserve"> dokumentierte Einsatzprioritäten und Komfortgrenzen</w:t>
            </w:r>
          </w:p>
        </w:tc>
      </w:tr>
      <w:tr w:rsidR="004E4CC2" w14:paraId="722FBA0E" w14:textId="77777777">
        <w:tc>
          <w:tcPr>
            <w:tcW w:w="2640" w:type="dxa"/>
          </w:tcPr>
          <w:p w14:paraId="55C87BB7" w14:textId="77777777" w:rsidR="004E4CC2" w:rsidRDefault="00000000">
            <w:pPr>
              <w:pStyle w:val="Compact"/>
            </w:pPr>
            <w:r>
              <w:t>Bauteile und Anlagen</w:t>
            </w:r>
          </w:p>
        </w:tc>
        <w:tc>
          <w:tcPr>
            <w:tcW w:w="2640" w:type="dxa"/>
          </w:tcPr>
          <w:p w14:paraId="073EFAF1" w14:textId="77777777" w:rsidR="004E4CC2" w:rsidRDefault="00000000">
            <w:pPr>
              <w:pStyle w:val="Compact"/>
            </w:pPr>
            <w:r>
              <w:t>Mengen und zugehörige Ökobilanzdatensätze</w:t>
            </w:r>
          </w:p>
        </w:tc>
        <w:tc>
          <w:tcPr>
            <w:tcW w:w="2640" w:type="dxa"/>
          </w:tcPr>
          <w:p w14:paraId="162DB2C4" w14:textId="77777777" w:rsidR="004E4CC2" w:rsidRDefault="00000000">
            <w:pPr>
              <w:pStyle w:val="Compact"/>
            </w:pPr>
            <w:r>
              <w:rPr>
                <w:b/>
                <w:bCs/>
              </w:rPr>
              <w:t>Noch zu ergänzen:</w:t>
            </w:r>
            <w:r>
              <w:t xml:space="preserve"> Referenzdaten mit funktioneller Einheit, Version, Modulen und technischen Nutzungsdauern</w:t>
            </w:r>
          </w:p>
        </w:tc>
      </w:tr>
      <w:tr w:rsidR="004E4CC2" w14:paraId="514052BA" w14:textId="77777777">
        <w:tc>
          <w:tcPr>
            <w:tcW w:w="2640" w:type="dxa"/>
          </w:tcPr>
          <w:p w14:paraId="2C019569" w14:textId="77777777" w:rsidR="004E4CC2" w:rsidRDefault="00000000">
            <w:pPr>
              <w:pStyle w:val="Compact"/>
            </w:pPr>
            <w:r>
              <w:t>Lebenszyklusumfang</w:t>
            </w:r>
          </w:p>
        </w:tc>
        <w:tc>
          <w:tcPr>
            <w:tcW w:w="2640" w:type="dxa"/>
          </w:tcPr>
          <w:p w14:paraId="53CDAD64" w14:textId="77777777" w:rsidR="004E4CC2" w:rsidRDefault="00000000">
            <w:pPr>
              <w:pStyle w:val="Compact"/>
            </w:pPr>
            <w:r>
              <w:t xml:space="preserve">Prozesse und Abgrenzung gemäß </w:t>
            </w:r>
            <w:hyperlink w:anchor="tbl-lca-umfang">
              <w:r>
                <w:rPr>
                  <w:rStyle w:val="Hyperlink"/>
                </w:rPr>
                <w:t>Tabelle 11.2</w:t>
              </w:r>
            </w:hyperlink>
          </w:p>
        </w:tc>
        <w:tc>
          <w:tcPr>
            <w:tcW w:w="2640" w:type="dxa"/>
          </w:tcPr>
          <w:p w14:paraId="1481C3C7" w14:textId="77777777" w:rsidR="004E4CC2" w:rsidRDefault="00000000">
            <w:pPr>
              <w:pStyle w:val="Compact"/>
            </w:pPr>
            <w:r>
              <w:rPr>
                <w:b/>
                <w:bCs/>
              </w:rPr>
              <w:t>Noch zu ergänzen:</w:t>
            </w:r>
            <w:r>
              <w:t xml:space="preserve"> gemeinsame Erfassungsregel für A4–A5 und dokumentierte Ersatzannahmen</w:t>
            </w:r>
          </w:p>
        </w:tc>
      </w:tr>
      <w:tr w:rsidR="004E4CC2" w14:paraId="5622933C" w14:textId="77777777">
        <w:tc>
          <w:tcPr>
            <w:tcW w:w="2640" w:type="dxa"/>
          </w:tcPr>
          <w:p w14:paraId="2BB29492" w14:textId="77777777" w:rsidR="004E4CC2" w:rsidRDefault="00000000">
            <w:pPr>
              <w:pStyle w:val="Compact"/>
            </w:pPr>
            <w:r>
              <w:t>Biogener Kohlenstoff</w:t>
            </w:r>
          </w:p>
        </w:tc>
        <w:tc>
          <w:tcPr>
            <w:tcW w:w="2640" w:type="dxa"/>
          </w:tcPr>
          <w:p w14:paraId="7CFA6733" w14:textId="77777777" w:rsidR="004E4CC2" w:rsidRDefault="00000000">
            <w:pPr>
              <w:pStyle w:val="Compact"/>
            </w:pPr>
            <w:r>
              <w:t xml:space="preserve">Vereinfachte Anrechnung: 100 % schnell nachwachsend, 55 % bewirtschaftetes Holz, 100 % belegtes </w:t>
            </w:r>
            <w:r>
              <w:lastRenderedPageBreak/>
              <w:t>Kalamitätsholz</w:t>
            </w:r>
          </w:p>
        </w:tc>
        <w:tc>
          <w:tcPr>
            <w:tcW w:w="2640" w:type="dxa"/>
          </w:tcPr>
          <w:p w14:paraId="2D55F847" w14:textId="77777777" w:rsidR="004E4CC2" w:rsidRDefault="00000000">
            <w:pPr>
              <w:pStyle w:val="Compact"/>
            </w:pPr>
            <w:r>
              <w:lastRenderedPageBreak/>
              <w:t xml:space="preserve">Konvention nach Schneider u. a. (2025), Abschn. 2.5.2; Herkunft und bereits enthaltene Speicherwirkungen </w:t>
            </w:r>
            <w:r>
              <w:lastRenderedPageBreak/>
              <w:t>berücksichtigen</w:t>
            </w:r>
          </w:p>
        </w:tc>
      </w:tr>
      <w:tr w:rsidR="004E4CC2" w14:paraId="3DE9BA26" w14:textId="77777777">
        <w:tc>
          <w:tcPr>
            <w:tcW w:w="2640" w:type="dxa"/>
          </w:tcPr>
          <w:p w14:paraId="07773DAA" w14:textId="77777777" w:rsidR="004E4CC2" w:rsidRDefault="00000000">
            <w:pPr>
              <w:pStyle w:val="Compact"/>
            </w:pPr>
            <w:r>
              <w:lastRenderedPageBreak/>
              <w:t>PV-Errichtung</w:t>
            </w:r>
          </w:p>
        </w:tc>
        <w:tc>
          <w:tcPr>
            <w:tcW w:w="2640" w:type="dxa"/>
          </w:tcPr>
          <w:p w14:paraId="04856692" w14:textId="77777777" w:rsidR="004E4CC2" w:rsidRDefault="00000000">
            <w:pPr>
              <w:pStyle w:val="Compact"/>
            </w:pPr>
            <w:r>
              <w:t>Im Referenzverfahren dem Energieversorgungssektor zugeordnet</w:t>
            </w:r>
          </w:p>
        </w:tc>
        <w:tc>
          <w:tcPr>
            <w:tcW w:w="2640" w:type="dxa"/>
          </w:tcPr>
          <w:p w14:paraId="0CBCB147" w14:textId="77777777" w:rsidR="004E4CC2" w:rsidRDefault="00000000">
            <w:pPr>
              <w:pStyle w:val="Compact"/>
            </w:pPr>
            <w:r>
              <w:t>Alternative Budget- und Systemgrenze in Teil A</w:t>
            </w:r>
          </w:p>
        </w:tc>
      </w:tr>
    </w:tbl>
    <w:p w14:paraId="4A9716FA" w14:textId="77777777" w:rsidR="004E4CC2" w:rsidRDefault="00000000">
      <w:pPr>
        <w:pStyle w:val="Textkrper"/>
      </w:pPr>
      <w:r>
        <w:t>Für die Vergleichbarkeit werden Modellstand sowie verwendete Referenzwerte und Projektwerte mit der Bilanz dokumentiert. Ein technisches Auswahlpreset ersetzt weder diese Angaben noch einen Nachweis der Umsetzbarkeit.</w:t>
      </w:r>
    </w:p>
    <w:p w14:paraId="21594020" w14:textId="77777777" w:rsidR="004E4CC2" w:rsidRDefault="00000000">
      <w:pPr>
        <w:pStyle w:val="berschrift1"/>
      </w:pPr>
      <w:bookmarkStart w:id="426" w:name="Xbf1442cb2081e1c5e46904a6cb4e7988207d10b"/>
      <w:bookmarkStart w:id="427" w:name="_Toc243681391"/>
      <w:bookmarkEnd w:id="412"/>
      <w:bookmarkEnd w:id="424"/>
      <w:r>
        <w:t>Appendix G — Internes Szenario- und Kalibrierungsdashboard</w:t>
      </w:r>
      <w:bookmarkEnd w:id="427"/>
    </w:p>
    <w:p w14:paraId="77FDD427" w14:textId="77777777" w:rsidR="004E4CC2" w:rsidRDefault="00000000">
      <w:pPr>
        <w:pStyle w:val="berschrift1"/>
      </w:pPr>
      <w:bookmarkStart w:id="428" w:name="sec-internes-dashboard"/>
      <w:bookmarkStart w:id="429" w:name="_Toc243681392"/>
      <w:bookmarkEnd w:id="426"/>
      <w:r>
        <w:t>Appendix G — Interner Arbeitsstand</w:t>
      </w:r>
      <w:bookmarkEnd w:id="429"/>
    </w:p>
    <w:p w14:paraId="5FC0D5C6" w14:textId="77777777" w:rsidR="004E4CC2" w:rsidRDefault="00000000">
      <w:pPr>
        <w:pStyle w:val="FirstParagraph"/>
      </w:pPr>
      <w:r>
        <w:rPr>
          <w:b/>
          <w:bCs/>
        </w:rPr>
        <w:t>Nur für die interne Redaktion. Kein Bestandteil der finalen Publikation.</w:t>
      </w:r>
      <w:r>
        <w:t xml:space="preserve"> Das Profil </w:t>
      </w:r>
      <w:r>
        <w:rPr>
          <w:rStyle w:val="VerbatimChar"/>
        </w:rPr>
        <w:t>publikation</w:t>
      </w:r>
      <w:r>
        <w:t xml:space="preserve"> schließt diesen Anhang aus. Das Dashboard verändert weder die wissenschaftlichen Referenznotebooks noch deren Ergebnisdateien oder QMD-Texte.</w:t>
      </w:r>
    </w:p>
    <w:p w14:paraId="03D605A5" w14:textId="77777777" w:rsidR="004E4CC2" w:rsidRDefault="00000000">
      <w:pPr>
        <w:pStyle w:val="Textkrper"/>
      </w:pPr>
      <w:r>
        <w:rPr>
          <w:b/>
          <w:bCs/>
        </w:rPr>
        <w:t>Bedienung:</w:t>
      </w:r>
      <w:r>
        <w:t xml:space="preserve"> In der nächsten Zelle Excel-Pfad und nationales Szenario wählen, Kernel neu starten und alle Zellen ausführen. Danach HTML neu rendern. Die HTML-Regler rechnen unmittelbar mit diesem eingebetteten Datenstand; sie können keine lokale Excel neu einlesen. Der JSON-Download sichert Parameter, Ergebnisse und Eingabe-Hashes. Für eine Übernahme in den Bericht müssen die Referenznotebooks bewusst aktualisiert werden.</w:t>
      </w:r>
    </w:p>
    <w:p w14:paraId="44A32FF5" w14:textId="77777777" w:rsidR="004E4CC2" w:rsidRDefault="00000000">
      <w:pPr>
        <w:pStyle w:val="Textkrper"/>
      </w:pPr>
      <w:r>
        <w:t xml:space="preserve">Quellen und Bilanzgrenzen: </w:t>
      </w:r>
      <w:hyperlink w:anchor="sec-gebaeudebestand">
        <w:r>
          <w:rPr>
            <w:rStyle w:val="Hyperlink"/>
          </w:rPr>
          <w:t>Kapitel 6</w:t>
        </w:r>
      </w:hyperlink>
      <w:r>
        <w:t xml:space="preserve"> und </w:t>
      </w:r>
      <w:hyperlink w:anchor="sec-allokation">
        <w:r>
          <w:rPr>
            <w:rStyle w:val="Hyperlink"/>
          </w:rPr>
          <w:t>Kapitel 5</w:t>
        </w:r>
      </w:hyperlink>
      <w:r>
        <w:t xml:space="preserve"> sowie die wissenschaftlichen Anhänge. Verkehrsanteile beziehen sich auf </w:t>
      </w:r>
      <w:r>
        <w:rPr>
          <w:b/>
          <w:bCs/>
        </w:rPr>
        <w:t>elektrische Energie</w:t>
      </w:r>
      <w:r>
        <w:t>, nicht auf Fahrten oder Personenkilometer. Alle Salden: Erzeugung minus Bedarf.</w:t>
      </w:r>
    </w:p>
    <w:p w14:paraId="43739981" w14:textId="77777777" w:rsidR="004E4CC2" w:rsidRDefault="00000000">
      <w:pPr>
        <w:pStyle w:val="SourceCode"/>
      </w:pPr>
      <w:r>
        <w:rPr>
          <w:rStyle w:val="ImportTok"/>
        </w:rPr>
        <w:t>from</w:t>
      </w:r>
      <w:r>
        <w:rPr>
          <w:rStyle w:val="NormalTok"/>
        </w:rPr>
        <w:t xml:space="preserve"> pathlib </w:t>
      </w:r>
      <w:r>
        <w:rPr>
          <w:rStyle w:val="ImportTok"/>
        </w:rPr>
        <w:t>import</w:t>
      </w:r>
      <w:r>
        <w:rPr>
          <w:rStyle w:val="NormalTok"/>
        </w:rPr>
        <w:t xml:space="preserve"> Path</w:t>
      </w:r>
      <w:r>
        <w:br/>
      </w:r>
      <w:r>
        <w:rPr>
          <w:rStyle w:val="ImportTok"/>
        </w:rPr>
        <w:t>import</w:t>
      </w:r>
      <w:r>
        <w:rPr>
          <w:rStyle w:val="NormalTok"/>
        </w:rPr>
        <w:t xml:space="preserve"> json, hashlib, sys</w:t>
      </w:r>
      <w:r>
        <w:br/>
      </w:r>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from</w:t>
      </w:r>
      <w:r>
        <w:rPr>
          <w:rStyle w:val="NormalTok"/>
        </w:rPr>
        <w:t xml:space="preserve"> IPython.display </w:t>
      </w:r>
      <w:r>
        <w:rPr>
          <w:rStyle w:val="ImportTok"/>
        </w:rPr>
        <w:t>import</w:t>
      </w:r>
      <w:r>
        <w:rPr>
          <w:rStyle w:val="NormalTok"/>
        </w:rPr>
        <w:t xml:space="preserve"> display, HTML</w:t>
      </w:r>
      <w:r>
        <w:br/>
      </w:r>
      <w:r>
        <w:rPr>
          <w:rStyle w:val="NormalTok"/>
        </w:rPr>
        <w:t xml:space="preserve">ROOT </w:t>
      </w:r>
      <w:r>
        <w:rPr>
          <w:rStyle w:val="OperatorTok"/>
        </w:rPr>
        <w:t>=</w:t>
      </w:r>
      <w:r>
        <w:rPr>
          <w:rStyle w:val="NormalTok"/>
        </w:rPr>
        <w:t xml:space="preserve"> </w:t>
      </w:r>
      <w:r>
        <w:rPr>
          <w:rStyle w:val="BuiltInTok"/>
        </w:rPr>
        <w:t>next</w:t>
      </w:r>
      <w:r>
        <w:rPr>
          <w:rStyle w:val="NormalTok"/>
        </w:rPr>
        <w:t xml:space="preserve">(p </w:t>
      </w:r>
      <w:r>
        <w:rPr>
          <w:rStyle w:val="ControlFlowTok"/>
        </w:rPr>
        <w:t>for</w:t>
      </w:r>
      <w:r>
        <w:rPr>
          <w:rStyle w:val="NormalTok"/>
        </w:rPr>
        <w:t xml:space="preserve"> p </w:t>
      </w:r>
      <w:r>
        <w:rPr>
          <w:rStyle w:val="KeywordTok"/>
        </w:rPr>
        <w:t>in</w:t>
      </w:r>
      <w:r>
        <w:rPr>
          <w:rStyle w:val="NormalTok"/>
        </w:rPr>
        <w:t xml:space="preserve"> [Path.cwd(), </w:t>
      </w:r>
      <w:r>
        <w:rPr>
          <w:rStyle w:val="OperatorTok"/>
        </w:rPr>
        <w:t>*</w:t>
      </w:r>
      <w:r>
        <w:rPr>
          <w:rStyle w:val="NormalTok"/>
        </w:rPr>
        <w:t xml:space="preserve">Path.cwd().parents] </w:t>
      </w:r>
      <w:r>
        <w:rPr>
          <w:rStyle w:val="ControlFlowTok"/>
        </w:rPr>
        <w:t>if</w:t>
      </w:r>
      <w:r>
        <w:rPr>
          <w:rStyle w:val="NormalTok"/>
        </w:rPr>
        <w:t xml:space="preserve"> (p</w:t>
      </w:r>
      <w:r>
        <w:rPr>
          <w:rStyle w:val="OperatorTok"/>
        </w:rPr>
        <w:t>/</w:t>
      </w:r>
      <w:r>
        <w:rPr>
          <w:rStyle w:val="StringTok"/>
        </w:rPr>
        <w:t>'_quarto.yml'</w:t>
      </w:r>
      <w:r>
        <w:rPr>
          <w:rStyle w:val="NormalTok"/>
        </w:rPr>
        <w:t>).exists())</w:t>
      </w:r>
      <w:r>
        <w:br/>
      </w:r>
      <w:r>
        <w:rPr>
          <w:rStyle w:val="NormalTok"/>
        </w:rPr>
        <w:t xml:space="preserve">BASE </w:t>
      </w:r>
      <w:r>
        <w:rPr>
          <w:rStyle w:val="OperatorTok"/>
        </w:rPr>
        <w:t>=</w:t>
      </w:r>
      <w:r>
        <w:rPr>
          <w:rStyle w:val="NormalTok"/>
        </w:rPr>
        <w:t xml:space="preserve"> ROOT</w:t>
      </w:r>
      <w:r>
        <w:rPr>
          <w:rStyle w:val="OperatorTok"/>
        </w:rPr>
        <w:t>/</w:t>
      </w:r>
      <w:r>
        <w:rPr>
          <w:rStyle w:val="StringTok"/>
        </w:rPr>
        <w:t>'Berechnungen/gebaeudesektormodell'</w:t>
      </w:r>
      <w:r>
        <w:br/>
      </w:r>
      <w:r>
        <w:rPr>
          <w:rStyle w:val="NormalTok"/>
        </w:rPr>
        <w:t>sys.path.insert(</w:t>
      </w:r>
      <w:r>
        <w:rPr>
          <w:rStyle w:val="DecValTok"/>
        </w:rPr>
        <w:t>0</w:t>
      </w:r>
      <w:r>
        <w:rPr>
          <w:rStyle w:val="NormalTok"/>
        </w:rPr>
        <w:t xml:space="preserve">, </w:t>
      </w:r>
      <w:r>
        <w:rPr>
          <w:rStyle w:val="BuiltInTok"/>
        </w:rPr>
        <w:t>str</w:t>
      </w:r>
      <w:r>
        <w:rPr>
          <w:rStyle w:val="NormalTok"/>
        </w:rPr>
        <w:t>(BASE))</w:t>
      </w:r>
      <w:r>
        <w:br/>
      </w:r>
      <w:r>
        <w:rPr>
          <w:rStyle w:val="ImportTok"/>
        </w:rPr>
        <w:t>from</w:t>
      </w:r>
      <w:r>
        <w:rPr>
          <w:rStyle w:val="NormalTok"/>
        </w:rPr>
        <w:t xml:space="preserve"> utils </w:t>
      </w:r>
      <w:r>
        <w:rPr>
          <w:rStyle w:val="ImportTok"/>
        </w:rPr>
        <w:t>import</w:t>
      </w:r>
      <w:r>
        <w:rPr>
          <w:rStyle w:val="NormalTok"/>
        </w:rPr>
        <w:t xml:space="preserve"> sha256</w:t>
      </w:r>
      <w:r>
        <w:br/>
      </w:r>
      <w:r>
        <w:br/>
      </w:r>
      <w:r>
        <w:rPr>
          <w:rStyle w:val="CommentTok"/>
        </w:rPr>
        <w:t># Ausgangsszenario: Original-Pool (Strombed_estim + zuordnung_gfz)</w:t>
      </w:r>
      <w:r>
        <w:br/>
      </w:r>
      <w:r>
        <w:rPr>
          <w:rStyle w:val="CommentTok"/>
        </w:rPr>
        <w:t># oder editierbare Reinschrift (Typen + GFZ_Zuordnung).</w:t>
      </w:r>
      <w:r>
        <w:br/>
      </w:r>
      <w:r>
        <w:rPr>
          <w:rStyle w:val="NormalTok"/>
        </w:rPr>
        <w:t xml:space="preserve">XLSX </w:t>
      </w:r>
      <w:r>
        <w:rPr>
          <w:rStyle w:val="OperatorTok"/>
        </w:rPr>
        <w:t>=</w:t>
      </w:r>
      <w:r>
        <w:rPr>
          <w:rStyle w:val="NormalTok"/>
        </w:rPr>
        <w:t xml:space="preserve"> ROOT</w:t>
      </w:r>
      <w:r>
        <w:rPr>
          <w:rStyle w:val="OperatorTok"/>
        </w:rPr>
        <w:t>/</w:t>
      </w:r>
      <w:r>
        <w:rPr>
          <w:rStyle w:val="StringTok"/>
        </w:rPr>
        <w:t>'Berechnungen/gebaeudesektormodell/data/Building-Sector_Pool_1.xl</w:t>
      </w:r>
      <w:r>
        <w:rPr>
          <w:rStyle w:val="StringTok"/>
        </w:rPr>
        <w:lastRenderedPageBreak/>
        <w:t>sx'</w:t>
      </w:r>
      <w:r>
        <w:br/>
      </w:r>
      <w:r>
        <w:rPr>
          <w:rStyle w:val="NormalTok"/>
        </w:rPr>
        <w:t xml:space="preserve">SCENARIO </w:t>
      </w:r>
      <w:r>
        <w:rPr>
          <w:rStyle w:val="OperatorTok"/>
        </w:rPr>
        <w:t>=</w:t>
      </w:r>
      <w:r>
        <w:rPr>
          <w:rStyle w:val="NormalTok"/>
        </w:rPr>
        <w:t xml:space="preserve"> </w:t>
      </w:r>
      <w:r>
        <w:rPr>
          <w:rStyle w:val="StringTok"/>
        </w:rPr>
        <w:t>'transition_2040'</w:t>
      </w:r>
      <w:r>
        <w:br/>
      </w:r>
      <w:r>
        <w:rPr>
          <w:rStyle w:val="NormalTok"/>
        </w:rPr>
        <w:t xml:space="preserve">AREA_COLUMN </w:t>
      </w:r>
      <w:r>
        <w:rPr>
          <w:rStyle w:val="OperatorTok"/>
        </w:rPr>
        <w:t>=</w:t>
      </w:r>
      <w:r>
        <w:rPr>
          <w:rStyle w:val="NormalTok"/>
        </w:rPr>
        <w:t xml:space="preserve"> </w:t>
      </w:r>
      <w:r>
        <w:rPr>
          <w:rStyle w:val="StringTok"/>
        </w:rPr>
        <w:t>'Nationale BGF 2040'</w:t>
      </w:r>
      <w:r>
        <w:br/>
      </w:r>
      <w:r>
        <w:rPr>
          <w:rStyle w:val="CommentTok"/>
        </w:rPr>
        <w:t># Andere Flächenjahre sind kein zeitlich konsistenter Vergleich mit UBA 2040!</w:t>
      </w:r>
      <w:r>
        <w:br/>
      </w:r>
      <w:r>
        <w:rPr>
          <w:rStyle w:val="NormalTok"/>
        </w:rPr>
        <w:t xml:space="preserve">DEFAULT </w:t>
      </w:r>
      <w:r>
        <w:rPr>
          <w:rStyle w:val="OperatorTok"/>
        </w:rPr>
        <w:t>=</w:t>
      </w:r>
      <w:r>
        <w:rPr>
          <w:rStyle w:val="NormalTok"/>
        </w:rPr>
        <w:t xml:space="preserve"> </w:t>
      </w:r>
      <w:r>
        <w:rPr>
          <w:rStyle w:val="BuiltInTok"/>
        </w:rPr>
        <w:t>dict</w:t>
      </w:r>
      <w:r>
        <w:rPr>
          <w:rStyle w:val="NormalTok"/>
        </w:rPr>
        <w:t>(miv</w:t>
      </w:r>
      <w:r>
        <w:rPr>
          <w:rStyle w:val="OperatorTok"/>
        </w:rPr>
        <w:t>=</w:t>
      </w:r>
      <w:r>
        <w:rPr>
          <w:rStyle w:val="FloatTok"/>
        </w:rPr>
        <w:t>.8</w:t>
      </w:r>
      <w:r>
        <w:rPr>
          <w:rStyle w:val="NormalTok"/>
        </w:rPr>
        <w:t>, other_transport</w:t>
      </w:r>
      <w:r>
        <w:rPr>
          <w:rStyle w:val="OperatorTok"/>
        </w:rPr>
        <w:t>=</w:t>
      </w:r>
      <w:r>
        <w:rPr>
          <w:rStyle w:val="FloatTok"/>
        </w:rPr>
        <w:t>0.</w:t>
      </w:r>
      <w:r>
        <w:rPr>
          <w:rStyle w:val="NormalTok"/>
        </w:rPr>
        <w:t>, free_pv</w:t>
      </w:r>
      <w:r>
        <w:rPr>
          <w:rStyle w:val="OperatorTok"/>
        </w:rPr>
        <w:t>=</w:t>
      </w:r>
      <w:r>
        <w:rPr>
          <w:rStyle w:val="FloatTok"/>
        </w:rPr>
        <w:t>0.</w:t>
      </w:r>
      <w:r>
        <w:rPr>
          <w:rStyle w:val="NormalTok"/>
        </w:rPr>
        <w:t>, hydrogen</w:t>
      </w:r>
      <w:r>
        <w:rPr>
          <w:rStyle w:val="OperatorTok"/>
        </w:rPr>
        <w:t>=</w:t>
      </w:r>
      <w:r>
        <w:rPr>
          <w:rStyle w:val="FloatTok"/>
        </w:rPr>
        <w:t>0.</w:t>
      </w:r>
      <w:r>
        <w:rPr>
          <w:rStyle w:val="NormalTok"/>
        </w:rPr>
        <w:t>,</w:t>
      </w:r>
      <w:r>
        <w:br/>
      </w:r>
      <w:r>
        <w:rPr>
          <w:rStyle w:val="NormalTok"/>
        </w:rPr>
        <w:t xml:space="preserve">               saving</w:t>
      </w:r>
      <w:r>
        <w:rPr>
          <w:rStyle w:val="OperatorTok"/>
        </w:rPr>
        <w:t>=</w:t>
      </w:r>
      <w:r>
        <w:rPr>
          <w:rStyle w:val="FloatTok"/>
        </w:rPr>
        <w:t>0.</w:t>
      </w:r>
      <w:r>
        <w:rPr>
          <w:rStyle w:val="NormalTok"/>
        </w:rPr>
        <w:t>, pv_scale</w:t>
      </w:r>
      <w:r>
        <w:rPr>
          <w:rStyle w:val="OperatorTok"/>
        </w:rPr>
        <w:t>=</w:t>
      </w:r>
      <w:r>
        <w:rPr>
          <w:rStyle w:val="FloatTok"/>
        </w:rPr>
        <w:t>1.</w:t>
      </w:r>
      <w:r>
        <w:rPr>
          <w:rStyle w:val="NormalTok"/>
        </w:rPr>
        <w:t>, ngf_bgf</w:t>
      </w:r>
      <w:r>
        <w:rPr>
          <w:rStyle w:val="OperatorTok"/>
        </w:rPr>
        <w:t>=</w:t>
      </w:r>
      <w:r>
        <w:rPr>
          <w:rStyle w:val="FloatTok"/>
        </w:rPr>
        <w:t>.8</w:t>
      </w:r>
      <w:r>
        <w:rPr>
          <w:rStyle w:val="NormalTok"/>
        </w:rPr>
        <w:t>,</w:t>
      </w:r>
      <w:r>
        <w:br/>
      </w:r>
      <w:r>
        <w:rPr>
          <w:rStyle w:val="NormalTok"/>
        </w:rPr>
        <w:t xml:space="preserve">               density_f_res</w:t>
      </w:r>
      <w:r>
        <w:rPr>
          <w:rStyle w:val="OperatorTok"/>
        </w:rPr>
        <w:t>=</w:t>
      </w:r>
      <w:r>
        <w:rPr>
          <w:rStyle w:val="FloatTok"/>
        </w:rPr>
        <w:t>30.4</w:t>
      </w:r>
      <w:r>
        <w:rPr>
          <w:rStyle w:val="NormalTok"/>
        </w:rPr>
        <w:t>, density_f_ed</w:t>
      </w:r>
      <w:r>
        <w:rPr>
          <w:rStyle w:val="OperatorTok"/>
        </w:rPr>
        <w:t>=</w:t>
      </w:r>
      <w:r>
        <w:rPr>
          <w:rStyle w:val="FloatTok"/>
        </w:rPr>
        <w:t>26.4</w:t>
      </w:r>
      <w:r>
        <w:rPr>
          <w:rStyle w:val="NormalTok"/>
        </w:rPr>
        <w:t>, density_dx</w:t>
      </w:r>
      <w:r>
        <w:rPr>
          <w:rStyle w:val="OperatorTok"/>
        </w:rPr>
        <w:t>=</w:t>
      </w:r>
      <w:r>
        <w:rPr>
          <w:rStyle w:val="FloatTok"/>
        </w:rPr>
        <w:t>.15</w:t>
      </w:r>
      <w:r>
        <w:rPr>
          <w:rStyle w:val="NormalTok"/>
        </w:rPr>
        <w:t>, density_cutoff</w:t>
      </w:r>
      <w:r>
        <w:rPr>
          <w:rStyle w:val="OperatorTok"/>
        </w:rPr>
        <w:t>=</w:t>
      </w:r>
      <w:r>
        <w:rPr>
          <w:rStyle w:val="FloatTok"/>
        </w:rPr>
        <w:t>62.</w:t>
      </w:r>
      <w:r>
        <w:rPr>
          <w:rStyle w:val="NormalTok"/>
        </w:rPr>
        <w:t>)</w:t>
      </w:r>
      <w:r>
        <w:br/>
      </w:r>
      <w:r>
        <w:rPr>
          <w:rStyle w:val="CommentTok"/>
        </w:rPr>
        <w:t># saving: proportionale Strombedarfssenkung des gewählten Gebäudepools.</w:t>
      </w:r>
      <w:r>
        <w:br/>
      </w:r>
      <w:r>
        <w:rPr>
          <w:rStyle w:val="CommentTok"/>
        </w:rPr>
        <w:t># pv_scale: unabhängige Skalierung seiner gesamten PV-Erzeugung, keine PEExcel-Neusimulation.</w:t>
      </w:r>
      <w:r>
        <w:br/>
      </w:r>
      <w:r>
        <w:rPr>
          <w:rStyle w:val="CommentTok"/>
        </w:rPr>
        <w:t># Freiflächen-PV bleibt gemäß bisheriger Allokationsregel separat unzugeordnet.</w:t>
      </w:r>
    </w:p>
    <w:p w14:paraId="44D4B8FD" w14:textId="77777777" w:rsidR="004E4CC2" w:rsidRDefault="00000000">
      <w:pPr>
        <w:pStyle w:val="berschrift2"/>
      </w:pPr>
      <w:bookmarkStart w:id="430" w:name="eingaben-abdeckung-und-herkunft"/>
      <w:bookmarkStart w:id="431" w:name="_Toc243681393"/>
      <w:r>
        <w:t>G.1 Eingaben, Abdeckung und Herkunft</w:t>
      </w:r>
      <w:bookmarkEnd w:id="431"/>
    </w:p>
    <w:p w14:paraId="2FC9948F" w14:textId="77777777" w:rsidR="004E4CC2" w:rsidRDefault="00000000">
      <w:pPr>
        <w:pStyle w:val="FirstParagraph"/>
      </w:pPr>
      <w:r>
        <w:t>Die nationale BGF wird unverändert übernommen. Fehlende Flächen oder positive Flächen ohne Energiekennwerte stoppen die Berechnung; eine explizite Nullfläche ist zulässig. Excel-Formeln werden nicht neu berechnet: Verwendet werden die gespeicherten Werte. Für neue Lieferungen müssen Bezeichnungen und Einheiten dem dokumentierten Datenvertrag entsprechen: BGF in m², Kennwerte in kWh/(m² NGF·a). NGF/BGF = 0,8 ist vorläufig.</w:t>
      </w:r>
    </w:p>
    <w:p w14:paraId="6354F2D6" w14:textId="77777777" w:rsidR="004E4CC2" w:rsidRDefault="00000000">
      <w:pPr>
        <w:pStyle w:val="SourceCode"/>
      </w:pPr>
      <w:r>
        <w:rPr>
          <w:rStyle w:val="NormalTok"/>
        </w:rPr>
        <w:t xml:space="preserve">book </w:t>
      </w:r>
      <w:r>
        <w:rPr>
          <w:rStyle w:val="OperatorTok"/>
        </w:rPr>
        <w:t>=</w:t>
      </w:r>
      <w:r>
        <w:rPr>
          <w:rStyle w:val="NormalTok"/>
        </w:rPr>
        <w:t xml:space="preserve"> pd.ExcelFile(XLSX)</w:t>
      </w:r>
      <w:r>
        <w:br/>
      </w:r>
      <w:r>
        <w:rPr>
          <w:rStyle w:val="NormalTok"/>
        </w:rPr>
        <w:t xml:space="preserve">clean </w:t>
      </w:r>
      <w:r>
        <w:rPr>
          <w:rStyle w:val="OperatorTok"/>
        </w:rPr>
        <w:t>=</w:t>
      </w:r>
      <w:r>
        <w:rPr>
          <w:rStyle w:val="NormalTok"/>
        </w:rPr>
        <w:t xml:space="preserve"> </w:t>
      </w:r>
      <w:r>
        <w:rPr>
          <w:rStyle w:val="StringTok"/>
        </w:rPr>
        <w:t>'Typen'</w:t>
      </w:r>
      <w:r>
        <w:rPr>
          <w:rStyle w:val="NormalTok"/>
        </w:rPr>
        <w:t xml:space="preserve"> </w:t>
      </w:r>
      <w:r>
        <w:rPr>
          <w:rStyle w:val="KeywordTok"/>
        </w:rPr>
        <w:t>in</w:t>
      </w:r>
      <w:r>
        <w:rPr>
          <w:rStyle w:val="NormalTok"/>
        </w:rPr>
        <w:t xml:space="preserve"> book.sheet_names</w:t>
      </w:r>
      <w:r>
        <w:br/>
      </w:r>
      <w:r>
        <w:rPr>
          <w:rStyle w:val="NormalTok"/>
        </w:rPr>
        <w:t xml:space="preserve">data </w:t>
      </w:r>
      <w:r>
        <w:rPr>
          <w:rStyle w:val="OperatorTok"/>
        </w:rPr>
        <w:t>=</w:t>
      </w:r>
      <w:r>
        <w:rPr>
          <w:rStyle w:val="NormalTok"/>
        </w:rPr>
        <w:t xml:space="preserve"> pd.read_excel(book, sheet_name</w:t>
      </w:r>
      <w:r>
        <w:rPr>
          <w:rStyle w:val="OperatorTok"/>
        </w:rPr>
        <w:t>=</w:t>
      </w:r>
      <w:r>
        <w:rPr>
          <w:rStyle w:val="StringTok"/>
        </w:rPr>
        <w:t>'Typen'</w:t>
      </w:r>
      <w:r>
        <w:rPr>
          <w:rStyle w:val="NormalTok"/>
        </w:rPr>
        <w:t xml:space="preserve"> </w:t>
      </w:r>
      <w:r>
        <w:rPr>
          <w:rStyle w:val="ControlFlowTok"/>
        </w:rPr>
        <w:t>if</w:t>
      </w:r>
      <w:r>
        <w:rPr>
          <w:rStyle w:val="NormalTok"/>
        </w:rPr>
        <w:t xml:space="preserve"> clean </w:t>
      </w:r>
      <w:r>
        <w:rPr>
          <w:rStyle w:val="ControlFlowTok"/>
        </w:rPr>
        <w:t>else</w:t>
      </w:r>
      <w:r>
        <w:rPr>
          <w:rStyle w:val="NormalTok"/>
        </w:rPr>
        <w:t xml:space="preserve"> </w:t>
      </w:r>
      <w:r>
        <w:rPr>
          <w:rStyle w:val="StringTok"/>
        </w:rPr>
        <w:t>'Strombed_estim'</w:t>
      </w:r>
      <w:r>
        <w:rPr>
          <w:rStyle w:val="NormalTok"/>
        </w:rPr>
        <w:t>).dropna(how</w:t>
      </w:r>
      <w:r>
        <w:rPr>
          <w:rStyle w:val="OperatorTok"/>
        </w:rPr>
        <w:t>=</w:t>
      </w:r>
      <w:r>
        <w:rPr>
          <w:rStyle w:val="StringTok"/>
        </w:rPr>
        <w:t>'all'</w:t>
      </w:r>
      <w:r>
        <w:rPr>
          <w:rStyle w:val="NormalTok"/>
        </w:rPr>
        <w:t>)</w:t>
      </w:r>
      <w:r>
        <w:br/>
      </w:r>
      <w:r>
        <w:rPr>
          <w:rStyle w:val="NormalTok"/>
        </w:rPr>
        <w:t xml:space="preserve">mapping </w:t>
      </w:r>
      <w:r>
        <w:rPr>
          <w:rStyle w:val="OperatorTok"/>
        </w:rPr>
        <w:t>=</w:t>
      </w:r>
      <w:r>
        <w:rPr>
          <w:rStyle w:val="NormalTok"/>
        </w:rPr>
        <w:t xml:space="preserve"> pd.read_excel(book, sheet_name</w:t>
      </w:r>
      <w:r>
        <w:rPr>
          <w:rStyle w:val="OperatorTok"/>
        </w:rPr>
        <w:t>=</w:t>
      </w:r>
      <w:r>
        <w:rPr>
          <w:rStyle w:val="StringTok"/>
        </w:rPr>
        <w:t>'GFZ_Zuordnung'</w:t>
      </w:r>
      <w:r>
        <w:rPr>
          <w:rStyle w:val="NormalTok"/>
        </w:rPr>
        <w:t xml:space="preserve"> </w:t>
      </w:r>
      <w:r>
        <w:rPr>
          <w:rStyle w:val="ControlFlowTok"/>
        </w:rPr>
        <w:t>if</w:t>
      </w:r>
      <w:r>
        <w:rPr>
          <w:rStyle w:val="NormalTok"/>
        </w:rPr>
        <w:t xml:space="preserve"> clean </w:t>
      </w:r>
      <w:r>
        <w:rPr>
          <w:rStyle w:val="ControlFlowTok"/>
        </w:rPr>
        <w:t>else</w:t>
      </w:r>
      <w:r>
        <w:rPr>
          <w:rStyle w:val="NormalTok"/>
        </w:rPr>
        <w:t xml:space="preserve"> </w:t>
      </w:r>
      <w:r>
        <w:rPr>
          <w:rStyle w:val="StringTok"/>
        </w:rPr>
        <w:t>'zuordnung_gfz'</w:t>
      </w:r>
      <w:r>
        <w:rPr>
          <w:rStyle w:val="NormalTok"/>
        </w:rPr>
        <w:t>, usecols</w:t>
      </w:r>
      <w:r>
        <w:rPr>
          <w:rStyle w:val="OperatorTok"/>
        </w:rPr>
        <w:t>=</w:t>
      </w:r>
      <w:r>
        <w:rPr>
          <w:rStyle w:val="BuiltInTok"/>
        </w:rPr>
        <w:t>range</w:t>
      </w:r>
      <w:r>
        <w:rPr>
          <w:rStyle w:val="NormalTok"/>
        </w:rPr>
        <w:t>(</w:t>
      </w:r>
      <w:r>
        <w:rPr>
          <w:rStyle w:val="DecValTok"/>
        </w:rPr>
        <w:t>6</w:t>
      </w:r>
      <w:r>
        <w:rPr>
          <w:rStyle w:val="NormalTok"/>
        </w:rPr>
        <w:t>)).dropna(how</w:t>
      </w:r>
      <w:r>
        <w:rPr>
          <w:rStyle w:val="OperatorTok"/>
        </w:rPr>
        <w:t>=</w:t>
      </w:r>
      <w:r>
        <w:rPr>
          <w:rStyle w:val="StringTok"/>
        </w:rPr>
        <w:t>'all'</w:t>
      </w:r>
      <w:r>
        <w:rPr>
          <w:rStyle w:val="NormalTok"/>
        </w:rPr>
        <w:t>)</w:t>
      </w:r>
      <w:r>
        <w:br/>
      </w:r>
      <w:r>
        <w:rPr>
          <w:rStyle w:val="NormalTok"/>
        </w:rPr>
        <w:t>book.close()</w:t>
      </w:r>
      <w:r>
        <w:br/>
      </w:r>
      <w:r>
        <w:rPr>
          <w:rStyle w:val="ControlFlowTok"/>
        </w:rPr>
        <w:t>assert</w:t>
      </w:r>
      <w:r>
        <w:rPr>
          <w:rStyle w:val="NormalTok"/>
        </w:rPr>
        <w:t xml:space="preserve"> data.Archetype.notna().</w:t>
      </w:r>
      <w:r>
        <w:rPr>
          <w:rStyle w:val="BuiltInTok"/>
        </w:rPr>
        <w:t>all</w:t>
      </w:r>
      <w:r>
        <w:rPr>
          <w:rStyle w:val="NormalTok"/>
        </w:rPr>
        <w:t xml:space="preserve">() </w:t>
      </w:r>
      <w:r>
        <w:rPr>
          <w:rStyle w:val="KeywordTok"/>
        </w:rPr>
        <w:t>and</w:t>
      </w:r>
      <w:r>
        <w:rPr>
          <w:rStyle w:val="NormalTok"/>
        </w:rPr>
        <w:t xml:space="preserve"> data.Archetype.is_unique</w:t>
      </w:r>
      <w:r>
        <w:br/>
      </w:r>
      <w:r>
        <w:rPr>
          <w:rStyle w:val="NormalTok"/>
        </w:rPr>
        <w:t>data[</w:t>
      </w:r>
      <w:r>
        <w:rPr>
          <w:rStyle w:val="StringTok"/>
        </w:rPr>
        <w:t>'Geometrie'</w:t>
      </w:r>
      <w:r>
        <w:rPr>
          <w:rStyle w:val="NormalTok"/>
        </w:rPr>
        <w:t xml:space="preserve">] </w:t>
      </w:r>
      <w:r>
        <w:rPr>
          <w:rStyle w:val="OperatorTok"/>
        </w:rPr>
        <w:t>=</w:t>
      </w:r>
      <w:r>
        <w:rPr>
          <w:rStyle w:val="NormalTok"/>
        </w:rPr>
        <w:t xml:space="preserve"> data.Archetype.</w:t>
      </w:r>
      <w:r>
        <w:rPr>
          <w:rStyle w:val="BuiltInTok"/>
        </w:rPr>
        <w:t>str</w:t>
      </w:r>
      <w:r>
        <w:rPr>
          <w:rStyle w:val="NormalTok"/>
        </w:rPr>
        <w:t>.split(</w:t>
      </w:r>
      <w:r>
        <w:rPr>
          <w:rStyle w:val="StringTok"/>
        </w:rPr>
        <w:t>'|'</w:t>
      </w:r>
      <w:r>
        <w:rPr>
          <w:rStyle w:val="NormalTok"/>
        </w:rPr>
        <w:t>, regex</w:t>
      </w:r>
      <w:r>
        <w:rPr>
          <w:rStyle w:val="OperatorTok"/>
        </w:rPr>
        <w:t>=</w:t>
      </w:r>
      <w:r>
        <w:rPr>
          <w:rStyle w:val="VariableTok"/>
        </w:rPr>
        <w:t>False</w:t>
      </w:r>
      <w:r>
        <w:rPr>
          <w:rStyle w:val="NormalTok"/>
        </w:rPr>
        <w:t>).</w:t>
      </w:r>
      <w:r>
        <w:rPr>
          <w:rStyle w:val="BuiltInTok"/>
        </w:rPr>
        <w:t>str</w:t>
      </w:r>
      <w:r>
        <w:rPr>
          <w:rStyle w:val="NormalTok"/>
        </w:rPr>
        <w:t>[</w:t>
      </w:r>
      <w:r>
        <w:rPr>
          <w:rStyle w:val="DecValTok"/>
        </w:rPr>
        <w:t>0</w:t>
      </w:r>
      <w:r>
        <w:rPr>
          <w:rStyle w:val="NormalTok"/>
        </w:rPr>
        <w:t>]</w:t>
      </w:r>
      <w:r>
        <w:br/>
      </w:r>
      <w:r>
        <w:rPr>
          <w:rStyle w:val="NormalTok"/>
        </w:rPr>
        <w:t xml:space="preserve">area </w:t>
      </w:r>
      <w:r>
        <w:rPr>
          <w:rStyle w:val="OperatorTok"/>
        </w:rPr>
        <w:t>=</w:t>
      </w:r>
      <w:r>
        <w:rPr>
          <w:rStyle w:val="NormalTok"/>
        </w:rPr>
        <w:t xml:space="preserve"> pd.to_numeric(data[AREA_COLUMN], errors</w:t>
      </w:r>
      <w:r>
        <w:rPr>
          <w:rStyle w:val="OperatorTok"/>
        </w:rPr>
        <w:t>=</w:t>
      </w:r>
      <w:r>
        <w:rPr>
          <w:rStyle w:val="StringTok"/>
        </w:rPr>
        <w:t>'raise'</w:t>
      </w:r>
      <w:r>
        <w:rPr>
          <w:rStyle w:val="NormalTok"/>
        </w:rPr>
        <w:t>)</w:t>
      </w:r>
      <w:r>
        <w:br/>
      </w:r>
      <w:r>
        <w:rPr>
          <w:rStyle w:val="ControlFlowTok"/>
        </w:rPr>
        <w:t>assert</w:t>
      </w:r>
      <w:r>
        <w:rPr>
          <w:rStyle w:val="NormalTok"/>
        </w:rPr>
        <w:t xml:space="preserve"> area.notna().</w:t>
      </w:r>
      <w:r>
        <w:rPr>
          <w:rStyle w:val="BuiltInTok"/>
        </w:rPr>
        <w:t>all</w:t>
      </w:r>
      <w:r>
        <w:rPr>
          <w:rStyle w:val="NormalTok"/>
        </w:rPr>
        <w:t xml:space="preserve">() </w:t>
      </w:r>
      <w:r>
        <w:rPr>
          <w:rStyle w:val="KeywordTok"/>
        </w:rPr>
        <w:t>and</w:t>
      </w:r>
      <w:r>
        <w:rPr>
          <w:rStyle w:val="NormalTok"/>
        </w:rPr>
        <w:t xml:space="preserve"> area.ge(</w:t>
      </w:r>
      <w:r>
        <w:rPr>
          <w:rStyle w:val="DecValTok"/>
        </w:rPr>
        <w:t>0</w:t>
      </w:r>
      <w:r>
        <w:rPr>
          <w:rStyle w:val="NormalTok"/>
        </w:rPr>
        <w:t>).</w:t>
      </w:r>
      <w:r>
        <w:rPr>
          <w:rStyle w:val="BuiltInTok"/>
        </w:rPr>
        <w:t>all</w:t>
      </w:r>
      <w:r>
        <w:rPr>
          <w:rStyle w:val="NormalTok"/>
        </w:rPr>
        <w:t xml:space="preserve">(), </w:t>
      </w:r>
      <w:r>
        <w:rPr>
          <w:rStyle w:val="StringTok"/>
        </w:rPr>
        <w:t>'Fehlende/negative Fläche: Quelle ergänzen'</w:t>
      </w:r>
      <w:r>
        <w:br/>
      </w:r>
      <w:r>
        <w:rPr>
          <w:rStyle w:val="NormalTok"/>
        </w:rPr>
        <w:t xml:space="preserve">fields </w:t>
      </w:r>
      <w:r>
        <w:rPr>
          <w:rStyle w:val="OperatorTok"/>
        </w:rPr>
        <w:t>=</w:t>
      </w:r>
      <w:r>
        <w:rPr>
          <w:rStyle w:val="NormalTok"/>
        </w:rPr>
        <w:t xml:space="preserve"> [</w:t>
      </w:r>
      <w:r>
        <w:rPr>
          <w:rStyle w:val="StringTok"/>
        </w:rPr>
        <w:t>'Grid_to_building_min'</w:t>
      </w:r>
      <w:r>
        <w:rPr>
          <w:rStyle w:val="NormalTok"/>
        </w:rPr>
        <w:t>,</w:t>
      </w:r>
      <w:r>
        <w:rPr>
          <w:rStyle w:val="StringTok"/>
        </w:rPr>
        <w:t>'PV_total_direct'</w:t>
      </w:r>
      <w:r>
        <w:rPr>
          <w:rStyle w:val="NormalTok"/>
        </w:rPr>
        <w:t>,</w:t>
      </w:r>
      <w:r>
        <w:rPr>
          <w:rStyle w:val="StringTok"/>
        </w:rPr>
        <w:t>'PV_to_Egrid'</w:t>
      </w:r>
      <w:r>
        <w:rPr>
          <w:rStyle w:val="NormalTok"/>
        </w:rPr>
        <w:t>]</w:t>
      </w:r>
      <w:r>
        <w:br/>
      </w:r>
      <w:r>
        <w:rPr>
          <w:rStyle w:val="ControlFlowTok"/>
        </w:rPr>
        <w:t>for</w:t>
      </w:r>
      <w:r>
        <w:rPr>
          <w:rStyle w:val="NormalTok"/>
        </w:rPr>
        <w:t xml:space="preserve"> col </w:t>
      </w:r>
      <w:r>
        <w:rPr>
          <w:rStyle w:val="KeywordTok"/>
        </w:rPr>
        <w:t>in</w:t>
      </w:r>
      <w:r>
        <w:rPr>
          <w:rStyle w:val="NormalTok"/>
        </w:rPr>
        <w:t xml:space="preserve"> fields:</w:t>
      </w:r>
      <w:r>
        <w:br/>
      </w:r>
      <w:r>
        <w:rPr>
          <w:rStyle w:val="NormalTok"/>
        </w:rPr>
        <w:t xml:space="preserve">    data[col] </w:t>
      </w:r>
      <w:r>
        <w:rPr>
          <w:rStyle w:val="OperatorTok"/>
        </w:rPr>
        <w:t>=</w:t>
      </w:r>
      <w:r>
        <w:rPr>
          <w:rStyle w:val="NormalTok"/>
        </w:rPr>
        <w:t xml:space="preserve"> pd.to_numeric(data[col], errors</w:t>
      </w:r>
      <w:r>
        <w:rPr>
          <w:rStyle w:val="OperatorTok"/>
        </w:rPr>
        <w:t>=</w:t>
      </w:r>
      <w:r>
        <w:rPr>
          <w:rStyle w:val="StringTok"/>
        </w:rPr>
        <w:t>'raise'</w:t>
      </w:r>
      <w:r>
        <w:rPr>
          <w:rStyle w:val="NormalTok"/>
        </w:rPr>
        <w:t>)</w:t>
      </w:r>
      <w:r>
        <w:br/>
      </w:r>
      <w:r>
        <w:rPr>
          <w:rStyle w:val="NormalTok"/>
        </w:rPr>
        <w:t xml:space="preserve">    </w:t>
      </w:r>
      <w:r>
        <w:rPr>
          <w:rStyle w:val="ControlFlowTok"/>
        </w:rPr>
        <w:t>assert</w:t>
      </w:r>
      <w:r>
        <w:rPr>
          <w:rStyle w:val="NormalTok"/>
        </w:rPr>
        <w:t xml:space="preserve"> data.loc[area.gt(</w:t>
      </w:r>
      <w:r>
        <w:rPr>
          <w:rStyle w:val="DecValTok"/>
        </w:rPr>
        <w:t>0</w:t>
      </w:r>
      <w:r>
        <w:rPr>
          <w:rStyle w:val="NormalTok"/>
        </w:rPr>
        <w:t>),col].notna().</w:t>
      </w:r>
      <w:r>
        <w:rPr>
          <w:rStyle w:val="BuiltInTok"/>
        </w:rPr>
        <w:t>all</w:t>
      </w:r>
      <w:r>
        <w:rPr>
          <w:rStyle w:val="NormalTok"/>
        </w:rPr>
        <w:t>(), col</w:t>
      </w:r>
      <w:r>
        <w:br/>
      </w:r>
      <w:r>
        <w:rPr>
          <w:rStyle w:val="NormalTok"/>
        </w:rPr>
        <w:t xml:space="preserve">    </w:t>
      </w:r>
      <w:r>
        <w:rPr>
          <w:rStyle w:val="ControlFlowTok"/>
        </w:rPr>
        <w:t>assert</w:t>
      </w:r>
      <w:r>
        <w:rPr>
          <w:rStyle w:val="NormalTok"/>
        </w:rPr>
        <w:t xml:space="preserve"> data.loc[area.gt(</w:t>
      </w:r>
      <w:r>
        <w:rPr>
          <w:rStyle w:val="DecValTok"/>
        </w:rPr>
        <w:t>0</w:t>
      </w:r>
      <w:r>
        <w:rPr>
          <w:rStyle w:val="NormalTok"/>
        </w:rPr>
        <w:t>),col].ge(</w:t>
      </w:r>
      <w:r>
        <w:rPr>
          <w:rStyle w:val="DecValTok"/>
        </w:rPr>
        <w:t>0</w:t>
      </w:r>
      <w:r>
        <w:rPr>
          <w:rStyle w:val="NormalTok"/>
        </w:rPr>
        <w:t>).</w:t>
      </w:r>
      <w:r>
        <w:rPr>
          <w:rStyle w:val="BuiltInTok"/>
        </w:rPr>
        <w:t>all</w:t>
      </w:r>
      <w:r>
        <w:rPr>
          <w:rStyle w:val="NormalTok"/>
        </w:rPr>
        <w:t>(), col</w:t>
      </w:r>
      <w:r>
        <w:br/>
      </w:r>
      <w:r>
        <w:rPr>
          <w:rStyle w:val="NormalTok"/>
        </w:rPr>
        <w:t>data[</w:t>
      </w:r>
      <w:r>
        <w:rPr>
          <w:rStyle w:val="StringTok"/>
        </w:rPr>
        <w:t>'BGF'</w:t>
      </w:r>
      <w:r>
        <w:rPr>
          <w:rStyle w:val="NormalTok"/>
        </w:rPr>
        <w:t xml:space="preserve">] </w:t>
      </w:r>
      <w:r>
        <w:rPr>
          <w:rStyle w:val="OperatorTok"/>
        </w:rPr>
        <w:t>=</w:t>
      </w:r>
      <w:r>
        <w:rPr>
          <w:rStyle w:val="NormalTok"/>
        </w:rPr>
        <w:t xml:space="preserve"> area</w:t>
      </w:r>
      <w:r>
        <w:br/>
      </w:r>
      <w:r>
        <w:rPr>
          <w:rStyle w:val="NormalTok"/>
        </w:rPr>
        <w:t>data[</w:t>
      </w:r>
      <w:r>
        <w:rPr>
          <w:rStyle w:val="StringTok"/>
        </w:rPr>
        <w:t>'demand'</w:t>
      </w:r>
      <w:r>
        <w:rPr>
          <w:rStyle w:val="NormalTok"/>
        </w:rPr>
        <w:t xml:space="preserve">] </w:t>
      </w:r>
      <w:r>
        <w:rPr>
          <w:rStyle w:val="OperatorTok"/>
        </w:rPr>
        <w:t>=</w:t>
      </w:r>
      <w:r>
        <w:rPr>
          <w:rStyle w:val="NormalTok"/>
        </w:rPr>
        <w:t xml:space="preserve"> data.Grid_to_building_min </w:t>
      </w:r>
      <w:r>
        <w:rPr>
          <w:rStyle w:val="OperatorTok"/>
        </w:rPr>
        <w:t>+</w:t>
      </w:r>
      <w:r>
        <w:rPr>
          <w:rStyle w:val="NormalTok"/>
        </w:rPr>
        <w:t xml:space="preserve"> data.PV_total_direct</w:t>
      </w:r>
      <w:r>
        <w:br/>
      </w:r>
      <w:r>
        <w:rPr>
          <w:rStyle w:val="NormalTok"/>
        </w:rPr>
        <w:t>data[</w:t>
      </w:r>
      <w:r>
        <w:rPr>
          <w:rStyle w:val="StringTok"/>
        </w:rPr>
        <w:t>'pv'</w:t>
      </w:r>
      <w:r>
        <w:rPr>
          <w:rStyle w:val="NormalTok"/>
        </w:rPr>
        <w:t xml:space="preserve">] </w:t>
      </w:r>
      <w:r>
        <w:rPr>
          <w:rStyle w:val="OperatorTok"/>
        </w:rPr>
        <w:t>=</w:t>
      </w:r>
      <w:r>
        <w:rPr>
          <w:rStyle w:val="NormalTok"/>
        </w:rPr>
        <w:t xml:space="preserve"> data.PV_total_direct </w:t>
      </w:r>
      <w:r>
        <w:rPr>
          <w:rStyle w:val="OperatorTok"/>
        </w:rPr>
        <w:t>+</w:t>
      </w:r>
      <w:r>
        <w:rPr>
          <w:rStyle w:val="NormalTok"/>
        </w:rPr>
        <w:t xml:space="preserve"> data.PV_to_Egrid</w:t>
      </w:r>
      <w:r>
        <w:br/>
      </w:r>
      <w:r>
        <w:rPr>
          <w:rStyle w:val="NormalTok"/>
        </w:rPr>
        <w:t xml:space="preserve">national </w:t>
      </w:r>
      <w:r>
        <w:rPr>
          <w:rStyle w:val="OperatorTok"/>
        </w:rPr>
        <w:t>=</w:t>
      </w:r>
      <w:r>
        <w:rPr>
          <w:rStyle w:val="NormalTok"/>
        </w:rPr>
        <w:t xml:space="preserve"> {}</w:t>
      </w:r>
      <w:r>
        <w:br/>
      </w:r>
      <w:r>
        <w:rPr>
          <w:rStyle w:val="NormalTok"/>
        </w:rPr>
        <w:t xml:space="preserve">source_files </w:t>
      </w:r>
      <w:r>
        <w:rPr>
          <w:rStyle w:val="OperatorTok"/>
        </w:rPr>
        <w:t>=</w:t>
      </w:r>
      <w:r>
        <w:rPr>
          <w:rStyle w:val="NormalTok"/>
        </w:rPr>
        <w:t xml:space="preserve"> [XLSX]</w:t>
      </w:r>
      <w:r>
        <w:br/>
      </w:r>
      <w:r>
        <w:rPr>
          <w:rStyle w:val="ControlFlowTok"/>
        </w:rPr>
        <w:t>for</w:t>
      </w:r>
      <w:r>
        <w:rPr>
          <w:rStyle w:val="NormalTok"/>
        </w:rPr>
        <w:t xml:space="preserve"> kind,filename </w:t>
      </w:r>
      <w:r>
        <w:rPr>
          <w:rStyle w:val="KeywordTok"/>
        </w:rPr>
        <w:t>in</w:t>
      </w:r>
      <w:r>
        <w:rPr>
          <w:rStyle w:val="NormalTok"/>
        </w:rPr>
        <w:t xml:space="preserve"> [(</w:t>
      </w:r>
      <w:r>
        <w:rPr>
          <w:rStyle w:val="StringTok"/>
        </w:rPr>
        <w:t>'g'</w:t>
      </w:r>
      <w:r>
        <w:rPr>
          <w:rStyle w:val="NormalTok"/>
        </w:rPr>
        <w:t>,</w:t>
      </w:r>
      <w:r>
        <w:rPr>
          <w:rStyle w:val="StringTok"/>
        </w:rPr>
        <w:t>'stromerzeugung_2040.csv'</w:t>
      </w:r>
      <w:r>
        <w:rPr>
          <w:rStyle w:val="NormalTok"/>
        </w:rPr>
        <w:t>),(</w:t>
      </w:r>
      <w:r>
        <w:rPr>
          <w:rStyle w:val="StringTok"/>
        </w:rPr>
        <w:t>'d'</w:t>
      </w:r>
      <w:r>
        <w:rPr>
          <w:rStyle w:val="NormalTok"/>
        </w:rPr>
        <w:t>,</w:t>
      </w:r>
      <w:r>
        <w:rPr>
          <w:rStyle w:val="StringTok"/>
        </w:rPr>
        <w:t>'strombedarf_2040.csv'</w:t>
      </w:r>
      <w:r>
        <w:rPr>
          <w:rStyle w:val="NormalTok"/>
        </w:rPr>
        <w:t>)]:</w:t>
      </w:r>
      <w:r>
        <w:br/>
      </w:r>
      <w:r>
        <w:rPr>
          <w:rStyle w:val="NormalTok"/>
        </w:rPr>
        <w:t xml:space="preserve">    path</w:t>
      </w:r>
      <w:r>
        <w:rPr>
          <w:rStyle w:val="OperatorTok"/>
        </w:rPr>
        <w:t>=</w:t>
      </w:r>
      <w:r>
        <w:rPr>
          <w:rStyle w:val="NormalTok"/>
        </w:rPr>
        <w:t>ROOT</w:t>
      </w:r>
      <w:r>
        <w:rPr>
          <w:rStyle w:val="OperatorTok"/>
        </w:rPr>
        <w:t>/</w:t>
      </w:r>
      <w:r>
        <w:rPr>
          <w:rStyle w:val="StringTok"/>
        </w:rPr>
        <w:t>'Daten/sektorenmodell'</w:t>
      </w:r>
      <w:r>
        <w:rPr>
          <w:rStyle w:val="OperatorTok"/>
        </w:rPr>
        <w:t>/</w:t>
      </w:r>
      <w:r>
        <w:rPr>
          <w:rStyle w:val="NormalTok"/>
        </w:rPr>
        <w:t>filename</w:t>
      </w:r>
      <w:r>
        <w:br/>
      </w:r>
      <w:r>
        <w:rPr>
          <w:rStyle w:val="NormalTok"/>
        </w:rPr>
        <w:t xml:space="preserve">    table</w:t>
      </w:r>
      <w:r>
        <w:rPr>
          <w:rStyle w:val="OperatorTok"/>
        </w:rPr>
        <w:t>=</w:t>
      </w:r>
      <w:r>
        <w:rPr>
          <w:rStyle w:val="NormalTok"/>
        </w:rPr>
        <w:t>pd.read_csv(path)</w:t>
      </w:r>
      <w:r>
        <w:br/>
      </w:r>
      <w:r>
        <w:rPr>
          <w:rStyle w:val="NormalTok"/>
        </w:rPr>
        <w:t xml:space="preserve">    selected</w:t>
      </w:r>
      <w:r>
        <w:rPr>
          <w:rStyle w:val="OperatorTok"/>
        </w:rPr>
        <w:t>=</w:t>
      </w:r>
      <w:r>
        <w:rPr>
          <w:rStyle w:val="NormalTok"/>
        </w:rPr>
        <w:t>table.loc[table.scenario.eq(SCENARIO)]</w:t>
      </w:r>
      <w:r>
        <w:br/>
      </w:r>
      <w:r>
        <w:rPr>
          <w:rStyle w:val="NormalTok"/>
        </w:rPr>
        <w:t xml:space="preserve">    </w:t>
      </w:r>
      <w:r>
        <w:rPr>
          <w:rStyle w:val="ControlFlowTok"/>
        </w:rPr>
        <w:t>assert</w:t>
      </w:r>
      <w:r>
        <w:rPr>
          <w:rStyle w:val="NormalTok"/>
        </w:rPr>
        <w:t xml:space="preserve"> </w:t>
      </w:r>
      <w:r>
        <w:rPr>
          <w:rStyle w:val="BuiltInTok"/>
        </w:rPr>
        <w:t>len</w:t>
      </w:r>
      <w:r>
        <w:rPr>
          <w:rStyle w:val="NormalTok"/>
        </w:rPr>
        <w:t xml:space="preserve">(selected) </w:t>
      </w:r>
      <w:r>
        <w:rPr>
          <w:rStyle w:val="KeywordTok"/>
        </w:rPr>
        <w:t>and</w:t>
      </w:r>
      <w:r>
        <w:rPr>
          <w:rStyle w:val="NormalTok"/>
        </w:rPr>
        <w:t xml:space="preserve"> selected.metric.is_unique </w:t>
      </w:r>
      <w:r>
        <w:rPr>
          <w:rStyle w:val="KeywordTok"/>
        </w:rPr>
        <w:t>and</w:t>
      </w:r>
      <w:r>
        <w:rPr>
          <w:rStyle w:val="NormalTok"/>
        </w:rPr>
        <w:t xml:space="preserve"> selected.value_pj.</w:t>
      </w:r>
      <w:r>
        <w:rPr>
          <w:rStyle w:val="NormalTok"/>
        </w:rPr>
        <w:lastRenderedPageBreak/>
        <w:t>notna().</w:t>
      </w:r>
      <w:r>
        <w:rPr>
          <w:rStyle w:val="BuiltInTok"/>
        </w:rPr>
        <w:t>all</w:t>
      </w:r>
      <w:r>
        <w:rPr>
          <w:rStyle w:val="NormalTok"/>
        </w:rPr>
        <w:t>()</w:t>
      </w:r>
      <w:r>
        <w:br/>
      </w:r>
      <w:r>
        <w:rPr>
          <w:rStyle w:val="NormalTok"/>
        </w:rPr>
        <w:t xml:space="preserve">    </w:t>
      </w:r>
      <w:r>
        <w:rPr>
          <w:rStyle w:val="ControlFlowTok"/>
        </w:rPr>
        <w:t>assert</w:t>
      </w:r>
      <w:r>
        <w:rPr>
          <w:rStyle w:val="NormalTok"/>
        </w:rPr>
        <w:t xml:space="preserve"> selected.year.eq(</w:t>
      </w:r>
      <w:r>
        <w:rPr>
          <w:rStyle w:val="DecValTok"/>
        </w:rPr>
        <w:t>2040</w:t>
      </w:r>
      <w:r>
        <w:rPr>
          <w:rStyle w:val="NormalTok"/>
        </w:rPr>
        <w:t>).</w:t>
      </w:r>
      <w:r>
        <w:rPr>
          <w:rStyle w:val="BuiltInTok"/>
        </w:rPr>
        <w:t>all</w:t>
      </w:r>
      <w:r>
        <w:rPr>
          <w:rStyle w:val="NormalTok"/>
        </w:rPr>
        <w:t>()</w:t>
      </w:r>
      <w:r>
        <w:br/>
      </w:r>
      <w:r>
        <w:rPr>
          <w:rStyle w:val="NormalTok"/>
        </w:rPr>
        <w:t xml:space="preserve">    national[kind]</w:t>
      </w:r>
      <w:r>
        <w:rPr>
          <w:rStyle w:val="OperatorTok"/>
        </w:rPr>
        <w:t>=</w:t>
      </w:r>
      <w:r>
        <w:rPr>
          <w:rStyle w:val="NormalTok"/>
        </w:rPr>
        <w:t>selected.set_index(</w:t>
      </w:r>
      <w:r>
        <w:rPr>
          <w:rStyle w:val="StringTok"/>
        </w:rPr>
        <w:t>'metric'</w:t>
      </w:r>
      <w:r>
        <w:rPr>
          <w:rStyle w:val="NormalTok"/>
        </w:rPr>
        <w:t>).value_pj.to_dict()</w:t>
      </w:r>
      <w:r>
        <w:br/>
      </w:r>
      <w:r>
        <w:rPr>
          <w:rStyle w:val="NormalTok"/>
        </w:rPr>
        <w:t xml:space="preserve">    source_files.append(path)</w:t>
      </w:r>
      <w:r>
        <w:br/>
      </w:r>
      <w:r>
        <w:rPr>
          <w:rStyle w:val="NormalTok"/>
        </w:rPr>
        <w:t xml:space="preserve">    display(selected[[</w:t>
      </w:r>
      <w:r>
        <w:rPr>
          <w:rStyle w:val="StringTok"/>
        </w:rPr>
        <w:t>'metric'</w:t>
      </w:r>
      <w:r>
        <w:rPr>
          <w:rStyle w:val="NormalTok"/>
        </w:rPr>
        <w:t>,</w:t>
      </w:r>
      <w:r>
        <w:rPr>
          <w:rStyle w:val="StringTok"/>
        </w:rPr>
        <w:t>'value_pj'</w:t>
      </w:r>
      <w:r>
        <w:rPr>
          <w:rStyle w:val="NormalTok"/>
        </w:rPr>
        <w:t>,</w:t>
      </w:r>
      <w:r>
        <w:rPr>
          <w:rStyle w:val="StringTok"/>
        </w:rPr>
        <w:t>'source_id'</w:t>
      </w:r>
      <w:r>
        <w:rPr>
          <w:rStyle w:val="NormalTok"/>
        </w:rPr>
        <w:t>,</w:t>
      </w:r>
      <w:r>
        <w:rPr>
          <w:rStyle w:val="StringTok"/>
        </w:rPr>
        <w:t>'source_location'</w:t>
      </w:r>
      <w:r>
        <w:rPr>
          <w:rStyle w:val="NormalTok"/>
        </w:rPr>
        <w:t>]])</w:t>
      </w:r>
      <w:r>
        <w:br/>
      </w:r>
      <w:r>
        <w:rPr>
          <w:rStyle w:val="NormalTok"/>
        </w:rPr>
        <w:t>g,d</w:t>
      </w:r>
      <w:r>
        <w:rPr>
          <w:rStyle w:val="OperatorTok"/>
        </w:rPr>
        <w:t>=</w:t>
      </w:r>
      <w:r>
        <w:rPr>
          <w:rStyle w:val="NormalTok"/>
        </w:rPr>
        <w:t>national[</w:t>
      </w:r>
      <w:r>
        <w:rPr>
          <w:rStyle w:val="StringTok"/>
        </w:rPr>
        <w:t>'g'</w:t>
      </w:r>
      <w:r>
        <w:rPr>
          <w:rStyle w:val="NormalTok"/>
        </w:rPr>
        <w:t>],national[</w:t>
      </w:r>
      <w:r>
        <w:rPr>
          <w:rStyle w:val="StringTok"/>
        </w:rPr>
        <w:t>'d'</w:t>
      </w:r>
      <w:r>
        <w:rPr>
          <w:rStyle w:val="NormalTok"/>
        </w:rPr>
        <w:t>]</w:t>
      </w:r>
      <w:r>
        <w:br/>
      </w:r>
      <w:r>
        <w:rPr>
          <w:rStyle w:val="NormalTok"/>
        </w:rPr>
        <w:t>display(pd.DataFrame([{</w:t>
      </w:r>
      <w:r>
        <w:rPr>
          <w:rStyle w:val="StringTok"/>
        </w:rPr>
        <w:t>'Datei'</w:t>
      </w:r>
      <w:r>
        <w:rPr>
          <w:rStyle w:val="NormalTok"/>
        </w:rPr>
        <w:t>:</w:t>
      </w:r>
      <w:r>
        <w:rPr>
          <w:rStyle w:val="BuiltInTok"/>
        </w:rPr>
        <w:t>str</w:t>
      </w:r>
      <w:r>
        <w:rPr>
          <w:rStyle w:val="NormalTok"/>
        </w:rPr>
        <w:t>(XLSX),</w:t>
      </w:r>
      <w:r>
        <w:rPr>
          <w:rStyle w:val="StringTok"/>
        </w:rPr>
        <w:t>'Flächenspalte'</w:t>
      </w:r>
      <w:r>
        <w:rPr>
          <w:rStyle w:val="NormalTok"/>
        </w:rPr>
        <w:t>:AREA_COLUMN,</w:t>
      </w:r>
      <w:r>
        <w:rPr>
          <w:rStyle w:val="StringTok"/>
        </w:rPr>
        <w:t>'Typen'</w:t>
      </w:r>
      <w:r>
        <w:rPr>
          <w:rStyle w:val="NormalTok"/>
        </w:rPr>
        <w:t>:</w:t>
      </w:r>
      <w:r>
        <w:rPr>
          <w:rStyle w:val="BuiltInTok"/>
        </w:rPr>
        <w:t>len</w:t>
      </w:r>
      <w:r>
        <w:rPr>
          <w:rStyle w:val="NormalTok"/>
        </w:rPr>
        <w:t>(data),</w:t>
      </w:r>
      <w:r>
        <w:br/>
      </w:r>
      <w:r>
        <w:rPr>
          <w:rStyle w:val="NormalTok"/>
        </w:rPr>
        <w:t xml:space="preserve"> </w:t>
      </w:r>
      <w:r>
        <w:rPr>
          <w:rStyle w:val="StringTok"/>
        </w:rPr>
        <w:t>'positive Typen'</w:t>
      </w:r>
      <w:r>
        <w:rPr>
          <w:rStyle w:val="NormalTok"/>
        </w:rPr>
        <w:t>:</w:t>
      </w:r>
      <w:r>
        <w:rPr>
          <w:rStyle w:val="BuiltInTok"/>
        </w:rPr>
        <w:t>int</w:t>
      </w:r>
      <w:r>
        <w:rPr>
          <w:rStyle w:val="NormalTok"/>
        </w:rPr>
        <w:t>(area.gt(</w:t>
      </w:r>
      <w:r>
        <w:rPr>
          <w:rStyle w:val="DecValTok"/>
        </w:rPr>
        <w:t>0</w:t>
      </w:r>
      <w:r>
        <w:rPr>
          <w:rStyle w:val="NormalTok"/>
        </w:rPr>
        <w:t>).</w:t>
      </w:r>
      <w:r>
        <w:rPr>
          <w:rStyle w:val="BuiltInTok"/>
        </w:rPr>
        <w:t>sum</w:t>
      </w:r>
      <w:r>
        <w:rPr>
          <w:rStyle w:val="NormalTok"/>
        </w:rPr>
        <w:t>()),</w:t>
      </w:r>
      <w:r>
        <w:rPr>
          <w:rStyle w:val="StringTok"/>
        </w:rPr>
        <w:t>'BGF [Mio. m²]'</w:t>
      </w:r>
      <w:r>
        <w:rPr>
          <w:rStyle w:val="NormalTok"/>
        </w:rPr>
        <w:t>:area.</w:t>
      </w:r>
      <w:r>
        <w:rPr>
          <w:rStyle w:val="BuiltInTok"/>
        </w:rPr>
        <w:t>sum</w:t>
      </w:r>
      <w:r>
        <w:rPr>
          <w:rStyle w:val="NormalTok"/>
        </w:rPr>
        <w:t>()</w:t>
      </w:r>
      <w:r>
        <w:rPr>
          <w:rStyle w:val="OperatorTok"/>
        </w:rPr>
        <w:t>/</w:t>
      </w:r>
      <w:r>
        <w:rPr>
          <w:rStyle w:val="FloatTok"/>
        </w:rPr>
        <w:t>1e6</w:t>
      </w:r>
      <w:r>
        <w:rPr>
          <w:rStyle w:val="NormalTok"/>
        </w:rPr>
        <w:t>,</w:t>
      </w:r>
      <w:r>
        <w:rPr>
          <w:rStyle w:val="StringTok"/>
        </w:rPr>
        <w:t>'SHA256'</w:t>
      </w:r>
      <w:r>
        <w:rPr>
          <w:rStyle w:val="NormalTok"/>
        </w:rPr>
        <w:t>:sha256(XLSX)}]))</w:t>
      </w:r>
    </w:p>
    <w:tbl>
      <w:tblPr>
        <w:tblStyle w:val="Table"/>
        <w:tblW w:w="0" w:type="auto"/>
        <w:tblLook w:val="0020" w:firstRow="1" w:lastRow="0" w:firstColumn="0" w:lastColumn="0" w:noHBand="0" w:noVBand="0"/>
      </w:tblPr>
      <w:tblGrid>
        <w:gridCol w:w="366"/>
        <w:gridCol w:w="2036"/>
        <w:gridCol w:w="1084"/>
        <w:gridCol w:w="722"/>
        <w:gridCol w:w="692"/>
        <w:gridCol w:w="1009"/>
        <w:gridCol w:w="3713"/>
      </w:tblGrid>
      <w:tr w:rsidR="004E4CC2" w14:paraId="76A95B89"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4CF4E11F" w14:textId="77777777" w:rsidR="004E4CC2" w:rsidRDefault="004E4CC2">
            <w:pPr>
              <w:pStyle w:val="Compact"/>
            </w:pPr>
          </w:p>
        </w:tc>
        <w:tc>
          <w:tcPr>
            <w:tcW w:w="0" w:type="auto"/>
            <w:gridSpan w:val="2"/>
          </w:tcPr>
          <w:p w14:paraId="696D32E2" w14:textId="77777777" w:rsidR="004E4CC2" w:rsidRDefault="00000000">
            <w:pPr>
              <w:pStyle w:val="Compact"/>
            </w:pPr>
            <w:r>
              <w:t>metric</w:t>
            </w:r>
          </w:p>
        </w:tc>
        <w:tc>
          <w:tcPr>
            <w:tcW w:w="0" w:type="auto"/>
          </w:tcPr>
          <w:p w14:paraId="1D45F307" w14:textId="77777777" w:rsidR="004E4CC2" w:rsidRDefault="00000000">
            <w:pPr>
              <w:pStyle w:val="Compact"/>
            </w:pPr>
            <w:r>
              <w:t>value_pj</w:t>
            </w:r>
          </w:p>
        </w:tc>
        <w:tc>
          <w:tcPr>
            <w:tcW w:w="0" w:type="auto"/>
            <w:gridSpan w:val="2"/>
          </w:tcPr>
          <w:p w14:paraId="1F890EBD" w14:textId="77777777" w:rsidR="004E4CC2" w:rsidRDefault="00000000">
            <w:pPr>
              <w:pStyle w:val="Compact"/>
            </w:pPr>
            <w:r>
              <w:t>source_id</w:t>
            </w:r>
          </w:p>
        </w:tc>
        <w:tc>
          <w:tcPr>
            <w:tcW w:w="0" w:type="auto"/>
          </w:tcPr>
          <w:p w14:paraId="68072F2A" w14:textId="77777777" w:rsidR="004E4CC2" w:rsidRDefault="00000000">
            <w:pPr>
              <w:pStyle w:val="Compact"/>
            </w:pPr>
            <w:r>
              <w:t>source_location</w:t>
            </w:r>
          </w:p>
        </w:tc>
      </w:tr>
      <w:tr w:rsidR="004E4CC2" w14:paraId="40E2B31D" w14:textId="77777777">
        <w:tc>
          <w:tcPr>
            <w:tcW w:w="0" w:type="auto"/>
          </w:tcPr>
          <w:p w14:paraId="5A298B95" w14:textId="77777777" w:rsidR="004E4CC2" w:rsidRDefault="00000000">
            <w:pPr>
              <w:pStyle w:val="Compact"/>
            </w:pPr>
            <w:r>
              <w:t>18</w:t>
            </w:r>
          </w:p>
        </w:tc>
        <w:tc>
          <w:tcPr>
            <w:tcW w:w="0" w:type="auto"/>
            <w:gridSpan w:val="2"/>
          </w:tcPr>
          <w:p w14:paraId="06DCB3DD" w14:textId="77777777" w:rsidR="004E4CC2" w:rsidRDefault="00000000">
            <w:pPr>
              <w:pStyle w:val="Compact"/>
            </w:pPr>
            <w:r>
              <w:t>fossil</w:t>
            </w:r>
          </w:p>
        </w:tc>
        <w:tc>
          <w:tcPr>
            <w:tcW w:w="0" w:type="auto"/>
          </w:tcPr>
          <w:p w14:paraId="5BECEBDE" w14:textId="77777777" w:rsidR="004E4CC2" w:rsidRDefault="00000000">
            <w:pPr>
              <w:pStyle w:val="Compact"/>
            </w:pPr>
            <w:r>
              <w:t>1</w:t>
            </w:r>
          </w:p>
        </w:tc>
        <w:tc>
          <w:tcPr>
            <w:tcW w:w="0" w:type="auto"/>
            <w:gridSpan w:val="2"/>
          </w:tcPr>
          <w:p w14:paraId="2B218189" w14:textId="77777777" w:rsidR="004E4CC2" w:rsidRDefault="00000000">
            <w:pPr>
              <w:pStyle w:val="Compact"/>
            </w:pPr>
            <w:r>
              <w:t>TRANSITION</w:t>
            </w:r>
          </w:p>
        </w:tc>
        <w:tc>
          <w:tcPr>
            <w:tcW w:w="0" w:type="auto"/>
          </w:tcPr>
          <w:p w14:paraId="3F732F19" w14:textId="77777777" w:rsidR="004E4CC2" w:rsidRDefault="00000000">
            <w:pPr>
              <w:pStyle w:val="Compact"/>
            </w:pPr>
            <w:r>
              <w:t>Tabelle 16, S. 63</w:t>
            </w:r>
          </w:p>
        </w:tc>
      </w:tr>
      <w:tr w:rsidR="004E4CC2" w14:paraId="3709A11F" w14:textId="77777777">
        <w:tc>
          <w:tcPr>
            <w:tcW w:w="0" w:type="auto"/>
          </w:tcPr>
          <w:p w14:paraId="53FE41FD" w14:textId="77777777" w:rsidR="004E4CC2" w:rsidRDefault="00000000">
            <w:pPr>
              <w:pStyle w:val="Compact"/>
            </w:pPr>
            <w:r>
              <w:t>19</w:t>
            </w:r>
          </w:p>
        </w:tc>
        <w:tc>
          <w:tcPr>
            <w:tcW w:w="0" w:type="auto"/>
            <w:gridSpan w:val="2"/>
          </w:tcPr>
          <w:p w14:paraId="5C367AAC" w14:textId="77777777" w:rsidR="004E4CC2" w:rsidRDefault="00000000">
            <w:pPr>
              <w:pStyle w:val="Compact"/>
            </w:pPr>
            <w:r>
              <w:t>hydro</w:t>
            </w:r>
          </w:p>
        </w:tc>
        <w:tc>
          <w:tcPr>
            <w:tcW w:w="0" w:type="auto"/>
          </w:tcPr>
          <w:p w14:paraId="310D0AAD" w14:textId="77777777" w:rsidR="004E4CC2" w:rsidRDefault="00000000">
            <w:pPr>
              <w:pStyle w:val="Compact"/>
            </w:pPr>
            <w:r>
              <w:t>173</w:t>
            </w:r>
          </w:p>
        </w:tc>
        <w:tc>
          <w:tcPr>
            <w:tcW w:w="0" w:type="auto"/>
            <w:gridSpan w:val="2"/>
          </w:tcPr>
          <w:p w14:paraId="5C5F61CB" w14:textId="77777777" w:rsidR="004E4CC2" w:rsidRDefault="00000000">
            <w:pPr>
              <w:pStyle w:val="Compact"/>
            </w:pPr>
            <w:r>
              <w:t>TRANSITION</w:t>
            </w:r>
          </w:p>
        </w:tc>
        <w:tc>
          <w:tcPr>
            <w:tcW w:w="0" w:type="auto"/>
          </w:tcPr>
          <w:p w14:paraId="52378582" w14:textId="77777777" w:rsidR="004E4CC2" w:rsidRDefault="00000000">
            <w:pPr>
              <w:pStyle w:val="Compact"/>
            </w:pPr>
            <w:r>
              <w:t>Tabelle 16, S. 63</w:t>
            </w:r>
          </w:p>
        </w:tc>
      </w:tr>
      <w:tr w:rsidR="004E4CC2" w14:paraId="56BA597E" w14:textId="77777777">
        <w:tc>
          <w:tcPr>
            <w:tcW w:w="0" w:type="auto"/>
          </w:tcPr>
          <w:p w14:paraId="0776F463" w14:textId="77777777" w:rsidR="004E4CC2" w:rsidRDefault="00000000">
            <w:pPr>
              <w:pStyle w:val="Compact"/>
            </w:pPr>
            <w:r>
              <w:t>20</w:t>
            </w:r>
          </w:p>
        </w:tc>
        <w:tc>
          <w:tcPr>
            <w:tcW w:w="0" w:type="auto"/>
            <w:gridSpan w:val="2"/>
          </w:tcPr>
          <w:p w14:paraId="798A306F" w14:textId="77777777" w:rsidR="004E4CC2" w:rsidRDefault="00000000">
            <w:pPr>
              <w:pStyle w:val="Compact"/>
            </w:pPr>
            <w:r>
              <w:t>biomass</w:t>
            </w:r>
          </w:p>
        </w:tc>
        <w:tc>
          <w:tcPr>
            <w:tcW w:w="0" w:type="auto"/>
          </w:tcPr>
          <w:p w14:paraId="4571148D" w14:textId="77777777" w:rsidR="004E4CC2" w:rsidRDefault="00000000">
            <w:pPr>
              <w:pStyle w:val="Compact"/>
            </w:pPr>
            <w:r>
              <w:t>21</w:t>
            </w:r>
          </w:p>
        </w:tc>
        <w:tc>
          <w:tcPr>
            <w:tcW w:w="0" w:type="auto"/>
            <w:gridSpan w:val="2"/>
          </w:tcPr>
          <w:p w14:paraId="1E2E3360" w14:textId="77777777" w:rsidR="004E4CC2" w:rsidRDefault="00000000">
            <w:pPr>
              <w:pStyle w:val="Compact"/>
            </w:pPr>
            <w:r>
              <w:t>TRANSITION</w:t>
            </w:r>
          </w:p>
        </w:tc>
        <w:tc>
          <w:tcPr>
            <w:tcW w:w="0" w:type="auto"/>
          </w:tcPr>
          <w:p w14:paraId="6D75AEA8" w14:textId="77777777" w:rsidR="004E4CC2" w:rsidRDefault="00000000">
            <w:pPr>
              <w:pStyle w:val="Compact"/>
            </w:pPr>
            <w:r>
              <w:t>Tabelle 16, S. 63</w:t>
            </w:r>
          </w:p>
        </w:tc>
      </w:tr>
      <w:tr w:rsidR="004E4CC2" w14:paraId="3AB03366" w14:textId="77777777">
        <w:tc>
          <w:tcPr>
            <w:tcW w:w="0" w:type="auto"/>
          </w:tcPr>
          <w:p w14:paraId="4608175B" w14:textId="77777777" w:rsidR="004E4CC2" w:rsidRDefault="00000000">
            <w:pPr>
              <w:pStyle w:val="Compact"/>
            </w:pPr>
            <w:r>
              <w:t>21</w:t>
            </w:r>
          </w:p>
        </w:tc>
        <w:tc>
          <w:tcPr>
            <w:tcW w:w="0" w:type="auto"/>
            <w:gridSpan w:val="2"/>
          </w:tcPr>
          <w:p w14:paraId="3F74DD11" w14:textId="77777777" w:rsidR="004E4CC2" w:rsidRDefault="00000000">
            <w:pPr>
              <w:pStyle w:val="Compact"/>
            </w:pPr>
            <w:r>
              <w:t>geothermal</w:t>
            </w:r>
          </w:p>
        </w:tc>
        <w:tc>
          <w:tcPr>
            <w:tcW w:w="0" w:type="auto"/>
          </w:tcPr>
          <w:p w14:paraId="0151BB4F" w14:textId="77777777" w:rsidR="004E4CC2" w:rsidRDefault="00000000">
            <w:pPr>
              <w:pStyle w:val="Compact"/>
            </w:pPr>
            <w:r>
              <w:t>4</w:t>
            </w:r>
          </w:p>
        </w:tc>
        <w:tc>
          <w:tcPr>
            <w:tcW w:w="0" w:type="auto"/>
            <w:gridSpan w:val="2"/>
          </w:tcPr>
          <w:p w14:paraId="378B68EB" w14:textId="77777777" w:rsidR="004E4CC2" w:rsidRDefault="00000000">
            <w:pPr>
              <w:pStyle w:val="Compact"/>
            </w:pPr>
            <w:r>
              <w:t>TRANSITION</w:t>
            </w:r>
          </w:p>
        </w:tc>
        <w:tc>
          <w:tcPr>
            <w:tcW w:w="0" w:type="auto"/>
          </w:tcPr>
          <w:p w14:paraId="7A44C115" w14:textId="77777777" w:rsidR="004E4CC2" w:rsidRDefault="00000000">
            <w:pPr>
              <w:pStyle w:val="Compact"/>
            </w:pPr>
            <w:r>
              <w:t>Tabelle 16, S. 63</w:t>
            </w:r>
          </w:p>
        </w:tc>
      </w:tr>
      <w:tr w:rsidR="004E4CC2" w14:paraId="4FB34222" w14:textId="77777777">
        <w:tc>
          <w:tcPr>
            <w:tcW w:w="0" w:type="auto"/>
          </w:tcPr>
          <w:p w14:paraId="14B091C5" w14:textId="77777777" w:rsidR="004E4CC2" w:rsidRDefault="00000000">
            <w:pPr>
              <w:pStyle w:val="Compact"/>
            </w:pPr>
            <w:r>
              <w:t>22</w:t>
            </w:r>
          </w:p>
        </w:tc>
        <w:tc>
          <w:tcPr>
            <w:tcW w:w="0" w:type="auto"/>
            <w:gridSpan w:val="2"/>
          </w:tcPr>
          <w:p w14:paraId="54D4F181" w14:textId="77777777" w:rsidR="004E4CC2" w:rsidRDefault="00000000">
            <w:pPr>
              <w:pStyle w:val="Compact"/>
            </w:pPr>
            <w:r>
              <w:t>pv</w:t>
            </w:r>
          </w:p>
        </w:tc>
        <w:tc>
          <w:tcPr>
            <w:tcW w:w="0" w:type="auto"/>
          </w:tcPr>
          <w:p w14:paraId="0841D1E3" w14:textId="77777777" w:rsidR="004E4CC2" w:rsidRDefault="00000000">
            <w:pPr>
              <w:pStyle w:val="Compact"/>
            </w:pPr>
            <w:r>
              <w:t>149</w:t>
            </w:r>
          </w:p>
        </w:tc>
        <w:tc>
          <w:tcPr>
            <w:tcW w:w="0" w:type="auto"/>
            <w:gridSpan w:val="2"/>
          </w:tcPr>
          <w:p w14:paraId="601D93C8" w14:textId="77777777" w:rsidR="004E4CC2" w:rsidRDefault="00000000">
            <w:pPr>
              <w:pStyle w:val="Compact"/>
            </w:pPr>
            <w:r>
              <w:t>TRANSITION</w:t>
            </w:r>
          </w:p>
        </w:tc>
        <w:tc>
          <w:tcPr>
            <w:tcW w:w="0" w:type="auto"/>
          </w:tcPr>
          <w:p w14:paraId="69BB40D6" w14:textId="77777777" w:rsidR="004E4CC2" w:rsidRDefault="00000000">
            <w:pPr>
              <w:pStyle w:val="Compact"/>
            </w:pPr>
            <w:r>
              <w:t>Tabelle 16, S. 63</w:t>
            </w:r>
          </w:p>
        </w:tc>
      </w:tr>
      <w:tr w:rsidR="004E4CC2" w14:paraId="1F8A484A" w14:textId="77777777">
        <w:tc>
          <w:tcPr>
            <w:tcW w:w="0" w:type="auto"/>
          </w:tcPr>
          <w:p w14:paraId="2AFCFDE0" w14:textId="77777777" w:rsidR="004E4CC2" w:rsidRDefault="00000000">
            <w:pPr>
              <w:pStyle w:val="Compact"/>
            </w:pPr>
            <w:r>
              <w:t>23</w:t>
            </w:r>
          </w:p>
        </w:tc>
        <w:tc>
          <w:tcPr>
            <w:tcW w:w="0" w:type="auto"/>
            <w:gridSpan w:val="2"/>
          </w:tcPr>
          <w:p w14:paraId="46A446F4" w14:textId="77777777" w:rsidR="004E4CC2" w:rsidRDefault="00000000">
            <w:pPr>
              <w:pStyle w:val="Compact"/>
            </w:pPr>
            <w:r>
              <w:t>wind</w:t>
            </w:r>
          </w:p>
        </w:tc>
        <w:tc>
          <w:tcPr>
            <w:tcW w:w="0" w:type="auto"/>
          </w:tcPr>
          <w:p w14:paraId="2742CA8B" w14:textId="77777777" w:rsidR="004E4CC2" w:rsidRDefault="00000000">
            <w:pPr>
              <w:pStyle w:val="Compact"/>
            </w:pPr>
            <w:r>
              <w:t>105</w:t>
            </w:r>
          </w:p>
        </w:tc>
        <w:tc>
          <w:tcPr>
            <w:tcW w:w="0" w:type="auto"/>
            <w:gridSpan w:val="2"/>
          </w:tcPr>
          <w:p w14:paraId="48611069" w14:textId="77777777" w:rsidR="004E4CC2" w:rsidRDefault="00000000">
            <w:pPr>
              <w:pStyle w:val="Compact"/>
            </w:pPr>
            <w:r>
              <w:t>TRANSITION</w:t>
            </w:r>
          </w:p>
        </w:tc>
        <w:tc>
          <w:tcPr>
            <w:tcW w:w="0" w:type="auto"/>
          </w:tcPr>
          <w:p w14:paraId="4EBF64C9" w14:textId="77777777" w:rsidR="004E4CC2" w:rsidRDefault="00000000">
            <w:pPr>
              <w:pStyle w:val="Compact"/>
            </w:pPr>
            <w:r>
              <w:t>Tabelle 16, S. 63</w:t>
            </w:r>
          </w:p>
        </w:tc>
      </w:tr>
      <w:tr w:rsidR="004E4CC2" w14:paraId="09218050" w14:textId="77777777">
        <w:tc>
          <w:tcPr>
            <w:tcW w:w="0" w:type="auto"/>
          </w:tcPr>
          <w:p w14:paraId="17040D7C" w14:textId="77777777" w:rsidR="004E4CC2" w:rsidRDefault="00000000">
            <w:pPr>
              <w:pStyle w:val="Compact"/>
            </w:pPr>
            <w:r>
              <w:t>24</w:t>
            </w:r>
          </w:p>
        </w:tc>
        <w:tc>
          <w:tcPr>
            <w:tcW w:w="0" w:type="auto"/>
            <w:gridSpan w:val="2"/>
          </w:tcPr>
          <w:p w14:paraId="11861648" w14:textId="77777777" w:rsidR="004E4CC2" w:rsidRDefault="00000000">
            <w:pPr>
              <w:pStyle w:val="Compact"/>
            </w:pPr>
            <w:r>
              <w:t>hydrogen_electricity</w:t>
            </w:r>
          </w:p>
        </w:tc>
        <w:tc>
          <w:tcPr>
            <w:tcW w:w="0" w:type="auto"/>
          </w:tcPr>
          <w:p w14:paraId="60117F87" w14:textId="77777777" w:rsidR="004E4CC2" w:rsidRDefault="00000000">
            <w:pPr>
              <w:pStyle w:val="Compact"/>
            </w:pPr>
            <w:r>
              <w:t>4</w:t>
            </w:r>
          </w:p>
        </w:tc>
        <w:tc>
          <w:tcPr>
            <w:tcW w:w="0" w:type="auto"/>
            <w:gridSpan w:val="2"/>
          </w:tcPr>
          <w:p w14:paraId="1A5640CD" w14:textId="77777777" w:rsidR="004E4CC2" w:rsidRDefault="00000000">
            <w:pPr>
              <w:pStyle w:val="Compact"/>
            </w:pPr>
            <w:r>
              <w:t>TRANSITION</w:t>
            </w:r>
          </w:p>
        </w:tc>
        <w:tc>
          <w:tcPr>
            <w:tcW w:w="0" w:type="auto"/>
          </w:tcPr>
          <w:p w14:paraId="7A00BB61" w14:textId="77777777" w:rsidR="004E4CC2" w:rsidRDefault="00000000">
            <w:pPr>
              <w:pStyle w:val="Compact"/>
            </w:pPr>
            <w:r>
              <w:t>Tabelle 16, S. 63</w:t>
            </w:r>
          </w:p>
        </w:tc>
      </w:tr>
      <w:tr w:rsidR="004E4CC2" w14:paraId="5F9DE3CB" w14:textId="77777777">
        <w:tc>
          <w:tcPr>
            <w:tcW w:w="0" w:type="auto"/>
          </w:tcPr>
          <w:p w14:paraId="65442B24" w14:textId="77777777" w:rsidR="004E4CC2" w:rsidRDefault="00000000">
            <w:pPr>
              <w:pStyle w:val="Compact"/>
            </w:pPr>
            <w:r>
              <w:t>25</w:t>
            </w:r>
          </w:p>
        </w:tc>
        <w:tc>
          <w:tcPr>
            <w:tcW w:w="0" w:type="auto"/>
            <w:gridSpan w:val="2"/>
          </w:tcPr>
          <w:p w14:paraId="0337F91F" w14:textId="77777777" w:rsidR="004E4CC2" w:rsidRDefault="00000000">
            <w:pPr>
              <w:pStyle w:val="Compact"/>
            </w:pPr>
            <w:r>
              <w:t>generation_published_total</w:t>
            </w:r>
          </w:p>
        </w:tc>
        <w:tc>
          <w:tcPr>
            <w:tcW w:w="0" w:type="auto"/>
          </w:tcPr>
          <w:p w14:paraId="155CC31A" w14:textId="77777777" w:rsidR="004E4CC2" w:rsidRDefault="00000000">
            <w:pPr>
              <w:pStyle w:val="Compact"/>
            </w:pPr>
            <w:r>
              <w:t>457</w:t>
            </w:r>
          </w:p>
        </w:tc>
        <w:tc>
          <w:tcPr>
            <w:tcW w:w="0" w:type="auto"/>
            <w:gridSpan w:val="2"/>
          </w:tcPr>
          <w:p w14:paraId="22B56FB3" w14:textId="77777777" w:rsidR="004E4CC2" w:rsidRDefault="00000000">
            <w:pPr>
              <w:pStyle w:val="Compact"/>
            </w:pPr>
            <w:r>
              <w:t>TRANSITION</w:t>
            </w:r>
          </w:p>
        </w:tc>
        <w:tc>
          <w:tcPr>
            <w:tcW w:w="0" w:type="auto"/>
          </w:tcPr>
          <w:p w14:paraId="258AF9CD" w14:textId="77777777" w:rsidR="004E4CC2" w:rsidRDefault="00000000">
            <w:pPr>
              <w:pStyle w:val="Compact"/>
            </w:pPr>
            <w:r>
              <w:t>Tabelle 16, S. 63</w:t>
            </w:r>
          </w:p>
        </w:tc>
      </w:tr>
      <w:tr w:rsidR="004E4CC2" w14:paraId="1056F5D9" w14:textId="77777777">
        <w:tc>
          <w:tcPr>
            <w:tcW w:w="0" w:type="auto"/>
          </w:tcPr>
          <w:p w14:paraId="4738D709" w14:textId="77777777" w:rsidR="004E4CC2" w:rsidRDefault="00000000">
            <w:pPr>
              <w:pStyle w:val="Compact"/>
            </w:pPr>
            <w:r>
              <w:t>26</w:t>
            </w:r>
          </w:p>
        </w:tc>
        <w:tc>
          <w:tcPr>
            <w:tcW w:w="0" w:type="auto"/>
            <w:gridSpan w:val="2"/>
          </w:tcPr>
          <w:p w14:paraId="6A9E4A82" w14:textId="77777777" w:rsidR="004E4CC2" w:rsidRDefault="00000000">
            <w:pPr>
              <w:pStyle w:val="Compact"/>
            </w:pPr>
            <w:r>
              <w:t>net_imports</w:t>
            </w:r>
          </w:p>
        </w:tc>
        <w:tc>
          <w:tcPr>
            <w:tcW w:w="0" w:type="auto"/>
          </w:tcPr>
          <w:p w14:paraId="559D600D" w14:textId="77777777" w:rsidR="004E4CC2" w:rsidRDefault="00000000">
            <w:pPr>
              <w:pStyle w:val="Compact"/>
            </w:pPr>
            <w:r>
              <w:t>-7</w:t>
            </w:r>
          </w:p>
        </w:tc>
        <w:tc>
          <w:tcPr>
            <w:tcW w:w="0" w:type="auto"/>
            <w:gridSpan w:val="2"/>
          </w:tcPr>
          <w:p w14:paraId="117AB21C" w14:textId="77777777" w:rsidR="004E4CC2" w:rsidRDefault="00000000">
            <w:pPr>
              <w:pStyle w:val="Compact"/>
            </w:pPr>
            <w:r>
              <w:t>TRANSITION</w:t>
            </w:r>
          </w:p>
        </w:tc>
        <w:tc>
          <w:tcPr>
            <w:tcW w:w="0" w:type="auto"/>
          </w:tcPr>
          <w:p w14:paraId="2B0F986A" w14:textId="77777777" w:rsidR="004E4CC2" w:rsidRDefault="00000000">
            <w:pPr>
              <w:pStyle w:val="Compact"/>
            </w:pPr>
            <w:r>
              <w:t>Tabelle 16, S. 63</w:t>
            </w:r>
          </w:p>
        </w:tc>
      </w:tr>
      <w:tr w:rsidR="004E4CC2" w14:paraId="6A01883A" w14:textId="77777777" w:rsidTr="004E4CC2">
        <w:trPr>
          <w:tblHeader/>
        </w:trPr>
        <w:tc>
          <w:tcPr>
            <w:tcW w:w="0" w:type="auto"/>
          </w:tcPr>
          <w:p w14:paraId="7322496A" w14:textId="77777777" w:rsidR="004E4CC2" w:rsidRDefault="004E4CC2">
            <w:pPr>
              <w:pStyle w:val="Compact"/>
            </w:pPr>
          </w:p>
        </w:tc>
        <w:tc>
          <w:tcPr>
            <w:tcW w:w="0" w:type="auto"/>
            <w:gridSpan w:val="2"/>
          </w:tcPr>
          <w:p w14:paraId="05676192" w14:textId="77777777" w:rsidR="004E4CC2" w:rsidRDefault="00000000">
            <w:pPr>
              <w:pStyle w:val="Compact"/>
            </w:pPr>
            <w:r>
              <w:t>metric</w:t>
            </w:r>
          </w:p>
        </w:tc>
        <w:tc>
          <w:tcPr>
            <w:tcW w:w="0" w:type="auto"/>
          </w:tcPr>
          <w:p w14:paraId="6A16CD77" w14:textId="77777777" w:rsidR="004E4CC2" w:rsidRDefault="00000000">
            <w:pPr>
              <w:pStyle w:val="Compact"/>
            </w:pPr>
            <w:r>
              <w:t>value_pj</w:t>
            </w:r>
          </w:p>
        </w:tc>
        <w:tc>
          <w:tcPr>
            <w:tcW w:w="0" w:type="auto"/>
            <w:gridSpan w:val="2"/>
          </w:tcPr>
          <w:p w14:paraId="07D54D9D" w14:textId="77777777" w:rsidR="004E4CC2" w:rsidRDefault="00000000">
            <w:pPr>
              <w:pStyle w:val="Compact"/>
            </w:pPr>
            <w:r>
              <w:t>source_id</w:t>
            </w:r>
          </w:p>
        </w:tc>
        <w:tc>
          <w:tcPr>
            <w:tcW w:w="0" w:type="auto"/>
          </w:tcPr>
          <w:p w14:paraId="1D0F2B6C" w14:textId="77777777" w:rsidR="004E4CC2" w:rsidRDefault="00000000">
            <w:pPr>
              <w:pStyle w:val="Compact"/>
            </w:pPr>
            <w:r>
              <w:t>source_location</w:t>
            </w:r>
          </w:p>
        </w:tc>
      </w:tr>
      <w:tr w:rsidR="004E4CC2" w14:paraId="6D3E4A58" w14:textId="77777777">
        <w:tc>
          <w:tcPr>
            <w:tcW w:w="0" w:type="auto"/>
          </w:tcPr>
          <w:p w14:paraId="57D40989" w14:textId="77777777" w:rsidR="004E4CC2" w:rsidRDefault="00000000">
            <w:pPr>
              <w:pStyle w:val="Compact"/>
            </w:pPr>
            <w:r>
              <w:t>16</w:t>
            </w:r>
          </w:p>
        </w:tc>
        <w:tc>
          <w:tcPr>
            <w:tcW w:w="0" w:type="auto"/>
            <w:gridSpan w:val="2"/>
          </w:tcPr>
          <w:p w14:paraId="7C7EBF42" w14:textId="77777777" w:rsidR="004E4CC2" w:rsidRDefault="00000000">
            <w:pPr>
              <w:pStyle w:val="Compact"/>
            </w:pPr>
            <w:r>
              <w:t>verkehr</w:t>
            </w:r>
          </w:p>
        </w:tc>
        <w:tc>
          <w:tcPr>
            <w:tcW w:w="0" w:type="auto"/>
          </w:tcPr>
          <w:p w14:paraId="257C35CC" w14:textId="77777777" w:rsidR="004E4CC2" w:rsidRDefault="00000000">
            <w:pPr>
              <w:pStyle w:val="Compact"/>
            </w:pPr>
            <w:r>
              <w:t>90</w:t>
            </w:r>
          </w:p>
        </w:tc>
        <w:tc>
          <w:tcPr>
            <w:tcW w:w="0" w:type="auto"/>
            <w:gridSpan w:val="2"/>
          </w:tcPr>
          <w:p w14:paraId="29289F77" w14:textId="77777777" w:rsidR="004E4CC2" w:rsidRDefault="00000000">
            <w:pPr>
              <w:pStyle w:val="Compact"/>
            </w:pPr>
            <w:r>
              <w:t>TRANSITION</w:t>
            </w:r>
          </w:p>
        </w:tc>
        <w:tc>
          <w:tcPr>
            <w:tcW w:w="0" w:type="auto"/>
          </w:tcPr>
          <w:p w14:paraId="167A4F3B" w14:textId="77777777" w:rsidR="004E4CC2" w:rsidRDefault="00000000">
            <w:pPr>
              <w:pStyle w:val="Compact"/>
            </w:pPr>
            <w:r>
              <w:t>Tabelle 15, S. 60</w:t>
            </w:r>
          </w:p>
        </w:tc>
      </w:tr>
      <w:tr w:rsidR="004E4CC2" w14:paraId="0EB5FDA5" w14:textId="77777777">
        <w:tc>
          <w:tcPr>
            <w:tcW w:w="0" w:type="auto"/>
          </w:tcPr>
          <w:p w14:paraId="09B70FDA" w14:textId="77777777" w:rsidR="004E4CC2" w:rsidRDefault="00000000">
            <w:pPr>
              <w:pStyle w:val="Compact"/>
            </w:pPr>
            <w:r>
              <w:t>17</w:t>
            </w:r>
          </w:p>
        </w:tc>
        <w:tc>
          <w:tcPr>
            <w:tcW w:w="0" w:type="auto"/>
            <w:gridSpan w:val="2"/>
          </w:tcPr>
          <w:p w14:paraId="4EE7D7AA" w14:textId="77777777" w:rsidR="004E4CC2" w:rsidRDefault="00000000">
            <w:pPr>
              <w:pStyle w:val="Compact"/>
            </w:pPr>
            <w:r>
              <w:t>gebaeude</w:t>
            </w:r>
          </w:p>
        </w:tc>
        <w:tc>
          <w:tcPr>
            <w:tcW w:w="0" w:type="auto"/>
          </w:tcPr>
          <w:p w14:paraId="2F497AD0" w14:textId="77777777" w:rsidR="004E4CC2" w:rsidRDefault="00000000">
            <w:pPr>
              <w:pStyle w:val="Compact"/>
            </w:pPr>
            <w:r>
              <w:t>108</w:t>
            </w:r>
          </w:p>
        </w:tc>
        <w:tc>
          <w:tcPr>
            <w:tcW w:w="0" w:type="auto"/>
            <w:gridSpan w:val="2"/>
          </w:tcPr>
          <w:p w14:paraId="30F9402D" w14:textId="77777777" w:rsidR="004E4CC2" w:rsidRDefault="00000000">
            <w:pPr>
              <w:pStyle w:val="Compact"/>
            </w:pPr>
            <w:r>
              <w:t>TRANSITION</w:t>
            </w:r>
          </w:p>
        </w:tc>
        <w:tc>
          <w:tcPr>
            <w:tcW w:w="0" w:type="auto"/>
          </w:tcPr>
          <w:p w14:paraId="651FC42E" w14:textId="77777777" w:rsidR="004E4CC2" w:rsidRDefault="00000000">
            <w:pPr>
              <w:pStyle w:val="Compact"/>
            </w:pPr>
            <w:r>
              <w:t>Tabelle 15, S. 60</w:t>
            </w:r>
          </w:p>
        </w:tc>
      </w:tr>
      <w:tr w:rsidR="004E4CC2" w14:paraId="7B36AF26" w14:textId="77777777">
        <w:tc>
          <w:tcPr>
            <w:tcW w:w="0" w:type="auto"/>
          </w:tcPr>
          <w:p w14:paraId="76D049C0" w14:textId="77777777" w:rsidR="004E4CC2" w:rsidRDefault="00000000">
            <w:pPr>
              <w:pStyle w:val="Compact"/>
            </w:pPr>
            <w:r>
              <w:t>18</w:t>
            </w:r>
          </w:p>
        </w:tc>
        <w:tc>
          <w:tcPr>
            <w:tcW w:w="0" w:type="auto"/>
            <w:gridSpan w:val="2"/>
          </w:tcPr>
          <w:p w14:paraId="2FAA4E66" w14:textId="77777777" w:rsidR="004E4CC2" w:rsidRDefault="00000000">
            <w:pPr>
              <w:pStyle w:val="Compact"/>
            </w:pPr>
            <w:r>
              <w:t>landwirtschaft</w:t>
            </w:r>
          </w:p>
        </w:tc>
        <w:tc>
          <w:tcPr>
            <w:tcW w:w="0" w:type="auto"/>
          </w:tcPr>
          <w:p w14:paraId="338E7E71" w14:textId="77777777" w:rsidR="004E4CC2" w:rsidRDefault="00000000">
            <w:pPr>
              <w:pStyle w:val="Compact"/>
            </w:pPr>
            <w:r>
              <w:t>4</w:t>
            </w:r>
          </w:p>
        </w:tc>
        <w:tc>
          <w:tcPr>
            <w:tcW w:w="0" w:type="auto"/>
            <w:gridSpan w:val="2"/>
          </w:tcPr>
          <w:p w14:paraId="7C95714A" w14:textId="77777777" w:rsidR="004E4CC2" w:rsidRDefault="00000000">
            <w:pPr>
              <w:pStyle w:val="Compact"/>
            </w:pPr>
            <w:r>
              <w:t>TRANSITION</w:t>
            </w:r>
          </w:p>
        </w:tc>
        <w:tc>
          <w:tcPr>
            <w:tcW w:w="0" w:type="auto"/>
          </w:tcPr>
          <w:p w14:paraId="0C282596" w14:textId="77777777" w:rsidR="004E4CC2" w:rsidRDefault="00000000">
            <w:pPr>
              <w:pStyle w:val="Compact"/>
            </w:pPr>
            <w:r>
              <w:t>Tabelle 15, S. 60</w:t>
            </w:r>
          </w:p>
        </w:tc>
      </w:tr>
      <w:tr w:rsidR="004E4CC2" w14:paraId="363A2EC5" w14:textId="77777777">
        <w:tc>
          <w:tcPr>
            <w:tcW w:w="0" w:type="auto"/>
          </w:tcPr>
          <w:p w14:paraId="7BEA45D4" w14:textId="77777777" w:rsidR="004E4CC2" w:rsidRDefault="00000000">
            <w:pPr>
              <w:pStyle w:val="Compact"/>
            </w:pPr>
            <w:r>
              <w:t>19</w:t>
            </w:r>
          </w:p>
        </w:tc>
        <w:tc>
          <w:tcPr>
            <w:tcW w:w="0" w:type="auto"/>
            <w:gridSpan w:val="2"/>
          </w:tcPr>
          <w:p w14:paraId="6585CE20" w14:textId="77777777" w:rsidR="004E4CC2" w:rsidRDefault="00000000">
            <w:pPr>
              <w:pStyle w:val="Compact"/>
            </w:pPr>
            <w:r>
              <w:t>industrie</w:t>
            </w:r>
          </w:p>
        </w:tc>
        <w:tc>
          <w:tcPr>
            <w:tcW w:w="0" w:type="auto"/>
          </w:tcPr>
          <w:p w14:paraId="5941820E" w14:textId="77777777" w:rsidR="004E4CC2" w:rsidRDefault="00000000">
            <w:pPr>
              <w:pStyle w:val="Compact"/>
            </w:pPr>
            <w:r>
              <w:t>140</w:t>
            </w:r>
          </w:p>
        </w:tc>
        <w:tc>
          <w:tcPr>
            <w:tcW w:w="0" w:type="auto"/>
            <w:gridSpan w:val="2"/>
          </w:tcPr>
          <w:p w14:paraId="41274A86" w14:textId="77777777" w:rsidR="004E4CC2" w:rsidRDefault="00000000">
            <w:pPr>
              <w:pStyle w:val="Compact"/>
            </w:pPr>
            <w:r>
              <w:t>TRANSITION</w:t>
            </w:r>
          </w:p>
        </w:tc>
        <w:tc>
          <w:tcPr>
            <w:tcW w:w="0" w:type="auto"/>
          </w:tcPr>
          <w:p w14:paraId="1B62BEB0" w14:textId="77777777" w:rsidR="004E4CC2" w:rsidRDefault="00000000">
            <w:pPr>
              <w:pStyle w:val="Compact"/>
            </w:pPr>
            <w:r>
              <w:t>Tabelle 15, S. 60</w:t>
            </w:r>
          </w:p>
        </w:tc>
      </w:tr>
      <w:tr w:rsidR="004E4CC2" w14:paraId="64EA3019" w14:textId="77777777">
        <w:tc>
          <w:tcPr>
            <w:tcW w:w="0" w:type="auto"/>
          </w:tcPr>
          <w:p w14:paraId="71210452" w14:textId="77777777" w:rsidR="004E4CC2" w:rsidRDefault="00000000">
            <w:pPr>
              <w:pStyle w:val="Compact"/>
            </w:pPr>
            <w:r>
              <w:t>2</w:t>
            </w:r>
            <w:r>
              <w:lastRenderedPageBreak/>
              <w:t>0</w:t>
            </w:r>
          </w:p>
        </w:tc>
        <w:tc>
          <w:tcPr>
            <w:tcW w:w="0" w:type="auto"/>
            <w:gridSpan w:val="2"/>
          </w:tcPr>
          <w:p w14:paraId="1AAFA5F1" w14:textId="77777777" w:rsidR="004E4CC2" w:rsidRDefault="00000000">
            <w:pPr>
              <w:pStyle w:val="Compact"/>
            </w:pPr>
            <w:r>
              <w:lastRenderedPageBreak/>
              <w:t>verbrauch_sektor_energie</w:t>
            </w:r>
          </w:p>
        </w:tc>
        <w:tc>
          <w:tcPr>
            <w:tcW w:w="0" w:type="auto"/>
          </w:tcPr>
          <w:p w14:paraId="5F7DD49B" w14:textId="77777777" w:rsidR="004E4CC2" w:rsidRDefault="00000000">
            <w:pPr>
              <w:pStyle w:val="Compact"/>
            </w:pPr>
            <w:r>
              <w:t>34</w:t>
            </w:r>
          </w:p>
        </w:tc>
        <w:tc>
          <w:tcPr>
            <w:tcW w:w="0" w:type="auto"/>
            <w:gridSpan w:val="2"/>
          </w:tcPr>
          <w:p w14:paraId="79523824" w14:textId="77777777" w:rsidR="004E4CC2" w:rsidRDefault="00000000">
            <w:pPr>
              <w:pStyle w:val="Compact"/>
            </w:pPr>
            <w:r>
              <w:t>TRANSITION</w:t>
            </w:r>
          </w:p>
        </w:tc>
        <w:tc>
          <w:tcPr>
            <w:tcW w:w="0" w:type="auto"/>
          </w:tcPr>
          <w:p w14:paraId="6240A441" w14:textId="77777777" w:rsidR="004E4CC2" w:rsidRDefault="00000000">
            <w:pPr>
              <w:pStyle w:val="Compact"/>
            </w:pPr>
            <w:r>
              <w:t>Tabelle 15, S. 60</w:t>
            </w:r>
          </w:p>
        </w:tc>
      </w:tr>
      <w:tr w:rsidR="004E4CC2" w14:paraId="1C4A1027" w14:textId="77777777">
        <w:tc>
          <w:tcPr>
            <w:tcW w:w="0" w:type="auto"/>
          </w:tcPr>
          <w:p w14:paraId="07440ACC" w14:textId="77777777" w:rsidR="004E4CC2" w:rsidRDefault="00000000">
            <w:pPr>
              <w:pStyle w:val="Compact"/>
            </w:pPr>
            <w:r>
              <w:t>21</w:t>
            </w:r>
          </w:p>
        </w:tc>
        <w:tc>
          <w:tcPr>
            <w:tcW w:w="0" w:type="auto"/>
            <w:gridSpan w:val="2"/>
          </w:tcPr>
          <w:p w14:paraId="585EF42C" w14:textId="77777777" w:rsidR="004E4CC2" w:rsidRDefault="00000000">
            <w:pPr>
              <w:pStyle w:val="Compact"/>
            </w:pPr>
            <w:r>
              <w:t>transportverluste</w:t>
            </w:r>
          </w:p>
        </w:tc>
        <w:tc>
          <w:tcPr>
            <w:tcW w:w="0" w:type="auto"/>
          </w:tcPr>
          <w:p w14:paraId="4DCA2170" w14:textId="77777777" w:rsidR="004E4CC2" w:rsidRDefault="00000000">
            <w:pPr>
              <w:pStyle w:val="Compact"/>
            </w:pPr>
            <w:r>
              <w:t>19</w:t>
            </w:r>
          </w:p>
        </w:tc>
        <w:tc>
          <w:tcPr>
            <w:tcW w:w="0" w:type="auto"/>
            <w:gridSpan w:val="2"/>
          </w:tcPr>
          <w:p w14:paraId="5E719D47" w14:textId="77777777" w:rsidR="004E4CC2" w:rsidRDefault="00000000">
            <w:pPr>
              <w:pStyle w:val="Compact"/>
            </w:pPr>
            <w:r>
              <w:t>TRANSITION</w:t>
            </w:r>
          </w:p>
        </w:tc>
        <w:tc>
          <w:tcPr>
            <w:tcW w:w="0" w:type="auto"/>
          </w:tcPr>
          <w:p w14:paraId="47AB9398" w14:textId="77777777" w:rsidR="004E4CC2" w:rsidRDefault="00000000">
            <w:pPr>
              <w:pStyle w:val="Compact"/>
            </w:pPr>
            <w:r>
              <w:t>Tabelle 15, S. 60</w:t>
            </w:r>
          </w:p>
        </w:tc>
      </w:tr>
      <w:tr w:rsidR="004E4CC2" w14:paraId="2628F244" w14:textId="77777777">
        <w:tc>
          <w:tcPr>
            <w:tcW w:w="0" w:type="auto"/>
          </w:tcPr>
          <w:p w14:paraId="605A6B27" w14:textId="77777777" w:rsidR="004E4CC2" w:rsidRDefault="00000000">
            <w:pPr>
              <w:pStyle w:val="Compact"/>
            </w:pPr>
            <w:r>
              <w:t>22</w:t>
            </w:r>
          </w:p>
        </w:tc>
        <w:tc>
          <w:tcPr>
            <w:tcW w:w="0" w:type="auto"/>
            <w:gridSpan w:val="2"/>
          </w:tcPr>
          <w:p w14:paraId="07CD9FD9" w14:textId="77777777" w:rsidR="004E4CC2" w:rsidRDefault="00000000">
            <w:pPr>
              <w:pStyle w:val="Compact"/>
            </w:pPr>
            <w:r>
              <w:t>umwandlungseinsatz</w:t>
            </w:r>
          </w:p>
        </w:tc>
        <w:tc>
          <w:tcPr>
            <w:tcW w:w="0" w:type="auto"/>
          </w:tcPr>
          <w:p w14:paraId="7679F1CA" w14:textId="77777777" w:rsidR="004E4CC2" w:rsidRDefault="00000000">
            <w:pPr>
              <w:pStyle w:val="Compact"/>
            </w:pPr>
            <w:r>
              <w:t>57</w:t>
            </w:r>
          </w:p>
        </w:tc>
        <w:tc>
          <w:tcPr>
            <w:tcW w:w="0" w:type="auto"/>
            <w:gridSpan w:val="2"/>
          </w:tcPr>
          <w:p w14:paraId="3F3DC7CC" w14:textId="77777777" w:rsidR="004E4CC2" w:rsidRDefault="00000000">
            <w:pPr>
              <w:pStyle w:val="Compact"/>
            </w:pPr>
            <w:r>
              <w:t>TRANSITION</w:t>
            </w:r>
          </w:p>
        </w:tc>
        <w:tc>
          <w:tcPr>
            <w:tcW w:w="0" w:type="auto"/>
          </w:tcPr>
          <w:p w14:paraId="4026A8DD" w14:textId="77777777" w:rsidR="004E4CC2" w:rsidRDefault="00000000">
            <w:pPr>
              <w:pStyle w:val="Compact"/>
            </w:pPr>
            <w:r>
              <w:t>Tabelle 15, S. 60</w:t>
            </w:r>
          </w:p>
        </w:tc>
      </w:tr>
      <w:tr w:rsidR="004E4CC2" w14:paraId="548F2ECC" w14:textId="77777777">
        <w:tc>
          <w:tcPr>
            <w:tcW w:w="0" w:type="auto"/>
          </w:tcPr>
          <w:p w14:paraId="0BE2D53A" w14:textId="77777777" w:rsidR="004E4CC2" w:rsidRDefault="00000000">
            <w:pPr>
              <w:pStyle w:val="Compact"/>
            </w:pPr>
            <w:r>
              <w:t>23</w:t>
            </w:r>
          </w:p>
        </w:tc>
        <w:tc>
          <w:tcPr>
            <w:tcW w:w="0" w:type="auto"/>
            <w:gridSpan w:val="2"/>
          </w:tcPr>
          <w:p w14:paraId="181AC03B" w14:textId="77777777" w:rsidR="004E4CC2" w:rsidRDefault="00000000">
            <w:pPr>
              <w:pStyle w:val="Compact"/>
            </w:pPr>
            <w:r>
              <w:t>electricity_demand_published_total</w:t>
            </w:r>
          </w:p>
        </w:tc>
        <w:tc>
          <w:tcPr>
            <w:tcW w:w="0" w:type="auto"/>
          </w:tcPr>
          <w:p w14:paraId="554D46B6" w14:textId="77777777" w:rsidR="004E4CC2" w:rsidRDefault="00000000">
            <w:pPr>
              <w:pStyle w:val="Compact"/>
            </w:pPr>
            <w:r>
              <w:t>450</w:t>
            </w:r>
          </w:p>
        </w:tc>
        <w:tc>
          <w:tcPr>
            <w:tcW w:w="0" w:type="auto"/>
            <w:gridSpan w:val="2"/>
          </w:tcPr>
          <w:p w14:paraId="109EA590" w14:textId="77777777" w:rsidR="004E4CC2" w:rsidRDefault="00000000">
            <w:pPr>
              <w:pStyle w:val="Compact"/>
            </w:pPr>
            <w:r>
              <w:t>TRANSITION</w:t>
            </w:r>
          </w:p>
        </w:tc>
        <w:tc>
          <w:tcPr>
            <w:tcW w:w="0" w:type="auto"/>
          </w:tcPr>
          <w:p w14:paraId="314238F0" w14:textId="77777777" w:rsidR="004E4CC2" w:rsidRDefault="00000000">
            <w:pPr>
              <w:pStyle w:val="Compact"/>
            </w:pPr>
            <w:r>
              <w:t>Tabelle 15, S. 60</w:t>
            </w:r>
          </w:p>
        </w:tc>
      </w:tr>
      <w:tr w:rsidR="004E4CC2" w14:paraId="57119842" w14:textId="77777777" w:rsidTr="004E4CC2">
        <w:trPr>
          <w:tblHeader/>
        </w:trPr>
        <w:tc>
          <w:tcPr>
            <w:tcW w:w="0" w:type="auto"/>
          </w:tcPr>
          <w:p w14:paraId="14031942" w14:textId="77777777" w:rsidR="004E4CC2" w:rsidRDefault="004E4CC2">
            <w:pPr>
              <w:pStyle w:val="Compact"/>
            </w:pPr>
          </w:p>
        </w:tc>
        <w:tc>
          <w:tcPr>
            <w:tcW w:w="0" w:type="auto"/>
          </w:tcPr>
          <w:p w14:paraId="55ECC7F3" w14:textId="77777777" w:rsidR="004E4CC2" w:rsidRDefault="00000000">
            <w:pPr>
              <w:pStyle w:val="Compact"/>
            </w:pPr>
            <w:r>
              <w:t>Datei</w:t>
            </w:r>
          </w:p>
        </w:tc>
        <w:tc>
          <w:tcPr>
            <w:tcW w:w="0" w:type="auto"/>
          </w:tcPr>
          <w:p w14:paraId="77BFA059" w14:textId="77777777" w:rsidR="004E4CC2" w:rsidRDefault="00000000">
            <w:pPr>
              <w:pStyle w:val="Compact"/>
            </w:pPr>
            <w:r>
              <w:t>Flächenspalte</w:t>
            </w:r>
          </w:p>
        </w:tc>
        <w:tc>
          <w:tcPr>
            <w:tcW w:w="0" w:type="auto"/>
          </w:tcPr>
          <w:p w14:paraId="0D7765D4" w14:textId="77777777" w:rsidR="004E4CC2" w:rsidRDefault="00000000">
            <w:pPr>
              <w:pStyle w:val="Compact"/>
            </w:pPr>
            <w:r>
              <w:t>Typen</w:t>
            </w:r>
          </w:p>
        </w:tc>
        <w:tc>
          <w:tcPr>
            <w:tcW w:w="0" w:type="auto"/>
          </w:tcPr>
          <w:p w14:paraId="388A3448" w14:textId="77777777" w:rsidR="004E4CC2" w:rsidRDefault="00000000">
            <w:pPr>
              <w:pStyle w:val="Compact"/>
            </w:pPr>
            <w:r>
              <w:t>positive Typen</w:t>
            </w:r>
          </w:p>
        </w:tc>
        <w:tc>
          <w:tcPr>
            <w:tcW w:w="0" w:type="auto"/>
          </w:tcPr>
          <w:p w14:paraId="290485D3" w14:textId="77777777" w:rsidR="004E4CC2" w:rsidRDefault="00000000">
            <w:pPr>
              <w:pStyle w:val="Compact"/>
            </w:pPr>
            <w:r>
              <w:t>BGF [Mio. m²]</w:t>
            </w:r>
          </w:p>
        </w:tc>
        <w:tc>
          <w:tcPr>
            <w:tcW w:w="0" w:type="auto"/>
          </w:tcPr>
          <w:p w14:paraId="2D8EB70F" w14:textId="77777777" w:rsidR="004E4CC2" w:rsidRDefault="00000000">
            <w:pPr>
              <w:pStyle w:val="Compact"/>
            </w:pPr>
            <w:r>
              <w:t>SHA256</w:t>
            </w:r>
          </w:p>
        </w:tc>
      </w:tr>
      <w:tr w:rsidR="004E4CC2" w14:paraId="1432CA11" w14:textId="77777777">
        <w:tc>
          <w:tcPr>
            <w:tcW w:w="0" w:type="auto"/>
          </w:tcPr>
          <w:p w14:paraId="590B05B3" w14:textId="77777777" w:rsidR="004E4CC2" w:rsidRDefault="00000000">
            <w:pPr>
              <w:pStyle w:val="Compact"/>
            </w:pPr>
            <w:r>
              <w:t>0</w:t>
            </w:r>
          </w:p>
        </w:tc>
        <w:tc>
          <w:tcPr>
            <w:tcW w:w="0" w:type="auto"/>
          </w:tcPr>
          <w:p w14:paraId="16E6892F" w14:textId="77777777" w:rsidR="004E4CC2" w:rsidRDefault="00000000">
            <w:pPr>
              <w:pStyle w:val="Compact"/>
            </w:pPr>
            <w:r>
              <w:t>C:\Users\schneids\code\peq-higrube\peq-higrube...</w:t>
            </w:r>
          </w:p>
        </w:tc>
        <w:tc>
          <w:tcPr>
            <w:tcW w:w="0" w:type="auto"/>
          </w:tcPr>
          <w:p w14:paraId="25298BCB" w14:textId="77777777" w:rsidR="004E4CC2" w:rsidRDefault="00000000">
            <w:pPr>
              <w:pStyle w:val="Compact"/>
            </w:pPr>
            <w:r>
              <w:t>Nationale BGF 2040</w:t>
            </w:r>
          </w:p>
        </w:tc>
        <w:tc>
          <w:tcPr>
            <w:tcW w:w="0" w:type="auto"/>
          </w:tcPr>
          <w:p w14:paraId="45E4BBAB" w14:textId="77777777" w:rsidR="004E4CC2" w:rsidRDefault="00000000">
            <w:pPr>
              <w:pStyle w:val="Compact"/>
            </w:pPr>
            <w:r>
              <w:t>900</w:t>
            </w:r>
          </w:p>
        </w:tc>
        <w:tc>
          <w:tcPr>
            <w:tcW w:w="0" w:type="auto"/>
          </w:tcPr>
          <w:p w14:paraId="73006F8D" w14:textId="77777777" w:rsidR="004E4CC2" w:rsidRDefault="00000000">
            <w:pPr>
              <w:pStyle w:val="Compact"/>
            </w:pPr>
            <w:r>
              <w:t>603</w:t>
            </w:r>
          </w:p>
        </w:tc>
        <w:tc>
          <w:tcPr>
            <w:tcW w:w="0" w:type="auto"/>
          </w:tcPr>
          <w:p w14:paraId="72C46BA8" w14:textId="77777777" w:rsidR="004E4CC2" w:rsidRDefault="00000000">
            <w:pPr>
              <w:pStyle w:val="Compact"/>
            </w:pPr>
            <w:r>
              <w:t>1126.578658</w:t>
            </w:r>
          </w:p>
        </w:tc>
        <w:tc>
          <w:tcPr>
            <w:tcW w:w="0" w:type="auto"/>
          </w:tcPr>
          <w:p w14:paraId="7462FA8C" w14:textId="77777777" w:rsidR="004E4CC2" w:rsidRDefault="00000000">
            <w:pPr>
              <w:pStyle w:val="Compact"/>
            </w:pPr>
            <w:r>
              <w:t>b032c1bd7148b0bdac8541196a1eaa7fc58f538f87912e...</w:t>
            </w:r>
          </w:p>
        </w:tc>
      </w:tr>
    </w:tbl>
    <w:p w14:paraId="7B7EB5BB" w14:textId="77777777" w:rsidR="004E4CC2" w:rsidRDefault="00000000">
      <w:pPr>
        <w:pStyle w:val="berschrift2"/>
      </w:pPr>
      <w:bookmarkStart w:id="432" w:name="dichtezuordnung-und-erwartungswert"/>
      <w:bookmarkStart w:id="433" w:name="_Toc243681394"/>
      <w:bookmarkEnd w:id="430"/>
      <w:r>
        <w:t>G.2 Dichtezuordnung und Erwartungswert</w:t>
      </w:r>
      <w:bookmarkEnd w:id="433"/>
    </w:p>
    <w:p w14:paraId="470EB2AE" w14:textId="77777777" w:rsidR="004E4CC2" w:rsidRDefault="00000000">
      <w:pPr>
        <w:pStyle w:val="FirstParagraph"/>
      </w:pPr>
      <w:r>
        <w:t>Ein einziges Ziel erhält 100 %. Bei zwei Zielen müssen beide Anteile vorhanden sein und zusammen 100 % ergeben. Identische zusammengefasste Statistiknutzungen werden nicht doppelt gezählt. Die GFZ-Verteilung 2021 bleibt ein vorläufiges räumliches Muster.</w:t>
      </w:r>
    </w:p>
    <w:p w14:paraId="19E99ED8" w14:textId="77777777" w:rsidR="004E4CC2" w:rsidRDefault="00000000">
      <w:pPr>
        <w:pStyle w:val="Textkrper"/>
      </w:pPr>
      <m:oMathPara>
        <m:oMathParaPr>
          <m:jc m:val="center"/>
        </m:oMathParaPr>
        <m:oMath>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kj</m:t>
                  </m:r>
                </m:sub>
              </m:sSub>
            </m:e>
          </m:nary>
          <m:r>
            <w:rPr>
              <w:rFonts w:ascii="Cambria Math" w:hAnsi="Cambria Math"/>
            </w:rPr>
            <m:t> </m:t>
          </m:r>
          <m:d>
            <m:dPr>
              <m:begChr m:val="["/>
              <m:endChr m:val="]"/>
              <m:ctrlPr>
                <w:rPr>
                  <w:rFonts w:ascii="Cambria Math" w:hAnsi="Cambria Math"/>
                </w:rPr>
              </m:ctrlPr>
            </m:dPr>
            <m:e>
              <m:r>
                <m:rPr>
                  <m:sty m:val="p"/>
                </m:rPr>
                <w:rPr>
                  <w:rFonts w:ascii="Cambria Math" w:hAnsi="Cambria Math"/>
                </w:rPr>
                <m:t>-min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RES</m:t>
                          </m:r>
                        </m:sub>
                      </m:sSub>
                    </m:num>
                    <m:den>
                      <m:r>
                        <w:rPr>
                          <w:rFonts w:ascii="Cambria Math" w:hAnsi="Cambria Math"/>
                        </w:rPr>
                        <m:t>GF</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dx</m:t>
                      </m:r>
                    </m:den>
                  </m:f>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ED</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max</m:t>
                      </m:r>
                    </m:sub>
                  </m:sSub>
                </m:e>
              </m:d>
            </m:e>
          </m:d>
          <m:r>
            <m:rPr>
              <m:sty m:val="p"/>
            </m:rPr>
            <w:rPr>
              <w:rFonts w:ascii="Cambria Math" w:hAnsi="Cambria Math"/>
            </w:rPr>
            <m:t>.</m:t>
          </m:r>
        </m:oMath>
      </m:oMathPara>
    </w:p>
    <w:p w14:paraId="327F91F2" w14:textId="77777777" w:rsidR="004E4CC2" w:rsidRDefault="00000000">
      <w:pPr>
        <w:pStyle w:val="FirstParagraph"/>
      </w:pPr>
      <m:oMath>
        <m:sSub>
          <m:sSubPr>
            <m:ctrlPr>
              <w:rPr>
                <w:rFonts w:ascii="Cambria Math" w:hAnsi="Cambria Math"/>
              </w:rPr>
            </m:ctrlPr>
          </m:sSubPr>
          <m:e>
            <m:r>
              <w:rPr>
                <w:rFonts w:ascii="Cambria Math" w:hAnsi="Cambria Math"/>
              </w:rPr>
              <m:t>s</m:t>
            </m:r>
          </m:e>
          <m:sub>
            <m:r>
              <w:rPr>
                <w:rFonts w:ascii="Cambria Math" w:hAnsi="Cambria Math"/>
              </w:rPr>
              <m:t>kj</m:t>
            </m:r>
          </m:sub>
        </m:sSub>
      </m:oMath>
      <w:r>
        <w:t xml:space="preserve"> ist der bedingte BGF-Anteil im GFZ-Bin, </w:t>
      </w:r>
      <m:oMath>
        <m:r>
          <w:rPr>
            <w:rFonts w:ascii="Cambria Math" w:hAnsi="Cambria Math"/>
          </w:rPr>
          <m:t>k</m:t>
        </m:r>
      </m:oMath>
      <w:r>
        <w:t xml:space="preserve"> die Geometrieklasse. Die historische Kurve (Schneider et al. 2023, Tabelle 5/Gleichung 7) wird wie im wissenschaftlichen Anhang vorläufig als EE-Strom interpretiert. Sie ist ein </w:t>
      </w:r>
      <w:r>
        <w:rPr>
          <w:b/>
          <w:bCs/>
        </w:rPr>
        <w:t>virtueller Bewertungswert</w:t>
      </w:r>
      <w:r>
        <w:t>, keine Stromerzeugung und keine bestätigte neue Kalibrierung.</w:t>
      </w:r>
    </w:p>
    <w:p w14:paraId="630EC3B5" w14:textId="77777777" w:rsidR="004E4CC2" w:rsidRDefault="00000000">
      <w:pPr>
        <w:pStyle w:val="SourceCode"/>
      </w:pPr>
      <w:r>
        <w:rPr>
          <w:rStyle w:val="NormalTok"/>
        </w:rPr>
        <w:t>use_map</w:t>
      </w:r>
      <w:r>
        <w:rPr>
          <w:rStyle w:val="OperatorTok"/>
        </w:rPr>
        <w:t>=</w:t>
      </w:r>
      <w:r>
        <w:rPr>
          <w:rStyle w:val="NormalTok"/>
        </w:rPr>
        <w:t>{</w:t>
      </w:r>
      <w:r>
        <w:rPr>
          <w:rStyle w:val="StringTok"/>
        </w:rPr>
        <w:t>'Gebäude für Gemeinschaften'</w:t>
      </w:r>
      <w:r>
        <w:rPr>
          <w:rStyle w:val="NormalTok"/>
        </w:rPr>
        <w:t>:</w:t>
      </w:r>
      <w:r>
        <w:rPr>
          <w:rStyle w:val="StringTok"/>
        </w:rPr>
        <w:t>'Gemeinschaftsgebäude'</w:t>
      </w:r>
      <w:r>
        <w:rPr>
          <w:rStyle w:val="NormalTok"/>
        </w:rPr>
        <w:t>,</w:t>
      </w:r>
      <w:r>
        <w:rPr>
          <w:rStyle w:val="StringTok"/>
        </w:rPr>
        <w:t>'Hotels und ähnliche Gebäude'</w:t>
      </w:r>
      <w:r>
        <w:rPr>
          <w:rStyle w:val="NormalTok"/>
        </w:rPr>
        <w:t>:</w:t>
      </w:r>
      <w:r>
        <w:rPr>
          <w:rStyle w:val="StringTok"/>
        </w:rPr>
        <w:t>'Hotels o.Ä.'</w:t>
      </w:r>
      <w:r>
        <w:rPr>
          <w:rStyle w:val="NormalTok"/>
        </w:rPr>
        <w:t>,</w:t>
      </w:r>
      <w:r>
        <w:br/>
      </w:r>
      <w:r>
        <w:rPr>
          <w:rStyle w:val="NormalTok"/>
        </w:rPr>
        <w:t xml:space="preserve"> </w:t>
      </w:r>
      <w:r>
        <w:rPr>
          <w:rStyle w:val="StringTok"/>
        </w:rPr>
        <w:t>'Bürogebäude'</w:t>
      </w:r>
      <w:r>
        <w:rPr>
          <w:rStyle w:val="NormalTok"/>
        </w:rPr>
        <w:t>:</w:t>
      </w:r>
      <w:r>
        <w:rPr>
          <w:rStyle w:val="StringTok"/>
        </w:rPr>
        <w:t>'Büronutzung'</w:t>
      </w:r>
      <w:r>
        <w:rPr>
          <w:rStyle w:val="NormalTok"/>
        </w:rPr>
        <w:t>,</w:t>
      </w:r>
      <w:r>
        <w:rPr>
          <w:rStyle w:val="StringTok"/>
        </w:rPr>
        <w:t>'Groß- und Einzelhandelsgebäude'</w:t>
      </w:r>
      <w:r>
        <w:rPr>
          <w:rStyle w:val="NormalTok"/>
        </w:rPr>
        <w:t>:</w:t>
      </w:r>
      <w:r>
        <w:rPr>
          <w:rStyle w:val="StringTok"/>
        </w:rPr>
        <w:t>'Groß- und Einzelhandelsgebäude'</w:t>
      </w:r>
      <w:r>
        <w:rPr>
          <w:rStyle w:val="NormalTok"/>
        </w:rPr>
        <w:t>,</w:t>
      </w:r>
      <w:r>
        <w:br/>
      </w:r>
      <w:r>
        <w:rPr>
          <w:rStyle w:val="NormalTok"/>
        </w:rPr>
        <w:t xml:space="preserve"> </w:t>
      </w:r>
      <w:r>
        <w:rPr>
          <w:rStyle w:val="StringTok"/>
        </w:rPr>
        <w:t>'Gebäude des Verkehrs- und Nachrichtenwesens'</w:t>
      </w:r>
      <w:r>
        <w:rPr>
          <w:rStyle w:val="NormalTok"/>
        </w:rPr>
        <w:t>:</w:t>
      </w:r>
      <w:r>
        <w:rPr>
          <w:rStyle w:val="StringTok"/>
        </w:rPr>
        <w:t>'Verkehrs- und Nachrichtenwesen'</w:t>
      </w:r>
      <w:r>
        <w:rPr>
          <w:rStyle w:val="NormalTok"/>
        </w:rPr>
        <w:t>,</w:t>
      </w:r>
      <w:r>
        <w:rPr>
          <w:rStyle w:val="StringTok"/>
        </w:rPr>
        <w:t>'Industrie- und Lagergebäude'</w:t>
      </w:r>
      <w:r>
        <w:rPr>
          <w:rStyle w:val="NormalTok"/>
        </w:rPr>
        <w:t>:</w:t>
      </w:r>
      <w:r>
        <w:rPr>
          <w:rStyle w:val="StringTok"/>
        </w:rPr>
        <w:t>'Industrie und Lagerung'</w:t>
      </w:r>
      <w:r>
        <w:rPr>
          <w:rStyle w:val="NormalTok"/>
        </w:rPr>
        <w:t>,</w:t>
      </w:r>
      <w:r>
        <w:br/>
      </w:r>
      <w:r>
        <w:rPr>
          <w:rStyle w:val="NormalTok"/>
        </w:rPr>
        <w:t xml:space="preserve"> </w:t>
      </w:r>
      <w:r>
        <w:rPr>
          <w:rStyle w:val="StringTok"/>
        </w:rPr>
        <w:t>'Gebäude für Kultur- und Freizeitzwecke sowie des Bildungs- und Gesundheitswesens'</w:t>
      </w:r>
      <w:r>
        <w:rPr>
          <w:rStyle w:val="NormalTok"/>
        </w:rPr>
        <w:t>:</w:t>
      </w:r>
      <w:r>
        <w:rPr>
          <w:rStyle w:val="StringTok"/>
        </w:rPr>
        <w:t>'Kultur, Freizeit, Bildung und Gesundheit'</w:t>
      </w:r>
      <w:r>
        <w:rPr>
          <w:rStyle w:val="NormalTok"/>
        </w:rPr>
        <w:t>,</w:t>
      </w:r>
      <w:r>
        <w:br/>
      </w:r>
      <w:r>
        <w:rPr>
          <w:rStyle w:val="NormalTok"/>
        </w:rPr>
        <w:t xml:space="preserve"> </w:t>
      </w:r>
      <w:r>
        <w:rPr>
          <w:rStyle w:val="StringTok"/>
        </w:rPr>
        <w:t>'Wohngebäude mit einer Wohnung'</w:t>
      </w:r>
      <w:r>
        <w:rPr>
          <w:rStyle w:val="NormalTok"/>
        </w:rPr>
        <w:t>:</w:t>
      </w:r>
      <w:r>
        <w:rPr>
          <w:rStyle w:val="StringTok"/>
        </w:rPr>
        <w:t>'Ein- und Zweifamilienhäuser'</w:t>
      </w:r>
      <w:r>
        <w:rPr>
          <w:rStyle w:val="NormalTok"/>
        </w:rPr>
        <w:t>,</w:t>
      </w:r>
      <w:r>
        <w:rPr>
          <w:rStyle w:val="StringTok"/>
        </w:rPr>
        <w:t>'Wohngebäude mit zwei Wohnungen'</w:t>
      </w:r>
      <w:r>
        <w:rPr>
          <w:rStyle w:val="NormalTok"/>
        </w:rPr>
        <w:t>:</w:t>
      </w:r>
      <w:r>
        <w:rPr>
          <w:rStyle w:val="StringTok"/>
        </w:rPr>
        <w:t>'Ein- und Zweifamilienhäuser'</w:t>
      </w:r>
      <w:r>
        <w:rPr>
          <w:rStyle w:val="NormalTok"/>
        </w:rPr>
        <w:t>,</w:t>
      </w:r>
      <w:r>
        <w:br/>
      </w:r>
      <w:r>
        <w:rPr>
          <w:rStyle w:val="NormalTok"/>
        </w:rPr>
        <w:t xml:space="preserve"> </w:t>
      </w:r>
      <w:r>
        <w:rPr>
          <w:rStyle w:val="StringTok"/>
        </w:rPr>
        <w:t>'Wohngebäude mit drei und mehr Wohnungen'</w:t>
      </w:r>
      <w:r>
        <w:rPr>
          <w:rStyle w:val="NormalTok"/>
        </w:rPr>
        <w:t>:</w:t>
      </w:r>
      <w:r>
        <w:rPr>
          <w:rStyle w:val="StringTok"/>
        </w:rPr>
        <w:t>'Mehrfamilienhaus'</w:t>
      </w:r>
      <w:r>
        <w:rPr>
          <w:rStyle w:val="NormalTok"/>
        </w:rPr>
        <w:t>}</w:t>
      </w:r>
      <w:r>
        <w:br/>
      </w:r>
      <w:r>
        <w:rPr>
          <w:rStyle w:val="NormalTok"/>
        </w:rPr>
        <w:t>mapping[</w:t>
      </w:r>
      <w:r>
        <w:rPr>
          <w:rStyle w:val="StringTok"/>
        </w:rPr>
        <w:t>'GWR_Nutzung'</w:t>
      </w:r>
      <w:r>
        <w:rPr>
          <w:rStyle w:val="NormalTok"/>
        </w:rPr>
        <w:t>]</w:t>
      </w:r>
      <w:r>
        <w:rPr>
          <w:rStyle w:val="OperatorTok"/>
        </w:rPr>
        <w:t>=</w:t>
      </w:r>
      <w:r>
        <w:rPr>
          <w:rStyle w:val="NormalTok"/>
        </w:rPr>
        <w:t>mapping.Nutzung.</w:t>
      </w:r>
      <w:r>
        <w:rPr>
          <w:rStyle w:val="BuiltInTok"/>
        </w:rPr>
        <w:t>map</w:t>
      </w:r>
      <w:r>
        <w:rPr>
          <w:rStyle w:val="NormalTok"/>
        </w:rPr>
        <w:t>(use_map)</w:t>
      </w:r>
      <w:r>
        <w:rPr>
          <w:rStyle w:val="OperatorTok"/>
        </w:rPr>
        <w:t>;</w:t>
      </w:r>
      <w:r>
        <w:rPr>
          <w:rStyle w:val="NormalTok"/>
        </w:rPr>
        <w:t xml:space="preserve"> </w:t>
      </w:r>
      <w:r>
        <w:rPr>
          <w:rStyle w:val="ControlFlowTok"/>
        </w:rPr>
        <w:t>assert</w:t>
      </w:r>
      <w:r>
        <w:rPr>
          <w:rStyle w:val="NormalTok"/>
        </w:rPr>
        <w:t xml:space="preserve"> mapping.GWR_Nutzung.notna().</w:t>
      </w:r>
      <w:r>
        <w:rPr>
          <w:rStyle w:val="BuiltInTok"/>
        </w:rPr>
        <w:t>all</w:t>
      </w:r>
      <w:r>
        <w:rPr>
          <w:rStyle w:val="NormalTok"/>
        </w:rPr>
        <w:t>()</w:t>
      </w:r>
      <w:r>
        <w:br/>
      </w:r>
      <w:r>
        <w:rPr>
          <w:rStyle w:val="NormalTok"/>
        </w:rPr>
        <w:t>mapping[</w:t>
      </w:r>
      <w:r>
        <w:rPr>
          <w:rStyle w:val="StringTok"/>
        </w:rPr>
        <w:t>'GK'</w:t>
      </w:r>
      <w:r>
        <w:rPr>
          <w:rStyle w:val="NormalTok"/>
        </w:rPr>
        <w:t>]</w:t>
      </w:r>
      <w:r>
        <w:rPr>
          <w:rStyle w:val="OperatorTok"/>
        </w:rPr>
        <w:t>=</w:t>
      </w:r>
      <w:r>
        <w:rPr>
          <w:rStyle w:val="NormalTok"/>
        </w:rPr>
        <w:t>mapping.Geschoss.</w:t>
      </w:r>
      <w:r>
        <w:rPr>
          <w:rStyle w:val="BuiltInTok"/>
        </w:rPr>
        <w:t>str</w:t>
      </w:r>
      <w:r>
        <w:rPr>
          <w:rStyle w:val="NormalTok"/>
        </w:rPr>
        <w:t>.replace(</w:t>
      </w:r>
      <w:r>
        <w:rPr>
          <w:rStyle w:val="StringTok"/>
        </w:rPr>
        <w:t>' Geschoße'</w:t>
      </w:r>
      <w:r>
        <w:rPr>
          <w:rStyle w:val="NormalTok"/>
        </w:rPr>
        <w:t>,</w:t>
      </w:r>
      <w:r>
        <w:rPr>
          <w:rStyle w:val="StringTok"/>
        </w:rPr>
        <w:t>''</w:t>
      </w:r>
      <w:r>
        <w:rPr>
          <w:rStyle w:val="NormalTok"/>
        </w:rPr>
        <w:t>,regex</w:t>
      </w:r>
      <w:r>
        <w:rPr>
          <w:rStyle w:val="OperatorTok"/>
        </w:rPr>
        <w:t>=</w:t>
      </w:r>
      <w:r>
        <w:rPr>
          <w:rStyle w:val="VariableTok"/>
        </w:rPr>
        <w:t>False</w:t>
      </w:r>
      <w:r>
        <w:rPr>
          <w:rStyle w:val="NormalTok"/>
        </w:rPr>
        <w:t>).</w:t>
      </w:r>
      <w:r>
        <w:rPr>
          <w:rStyle w:val="BuiltInTok"/>
        </w:rPr>
        <w:t>str</w:t>
      </w:r>
      <w:r>
        <w:rPr>
          <w:rStyle w:val="NormalTok"/>
        </w:rPr>
        <w:t>.re</w:t>
      </w:r>
      <w:r>
        <w:rPr>
          <w:rStyle w:val="NormalTok"/>
        </w:rPr>
        <w:lastRenderedPageBreak/>
        <w:t>place(</w:t>
      </w:r>
      <w:r>
        <w:rPr>
          <w:rStyle w:val="StringTok"/>
        </w:rPr>
        <w:t>' Geschoß'</w:t>
      </w:r>
      <w:r>
        <w:rPr>
          <w:rStyle w:val="NormalTok"/>
        </w:rPr>
        <w:t>,</w:t>
      </w:r>
      <w:r>
        <w:rPr>
          <w:rStyle w:val="StringTok"/>
        </w:rPr>
        <w:t>''</w:t>
      </w:r>
      <w:r>
        <w:rPr>
          <w:rStyle w:val="NormalTok"/>
        </w:rPr>
        <w:t>,regex</w:t>
      </w:r>
      <w:r>
        <w:rPr>
          <w:rStyle w:val="OperatorTok"/>
        </w:rPr>
        <w:t>=</w:t>
      </w:r>
      <w:r>
        <w:rPr>
          <w:rStyle w:val="VariableTok"/>
        </w:rPr>
        <w:t>False</w:t>
      </w:r>
      <w:r>
        <w:rPr>
          <w:rStyle w:val="NormalTok"/>
        </w:rPr>
        <w:t>).replace({</w:t>
      </w:r>
      <w:r>
        <w:rPr>
          <w:rStyle w:val="StringTok"/>
        </w:rPr>
        <w:t>'6 bis 10'</w:t>
      </w:r>
      <w:r>
        <w:rPr>
          <w:rStyle w:val="NormalTok"/>
        </w:rPr>
        <w:t>:</w:t>
      </w:r>
      <w:r>
        <w:rPr>
          <w:rStyle w:val="StringTok"/>
        </w:rPr>
        <w:t>'6-10'</w:t>
      </w:r>
      <w:r>
        <w:rPr>
          <w:rStyle w:val="NormalTok"/>
        </w:rPr>
        <w:t>,</w:t>
      </w:r>
      <w:r>
        <w:rPr>
          <w:rStyle w:val="StringTok"/>
        </w:rPr>
        <w:t>'11 und mehr'</w:t>
      </w:r>
      <w:r>
        <w:rPr>
          <w:rStyle w:val="NormalTok"/>
        </w:rPr>
        <w:t>:</w:t>
      </w:r>
      <w:r>
        <w:rPr>
          <w:rStyle w:val="StringTok"/>
        </w:rPr>
        <w:t>'11+'</w:t>
      </w:r>
      <w:r>
        <w:rPr>
          <w:rStyle w:val="NormalTok"/>
        </w:rPr>
        <w:t>})</w:t>
      </w:r>
      <w:r>
        <w:br/>
      </w:r>
      <w:r>
        <w:rPr>
          <w:rStyle w:val="NormalTok"/>
        </w:rPr>
        <w:t>mapping[</w:t>
      </w:r>
      <w:r>
        <w:rPr>
          <w:rStyle w:val="StringTok"/>
        </w:rPr>
        <w:t>'Einzelziel_ergänzt'</w:t>
      </w:r>
      <w:r>
        <w:rPr>
          <w:rStyle w:val="NormalTok"/>
        </w:rPr>
        <w:t>]</w:t>
      </w:r>
      <w:r>
        <w:rPr>
          <w:rStyle w:val="OperatorTok"/>
        </w:rPr>
        <w:t>=</w:t>
      </w:r>
      <w:r>
        <w:rPr>
          <w:rStyle w:val="NormalTok"/>
        </w:rPr>
        <w:t xml:space="preserve">mapping.Anteil1.isna() </w:t>
      </w:r>
      <w:r>
        <w:rPr>
          <w:rStyle w:val="OperatorTok"/>
        </w:rPr>
        <w:t>&amp;</w:t>
      </w:r>
      <w:r>
        <w:rPr>
          <w:rStyle w:val="NormalTok"/>
        </w:rPr>
        <w:t xml:space="preserve"> mapping.Archetype1.notna() </w:t>
      </w:r>
      <w:r>
        <w:rPr>
          <w:rStyle w:val="OperatorTok"/>
        </w:rPr>
        <w:t>&amp;</w:t>
      </w:r>
      <w:r>
        <w:rPr>
          <w:rStyle w:val="NormalTok"/>
        </w:rPr>
        <w:t xml:space="preserve"> mapping.Archetype2.isna()</w:t>
      </w:r>
      <w:r>
        <w:br/>
      </w:r>
      <w:r>
        <w:rPr>
          <w:rStyle w:val="ControlFlowTok"/>
        </w:rPr>
        <w:t>if</w:t>
      </w:r>
      <w:r>
        <w:rPr>
          <w:rStyle w:val="NormalTok"/>
        </w:rPr>
        <w:t xml:space="preserve"> </w:t>
      </w:r>
      <w:r>
        <w:rPr>
          <w:rStyle w:val="VariableTok"/>
        </w:rPr>
        <w:t>True</w:t>
      </w:r>
      <w:r>
        <w:rPr>
          <w:rStyle w:val="NormalTok"/>
        </w:rPr>
        <w:t>:</w:t>
      </w:r>
      <w:r>
        <w:br/>
      </w:r>
      <w:r>
        <w:rPr>
          <w:rStyle w:val="NormalTok"/>
        </w:rPr>
        <w:t xml:space="preserve">    mapping.loc[mapping[</w:t>
      </w:r>
      <w:r>
        <w:rPr>
          <w:rStyle w:val="StringTok"/>
        </w:rPr>
        <w:t>'Einzelziel_ergänzt'</w:t>
      </w:r>
      <w:r>
        <w:rPr>
          <w:rStyle w:val="NormalTok"/>
        </w:rPr>
        <w:t>],</w:t>
      </w:r>
      <w:r>
        <w:rPr>
          <w:rStyle w:val="StringTok"/>
        </w:rPr>
        <w:t>'Anteil1'</w:t>
      </w:r>
      <w:r>
        <w:rPr>
          <w:rStyle w:val="NormalTok"/>
        </w:rPr>
        <w:t>]</w:t>
      </w:r>
      <w:r>
        <w:rPr>
          <w:rStyle w:val="OperatorTok"/>
        </w:rPr>
        <w:t>=</w:t>
      </w:r>
      <w:r>
        <w:rPr>
          <w:rStyle w:val="FloatTok"/>
        </w:rPr>
        <w:t>1.0</w:t>
      </w:r>
      <w:r>
        <w:br/>
      </w:r>
      <w:r>
        <w:rPr>
          <w:rStyle w:val="CommentTok"/>
        </w:rPr>
        <w:t># Doppelte Statistiknutzungen nur zusammenführen, wenn ihre Regeln identisch sind.</w:t>
      </w:r>
      <w:r>
        <w:br/>
      </w:r>
      <w:r>
        <w:rPr>
          <w:rStyle w:val="ControlFlowTok"/>
        </w:rPr>
        <w:t>for</w:t>
      </w:r>
      <w:r>
        <w:rPr>
          <w:rStyle w:val="NormalTok"/>
        </w:rPr>
        <w:t xml:space="preserve"> key,group </w:t>
      </w:r>
      <w:r>
        <w:rPr>
          <w:rStyle w:val="KeywordTok"/>
        </w:rPr>
        <w:t>in</w:t>
      </w:r>
      <w:r>
        <w:rPr>
          <w:rStyle w:val="NormalTok"/>
        </w:rPr>
        <w:t xml:space="preserve"> mapping.groupby([</w:t>
      </w:r>
      <w:r>
        <w:rPr>
          <w:rStyle w:val="StringTok"/>
        </w:rPr>
        <w:t>'GWR_Nutzung'</w:t>
      </w:r>
      <w:r>
        <w:rPr>
          <w:rStyle w:val="NormalTok"/>
        </w:rPr>
        <w:t>,</w:t>
      </w:r>
      <w:r>
        <w:rPr>
          <w:rStyle w:val="StringTok"/>
        </w:rPr>
        <w:t>'GK'</w:t>
      </w:r>
      <w:r>
        <w:rPr>
          <w:rStyle w:val="NormalTok"/>
        </w:rPr>
        <w:t>]):</w:t>
      </w:r>
      <w:r>
        <w:br/>
      </w:r>
      <w:r>
        <w:rPr>
          <w:rStyle w:val="NormalTok"/>
        </w:rPr>
        <w:t xml:space="preserve">    </w:t>
      </w:r>
      <w:r>
        <w:rPr>
          <w:rStyle w:val="ControlFlowTok"/>
        </w:rPr>
        <w:t>assert</w:t>
      </w:r>
      <w:r>
        <w:rPr>
          <w:rStyle w:val="NormalTok"/>
        </w:rPr>
        <w:t xml:space="preserve"> </w:t>
      </w:r>
      <w:r>
        <w:rPr>
          <w:rStyle w:val="BuiltInTok"/>
        </w:rPr>
        <w:t>len</w:t>
      </w:r>
      <w:r>
        <w:rPr>
          <w:rStyle w:val="NormalTok"/>
        </w:rPr>
        <w:t>(group[[</w:t>
      </w:r>
      <w:r>
        <w:rPr>
          <w:rStyle w:val="StringTok"/>
        </w:rPr>
        <w:t>'Anteil1'</w:t>
      </w:r>
      <w:r>
        <w:rPr>
          <w:rStyle w:val="NormalTok"/>
        </w:rPr>
        <w:t>,</w:t>
      </w:r>
      <w:r>
        <w:rPr>
          <w:rStyle w:val="StringTok"/>
        </w:rPr>
        <w:t>'Archetype1'</w:t>
      </w:r>
      <w:r>
        <w:rPr>
          <w:rStyle w:val="NormalTok"/>
        </w:rPr>
        <w:t>,</w:t>
      </w:r>
      <w:r>
        <w:rPr>
          <w:rStyle w:val="StringTok"/>
        </w:rPr>
        <w:t>'Anteil2'</w:t>
      </w:r>
      <w:r>
        <w:rPr>
          <w:rStyle w:val="NormalTok"/>
        </w:rPr>
        <w:t>,</w:t>
      </w:r>
      <w:r>
        <w:rPr>
          <w:rStyle w:val="StringTok"/>
        </w:rPr>
        <w:t>'Archetype2'</w:t>
      </w:r>
      <w:r>
        <w:rPr>
          <w:rStyle w:val="NormalTok"/>
        </w:rPr>
        <w:t>]].drop_duplicates())</w:t>
      </w:r>
      <w:r>
        <w:rPr>
          <w:rStyle w:val="OperatorTok"/>
        </w:rPr>
        <w:t>==</w:t>
      </w:r>
      <w:r>
        <w:rPr>
          <w:rStyle w:val="DecValTok"/>
        </w:rPr>
        <w:t>1</w:t>
      </w:r>
      <w:r>
        <w:rPr>
          <w:rStyle w:val="NormalTok"/>
        </w:rPr>
        <w:t>,key</w:t>
      </w:r>
      <w:r>
        <w:br/>
      </w:r>
      <w:r>
        <w:rPr>
          <w:rStyle w:val="NormalTok"/>
        </w:rPr>
        <w:t>unique</w:t>
      </w:r>
      <w:r>
        <w:rPr>
          <w:rStyle w:val="OperatorTok"/>
        </w:rPr>
        <w:t>=</w:t>
      </w:r>
      <w:r>
        <w:rPr>
          <w:rStyle w:val="NormalTok"/>
        </w:rPr>
        <w:t>mapping.drop_duplicates([</w:t>
      </w:r>
      <w:r>
        <w:rPr>
          <w:rStyle w:val="StringTok"/>
        </w:rPr>
        <w:t>'GWR_Nutzung'</w:t>
      </w:r>
      <w:r>
        <w:rPr>
          <w:rStyle w:val="NormalTok"/>
        </w:rPr>
        <w:t>,</w:t>
      </w:r>
      <w:r>
        <w:rPr>
          <w:rStyle w:val="StringTok"/>
        </w:rPr>
        <w:t>'GK'</w:t>
      </w:r>
      <w:r>
        <w:rPr>
          <w:rStyle w:val="NormalTok"/>
        </w:rPr>
        <w:t>])</w:t>
      </w:r>
      <w:r>
        <w:br/>
      </w:r>
      <w:r>
        <w:rPr>
          <w:rStyle w:val="BuiltInTok"/>
        </w:rPr>
        <w:t>long</w:t>
      </w:r>
      <w:r>
        <w:rPr>
          <w:rStyle w:val="OperatorTok"/>
        </w:rPr>
        <w:t>=</w:t>
      </w:r>
      <w:r>
        <w:rPr>
          <w:rStyle w:val="NormalTok"/>
        </w:rPr>
        <w:t>[]</w:t>
      </w:r>
      <w:r>
        <w:br/>
      </w:r>
      <w:r>
        <w:rPr>
          <w:rStyle w:val="ControlFlowTok"/>
        </w:rPr>
        <w:t>for</w:t>
      </w:r>
      <w:r>
        <w:rPr>
          <w:rStyle w:val="NormalTok"/>
        </w:rPr>
        <w:t xml:space="preserve"> _,row </w:t>
      </w:r>
      <w:r>
        <w:rPr>
          <w:rStyle w:val="KeywordTok"/>
        </w:rPr>
        <w:t>in</w:t>
      </w:r>
      <w:r>
        <w:rPr>
          <w:rStyle w:val="NormalTok"/>
        </w:rPr>
        <w:t xml:space="preserve"> unique.iterrows():</w:t>
      </w:r>
      <w:r>
        <w:br/>
      </w:r>
      <w:r>
        <w:rPr>
          <w:rStyle w:val="NormalTok"/>
        </w:rPr>
        <w:t xml:space="preserve">    </w:t>
      </w:r>
      <w:r>
        <w:rPr>
          <w:rStyle w:val="ControlFlowTok"/>
        </w:rPr>
        <w:t>for</w:t>
      </w:r>
      <w:r>
        <w:rPr>
          <w:rStyle w:val="NormalTok"/>
        </w:rPr>
        <w:t xml:space="preserve"> n </w:t>
      </w:r>
      <w:r>
        <w:rPr>
          <w:rStyle w:val="KeywordTok"/>
        </w:rPr>
        <w:t>in</w:t>
      </w:r>
      <w:r>
        <w:rPr>
          <w:rStyle w:val="NormalTok"/>
        </w:rPr>
        <w:t xml:space="preserve"> [</w:t>
      </w:r>
      <w:r>
        <w:rPr>
          <w:rStyle w:val="DecValTok"/>
        </w:rPr>
        <w:t>1</w:t>
      </w:r>
      <w:r>
        <w:rPr>
          <w:rStyle w:val="NormalTok"/>
        </w:rPr>
        <w:t>,</w:t>
      </w:r>
      <w:r>
        <w:rPr>
          <w:rStyle w:val="DecValTok"/>
        </w:rPr>
        <w:t>2</w:t>
      </w:r>
      <w:r>
        <w:rPr>
          <w:rStyle w:val="NormalTok"/>
        </w:rPr>
        <w:t>]:</w:t>
      </w:r>
      <w:r>
        <w:br/>
      </w:r>
      <w:r>
        <w:rPr>
          <w:rStyle w:val="NormalTok"/>
        </w:rPr>
        <w:t xml:space="preserve">        </w:t>
      </w:r>
      <w:r>
        <w:rPr>
          <w:rStyle w:val="ControlFlowTok"/>
        </w:rPr>
        <w:t>if</w:t>
      </w:r>
      <w:r>
        <w:rPr>
          <w:rStyle w:val="NormalTok"/>
        </w:rPr>
        <w:t xml:space="preserve"> pd.notna(row[</w:t>
      </w:r>
      <w:r>
        <w:rPr>
          <w:rStyle w:val="SpecialStringTok"/>
        </w:rPr>
        <w:t>f'Archetype</w:t>
      </w:r>
      <w:r>
        <w:rPr>
          <w:rStyle w:val="SpecialCharTok"/>
        </w:rPr>
        <w:t>{</w:t>
      </w:r>
      <w:r>
        <w:rPr>
          <w:rStyle w:val="NormalTok"/>
        </w:rPr>
        <w:t>n</w:t>
      </w:r>
      <w:r>
        <w:rPr>
          <w:rStyle w:val="SpecialCharTok"/>
        </w:rPr>
        <w:t>}</w:t>
      </w:r>
      <w:r>
        <w:rPr>
          <w:rStyle w:val="SpecialStringTok"/>
        </w:rPr>
        <w:t>'</w:t>
      </w:r>
      <w:r>
        <w:rPr>
          <w:rStyle w:val="NormalTok"/>
        </w:rPr>
        <w:t>]):</w:t>
      </w:r>
      <w:r>
        <w:br/>
      </w:r>
      <w:r>
        <w:rPr>
          <w:rStyle w:val="NormalTok"/>
        </w:rPr>
        <w:t xml:space="preserve">            </w:t>
      </w:r>
      <w:r>
        <w:rPr>
          <w:rStyle w:val="BuiltInTok"/>
        </w:rPr>
        <w:t>long</w:t>
      </w:r>
      <w:r>
        <w:rPr>
          <w:rStyle w:val="NormalTok"/>
        </w:rPr>
        <w:t>.append({</w:t>
      </w:r>
      <w:r>
        <w:rPr>
          <w:rStyle w:val="StringTok"/>
        </w:rPr>
        <w:t>'GWR_Nutzung'</w:t>
      </w:r>
      <w:r>
        <w:rPr>
          <w:rStyle w:val="NormalTok"/>
        </w:rPr>
        <w:t>:row.GWR_Nutzung,</w:t>
      </w:r>
      <w:r>
        <w:rPr>
          <w:rStyle w:val="StringTok"/>
        </w:rPr>
        <w:t>'GK'</w:t>
      </w:r>
      <w:r>
        <w:rPr>
          <w:rStyle w:val="NormalTok"/>
        </w:rPr>
        <w:t>:row.GK,</w:t>
      </w:r>
      <w:r>
        <w:rPr>
          <w:rStyle w:val="StringTok"/>
        </w:rPr>
        <w:t>'Geometrie'</w:t>
      </w:r>
      <w:r>
        <w:rPr>
          <w:rStyle w:val="NormalTok"/>
        </w:rPr>
        <w:t>:row[</w:t>
      </w:r>
      <w:r>
        <w:rPr>
          <w:rStyle w:val="SpecialStringTok"/>
        </w:rPr>
        <w:t>f'Archetype</w:t>
      </w:r>
      <w:r>
        <w:rPr>
          <w:rStyle w:val="SpecialCharTok"/>
        </w:rPr>
        <w:t>{</w:t>
      </w:r>
      <w:r>
        <w:rPr>
          <w:rStyle w:val="NormalTok"/>
        </w:rPr>
        <w:t>n</w:t>
      </w:r>
      <w:r>
        <w:rPr>
          <w:rStyle w:val="SpecialCharTok"/>
        </w:rPr>
        <w:t>}</w:t>
      </w:r>
      <w:r>
        <w:rPr>
          <w:rStyle w:val="SpecialStringTok"/>
        </w:rPr>
        <w:t>'</w:t>
      </w:r>
      <w:r>
        <w:rPr>
          <w:rStyle w:val="NormalTok"/>
        </w:rPr>
        <w:t>],</w:t>
      </w:r>
      <w:r>
        <w:rPr>
          <w:rStyle w:val="StringTok"/>
        </w:rPr>
        <w:t>'Anteil'</w:t>
      </w:r>
      <w:r>
        <w:rPr>
          <w:rStyle w:val="NormalTok"/>
        </w:rPr>
        <w:t>:row[</w:t>
      </w:r>
      <w:r>
        <w:rPr>
          <w:rStyle w:val="SpecialStringTok"/>
        </w:rPr>
        <w:t>f'Anteil</w:t>
      </w:r>
      <w:r>
        <w:rPr>
          <w:rStyle w:val="SpecialCharTok"/>
        </w:rPr>
        <w:t>{</w:t>
      </w:r>
      <w:r>
        <w:rPr>
          <w:rStyle w:val="NormalTok"/>
        </w:rPr>
        <w:t>n</w:t>
      </w:r>
      <w:r>
        <w:rPr>
          <w:rStyle w:val="SpecialCharTok"/>
        </w:rPr>
        <w:t>}</w:t>
      </w:r>
      <w:r>
        <w:rPr>
          <w:rStyle w:val="SpecialStringTok"/>
        </w:rPr>
        <w:t>'</w:t>
      </w:r>
      <w:r>
        <w:rPr>
          <w:rStyle w:val="NormalTok"/>
        </w:rPr>
        <w:t>]})</w:t>
      </w:r>
      <w:r>
        <w:br/>
      </w:r>
      <w:r>
        <w:rPr>
          <w:rStyle w:val="NormalTok"/>
        </w:rPr>
        <w:t>links</w:t>
      </w:r>
      <w:r>
        <w:rPr>
          <w:rStyle w:val="OperatorTok"/>
        </w:rPr>
        <w:t>=</w:t>
      </w:r>
      <w:r>
        <w:rPr>
          <w:rStyle w:val="NormalTok"/>
        </w:rPr>
        <w:t>pd.DataFrame(</w:t>
      </w:r>
      <w:r>
        <w:rPr>
          <w:rStyle w:val="BuiltInTok"/>
        </w:rPr>
        <w:t>long</w:t>
      </w:r>
      <w:r>
        <w:rPr>
          <w:rStyle w:val="NormalTok"/>
        </w:rPr>
        <w:t>)</w:t>
      </w:r>
      <w:r>
        <w:br/>
      </w:r>
      <w:r>
        <w:rPr>
          <w:rStyle w:val="ControlFlowTok"/>
        </w:rPr>
        <w:t>assert</w:t>
      </w:r>
      <w:r>
        <w:rPr>
          <w:rStyle w:val="NormalTok"/>
        </w:rPr>
        <w:t xml:space="preserve"> links.Anteil.notna().</w:t>
      </w:r>
      <w:r>
        <w:rPr>
          <w:rStyle w:val="BuiltInTok"/>
        </w:rPr>
        <w:t>all</w:t>
      </w:r>
      <w:r>
        <w:rPr>
          <w:rStyle w:val="NormalTok"/>
        </w:rPr>
        <w:t xml:space="preserve">(), </w:t>
      </w:r>
      <w:r>
        <w:rPr>
          <w:rStyle w:val="StringTok"/>
        </w:rPr>
        <w:t>'GFZ-Anteile offen; Einzelzielregel oder Eingaben prüfen'</w:t>
      </w:r>
      <w:r>
        <w:br/>
      </w:r>
      <w:r>
        <w:rPr>
          <w:rStyle w:val="ControlFlowTok"/>
        </w:rPr>
        <w:t>assert</w:t>
      </w:r>
      <w:r>
        <w:rPr>
          <w:rStyle w:val="NormalTok"/>
        </w:rPr>
        <w:t xml:space="preserve"> links.Anteil.between(</w:t>
      </w:r>
      <w:r>
        <w:rPr>
          <w:rStyle w:val="DecValTok"/>
        </w:rPr>
        <w:t>0</w:t>
      </w:r>
      <w:r>
        <w:rPr>
          <w:rStyle w:val="NormalTok"/>
        </w:rPr>
        <w:t>,</w:t>
      </w:r>
      <w:r>
        <w:rPr>
          <w:rStyle w:val="DecValTok"/>
        </w:rPr>
        <w:t>1</w:t>
      </w:r>
      <w:r>
        <w:rPr>
          <w:rStyle w:val="NormalTok"/>
        </w:rPr>
        <w:t>).</w:t>
      </w:r>
      <w:r>
        <w:rPr>
          <w:rStyle w:val="BuiltInTok"/>
        </w:rPr>
        <w:t>all</w:t>
      </w:r>
      <w:r>
        <w:rPr>
          <w:rStyle w:val="NormalTok"/>
        </w:rPr>
        <w:t>()</w:t>
      </w:r>
      <w:r>
        <w:br/>
      </w:r>
      <w:r>
        <w:rPr>
          <w:rStyle w:val="NormalTok"/>
        </w:rPr>
        <w:t>np.testing.assert_allclose(links.groupby([</w:t>
      </w:r>
      <w:r>
        <w:rPr>
          <w:rStyle w:val="StringTok"/>
        </w:rPr>
        <w:t>'GWR_Nutzung'</w:t>
      </w:r>
      <w:r>
        <w:rPr>
          <w:rStyle w:val="NormalTok"/>
        </w:rPr>
        <w:t>,</w:t>
      </w:r>
      <w:r>
        <w:rPr>
          <w:rStyle w:val="StringTok"/>
        </w:rPr>
        <w:t>'GK'</w:t>
      </w:r>
      <w:r>
        <w:rPr>
          <w:rStyle w:val="NormalTok"/>
        </w:rPr>
        <w:t>]).Anteil.</w:t>
      </w:r>
      <w:r>
        <w:rPr>
          <w:rStyle w:val="BuiltInTok"/>
        </w:rPr>
        <w:t>sum</w:t>
      </w:r>
      <w:r>
        <w:rPr>
          <w:rStyle w:val="NormalTok"/>
        </w:rPr>
        <w:t>(),</w:t>
      </w:r>
      <w:r>
        <w:rPr>
          <w:rStyle w:val="DecValTok"/>
        </w:rPr>
        <w:t>1</w:t>
      </w:r>
      <w:r>
        <w:rPr>
          <w:rStyle w:val="NormalTok"/>
        </w:rPr>
        <w:t>)</w:t>
      </w:r>
      <w:r>
        <w:br/>
      </w:r>
      <w:r>
        <w:rPr>
          <w:rStyle w:val="NormalTok"/>
        </w:rPr>
        <w:t>gfz</w:t>
      </w:r>
      <w:r>
        <w:rPr>
          <w:rStyle w:val="OperatorTok"/>
        </w:rPr>
        <w:t>=</w:t>
      </w:r>
      <w:r>
        <w:rPr>
          <w:rStyle w:val="NormalTok"/>
        </w:rPr>
        <w:t>pd.read_csv(ROOT</w:t>
      </w:r>
      <w:r>
        <w:rPr>
          <w:rStyle w:val="OperatorTok"/>
        </w:rPr>
        <w:t>/</w:t>
      </w:r>
      <w:r>
        <w:rPr>
          <w:rStyle w:val="StringTok"/>
        </w:rPr>
        <w:t>'Berechnungen/gfz_at/outputs/recalculated/gfz_distribution_by_province_use_storeys.csv'</w:t>
      </w:r>
      <w:r>
        <w:rPr>
          <w:rStyle w:val="NormalTok"/>
        </w:rPr>
        <w:t>,dtype</w:t>
      </w:r>
      <w:r>
        <w:rPr>
          <w:rStyle w:val="OperatorTok"/>
        </w:rPr>
        <w:t>=</w:t>
      </w:r>
      <w:r>
        <w:rPr>
          <w:rStyle w:val="NormalTok"/>
        </w:rPr>
        <w:t>{</w:t>
      </w:r>
      <w:r>
        <w:rPr>
          <w:rStyle w:val="StringTok"/>
        </w:rPr>
        <w:t>'GK'</w:t>
      </w:r>
      <w:r>
        <w:rPr>
          <w:rStyle w:val="NormalTok"/>
        </w:rPr>
        <w:t>:</w:t>
      </w:r>
      <w:r>
        <w:rPr>
          <w:rStyle w:val="BuiltInTok"/>
        </w:rPr>
        <w:t>str</w:t>
      </w:r>
      <w:r>
        <w:rPr>
          <w:rStyle w:val="NormalTok"/>
        </w:rPr>
        <w:t>})</w:t>
      </w:r>
      <w:r>
        <w:br/>
      </w:r>
      <w:r>
        <w:rPr>
          <w:rStyle w:val="NormalTok"/>
        </w:rPr>
        <w:t>joined</w:t>
      </w:r>
      <w:r>
        <w:rPr>
          <w:rStyle w:val="OperatorTok"/>
        </w:rPr>
        <w:t>=</w:t>
      </w:r>
      <w:r>
        <w:rPr>
          <w:rStyle w:val="NormalTok"/>
        </w:rPr>
        <w:t>gfz.merge(links,on</w:t>
      </w:r>
      <w:r>
        <w:rPr>
          <w:rStyle w:val="OperatorTok"/>
        </w:rPr>
        <w:t>=</w:t>
      </w:r>
      <w:r>
        <w:rPr>
          <w:rStyle w:val="NormalTok"/>
        </w:rPr>
        <w:t>[</w:t>
      </w:r>
      <w:r>
        <w:rPr>
          <w:rStyle w:val="StringTok"/>
        </w:rPr>
        <w:t>'GWR_Nutzung'</w:t>
      </w:r>
      <w:r>
        <w:rPr>
          <w:rStyle w:val="NormalTok"/>
        </w:rPr>
        <w:t>,</w:t>
      </w:r>
      <w:r>
        <w:rPr>
          <w:rStyle w:val="StringTok"/>
        </w:rPr>
        <w:t>'GK'</w:t>
      </w:r>
      <w:r>
        <w:rPr>
          <w:rStyle w:val="NormalTok"/>
        </w:rPr>
        <w:t>],how</w:t>
      </w:r>
      <w:r>
        <w:rPr>
          <w:rStyle w:val="OperatorTok"/>
        </w:rPr>
        <w:t>=</w:t>
      </w:r>
      <w:r>
        <w:rPr>
          <w:rStyle w:val="StringTok"/>
        </w:rPr>
        <w:t>'left'</w:t>
      </w:r>
      <w:r>
        <w:rPr>
          <w:rStyle w:val="NormalTok"/>
        </w:rPr>
        <w:t>,indicator</w:t>
      </w:r>
      <w:r>
        <w:rPr>
          <w:rStyle w:val="OperatorTok"/>
        </w:rPr>
        <w:t>=</w:t>
      </w:r>
      <w:r>
        <w:rPr>
          <w:rStyle w:val="VariableTok"/>
        </w:rPr>
        <w:t>True</w:t>
      </w:r>
      <w:r>
        <w:rPr>
          <w:rStyle w:val="NormalTok"/>
        </w:rPr>
        <w:t>)</w:t>
      </w:r>
      <w:r>
        <w:br/>
      </w:r>
      <w:r>
        <w:rPr>
          <w:rStyle w:val="ControlFlowTok"/>
        </w:rPr>
        <w:t>assert</w:t>
      </w:r>
      <w:r>
        <w:rPr>
          <w:rStyle w:val="NormalTok"/>
        </w:rPr>
        <w:t xml:space="preserve"> joined[</w:t>
      </w:r>
      <w:r>
        <w:rPr>
          <w:rStyle w:val="StringTok"/>
        </w:rPr>
        <w:t>'_merge'</w:t>
      </w:r>
      <w:r>
        <w:rPr>
          <w:rStyle w:val="NormalTok"/>
        </w:rPr>
        <w:t>].eq(</w:t>
      </w:r>
      <w:r>
        <w:rPr>
          <w:rStyle w:val="StringTok"/>
        </w:rPr>
        <w:t>'both'</w:t>
      </w:r>
      <w:r>
        <w:rPr>
          <w:rStyle w:val="NormalTok"/>
        </w:rPr>
        <w:t>).</w:t>
      </w:r>
      <w:r>
        <w:rPr>
          <w:rStyle w:val="BuiltInTok"/>
        </w:rPr>
        <w:t>all</w:t>
      </w:r>
      <w:r>
        <w:rPr>
          <w:rStyle w:val="NormalTok"/>
        </w:rPr>
        <w:t>()</w:t>
      </w:r>
      <w:r>
        <w:br/>
      </w:r>
      <w:r>
        <w:rPr>
          <w:rStyle w:val="NormalTok"/>
        </w:rPr>
        <w:t>joined[</w:t>
      </w:r>
      <w:r>
        <w:rPr>
          <w:rStyle w:val="StringTok"/>
        </w:rPr>
        <w:t>'zugeordnete_BGF'</w:t>
      </w:r>
      <w:r>
        <w:rPr>
          <w:rStyle w:val="NormalTok"/>
        </w:rPr>
        <w:t>]</w:t>
      </w:r>
      <w:r>
        <w:rPr>
          <w:rStyle w:val="OperatorTok"/>
        </w:rPr>
        <w:t>=</w:t>
      </w:r>
      <w:r>
        <w:rPr>
          <w:rStyle w:val="NormalTok"/>
        </w:rPr>
        <w:t>joined.BGF_m2</w:t>
      </w:r>
      <w:r>
        <w:rPr>
          <w:rStyle w:val="OperatorTok"/>
        </w:rPr>
        <w:t>*</w:t>
      </w:r>
      <w:r>
        <w:rPr>
          <w:rStyle w:val="NormalTok"/>
        </w:rPr>
        <w:t>joined.Anteil</w:t>
      </w:r>
      <w:r>
        <w:br/>
      </w:r>
      <w:r>
        <w:rPr>
          <w:rStyle w:val="NormalTok"/>
        </w:rPr>
        <w:t>np.testing.assert_allclose(joined.zugeordnete_BGF.</w:t>
      </w:r>
      <w:r>
        <w:rPr>
          <w:rStyle w:val="BuiltInTok"/>
        </w:rPr>
        <w:t>sum</w:t>
      </w:r>
      <w:r>
        <w:rPr>
          <w:rStyle w:val="NormalTok"/>
        </w:rPr>
        <w:t>(),gfz.BGF_m2.</w:t>
      </w:r>
      <w:r>
        <w:rPr>
          <w:rStyle w:val="BuiltInTok"/>
        </w:rPr>
        <w:t>sum</w:t>
      </w:r>
      <w:r>
        <w:rPr>
          <w:rStyle w:val="NormalTok"/>
        </w:rPr>
        <w:t>(),rtol</w:t>
      </w:r>
      <w:r>
        <w:rPr>
          <w:rStyle w:val="OperatorTok"/>
        </w:rPr>
        <w:t>=</w:t>
      </w:r>
      <w:r>
        <w:rPr>
          <w:rStyle w:val="FloatTok"/>
        </w:rPr>
        <w:t>1e-12</w:t>
      </w:r>
      <w:r>
        <w:rPr>
          <w:rStyle w:val="NormalTok"/>
        </w:rPr>
        <w:t>)</w:t>
      </w:r>
      <w:r>
        <w:br/>
      </w:r>
      <w:r>
        <w:rPr>
          <w:rStyle w:val="NormalTok"/>
        </w:rPr>
        <w:t>bins</w:t>
      </w:r>
      <w:r>
        <w:rPr>
          <w:rStyle w:val="OperatorTok"/>
        </w:rPr>
        <w:t>=</w:t>
      </w:r>
      <w:r>
        <w:rPr>
          <w:rStyle w:val="NormalTok"/>
        </w:rPr>
        <w:t>joined.groupby([</w:t>
      </w:r>
      <w:r>
        <w:rPr>
          <w:rStyle w:val="StringTok"/>
        </w:rPr>
        <w:t>'Geometrie'</w:t>
      </w:r>
      <w:r>
        <w:rPr>
          <w:rStyle w:val="NormalTok"/>
        </w:rPr>
        <w:t>,</w:t>
      </w:r>
      <w:r>
        <w:rPr>
          <w:rStyle w:val="StringTok"/>
        </w:rPr>
        <w:t>'GFZ'</w:t>
      </w:r>
      <w:r>
        <w:rPr>
          <w:rStyle w:val="NormalTok"/>
        </w:rPr>
        <w:t>],as_index</w:t>
      </w:r>
      <w:r>
        <w:rPr>
          <w:rStyle w:val="OperatorTok"/>
        </w:rPr>
        <w:t>=</w:t>
      </w:r>
      <w:r>
        <w:rPr>
          <w:rStyle w:val="VariableTok"/>
        </w:rPr>
        <w:t>False</w:t>
      </w:r>
      <w:r>
        <w:rPr>
          <w:rStyle w:val="NormalTok"/>
        </w:rPr>
        <w:t>).zugeordnete_BGF.</w:t>
      </w:r>
      <w:r>
        <w:rPr>
          <w:rStyle w:val="BuiltInTok"/>
        </w:rPr>
        <w:t>sum</w:t>
      </w:r>
      <w:r>
        <w:rPr>
          <w:rStyle w:val="NormalTok"/>
        </w:rPr>
        <w:t>()</w:t>
      </w:r>
      <w:r>
        <w:br/>
      </w:r>
      <w:r>
        <w:rPr>
          <w:rStyle w:val="NormalTok"/>
        </w:rPr>
        <w:t>bins[</w:t>
      </w:r>
      <w:r>
        <w:rPr>
          <w:rStyle w:val="StringTok"/>
        </w:rPr>
        <w:t>'s'</w:t>
      </w:r>
      <w:r>
        <w:rPr>
          <w:rStyle w:val="NormalTok"/>
        </w:rPr>
        <w:t>]</w:t>
      </w:r>
      <w:r>
        <w:rPr>
          <w:rStyle w:val="OperatorTok"/>
        </w:rPr>
        <w:t>=</w:t>
      </w:r>
      <w:r>
        <w:rPr>
          <w:rStyle w:val="NormalTok"/>
        </w:rPr>
        <w:t>bins.zugeordnete_BGF</w:t>
      </w:r>
      <w:r>
        <w:rPr>
          <w:rStyle w:val="OperatorTok"/>
        </w:rPr>
        <w:t>/</w:t>
      </w:r>
      <w:r>
        <w:rPr>
          <w:rStyle w:val="NormalTok"/>
        </w:rPr>
        <w:t>bins.groupby(</w:t>
      </w:r>
      <w:r>
        <w:rPr>
          <w:rStyle w:val="StringTok"/>
        </w:rPr>
        <w:t>'Geometrie'</w:t>
      </w:r>
      <w:r>
        <w:rPr>
          <w:rStyle w:val="NormalTok"/>
        </w:rPr>
        <w:t>).zugeordnete_BGF.transform(</w:t>
      </w:r>
      <w:r>
        <w:rPr>
          <w:rStyle w:val="StringTok"/>
        </w:rPr>
        <w:t>'sum'</w:t>
      </w:r>
      <w:r>
        <w:rPr>
          <w:rStyle w:val="NormalTok"/>
        </w:rPr>
        <w:t>)</w:t>
      </w:r>
      <w:r>
        <w:br/>
      </w:r>
      <w:r>
        <w:rPr>
          <w:rStyle w:val="ControlFlowTok"/>
        </w:rPr>
        <w:t>assert</w:t>
      </w:r>
      <w:r>
        <w:rPr>
          <w:rStyle w:val="NormalTok"/>
        </w:rPr>
        <w:t xml:space="preserve"> </w:t>
      </w:r>
      <w:r>
        <w:rPr>
          <w:rStyle w:val="BuiltInTok"/>
        </w:rPr>
        <w:t>set</w:t>
      </w:r>
      <w:r>
        <w:rPr>
          <w:rStyle w:val="NormalTok"/>
        </w:rPr>
        <w:t>(data.loc[data.BGF.gt(</w:t>
      </w:r>
      <w:r>
        <w:rPr>
          <w:rStyle w:val="DecValTok"/>
        </w:rPr>
        <w:t>0</w:t>
      </w:r>
      <w:r>
        <w:rPr>
          <w:rStyle w:val="NormalTok"/>
        </w:rPr>
        <w:t>),</w:t>
      </w:r>
      <w:r>
        <w:rPr>
          <w:rStyle w:val="StringTok"/>
        </w:rPr>
        <w:t>'Geometrie'</w:t>
      </w:r>
      <w:r>
        <w:rPr>
          <w:rStyle w:val="NormalTok"/>
        </w:rPr>
        <w:t>]).issubset(</w:t>
      </w:r>
      <w:r>
        <w:rPr>
          <w:rStyle w:val="BuiltInTok"/>
        </w:rPr>
        <w:t>set</w:t>
      </w:r>
      <w:r>
        <w:rPr>
          <w:rStyle w:val="NormalTok"/>
        </w:rPr>
        <w:t xml:space="preserve">(bins.Geometrie)), </w:t>
      </w:r>
      <w:r>
        <w:rPr>
          <w:rStyle w:val="StringTok"/>
        </w:rPr>
        <w:t>'GFZ-Zuordnung fehlt'</w:t>
      </w:r>
      <w:r>
        <w:br/>
      </w:r>
      <w:r>
        <w:rPr>
          <w:rStyle w:val="NormalTok"/>
        </w:rPr>
        <w:t>source_files.append(ROOT</w:t>
      </w:r>
      <w:r>
        <w:rPr>
          <w:rStyle w:val="OperatorTok"/>
        </w:rPr>
        <w:t>/</w:t>
      </w:r>
      <w:r>
        <w:rPr>
          <w:rStyle w:val="StringTok"/>
        </w:rPr>
        <w:t>'Berechnungen/gfz_at/outputs/recalculated/gfz_distribution_by_province_use_storeys.csv'</w:t>
      </w:r>
      <w:r>
        <w:rPr>
          <w:rStyle w:val="NormalTok"/>
        </w:rPr>
        <w:t>)</w:t>
      </w:r>
      <w:r>
        <w:br/>
      </w:r>
      <w:r>
        <w:rPr>
          <w:rStyle w:val="NormalTok"/>
        </w:rPr>
        <w:t>display(links)</w:t>
      </w:r>
    </w:p>
    <w:tbl>
      <w:tblPr>
        <w:tblStyle w:val="Table"/>
        <w:tblW w:w="0" w:type="auto"/>
        <w:tblLook w:val="0020" w:firstRow="1" w:lastRow="0" w:firstColumn="0" w:lastColumn="0" w:noHBand="0" w:noVBand="0"/>
      </w:tblPr>
      <w:tblGrid>
        <w:gridCol w:w="473"/>
        <w:gridCol w:w="2703"/>
        <w:gridCol w:w="683"/>
        <w:gridCol w:w="1318"/>
        <w:gridCol w:w="814"/>
      </w:tblGrid>
      <w:tr w:rsidR="004E4CC2" w14:paraId="4DA81693"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4876EBF1" w14:textId="77777777" w:rsidR="004E4CC2" w:rsidRDefault="004E4CC2">
            <w:pPr>
              <w:pStyle w:val="Compact"/>
            </w:pPr>
          </w:p>
        </w:tc>
        <w:tc>
          <w:tcPr>
            <w:tcW w:w="0" w:type="auto"/>
          </w:tcPr>
          <w:p w14:paraId="154659B1" w14:textId="77777777" w:rsidR="004E4CC2" w:rsidRDefault="00000000">
            <w:pPr>
              <w:pStyle w:val="Compact"/>
            </w:pPr>
            <w:r>
              <w:t>GWR_Nutzung</w:t>
            </w:r>
          </w:p>
        </w:tc>
        <w:tc>
          <w:tcPr>
            <w:tcW w:w="0" w:type="auto"/>
          </w:tcPr>
          <w:p w14:paraId="46EB864F" w14:textId="77777777" w:rsidR="004E4CC2" w:rsidRDefault="00000000">
            <w:pPr>
              <w:pStyle w:val="Compact"/>
            </w:pPr>
            <w:r>
              <w:t>GK</w:t>
            </w:r>
          </w:p>
        </w:tc>
        <w:tc>
          <w:tcPr>
            <w:tcW w:w="0" w:type="auto"/>
          </w:tcPr>
          <w:p w14:paraId="548C6894" w14:textId="77777777" w:rsidR="004E4CC2" w:rsidRDefault="00000000">
            <w:pPr>
              <w:pStyle w:val="Compact"/>
            </w:pPr>
            <w:r>
              <w:t>Geometrie</w:t>
            </w:r>
          </w:p>
        </w:tc>
        <w:tc>
          <w:tcPr>
            <w:tcW w:w="0" w:type="auto"/>
          </w:tcPr>
          <w:p w14:paraId="2994D47A" w14:textId="77777777" w:rsidR="004E4CC2" w:rsidRDefault="00000000">
            <w:pPr>
              <w:pStyle w:val="Compact"/>
            </w:pPr>
            <w:r>
              <w:t>Anteil</w:t>
            </w:r>
          </w:p>
        </w:tc>
      </w:tr>
      <w:tr w:rsidR="004E4CC2" w14:paraId="5EB0F245" w14:textId="77777777">
        <w:tc>
          <w:tcPr>
            <w:tcW w:w="0" w:type="auto"/>
          </w:tcPr>
          <w:p w14:paraId="4476DF77" w14:textId="77777777" w:rsidR="004E4CC2" w:rsidRDefault="00000000">
            <w:pPr>
              <w:pStyle w:val="Compact"/>
            </w:pPr>
            <w:r>
              <w:t>0</w:t>
            </w:r>
          </w:p>
        </w:tc>
        <w:tc>
          <w:tcPr>
            <w:tcW w:w="0" w:type="auto"/>
          </w:tcPr>
          <w:p w14:paraId="1F67BECF" w14:textId="77777777" w:rsidR="004E4CC2" w:rsidRDefault="00000000">
            <w:pPr>
              <w:pStyle w:val="Compact"/>
            </w:pPr>
            <w:r>
              <w:t>Gemeinschaftsgebäude</w:t>
            </w:r>
          </w:p>
        </w:tc>
        <w:tc>
          <w:tcPr>
            <w:tcW w:w="0" w:type="auto"/>
          </w:tcPr>
          <w:p w14:paraId="6A0FD839" w14:textId="77777777" w:rsidR="004E4CC2" w:rsidRDefault="00000000">
            <w:pPr>
              <w:pStyle w:val="Compact"/>
            </w:pPr>
            <w:r>
              <w:t>1</w:t>
            </w:r>
          </w:p>
        </w:tc>
        <w:tc>
          <w:tcPr>
            <w:tcW w:w="0" w:type="auto"/>
          </w:tcPr>
          <w:p w14:paraId="7CE6F86A" w14:textId="77777777" w:rsidR="004E4CC2" w:rsidRDefault="00000000">
            <w:pPr>
              <w:pStyle w:val="Compact"/>
            </w:pPr>
            <w:r>
              <w:t>NiWo_1G</w:t>
            </w:r>
          </w:p>
        </w:tc>
        <w:tc>
          <w:tcPr>
            <w:tcW w:w="0" w:type="auto"/>
          </w:tcPr>
          <w:p w14:paraId="43D5086C" w14:textId="77777777" w:rsidR="004E4CC2" w:rsidRDefault="00000000">
            <w:pPr>
              <w:pStyle w:val="Compact"/>
            </w:pPr>
            <w:r>
              <w:t>1.0</w:t>
            </w:r>
          </w:p>
        </w:tc>
      </w:tr>
      <w:tr w:rsidR="004E4CC2" w14:paraId="432505B9" w14:textId="77777777">
        <w:tc>
          <w:tcPr>
            <w:tcW w:w="0" w:type="auto"/>
          </w:tcPr>
          <w:p w14:paraId="454B3581" w14:textId="77777777" w:rsidR="004E4CC2" w:rsidRDefault="00000000">
            <w:pPr>
              <w:pStyle w:val="Compact"/>
            </w:pPr>
            <w:r>
              <w:t>1</w:t>
            </w:r>
          </w:p>
        </w:tc>
        <w:tc>
          <w:tcPr>
            <w:tcW w:w="0" w:type="auto"/>
          </w:tcPr>
          <w:p w14:paraId="71507A0A" w14:textId="77777777" w:rsidR="004E4CC2" w:rsidRDefault="00000000">
            <w:pPr>
              <w:pStyle w:val="Compact"/>
            </w:pPr>
            <w:r>
              <w:t>Gemeinschaftsgebäude</w:t>
            </w:r>
          </w:p>
        </w:tc>
        <w:tc>
          <w:tcPr>
            <w:tcW w:w="0" w:type="auto"/>
          </w:tcPr>
          <w:p w14:paraId="3766CC37" w14:textId="77777777" w:rsidR="004E4CC2" w:rsidRDefault="00000000">
            <w:pPr>
              <w:pStyle w:val="Compact"/>
            </w:pPr>
            <w:r>
              <w:t>2</w:t>
            </w:r>
          </w:p>
        </w:tc>
        <w:tc>
          <w:tcPr>
            <w:tcW w:w="0" w:type="auto"/>
          </w:tcPr>
          <w:p w14:paraId="7DB53A1C" w14:textId="77777777" w:rsidR="004E4CC2" w:rsidRDefault="00000000">
            <w:pPr>
              <w:pStyle w:val="Compact"/>
            </w:pPr>
            <w:r>
              <w:t>NiWo_2G</w:t>
            </w:r>
          </w:p>
        </w:tc>
        <w:tc>
          <w:tcPr>
            <w:tcW w:w="0" w:type="auto"/>
          </w:tcPr>
          <w:p w14:paraId="2C834619" w14:textId="77777777" w:rsidR="004E4CC2" w:rsidRDefault="00000000">
            <w:pPr>
              <w:pStyle w:val="Compact"/>
            </w:pPr>
            <w:r>
              <w:t>1.0</w:t>
            </w:r>
          </w:p>
        </w:tc>
      </w:tr>
      <w:tr w:rsidR="004E4CC2" w14:paraId="4AACC306" w14:textId="77777777">
        <w:tc>
          <w:tcPr>
            <w:tcW w:w="0" w:type="auto"/>
          </w:tcPr>
          <w:p w14:paraId="7E595F79" w14:textId="77777777" w:rsidR="004E4CC2" w:rsidRDefault="00000000">
            <w:pPr>
              <w:pStyle w:val="Compact"/>
            </w:pPr>
            <w:r>
              <w:t>2</w:t>
            </w:r>
          </w:p>
        </w:tc>
        <w:tc>
          <w:tcPr>
            <w:tcW w:w="0" w:type="auto"/>
          </w:tcPr>
          <w:p w14:paraId="45B099EC" w14:textId="77777777" w:rsidR="004E4CC2" w:rsidRDefault="00000000">
            <w:pPr>
              <w:pStyle w:val="Compact"/>
            </w:pPr>
            <w:r>
              <w:t>Gemeinschaftsgebäude</w:t>
            </w:r>
          </w:p>
        </w:tc>
        <w:tc>
          <w:tcPr>
            <w:tcW w:w="0" w:type="auto"/>
          </w:tcPr>
          <w:p w14:paraId="230DBB0B" w14:textId="77777777" w:rsidR="004E4CC2" w:rsidRDefault="00000000">
            <w:pPr>
              <w:pStyle w:val="Compact"/>
            </w:pPr>
            <w:r>
              <w:t>3</w:t>
            </w:r>
          </w:p>
        </w:tc>
        <w:tc>
          <w:tcPr>
            <w:tcW w:w="0" w:type="auto"/>
          </w:tcPr>
          <w:p w14:paraId="60CD5356" w14:textId="77777777" w:rsidR="004E4CC2" w:rsidRDefault="00000000">
            <w:pPr>
              <w:pStyle w:val="Compact"/>
            </w:pPr>
            <w:r>
              <w:t>NiWo_3G</w:t>
            </w:r>
          </w:p>
        </w:tc>
        <w:tc>
          <w:tcPr>
            <w:tcW w:w="0" w:type="auto"/>
          </w:tcPr>
          <w:p w14:paraId="4002E8E0" w14:textId="77777777" w:rsidR="004E4CC2" w:rsidRDefault="00000000">
            <w:pPr>
              <w:pStyle w:val="Compact"/>
            </w:pPr>
            <w:r>
              <w:t>1.0</w:t>
            </w:r>
          </w:p>
        </w:tc>
      </w:tr>
      <w:tr w:rsidR="004E4CC2" w14:paraId="29FA9935" w14:textId="77777777">
        <w:tc>
          <w:tcPr>
            <w:tcW w:w="0" w:type="auto"/>
          </w:tcPr>
          <w:p w14:paraId="60C29B5D" w14:textId="77777777" w:rsidR="004E4CC2" w:rsidRDefault="00000000">
            <w:pPr>
              <w:pStyle w:val="Compact"/>
            </w:pPr>
            <w:r>
              <w:t>3</w:t>
            </w:r>
          </w:p>
        </w:tc>
        <w:tc>
          <w:tcPr>
            <w:tcW w:w="0" w:type="auto"/>
          </w:tcPr>
          <w:p w14:paraId="24CF24FD" w14:textId="77777777" w:rsidR="004E4CC2" w:rsidRDefault="00000000">
            <w:pPr>
              <w:pStyle w:val="Compact"/>
            </w:pPr>
            <w:r>
              <w:t>Gemeinschaftsgebäude</w:t>
            </w:r>
          </w:p>
        </w:tc>
        <w:tc>
          <w:tcPr>
            <w:tcW w:w="0" w:type="auto"/>
          </w:tcPr>
          <w:p w14:paraId="39CACE75" w14:textId="77777777" w:rsidR="004E4CC2" w:rsidRDefault="00000000">
            <w:pPr>
              <w:pStyle w:val="Compact"/>
            </w:pPr>
            <w:r>
              <w:t>4</w:t>
            </w:r>
          </w:p>
        </w:tc>
        <w:tc>
          <w:tcPr>
            <w:tcW w:w="0" w:type="auto"/>
          </w:tcPr>
          <w:p w14:paraId="345F4276" w14:textId="77777777" w:rsidR="004E4CC2" w:rsidRDefault="00000000">
            <w:pPr>
              <w:pStyle w:val="Compact"/>
            </w:pPr>
            <w:r>
              <w:t>NiWo_3G</w:t>
            </w:r>
          </w:p>
        </w:tc>
        <w:tc>
          <w:tcPr>
            <w:tcW w:w="0" w:type="auto"/>
          </w:tcPr>
          <w:p w14:paraId="4585682E" w14:textId="77777777" w:rsidR="004E4CC2" w:rsidRDefault="00000000">
            <w:pPr>
              <w:pStyle w:val="Compact"/>
            </w:pPr>
            <w:r>
              <w:t>1.0</w:t>
            </w:r>
          </w:p>
        </w:tc>
      </w:tr>
      <w:tr w:rsidR="004E4CC2" w14:paraId="4D0CA28D" w14:textId="77777777">
        <w:tc>
          <w:tcPr>
            <w:tcW w:w="0" w:type="auto"/>
          </w:tcPr>
          <w:p w14:paraId="0DD460B2" w14:textId="77777777" w:rsidR="004E4CC2" w:rsidRDefault="00000000">
            <w:pPr>
              <w:pStyle w:val="Compact"/>
            </w:pPr>
            <w:r>
              <w:t>4</w:t>
            </w:r>
          </w:p>
        </w:tc>
        <w:tc>
          <w:tcPr>
            <w:tcW w:w="0" w:type="auto"/>
          </w:tcPr>
          <w:p w14:paraId="278E495C" w14:textId="77777777" w:rsidR="004E4CC2" w:rsidRDefault="00000000">
            <w:pPr>
              <w:pStyle w:val="Compact"/>
            </w:pPr>
            <w:r>
              <w:t>Gemeinschaftsgebäude</w:t>
            </w:r>
          </w:p>
        </w:tc>
        <w:tc>
          <w:tcPr>
            <w:tcW w:w="0" w:type="auto"/>
          </w:tcPr>
          <w:p w14:paraId="18A106D8" w14:textId="77777777" w:rsidR="004E4CC2" w:rsidRDefault="00000000">
            <w:pPr>
              <w:pStyle w:val="Compact"/>
            </w:pPr>
            <w:r>
              <w:t>5</w:t>
            </w:r>
          </w:p>
        </w:tc>
        <w:tc>
          <w:tcPr>
            <w:tcW w:w="0" w:type="auto"/>
          </w:tcPr>
          <w:p w14:paraId="74905DB0" w14:textId="77777777" w:rsidR="004E4CC2" w:rsidRDefault="00000000">
            <w:pPr>
              <w:pStyle w:val="Compact"/>
            </w:pPr>
            <w:r>
              <w:t>NiWo_3G</w:t>
            </w:r>
          </w:p>
        </w:tc>
        <w:tc>
          <w:tcPr>
            <w:tcW w:w="0" w:type="auto"/>
          </w:tcPr>
          <w:p w14:paraId="6167253E" w14:textId="77777777" w:rsidR="004E4CC2" w:rsidRDefault="00000000">
            <w:pPr>
              <w:pStyle w:val="Compact"/>
            </w:pPr>
            <w:r>
              <w:t>1.0</w:t>
            </w:r>
          </w:p>
        </w:tc>
      </w:tr>
      <w:tr w:rsidR="004E4CC2" w14:paraId="424A99B7" w14:textId="77777777">
        <w:tc>
          <w:tcPr>
            <w:tcW w:w="0" w:type="auto"/>
          </w:tcPr>
          <w:p w14:paraId="78C4CBB1" w14:textId="77777777" w:rsidR="004E4CC2" w:rsidRDefault="00000000">
            <w:pPr>
              <w:pStyle w:val="Compact"/>
            </w:pPr>
            <w:r>
              <w:t>...</w:t>
            </w:r>
          </w:p>
        </w:tc>
        <w:tc>
          <w:tcPr>
            <w:tcW w:w="0" w:type="auto"/>
          </w:tcPr>
          <w:p w14:paraId="30C748A7" w14:textId="77777777" w:rsidR="004E4CC2" w:rsidRDefault="00000000">
            <w:pPr>
              <w:pStyle w:val="Compact"/>
            </w:pPr>
            <w:r>
              <w:t>...</w:t>
            </w:r>
          </w:p>
        </w:tc>
        <w:tc>
          <w:tcPr>
            <w:tcW w:w="0" w:type="auto"/>
          </w:tcPr>
          <w:p w14:paraId="683AF22D" w14:textId="77777777" w:rsidR="004E4CC2" w:rsidRDefault="00000000">
            <w:pPr>
              <w:pStyle w:val="Compact"/>
            </w:pPr>
            <w:r>
              <w:t>...</w:t>
            </w:r>
          </w:p>
        </w:tc>
        <w:tc>
          <w:tcPr>
            <w:tcW w:w="0" w:type="auto"/>
          </w:tcPr>
          <w:p w14:paraId="38699B70" w14:textId="77777777" w:rsidR="004E4CC2" w:rsidRDefault="00000000">
            <w:pPr>
              <w:pStyle w:val="Compact"/>
            </w:pPr>
            <w:r>
              <w:t>...</w:t>
            </w:r>
          </w:p>
        </w:tc>
        <w:tc>
          <w:tcPr>
            <w:tcW w:w="0" w:type="auto"/>
          </w:tcPr>
          <w:p w14:paraId="467CF187" w14:textId="77777777" w:rsidR="004E4CC2" w:rsidRDefault="00000000">
            <w:pPr>
              <w:pStyle w:val="Compact"/>
            </w:pPr>
            <w:r>
              <w:t>...</w:t>
            </w:r>
          </w:p>
        </w:tc>
      </w:tr>
      <w:tr w:rsidR="004E4CC2" w14:paraId="1338A67C" w14:textId="77777777">
        <w:tc>
          <w:tcPr>
            <w:tcW w:w="0" w:type="auto"/>
          </w:tcPr>
          <w:p w14:paraId="42F7DADF" w14:textId="77777777" w:rsidR="004E4CC2" w:rsidRDefault="00000000">
            <w:pPr>
              <w:pStyle w:val="Compact"/>
            </w:pPr>
            <w:r>
              <w:t>62</w:t>
            </w:r>
          </w:p>
        </w:tc>
        <w:tc>
          <w:tcPr>
            <w:tcW w:w="0" w:type="auto"/>
          </w:tcPr>
          <w:p w14:paraId="39946B3D" w14:textId="77777777" w:rsidR="004E4CC2" w:rsidRDefault="00000000">
            <w:pPr>
              <w:pStyle w:val="Compact"/>
            </w:pPr>
            <w:r>
              <w:t>Mehrfamilienhaus</w:t>
            </w:r>
          </w:p>
        </w:tc>
        <w:tc>
          <w:tcPr>
            <w:tcW w:w="0" w:type="auto"/>
          </w:tcPr>
          <w:p w14:paraId="0DE2CEEB" w14:textId="77777777" w:rsidR="004E4CC2" w:rsidRDefault="00000000">
            <w:pPr>
              <w:pStyle w:val="Compact"/>
            </w:pPr>
            <w:r>
              <w:t>3</w:t>
            </w:r>
          </w:p>
        </w:tc>
        <w:tc>
          <w:tcPr>
            <w:tcW w:w="0" w:type="auto"/>
          </w:tcPr>
          <w:p w14:paraId="5128B2FC" w14:textId="77777777" w:rsidR="004E4CC2" w:rsidRDefault="00000000">
            <w:pPr>
              <w:pStyle w:val="Compact"/>
            </w:pPr>
            <w:r>
              <w:t>RH_2G</w:t>
            </w:r>
          </w:p>
        </w:tc>
        <w:tc>
          <w:tcPr>
            <w:tcW w:w="0" w:type="auto"/>
          </w:tcPr>
          <w:p w14:paraId="21674E6E" w14:textId="77777777" w:rsidR="004E4CC2" w:rsidRDefault="00000000">
            <w:pPr>
              <w:pStyle w:val="Compact"/>
            </w:pPr>
            <w:r>
              <w:t>0.5</w:t>
            </w:r>
          </w:p>
        </w:tc>
      </w:tr>
      <w:tr w:rsidR="004E4CC2" w14:paraId="194AB4B5" w14:textId="77777777">
        <w:tc>
          <w:tcPr>
            <w:tcW w:w="0" w:type="auto"/>
          </w:tcPr>
          <w:p w14:paraId="7F579253" w14:textId="77777777" w:rsidR="004E4CC2" w:rsidRDefault="00000000">
            <w:pPr>
              <w:pStyle w:val="Compact"/>
            </w:pPr>
            <w:r>
              <w:t>63</w:t>
            </w:r>
          </w:p>
        </w:tc>
        <w:tc>
          <w:tcPr>
            <w:tcW w:w="0" w:type="auto"/>
          </w:tcPr>
          <w:p w14:paraId="5D956B98" w14:textId="77777777" w:rsidR="004E4CC2" w:rsidRDefault="00000000">
            <w:pPr>
              <w:pStyle w:val="Compact"/>
            </w:pPr>
            <w:r>
              <w:t>Mehrfamilienhaus</w:t>
            </w:r>
          </w:p>
        </w:tc>
        <w:tc>
          <w:tcPr>
            <w:tcW w:w="0" w:type="auto"/>
          </w:tcPr>
          <w:p w14:paraId="484D805B" w14:textId="77777777" w:rsidR="004E4CC2" w:rsidRDefault="00000000">
            <w:pPr>
              <w:pStyle w:val="Compact"/>
            </w:pPr>
            <w:r>
              <w:t>4</w:t>
            </w:r>
          </w:p>
        </w:tc>
        <w:tc>
          <w:tcPr>
            <w:tcW w:w="0" w:type="auto"/>
          </w:tcPr>
          <w:p w14:paraId="6042109A" w14:textId="77777777" w:rsidR="004E4CC2" w:rsidRDefault="00000000">
            <w:pPr>
              <w:pStyle w:val="Compact"/>
            </w:pPr>
            <w:r>
              <w:t>MFH_4G</w:t>
            </w:r>
          </w:p>
        </w:tc>
        <w:tc>
          <w:tcPr>
            <w:tcW w:w="0" w:type="auto"/>
          </w:tcPr>
          <w:p w14:paraId="6183D336" w14:textId="77777777" w:rsidR="004E4CC2" w:rsidRDefault="00000000">
            <w:pPr>
              <w:pStyle w:val="Compact"/>
            </w:pPr>
            <w:r>
              <w:t>1.0</w:t>
            </w:r>
          </w:p>
        </w:tc>
      </w:tr>
      <w:tr w:rsidR="004E4CC2" w14:paraId="7252F5E6" w14:textId="77777777">
        <w:tc>
          <w:tcPr>
            <w:tcW w:w="0" w:type="auto"/>
          </w:tcPr>
          <w:p w14:paraId="6203416B" w14:textId="77777777" w:rsidR="004E4CC2" w:rsidRDefault="00000000">
            <w:pPr>
              <w:pStyle w:val="Compact"/>
            </w:pPr>
            <w:r>
              <w:lastRenderedPageBreak/>
              <w:t>64</w:t>
            </w:r>
          </w:p>
        </w:tc>
        <w:tc>
          <w:tcPr>
            <w:tcW w:w="0" w:type="auto"/>
          </w:tcPr>
          <w:p w14:paraId="31F19285" w14:textId="77777777" w:rsidR="004E4CC2" w:rsidRDefault="00000000">
            <w:pPr>
              <w:pStyle w:val="Compact"/>
            </w:pPr>
            <w:r>
              <w:t>Mehrfamilienhaus</w:t>
            </w:r>
          </w:p>
        </w:tc>
        <w:tc>
          <w:tcPr>
            <w:tcW w:w="0" w:type="auto"/>
          </w:tcPr>
          <w:p w14:paraId="1B8EBA55" w14:textId="77777777" w:rsidR="004E4CC2" w:rsidRDefault="00000000">
            <w:pPr>
              <w:pStyle w:val="Compact"/>
            </w:pPr>
            <w:r>
              <w:t>5</w:t>
            </w:r>
          </w:p>
        </w:tc>
        <w:tc>
          <w:tcPr>
            <w:tcW w:w="0" w:type="auto"/>
          </w:tcPr>
          <w:p w14:paraId="4D8F0354" w14:textId="77777777" w:rsidR="004E4CC2" w:rsidRDefault="00000000">
            <w:pPr>
              <w:pStyle w:val="Compact"/>
            </w:pPr>
            <w:r>
              <w:t>GWB_5G</w:t>
            </w:r>
          </w:p>
        </w:tc>
        <w:tc>
          <w:tcPr>
            <w:tcW w:w="0" w:type="auto"/>
          </w:tcPr>
          <w:p w14:paraId="027F8D0E" w14:textId="77777777" w:rsidR="004E4CC2" w:rsidRDefault="00000000">
            <w:pPr>
              <w:pStyle w:val="Compact"/>
            </w:pPr>
            <w:r>
              <w:t>1.0</w:t>
            </w:r>
          </w:p>
        </w:tc>
      </w:tr>
      <w:tr w:rsidR="004E4CC2" w14:paraId="68814982" w14:textId="77777777">
        <w:tc>
          <w:tcPr>
            <w:tcW w:w="0" w:type="auto"/>
          </w:tcPr>
          <w:p w14:paraId="73B07203" w14:textId="77777777" w:rsidR="004E4CC2" w:rsidRDefault="00000000">
            <w:pPr>
              <w:pStyle w:val="Compact"/>
            </w:pPr>
            <w:r>
              <w:t>65</w:t>
            </w:r>
          </w:p>
        </w:tc>
        <w:tc>
          <w:tcPr>
            <w:tcW w:w="0" w:type="auto"/>
          </w:tcPr>
          <w:p w14:paraId="5312DECA" w14:textId="77777777" w:rsidR="004E4CC2" w:rsidRDefault="00000000">
            <w:pPr>
              <w:pStyle w:val="Compact"/>
            </w:pPr>
            <w:r>
              <w:t>Mehrfamilienhaus</w:t>
            </w:r>
          </w:p>
        </w:tc>
        <w:tc>
          <w:tcPr>
            <w:tcW w:w="0" w:type="auto"/>
          </w:tcPr>
          <w:p w14:paraId="15F9D569" w14:textId="77777777" w:rsidR="004E4CC2" w:rsidRDefault="00000000">
            <w:pPr>
              <w:pStyle w:val="Compact"/>
            </w:pPr>
            <w:r>
              <w:t>6-10</w:t>
            </w:r>
          </w:p>
        </w:tc>
        <w:tc>
          <w:tcPr>
            <w:tcW w:w="0" w:type="auto"/>
          </w:tcPr>
          <w:p w14:paraId="2C7CD172" w14:textId="77777777" w:rsidR="004E4CC2" w:rsidRDefault="00000000">
            <w:pPr>
              <w:pStyle w:val="Compact"/>
            </w:pPr>
            <w:r>
              <w:t>GWB_7G</w:t>
            </w:r>
          </w:p>
        </w:tc>
        <w:tc>
          <w:tcPr>
            <w:tcW w:w="0" w:type="auto"/>
          </w:tcPr>
          <w:p w14:paraId="4B7BD403" w14:textId="77777777" w:rsidR="004E4CC2" w:rsidRDefault="00000000">
            <w:pPr>
              <w:pStyle w:val="Compact"/>
            </w:pPr>
            <w:r>
              <w:t>1.0</w:t>
            </w:r>
          </w:p>
        </w:tc>
      </w:tr>
      <w:tr w:rsidR="004E4CC2" w14:paraId="0CD50033" w14:textId="77777777">
        <w:tc>
          <w:tcPr>
            <w:tcW w:w="0" w:type="auto"/>
          </w:tcPr>
          <w:p w14:paraId="42EDF8F0" w14:textId="77777777" w:rsidR="004E4CC2" w:rsidRDefault="00000000">
            <w:pPr>
              <w:pStyle w:val="Compact"/>
            </w:pPr>
            <w:r>
              <w:t>66</w:t>
            </w:r>
          </w:p>
        </w:tc>
        <w:tc>
          <w:tcPr>
            <w:tcW w:w="0" w:type="auto"/>
          </w:tcPr>
          <w:p w14:paraId="3E73DA91" w14:textId="77777777" w:rsidR="004E4CC2" w:rsidRDefault="00000000">
            <w:pPr>
              <w:pStyle w:val="Compact"/>
            </w:pPr>
            <w:r>
              <w:t>Mehrfamilienhaus</w:t>
            </w:r>
          </w:p>
        </w:tc>
        <w:tc>
          <w:tcPr>
            <w:tcW w:w="0" w:type="auto"/>
          </w:tcPr>
          <w:p w14:paraId="7D94BC2C" w14:textId="77777777" w:rsidR="004E4CC2" w:rsidRDefault="00000000">
            <w:pPr>
              <w:pStyle w:val="Compact"/>
            </w:pPr>
            <w:r>
              <w:t>11+</w:t>
            </w:r>
          </w:p>
        </w:tc>
        <w:tc>
          <w:tcPr>
            <w:tcW w:w="0" w:type="auto"/>
          </w:tcPr>
          <w:p w14:paraId="4E03D979" w14:textId="77777777" w:rsidR="004E4CC2" w:rsidRDefault="00000000">
            <w:pPr>
              <w:pStyle w:val="Compact"/>
            </w:pPr>
            <w:r>
              <w:t>GWB_7G</w:t>
            </w:r>
          </w:p>
        </w:tc>
        <w:tc>
          <w:tcPr>
            <w:tcW w:w="0" w:type="auto"/>
          </w:tcPr>
          <w:p w14:paraId="04BAC99B" w14:textId="77777777" w:rsidR="004E4CC2" w:rsidRDefault="00000000">
            <w:pPr>
              <w:pStyle w:val="Compact"/>
            </w:pPr>
            <w:r>
              <w:t>1.0</w:t>
            </w:r>
          </w:p>
        </w:tc>
      </w:tr>
    </w:tbl>
    <w:p w14:paraId="6275638A" w14:textId="77777777" w:rsidR="004E4CC2" w:rsidRDefault="00000000">
      <w:pPr>
        <w:pStyle w:val="berschrift2"/>
      </w:pPr>
      <w:bookmarkStart w:id="434" w:name="rechenmodell-und-bilanzkontrollen"/>
      <w:bookmarkStart w:id="435" w:name="_Toc243681395"/>
      <w:bookmarkEnd w:id="432"/>
      <w:r>
        <w:t>G.3 Rechenmodell und Bilanzkontrollen</w:t>
      </w:r>
      <w:bookmarkEnd w:id="435"/>
    </w:p>
    <w:p w14:paraId="4C789C1E" w14:textId="77777777" w:rsidR="004E4CC2"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BGF</m:t>
                  </m:r>
                  <m:r>
                    <m:rPr>
                      <m:sty m:val="p"/>
                    </m:rPr>
                    <w:rPr>
                      <w:rFonts w:ascii="Cambria Math" w:hAnsi="Cambria Math"/>
                    </w:rPr>
                    <m:t>,</m:t>
                  </m:r>
                  <m:r>
                    <w:rPr>
                      <w:rFonts w:ascii="Cambria Math" w:hAnsi="Cambria Math"/>
                    </w:rPr>
                    <m:t>k</m:t>
                  </m:r>
                </m:sub>
              </m:sSub>
            </m:e>
          </m:nary>
          <m:r>
            <w:rPr>
              <w:rFonts w:ascii="Cambria Math" w:hAnsi="Cambria Math"/>
            </w:rPr>
            <m:t> r </m:t>
          </m:r>
          <m:sSub>
            <m:sSubPr>
              <m:ctrlPr>
                <w:rPr>
                  <w:rFonts w:ascii="Cambria Math" w:hAnsi="Cambria Math"/>
                </w:rPr>
              </m:ctrlPr>
            </m:sSubPr>
            <m:e>
              <m:r>
                <w:rPr>
                  <w:rFonts w:ascii="Cambria Math" w:hAnsi="Cambria Math"/>
                </w:rPr>
                <m:t>e</m:t>
              </m:r>
            </m:e>
            <m:sub>
              <m:r>
                <w:rPr>
                  <w:rFonts w:ascii="Cambria Math" w:hAnsi="Cambria Math"/>
                </w:rPr>
                <m:t>el</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BGF</m:t>
                  </m:r>
                  <m:r>
                    <m:rPr>
                      <m:sty m:val="p"/>
                    </m:rPr>
                    <w:rPr>
                      <w:rFonts w:ascii="Cambria Math" w:hAnsi="Cambria Math"/>
                    </w:rPr>
                    <m:t>,</m:t>
                  </m:r>
                  <m:r>
                    <w:rPr>
                      <w:rFonts w:ascii="Cambria Math" w:hAnsi="Cambria Math"/>
                    </w:rPr>
                    <m:t>k</m:t>
                  </m:r>
                </m:sub>
              </m:sSub>
            </m:e>
          </m:nary>
          <m:r>
            <w:rPr>
              <w:rFonts w:ascii="Cambria Math" w:hAnsi="Cambria Math"/>
            </w:rPr>
            <m:t> r </m:t>
          </m:r>
          <m:sSub>
            <m:sSubPr>
              <m:ctrlPr>
                <w:rPr>
                  <w:rFonts w:ascii="Cambria Math" w:hAnsi="Cambria Math"/>
                </w:rPr>
              </m:ctrlPr>
            </m:sSubPr>
            <m:e>
              <m:r>
                <w:rPr>
                  <w:rFonts w:ascii="Cambria Math" w:hAnsi="Cambria Math"/>
                </w:rPr>
                <m:t>e</m:t>
              </m:r>
            </m:e>
            <m:sub>
              <m:r>
                <w:rPr>
                  <w:rFonts w:ascii="Cambria Math" w:hAnsi="Cambria Math"/>
                </w:rPr>
                <m:t>PV</m:t>
              </m:r>
              <m:r>
                <m:rPr>
                  <m:sty m:val="p"/>
                </m:rPr>
                <w:rPr>
                  <w:rFonts w:ascii="Cambria Math" w:hAnsi="Cambria Math"/>
                </w:rPr>
                <m:t>,</m:t>
              </m:r>
              <m:r>
                <w:rPr>
                  <w:rFonts w:ascii="Cambria Math" w:hAnsi="Cambria Math"/>
                </w:rPr>
                <m:t>k</m:t>
              </m:r>
            </m:sub>
          </m:sSub>
          <m:r>
            <w:rPr>
              <w:rFonts w:ascii="Cambria Math" w:hAnsi="Cambria Math"/>
            </w:rPr>
            <m:t> v</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m:t>
          </m:r>
        </m:oMath>
      </m:oMathPara>
    </w:p>
    <w:p w14:paraId="4A0A15D2" w14:textId="77777777" w:rsidR="004E4CC2" w:rsidRDefault="00000000">
      <w:pPr>
        <w:pStyle w:val="FirstParagraph"/>
      </w:pPr>
      <m:oMath>
        <m:r>
          <w:rPr>
            <w:rFonts w:ascii="Cambria Math" w:hAnsi="Cambria Math"/>
          </w:rPr>
          <m:t>r</m:t>
        </m:r>
      </m:oMath>
      <w:r>
        <w:t xml:space="preserve"> = NGF/BGF, </w:t>
      </w:r>
      <m:oMath>
        <m:r>
          <w:rPr>
            <w:rFonts w:ascii="Cambria Math" w:hAnsi="Cambria Math"/>
          </w:rPr>
          <m:t>u</m:t>
        </m:r>
      </m:oMath>
      <w:r>
        <w:t xml:space="preserve"> = zusätzliche Strombedarfssenkung, </w:t>
      </w:r>
      <m:oMath>
        <m:r>
          <w:rPr>
            <w:rFonts w:ascii="Cambria Math" w:hAnsi="Cambria Math"/>
          </w:rPr>
          <m:t>v</m:t>
        </m:r>
      </m:oMath>
      <w:r>
        <w:t xml:space="preserve"> = PV-Skalierung. Beide Eingriffe sind Szenariotests, keine neue Gebäude- oder Eigenverbrauchssimulation. Sie verändern keine thermischen oder primärenergetischen Kennwerte.</w:t>
      </w:r>
    </w:p>
    <w:p w14:paraId="7FF3FAD8" w14:textId="77777777" w:rsidR="004E4CC2" w:rsidRDefault="00000000">
      <w:pPr>
        <w:pStyle w:val="Textkrper"/>
      </w:pPr>
      <w:r>
        <w:t xml:space="preserve">Zentrale budgetfähige Erzeugung bedient zunächst Industrie, Landwirtschaft, Energiebranche, Umwandlung, Netzverluste und Exporte sowie ÖPNV und übrigen Verkehr. Das verbleibende MIV-Budget ist auf 0 bis MIV-Bedarf begrenzt. Ein negativer Rest bleibt als Prioritätskonflikt sichtbar. Freiflächen-PV wird </w:t>
      </w:r>
      <w:r>
        <w:rPr>
          <w:b/>
          <w:bCs/>
        </w:rPr>
        <w:t>nicht automatisch</w:t>
      </w:r>
      <w:r>
        <w:t xml:space="preserve"> in den zentralen Pool aufgenommen; eine solche Regel wäre eine zusätzliche normative Entscheidung.</w:t>
      </w:r>
    </w:p>
    <w:p w14:paraId="4DEB1D57" w14:textId="77777777" w:rsidR="004E4CC2" w:rsidRDefault="00000000">
      <w:pPr>
        <w:pStyle w:val="Textkrpe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PV</m:t>
              </m:r>
              <m:r>
                <m:rPr>
                  <m:sty m:val="p"/>
                </m:rPr>
                <w:rPr>
                  <w:rFonts w:ascii="Cambria Math" w:hAnsi="Cambria Math"/>
                </w:rPr>
                <m:t>,</m:t>
              </m:r>
              <m:r>
                <w:rPr>
                  <w:rFonts w:ascii="Cambria Math" w:hAnsi="Cambria Math"/>
                </w:rPr>
                <m:t>UBA</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r>
                <m:rPr>
                  <m:sty m:val="p"/>
                </m:rPr>
                <w:rPr>
                  <w:rFonts w:ascii="Cambria Math" w:hAnsi="Cambria Math"/>
                </w:rPr>
                <m:t>,</m:t>
              </m:r>
              <m:r>
                <w:rPr>
                  <w:rFonts w:ascii="Cambria Math" w:hAnsi="Cambria Math"/>
                </w:rPr>
                <m:t>UBA</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B</m:t>
              </m:r>
              <m:r>
                <m:rPr>
                  <m:sty m:val="p"/>
                </m:rPr>
                <w:rPr>
                  <w:rFonts w:ascii="Cambria Math" w:hAnsi="Cambria Math"/>
                </w:rPr>
                <m:t>+</m:t>
              </m:r>
              <m:r>
                <w:rPr>
                  <w:rFonts w:ascii="Cambria Math" w:hAnsi="Cambria Math"/>
                </w:rPr>
                <m:t>MIV</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MIV</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MIV</m:t>
              </m:r>
            </m:sub>
          </m:sSub>
          <m:r>
            <m:rPr>
              <m:sty m:val="p"/>
            </m:rPr>
            <w:rPr>
              <w:rFonts w:ascii="Cambria Math" w:hAnsi="Cambria Math"/>
            </w:rPr>
            <m:t>.</m:t>
          </m:r>
        </m:oMath>
      </m:oMathPara>
    </w:p>
    <w:p w14:paraId="4FD16999" w14:textId="77777777" w:rsidR="004E4CC2" w:rsidRDefault="00000000">
      <w:pPr>
        <w:pStyle w:val="FirstParagraph"/>
      </w:pPr>
      <w:r>
        <w:t xml:space="preserve">Der Vergleich verwendet auf beiden Seiten dieselbe MIV-Zuordnung. Daher ist </w:t>
      </w:r>
      <m:oMath>
        <m:r>
          <m:rPr>
            <m:sty m:val="p"/>
          </m:rPr>
          <w:rPr>
            <w:rFonts w:ascii="Cambria Math" w:hAnsi="Cambria Math"/>
          </w:rPr>
          <m:t>Δ=</m:t>
        </m:r>
        <m:sSub>
          <m:sSubPr>
            <m:ctrlPr>
              <w:rPr>
                <w:rFonts w:ascii="Cambria Math" w:hAnsi="Cambria Math"/>
              </w:rPr>
            </m:ctrlPr>
          </m:sSubPr>
          <m:e>
            <m:r>
              <w:rPr>
                <w:rFonts w:ascii="Cambria Math" w:hAnsi="Cambria Math"/>
              </w:rPr>
              <m:t>B</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m:t>
            </m:r>
          </m:sub>
        </m:sSub>
      </m:oMath>
      <w:r>
        <w:t xml:space="preserve"> unabhängig vom MIV-Anteil. Dichtewerte werden separat gezeigt, nicht zur Schließung dieser physischen Differenz addiert. PEQ-Anteile und alternative Typenkennwerte müssen aus den Eingabedaten kommen; das Dashboard erfindet keine Typenumwandlung.</w:t>
      </w:r>
    </w:p>
    <w:p w14:paraId="2FCCE800" w14:textId="77777777" w:rsidR="004E4CC2" w:rsidRDefault="00000000">
      <w:pPr>
        <w:pStyle w:val="SourceCode"/>
      </w:pPr>
      <w:r>
        <w:rPr>
          <w:rStyle w:val="NormalTok"/>
        </w:rPr>
        <w:t>generation_keys</w:t>
      </w:r>
      <w:r>
        <w:rPr>
          <w:rStyle w:val="OperatorTok"/>
        </w:rPr>
        <w:t>=</w:t>
      </w:r>
      <w:r>
        <w:rPr>
          <w:rStyle w:val="NormalTok"/>
        </w:rPr>
        <w:t>[</w:t>
      </w:r>
      <w:r>
        <w:rPr>
          <w:rStyle w:val="StringTok"/>
        </w:rPr>
        <w:t>'hydro'</w:t>
      </w:r>
      <w:r>
        <w:rPr>
          <w:rStyle w:val="NormalTok"/>
        </w:rPr>
        <w:t>,</w:t>
      </w:r>
      <w:r>
        <w:rPr>
          <w:rStyle w:val="StringTok"/>
        </w:rPr>
        <w:t>'wind'</w:t>
      </w:r>
      <w:r>
        <w:rPr>
          <w:rStyle w:val="NormalTok"/>
        </w:rPr>
        <w:t>,</w:t>
      </w:r>
      <w:r>
        <w:rPr>
          <w:rStyle w:val="StringTok"/>
        </w:rPr>
        <w:t>'biomass'</w:t>
      </w:r>
      <w:r>
        <w:rPr>
          <w:rStyle w:val="NormalTok"/>
        </w:rPr>
        <w:t>,</w:t>
      </w:r>
      <w:r>
        <w:rPr>
          <w:rStyle w:val="StringTok"/>
        </w:rPr>
        <w:t>'geothermal'</w:t>
      </w:r>
      <w:r>
        <w:rPr>
          <w:rStyle w:val="NormalTok"/>
        </w:rPr>
        <w:t>,</w:t>
      </w:r>
      <w:r>
        <w:rPr>
          <w:rStyle w:val="StringTok"/>
        </w:rPr>
        <w:t>'hydrogen_electricity'</w:t>
      </w:r>
      <w:r>
        <w:rPr>
          <w:rStyle w:val="NormalTok"/>
        </w:rPr>
        <w:t>,</w:t>
      </w:r>
      <w:r>
        <w:rPr>
          <w:rStyle w:val="StringTok"/>
        </w:rPr>
        <w:t>'pv'</w:t>
      </w:r>
      <w:r>
        <w:rPr>
          <w:rStyle w:val="NormalTok"/>
        </w:rPr>
        <w:t>,</w:t>
      </w:r>
      <w:r>
        <w:rPr>
          <w:rStyle w:val="StringTok"/>
        </w:rPr>
        <w:t>'fossil'</w:t>
      </w:r>
      <w:r>
        <w:rPr>
          <w:rStyle w:val="NormalTok"/>
        </w:rPr>
        <w:t>]</w:t>
      </w:r>
      <w:r>
        <w:br/>
      </w:r>
      <w:r>
        <w:rPr>
          <w:rStyle w:val="NormalTok"/>
        </w:rPr>
        <w:t>demand_keys</w:t>
      </w:r>
      <w:r>
        <w:rPr>
          <w:rStyle w:val="OperatorTok"/>
        </w:rPr>
        <w:t>=</w:t>
      </w:r>
      <w:r>
        <w:rPr>
          <w:rStyle w:val="NormalTok"/>
        </w:rPr>
        <w:t>[</w:t>
      </w:r>
      <w:r>
        <w:rPr>
          <w:rStyle w:val="StringTok"/>
        </w:rPr>
        <w:t>'verkehr'</w:t>
      </w:r>
      <w:r>
        <w:rPr>
          <w:rStyle w:val="NormalTok"/>
        </w:rPr>
        <w:t>,</w:t>
      </w:r>
      <w:r>
        <w:rPr>
          <w:rStyle w:val="StringTok"/>
        </w:rPr>
        <w:t>'gebaeude'</w:t>
      </w:r>
      <w:r>
        <w:rPr>
          <w:rStyle w:val="NormalTok"/>
        </w:rPr>
        <w:t>,</w:t>
      </w:r>
      <w:r>
        <w:rPr>
          <w:rStyle w:val="StringTok"/>
        </w:rPr>
        <w:t>'industrie'</w:t>
      </w:r>
      <w:r>
        <w:rPr>
          <w:rStyle w:val="NormalTok"/>
        </w:rPr>
        <w:t>,</w:t>
      </w:r>
      <w:r>
        <w:rPr>
          <w:rStyle w:val="StringTok"/>
        </w:rPr>
        <w:t>'landwirtschaft'</w:t>
      </w:r>
      <w:r>
        <w:rPr>
          <w:rStyle w:val="NormalTok"/>
        </w:rPr>
        <w:t>,</w:t>
      </w:r>
      <w:r>
        <w:rPr>
          <w:rStyle w:val="StringTok"/>
        </w:rPr>
        <w:t>'verbrauch_sektor_energie'</w:t>
      </w:r>
      <w:r>
        <w:rPr>
          <w:rStyle w:val="NormalTok"/>
        </w:rPr>
        <w:t>,</w:t>
      </w:r>
      <w:r>
        <w:rPr>
          <w:rStyle w:val="StringTok"/>
        </w:rPr>
        <w:t>'transportverluste'</w:t>
      </w:r>
      <w:r>
        <w:rPr>
          <w:rStyle w:val="NormalTok"/>
        </w:rPr>
        <w:t>,</w:t>
      </w:r>
      <w:r>
        <w:rPr>
          <w:rStyle w:val="StringTok"/>
        </w:rPr>
        <w:t>'umwandlungseinsatz'</w:t>
      </w:r>
      <w:r>
        <w:rPr>
          <w:rStyle w:val="NormalTok"/>
        </w:rPr>
        <w:t>]</w:t>
      </w:r>
      <w:r>
        <w:br/>
      </w:r>
      <w:r>
        <w:rPr>
          <w:rStyle w:val="NormalTok"/>
        </w:rPr>
        <w:t>residual</w:t>
      </w:r>
      <w:r>
        <w:rPr>
          <w:rStyle w:val="OperatorTok"/>
        </w:rPr>
        <w:t>=</w:t>
      </w:r>
      <w:r>
        <w:rPr>
          <w:rStyle w:val="BuiltInTok"/>
        </w:rPr>
        <w:t>sum</w:t>
      </w:r>
      <w:r>
        <w:rPr>
          <w:rStyle w:val="NormalTok"/>
        </w:rPr>
        <w:t xml:space="preserve">(g[k] </w:t>
      </w:r>
      <w:r>
        <w:rPr>
          <w:rStyle w:val="ControlFlowTok"/>
        </w:rPr>
        <w:t>for</w:t>
      </w:r>
      <w:r>
        <w:rPr>
          <w:rStyle w:val="NormalTok"/>
        </w:rPr>
        <w:t xml:space="preserve"> k </w:t>
      </w:r>
      <w:r>
        <w:rPr>
          <w:rStyle w:val="KeywordTok"/>
        </w:rPr>
        <w:t>in</w:t>
      </w:r>
      <w:r>
        <w:rPr>
          <w:rStyle w:val="NormalTok"/>
        </w:rPr>
        <w:t xml:space="preserve"> generation_keys)</w:t>
      </w:r>
      <w:r>
        <w:rPr>
          <w:rStyle w:val="OperatorTok"/>
        </w:rPr>
        <w:t>+</w:t>
      </w:r>
      <w:r>
        <w:rPr>
          <w:rStyle w:val="NormalTok"/>
        </w:rPr>
        <w:t>g[</w:t>
      </w:r>
      <w:r>
        <w:rPr>
          <w:rStyle w:val="StringTok"/>
        </w:rPr>
        <w:t>'net_imports'</w:t>
      </w:r>
      <w:r>
        <w:rPr>
          <w:rStyle w:val="NormalTok"/>
        </w:rPr>
        <w:t>]</w:t>
      </w:r>
      <w:r>
        <w:rPr>
          <w:rStyle w:val="OperatorTok"/>
        </w:rPr>
        <w:t>-</w:t>
      </w:r>
      <w:r>
        <w:rPr>
          <w:rStyle w:val="BuiltInTok"/>
        </w:rPr>
        <w:t>sum</w:t>
      </w:r>
      <w:r>
        <w:rPr>
          <w:rStyle w:val="NormalTok"/>
        </w:rPr>
        <w:t xml:space="preserve">(d[k] </w:t>
      </w:r>
      <w:r>
        <w:rPr>
          <w:rStyle w:val="ControlFlowTok"/>
        </w:rPr>
        <w:t>for</w:t>
      </w:r>
      <w:r>
        <w:rPr>
          <w:rStyle w:val="NormalTok"/>
        </w:rPr>
        <w:t xml:space="preserve"> k </w:t>
      </w:r>
      <w:r>
        <w:rPr>
          <w:rStyle w:val="KeywordTok"/>
        </w:rPr>
        <w:t>in</w:t>
      </w:r>
      <w:r>
        <w:rPr>
          <w:rStyle w:val="NormalTok"/>
        </w:rPr>
        <w:t xml:space="preserve"> demand_keys)</w:t>
      </w:r>
      <w:r>
        <w:br/>
      </w:r>
      <w:r>
        <w:rPr>
          <w:rStyle w:val="CommentTok"/>
        </w:rPr>
        <w:t># Aggregation in PJ bei r=1; der editierbare Flächenfaktor wird erst im Dashboard angewandt.</w:t>
      </w:r>
      <w:r>
        <w:br/>
      </w:r>
      <w:r>
        <w:rPr>
          <w:rStyle w:val="NormalTok"/>
        </w:rPr>
        <w:t>active</w:t>
      </w:r>
      <w:r>
        <w:rPr>
          <w:rStyle w:val="OperatorTok"/>
        </w:rPr>
        <w:t>=</w:t>
      </w:r>
      <w:r>
        <w:rPr>
          <w:rStyle w:val="NormalTok"/>
        </w:rPr>
        <w:t>data.loc[data.BGF.gt(</w:t>
      </w:r>
      <w:r>
        <w:rPr>
          <w:rStyle w:val="DecValTok"/>
        </w:rPr>
        <w:t>0</w:t>
      </w:r>
      <w:r>
        <w:rPr>
          <w:rStyle w:val="NormalTok"/>
        </w:rPr>
        <w:t>)].copy()</w:t>
      </w:r>
      <w:r>
        <w:br/>
      </w:r>
      <w:r>
        <w:rPr>
          <w:rStyle w:val="NormalTok"/>
        </w:rPr>
        <w:t>active[</w:t>
      </w:r>
      <w:r>
        <w:rPr>
          <w:rStyle w:val="StringTok"/>
        </w:rPr>
        <w:t>'D'</w:t>
      </w:r>
      <w:r>
        <w:rPr>
          <w:rStyle w:val="NormalTok"/>
        </w:rPr>
        <w:t>]</w:t>
      </w:r>
      <w:r>
        <w:rPr>
          <w:rStyle w:val="OperatorTok"/>
        </w:rPr>
        <w:t>=</w:t>
      </w:r>
      <w:r>
        <w:rPr>
          <w:rStyle w:val="NormalTok"/>
        </w:rPr>
        <w:t>active.BGF</w:t>
      </w:r>
      <w:r>
        <w:rPr>
          <w:rStyle w:val="OperatorTok"/>
        </w:rPr>
        <w:t>*</w:t>
      </w:r>
      <w:r>
        <w:rPr>
          <w:rStyle w:val="NormalTok"/>
        </w:rPr>
        <w:t>active.demand</w:t>
      </w:r>
      <w:r>
        <w:rPr>
          <w:rStyle w:val="OperatorTok"/>
        </w:rPr>
        <w:t>*</w:t>
      </w:r>
      <w:r>
        <w:rPr>
          <w:rStyle w:val="FloatTok"/>
        </w:rPr>
        <w:t>3.6e-9</w:t>
      </w:r>
      <w:r>
        <w:br/>
      </w:r>
      <w:r>
        <w:rPr>
          <w:rStyle w:val="NormalTok"/>
        </w:rPr>
        <w:t>active[</w:t>
      </w:r>
      <w:r>
        <w:rPr>
          <w:rStyle w:val="StringTok"/>
        </w:rPr>
        <w:t>'P'</w:t>
      </w:r>
      <w:r>
        <w:rPr>
          <w:rStyle w:val="NormalTok"/>
        </w:rPr>
        <w:t>]</w:t>
      </w:r>
      <w:r>
        <w:rPr>
          <w:rStyle w:val="OperatorTok"/>
        </w:rPr>
        <w:t>=</w:t>
      </w:r>
      <w:r>
        <w:rPr>
          <w:rStyle w:val="NormalTok"/>
        </w:rPr>
        <w:t>active.BGF</w:t>
      </w:r>
      <w:r>
        <w:rPr>
          <w:rStyle w:val="OperatorTok"/>
        </w:rPr>
        <w:t>*</w:t>
      </w:r>
      <w:r>
        <w:rPr>
          <w:rStyle w:val="NormalTok"/>
        </w:rPr>
        <w:t>active.pv</w:t>
      </w:r>
      <w:r>
        <w:rPr>
          <w:rStyle w:val="OperatorTok"/>
        </w:rPr>
        <w:t>*</w:t>
      </w:r>
      <w:r>
        <w:rPr>
          <w:rStyle w:val="FloatTok"/>
        </w:rPr>
        <w:t>3.6e-9</w:t>
      </w:r>
      <w:r>
        <w:br/>
      </w:r>
      <w:r>
        <w:rPr>
          <w:rStyle w:val="NormalTok"/>
        </w:rPr>
        <w:t>geometry</w:t>
      </w:r>
      <w:r>
        <w:rPr>
          <w:rStyle w:val="OperatorTok"/>
        </w:rPr>
        <w:t>=</w:t>
      </w:r>
      <w:r>
        <w:rPr>
          <w:rStyle w:val="NormalTok"/>
        </w:rPr>
        <w:t>active.groupby(</w:t>
      </w:r>
      <w:r>
        <w:rPr>
          <w:rStyle w:val="StringTok"/>
        </w:rPr>
        <w:t>'Geometrie'</w:t>
      </w:r>
      <w:r>
        <w:rPr>
          <w:rStyle w:val="NormalTok"/>
        </w:rPr>
        <w:t>).agg(BGF</w:t>
      </w:r>
      <w:r>
        <w:rPr>
          <w:rStyle w:val="OperatorTok"/>
        </w:rPr>
        <w:t>=</w:t>
      </w:r>
      <w:r>
        <w:rPr>
          <w:rStyle w:val="NormalTok"/>
        </w:rPr>
        <w:t>(</w:t>
      </w:r>
      <w:r>
        <w:rPr>
          <w:rStyle w:val="StringTok"/>
        </w:rPr>
        <w:t>'BGF'</w:t>
      </w:r>
      <w:r>
        <w:rPr>
          <w:rStyle w:val="NormalTok"/>
        </w:rPr>
        <w:t>,</w:t>
      </w:r>
      <w:r>
        <w:rPr>
          <w:rStyle w:val="StringTok"/>
        </w:rPr>
        <w:t>'sum'</w:t>
      </w:r>
      <w:r>
        <w:rPr>
          <w:rStyle w:val="NormalTok"/>
        </w:rPr>
        <w:t>),D</w:t>
      </w:r>
      <w:r>
        <w:rPr>
          <w:rStyle w:val="OperatorTok"/>
        </w:rPr>
        <w:t>=</w:t>
      </w:r>
      <w:r>
        <w:rPr>
          <w:rStyle w:val="NormalTok"/>
        </w:rPr>
        <w:t>(</w:t>
      </w:r>
      <w:r>
        <w:rPr>
          <w:rStyle w:val="StringTok"/>
        </w:rPr>
        <w:t>'D'</w:t>
      </w:r>
      <w:r>
        <w:rPr>
          <w:rStyle w:val="NormalTok"/>
        </w:rPr>
        <w:t>,</w:t>
      </w:r>
      <w:r>
        <w:rPr>
          <w:rStyle w:val="StringTok"/>
        </w:rPr>
        <w:t>'sum'</w:t>
      </w:r>
      <w:r>
        <w:rPr>
          <w:rStyle w:val="NormalTok"/>
        </w:rPr>
        <w:t>),P</w:t>
      </w:r>
      <w:r>
        <w:rPr>
          <w:rStyle w:val="OperatorTok"/>
        </w:rPr>
        <w:t>=</w:t>
      </w:r>
      <w:r>
        <w:rPr>
          <w:rStyle w:val="NormalTok"/>
        </w:rPr>
        <w:t>(</w:t>
      </w:r>
      <w:r>
        <w:rPr>
          <w:rStyle w:val="StringTok"/>
        </w:rPr>
        <w:t>'P'</w:t>
      </w:r>
      <w:r>
        <w:rPr>
          <w:rStyle w:val="NormalTok"/>
        </w:rPr>
        <w:t>,</w:t>
      </w:r>
      <w:r>
        <w:rPr>
          <w:rStyle w:val="StringTok"/>
        </w:rPr>
        <w:t>'sum'</w:t>
      </w:r>
      <w:r>
        <w:rPr>
          <w:rStyle w:val="NormalTok"/>
        </w:rPr>
        <w:t>))</w:t>
      </w:r>
      <w:r>
        <w:br/>
      </w:r>
      <w:r>
        <w:rPr>
          <w:rStyle w:val="KeywordTok"/>
        </w:rPr>
        <w:t>def</w:t>
      </w:r>
      <w:r>
        <w:rPr>
          <w:rStyle w:val="NormalTok"/>
        </w:rPr>
        <w:t xml:space="preserve"> calculate(p):</w:t>
      </w:r>
      <w:r>
        <w:br/>
      </w:r>
      <w:r>
        <w:rPr>
          <w:rStyle w:val="NormalTok"/>
        </w:rPr>
        <w:t xml:space="preserve">    </w:t>
      </w:r>
      <w:r>
        <w:rPr>
          <w:rStyle w:val="ControlFlowTok"/>
        </w:rPr>
        <w:t>assert</w:t>
      </w:r>
      <w:r>
        <w:rPr>
          <w:rStyle w:val="NormalTok"/>
        </w:rPr>
        <w:t xml:space="preserve"> </w:t>
      </w:r>
      <w:r>
        <w:rPr>
          <w:rStyle w:val="BuiltInTok"/>
        </w:rPr>
        <w:t>all</w:t>
      </w:r>
      <w:r>
        <w:rPr>
          <w:rStyle w:val="NormalTok"/>
        </w:rPr>
        <w:t xml:space="preserve">(np.isfinite(v) </w:t>
      </w:r>
      <w:r>
        <w:rPr>
          <w:rStyle w:val="ControlFlowTok"/>
        </w:rPr>
        <w:t>for</w:t>
      </w:r>
      <w:r>
        <w:rPr>
          <w:rStyle w:val="NormalTok"/>
        </w:rPr>
        <w:t xml:space="preserve"> v </w:t>
      </w:r>
      <w:r>
        <w:rPr>
          <w:rStyle w:val="KeywordTok"/>
        </w:rPr>
        <w:t>in</w:t>
      </w:r>
      <w:r>
        <w:rPr>
          <w:rStyle w:val="NormalTok"/>
        </w:rPr>
        <w:t xml:space="preserve"> p.values())</w:t>
      </w:r>
      <w:r>
        <w:br/>
      </w:r>
      <w:r>
        <w:rPr>
          <w:rStyle w:val="NormalTok"/>
        </w:rPr>
        <w:t xml:space="preserve">    </w:t>
      </w:r>
      <w:r>
        <w:rPr>
          <w:rStyle w:val="ControlFlowTok"/>
        </w:rPr>
        <w:t>assert</w:t>
      </w:r>
      <w:r>
        <w:rPr>
          <w:rStyle w:val="NormalTok"/>
        </w:rPr>
        <w:t xml:space="preserve"> </w:t>
      </w:r>
      <w:r>
        <w:rPr>
          <w:rStyle w:val="BuiltInTok"/>
        </w:rPr>
        <w:t>all</w:t>
      </w:r>
      <w:r>
        <w:rPr>
          <w:rStyle w:val="NormalTok"/>
        </w:rPr>
        <w:t>(</w:t>
      </w:r>
      <w:r>
        <w:rPr>
          <w:rStyle w:val="DecValTok"/>
        </w:rPr>
        <w:t>0</w:t>
      </w:r>
      <w:r>
        <w:rPr>
          <w:rStyle w:val="OperatorTok"/>
        </w:rPr>
        <w:t>&lt;=</w:t>
      </w:r>
      <w:r>
        <w:rPr>
          <w:rStyle w:val="NormalTok"/>
        </w:rPr>
        <w:t>p[k]</w:t>
      </w:r>
      <w:r>
        <w:rPr>
          <w:rStyle w:val="OperatorTok"/>
        </w:rPr>
        <w:t>&lt;=</w:t>
      </w:r>
      <w:r>
        <w:rPr>
          <w:rStyle w:val="DecValTok"/>
        </w:rPr>
        <w:t>1</w:t>
      </w:r>
      <w:r>
        <w:rPr>
          <w:rStyle w:val="NormalTok"/>
        </w:rPr>
        <w:t xml:space="preserve"> </w:t>
      </w:r>
      <w:r>
        <w:rPr>
          <w:rStyle w:val="ControlFlowTok"/>
        </w:rPr>
        <w:t>for</w:t>
      </w:r>
      <w:r>
        <w:rPr>
          <w:rStyle w:val="NormalTok"/>
        </w:rPr>
        <w:t xml:space="preserve"> k </w:t>
      </w:r>
      <w:r>
        <w:rPr>
          <w:rStyle w:val="KeywordTok"/>
        </w:rPr>
        <w:t>in</w:t>
      </w:r>
      <w:r>
        <w:rPr>
          <w:rStyle w:val="NormalTok"/>
        </w:rPr>
        <w:t xml:space="preserve"> [</w:t>
      </w:r>
      <w:r>
        <w:rPr>
          <w:rStyle w:val="StringTok"/>
        </w:rPr>
        <w:t>'miv'</w:t>
      </w:r>
      <w:r>
        <w:rPr>
          <w:rStyle w:val="NormalTok"/>
        </w:rPr>
        <w:t>,</w:t>
      </w:r>
      <w:r>
        <w:rPr>
          <w:rStyle w:val="StringTok"/>
        </w:rPr>
        <w:t>'other_transport'</w:t>
      </w:r>
      <w:r>
        <w:rPr>
          <w:rStyle w:val="NormalTok"/>
        </w:rPr>
        <w:t>,</w:t>
      </w:r>
      <w:r>
        <w:rPr>
          <w:rStyle w:val="StringTok"/>
        </w:rPr>
        <w:t>'free_pv'</w:t>
      </w:r>
      <w:r>
        <w:rPr>
          <w:rStyle w:val="NormalTok"/>
        </w:rPr>
        <w:t>,</w:t>
      </w:r>
      <w:r>
        <w:rPr>
          <w:rStyle w:val="StringTok"/>
        </w:rPr>
        <w:t>'hydrogen'</w:t>
      </w:r>
      <w:r>
        <w:rPr>
          <w:rStyle w:val="NormalTok"/>
        </w:rPr>
        <w:t>,</w:t>
      </w:r>
      <w:r>
        <w:rPr>
          <w:rStyle w:val="StringTok"/>
        </w:rPr>
        <w:t>'saving'</w:t>
      </w:r>
      <w:r>
        <w:rPr>
          <w:rStyle w:val="NormalTok"/>
        </w:rPr>
        <w:t>])</w:t>
      </w:r>
      <w:r>
        <w:br/>
      </w:r>
      <w:r>
        <w:rPr>
          <w:rStyle w:val="NormalTok"/>
        </w:rPr>
        <w:t xml:space="preserve">    </w:t>
      </w:r>
      <w:r>
        <w:rPr>
          <w:rStyle w:val="ControlFlowTok"/>
        </w:rPr>
        <w:t>assert</w:t>
      </w:r>
      <w:r>
        <w:rPr>
          <w:rStyle w:val="NormalTok"/>
        </w:rPr>
        <w:t xml:space="preserve"> p[</w:t>
      </w:r>
      <w:r>
        <w:rPr>
          <w:rStyle w:val="StringTok"/>
        </w:rPr>
        <w:t>'miv'</w:t>
      </w:r>
      <w:r>
        <w:rPr>
          <w:rStyle w:val="NormalTok"/>
        </w:rPr>
        <w:t>]</w:t>
      </w:r>
      <w:r>
        <w:rPr>
          <w:rStyle w:val="OperatorTok"/>
        </w:rPr>
        <w:t>+</w:t>
      </w:r>
      <w:r>
        <w:rPr>
          <w:rStyle w:val="NormalTok"/>
        </w:rPr>
        <w:t>p[</w:t>
      </w:r>
      <w:r>
        <w:rPr>
          <w:rStyle w:val="StringTok"/>
        </w:rPr>
        <w:t>'other_transport'</w:t>
      </w:r>
      <w:r>
        <w:rPr>
          <w:rStyle w:val="NormalTok"/>
        </w:rPr>
        <w:t>]</w:t>
      </w:r>
      <w:r>
        <w:rPr>
          <w:rStyle w:val="OperatorTok"/>
        </w:rPr>
        <w:t>&lt;=</w:t>
      </w:r>
      <w:r>
        <w:rPr>
          <w:rStyle w:val="DecValTok"/>
        </w:rPr>
        <w:t>1</w:t>
      </w:r>
      <w:r>
        <w:br/>
      </w:r>
      <w:r>
        <w:rPr>
          <w:rStyle w:val="NormalTok"/>
        </w:rPr>
        <w:t xml:space="preserve">    </w:t>
      </w:r>
      <w:r>
        <w:rPr>
          <w:rStyle w:val="ControlFlowTok"/>
        </w:rPr>
        <w:t>assert</w:t>
      </w:r>
      <w:r>
        <w:rPr>
          <w:rStyle w:val="NormalTok"/>
        </w:rPr>
        <w:t xml:space="preserve"> p[</w:t>
      </w:r>
      <w:r>
        <w:rPr>
          <w:rStyle w:val="StringTok"/>
        </w:rPr>
        <w:t>'ngf_bgf'</w:t>
      </w:r>
      <w:r>
        <w:rPr>
          <w:rStyle w:val="NormalTok"/>
        </w:rPr>
        <w:t>]</w:t>
      </w:r>
      <w:r>
        <w:rPr>
          <w:rStyle w:val="OperatorTok"/>
        </w:rPr>
        <w:t>&gt;</w:t>
      </w:r>
      <w:r>
        <w:rPr>
          <w:rStyle w:val="DecValTok"/>
        </w:rPr>
        <w:t>0</w:t>
      </w:r>
      <w:r>
        <w:rPr>
          <w:rStyle w:val="NormalTok"/>
        </w:rPr>
        <w:t xml:space="preserve"> </w:t>
      </w:r>
      <w:r>
        <w:rPr>
          <w:rStyle w:val="KeywordTok"/>
        </w:rPr>
        <w:t>and</w:t>
      </w:r>
      <w:r>
        <w:rPr>
          <w:rStyle w:val="NormalTok"/>
        </w:rPr>
        <w:t xml:space="preserve"> p[</w:t>
      </w:r>
      <w:r>
        <w:rPr>
          <w:rStyle w:val="StringTok"/>
        </w:rPr>
        <w:t>'pv_scale'</w:t>
      </w:r>
      <w:r>
        <w:rPr>
          <w:rStyle w:val="NormalTok"/>
        </w:rPr>
        <w:t>]</w:t>
      </w:r>
      <w:r>
        <w:rPr>
          <w:rStyle w:val="OperatorTok"/>
        </w:rPr>
        <w:t>&gt;=</w:t>
      </w:r>
      <w:r>
        <w:rPr>
          <w:rStyle w:val="DecValTok"/>
        </w:rPr>
        <w:t>0</w:t>
      </w:r>
      <w:r>
        <w:rPr>
          <w:rStyle w:val="NormalTok"/>
        </w:rPr>
        <w:t xml:space="preserve"> </w:t>
      </w:r>
      <w:r>
        <w:rPr>
          <w:rStyle w:val="KeywordTok"/>
        </w:rPr>
        <w:t>and</w:t>
      </w:r>
      <w:r>
        <w:rPr>
          <w:rStyle w:val="NormalTok"/>
        </w:rPr>
        <w:t xml:space="preserve"> p[</w:t>
      </w:r>
      <w:r>
        <w:rPr>
          <w:rStyle w:val="StringTok"/>
        </w:rPr>
        <w:t>'density_dx'</w:t>
      </w:r>
      <w:r>
        <w:rPr>
          <w:rStyle w:val="NormalTok"/>
        </w:rPr>
        <w:t>]</w:t>
      </w:r>
      <w:r>
        <w:rPr>
          <w:rStyle w:val="OperatorTok"/>
        </w:rPr>
        <w:t>&gt;</w:t>
      </w:r>
      <w:r>
        <w:rPr>
          <w:rStyle w:val="DecValTok"/>
        </w:rPr>
        <w:t>0</w:t>
      </w:r>
      <w:r>
        <w:br/>
      </w:r>
      <w:r>
        <w:rPr>
          <w:rStyle w:val="NormalTok"/>
        </w:rPr>
        <w:t xml:space="preserve">    </w:t>
      </w:r>
      <w:r>
        <w:rPr>
          <w:rStyle w:val="ControlFlowTok"/>
        </w:rPr>
        <w:t>assert</w:t>
      </w:r>
      <w:r>
        <w:rPr>
          <w:rStyle w:val="NormalTok"/>
        </w:rPr>
        <w:t xml:space="preserve"> </w:t>
      </w:r>
      <w:r>
        <w:rPr>
          <w:rStyle w:val="BuiltInTok"/>
        </w:rPr>
        <w:t>all</w:t>
      </w:r>
      <w:r>
        <w:rPr>
          <w:rStyle w:val="NormalTok"/>
        </w:rPr>
        <w:t>(p[k]</w:t>
      </w:r>
      <w:r>
        <w:rPr>
          <w:rStyle w:val="OperatorTok"/>
        </w:rPr>
        <w:t>&gt;=</w:t>
      </w:r>
      <w:r>
        <w:rPr>
          <w:rStyle w:val="DecValTok"/>
        </w:rPr>
        <w:t>0</w:t>
      </w:r>
      <w:r>
        <w:rPr>
          <w:rStyle w:val="NormalTok"/>
        </w:rPr>
        <w:t xml:space="preserve"> </w:t>
      </w:r>
      <w:r>
        <w:rPr>
          <w:rStyle w:val="ControlFlowTok"/>
        </w:rPr>
        <w:t>for</w:t>
      </w:r>
      <w:r>
        <w:rPr>
          <w:rStyle w:val="NormalTok"/>
        </w:rPr>
        <w:t xml:space="preserve"> k </w:t>
      </w:r>
      <w:r>
        <w:rPr>
          <w:rStyle w:val="KeywordTok"/>
        </w:rPr>
        <w:t>in</w:t>
      </w:r>
      <w:r>
        <w:rPr>
          <w:rStyle w:val="NormalTok"/>
        </w:rPr>
        <w:t xml:space="preserve"> [</w:t>
      </w:r>
      <w:r>
        <w:rPr>
          <w:rStyle w:val="StringTok"/>
        </w:rPr>
        <w:t>'density_f_res'</w:t>
      </w:r>
      <w:r>
        <w:rPr>
          <w:rStyle w:val="NormalTok"/>
        </w:rPr>
        <w:t>,</w:t>
      </w:r>
      <w:r>
        <w:rPr>
          <w:rStyle w:val="StringTok"/>
        </w:rPr>
        <w:t>'density_f_ed'</w:t>
      </w:r>
      <w:r>
        <w:rPr>
          <w:rStyle w:val="NormalTok"/>
        </w:rPr>
        <w:t>,</w:t>
      </w:r>
      <w:r>
        <w:rPr>
          <w:rStyle w:val="StringTok"/>
        </w:rPr>
        <w:t>'density_cutoff'</w:t>
      </w:r>
      <w:r>
        <w:rPr>
          <w:rStyle w:val="NormalTok"/>
        </w:rPr>
        <w:t>])</w:t>
      </w:r>
      <w:r>
        <w:br/>
      </w:r>
      <w:r>
        <w:rPr>
          <w:rStyle w:val="NormalTok"/>
        </w:rPr>
        <w:t xml:space="preserve">    central</w:t>
      </w:r>
      <w:r>
        <w:rPr>
          <w:rStyle w:val="OperatorTok"/>
        </w:rPr>
        <w:t>=</w:t>
      </w:r>
      <w:r>
        <w:rPr>
          <w:rStyle w:val="BuiltInTok"/>
        </w:rPr>
        <w:t>sum</w:t>
      </w:r>
      <w:r>
        <w:rPr>
          <w:rStyle w:val="NormalTok"/>
        </w:rPr>
        <w:t xml:space="preserve">(g[k] </w:t>
      </w:r>
      <w:r>
        <w:rPr>
          <w:rStyle w:val="ControlFlowTok"/>
        </w:rPr>
        <w:t>for</w:t>
      </w:r>
      <w:r>
        <w:rPr>
          <w:rStyle w:val="NormalTok"/>
        </w:rPr>
        <w:t xml:space="preserve"> k </w:t>
      </w:r>
      <w:r>
        <w:rPr>
          <w:rStyle w:val="KeywordTok"/>
        </w:rPr>
        <w:t>in</w:t>
      </w:r>
      <w:r>
        <w:rPr>
          <w:rStyle w:val="NormalTok"/>
        </w:rPr>
        <w:t xml:space="preserve"> [</w:t>
      </w:r>
      <w:r>
        <w:rPr>
          <w:rStyle w:val="StringTok"/>
        </w:rPr>
        <w:t>'hydro'</w:t>
      </w:r>
      <w:r>
        <w:rPr>
          <w:rStyle w:val="NormalTok"/>
        </w:rPr>
        <w:t>,</w:t>
      </w:r>
      <w:r>
        <w:rPr>
          <w:rStyle w:val="StringTok"/>
        </w:rPr>
        <w:t>'wind'</w:t>
      </w:r>
      <w:r>
        <w:rPr>
          <w:rStyle w:val="NormalTok"/>
        </w:rPr>
        <w:t>,</w:t>
      </w:r>
      <w:r>
        <w:rPr>
          <w:rStyle w:val="StringTok"/>
        </w:rPr>
        <w:t>'biomass'</w:t>
      </w:r>
      <w:r>
        <w:rPr>
          <w:rStyle w:val="NormalTok"/>
        </w:rPr>
        <w:t>,</w:t>
      </w:r>
      <w:r>
        <w:rPr>
          <w:rStyle w:val="StringTok"/>
        </w:rPr>
        <w:t>'geothermal'</w:t>
      </w:r>
      <w:r>
        <w:rPr>
          <w:rStyle w:val="NormalTok"/>
        </w:rPr>
        <w:t>])</w:t>
      </w:r>
      <w:r>
        <w:rPr>
          <w:rStyle w:val="OperatorTok"/>
        </w:rPr>
        <w:t>+</w:t>
      </w:r>
      <w:r>
        <w:rPr>
          <w:rStyle w:val="NormalTok"/>
        </w:rPr>
        <w:t>g[</w:t>
      </w:r>
      <w:r>
        <w:rPr>
          <w:rStyle w:val="StringTok"/>
        </w:rPr>
        <w:t>'hyd</w:t>
      </w:r>
      <w:r>
        <w:rPr>
          <w:rStyle w:val="StringTok"/>
        </w:rPr>
        <w:lastRenderedPageBreak/>
        <w:t>rogen_electricity'</w:t>
      </w:r>
      <w:r>
        <w:rPr>
          <w:rStyle w:val="NormalTok"/>
        </w:rPr>
        <w:t>]</w:t>
      </w:r>
      <w:r>
        <w:rPr>
          <w:rStyle w:val="OperatorTok"/>
        </w:rPr>
        <w:t>*</w:t>
      </w:r>
      <w:r>
        <w:rPr>
          <w:rStyle w:val="NormalTok"/>
        </w:rPr>
        <w:t>p[</w:t>
      </w:r>
      <w:r>
        <w:rPr>
          <w:rStyle w:val="StringTok"/>
        </w:rPr>
        <w:t>'hydrogen'</w:t>
      </w:r>
      <w:r>
        <w:rPr>
          <w:rStyle w:val="NormalTok"/>
        </w:rPr>
        <w:t>]</w:t>
      </w:r>
      <w:r>
        <w:br/>
      </w:r>
      <w:r>
        <w:rPr>
          <w:rStyle w:val="NormalTok"/>
        </w:rPr>
        <w:t xml:space="preserve">    fixed</w:t>
      </w:r>
      <w:r>
        <w:rPr>
          <w:rStyle w:val="OperatorTok"/>
        </w:rPr>
        <w:t>=</w:t>
      </w:r>
      <w:r>
        <w:rPr>
          <w:rStyle w:val="BuiltInTok"/>
        </w:rPr>
        <w:t>sum</w:t>
      </w:r>
      <w:r>
        <w:rPr>
          <w:rStyle w:val="NormalTok"/>
        </w:rPr>
        <w:t xml:space="preserve">(d[k] </w:t>
      </w:r>
      <w:r>
        <w:rPr>
          <w:rStyle w:val="ControlFlowTok"/>
        </w:rPr>
        <w:t>for</w:t>
      </w:r>
      <w:r>
        <w:rPr>
          <w:rStyle w:val="NormalTok"/>
        </w:rPr>
        <w:t xml:space="preserve"> k </w:t>
      </w:r>
      <w:r>
        <w:rPr>
          <w:rStyle w:val="KeywordTok"/>
        </w:rPr>
        <w:t>in</w:t>
      </w:r>
      <w:r>
        <w:rPr>
          <w:rStyle w:val="NormalTok"/>
        </w:rPr>
        <w:t xml:space="preserve"> [</w:t>
      </w:r>
      <w:r>
        <w:rPr>
          <w:rStyle w:val="StringTok"/>
        </w:rPr>
        <w:t>'industrie'</w:t>
      </w:r>
      <w:r>
        <w:rPr>
          <w:rStyle w:val="NormalTok"/>
        </w:rPr>
        <w:t>,</w:t>
      </w:r>
      <w:r>
        <w:rPr>
          <w:rStyle w:val="StringTok"/>
        </w:rPr>
        <w:t>'landwirtschaft'</w:t>
      </w:r>
      <w:r>
        <w:rPr>
          <w:rStyle w:val="NormalTok"/>
        </w:rPr>
        <w:t>,</w:t>
      </w:r>
      <w:r>
        <w:rPr>
          <w:rStyle w:val="StringTok"/>
        </w:rPr>
        <w:t>'verbrauch_sektor_energie'</w:t>
      </w:r>
      <w:r>
        <w:rPr>
          <w:rStyle w:val="NormalTok"/>
        </w:rPr>
        <w:t>,</w:t>
      </w:r>
      <w:r>
        <w:rPr>
          <w:rStyle w:val="StringTok"/>
        </w:rPr>
        <w:t>'umwandlungseinsatz'</w:t>
      </w:r>
      <w:r>
        <w:rPr>
          <w:rStyle w:val="NormalTok"/>
        </w:rPr>
        <w:t>,</w:t>
      </w:r>
      <w:r>
        <w:rPr>
          <w:rStyle w:val="StringTok"/>
        </w:rPr>
        <w:t>'transportverluste'</w:t>
      </w:r>
      <w:r>
        <w:rPr>
          <w:rStyle w:val="NormalTok"/>
        </w:rPr>
        <w:t>])</w:t>
      </w:r>
      <w:r>
        <w:rPr>
          <w:rStyle w:val="OperatorTok"/>
        </w:rPr>
        <w:t>+</w:t>
      </w:r>
      <w:r>
        <w:rPr>
          <w:rStyle w:val="BuiltInTok"/>
        </w:rPr>
        <w:t>max</w:t>
      </w:r>
      <w:r>
        <w:rPr>
          <w:rStyle w:val="NormalTok"/>
        </w:rPr>
        <w:t>(</w:t>
      </w:r>
      <w:r>
        <w:rPr>
          <w:rStyle w:val="OperatorTok"/>
        </w:rPr>
        <w:t>-</w:t>
      </w:r>
      <w:r>
        <w:rPr>
          <w:rStyle w:val="NormalTok"/>
        </w:rPr>
        <w:t>g[</w:t>
      </w:r>
      <w:r>
        <w:rPr>
          <w:rStyle w:val="StringTok"/>
        </w:rPr>
        <w:t>'net_imports'</w:t>
      </w:r>
      <w:r>
        <w:rPr>
          <w:rStyle w:val="NormalTok"/>
        </w:rPr>
        <w:t>],</w:t>
      </w:r>
      <w:r>
        <w:rPr>
          <w:rStyle w:val="DecValTok"/>
        </w:rPr>
        <w:t>0</w:t>
      </w:r>
      <w:r>
        <w:rPr>
          <w:rStyle w:val="NormalTok"/>
        </w:rPr>
        <w:t>)</w:t>
      </w:r>
      <w:r>
        <w:br/>
      </w:r>
      <w:r>
        <w:rPr>
          <w:rStyle w:val="NormalTok"/>
        </w:rPr>
        <w:t xml:space="preserve">    raw</w:t>
      </w:r>
      <w:r>
        <w:rPr>
          <w:rStyle w:val="OperatorTok"/>
        </w:rPr>
        <w:t>=</w:t>
      </w:r>
      <w:r>
        <w:rPr>
          <w:rStyle w:val="NormalTok"/>
        </w:rPr>
        <w:t>central</w:t>
      </w:r>
      <w:r>
        <w:rPr>
          <w:rStyle w:val="OperatorTok"/>
        </w:rPr>
        <w:t>-</w:t>
      </w:r>
      <w:r>
        <w:rPr>
          <w:rStyle w:val="NormalTok"/>
        </w:rPr>
        <w:t>fixed</w:t>
      </w:r>
      <w:r>
        <w:rPr>
          <w:rStyle w:val="OperatorTok"/>
        </w:rPr>
        <w:t>-</w:t>
      </w:r>
      <w:r>
        <w:rPr>
          <w:rStyle w:val="NormalTok"/>
        </w:rPr>
        <w:t>d[</w:t>
      </w:r>
      <w:r>
        <w:rPr>
          <w:rStyle w:val="StringTok"/>
        </w:rPr>
        <w:t>'verkehr'</w:t>
      </w:r>
      <w:r>
        <w:rPr>
          <w:rStyle w:val="NormalTok"/>
        </w:rPr>
        <w:t>]</w:t>
      </w:r>
      <w:r>
        <w:rPr>
          <w:rStyle w:val="OperatorTok"/>
        </w:rPr>
        <w:t>*</w:t>
      </w:r>
      <w:r>
        <w:rPr>
          <w:rStyle w:val="NormalTok"/>
        </w:rPr>
        <w:t>(</w:t>
      </w:r>
      <w:r>
        <w:rPr>
          <w:rStyle w:val="DecValTok"/>
        </w:rPr>
        <w:t>1</w:t>
      </w:r>
      <w:r>
        <w:rPr>
          <w:rStyle w:val="OperatorTok"/>
        </w:rPr>
        <w:t>-</w:t>
      </w:r>
      <w:r>
        <w:rPr>
          <w:rStyle w:val="NormalTok"/>
        </w:rPr>
        <w:t>p[</w:t>
      </w:r>
      <w:r>
        <w:rPr>
          <w:rStyle w:val="StringTok"/>
        </w:rPr>
        <w:t>'miv'</w:t>
      </w:r>
      <w:r>
        <w:rPr>
          <w:rStyle w:val="NormalTok"/>
        </w:rPr>
        <w:t>])</w:t>
      </w:r>
      <w:r>
        <w:br/>
      </w:r>
      <w:r>
        <w:rPr>
          <w:rStyle w:val="NormalTok"/>
        </w:rPr>
        <w:t xml:space="preserve">    miv</w:t>
      </w:r>
      <w:r>
        <w:rPr>
          <w:rStyle w:val="OperatorTok"/>
        </w:rPr>
        <w:t>=</w:t>
      </w:r>
      <w:r>
        <w:rPr>
          <w:rStyle w:val="NormalTok"/>
        </w:rPr>
        <w:t>d[</w:t>
      </w:r>
      <w:r>
        <w:rPr>
          <w:rStyle w:val="StringTok"/>
        </w:rPr>
        <w:t>'verkehr'</w:t>
      </w:r>
      <w:r>
        <w:rPr>
          <w:rStyle w:val="NormalTok"/>
        </w:rPr>
        <w:t>]</w:t>
      </w:r>
      <w:r>
        <w:rPr>
          <w:rStyle w:val="OperatorTok"/>
        </w:rPr>
        <w:t>*</w:t>
      </w:r>
      <w:r>
        <w:rPr>
          <w:rStyle w:val="NormalTok"/>
        </w:rPr>
        <w:t>p[</w:t>
      </w:r>
      <w:r>
        <w:rPr>
          <w:rStyle w:val="StringTok"/>
        </w:rPr>
        <w:t>'miv'</w:t>
      </w:r>
      <w:r>
        <w:rPr>
          <w:rStyle w:val="NormalTok"/>
        </w:rPr>
        <w:t>]</w:t>
      </w:r>
      <w:r>
        <w:rPr>
          <w:rStyle w:val="OperatorTok"/>
        </w:rPr>
        <w:t>;</w:t>
      </w:r>
      <w:r>
        <w:rPr>
          <w:rStyle w:val="NormalTok"/>
        </w:rPr>
        <w:t xml:space="preserve"> budget</w:t>
      </w:r>
      <w:r>
        <w:rPr>
          <w:rStyle w:val="OperatorTok"/>
        </w:rPr>
        <w:t>=</w:t>
      </w:r>
      <w:r>
        <w:rPr>
          <w:rStyle w:val="BuiltInTok"/>
        </w:rPr>
        <w:t>min</w:t>
      </w:r>
      <w:r>
        <w:rPr>
          <w:rStyle w:val="NormalTok"/>
        </w:rPr>
        <w:t>(</w:t>
      </w:r>
      <w:r>
        <w:rPr>
          <w:rStyle w:val="BuiltInTok"/>
        </w:rPr>
        <w:t>max</w:t>
      </w:r>
      <w:r>
        <w:rPr>
          <w:rStyle w:val="NormalTok"/>
        </w:rPr>
        <w:t>(raw,</w:t>
      </w:r>
      <w:r>
        <w:rPr>
          <w:rStyle w:val="DecValTok"/>
        </w:rPr>
        <w:t>0</w:t>
      </w:r>
      <w:r>
        <w:rPr>
          <w:rStyle w:val="NormalTok"/>
        </w:rPr>
        <w:t>),miv)</w:t>
      </w:r>
      <w:r>
        <w:br/>
      </w:r>
      <w:r>
        <w:rPr>
          <w:rStyle w:val="NormalTok"/>
        </w:rPr>
        <w:t xml:space="preserve">    target</w:t>
      </w:r>
      <w:r>
        <w:rPr>
          <w:rStyle w:val="OperatorTok"/>
        </w:rPr>
        <w:t>=</w:t>
      </w:r>
      <w:r>
        <w:rPr>
          <w:rStyle w:val="NormalTok"/>
        </w:rPr>
        <w:t>g[</w:t>
      </w:r>
      <w:r>
        <w:rPr>
          <w:rStyle w:val="StringTok"/>
        </w:rPr>
        <w:t>'pv'</w:t>
      </w:r>
      <w:r>
        <w:rPr>
          <w:rStyle w:val="NormalTok"/>
        </w:rPr>
        <w:t>]</w:t>
      </w:r>
      <w:r>
        <w:rPr>
          <w:rStyle w:val="OperatorTok"/>
        </w:rPr>
        <w:t>*</w:t>
      </w:r>
      <w:r>
        <w:rPr>
          <w:rStyle w:val="NormalTok"/>
        </w:rPr>
        <w:t>(</w:t>
      </w:r>
      <w:r>
        <w:rPr>
          <w:rStyle w:val="DecValTok"/>
        </w:rPr>
        <w:t>1</w:t>
      </w:r>
      <w:r>
        <w:rPr>
          <w:rStyle w:val="OperatorTok"/>
        </w:rPr>
        <w:t>-</w:t>
      </w:r>
      <w:r>
        <w:rPr>
          <w:rStyle w:val="NormalTok"/>
        </w:rPr>
        <w:t>p[</w:t>
      </w:r>
      <w:r>
        <w:rPr>
          <w:rStyle w:val="StringTok"/>
        </w:rPr>
        <w:t>'free_pv'</w:t>
      </w:r>
      <w:r>
        <w:rPr>
          <w:rStyle w:val="NormalTok"/>
        </w:rPr>
        <w:t>])</w:t>
      </w:r>
      <w:r>
        <w:rPr>
          <w:rStyle w:val="OperatorTok"/>
        </w:rPr>
        <w:t>-</w:t>
      </w:r>
      <w:r>
        <w:rPr>
          <w:rStyle w:val="NormalTok"/>
        </w:rPr>
        <w:t>d[</w:t>
      </w:r>
      <w:r>
        <w:rPr>
          <w:rStyle w:val="StringTok"/>
        </w:rPr>
        <w:t>'gebaeude'</w:t>
      </w:r>
      <w:r>
        <w:rPr>
          <w:rStyle w:val="NormalTok"/>
        </w:rPr>
        <w:t>]</w:t>
      </w:r>
      <w:r>
        <w:br/>
      </w:r>
      <w:r>
        <w:rPr>
          <w:rStyle w:val="NormalTok"/>
        </w:rPr>
        <w:t xml:space="preserve">    demand</w:t>
      </w:r>
      <w:r>
        <w:rPr>
          <w:rStyle w:val="OperatorTok"/>
        </w:rPr>
        <w:t>=</w:t>
      </w:r>
      <w:r>
        <w:rPr>
          <w:rStyle w:val="NormalTok"/>
        </w:rPr>
        <w:t>geometry.D.</w:t>
      </w:r>
      <w:r>
        <w:rPr>
          <w:rStyle w:val="BuiltInTok"/>
        </w:rPr>
        <w:t>sum</w:t>
      </w:r>
      <w:r>
        <w:rPr>
          <w:rStyle w:val="NormalTok"/>
        </w:rPr>
        <w:t>()</w:t>
      </w:r>
      <w:r>
        <w:rPr>
          <w:rStyle w:val="OperatorTok"/>
        </w:rPr>
        <w:t>*</w:t>
      </w:r>
      <w:r>
        <w:rPr>
          <w:rStyle w:val="NormalTok"/>
        </w:rPr>
        <w:t>p[</w:t>
      </w:r>
      <w:r>
        <w:rPr>
          <w:rStyle w:val="StringTok"/>
        </w:rPr>
        <w:t>'ngf_bgf'</w:t>
      </w:r>
      <w:r>
        <w:rPr>
          <w:rStyle w:val="NormalTok"/>
        </w:rPr>
        <w:t>]</w:t>
      </w:r>
      <w:r>
        <w:rPr>
          <w:rStyle w:val="OperatorTok"/>
        </w:rPr>
        <w:t>*</w:t>
      </w:r>
      <w:r>
        <w:rPr>
          <w:rStyle w:val="NormalTok"/>
        </w:rPr>
        <w:t>(</w:t>
      </w:r>
      <w:r>
        <w:rPr>
          <w:rStyle w:val="DecValTok"/>
        </w:rPr>
        <w:t>1</w:t>
      </w:r>
      <w:r>
        <w:rPr>
          <w:rStyle w:val="OperatorTok"/>
        </w:rPr>
        <w:t>-</w:t>
      </w:r>
      <w:r>
        <w:rPr>
          <w:rStyle w:val="NormalTok"/>
        </w:rPr>
        <w:t>p[</w:t>
      </w:r>
      <w:r>
        <w:rPr>
          <w:rStyle w:val="StringTok"/>
        </w:rPr>
        <w:t>'saving'</w:t>
      </w:r>
      <w:r>
        <w:rPr>
          <w:rStyle w:val="NormalTok"/>
        </w:rPr>
        <w:t>])</w:t>
      </w:r>
      <w:r>
        <w:br/>
      </w:r>
      <w:r>
        <w:rPr>
          <w:rStyle w:val="NormalTok"/>
        </w:rPr>
        <w:t xml:space="preserve">    pv</w:t>
      </w:r>
      <w:r>
        <w:rPr>
          <w:rStyle w:val="OperatorTok"/>
        </w:rPr>
        <w:t>=</w:t>
      </w:r>
      <w:r>
        <w:rPr>
          <w:rStyle w:val="NormalTok"/>
        </w:rPr>
        <w:t>geometry.P.</w:t>
      </w:r>
      <w:r>
        <w:rPr>
          <w:rStyle w:val="BuiltInTok"/>
        </w:rPr>
        <w:t>sum</w:t>
      </w:r>
      <w:r>
        <w:rPr>
          <w:rStyle w:val="NormalTok"/>
        </w:rPr>
        <w:t>()</w:t>
      </w:r>
      <w:r>
        <w:rPr>
          <w:rStyle w:val="OperatorTok"/>
        </w:rPr>
        <w:t>*</w:t>
      </w:r>
      <w:r>
        <w:rPr>
          <w:rStyle w:val="NormalTok"/>
        </w:rPr>
        <w:t>p[</w:t>
      </w:r>
      <w:r>
        <w:rPr>
          <w:rStyle w:val="StringTok"/>
        </w:rPr>
        <w:t>'ngf_bgf'</w:t>
      </w:r>
      <w:r>
        <w:rPr>
          <w:rStyle w:val="NormalTok"/>
        </w:rPr>
        <w:t>]</w:t>
      </w:r>
      <w:r>
        <w:rPr>
          <w:rStyle w:val="OperatorTok"/>
        </w:rPr>
        <w:t>*</w:t>
      </w:r>
      <w:r>
        <w:rPr>
          <w:rStyle w:val="NormalTok"/>
        </w:rPr>
        <w:t>p[</w:t>
      </w:r>
      <w:r>
        <w:rPr>
          <w:rStyle w:val="StringTok"/>
        </w:rPr>
        <w:t>'pv_scale'</w:t>
      </w:r>
      <w:r>
        <w:rPr>
          <w:rStyle w:val="NormalTok"/>
        </w:rPr>
        <w:t>]</w:t>
      </w:r>
      <w:r>
        <w:br/>
      </w:r>
      <w:r>
        <w:rPr>
          <w:rStyle w:val="NormalTok"/>
        </w:rPr>
        <w:t xml:space="preserve">    unassigned</w:t>
      </w:r>
      <w:r>
        <w:rPr>
          <w:rStyle w:val="OperatorTok"/>
        </w:rPr>
        <w:t>=</w:t>
      </w:r>
      <w:r>
        <w:rPr>
          <w:rStyle w:val="BuiltInTok"/>
        </w:rPr>
        <w:t>sum</w:t>
      </w:r>
      <w:r>
        <w:rPr>
          <w:rStyle w:val="NormalTok"/>
        </w:rPr>
        <w:t xml:space="preserve">(g[k] </w:t>
      </w:r>
      <w:r>
        <w:rPr>
          <w:rStyle w:val="ControlFlowTok"/>
        </w:rPr>
        <w:t>for</w:t>
      </w:r>
      <w:r>
        <w:rPr>
          <w:rStyle w:val="NormalTok"/>
        </w:rPr>
        <w:t xml:space="preserve"> k </w:t>
      </w:r>
      <w:r>
        <w:rPr>
          <w:rStyle w:val="KeywordTok"/>
        </w:rPr>
        <w:t>in</w:t>
      </w:r>
      <w:r>
        <w:rPr>
          <w:rStyle w:val="NormalTok"/>
        </w:rPr>
        <w:t xml:space="preserve"> generation_keys)</w:t>
      </w:r>
      <w:r>
        <w:rPr>
          <w:rStyle w:val="OperatorTok"/>
        </w:rPr>
        <w:t>-</w:t>
      </w:r>
      <w:r>
        <w:rPr>
          <w:rStyle w:val="NormalTok"/>
        </w:rPr>
        <w:t>g[</w:t>
      </w:r>
      <w:r>
        <w:rPr>
          <w:rStyle w:val="StringTok"/>
        </w:rPr>
        <w:t>'pv'</w:t>
      </w:r>
      <w:r>
        <w:rPr>
          <w:rStyle w:val="NormalTok"/>
        </w:rPr>
        <w:t>]</w:t>
      </w:r>
      <w:r>
        <w:rPr>
          <w:rStyle w:val="OperatorTok"/>
        </w:rPr>
        <w:t>-</w:t>
      </w:r>
      <w:r>
        <w:rPr>
          <w:rStyle w:val="NormalTok"/>
        </w:rPr>
        <w:t>central</w:t>
      </w:r>
      <w:r>
        <w:br/>
      </w:r>
      <w:r>
        <w:rPr>
          <w:rStyle w:val="NormalTok"/>
        </w:rPr>
        <w:t xml:space="preserve">    closure</w:t>
      </w:r>
      <w:r>
        <w:rPr>
          <w:rStyle w:val="OperatorTok"/>
        </w:rPr>
        <w:t>=</w:t>
      </w:r>
      <w:r>
        <w:rPr>
          <w:rStyle w:val="NormalTok"/>
        </w:rPr>
        <w:t>target</w:t>
      </w:r>
      <w:r>
        <w:rPr>
          <w:rStyle w:val="OperatorTok"/>
        </w:rPr>
        <w:t>+</w:t>
      </w:r>
      <w:r>
        <w:rPr>
          <w:rStyle w:val="NormalTok"/>
        </w:rPr>
        <w:t>budget</w:t>
      </w:r>
      <w:r>
        <w:rPr>
          <w:rStyle w:val="OperatorTok"/>
        </w:rPr>
        <w:t>-</w:t>
      </w:r>
      <w:r>
        <w:rPr>
          <w:rStyle w:val="NormalTok"/>
        </w:rPr>
        <w:t>miv</w:t>
      </w:r>
      <w:r>
        <w:rPr>
          <w:rStyle w:val="OperatorTok"/>
        </w:rPr>
        <w:t>+</w:t>
      </w:r>
      <w:r>
        <w:rPr>
          <w:rStyle w:val="NormalTok"/>
        </w:rPr>
        <w:t>raw</w:t>
      </w:r>
      <w:r>
        <w:rPr>
          <w:rStyle w:val="OperatorTok"/>
        </w:rPr>
        <w:t>-</w:t>
      </w:r>
      <w:r>
        <w:rPr>
          <w:rStyle w:val="NormalTok"/>
        </w:rPr>
        <w:t>budget</w:t>
      </w:r>
      <w:r>
        <w:rPr>
          <w:rStyle w:val="OperatorTok"/>
        </w:rPr>
        <w:t>+</w:t>
      </w:r>
      <w:r>
        <w:rPr>
          <w:rStyle w:val="NormalTok"/>
        </w:rPr>
        <w:t>g[</w:t>
      </w:r>
      <w:r>
        <w:rPr>
          <w:rStyle w:val="StringTok"/>
        </w:rPr>
        <w:t>'pv'</w:t>
      </w:r>
      <w:r>
        <w:rPr>
          <w:rStyle w:val="NormalTok"/>
        </w:rPr>
        <w:t>]</w:t>
      </w:r>
      <w:r>
        <w:rPr>
          <w:rStyle w:val="OperatorTok"/>
        </w:rPr>
        <w:t>*</w:t>
      </w:r>
      <w:r>
        <w:rPr>
          <w:rStyle w:val="NormalTok"/>
        </w:rPr>
        <w:t>p[</w:t>
      </w:r>
      <w:r>
        <w:rPr>
          <w:rStyle w:val="StringTok"/>
        </w:rPr>
        <w:t>'free_pv'</w:t>
      </w:r>
      <w:r>
        <w:rPr>
          <w:rStyle w:val="NormalTok"/>
        </w:rPr>
        <w:t>]</w:t>
      </w:r>
      <w:r>
        <w:rPr>
          <w:rStyle w:val="OperatorTok"/>
        </w:rPr>
        <w:t>+</w:t>
      </w:r>
      <w:r>
        <w:rPr>
          <w:rStyle w:val="NormalTok"/>
        </w:rPr>
        <w:t>unassigned</w:t>
      </w:r>
      <w:r>
        <w:rPr>
          <w:rStyle w:val="OperatorTok"/>
        </w:rPr>
        <w:t>+</w:t>
      </w:r>
      <w:r>
        <w:rPr>
          <w:rStyle w:val="BuiltInTok"/>
        </w:rPr>
        <w:t>max</w:t>
      </w:r>
      <w:r>
        <w:rPr>
          <w:rStyle w:val="NormalTok"/>
        </w:rPr>
        <w:t>(g[</w:t>
      </w:r>
      <w:r>
        <w:rPr>
          <w:rStyle w:val="StringTok"/>
        </w:rPr>
        <w:t>'net_imports'</w:t>
      </w:r>
      <w:r>
        <w:rPr>
          <w:rStyle w:val="NormalTok"/>
        </w:rPr>
        <w:t>],</w:t>
      </w:r>
      <w:r>
        <w:rPr>
          <w:rStyle w:val="DecValTok"/>
        </w:rPr>
        <w:t>0</w:t>
      </w:r>
      <w:r>
        <w:rPr>
          <w:rStyle w:val="NormalTok"/>
        </w:rPr>
        <w:t>)</w:t>
      </w:r>
      <w:r>
        <w:br/>
      </w:r>
      <w:r>
        <w:rPr>
          <w:rStyle w:val="NormalTok"/>
        </w:rPr>
        <w:t xml:space="preserve">    </w:t>
      </w:r>
      <w:r>
        <w:rPr>
          <w:rStyle w:val="ControlFlowTok"/>
        </w:rPr>
        <w:t>assert</w:t>
      </w:r>
      <w:r>
        <w:rPr>
          <w:rStyle w:val="NormalTok"/>
        </w:rPr>
        <w:t xml:space="preserve"> np.isclose(closure,residual)</w:t>
      </w:r>
      <w:r>
        <w:br/>
      </w:r>
      <w:r>
        <w:rPr>
          <w:rStyle w:val="NormalTok"/>
        </w:rPr>
        <w:t xml:space="preserve">    </w:t>
      </w:r>
      <w:r>
        <w:rPr>
          <w:rStyle w:val="ControlFlowTok"/>
        </w:rPr>
        <w:t>return</w:t>
      </w:r>
      <w:r>
        <w:rPr>
          <w:rStyle w:val="NormalTok"/>
        </w:rPr>
        <w:t xml:space="preserve"> </w:t>
      </w:r>
      <w:r>
        <w:rPr>
          <w:rStyle w:val="BuiltInTok"/>
        </w:rPr>
        <w:t>dict</w:t>
      </w:r>
      <w:r>
        <w:rPr>
          <w:rStyle w:val="NormalTok"/>
        </w:rPr>
        <w:t>(demand</w:t>
      </w:r>
      <w:r>
        <w:rPr>
          <w:rStyle w:val="OperatorTok"/>
        </w:rPr>
        <w:t>=</w:t>
      </w:r>
      <w:r>
        <w:rPr>
          <w:rStyle w:val="NormalTok"/>
        </w:rPr>
        <w:t>demand,pv</w:t>
      </w:r>
      <w:r>
        <w:rPr>
          <w:rStyle w:val="OperatorTok"/>
        </w:rPr>
        <w:t>=</w:t>
      </w:r>
      <w:r>
        <w:rPr>
          <w:rStyle w:val="NormalTok"/>
        </w:rPr>
        <w:t>pv,balance</w:t>
      </w:r>
      <w:r>
        <w:rPr>
          <w:rStyle w:val="OperatorTok"/>
        </w:rPr>
        <w:t>=</w:t>
      </w:r>
      <w:r>
        <w:rPr>
          <w:rStyle w:val="NormalTok"/>
        </w:rPr>
        <w:t>pv</w:t>
      </w:r>
      <w:r>
        <w:rPr>
          <w:rStyle w:val="OperatorTok"/>
        </w:rPr>
        <w:t>-</w:t>
      </w:r>
      <w:r>
        <w:rPr>
          <w:rStyle w:val="NormalTok"/>
        </w:rPr>
        <w:t>demand,target</w:t>
      </w:r>
      <w:r>
        <w:rPr>
          <w:rStyle w:val="OperatorTok"/>
        </w:rPr>
        <w:t>=</w:t>
      </w:r>
      <w:r>
        <w:rPr>
          <w:rStyle w:val="NormalTok"/>
        </w:rPr>
        <w:t>target,budget</w:t>
      </w:r>
      <w:r>
        <w:rPr>
          <w:rStyle w:val="OperatorTok"/>
        </w:rPr>
        <w:t>=</w:t>
      </w:r>
      <w:r>
        <w:rPr>
          <w:rStyle w:val="NormalTok"/>
        </w:rPr>
        <w:t>budget,</w:t>
      </w:r>
      <w:r>
        <w:br/>
      </w:r>
      <w:r>
        <w:rPr>
          <w:rStyle w:val="NormalTok"/>
        </w:rPr>
        <w:t xml:space="preserve">                extended</w:t>
      </w:r>
      <w:r>
        <w:rPr>
          <w:rStyle w:val="OperatorTok"/>
        </w:rPr>
        <w:t>=</w:t>
      </w:r>
      <w:r>
        <w:rPr>
          <w:rStyle w:val="NormalTok"/>
        </w:rPr>
        <w:t>pv</w:t>
      </w:r>
      <w:r>
        <w:rPr>
          <w:rStyle w:val="OperatorTok"/>
        </w:rPr>
        <w:t>-</w:t>
      </w:r>
      <w:r>
        <w:rPr>
          <w:rStyle w:val="NormalTok"/>
        </w:rPr>
        <w:t>demand</w:t>
      </w:r>
      <w:r>
        <w:rPr>
          <w:rStyle w:val="OperatorTok"/>
        </w:rPr>
        <w:t>+</w:t>
      </w:r>
      <w:r>
        <w:rPr>
          <w:rStyle w:val="NormalTok"/>
        </w:rPr>
        <w:t>budget</w:t>
      </w:r>
      <w:r>
        <w:rPr>
          <w:rStyle w:val="OperatorTok"/>
        </w:rPr>
        <w:t>-</w:t>
      </w:r>
      <w:r>
        <w:rPr>
          <w:rStyle w:val="NormalTok"/>
        </w:rPr>
        <w:t>miv,target_extended</w:t>
      </w:r>
      <w:r>
        <w:rPr>
          <w:rStyle w:val="OperatorTok"/>
        </w:rPr>
        <w:t>=</w:t>
      </w:r>
      <w:r>
        <w:rPr>
          <w:rStyle w:val="NormalTok"/>
        </w:rPr>
        <w:t>target</w:t>
      </w:r>
      <w:r>
        <w:rPr>
          <w:rStyle w:val="OperatorTok"/>
        </w:rPr>
        <w:t>+</w:t>
      </w:r>
      <w:r>
        <w:rPr>
          <w:rStyle w:val="NormalTok"/>
        </w:rPr>
        <w:t>budget</w:t>
      </w:r>
      <w:r>
        <w:rPr>
          <w:rStyle w:val="OperatorTok"/>
        </w:rPr>
        <w:t>-</w:t>
      </w:r>
      <w:r>
        <w:rPr>
          <w:rStyle w:val="NormalTok"/>
        </w:rPr>
        <w:t>miv,</w:t>
      </w:r>
      <w:r>
        <w:br/>
      </w:r>
      <w:r>
        <w:rPr>
          <w:rStyle w:val="NormalTok"/>
        </w:rPr>
        <w:t xml:space="preserve">                gap</w:t>
      </w:r>
      <w:r>
        <w:rPr>
          <w:rStyle w:val="OperatorTok"/>
        </w:rPr>
        <w:t>=</w:t>
      </w:r>
      <w:r>
        <w:rPr>
          <w:rStyle w:val="NormalTok"/>
        </w:rPr>
        <w:t>pv</w:t>
      </w:r>
      <w:r>
        <w:rPr>
          <w:rStyle w:val="OperatorTok"/>
        </w:rPr>
        <w:t>-</w:t>
      </w:r>
      <w:r>
        <w:rPr>
          <w:rStyle w:val="NormalTok"/>
        </w:rPr>
        <w:t>demand</w:t>
      </w:r>
      <w:r>
        <w:rPr>
          <w:rStyle w:val="OperatorTok"/>
        </w:rPr>
        <w:t>-</w:t>
      </w:r>
      <w:r>
        <w:rPr>
          <w:rStyle w:val="NormalTok"/>
        </w:rPr>
        <w:t>target,raw</w:t>
      </w:r>
      <w:r>
        <w:rPr>
          <w:rStyle w:val="OperatorTok"/>
        </w:rPr>
        <w:t>=</w:t>
      </w:r>
      <w:r>
        <w:rPr>
          <w:rStyle w:val="NormalTok"/>
        </w:rPr>
        <w:t>raw,closure</w:t>
      </w:r>
      <w:r>
        <w:rPr>
          <w:rStyle w:val="OperatorTok"/>
        </w:rPr>
        <w:t>=</w:t>
      </w:r>
      <w:r>
        <w:rPr>
          <w:rStyle w:val="NormalTok"/>
        </w:rPr>
        <w:t>closure)</w:t>
      </w:r>
      <w:r>
        <w:br/>
      </w:r>
      <w:r>
        <w:rPr>
          <w:rStyle w:val="NormalTok"/>
        </w:rPr>
        <w:t>reference</w:t>
      </w:r>
      <w:r>
        <w:rPr>
          <w:rStyle w:val="OperatorTok"/>
        </w:rPr>
        <w:t>=</w:t>
      </w:r>
      <w:r>
        <w:rPr>
          <w:rStyle w:val="NormalTok"/>
        </w:rPr>
        <w:t>calculate(DEFAULT)</w:t>
      </w:r>
      <w:r>
        <w:br/>
      </w:r>
      <w:r>
        <w:rPr>
          <w:rStyle w:val="ControlFlowTok"/>
        </w:rPr>
        <w:t>for</w:t>
      </w:r>
      <w:r>
        <w:rPr>
          <w:rStyle w:val="NormalTok"/>
        </w:rPr>
        <w:t xml:space="preserve"> m,f </w:t>
      </w:r>
      <w:r>
        <w:rPr>
          <w:rStyle w:val="KeywordTok"/>
        </w:rPr>
        <w:t>in</w:t>
      </w:r>
      <w:r>
        <w:rPr>
          <w:rStyle w:val="NormalTok"/>
        </w:rPr>
        <w:t xml:space="preserve"> [(</w:t>
      </w:r>
      <w:r>
        <w:rPr>
          <w:rStyle w:val="DecValTok"/>
        </w:rPr>
        <w:t>0</w:t>
      </w:r>
      <w:r>
        <w:rPr>
          <w:rStyle w:val="NormalTok"/>
        </w:rPr>
        <w:t>,</w:t>
      </w:r>
      <w:r>
        <w:rPr>
          <w:rStyle w:val="DecValTok"/>
        </w:rPr>
        <w:t>0</w:t>
      </w:r>
      <w:r>
        <w:rPr>
          <w:rStyle w:val="NormalTok"/>
        </w:rPr>
        <w:t>),(</w:t>
      </w:r>
      <w:r>
        <w:rPr>
          <w:rStyle w:val="DecValTok"/>
        </w:rPr>
        <w:t>1</w:t>
      </w:r>
      <w:r>
        <w:rPr>
          <w:rStyle w:val="NormalTok"/>
        </w:rPr>
        <w:t>,</w:t>
      </w:r>
      <w:r>
        <w:rPr>
          <w:rStyle w:val="DecValTok"/>
        </w:rPr>
        <w:t>1</w:t>
      </w:r>
      <w:r>
        <w:rPr>
          <w:rStyle w:val="NormalTok"/>
        </w:rPr>
        <w:t>),(</w:t>
      </w:r>
      <w:r>
        <w:rPr>
          <w:rStyle w:val="FloatTok"/>
        </w:rPr>
        <w:t>.6</w:t>
      </w:r>
      <w:r>
        <w:rPr>
          <w:rStyle w:val="NormalTok"/>
        </w:rPr>
        <w:t>,</w:t>
      </w:r>
      <w:r>
        <w:rPr>
          <w:rStyle w:val="FloatTok"/>
        </w:rPr>
        <w:t>.2</w:t>
      </w:r>
      <w:r>
        <w:rPr>
          <w:rStyle w:val="NormalTok"/>
        </w:rPr>
        <w:t>)]:</w:t>
      </w:r>
      <w:r>
        <w:br/>
      </w:r>
      <w:r>
        <w:rPr>
          <w:rStyle w:val="NormalTok"/>
        </w:rPr>
        <w:t xml:space="preserve">    result</w:t>
      </w:r>
      <w:r>
        <w:rPr>
          <w:rStyle w:val="OperatorTok"/>
        </w:rPr>
        <w:t>=</w:t>
      </w:r>
      <w:r>
        <w:rPr>
          <w:rStyle w:val="NormalTok"/>
        </w:rPr>
        <w:t>calculate(</w:t>
      </w:r>
      <w:r>
        <w:rPr>
          <w:rStyle w:val="BuiltInTok"/>
        </w:rPr>
        <w:t>dict</w:t>
      </w:r>
      <w:r>
        <w:rPr>
          <w:rStyle w:val="NormalTok"/>
        </w:rPr>
        <w:t>(DEFAULT,miv</w:t>
      </w:r>
      <w:r>
        <w:rPr>
          <w:rStyle w:val="OperatorTok"/>
        </w:rPr>
        <w:t>=</w:t>
      </w:r>
      <w:r>
        <w:rPr>
          <w:rStyle w:val="NormalTok"/>
        </w:rPr>
        <w:t>m,free_pv</w:t>
      </w:r>
      <w:r>
        <w:rPr>
          <w:rStyle w:val="OperatorTok"/>
        </w:rPr>
        <w:t>=</w:t>
      </w:r>
      <w:r>
        <w:rPr>
          <w:rStyle w:val="NormalTok"/>
        </w:rPr>
        <w:t>f))</w:t>
      </w:r>
      <w:r>
        <w:br/>
      </w:r>
      <w:r>
        <w:rPr>
          <w:rStyle w:val="NormalTok"/>
        </w:rPr>
        <w:t xml:space="preserve">    </w:t>
      </w:r>
      <w:r>
        <w:rPr>
          <w:rStyle w:val="ControlFlowTok"/>
        </w:rPr>
        <w:t>assert</w:t>
      </w:r>
      <w:r>
        <w:rPr>
          <w:rStyle w:val="NormalTok"/>
        </w:rPr>
        <w:t xml:space="preserve"> np.isclose(result[</w:t>
      </w:r>
      <w:r>
        <w:rPr>
          <w:rStyle w:val="StringTok"/>
        </w:rPr>
        <w:t>'extended'</w:t>
      </w:r>
      <w:r>
        <w:rPr>
          <w:rStyle w:val="NormalTok"/>
        </w:rPr>
        <w:t>]</w:t>
      </w:r>
      <w:r>
        <w:rPr>
          <w:rStyle w:val="OperatorTok"/>
        </w:rPr>
        <w:t>-</w:t>
      </w:r>
      <w:r>
        <w:rPr>
          <w:rStyle w:val="NormalTok"/>
        </w:rPr>
        <w:t>result[</w:t>
      </w:r>
      <w:r>
        <w:rPr>
          <w:rStyle w:val="StringTok"/>
        </w:rPr>
        <w:t>'target_extended'</w:t>
      </w:r>
      <w:r>
        <w:rPr>
          <w:rStyle w:val="NormalTok"/>
        </w:rPr>
        <w:t>],result[</w:t>
      </w:r>
      <w:r>
        <w:rPr>
          <w:rStyle w:val="StringTok"/>
        </w:rPr>
        <w:t>'gap'</w:t>
      </w:r>
      <w:r>
        <w:rPr>
          <w:rStyle w:val="NormalTok"/>
        </w:rPr>
        <w:t>])</w:t>
      </w:r>
      <w:r>
        <w:br/>
      </w:r>
      <w:r>
        <w:rPr>
          <w:rStyle w:val="NormalTok"/>
        </w:rPr>
        <w:t>display(pd.DataFrame([reference],index</w:t>
      </w:r>
      <w:r>
        <w:rPr>
          <w:rStyle w:val="OperatorTok"/>
        </w:rPr>
        <w:t>=</w:t>
      </w:r>
      <w:r>
        <w:rPr>
          <w:rStyle w:val="NormalTok"/>
        </w:rPr>
        <w:t>[</w:t>
      </w:r>
      <w:r>
        <w:rPr>
          <w:rStyle w:val="StringTok"/>
        </w:rPr>
        <w:t>'Referenz; PJ_el/a'</w:t>
      </w:r>
      <w:r>
        <w:rPr>
          <w:rStyle w:val="NormalTok"/>
        </w:rPr>
        <w:t>]).T)</w:t>
      </w:r>
      <w:r>
        <w:br/>
      </w:r>
      <w:r>
        <w:rPr>
          <w:rStyle w:val="NormalTok"/>
        </w:rPr>
        <w:t>payload</w:t>
      </w:r>
      <w:r>
        <w:rPr>
          <w:rStyle w:val="OperatorTok"/>
        </w:rPr>
        <w:t>=</w:t>
      </w:r>
      <w:r>
        <w:rPr>
          <w:rStyle w:val="BuiltInTok"/>
        </w:rPr>
        <w:t>dict</w:t>
      </w:r>
      <w:r>
        <w:rPr>
          <w:rStyle w:val="NormalTok"/>
        </w:rPr>
        <w:t>(defaults</w:t>
      </w:r>
      <w:r>
        <w:rPr>
          <w:rStyle w:val="OperatorTok"/>
        </w:rPr>
        <w:t>=</w:t>
      </w:r>
      <w:r>
        <w:rPr>
          <w:rStyle w:val="NormalTok"/>
        </w:rPr>
        <w:t>DEFAULT,reference</w:t>
      </w:r>
      <w:r>
        <w:rPr>
          <w:rStyle w:val="OperatorTok"/>
        </w:rPr>
        <w:t>=</w:t>
      </w:r>
      <w:r>
        <w:rPr>
          <w:rStyle w:val="NormalTok"/>
        </w:rPr>
        <w:t>reference,g</w:t>
      </w:r>
      <w:r>
        <w:rPr>
          <w:rStyle w:val="OperatorTok"/>
        </w:rPr>
        <w:t>=</w:t>
      </w:r>
      <w:r>
        <w:rPr>
          <w:rStyle w:val="NormalTok"/>
        </w:rPr>
        <w:t>g,d</w:t>
      </w:r>
      <w:r>
        <w:rPr>
          <w:rStyle w:val="OperatorTok"/>
        </w:rPr>
        <w:t>=</w:t>
      </w:r>
      <w:r>
        <w:rPr>
          <w:rStyle w:val="NormalTok"/>
        </w:rPr>
        <w:t>d,residual</w:t>
      </w:r>
      <w:r>
        <w:rPr>
          <w:rStyle w:val="OperatorTok"/>
        </w:rPr>
        <w:t>=</w:t>
      </w:r>
      <w:r>
        <w:rPr>
          <w:rStyle w:val="NormalTok"/>
        </w:rPr>
        <w:t>residual,</w:t>
      </w:r>
      <w:r>
        <w:br/>
      </w:r>
      <w:r>
        <w:rPr>
          <w:rStyle w:val="NormalTok"/>
        </w:rPr>
        <w:t xml:space="preserve">             geometry</w:t>
      </w:r>
      <w:r>
        <w:rPr>
          <w:rStyle w:val="OperatorTok"/>
        </w:rPr>
        <w:t>=</w:t>
      </w:r>
      <w:r>
        <w:rPr>
          <w:rStyle w:val="NormalTok"/>
        </w:rPr>
        <w:t>geometry.reset_index().to_dict(</w:t>
      </w:r>
      <w:r>
        <w:rPr>
          <w:rStyle w:val="StringTok"/>
        </w:rPr>
        <w:t>'records'</w:t>
      </w:r>
      <w:r>
        <w:rPr>
          <w:rStyle w:val="NormalTok"/>
        </w:rPr>
        <w:t>),</w:t>
      </w:r>
      <w:r>
        <w:br/>
      </w:r>
      <w:r>
        <w:rPr>
          <w:rStyle w:val="NormalTok"/>
        </w:rPr>
        <w:t xml:space="preserve">             bins</w:t>
      </w:r>
      <w:r>
        <w:rPr>
          <w:rStyle w:val="OperatorTok"/>
        </w:rPr>
        <w:t>=</w:t>
      </w:r>
      <w:r>
        <w:rPr>
          <w:rStyle w:val="NormalTok"/>
        </w:rPr>
        <w:t>bins[[</w:t>
      </w:r>
      <w:r>
        <w:rPr>
          <w:rStyle w:val="StringTok"/>
        </w:rPr>
        <w:t>'Geometrie'</w:t>
      </w:r>
      <w:r>
        <w:rPr>
          <w:rStyle w:val="NormalTok"/>
        </w:rPr>
        <w:t>,</w:t>
      </w:r>
      <w:r>
        <w:rPr>
          <w:rStyle w:val="StringTok"/>
        </w:rPr>
        <w:t>'GFZ'</w:t>
      </w:r>
      <w:r>
        <w:rPr>
          <w:rStyle w:val="NormalTok"/>
        </w:rPr>
        <w:t>,</w:t>
      </w:r>
      <w:r>
        <w:rPr>
          <w:rStyle w:val="StringTok"/>
        </w:rPr>
        <w:t>'s'</w:t>
      </w:r>
      <w:r>
        <w:rPr>
          <w:rStyle w:val="NormalTok"/>
        </w:rPr>
        <w:t>]].to_dict(</w:t>
      </w:r>
      <w:r>
        <w:rPr>
          <w:rStyle w:val="StringTok"/>
        </w:rPr>
        <w:t>'records'</w:t>
      </w:r>
      <w:r>
        <w:rPr>
          <w:rStyle w:val="NormalTok"/>
        </w:rPr>
        <w:t>),</w:t>
      </w:r>
      <w:r>
        <w:br/>
      </w:r>
      <w:r>
        <w:rPr>
          <w:rStyle w:val="NormalTok"/>
        </w:rPr>
        <w:t xml:space="preserve">             provenance</w:t>
      </w:r>
      <w:r>
        <w:rPr>
          <w:rStyle w:val="OperatorTok"/>
        </w:rPr>
        <w:t>=</w:t>
      </w:r>
      <w:r>
        <w:rPr>
          <w:rStyle w:val="NormalTok"/>
        </w:rPr>
        <w:t>{</w:t>
      </w:r>
      <w:r>
        <w:rPr>
          <w:rStyle w:val="BuiltInTok"/>
        </w:rPr>
        <w:t>str</w:t>
      </w:r>
      <w:r>
        <w:rPr>
          <w:rStyle w:val="NormalTok"/>
        </w:rPr>
        <w:t xml:space="preserve">(p.relative_to(ROOT)) </w:t>
      </w:r>
      <w:r>
        <w:rPr>
          <w:rStyle w:val="ControlFlowTok"/>
        </w:rPr>
        <w:t>if</w:t>
      </w:r>
      <w:r>
        <w:rPr>
          <w:rStyle w:val="NormalTok"/>
        </w:rPr>
        <w:t xml:space="preserve"> p.is_relative_to(ROOT) </w:t>
      </w:r>
      <w:r>
        <w:rPr>
          <w:rStyle w:val="ControlFlowTok"/>
        </w:rPr>
        <w:t>else</w:t>
      </w:r>
      <w:r>
        <w:rPr>
          <w:rStyle w:val="NormalTok"/>
        </w:rPr>
        <w:t xml:space="preserve"> </w:t>
      </w:r>
      <w:r>
        <w:rPr>
          <w:rStyle w:val="BuiltInTok"/>
        </w:rPr>
        <w:t>str</w:t>
      </w:r>
      <w:r>
        <w:rPr>
          <w:rStyle w:val="NormalTok"/>
        </w:rPr>
        <w:t xml:space="preserve">(p):sha256(p) </w:t>
      </w:r>
      <w:r>
        <w:rPr>
          <w:rStyle w:val="ControlFlowTok"/>
        </w:rPr>
        <w:t>for</w:t>
      </w:r>
      <w:r>
        <w:rPr>
          <w:rStyle w:val="NormalTok"/>
        </w:rPr>
        <w:t xml:space="preserve"> p </w:t>
      </w:r>
      <w:r>
        <w:rPr>
          <w:rStyle w:val="KeywordTok"/>
        </w:rPr>
        <w:t>in</w:t>
      </w:r>
      <w:r>
        <w:rPr>
          <w:rStyle w:val="NormalTok"/>
        </w:rPr>
        <w:t xml:space="preserve"> source_files},</w:t>
      </w:r>
      <w:r>
        <w:br/>
      </w:r>
      <w:r>
        <w:rPr>
          <w:rStyle w:val="NormalTok"/>
        </w:rPr>
        <w:t xml:space="preserve">             scenario</w:t>
      </w:r>
      <w:r>
        <w:rPr>
          <w:rStyle w:val="OperatorTok"/>
        </w:rPr>
        <w:t>=</w:t>
      </w:r>
      <w:r>
        <w:rPr>
          <w:rStyle w:val="NormalTok"/>
        </w:rPr>
        <w:t>SCENARIO,area_column</w:t>
      </w:r>
      <w:r>
        <w:rPr>
          <w:rStyle w:val="OperatorTok"/>
        </w:rPr>
        <w:t>=</w:t>
      </w:r>
      <w:r>
        <w:rPr>
          <w:rStyle w:val="NormalTok"/>
        </w:rPr>
        <w:t>AREA_COLUMN,xlsx</w:t>
      </w:r>
      <w:r>
        <w:rPr>
          <w:rStyle w:val="OperatorTok"/>
        </w:rPr>
        <w:t>=</w:t>
      </w:r>
      <w:r>
        <w:rPr>
          <w:rStyle w:val="BuiltInTok"/>
        </w:rPr>
        <w:t>str</w:t>
      </w:r>
      <w:r>
        <w:rPr>
          <w:rStyle w:val="NormalTok"/>
        </w:rPr>
        <w:t>(XLSX))</w:t>
      </w:r>
    </w:p>
    <w:tbl>
      <w:tblPr>
        <w:tblStyle w:val="Table"/>
        <w:tblW w:w="0" w:type="auto"/>
        <w:tblLook w:val="0020" w:firstRow="1" w:lastRow="0" w:firstColumn="0" w:lastColumn="0" w:noHBand="0" w:noVBand="0"/>
      </w:tblPr>
      <w:tblGrid>
        <w:gridCol w:w="1897"/>
        <w:gridCol w:w="1975"/>
      </w:tblGrid>
      <w:tr w:rsidR="004E4CC2" w14:paraId="084FBDC0"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0" w:type="auto"/>
          </w:tcPr>
          <w:p w14:paraId="62ED2489" w14:textId="77777777" w:rsidR="004E4CC2" w:rsidRDefault="004E4CC2">
            <w:pPr>
              <w:pStyle w:val="Compact"/>
            </w:pPr>
          </w:p>
        </w:tc>
        <w:tc>
          <w:tcPr>
            <w:tcW w:w="0" w:type="auto"/>
          </w:tcPr>
          <w:p w14:paraId="3E9F821F" w14:textId="77777777" w:rsidR="004E4CC2" w:rsidRDefault="00000000">
            <w:pPr>
              <w:pStyle w:val="Compact"/>
            </w:pPr>
            <w:r>
              <w:t>Referenz; PJ_el/a</w:t>
            </w:r>
          </w:p>
        </w:tc>
      </w:tr>
      <w:tr w:rsidR="004E4CC2" w14:paraId="5D4195C1" w14:textId="77777777">
        <w:tc>
          <w:tcPr>
            <w:tcW w:w="0" w:type="auto"/>
          </w:tcPr>
          <w:p w14:paraId="762F2419" w14:textId="77777777" w:rsidR="004E4CC2" w:rsidRDefault="00000000">
            <w:pPr>
              <w:pStyle w:val="Compact"/>
            </w:pPr>
            <w:r>
              <w:t>demand</w:t>
            </w:r>
          </w:p>
        </w:tc>
        <w:tc>
          <w:tcPr>
            <w:tcW w:w="0" w:type="auto"/>
          </w:tcPr>
          <w:p w14:paraId="0988B983" w14:textId="77777777" w:rsidR="004E4CC2" w:rsidRDefault="00000000">
            <w:pPr>
              <w:pStyle w:val="Compact"/>
            </w:pPr>
            <w:r>
              <w:t>137.493260</w:t>
            </w:r>
          </w:p>
        </w:tc>
      </w:tr>
      <w:tr w:rsidR="004E4CC2" w14:paraId="76D61590" w14:textId="77777777">
        <w:tc>
          <w:tcPr>
            <w:tcW w:w="0" w:type="auto"/>
          </w:tcPr>
          <w:p w14:paraId="381AEBAC" w14:textId="77777777" w:rsidR="004E4CC2" w:rsidRDefault="00000000">
            <w:pPr>
              <w:pStyle w:val="Compact"/>
            </w:pPr>
            <w:r>
              <w:t>pv</w:t>
            </w:r>
          </w:p>
        </w:tc>
        <w:tc>
          <w:tcPr>
            <w:tcW w:w="0" w:type="auto"/>
          </w:tcPr>
          <w:p w14:paraId="7BD00829" w14:textId="77777777" w:rsidR="004E4CC2" w:rsidRDefault="00000000">
            <w:pPr>
              <w:pStyle w:val="Compact"/>
            </w:pPr>
            <w:r>
              <w:t>78.245462</w:t>
            </w:r>
          </w:p>
        </w:tc>
      </w:tr>
      <w:tr w:rsidR="004E4CC2" w14:paraId="4EE44BDF" w14:textId="77777777">
        <w:tc>
          <w:tcPr>
            <w:tcW w:w="0" w:type="auto"/>
          </w:tcPr>
          <w:p w14:paraId="0E061B25" w14:textId="77777777" w:rsidR="004E4CC2" w:rsidRDefault="00000000">
            <w:pPr>
              <w:pStyle w:val="Compact"/>
            </w:pPr>
            <w:r>
              <w:t>balance</w:t>
            </w:r>
          </w:p>
        </w:tc>
        <w:tc>
          <w:tcPr>
            <w:tcW w:w="0" w:type="auto"/>
          </w:tcPr>
          <w:p w14:paraId="1B4C083A" w14:textId="77777777" w:rsidR="004E4CC2" w:rsidRDefault="00000000">
            <w:pPr>
              <w:pStyle w:val="Compact"/>
            </w:pPr>
            <w:r>
              <w:t>-59.247798</w:t>
            </w:r>
          </w:p>
        </w:tc>
      </w:tr>
      <w:tr w:rsidR="004E4CC2" w14:paraId="46254882" w14:textId="77777777">
        <w:tc>
          <w:tcPr>
            <w:tcW w:w="0" w:type="auto"/>
          </w:tcPr>
          <w:p w14:paraId="273F89B2" w14:textId="77777777" w:rsidR="004E4CC2" w:rsidRDefault="00000000">
            <w:pPr>
              <w:pStyle w:val="Compact"/>
            </w:pPr>
            <w:r>
              <w:t>target</w:t>
            </w:r>
          </w:p>
        </w:tc>
        <w:tc>
          <w:tcPr>
            <w:tcW w:w="0" w:type="auto"/>
          </w:tcPr>
          <w:p w14:paraId="4B9249C8" w14:textId="77777777" w:rsidR="004E4CC2" w:rsidRDefault="00000000">
            <w:pPr>
              <w:pStyle w:val="Compact"/>
            </w:pPr>
            <w:r>
              <w:t>41.000000</w:t>
            </w:r>
          </w:p>
        </w:tc>
      </w:tr>
      <w:tr w:rsidR="004E4CC2" w14:paraId="5F518087" w14:textId="77777777">
        <w:tc>
          <w:tcPr>
            <w:tcW w:w="0" w:type="auto"/>
          </w:tcPr>
          <w:p w14:paraId="1F5B8EAD" w14:textId="77777777" w:rsidR="004E4CC2" w:rsidRDefault="00000000">
            <w:pPr>
              <w:pStyle w:val="Compact"/>
            </w:pPr>
            <w:r>
              <w:t>budget</w:t>
            </w:r>
          </w:p>
        </w:tc>
        <w:tc>
          <w:tcPr>
            <w:tcW w:w="0" w:type="auto"/>
          </w:tcPr>
          <w:p w14:paraId="167D4875" w14:textId="77777777" w:rsidR="004E4CC2" w:rsidRDefault="00000000">
            <w:pPr>
              <w:pStyle w:val="Compact"/>
            </w:pPr>
            <w:r>
              <w:t>24.000000</w:t>
            </w:r>
          </w:p>
        </w:tc>
      </w:tr>
      <w:tr w:rsidR="004E4CC2" w14:paraId="5D54A4C1" w14:textId="77777777">
        <w:tc>
          <w:tcPr>
            <w:tcW w:w="0" w:type="auto"/>
          </w:tcPr>
          <w:p w14:paraId="54BC9495" w14:textId="77777777" w:rsidR="004E4CC2" w:rsidRDefault="00000000">
            <w:pPr>
              <w:pStyle w:val="Compact"/>
            </w:pPr>
            <w:r>
              <w:t>extended</w:t>
            </w:r>
          </w:p>
        </w:tc>
        <w:tc>
          <w:tcPr>
            <w:tcW w:w="0" w:type="auto"/>
          </w:tcPr>
          <w:p w14:paraId="619CF44A" w14:textId="77777777" w:rsidR="004E4CC2" w:rsidRDefault="00000000">
            <w:pPr>
              <w:pStyle w:val="Compact"/>
            </w:pPr>
            <w:r>
              <w:t>-107.247798</w:t>
            </w:r>
          </w:p>
        </w:tc>
      </w:tr>
      <w:tr w:rsidR="004E4CC2" w14:paraId="3F4AB69B" w14:textId="77777777">
        <w:tc>
          <w:tcPr>
            <w:tcW w:w="0" w:type="auto"/>
          </w:tcPr>
          <w:p w14:paraId="13417335" w14:textId="77777777" w:rsidR="004E4CC2" w:rsidRDefault="00000000">
            <w:pPr>
              <w:pStyle w:val="Compact"/>
            </w:pPr>
            <w:r>
              <w:t>target_extended</w:t>
            </w:r>
          </w:p>
        </w:tc>
        <w:tc>
          <w:tcPr>
            <w:tcW w:w="0" w:type="auto"/>
          </w:tcPr>
          <w:p w14:paraId="50ED6BBB" w14:textId="77777777" w:rsidR="004E4CC2" w:rsidRDefault="00000000">
            <w:pPr>
              <w:pStyle w:val="Compact"/>
            </w:pPr>
            <w:r>
              <w:t>-7.000000</w:t>
            </w:r>
          </w:p>
        </w:tc>
      </w:tr>
      <w:tr w:rsidR="004E4CC2" w14:paraId="15617F5E" w14:textId="77777777">
        <w:tc>
          <w:tcPr>
            <w:tcW w:w="0" w:type="auto"/>
          </w:tcPr>
          <w:p w14:paraId="304C31B3" w14:textId="77777777" w:rsidR="004E4CC2" w:rsidRDefault="00000000">
            <w:pPr>
              <w:pStyle w:val="Compact"/>
            </w:pPr>
            <w:r>
              <w:t>gap</w:t>
            </w:r>
          </w:p>
        </w:tc>
        <w:tc>
          <w:tcPr>
            <w:tcW w:w="0" w:type="auto"/>
          </w:tcPr>
          <w:p w14:paraId="761B6E40" w14:textId="77777777" w:rsidR="004E4CC2" w:rsidRDefault="00000000">
            <w:pPr>
              <w:pStyle w:val="Compact"/>
            </w:pPr>
            <w:r>
              <w:t>-100.247798</w:t>
            </w:r>
          </w:p>
        </w:tc>
      </w:tr>
      <w:tr w:rsidR="004E4CC2" w14:paraId="006F22A4" w14:textId="77777777">
        <w:tc>
          <w:tcPr>
            <w:tcW w:w="0" w:type="auto"/>
          </w:tcPr>
          <w:p w14:paraId="58600533" w14:textId="77777777" w:rsidR="004E4CC2" w:rsidRDefault="00000000">
            <w:pPr>
              <w:pStyle w:val="Compact"/>
            </w:pPr>
            <w:r>
              <w:t>raw</w:t>
            </w:r>
          </w:p>
        </w:tc>
        <w:tc>
          <w:tcPr>
            <w:tcW w:w="0" w:type="auto"/>
          </w:tcPr>
          <w:p w14:paraId="76B45D60" w14:textId="77777777" w:rsidR="004E4CC2" w:rsidRDefault="00000000">
            <w:pPr>
              <w:pStyle w:val="Compact"/>
            </w:pPr>
            <w:r>
              <w:t>24.000000</w:t>
            </w:r>
          </w:p>
        </w:tc>
      </w:tr>
      <w:tr w:rsidR="004E4CC2" w14:paraId="45FBB3CC" w14:textId="77777777">
        <w:tc>
          <w:tcPr>
            <w:tcW w:w="0" w:type="auto"/>
          </w:tcPr>
          <w:p w14:paraId="42909D4F" w14:textId="77777777" w:rsidR="004E4CC2" w:rsidRDefault="00000000">
            <w:pPr>
              <w:pStyle w:val="Compact"/>
            </w:pPr>
            <w:r>
              <w:t>closure</w:t>
            </w:r>
          </w:p>
        </w:tc>
        <w:tc>
          <w:tcPr>
            <w:tcW w:w="0" w:type="auto"/>
          </w:tcPr>
          <w:p w14:paraId="40EFAE3A" w14:textId="77777777" w:rsidR="004E4CC2" w:rsidRDefault="00000000">
            <w:pPr>
              <w:pStyle w:val="Compact"/>
            </w:pPr>
            <w:r>
              <w:t>-2.000000</w:t>
            </w:r>
          </w:p>
        </w:tc>
      </w:tr>
    </w:tbl>
    <w:p w14:paraId="642D72F2" w14:textId="77777777" w:rsidR="004E4CC2" w:rsidRDefault="00000000">
      <w:pPr>
        <w:pStyle w:val="berschrift2"/>
      </w:pPr>
      <w:bookmarkStart w:id="436" w:name="dashboard-verändern-vergleichen-sichern"/>
      <w:bookmarkStart w:id="437" w:name="_Toc243681396"/>
      <w:bookmarkEnd w:id="434"/>
      <w:r>
        <w:t>G.4 Dashboard: verändern, vergleichen, sichern</w:t>
      </w:r>
      <w:bookmarkEnd w:id="437"/>
    </w:p>
    <w:p w14:paraId="3E9FA5F3" w14:textId="77777777" w:rsidR="004E4CC2" w:rsidRDefault="00000000">
      <w:pPr>
        <w:pStyle w:val="FirstParagraph"/>
      </w:pPr>
      <w:r>
        <w:t xml:space="preserve">Die Startwerte entsprechen dem dokumentierten Rechenbeispiel, </w:t>
      </w:r>
      <w:r>
        <w:rPr>
          <w:b/>
          <w:bCs/>
        </w:rPr>
        <w:t>keiner normativen Freigabe</w:t>
      </w:r>
      <w:r>
        <w:t xml:space="preserve">. Gebäude-PV/ÖPNV werden jeweils als Restanteile berechnet. „Übriger </w:t>
      </w:r>
      <w:r>
        <w:lastRenderedPageBreak/>
        <w:t>Verkehr“ bleibt eigenständig. Grün/Blau kennzeichnen Erzeugung und Bedarf, Orange den Zielwert, Violett virtuelle Kontextwerte. Alle Diagramme verwenden die aktuelle Parametrierung.</w:t>
      </w:r>
    </w:p>
    <w:p w14:paraId="0DAE34AC" w14:textId="77777777" w:rsidR="004E4CC2" w:rsidRDefault="00000000">
      <w:pPr>
        <w:pStyle w:val="Textkrper"/>
      </w:pPr>
      <w:r>
        <w:t>Die angezeigte zusätzliche PV-Lücke ist ein algebraischer Rest bei konstantem Bedarf, kein Standort-, Flächen- oder Machbarkeitsnachweis. Die Dichtekurve darf verändert werden, aber wird nicht automatisch optimiert. Die finale Publikation verwendet weiterhin nur die bewusst übernommenen wissenschaftlichen Modellstände.</w:t>
      </w:r>
    </w:p>
    <w:p w14:paraId="6F275258" w14:textId="77777777" w:rsidR="004E4CC2" w:rsidRDefault="00000000">
      <w:pPr>
        <w:pStyle w:val="SourceCode"/>
      </w:pPr>
      <w:r>
        <w:rPr>
          <w:rStyle w:val="CommentTok"/>
        </w:rPr>
        <w:t># Technische HTML-Darstellung; die wissenschaftliche Referenzrechnung steht oben.</w:t>
      </w:r>
      <w:r>
        <w:br/>
      </w:r>
      <w:r>
        <w:rPr>
          <w:rStyle w:val="NormalTok"/>
        </w:rPr>
        <w:t>template</w:t>
      </w:r>
      <w:r>
        <w:rPr>
          <w:rStyle w:val="OperatorTok"/>
        </w:rPr>
        <w:t>=</w:t>
      </w:r>
      <w:r>
        <w:rPr>
          <w:rStyle w:val="NormalTok"/>
        </w:rPr>
        <w:t>(BASE</w:t>
      </w:r>
      <w:r>
        <w:rPr>
          <w:rStyle w:val="OperatorTok"/>
        </w:rPr>
        <w:t>/</w:t>
      </w:r>
      <w:r>
        <w:rPr>
          <w:rStyle w:val="StringTok"/>
        </w:rPr>
        <w:t>'dashboard_template.html'</w:t>
      </w:r>
      <w:r>
        <w:rPr>
          <w:rStyle w:val="NormalTok"/>
        </w:rPr>
        <w:t>).read_text(encoding</w:t>
      </w:r>
      <w:r>
        <w:rPr>
          <w:rStyle w:val="OperatorTok"/>
        </w:rPr>
        <w:t>=</w:t>
      </w:r>
      <w:r>
        <w:rPr>
          <w:rStyle w:val="StringTok"/>
        </w:rPr>
        <w:t>'utf-8'</w:t>
      </w:r>
      <w:r>
        <w:rPr>
          <w:rStyle w:val="NormalTok"/>
        </w:rPr>
        <w:t>)</w:t>
      </w:r>
      <w:r>
        <w:br/>
      </w:r>
      <w:r>
        <w:rPr>
          <w:rStyle w:val="NormalTok"/>
        </w:rPr>
        <w:t>encoded</w:t>
      </w:r>
      <w:r>
        <w:rPr>
          <w:rStyle w:val="OperatorTok"/>
        </w:rPr>
        <w:t>=</w:t>
      </w:r>
      <w:r>
        <w:rPr>
          <w:rStyle w:val="NormalTok"/>
        </w:rPr>
        <w:t>json.dumps(payload,ensure_ascii</w:t>
      </w:r>
      <w:r>
        <w:rPr>
          <w:rStyle w:val="OperatorTok"/>
        </w:rPr>
        <w:t>=</w:t>
      </w:r>
      <w:r>
        <w:rPr>
          <w:rStyle w:val="VariableTok"/>
        </w:rPr>
        <w:t>False</w:t>
      </w:r>
      <w:r>
        <w:rPr>
          <w:rStyle w:val="NormalTok"/>
        </w:rPr>
        <w:t>,allow_nan</w:t>
      </w:r>
      <w:r>
        <w:rPr>
          <w:rStyle w:val="OperatorTok"/>
        </w:rPr>
        <w:t>=</w:t>
      </w:r>
      <w:r>
        <w:rPr>
          <w:rStyle w:val="VariableTok"/>
        </w:rPr>
        <w:t>False</w:t>
      </w:r>
      <w:r>
        <w:rPr>
          <w:rStyle w:val="NormalTok"/>
        </w:rPr>
        <w:t>).replace(</w:t>
      </w:r>
      <w:r>
        <w:rPr>
          <w:rStyle w:val="StringTok"/>
        </w:rPr>
        <w:t>'&lt;'</w:t>
      </w:r>
      <w:r>
        <w:rPr>
          <w:rStyle w:val="NormalTok"/>
        </w:rPr>
        <w:t>,</w:t>
      </w:r>
      <w:r>
        <w:rPr>
          <w:rStyle w:val="VerbatimStringTok"/>
        </w:rPr>
        <w:t>r'</w:t>
      </w:r>
      <w:r>
        <w:rPr>
          <w:rStyle w:val="CharTok"/>
        </w:rPr>
        <w:t>\u003c</w:t>
      </w:r>
      <w:r>
        <w:rPr>
          <w:rStyle w:val="VerbatimStringTok"/>
        </w:rPr>
        <w:t>'</w:t>
      </w:r>
      <w:r>
        <w:rPr>
          <w:rStyle w:val="NormalTok"/>
        </w:rPr>
        <w:t>)</w:t>
      </w:r>
      <w:r>
        <w:br/>
      </w:r>
      <w:r>
        <w:rPr>
          <w:rStyle w:val="NormalTok"/>
        </w:rPr>
        <w:t>display(HTML(template.replace(</w:t>
      </w:r>
      <w:r>
        <w:rPr>
          <w:rStyle w:val="StringTok"/>
        </w:rPr>
        <w:t>'__PAYLOAD__'</w:t>
      </w:r>
      <w:r>
        <w:rPr>
          <w:rStyle w:val="NormalTok"/>
        </w:rPr>
        <w:t>,encoded)))</w:t>
      </w:r>
    </w:p>
    <w:p w14:paraId="528EEC15" w14:textId="77777777" w:rsidR="004E4CC2" w:rsidRDefault="00000000">
      <w:pPr>
        <w:pStyle w:val="SourceCode"/>
      </w:pPr>
      <w:r>
        <w:rPr>
          <w:rStyle w:val="VerbatimChar"/>
        </w:rPr>
        <w:t>&lt;IPython.core.display.HTML object&gt;</w:t>
      </w:r>
    </w:p>
    <w:p w14:paraId="5003D40B" w14:textId="77777777" w:rsidR="004E4CC2" w:rsidRDefault="00000000">
      <w:pPr>
        <w:pStyle w:val="berschrift1"/>
      </w:pPr>
      <w:bookmarkStart w:id="438" w:name="sec-review-methodik"/>
      <w:bookmarkStart w:id="439" w:name="_Toc243681397"/>
      <w:bookmarkEnd w:id="428"/>
      <w:bookmarkEnd w:id="436"/>
      <w:r>
        <w:t>Appendix H — Review der Methodik: Verständlichkeit und Gliederung</w:t>
      </w:r>
      <w:bookmarkEnd w:id="439"/>
    </w:p>
    <w:p w14:paraId="3DEA91D9" w14:textId="77777777" w:rsidR="004E4CC2" w:rsidRDefault="00000000">
      <w:pPr>
        <w:pStyle w:val="FirstParagraph"/>
      </w:pPr>
      <w:r>
        <w:t xml:space="preserve">Stand: 23.10.2026. Vergleichsbasis: </w:t>
      </w:r>
      <w:r>
        <w:rPr>
          <w:rStyle w:val="VerbatimChar"/>
        </w:rPr>
        <w:t>d7705cd</w:t>
      </w:r>
      <w:r>
        <w:t xml:space="preserve">, Bearbeitung auf </w:t>
      </w:r>
      <w:r>
        <w:rPr>
          <w:rStyle w:val="VerbatimChar"/>
        </w:rPr>
        <w:t>main</w:t>
      </w:r>
      <w:r>
        <w:t>. Alle zehn Methodikkapitel wurden geprüft. Dieser Bericht dokumentiert redaktionelle Änderungen und die ausdrücklich ergänzte Dichte-Bewertungsvariante; eine normative Neukalibrierung ist damit nicht verbunden.</w:t>
      </w:r>
    </w:p>
    <w:p w14:paraId="6AEA023A" w14:textId="77777777" w:rsidR="004E4CC2" w:rsidRDefault="00000000">
      <w:pPr>
        <w:pStyle w:val="berschrift2"/>
      </w:pPr>
      <w:bookmarkStart w:id="440" w:name="nummerierte-änderungen"/>
      <w:bookmarkStart w:id="441" w:name="_Toc243681398"/>
      <w:r>
        <w:t>H.1 Nummerierte Änderungen</w:t>
      </w:r>
      <w:bookmarkEnd w:id="441"/>
    </w:p>
    <w:p w14:paraId="2E646774" w14:textId="77777777" w:rsidR="004E4CC2" w:rsidRDefault="00000000">
      <w:pPr>
        <w:numPr>
          <w:ilvl w:val="0"/>
          <w:numId w:val="11"/>
        </w:numPr>
      </w:pPr>
      <w:r>
        <w:rPr>
          <w:b/>
          <w:bCs/>
        </w:rPr>
        <w:t>Gliederung Methodik.</w:t>
      </w:r>
      <w:r>
        <w:t xml:space="preserve"> Die Reihenfolge vom nationalen Zielbild über Allokation, Gebäudemodell und Kontextfaktoren zur THG- und Quartiersbilanz bleibt erhalten. Doppelte Erläuterungen und redaktionelle Produktionsanweisungen sind entfernt.</w:t>
      </w:r>
    </w:p>
    <w:p w14:paraId="5CE194B2" w14:textId="77777777" w:rsidR="004E4CC2" w:rsidRDefault="00000000">
      <w:pPr>
        <w:numPr>
          <w:ilvl w:val="0"/>
          <w:numId w:val="11"/>
        </w:numPr>
      </w:pPr>
      <w:r>
        <w:rPr>
          <w:b/>
          <w:bCs/>
        </w:rPr>
        <w:t>Sachstand statt Arbeitsauftrag.</w:t>
      </w:r>
      <w:r>
        <w:t xml:space="preserve"> Formulierungen mit „vorläufig“, „zukünftig“, „künftig“, „einzufügen“ und „noch zu ergänzen“ sind in den betroffenen Berichtstexten durch Modellannahme, Referenzfall oder konkreten Datenstatus ersetzt. Fehlende normative Festlegungen bleiben als solche benannt; sie werden nicht als beschlossene Ergebnisse dargestellt.</w:t>
      </w:r>
    </w:p>
    <w:p w14:paraId="55125C69" w14:textId="77777777" w:rsidR="004E4CC2" w:rsidRDefault="00000000">
      <w:pPr>
        <w:numPr>
          <w:ilvl w:val="0"/>
          <w:numId w:val="11"/>
        </w:numPr>
      </w:pPr>
      <w:r>
        <w:rPr>
          <w:b/>
          <w:bCs/>
        </w:rPr>
        <w:t>Methodikeinleitung.</w:t>
      </w:r>
      <w:r>
        <w:t xml:space="preserve"> Die Erklärung der Kontextbilanz wurde gekürzt. Das Statusfeld nennt Ergebnisse und nicht festgelegte Parameter statt einen noch abzuarbeitenden Arbeitsplan.</w:t>
      </w:r>
    </w:p>
    <w:p w14:paraId="3C7009A0" w14:textId="77777777" w:rsidR="004E4CC2" w:rsidRDefault="00000000">
      <w:pPr>
        <w:numPr>
          <w:ilvl w:val="0"/>
          <w:numId w:val="11"/>
        </w:numPr>
      </w:pPr>
      <w:r>
        <w:rPr>
          <w:b/>
          <w:bCs/>
        </w:rPr>
        <w:t>Zielszenario: Tabellen verschoben.</w:t>
      </w:r>
      <w:r>
        <w:t xml:space="preserve"> Die bisherigen Tabellen 4.1–4.4 stehen im Anhang „Nationale Energie- und Stromtabellen“. Tabellen-IDs und Daten bleiben erhalten, die Nummerierung folgt dem Anhang.</w:t>
      </w:r>
    </w:p>
    <w:p w14:paraId="312E2507" w14:textId="77777777" w:rsidR="004E4CC2" w:rsidRDefault="00000000">
      <w:pPr>
        <w:numPr>
          <w:ilvl w:val="0"/>
          <w:numId w:val="11"/>
        </w:numPr>
      </w:pPr>
      <w:r>
        <w:rPr>
          <w:b/>
          <w:bCs/>
        </w:rPr>
        <w:t>Zielszenario: Diagramme.</w:t>
      </w:r>
      <w:r>
        <w:t xml:space="preserve"> Die ersten drei Tabellen sind im Hauptkapitel durch Plotly-Stapelgrafiken ersetzt. Die Restetabelle wird als drei getrennte </w:t>
      </w:r>
      <w:r>
        <w:lastRenderedPageBreak/>
        <w:t>Bilanzidentitäten mit positiven/negativen Stapeln und Restmarkierung gezeigt; unabhängige Rundungsreste werden nicht sinnlos addiert.</w:t>
      </w:r>
    </w:p>
    <w:p w14:paraId="524F5894" w14:textId="77777777" w:rsidR="004E4CC2" w:rsidRDefault="00000000">
      <w:pPr>
        <w:numPr>
          <w:ilvl w:val="0"/>
          <w:numId w:val="11"/>
        </w:numPr>
      </w:pPr>
      <w:r>
        <w:rPr>
          <w:b/>
          <w:bCs/>
        </w:rPr>
        <w:t>Allokation: Glossar.</w:t>
      </w:r>
      <w:r>
        <w:t xml:space="preserve"> Definitionen für zentralen Pool, budgetfähig, Gebäude-/Freiflächen-PV, MIV-Anteil, ÖPNV, Mobilitätsbudget und Saldo ergänzt. „Budgetfähig“ ist eine Anrechnungsregel des Modells, kein Herkunftsnachweis.</w:t>
      </w:r>
    </w:p>
    <w:p w14:paraId="49061A34" w14:textId="77777777" w:rsidR="004E4CC2" w:rsidRDefault="00000000">
      <w:pPr>
        <w:numPr>
          <w:ilvl w:val="0"/>
          <w:numId w:val="11"/>
        </w:numPr>
      </w:pPr>
      <w:r>
        <w:rPr>
          <w:b/>
          <w:bCs/>
        </w:rPr>
        <w:t>Allokation: Variablen und Formel.</w:t>
      </w:r>
      <w:r>
        <w:t xml:space="preserve"> Die Symboltabelle verwendet renderbare Quarto-Mathematik. G_MIV bezeichnet das Budget; E_MIV den Bedarf. Die Formel enthält jetzt min/max-Begrenzungen entsprechend dem vorhandenen ausführbaren Algorithmus.</w:t>
      </w:r>
    </w:p>
    <w:p w14:paraId="0A282113" w14:textId="77777777" w:rsidR="004E4CC2" w:rsidRDefault="00000000">
      <w:pPr>
        <w:numPr>
          <w:ilvl w:val="0"/>
          <w:numId w:val="11"/>
        </w:numPr>
      </w:pPr>
      <w:r>
        <w:rPr>
          <w:b/>
          <w:bCs/>
        </w:rPr>
        <w:t>Allokation: zentraler Pool.</w:t>
      </w:r>
      <w:r>
        <w:t xml:space="preserve"> Die Schrittetabelle ist durch ein Plotly-Wasserfalldiagramm ersetzt. 303 PJ/a zentrale Erzeugung, priorisierte Bedarfe und 24 PJ/a MIV-Budget bleiben nachvollziehbar.</w:t>
      </w:r>
    </w:p>
    <w:p w14:paraId="408983C2" w14:textId="77777777" w:rsidR="004E4CC2" w:rsidRDefault="00000000">
      <w:pPr>
        <w:numPr>
          <w:ilvl w:val="0"/>
          <w:numId w:val="11"/>
        </w:numPr>
      </w:pPr>
      <w:r>
        <w:rPr>
          <w:b/>
          <w:bCs/>
        </w:rPr>
        <w:t>Allokation: Stellschrauben.</w:t>
      </w:r>
      <w:r>
        <w:t xml:space="preserve"> Die breite, begrifflich unklare Tabelle wurde in PV-Gesamtmenge/Gebäude/Freifläche, Verkehr-Gesamtmenge/ÖPNV/MIV/übriger Verkehr sowie Ergebnisse aufgeteilt. Absolute Mengen in PJ/a und die Bezugsgrößen der Prozentanteile sind explizit.</w:t>
      </w:r>
    </w:p>
    <w:p w14:paraId="7690899B" w14:textId="77777777" w:rsidR="004E4CC2" w:rsidRDefault="00000000">
      <w:pPr>
        <w:numPr>
          <w:ilvl w:val="0"/>
          <w:numId w:val="11"/>
        </w:numPr>
      </w:pPr>
      <w:r>
        <w:rPr>
          <w:b/>
          <w:bCs/>
        </w:rPr>
        <w:t>Allokation: Vergleichsgrafiken.</w:t>
      </w:r>
      <w:r>
        <w:t xml:space="preserve"> Je Variante werden Gebäudebedarf + MIV und Gebäude-PV + Mobilitätsgutschrift gegenübergestellt. Ein separates Diagramm zeigt Saldo und zentrale Unterdeckung. Dieselbe Darstellung steht im Allokationsnotebook.</w:t>
      </w:r>
    </w:p>
    <w:p w14:paraId="21FC013D" w14:textId="77777777" w:rsidR="004E4CC2" w:rsidRDefault="00000000">
      <w:pPr>
        <w:numPr>
          <w:ilvl w:val="0"/>
          <w:numId w:val="11"/>
        </w:numPr>
      </w:pPr>
      <w:r>
        <w:rPr>
          <w:b/>
          <w:bCs/>
        </w:rPr>
        <w:t>Gebäudemodell: PV-Herkunft.</w:t>
      </w:r>
      <w:r>
        <w:t xml:space="preserve"> Ergänzt: Die PV-Erzeugung ist die Summe der gelieferten Kennwerte PV_total_direct und PV_to_Egrid; Kontrolle gegen Tabelle2.PV_total. Keine neue Ertragssimulation und keine GFZ-Skalierung der PV.</w:t>
      </w:r>
    </w:p>
    <w:p w14:paraId="5BC83370" w14:textId="77777777" w:rsidR="004E4CC2" w:rsidRDefault="00000000">
      <w:pPr>
        <w:numPr>
          <w:ilvl w:val="0"/>
          <w:numId w:val="11"/>
        </w:numPr>
      </w:pPr>
      <w:r>
        <w:rPr>
          <w:b/>
          <w:bCs/>
        </w:rPr>
        <w:t>Gebäudemodell: Variablen.</w:t>
      </w:r>
      <w:r>
        <w:t xml:space="preserve"> Im Abschnitt 7 des Notebooks sind k, u, g, j, d_j, R, z, s, E[c_D], A_BGF und C_D mit Bedeutung und Einheit erklärt. Ein Zahlenbeispiel erläutert das negative Vorzeichen für EFH_1G.</w:t>
      </w:r>
    </w:p>
    <w:p w14:paraId="2A6A24F5" w14:textId="77777777" w:rsidR="004E4CC2" w:rsidRDefault="00000000">
      <w:pPr>
        <w:numPr>
          <w:ilvl w:val="0"/>
          <w:numId w:val="11"/>
        </w:numPr>
      </w:pPr>
      <w:r>
        <w:rPr>
          <w:b/>
          <w:bCs/>
        </w:rPr>
        <w:t>Gebäudemodell: alle Typen.</w:t>
      </w:r>
      <w:r>
        <w:t xml:space="preserve"> Plotly-Auswahl für alle 900 Typen ergänzt: spezifischer Strombedarf, PV und virtueller Dichtewert. Geometrieauswahl und Achsenregler ermöglichen lesbare Ausschnitte; Tooltip mit nationaler Fläche. Die nicht zugeordnete Klasse MFH_2G bleibt ohne Kontextwert.</w:t>
      </w:r>
    </w:p>
    <w:p w14:paraId="4518999B" w14:textId="77777777" w:rsidR="004E4CC2" w:rsidRDefault="00000000">
      <w:pPr>
        <w:numPr>
          <w:ilvl w:val="0"/>
          <w:numId w:val="11"/>
        </w:numPr>
      </w:pPr>
      <w:r>
        <w:rPr>
          <w:b/>
          <w:bCs/>
        </w:rPr>
        <w:t>Gebäudemodell: tatsächliche Anwendung der Dichteformel.</w:t>
      </w:r>
      <w:r>
        <w:t xml:space="preserve"> Neu berechneter Vergleichsfall über alle positiv gewichteten Flächen: C_D = −57,808696 PJ-Äquivalent/a. Dies ist eine ausdrücklich ausgewiesene Bewertungsvariante. Die bestehende physische Bilanz wird nicht überschrieben und PEQ-Berechtigung nicht unterstellt.</w:t>
      </w:r>
    </w:p>
    <w:p w14:paraId="5BC9978A" w14:textId="77777777" w:rsidR="004E4CC2" w:rsidRDefault="00000000">
      <w:pPr>
        <w:numPr>
          <w:ilvl w:val="0"/>
          <w:numId w:val="11"/>
        </w:numPr>
      </w:pPr>
      <w:r>
        <w:rPr>
          <w:b/>
          <w:bCs/>
        </w:rPr>
        <w:t>Gebäudemodell: Top-down/Bottom-up-Vergleich.</w:t>
      </w:r>
      <w:r>
        <w:t xml:space="preserve"> Abschnitt 8 zeigt drei Säulengruppen: UBA-Allokation, Gebäudepool und Gebäudepool einschließlich </w:t>
      </w:r>
      <w:r>
        <w:lastRenderedPageBreak/>
        <w:t>Dichteformel. Dieselbe MIV-Zuordnung gilt in allen Gruppen. Erweiterte Salden: −7,00 / −107,25 / −165,06 PJ bzw. PJ-EE-Äquivalent/a.</w:t>
      </w:r>
    </w:p>
    <w:p w14:paraId="5FC766DE" w14:textId="77777777" w:rsidR="004E4CC2" w:rsidRDefault="00000000">
      <w:pPr>
        <w:numPr>
          <w:ilvl w:val="0"/>
          <w:numId w:val="11"/>
        </w:numPr>
      </w:pPr>
      <w:r>
        <w:rPr>
          <w:b/>
          <w:bCs/>
        </w:rPr>
        <w:t>Dichtekalibrierung.</w:t>
      </w:r>
      <w:r>
        <w:t xml:space="preserve"> Wiederholte Hinweise zur Nichtvergleichbarkeit von Strom und PE gekürzt; stattdessen eine positive Definition von Aggregationseinheit und Umrechnung. Ein Arbeitsauftrag-Platzhalter wurde durch den Geltungsbereich des Entwurfs ersetzt.</w:t>
      </w:r>
    </w:p>
    <w:p w14:paraId="7FC23566" w14:textId="77777777" w:rsidR="004E4CC2" w:rsidRDefault="00000000">
      <w:pPr>
        <w:numPr>
          <w:ilvl w:val="0"/>
          <w:numId w:val="11"/>
        </w:numPr>
      </w:pPr>
      <w:r>
        <w:rPr>
          <w:b/>
          <w:bCs/>
        </w:rPr>
        <w:t>Mobilität und Sanierung.</w:t>
      </w:r>
      <w:r>
        <w:t xml:space="preserve"> Anweisungen „noch zu berechnen“ und „Tabelle ergänzen“ durch den dokumentierten Parameterstand ersetzt. Vorhandene historische Gutschriften werden weiterhin als historische Werte eingeordnet.</w:t>
      </w:r>
    </w:p>
    <w:p w14:paraId="588799B1" w14:textId="77777777" w:rsidR="004E4CC2" w:rsidRDefault="00000000">
      <w:pPr>
        <w:numPr>
          <w:ilvl w:val="0"/>
          <w:numId w:val="11"/>
        </w:numPr>
      </w:pPr>
      <w:r>
        <w:rPr>
          <w:b/>
          <w:bCs/>
        </w:rPr>
        <w:t>THG.</w:t>
      </w:r>
      <w:r>
        <w:t xml:space="preserve"> Doppelte Einleitung und triviale Wiederholungen gestrichen. Datenlücken sind als Datenumfang formuliert. Die Flächen- und Budgetannahmen, Systemgrenzen und Emissionspfade bleiben inhaltlich erhalten.</w:t>
      </w:r>
    </w:p>
    <w:p w14:paraId="651FFD15" w14:textId="77777777" w:rsidR="004E4CC2" w:rsidRDefault="00000000">
      <w:pPr>
        <w:numPr>
          <w:ilvl w:val="0"/>
          <w:numId w:val="11"/>
        </w:numPr>
      </w:pPr>
      <w:r>
        <w:rPr>
          <w:b/>
          <w:bCs/>
        </w:rPr>
        <w:t>Quartiersbilanz.</w:t>
      </w:r>
      <w:r>
        <w:t xml:space="preserve"> Vier Abbildungs-Produktionshinweise entfernt; vorhandene Abbildungen bleiben. Wiederholungen zu Flächen-/Einheitenvergleich, Speicher als Energiequelle, Autarkie und Zeitbegriffen gestrafft. Die maßgeblichen Bilanzregeln bleiben erhalten.</w:t>
      </w:r>
    </w:p>
    <w:p w14:paraId="173CEA0B" w14:textId="77777777" w:rsidR="004E4CC2" w:rsidRDefault="00000000">
      <w:pPr>
        <w:numPr>
          <w:ilvl w:val="0"/>
          <w:numId w:val="11"/>
        </w:numPr>
      </w:pPr>
      <w:r>
        <w:rPr>
          <w:b/>
          <w:bCs/>
        </w:rPr>
        <w:t>Fortschreibung.</w:t>
      </w:r>
      <w:r>
        <w:t xml:space="preserve"> Überschrift und Einleitung auf Methodenstand und Einflussgrößen konzentriert; Zukunftsankündigungen in konkrete Varianten/Parameterstände überführt. Keine Änderung von Senken- oder Budgetannahmen.</w:t>
      </w:r>
    </w:p>
    <w:p w14:paraId="16EB728D" w14:textId="77777777" w:rsidR="004E4CC2" w:rsidRDefault="00000000">
      <w:pPr>
        <w:numPr>
          <w:ilvl w:val="0"/>
          <w:numId w:val="11"/>
        </w:numPr>
      </w:pPr>
      <w:r>
        <w:rPr>
          <w:b/>
          <w:bCs/>
        </w:rPr>
        <w:t>Einheitliche Grafikgestaltung.</w:t>
      </w:r>
      <w:r>
        <w:t xml:space="preserve"> Farben und Grundlayout liegen in styles/plotly_formatting.py; auch die vorhandenen sektoralen und Mobilitäts-Sankeys verwenden diese Palette. Schraffuren markieren virtuelle Kontextwerte. Alle neuen HTML-Grafiken funktionieren ohne CDN.</w:t>
      </w:r>
    </w:p>
    <w:p w14:paraId="61965ACB" w14:textId="77777777" w:rsidR="004E4CC2" w:rsidRDefault="00000000">
      <w:pPr>
        <w:numPr>
          <w:ilvl w:val="0"/>
          <w:numId w:val="11"/>
        </w:numPr>
      </w:pPr>
      <w:r>
        <w:rPr>
          <w:b/>
          <w:bCs/>
        </w:rPr>
        <w:t>Reproduzierbarkeit.</w:t>
      </w:r>
      <w:r>
        <w:t xml:space="preserve"> Wissenschaftliche Zusatzrechnungen bleiben im Gebäudenotebook. Berechnungen/methodik_plots.py formatiert die übergebenen Ergebnisse und die nationalen Quelltabellen. Original-Excel und ursprüngliche physische Typenkennwerte bleiben unverändert.</w:t>
      </w:r>
    </w:p>
    <w:p w14:paraId="60261A33" w14:textId="77777777" w:rsidR="004E4CC2" w:rsidRDefault="00000000">
      <w:pPr>
        <w:numPr>
          <w:ilvl w:val="0"/>
          <w:numId w:val="11"/>
        </w:numPr>
      </w:pPr>
      <w:r>
        <w:rPr>
          <w:b/>
          <w:bCs/>
        </w:rPr>
        <w:t>Interne Dokumentation.</w:t>
      </w:r>
      <w:r>
        <w:t xml:space="preserve"> Dieser Reviewbericht ist in den Profilen intern und redaktion eingebunden, im Publikationsprofil ausgeschlossen. Der neue Szenariotabellen-Anhang ist dagegen Teil der Publikation.</w:t>
      </w:r>
    </w:p>
    <w:p w14:paraId="30C80B6B" w14:textId="77777777" w:rsidR="004E4CC2" w:rsidRDefault="00000000">
      <w:pPr>
        <w:pStyle w:val="berschrift2"/>
      </w:pPr>
      <w:bookmarkStart w:id="442" w:name="wortlautvergleich-der-geänderten-kapitel"/>
      <w:bookmarkStart w:id="443" w:name="_Toc243681399"/>
      <w:bookmarkEnd w:id="440"/>
      <w:r>
        <w:t>H.2 Wortlautvergleich der geänderten Kapitel</w:t>
      </w:r>
      <w:bookmarkEnd w:id="443"/>
    </w:p>
    <w:p w14:paraId="056AC923" w14:textId="77777777" w:rsidR="004E4CC2" w:rsidRDefault="00000000">
      <w:pPr>
        <w:pStyle w:val="FirstParagraph"/>
      </w:pPr>
      <w:r>
        <w:t>Die folgenden nummerierten Einträge enthalten die geänderten Textblöcke vollständig. Reine Leerzeilenänderungen sind ausgelassen. Die Codeblöcke verhindern, dass historische Formeln oder Querverweise als aktuelle Kapitelinhalte interpretiert werden.</w:t>
      </w:r>
    </w:p>
    <w:p w14:paraId="6CB2FF35" w14:textId="77777777" w:rsidR="004E4CC2" w:rsidRDefault="00000000">
      <w:pPr>
        <w:numPr>
          <w:ilvl w:val="0"/>
          <w:numId w:val="12"/>
        </w:numPr>
      </w:pPr>
      <w:r>
        <w:rPr>
          <w:b/>
          <w:bCs/>
        </w:rPr>
        <w:t>Kapitel/03-methodik.qmd, Ausgangszeile 59: Umformulierung / Umgliederung.</w:t>
      </w:r>
    </w:p>
    <w:p w14:paraId="29F576A3" w14:textId="77777777" w:rsidR="004E4CC2" w:rsidRDefault="00000000">
      <w:pPr>
        <w:numPr>
          <w:ilvl w:val="0"/>
          <w:numId w:val="1"/>
        </w:numPr>
      </w:pPr>
      <w:r>
        <w:t>Bisher:</w:t>
      </w:r>
    </w:p>
    <w:p w14:paraId="48D511B9" w14:textId="77777777" w:rsidR="004E4CC2" w:rsidRDefault="00000000">
      <w:pPr>
        <w:pStyle w:val="SourceCode"/>
        <w:numPr>
          <w:ilvl w:val="0"/>
          <w:numId w:val="1"/>
        </w:numPr>
      </w:pPr>
      <w:r>
        <w:rPr>
          <w:rStyle w:val="VerbatimChar"/>
        </w:rPr>
        <w:lastRenderedPageBreak/>
        <w:t>Für einen Quartierssaldo \(b_{\mathrm{PE}}\) vor Kontextkorrektur gilt schematisch:</w:t>
      </w:r>
    </w:p>
    <w:p w14:paraId="3115BD20" w14:textId="77777777" w:rsidR="004E4CC2" w:rsidRDefault="00000000">
      <w:pPr>
        <w:numPr>
          <w:ilvl w:val="0"/>
          <w:numId w:val="1"/>
        </w:numPr>
      </w:pPr>
      <w:r>
        <w:t>Jetzt:</w:t>
      </w:r>
    </w:p>
    <w:p w14:paraId="2A054314" w14:textId="77777777" w:rsidR="004E4CC2" w:rsidRDefault="00000000">
      <w:pPr>
        <w:pStyle w:val="SourceCode"/>
        <w:numPr>
          <w:ilvl w:val="0"/>
          <w:numId w:val="1"/>
        </w:numPr>
      </w:pPr>
      <w:r>
        <w:rPr>
          <w:rStyle w:val="VerbatimChar"/>
        </w:rPr>
        <w:t>Für einen Quartierssaldo $b_{\mathrm{PE}}$ vor Kontextkorrektur gilt schematisch:</w:t>
      </w:r>
    </w:p>
    <w:p w14:paraId="26EB1090" w14:textId="77777777" w:rsidR="004E4CC2" w:rsidRDefault="00000000">
      <w:pPr>
        <w:numPr>
          <w:ilvl w:val="0"/>
          <w:numId w:val="12"/>
        </w:numPr>
      </w:pPr>
      <w:r>
        <w:rPr>
          <w:b/>
          <w:bCs/>
        </w:rPr>
        <w:t>Kapitel/03-methodik.qmd, Ausgangszeile 66: Umformulierung / Umgliederung.</w:t>
      </w:r>
    </w:p>
    <w:p w14:paraId="22E723EE" w14:textId="77777777" w:rsidR="004E4CC2" w:rsidRDefault="00000000">
      <w:pPr>
        <w:numPr>
          <w:ilvl w:val="0"/>
          <w:numId w:val="1"/>
        </w:numPr>
      </w:pPr>
      <w:r>
        <w:t>Bisher:</w:t>
      </w:r>
    </w:p>
    <w:p w14:paraId="185A1D1B" w14:textId="77777777" w:rsidR="004E4CC2" w:rsidRDefault="00000000">
      <w:pPr>
        <w:pStyle w:val="SourceCode"/>
        <w:numPr>
          <w:ilvl w:val="0"/>
          <w:numId w:val="1"/>
        </w:numPr>
      </w:pPr>
      <w:r>
        <w:rPr>
          <w:rStyle w:val="VerbatimChar"/>
        </w:rPr>
        <w:t>Alle Größen müssen dieselbe flächenbezogene Primärenergie-Einheit und Systemgrenze verwenden, etwa kWh PE/(m² NGF·a). Positive Kontextwerte sind Gutschriften, negative erhöhen die Anforderung. Der **Mobilitätswert** entsteht aus der nationalen Sektorallokation und wird ausschließlich bei Einbeziehung des entsprechenden MIV-Bedarfs angesetzt. Der **Sanierungswert** ist künftig *typologieabhängig* und wird nicht als genereller Pauschalwert festgelegt. Dichte- und Sanierungsparameter sind gemeinsam auf den sektoralen Zielsaldo abzustimmen; bereits in einem typologischen Zielsaldo berücksichtigte Wirkungen dürfen nicht noch einmal addiert werden.</w:t>
      </w:r>
    </w:p>
    <w:p w14:paraId="541B5EC3" w14:textId="77777777" w:rsidR="004E4CC2" w:rsidRDefault="00000000">
      <w:pPr>
        <w:numPr>
          <w:ilvl w:val="0"/>
          <w:numId w:val="1"/>
        </w:numPr>
      </w:pPr>
      <w:r>
        <w:t>Jetzt:</w:t>
      </w:r>
    </w:p>
    <w:p w14:paraId="390F4365" w14:textId="77777777" w:rsidR="004E4CC2" w:rsidRDefault="00000000">
      <w:pPr>
        <w:pStyle w:val="SourceCode"/>
        <w:numPr>
          <w:ilvl w:val="0"/>
          <w:numId w:val="1"/>
        </w:numPr>
      </w:pPr>
      <w:r>
        <w:rPr>
          <w:rStyle w:val="VerbatimChar"/>
        </w:rPr>
        <w:t>Die Bewertung erfolgt in kWh PE/(m² NGF·a). Positive Kontextwerte entlasten die Anforderung, negative erhöhen sie. Der **Mobilitätswert** entsteht aus der nationalen Sektorallokation und wird ausschließlich bei Einbeziehung des entsprechenden MIV-Bedarfs angesetzt. Der **Sanierungswert** ist *typologieabhängig* und wird nicht als genereller Pauschalwert festgelegt. Dichte- und Sanierungsparameter sind gemeinsam auf den sektoralen Zielsaldo abzustimmen; bereits in einem typologischen Zielsaldo berücksichtigte Wirkungen dürfen nicht noch einmal addiert werden.</w:t>
      </w:r>
    </w:p>
    <w:p w14:paraId="19994A64" w14:textId="77777777" w:rsidR="004E4CC2" w:rsidRDefault="00000000">
      <w:pPr>
        <w:numPr>
          <w:ilvl w:val="0"/>
          <w:numId w:val="12"/>
        </w:numPr>
      </w:pPr>
      <w:r>
        <w:rPr>
          <w:b/>
          <w:bCs/>
        </w:rPr>
        <w:t>Kapitel/03-methodik.qmd, Ausgangszeile 68: Umformulierung / Umgliederung.</w:t>
      </w:r>
    </w:p>
    <w:p w14:paraId="28C7A9DC" w14:textId="77777777" w:rsidR="004E4CC2" w:rsidRDefault="00000000">
      <w:pPr>
        <w:numPr>
          <w:ilvl w:val="0"/>
          <w:numId w:val="1"/>
        </w:numPr>
      </w:pPr>
      <w:r>
        <w:t>Bisher:</w:t>
      </w:r>
    </w:p>
    <w:p w14:paraId="0ECC13FF" w14:textId="77777777" w:rsidR="004E4CC2" w:rsidRDefault="00000000">
      <w:pPr>
        <w:pStyle w:val="SourceCode"/>
        <w:numPr>
          <w:ilvl w:val="0"/>
          <w:numId w:val="1"/>
        </w:numPr>
      </w:pPr>
      <w:r>
        <w:rPr>
          <w:rStyle w:val="VerbatimChar"/>
        </w:rPr>
        <w:t>Die Bewertungsbedingung \(b_{\mathrm{Bewertung}}&gt;0\) verlangt keinen physischen Exportüberschuss. Die reale Bilanz und alle virtuellen Korrekturen sind daher getrennt auszuweisen. Das kumulierte THG-Budget ist eine zusätzliche eigenständige Prüfung und keine Primärenergie-Gutschrift.</w:t>
      </w:r>
      <w:r>
        <w:br/>
      </w:r>
      <w:r>
        <w:br/>
      </w:r>
      <w:r>
        <w:rPr>
          <w:rStyle w:val="VerbatimChar"/>
        </w:rPr>
        <w:t>::: {.callout-note title="Kalibrierungsstand dieser Arbeitsfassung"}</w:t>
      </w:r>
      <w:r>
        <w:br/>
      </w:r>
      <w:r>
        <w:rPr>
          <w:rStyle w:val="VerbatimChar"/>
        </w:rPr>
        <w:t xml:space="preserve">UBA Transition 2040 ist das festgelegte Referenzszenario. Die sektorale Allokation und die neue Gebäudetypologie mit Flächenverteilung sind inzwischen in getrennten ausführbaren Notebooks ausgewertet (@sec-allokation-notebook; @sec-gebaeudesektormodell). Der Vergleich zeigt einen noch nicht geschlossenen Szenarioabstand. Solange die sektorale Zuordnung und die Parameterkalibrierung nicht abgeschlossen sind, werden historische Zielwerte nicht als neue Ergebnisse ausgewiesen. Die ursprüngliche </w:t>
      </w:r>
      <w:r>
        <w:rPr>
          <w:rStyle w:val="VerbatimChar"/>
        </w:rPr>
        <w:lastRenderedPageBreak/>
        <w:t>Streicher-basierte Kalibrierung ist als methodischer Vorläufer dokumentiert [@schneider2020lokal; @schneider2023context].</w:t>
      </w:r>
    </w:p>
    <w:p w14:paraId="4627E485" w14:textId="77777777" w:rsidR="004E4CC2" w:rsidRDefault="00000000">
      <w:pPr>
        <w:numPr>
          <w:ilvl w:val="0"/>
          <w:numId w:val="1"/>
        </w:numPr>
      </w:pPr>
      <w:r>
        <w:t>Jetzt:</w:t>
      </w:r>
    </w:p>
    <w:p w14:paraId="037695B7" w14:textId="77777777" w:rsidR="004E4CC2" w:rsidRDefault="00000000">
      <w:pPr>
        <w:pStyle w:val="SourceCode"/>
        <w:numPr>
          <w:ilvl w:val="0"/>
          <w:numId w:val="1"/>
        </w:numPr>
      </w:pPr>
      <w:r>
        <w:rPr>
          <w:rStyle w:val="VerbatimChar"/>
        </w:rPr>
        <w:t>::: {.callout-note title="Sachstand des Publikationsentwurfs"}</w:t>
      </w:r>
      <w:r>
        <w:br/>
      </w:r>
      <w:r>
        <w:rPr>
          <w:rStyle w:val="VerbatimChar"/>
        </w:rPr>
        <w:t>UBA Transition 2040 ist das festgelegte Referenzszenario. Die sektorale Allokation und die neue Gebäudetypologie mit Flächenverteilung sind in getrennten ausführbaren Notebooks ausgewertet (@sec-allokation-notebook; @sec-gebaeudesektormodell). Der Vergleich weist den Szenarioabstand und die Wirkung der historischen Dichteformel aus. Normative PEQ-Anteile und neue Typologiegrenzwerte sind im Entwurf nicht festgelegt. Die ursprüngliche Streicher-basierte Kalibrierung ist als methodischer Vorläufer dokumentiert [@schneider2020lokal; @schneider2023context].</w:t>
      </w:r>
    </w:p>
    <w:p w14:paraId="775A4752" w14:textId="77777777" w:rsidR="004E4CC2" w:rsidRDefault="00000000">
      <w:pPr>
        <w:numPr>
          <w:ilvl w:val="0"/>
          <w:numId w:val="12"/>
        </w:numPr>
      </w:pPr>
      <w:r>
        <w:rPr>
          <w:b/>
          <w:bCs/>
        </w:rPr>
        <w:t>Kapitel/03-zielszenario.qmd, Ausgangszeile 4: Umformulierung / Umgliederung.</w:t>
      </w:r>
    </w:p>
    <w:p w14:paraId="5D6F1DAE" w14:textId="77777777" w:rsidR="004E4CC2" w:rsidRDefault="00000000">
      <w:pPr>
        <w:numPr>
          <w:ilvl w:val="0"/>
          <w:numId w:val="1"/>
        </w:numPr>
      </w:pPr>
      <w:r>
        <w:t>Bisher:</w:t>
      </w:r>
    </w:p>
    <w:p w14:paraId="0AD29706" w14:textId="77777777" w:rsidR="004E4CC2" w:rsidRDefault="00000000">
      <w:pPr>
        <w:pStyle w:val="SourceCode"/>
        <w:numPr>
          <w:ilvl w:val="0"/>
          <w:numId w:val="1"/>
        </w:numPr>
      </w:pPr>
      <w:r>
        <w:rPr>
          <w:rStyle w:val="VerbatimChar"/>
        </w:rPr>
        <w:t>UBA Transition 2040 als einheitliche Referenz für die nationale Energieaufgabe</w:t>
      </w:r>
    </w:p>
    <w:p w14:paraId="4BF8697E" w14:textId="77777777" w:rsidR="004E4CC2" w:rsidRDefault="00000000">
      <w:pPr>
        <w:numPr>
          <w:ilvl w:val="0"/>
          <w:numId w:val="1"/>
        </w:numPr>
      </w:pPr>
      <w:r>
        <w:t>Jetzt:</w:t>
      </w:r>
    </w:p>
    <w:p w14:paraId="13F3D5FA" w14:textId="77777777" w:rsidR="004E4CC2" w:rsidRDefault="00000000">
      <w:pPr>
        <w:pStyle w:val="SourceCode"/>
        <w:numPr>
          <w:ilvl w:val="0"/>
          <w:numId w:val="1"/>
        </w:numPr>
      </w:pPr>
      <w:r>
        <w:rPr>
          <w:rStyle w:val="VerbatimChar"/>
        </w:rPr>
        <w:t>UBA Transition 2040 als Referenz der nationalen Energieaufgabe</w:t>
      </w:r>
    </w:p>
    <w:p w14:paraId="0C648B13" w14:textId="77777777" w:rsidR="004E4CC2" w:rsidRDefault="00000000">
      <w:pPr>
        <w:numPr>
          <w:ilvl w:val="0"/>
          <w:numId w:val="12"/>
        </w:numPr>
      </w:pPr>
      <w:r>
        <w:rPr>
          <w:b/>
          <w:bCs/>
        </w:rPr>
        <w:t>Kapitel/03-zielszenario.qmd, Ausgangszeile 7: Umformulierung / Umgliederung.</w:t>
      </w:r>
    </w:p>
    <w:p w14:paraId="083814AC" w14:textId="77777777" w:rsidR="004E4CC2" w:rsidRDefault="00000000">
      <w:pPr>
        <w:numPr>
          <w:ilvl w:val="0"/>
          <w:numId w:val="1"/>
        </w:numPr>
      </w:pPr>
      <w:r>
        <w:t>Bisher:</w:t>
      </w:r>
    </w:p>
    <w:p w14:paraId="6A7DC9DF" w14:textId="77777777" w:rsidR="004E4CC2" w:rsidRDefault="00000000">
      <w:pPr>
        <w:pStyle w:val="SourceCode"/>
        <w:numPr>
          <w:ilvl w:val="0"/>
          <w:numId w:val="1"/>
        </w:numPr>
      </w:pPr>
      <w:r>
        <w:rPr>
          <w:rStyle w:val="VerbatimChar"/>
        </w:rPr>
        <w:t>Das Szenario **UBA Transition 2040** ist die Grundlage der Neukalibrierung der energiebezogenen PEQ-Anforderungen. Dieses Kapitel dokumentiert die veröffentlichten Energie- und Strombilanzen und ihren Vergleich mit dem Ausgangsjahr. Die **Zuordnung** von Erzeugung und Bedarf zu Gebäuden, Industrie und Verkehr erfolgt erst in @sec-allokation; die Anforderungen an Gebäudetypologien und Quartiere werden in @sec-gebaeudebestand und @sec-kalibrierung abgeleitet.</w:t>
      </w:r>
    </w:p>
    <w:p w14:paraId="76B66379" w14:textId="77777777" w:rsidR="004E4CC2" w:rsidRDefault="00000000">
      <w:pPr>
        <w:numPr>
          <w:ilvl w:val="0"/>
          <w:numId w:val="1"/>
        </w:numPr>
      </w:pPr>
      <w:r>
        <w:t>Jetzt:</w:t>
      </w:r>
    </w:p>
    <w:p w14:paraId="4E1315A3" w14:textId="77777777" w:rsidR="004E4CC2" w:rsidRDefault="00000000">
      <w:pPr>
        <w:pStyle w:val="SourceCode"/>
        <w:numPr>
          <w:ilvl w:val="0"/>
          <w:numId w:val="1"/>
        </w:numPr>
      </w:pPr>
      <w:r>
        <w:rPr>
          <w:rStyle w:val="VerbatimChar"/>
        </w:rPr>
        <w:t>UBA Transition 2040 (REP-0880) beschreibt die Erzeugung und den Bedarf im Zieljahr 2040 [@uba2023transition]. WEM/WAM 2023 und 2025 dienen als Vergleichsszenarien. Die sektorale Zuordnung folgt in @sec-allokation, der Abgleich mit Gebäudetypologien in @sec-gebaeudebestand.</w:t>
      </w:r>
    </w:p>
    <w:p w14:paraId="4D31F1A5" w14:textId="77777777" w:rsidR="004E4CC2" w:rsidRDefault="00000000">
      <w:pPr>
        <w:numPr>
          <w:ilvl w:val="0"/>
          <w:numId w:val="12"/>
        </w:numPr>
      </w:pPr>
      <w:r>
        <w:rPr>
          <w:b/>
          <w:bCs/>
        </w:rPr>
        <w:t>Kapitel/03-zielszenario.qmd, Ausgangszeile 9: Umformulierung / Umgliederung.</w:t>
      </w:r>
    </w:p>
    <w:p w14:paraId="10102235" w14:textId="77777777" w:rsidR="004E4CC2" w:rsidRDefault="00000000">
      <w:pPr>
        <w:numPr>
          <w:ilvl w:val="0"/>
          <w:numId w:val="1"/>
        </w:numPr>
      </w:pPr>
      <w:r>
        <w:t>Bisher:</w:t>
      </w:r>
    </w:p>
    <w:p w14:paraId="55FD07DF" w14:textId="77777777" w:rsidR="004E4CC2" w:rsidRDefault="00000000">
      <w:pPr>
        <w:numPr>
          <w:ilvl w:val="0"/>
          <w:numId w:val="1"/>
        </w:numPr>
      </w:pPr>
      <w:r>
        <w:t>text ## Referenzszenario und Datenstand</w:t>
      </w:r>
    </w:p>
    <w:p w14:paraId="6723CDD3" w14:textId="77777777" w:rsidR="004E4CC2" w:rsidRDefault="00000000">
      <w:pPr>
        <w:numPr>
          <w:ilvl w:val="0"/>
          <w:numId w:val="1"/>
        </w:numPr>
      </w:pPr>
      <w:r>
        <w:t xml:space="preserve">Maßgeblich ist UBA Transition 2040 (REP-0880) für das </w:t>
      </w:r>
      <w:r>
        <w:rPr>
          <w:b/>
          <w:bCs/>
        </w:rPr>
        <w:t>Zieljahr 2040</w:t>
      </w:r>
      <w:r>
        <w:t xml:space="preserve"> (Umweltbundesamt 2024). Für Vergleiche werden WEM/WAM 2023 sowie </w:t>
      </w:r>
      <w:r>
        <w:lastRenderedPageBreak/>
        <w:t>WEM/WAM 2025 getrennt ausgewiesen. Diese Vergleichsszenarien ändern die festgelegte Referenz für die Neukalibrierung nicht (Umweltbundesamt 2025).</w:t>
      </w:r>
    </w:p>
    <w:p w14:paraId="639C135B" w14:textId="77777777" w:rsidR="004E4CC2" w:rsidRDefault="00000000">
      <w:pPr>
        <w:numPr>
          <w:ilvl w:val="0"/>
          <w:numId w:val="1"/>
        </w:numPr>
      </w:pPr>
      <w:r>
        <w:t xml:space="preserve">Die zugrunde liegenden Größen sind zunächst </w:t>
      </w:r>
      <w:r>
        <w:rPr>
          <w:b/>
          <w:bCs/>
        </w:rPr>
        <w:t>physische jährliche Energiemengen</w:t>
      </w:r>
      <w:r>
        <w:t>. Stromerzeugung, Strombedarf und Saldo werden in PJ elektrischer Energie pro Jahr verglichen; der Endenergieverbrauch aller Energieträger wird separat ausgewiesen. Primärenergiegewichtungen und virtuelle Gutschriften sind keine Bestandteile dieser physischen nationalen Stromtabelle.</w:t>
      </w:r>
    </w:p>
    <w:p w14:paraId="759F85FD" w14:textId="77777777" w:rsidR="004E4CC2" w:rsidRDefault="00000000">
      <w:pPr>
        <w:pStyle w:val="berschrift2"/>
        <w:numPr>
          <w:ilvl w:val="0"/>
          <w:numId w:val="1"/>
        </w:numPr>
      </w:pPr>
      <w:bookmarkStart w:id="444" w:name="nationale-elektrizitätsbilanz-2040"/>
      <w:bookmarkStart w:id="445" w:name="_Toc243681400"/>
      <w:r>
        <w:t>H.3 Nationale Elektrizitätsbilanz 2040</w:t>
      </w:r>
      <w:bookmarkEnd w:id="444"/>
      <w:bookmarkEnd w:id="445"/>
    </w:p>
    <w:tbl>
      <w:tblPr>
        <w:tblStyle w:val="Table"/>
        <w:tblW w:w="5000" w:type="pct"/>
        <w:tblLayout w:type="fixed"/>
        <w:tblLook w:val="0000" w:firstRow="0" w:lastRow="0" w:firstColumn="0" w:lastColumn="0" w:noHBand="0" w:noVBand="0"/>
      </w:tblPr>
      <w:tblGrid>
        <w:gridCol w:w="9622"/>
      </w:tblGrid>
      <w:tr w:rsidR="004E4CC2" w14:paraId="40EE7BCD" w14:textId="77777777">
        <w:tc>
          <w:tcPr>
            <w:tcW w:w="7920" w:type="dxa"/>
          </w:tcPr>
          <w:p w14:paraId="03E42563" w14:textId="77777777" w:rsidR="004E4CC2" w:rsidRDefault="00000000">
            <w:pPr>
              <w:pStyle w:val="ImageCaption"/>
              <w:spacing w:before="200"/>
            </w:pPr>
            <w:bookmarkStart w:id="446" w:name="tbl-allokation-stromerzeugung-2040"/>
            <w:r>
              <w:t>Tabelle L.1: Publizierte Stromerzeugung und Nettoimporte. Transition: REP-0880, Tab. 16, S. 63; WEM/WAM 2023: REP-0882, Zusammenfassung, Tab. D, S. 8; WEM/WAM 2025: REP-0995, Tab. E, S. 12 (Umweltbundesamt 2024, 2023b, 2025).</w:t>
            </w:r>
          </w:p>
          <w:tbl>
            <w:tblPr>
              <w:tblStyle w:val="Table"/>
              <w:tblW w:w="5000" w:type="pct"/>
              <w:tblLayout w:type="fixed"/>
              <w:tblLook w:val="0020" w:firstRow="1" w:lastRow="0" w:firstColumn="0" w:lastColumn="0" w:noHBand="0" w:noVBand="0"/>
            </w:tblPr>
            <w:tblGrid>
              <w:gridCol w:w="1226"/>
              <w:gridCol w:w="1636"/>
              <w:gridCol w:w="1636"/>
              <w:gridCol w:w="1636"/>
              <w:gridCol w:w="1636"/>
              <w:gridCol w:w="1636"/>
            </w:tblGrid>
            <w:tr w:rsidR="004E4CC2" w14:paraId="1D46AA06"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033" w:type="dxa"/>
                </w:tcPr>
                <w:p w14:paraId="627AFEC9" w14:textId="77777777" w:rsidR="004E4CC2" w:rsidRDefault="00000000">
                  <w:pPr>
                    <w:pStyle w:val="Compact"/>
                    <w:jc w:val="center"/>
                  </w:pPr>
                  <w:r>
                    <w:t>Stromerzeugung 2040 [PJ_el/a]</w:t>
                  </w:r>
                </w:p>
              </w:tc>
              <w:tc>
                <w:tcPr>
                  <w:tcW w:w="1377" w:type="dxa"/>
                </w:tcPr>
                <w:p w14:paraId="238D4B39" w14:textId="77777777" w:rsidR="004E4CC2" w:rsidRDefault="00000000">
                  <w:pPr>
                    <w:pStyle w:val="Compact"/>
                    <w:jc w:val="center"/>
                  </w:pPr>
                  <w:r>
                    <w:t>Transition 2040</w:t>
                  </w:r>
                </w:p>
              </w:tc>
              <w:tc>
                <w:tcPr>
                  <w:tcW w:w="1377" w:type="dxa"/>
                </w:tcPr>
                <w:p w14:paraId="7E8B9A40" w14:textId="77777777" w:rsidR="004E4CC2" w:rsidRDefault="00000000">
                  <w:pPr>
                    <w:pStyle w:val="Compact"/>
                    <w:jc w:val="center"/>
                  </w:pPr>
                  <w:r>
                    <w:t>WEM 2025</w:t>
                  </w:r>
                </w:p>
              </w:tc>
              <w:tc>
                <w:tcPr>
                  <w:tcW w:w="1377" w:type="dxa"/>
                </w:tcPr>
                <w:p w14:paraId="4CA99391" w14:textId="77777777" w:rsidR="004E4CC2" w:rsidRDefault="00000000">
                  <w:pPr>
                    <w:pStyle w:val="Compact"/>
                    <w:jc w:val="center"/>
                  </w:pPr>
                  <w:r>
                    <w:t>WAM 2025</w:t>
                  </w:r>
                </w:p>
              </w:tc>
              <w:tc>
                <w:tcPr>
                  <w:tcW w:w="1377" w:type="dxa"/>
                </w:tcPr>
                <w:p w14:paraId="208F0781" w14:textId="77777777" w:rsidR="004E4CC2" w:rsidRDefault="00000000">
                  <w:pPr>
                    <w:pStyle w:val="Compact"/>
                    <w:jc w:val="center"/>
                  </w:pPr>
                  <w:r>
                    <w:t>WEM 2023</w:t>
                  </w:r>
                </w:p>
              </w:tc>
              <w:tc>
                <w:tcPr>
                  <w:tcW w:w="1377" w:type="dxa"/>
                </w:tcPr>
                <w:p w14:paraId="2A1FB3EF" w14:textId="77777777" w:rsidR="004E4CC2" w:rsidRDefault="00000000">
                  <w:pPr>
                    <w:pStyle w:val="Compact"/>
                    <w:jc w:val="center"/>
                  </w:pPr>
                  <w:r>
                    <w:t>WAM 2023</w:t>
                  </w:r>
                </w:p>
              </w:tc>
            </w:tr>
            <w:tr w:rsidR="004E4CC2" w14:paraId="3EE9F0AD" w14:textId="77777777">
              <w:tc>
                <w:tcPr>
                  <w:tcW w:w="1033" w:type="dxa"/>
                </w:tcPr>
                <w:p w14:paraId="3AF5659F" w14:textId="77777777" w:rsidR="004E4CC2" w:rsidRDefault="00000000">
                  <w:pPr>
                    <w:pStyle w:val="Compact"/>
                    <w:jc w:val="center"/>
                  </w:pPr>
                  <w:r>
                    <w:t>Wasserkraft</w:t>
                  </w:r>
                </w:p>
              </w:tc>
              <w:tc>
                <w:tcPr>
                  <w:tcW w:w="1377" w:type="dxa"/>
                </w:tcPr>
                <w:p w14:paraId="73485C80" w14:textId="77777777" w:rsidR="004E4CC2" w:rsidRDefault="00000000">
                  <w:pPr>
                    <w:pStyle w:val="Compact"/>
                    <w:jc w:val="center"/>
                  </w:pPr>
                  <w:r>
                    <w:t>173</w:t>
                  </w:r>
                </w:p>
              </w:tc>
              <w:tc>
                <w:tcPr>
                  <w:tcW w:w="1377" w:type="dxa"/>
                </w:tcPr>
                <w:p w14:paraId="3A118F3D" w14:textId="77777777" w:rsidR="004E4CC2" w:rsidRDefault="00000000">
                  <w:pPr>
                    <w:pStyle w:val="Compact"/>
                    <w:jc w:val="center"/>
                  </w:pPr>
                  <w:r>
                    <w:t>167</w:t>
                  </w:r>
                </w:p>
              </w:tc>
              <w:tc>
                <w:tcPr>
                  <w:tcW w:w="1377" w:type="dxa"/>
                </w:tcPr>
                <w:p w14:paraId="4EB0F100" w14:textId="77777777" w:rsidR="004E4CC2" w:rsidRDefault="00000000">
                  <w:pPr>
                    <w:pStyle w:val="Compact"/>
                    <w:jc w:val="center"/>
                  </w:pPr>
                  <w:r>
                    <w:t>176</w:t>
                  </w:r>
                </w:p>
              </w:tc>
              <w:tc>
                <w:tcPr>
                  <w:tcW w:w="1377" w:type="dxa"/>
                </w:tcPr>
                <w:p w14:paraId="751A5EAB" w14:textId="77777777" w:rsidR="004E4CC2" w:rsidRDefault="00000000">
                  <w:pPr>
                    <w:pStyle w:val="Compact"/>
                    <w:jc w:val="center"/>
                  </w:pPr>
                  <w:r>
                    <w:t>174</w:t>
                  </w:r>
                </w:p>
              </w:tc>
              <w:tc>
                <w:tcPr>
                  <w:tcW w:w="1377" w:type="dxa"/>
                </w:tcPr>
                <w:p w14:paraId="0FAEC5E1" w14:textId="77777777" w:rsidR="004E4CC2" w:rsidRDefault="00000000">
                  <w:pPr>
                    <w:pStyle w:val="Compact"/>
                    <w:jc w:val="center"/>
                  </w:pPr>
                  <w:r>
                    <w:t>176</w:t>
                  </w:r>
                </w:p>
              </w:tc>
            </w:tr>
            <w:tr w:rsidR="004E4CC2" w14:paraId="7B08D0C2" w14:textId="77777777">
              <w:tc>
                <w:tcPr>
                  <w:tcW w:w="1033" w:type="dxa"/>
                </w:tcPr>
                <w:p w14:paraId="2FC2EF92" w14:textId="77777777" w:rsidR="004E4CC2" w:rsidRDefault="00000000">
                  <w:pPr>
                    <w:pStyle w:val="Compact"/>
                    <w:jc w:val="center"/>
                  </w:pPr>
                  <w:r>
                    <w:t>Windkraft</w:t>
                  </w:r>
                </w:p>
              </w:tc>
              <w:tc>
                <w:tcPr>
                  <w:tcW w:w="1377" w:type="dxa"/>
                </w:tcPr>
                <w:p w14:paraId="646D7BE5" w14:textId="77777777" w:rsidR="004E4CC2" w:rsidRDefault="00000000">
                  <w:pPr>
                    <w:pStyle w:val="Compact"/>
                    <w:jc w:val="center"/>
                  </w:pPr>
                  <w:r>
                    <w:t>105</w:t>
                  </w:r>
                </w:p>
              </w:tc>
              <w:tc>
                <w:tcPr>
                  <w:tcW w:w="1377" w:type="dxa"/>
                </w:tcPr>
                <w:p w14:paraId="5736E172" w14:textId="77777777" w:rsidR="004E4CC2" w:rsidRDefault="00000000">
                  <w:pPr>
                    <w:pStyle w:val="Compact"/>
                    <w:jc w:val="center"/>
                  </w:pPr>
                  <w:r>
                    <w:t>65</w:t>
                  </w:r>
                </w:p>
              </w:tc>
              <w:tc>
                <w:tcPr>
                  <w:tcW w:w="1377" w:type="dxa"/>
                </w:tcPr>
                <w:p w14:paraId="6F73C9C6" w14:textId="77777777" w:rsidR="004E4CC2" w:rsidRDefault="00000000">
                  <w:pPr>
                    <w:pStyle w:val="Compact"/>
                    <w:jc w:val="center"/>
                  </w:pPr>
                  <w:r>
                    <w:t>87</w:t>
                  </w:r>
                </w:p>
              </w:tc>
              <w:tc>
                <w:tcPr>
                  <w:tcW w:w="1377" w:type="dxa"/>
                </w:tcPr>
                <w:p w14:paraId="48109855" w14:textId="77777777" w:rsidR="004E4CC2" w:rsidRDefault="00000000">
                  <w:pPr>
                    <w:pStyle w:val="Compact"/>
                    <w:jc w:val="center"/>
                  </w:pPr>
                  <w:r>
                    <w:t>69</w:t>
                  </w:r>
                </w:p>
              </w:tc>
              <w:tc>
                <w:tcPr>
                  <w:tcW w:w="1377" w:type="dxa"/>
                </w:tcPr>
                <w:p w14:paraId="3FB0C1D5" w14:textId="77777777" w:rsidR="004E4CC2" w:rsidRDefault="00000000">
                  <w:pPr>
                    <w:pStyle w:val="Compact"/>
                    <w:jc w:val="center"/>
                  </w:pPr>
                  <w:r>
                    <w:t>87</w:t>
                  </w:r>
                </w:p>
              </w:tc>
            </w:tr>
            <w:tr w:rsidR="004E4CC2" w14:paraId="22B12D19" w14:textId="77777777">
              <w:tc>
                <w:tcPr>
                  <w:tcW w:w="1033" w:type="dxa"/>
                </w:tcPr>
                <w:p w14:paraId="1C3D8E27" w14:textId="77777777" w:rsidR="004E4CC2" w:rsidRDefault="00000000">
                  <w:pPr>
                    <w:pStyle w:val="Compact"/>
                    <w:jc w:val="center"/>
                  </w:pPr>
                  <w:r>
                    <w:t>Photovoltaik</w:t>
                  </w:r>
                </w:p>
              </w:tc>
              <w:tc>
                <w:tcPr>
                  <w:tcW w:w="1377" w:type="dxa"/>
                </w:tcPr>
                <w:p w14:paraId="00832266" w14:textId="77777777" w:rsidR="004E4CC2" w:rsidRDefault="00000000">
                  <w:pPr>
                    <w:pStyle w:val="Compact"/>
                    <w:jc w:val="center"/>
                  </w:pPr>
                  <w:r>
                    <w:t>149</w:t>
                  </w:r>
                </w:p>
              </w:tc>
              <w:tc>
                <w:tcPr>
                  <w:tcW w:w="1377" w:type="dxa"/>
                </w:tcPr>
                <w:p w14:paraId="41CB4752" w14:textId="77777777" w:rsidR="004E4CC2" w:rsidRDefault="00000000">
                  <w:pPr>
                    <w:pStyle w:val="Compact"/>
                    <w:jc w:val="center"/>
                  </w:pPr>
                  <w:r>
                    <w:t>53</w:t>
                  </w:r>
                </w:p>
              </w:tc>
              <w:tc>
                <w:tcPr>
                  <w:tcW w:w="1377" w:type="dxa"/>
                </w:tcPr>
                <w:p w14:paraId="2E7BEB55" w14:textId="77777777" w:rsidR="004E4CC2" w:rsidRDefault="00000000">
                  <w:pPr>
                    <w:pStyle w:val="Compact"/>
                    <w:jc w:val="center"/>
                  </w:pPr>
                  <w:r>
                    <w:t>107</w:t>
                  </w:r>
                </w:p>
              </w:tc>
              <w:tc>
                <w:tcPr>
                  <w:tcW w:w="1377" w:type="dxa"/>
                </w:tcPr>
                <w:p w14:paraId="62FFF950" w14:textId="77777777" w:rsidR="004E4CC2" w:rsidRDefault="00000000">
                  <w:pPr>
                    <w:pStyle w:val="Compact"/>
                    <w:jc w:val="center"/>
                  </w:pPr>
                  <w:r>
                    <w:t>54</w:t>
                  </w:r>
                </w:p>
              </w:tc>
              <w:tc>
                <w:tcPr>
                  <w:tcW w:w="1377" w:type="dxa"/>
                </w:tcPr>
                <w:p w14:paraId="110C5F50" w14:textId="77777777" w:rsidR="004E4CC2" w:rsidRDefault="00000000">
                  <w:pPr>
                    <w:pStyle w:val="Compact"/>
                    <w:jc w:val="center"/>
                  </w:pPr>
                  <w:r>
                    <w:t>107</w:t>
                  </w:r>
                </w:p>
              </w:tc>
            </w:tr>
            <w:tr w:rsidR="004E4CC2" w14:paraId="771D8A4B" w14:textId="77777777">
              <w:tc>
                <w:tcPr>
                  <w:tcW w:w="1033" w:type="dxa"/>
                </w:tcPr>
                <w:p w14:paraId="021BD1EE" w14:textId="77777777" w:rsidR="004E4CC2" w:rsidRDefault="00000000">
                  <w:pPr>
                    <w:pStyle w:val="Compact"/>
                    <w:jc w:val="center"/>
                  </w:pPr>
                  <w:r>
                    <w:t>Biomasse inkl. Biomethan</w:t>
                  </w:r>
                </w:p>
              </w:tc>
              <w:tc>
                <w:tcPr>
                  <w:tcW w:w="1377" w:type="dxa"/>
                </w:tcPr>
                <w:p w14:paraId="005153A2" w14:textId="77777777" w:rsidR="004E4CC2" w:rsidRDefault="00000000">
                  <w:pPr>
                    <w:pStyle w:val="Compact"/>
                    <w:jc w:val="center"/>
                  </w:pPr>
                  <w:r>
                    <w:t>21</w:t>
                  </w:r>
                </w:p>
              </w:tc>
              <w:tc>
                <w:tcPr>
                  <w:tcW w:w="1377" w:type="dxa"/>
                </w:tcPr>
                <w:p w14:paraId="4B021BDC" w14:textId="77777777" w:rsidR="004E4CC2" w:rsidRDefault="00000000">
                  <w:pPr>
                    <w:pStyle w:val="Compact"/>
                    <w:jc w:val="center"/>
                  </w:pPr>
                  <w:r>
                    <w:t>21</w:t>
                  </w:r>
                </w:p>
              </w:tc>
              <w:tc>
                <w:tcPr>
                  <w:tcW w:w="1377" w:type="dxa"/>
                </w:tcPr>
                <w:p w14:paraId="2AF3A5A1" w14:textId="77777777" w:rsidR="004E4CC2" w:rsidRDefault="00000000">
                  <w:pPr>
                    <w:pStyle w:val="Compact"/>
                    <w:jc w:val="center"/>
                  </w:pPr>
                  <w:r>
                    <w:t>21</w:t>
                  </w:r>
                </w:p>
              </w:tc>
              <w:tc>
                <w:tcPr>
                  <w:tcW w:w="1377" w:type="dxa"/>
                </w:tcPr>
                <w:p w14:paraId="6025CB7B" w14:textId="77777777" w:rsidR="004E4CC2" w:rsidRDefault="00000000">
                  <w:pPr>
                    <w:pStyle w:val="Compact"/>
                    <w:jc w:val="center"/>
                  </w:pPr>
                  <w:r>
                    <w:t>21</w:t>
                  </w:r>
                </w:p>
              </w:tc>
              <w:tc>
                <w:tcPr>
                  <w:tcW w:w="1377" w:type="dxa"/>
                </w:tcPr>
                <w:p w14:paraId="24FC1E27" w14:textId="77777777" w:rsidR="004E4CC2" w:rsidRDefault="00000000">
                  <w:pPr>
                    <w:pStyle w:val="Compact"/>
                    <w:jc w:val="center"/>
                  </w:pPr>
                  <w:r>
                    <w:t>21</w:t>
                  </w:r>
                </w:p>
              </w:tc>
            </w:tr>
            <w:tr w:rsidR="004E4CC2" w14:paraId="3477E9A0" w14:textId="77777777">
              <w:tc>
                <w:tcPr>
                  <w:tcW w:w="1033" w:type="dxa"/>
                </w:tcPr>
                <w:p w14:paraId="434F4E11" w14:textId="77777777" w:rsidR="004E4CC2" w:rsidRDefault="00000000">
                  <w:pPr>
                    <w:pStyle w:val="Compact"/>
                    <w:jc w:val="center"/>
                  </w:pPr>
                  <w:r>
                    <w:t>Geothermie / sonstige Erzeugung¹</w:t>
                  </w:r>
                </w:p>
              </w:tc>
              <w:tc>
                <w:tcPr>
                  <w:tcW w:w="1377" w:type="dxa"/>
                </w:tcPr>
                <w:p w14:paraId="5472AE87" w14:textId="77777777" w:rsidR="004E4CC2" w:rsidRDefault="00000000">
                  <w:pPr>
                    <w:pStyle w:val="Compact"/>
                    <w:jc w:val="center"/>
                  </w:pPr>
                  <w:r>
                    <w:t>4</w:t>
                  </w:r>
                </w:p>
              </w:tc>
              <w:tc>
                <w:tcPr>
                  <w:tcW w:w="1377" w:type="dxa"/>
                </w:tcPr>
                <w:p w14:paraId="4E9E4E67" w14:textId="77777777" w:rsidR="004E4CC2" w:rsidRDefault="00000000">
                  <w:pPr>
                    <w:pStyle w:val="Compact"/>
                    <w:jc w:val="center"/>
                  </w:pPr>
                  <w:r>
                    <w:t>0</w:t>
                  </w:r>
                </w:p>
              </w:tc>
              <w:tc>
                <w:tcPr>
                  <w:tcW w:w="1377" w:type="dxa"/>
                </w:tcPr>
                <w:p w14:paraId="2A32ABB2" w14:textId="77777777" w:rsidR="004E4CC2" w:rsidRDefault="00000000">
                  <w:pPr>
                    <w:pStyle w:val="Compact"/>
                    <w:jc w:val="center"/>
                  </w:pPr>
                  <w:r>
                    <w:t>0</w:t>
                  </w:r>
                </w:p>
              </w:tc>
              <w:tc>
                <w:tcPr>
                  <w:tcW w:w="1377" w:type="dxa"/>
                </w:tcPr>
                <w:p w14:paraId="74F1A32D" w14:textId="77777777" w:rsidR="004E4CC2" w:rsidRDefault="00000000">
                  <w:pPr>
                    <w:pStyle w:val="Compact"/>
                    <w:jc w:val="center"/>
                  </w:pPr>
                  <w:r>
                    <w:t>0</w:t>
                  </w:r>
                </w:p>
              </w:tc>
              <w:tc>
                <w:tcPr>
                  <w:tcW w:w="1377" w:type="dxa"/>
                </w:tcPr>
                <w:p w14:paraId="750DFB8B" w14:textId="77777777" w:rsidR="004E4CC2" w:rsidRDefault="00000000">
                  <w:pPr>
                    <w:pStyle w:val="Compact"/>
                    <w:jc w:val="center"/>
                  </w:pPr>
                  <w:r>
                    <w:t>0</w:t>
                  </w:r>
                </w:p>
              </w:tc>
            </w:tr>
            <w:tr w:rsidR="004E4CC2" w14:paraId="3B32DE3F" w14:textId="77777777">
              <w:tc>
                <w:tcPr>
                  <w:tcW w:w="1033" w:type="dxa"/>
                </w:tcPr>
                <w:p w14:paraId="774A68C7" w14:textId="77777777" w:rsidR="004E4CC2" w:rsidRDefault="00000000">
                  <w:pPr>
                    <w:pStyle w:val="Compact"/>
                    <w:jc w:val="center"/>
                  </w:pPr>
                  <w:r>
                    <w:t>Wasserstoff-Rückverstromung</w:t>
                  </w:r>
                </w:p>
              </w:tc>
              <w:tc>
                <w:tcPr>
                  <w:tcW w:w="1377" w:type="dxa"/>
                </w:tcPr>
                <w:p w14:paraId="7CA28955" w14:textId="77777777" w:rsidR="004E4CC2" w:rsidRDefault="00000000">
                  <w:pPr>
                    <w:pStyle w:val="Compact"/>
                    <w:jc w:val="center"/>
                  </w:pPr>
                  <w:r>
                    <w:t>4</w:t>
                  </w:r>
                </w:p>
              </w:tc>
              <w:tc>
                <w:tcPr>
                  <w:tcW w:w="1377" w:type="dxa"/>
                </w:tcPr>
                <w:p w14:paraId="027B8994" w14:textId="77777777" w:rsidR="004E4CC2" w:rsidRDefault="00000000">
                  <w:pPr>
                    <w:pStyle w:val="Compact"/>
                    <w:jc w:val="center"/>
                  </w:pPr>
                  <w:r>
                    <w:t>0</w:t>
                  </w:r>
                </w:p>
              </w:tc>
              <w:tc>
                <w:tcPr>
                  <w:tcW w:w="1377" w:type="dxa"/>
                </w:tcPr>
                <w:p w14:paraId="5859A471" w14:textId="77777777" w:rsidR="004E4CC2" w:rsidRDefault="00000000">
                  <w:pPr>
                    <w:pStyle w:val="Compact"/>
                    <w:jc w:val="center"/>
                  </w:pPr>
                  <w:r>
                    <w:t>0</w:t>
                  </w:r>
                </w:p>
              </w:tc>
              <w:tc>
                <w:tcPr>
                  <w:tcW w:w="1377" w:type="dxa"/>
                </w:tcPr>
                <w:p w14:paraId="02066D4E" w14:textId="77777777" w:rsidR="004E4CC2" w:rsidRDefault="00000000">
                  <w:pPr>
                    <w:pStyle w:val="Compact"/>
                    <w:jc w:val="center"/>
                  </w:pPr>
                  <w:r>
                    <w:t>0</w:t>
                  </w:r>
                </w:p>
              </w:tc>
              <w:tc>
                <w:tcPr>
                  <w:tcW w:w="1377" w:type="dxa"/>
                </w:tcPr>
                <w:p w14:paraId="4B9C032E" w14:textId="77777777" w:rsidR="004E4CC2" w:rsidRDefault="00000000">
                  <w:pPr>
                    <w:pStyle w:val="Compact"/>
                    <w:jc w:val="center"/>
                  </w:pPr>
                  <w:r>
                    <w:t>0</w:t>
                  </w:r>
                </w:p>
              </w:tc>
            </w:tr>
            <w:tr w:rsidR="004E4CC2" w14:paraId="5D7EFF78" w14:textId="77777777">
              <w:tc>
                <w:tcPr>
                  <w:tcW w:w="1033" w:type="dxa"/>
                </w:tcPr>
                <w:p w14:paraId="2984DBE6" w14:textId="77777777" w:rsidR="004E4CC2" w:rsidRDefault="00000000">
                  <w:pPr>
                    <w:pStyle w:val="Compact"/>
                    <w:jc w:val="center"/>
                  </w:pPr>
                  <w:r>
                    <w:t>Fossile Erzeugung</w:t>
                  </w:r>
                </w:p>
              </w:tc>
              <w:tc>
                <w:tcPr>
                  <w:tcW w:w="1377" w:type="dxa"/>
                </w:tcPr>
                <w:p w14:paraId="68F4C531" w14:textId="77777777" w:rsidR="004E4CC2" w:rsidRDefault="00000000">
                  <w:pPr>
                    <w:pStyle w:val="Compact"/>
                    <w:jc w:val="center"/>
                  </w:pPr>
                  <w:r>
                    <w:t>1</w:t>
                  </w:r>
                </w:p>
              </w:tc>
              <w:tc>
                <w:tcPr>
                  <w:tcW w:w="1377" w:type="dxa"/>
                </w:tcPr>
                <w:p w14:paraId="113DE350" w14:textId="77777777" w:rsidR="004E4CC2" w:rsidRDefault="00000000">
                  <w:pPr>
                    <w:pStyle w:val="Compact"/>
                    <w:jc w:val="center"/>
                  </w:pPr>
                  <w:r>
                    <w:t>33</w:t>
                  </w:r>
                </w:p>
              </w:tc>
              <w:tc>
                <w:tcPr>
                  <w:tcW w:w="1377" w:type="dxa"/>
                </w:tcPr>
                <w:p w14:paraId="0E4626DE" w14:textId="77777777" w:rsidR="004E4CC2" w:rsidRDefault="00000000">
                  <w:pPr>
                    <w:pStyle w:val="Compact"/>
                    <w:jc w:val="center"/>
                  </w:pPr>
                  <w:r>
                    <w:t>15</w:t>
                  </w:r>
                </w:p>
              </w:tc>
              <w:tc>
                <w:tcPr>
                  <w:tcW w:w="1377" w:type="dxa"/>
                </w:tcPr>
                <w:p w14:paraId="344DCBF8" w14:textId="77777777" w:rsidR="004E4CC2" w:rsidRDefault="00000000">
                  <w:pPr>
                    <w:pStyle w:val="Compact"/>
                    <w:jc w:val="center"/>
                  </w:pPr>
                  <w:r>
                    <w:t>27</w:t>
                  </w:r>
                </w:p>
              </w:tc>
              <w:tc>
                <w:tcPr>
                  <w:tcW w:w="1377" w:type="dxa"/>
                </w:tcPr>
                <w:p w14:paraId="2796C136" w14:textId="77777777" w:rsidR="004E4CC2" w:rsidRDefault="00000000">
                  <w:pPr>
                    <w:pStyle w:val="Compact"/>
                    <w:jc w:val="center"/>
                  </w:pPr>
                  <w:r>
                    <w:t>15</w:t>
                  </w:r>
                </w:p>
              </w:tc>
            </w:tr>
            <w:tr w:rsidR="004E4CC2" w14:paraId="180086F5" w14:textId="77777777">
              <w:tc>
                <w:tcPr>
                  <w:tcW w:w="1033" w:type="dxa"/>
                </w:tcPr>
                <w:p w14:paraId="6C1B8A0A" w14:textId="77777777" w:rsidR="004E4CC2" w:rsidRDefault="00000000">
                  <w:pPr>
                    <w:pStyle w:val="Compact"/>
                    <w:jc w:val="center"/>
                  </w:pPr>
                  <w:r>
                    <w:t>Publizierte Erzeugun</w:t>
                  </w:r>
                  <w:r>
                    <w:lastRenderedPageBreak/>
                    <w:t>g gesamt</w:t>
                  </w:r>
                </w:p>
              </w:tc>
              <w:tc>
                <w:tcPr>
                  <w:tcW w:w="1377" w:type="dxa"/>
                </w:tcPr>
                <w:p w14:paraId="778B8D9A" w14:textId="77777777" w:rsidR="004E4CC2" w:rsidRDefault="00000000">
                  <w:pPr>
                    <w:pStyle w:val="Compact"/>
                    <w:jc w:val="center"/>
                  </w:pPr>
                  <w:r>
                    <w:lastRenderedPageBreak/>
                    <w:t>457</w:t>
                  </w:r>
                </w:p>
              </w:tc>
              <w:tc>
                <w:tcPr>
                  <w:tcW w:w="1377" w:type="dxa"/>
                </w:tcPr>
                <w:p w14:paraId="3FC44368" w14:textId="77777777" w:rsidR="004E4CC2" w:rsidRDefault="00000000">
                  <w:pPr>
                    <w:pStyle w:val="Compact"/>
                    <w:jc w:val="center"/>
                  </w:pPr>
                  <w:r>
                    <w:t>339</w:t>
                  </w:r>
                </w:p>
              </w:tc>
              <w:tc>
                <w:tcPr>
                  <w:tcW w:w="1377" w:type="dxa"/>
                </w:tcPr>
                <w:p w14:paraId="675ACD5D" w14:textId="77777777" w:rsidR="004E4CC2" w:rsidRDefault="00000000">
                  <w:pPr>
                    <w:pStyle w:val="Compact"/>
                    <w:jc w:val="center"/>
                  </w:pPr>
                  <w:r>
                    <w:t>406</w:t>
                  </w:r>
                </w:p>
              </w:tc>
              <w:tc>
                <w:tcPr>
                  <w:tcW w:w="1377" w:type="dxa"/>
                </w:tcPr>
                <w:p w14:paraId="218547CC" w14:textId="77777777" w:rsidR="004E4CC2" w:rsidRDefault="00000000">
                  <w:pPr>
                    <w:pStyle w:val="Compact"/>
                    <w:jc w:val="center"/>
                  </w:pPr>
                  <w:r>
                    <w:t>346</w:t>
                  </w:r>
                </w:p>
              </w:tc>
              <w:tc>
                <w:tcPr>
                  <w:tcW w:w="1377" w:type="dxa"/>
                </w:tcPr>
                <w:p w14:paraId="11201CE0" w14:textId="77777777" w:rsidR="004E4CC2" w:rsidRDefault="00000000">
                  <w:pPr>
                    <w:pStyle w:val="Compact"/>
                    <w:jc w:val="center"/>
                  </w:pPr>
                  <w:r>
                    <w:t>406</w:t>
                  </w:r>
                </w:p>
              </w:tc>
            </w:tr>
            <w:tr w:rsidR="004E4CC2" w14:paraId="4ADD109B" w14:textId="77777777">
              <w:tc>
                <w:tcPr>
                  <w:tcW w:w="1033" w:type="dxa"/>
                </w:tcPr>
                <w:p w14:paraId="674626B7" w14:textId="77777777" w:rsidR="004E4CC2" w:rsidRDefault="00000000">
                  <w:pPr>
                    <w:pStyle w:val="Compact"/>
                    <w:jc w:val="center"/>
                  </w:pPr>
                  <w:r>
                    <w:t>Nettoimporte (− = Export)</w:t>
                  </w:r>
                </w:p>
              </w:tc>
              <w:tc>
                <w:tcPr>
                  <w:tcW w:w="1377" w:type="dxa"/>
                </w:tcPr>
                <w:p w14:paraId="09481FCA" w14:textId="77777777" w:rsidR="004E4CC2" w:rsidRDefault="00000000">
                  <w:pPr>
                    <w:pStyle w:val="Compact"/>
                    <w:jc w:val="center"/>
                  </w:pPr>
                  <w:r>
                    <w:t>-7</w:t>
                  </w:r>
                </w:p>
              </w:tc>
              <w:tc>
                <w:tcPr>
                  <w:tcW w:w="1377" w:type="dxa"/>
                </w:tcPr>
                <w:p w14:paraId="2EF82BAD" w14:textId="77777777" w:rsidR="004E4CC2" w:rsidRDefault="00000000">
                  <w:pPr>
                    <w:pStyle w:val="Compact"/>
                    <w:jc w:val="center"/>
                  </w:pPr>
                  <w:r>
                    <w:t>38</w:t>
                  </w:r>
                </w:p>
              </w:tc>
              <w:tc>
                <w:tcPr>
                  <w:tcW w:w="1377" w:type="dxa"/>
                </w:tcPr>
                <w:p w14:paraId="01B05488" w14:textId="77777777" w:rsidR="004E4CC2" w:rsidRDefault="00000000">
                  <w:pPr>
                    <w:pStyle w:val="Compact"/>
                    <w:jc w:val="center"/>
                  </w:pPr>
                  <w:r>
                    <w:t>-10</w:t>
                  </w:r>
                </w:p>
              </w:tc>
              <w:tc>
                <w:tcPr>
                  <w:tcW w:w="1377" w:type="dxa"/>
                </w:tcPr>
                <w:p w14:paraId="64A7A039" w14:textId="77777777" w:rsidR="004E4CC2" w:rsidRDefault="00000000">
                  <w:pPr>
                    <w:pStyle w:val="Compact"/>
                    <w:jc w:val="center"/>
                  </w:pPr>
                  <w:r>
                    <w:t>21</w:t>
                  </w:r>
                </w:p>
              </w:tc>
              <w:tc>
                <w:tcPr>
                  <w:tcW w:w="1377" w:type="dxa"/>
                </w:tcPr>
                <w:p w14:paraId="0DBA9B1B" w14:textId="77777777" w:rsidR="004E4CC2" w:rsidRDefault="00000000">
                  <w:pPr>
                    <w:pStyle w:val="Compact"/>
                    <w:jc w:val="center"/>
                  </w:pPr>
                  <w:r>
                    <w:t>1</w:t>
                  </w:r>
                </w:p>
              </w:tc>
            </w:tr>
            <w:bookmarkEnd w:id="446"/>
          </w:tbl>
          <w:p w14:paraId="1DD2F42F" w14:textId="77777777" w:rsidR="004E4CC2" w:rsidRDefault="004E4CC2"/>
        </w:tc>
      </w:tr>
    </w:tbl>
    <w:p w14:paraId="18104150" w14:textId="77777777" w:rsidR="004E4CC2" w:rsidRDefault="00000000">
      <w:pPr>
        <w:pStyle w:val="Textkrper"/>
      </w:pPr>
      <w:r>
        <w:lastRenderedPageBreak/>
        <w:t xml:space="preserve"> </w:t>
      </w:r>
    </w:p>
    <w:tbl>
      <w:tblPr>
        <w:tblStyle w:val="Table"/>
        <w:tblW w:w="5000" w:type="pct"/>
        <w:tblLayout w:type="fixed"/>
        <w:tblLook w:val="0000" w:firstRow="0" w:lastRow="0" w:firstColumn="0" w:lastColumn="0" w:noHBand="0" w:noVBand="0"/>
      </w:tblPr>
      <w:tblGrid>
        <w:gridCol w:w="9622"/>
      </w:tblGrid>
      <w:tr w:rsidR="004E4CC2" w14:paraId="53ECA3B2" w14:textId="77777777">
        <w:tc>
          <w:tcPr>
            <w:tcW w:w="7920" w:type="dxa"/>
          </w:tcPr>
          <w:p w14:paraId="42A66BBC" w14:textId="77777777" w:rsidR="004E4CC2" w:rsidRDefault="00000000">
            <w:pPr>
              <w:pStyle w:val="ImageCaption"/>
              <w:spacing w:before="200"/>
            </w:pPr>
            <w:bookmarkStart w:id="447" w:name="tbl-allokation-strombedarf-2040"/>
            <w:r>
              <w:t>Tabelle L.2: Publizierter Strombedarf einschließlich Energiebranche, Verlusten und Umwandlung. Transition: REP-0880, Tab. 15, S. 60; WEM/WAM 2023: REP-0882, Tab. 12, S. 39; WEM/WAM 2025: REP-0995, Tab. 18, S. 62 (Umweltbundesamt 2024, 2023a, 2025).</w:t>
            </w:r>
          </w:p>
          <w:tbl>
            <w:tblPr>
              <w:tblStyle w:val="Table"/>
              <w:tblW w:w="5000" w:type="pct"/>
              <w:tblLayout w:type="fixed"/>
              <w:tblLook w:val="0020" w:firstRow="1" w:lastRow="0" w:firstColumn="0" w:lastColumn="0" w:noHBand="0" w:noVBand="0"/>
            </w:tblPr>
            <w:tblGrid>
              <w:gridCol w:w="1226"/>
              <w:gridCol w:w="1636"/>
              <w:gridCol w:w="1636"/>
              <w:gridCol w:w="1636"/>
              <w:gridCol w:w="1636"/>
              <w:gridCol w:w="1636"/>
            </w:tblGrid>
            <w:tr w:rsidR="004E4CC2" w14:paraId="2C2F57BD"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033" w:type="dxa"/>
                </w:tcPr>
                <w:p w14:paraId="057FE4B1" w14:textId="77777777" w:rsidR="004E4CC2" w:rsidRDefault="00000000">
                  <w:pPr>
                    <w:pStyle w:val="Compact"/>
                    <w:jc w:val="center"/>
                  </w:pPr>
                  <w:r>
                    <w:t>Strombedarf 2040 [PJ_el/a]</w:t>
                  </w:r>
                </w:p>
              </w:tc>
              <w:tc>
                <w:tcPr>
                  <w:tcW w:w="1377" w:type="dxa"/>
                </w:tcPr>
                <w:p w14:paraId="1675022A" w14:textId="77777777" w:rsidR="004E4CC2" w:rsidRDefault="00000000">
                  <w:pPr>
                    <w:pStyle w:val="Compact"/>
                    <w:jc w:val="center"/>
                  </w:pPr>
                  <w:r>
                    <w:t>Transition 2040</w:t>
                  </w:r>
                </w:p>
              </w:tc>
              <w:tc>
                <w:tcPr>
                  <w:tcW w:w="1377" w:type="dxa"/>
                </w:tcPr>
                <w:p w14:paraId="21E0D103" w14:textId="77777777" w:rsidR="004E4CC2" w:rsidRDefault="00000000">
                  <w:pPr>
                    <w:pStyle w:val="Compact"/>
                    <w:jc w:val="center"/>
                  </w:pPr>
                  <w:r>
                    <w:t>WEM 2025</w:t>
                  </w:r>
                </w:p>
              </w:tc>
              <w:tc>
                <w:tcPr>
                  <w:tcW w:w="1377" w:type="dxa"/>
                </w:tcPr>
                <w:p w14:paraId="48BF2C11" w14:textId="77777777" w:rsidR="004E4CC2" w:rsidRDefault="00000000">
                  <w:pPr>
                    <w:pStyle w:val="Compact"/>
                    <w:jc w:val="center"/>
                  </w:pPr>
                  <w:r>
                    <w:t>WAM 2025</w:t>
                  </w:r>
                </w:p>
              </w:tc>
              <w:tc>
                <w:tcPr>
                  <w:tcW w:w="1377" w:type="dxa"/>
                </w:tcPr>
                <w:p w14:paraId="690A690E" w14:textId="77777777" w:rsidR="004E4CC2" w:rsidRDefault="00000000">
                  <w:pPr>
                    <w:pStyle w:val="Compact"/>
                    <w:jc w:val="center"/>
                  </w:pPr>
                  <w:r>
                    <w:t>WEM 2023</w:t>
                  </w:r>
                </w:p>
              </w:tc>
              <w:tc>
                <w:tcPr>
                  <w:tcW w:w="1377" w:type="dxa"/>
                </w:tcPr>
                <w:p w14:paraId="4F6D38F8" w14:textId="77777777" w:rsidR="004E4CC2" w:rsidRDefault="00000000">
                  <w:pPr>
                    <w:pStyle w:val="Compact"/>
                    <w:jc w:val="center"/>
                  </w:pPr>
                  <w:r>
                    <w:t>WAM 2023</w:t>
                  </w:r>
                </w:p>
              </w:tc>
            </w:tr>
            <w:tr w:rsidR="004E4CC2" w14:paraId="588A0F35" w14:textId="77777777">
              <w:tc>
                <w:tcPr>
                  <w:tcW w:w="1033" w:type="dxa"/>
                </w:tcPr>
                <w:p w14:paraId="2F45B8BD" w14:textId="77777777" w:rsidR="004E4CC2" w:rsidRDefault="00000000">
                  <w:pPr>
                    <w:pStyle w:val="Compact"/>
                    <w:jc w:val="center"/>
                  </w:pPr>
                  <w:r>
                    <w:t>Verkehr</w:t>
                  </w:r>
                </w:p>
              </w:tc>
              <w:tc>
                <w:tcPr>
                  <w:tcW w:w="1377" w:type="dxa"/>
                </w:tcPr>
                <w:p w14:paraId="20CD04A7" w14:textId="77777777" w:rsidR="004E4CC2" w:rsidRDefault="00000000">
                  <w:pPr>
                    <w:pStyle w:val="Compact"/>
                    <w:jc w:val="center"/>
                  </w:pPr>
                  <w:r>
                    <w:t>90</w:t>
                  </w:r>
                </w:p>
              </w:tc>
              <w:tc>
                <w:tcPr>
                  <w:tcW w:w="1377" w:type="dxa"/>
                </w:tcPr>
                <w:p w14:paraId="743833E9" w14:textId="77777777" w:rsidR="004E4CC2" w:rsidRDefault="00000000">
                  <w:pPr>
                    <w:pStyle w:val="Compact"/>
                    <w:jc w:val="center"/>
                  </w:pPr>
                  <w:r>
                    <w:t>76</w:t>
                  </w:r>
                </w:p>
              </w:tc>
              <w:tc>
                <w:tcPr>
                  <w:tcW w:w="1377" w:type="dxa"/>
                </w:tcPr>
                <w:p w14:paraId="2B2C6928" w14:textId="77777777" w:rsidR="004E4CC2" w:rsidRDefault="00000000">
                  <w:pPr>
                    <w:pStyle w:val="Compact"/>
                    <w:jc w:val="center"/>
                  </w:pPr>
                  <w:r>
                    <w:t>72</w:t>
                  </w:r>
                </w:p>
              </w:tc>
              <w:tc>
                <w:tcPr>
                  <w:tcW w:w="1377" w:type="dxa"/>
                </w:tcPr>
                <w:p w14:paraId="61CAF294" w14:textId="77777777" w:rsidR="004E4CC2" w:rsidRDefault="00000000">
                  <w:pPr>
                    <w:pStyle w:val="Compact"/>
                    <w:jc w:val="center"/>
                  </w:pPr>
                  <w:r>
                    <w:t>67</w:t>
                  </w:r>
                </w:p>
              </w:tc>
              <w:tc>
                <w:tcPr>
                  <w:tcW w:w="1377" w:type="dxa"/>
                </w:tcPr>
                <w:p w14:paraId="41C909CF" w14:textId="77777777" w:rsidR="004E4CC2" w:rsidRDefault="00000000">
                  <w:pPr>
                    <w:pStyle w:val="Compact"/>
                    <w:jc w:val="center"/>
                  </w:pPr>
                  <w:r>
                    <w:t>70</w:t>
                  </w:r>
                </w:p>
              </w:tc>
            </w:tr>
            <w:tr w:rsidR="004E4CC2" w14:paraId="5A5E6F9A" w14:textId="77777777">
              <w:tc>
                <w:tcPr>
                  <w:tcW w:w="1033" w:type="dxa"/>
                </w:tcPr>
                <w:p w14:paraId="43764942" w14:textId="77777777" w:rsidR="004E4CC2" w:rsidRDefault="00000000">
                  <w:pPr>
                    <w:pStyle w:val="Compact"/>
                    <w:jc w:val="center"/>
                  </w:pPr>
                  <w:r>
                    <w:t>Gebäude</w:t>
                  </w:r>
                </w:p>
              </w:tc>
              <w:tc>
                <w:tcPr>
                  <w:tcW w:w="1377" w:type="dxa"/>
                </w:tcPr>
                <w:p w14:paraId="2BE53D1F" w14:textId="77777777" w:rsidR="004E4CC2" w:rsidRDefault="00000000">
                  <w:pPr>
                    <w:pStyle w:val="Compact"/>
                    <w:jc w:val="center"/>
                  </w:pPr>
                  <w:r>
                    <w:t>108</w:t>
                  </w:r>
                </w:p>
              </w:tc>
              <w:tc>
                <w:tcPr>
                  <w:tcW w:w="1377" w:type="dxa"/>
                </w:tcPr>
                <w:p w14:paraId="1466A76E" w14:textId="77777777" w:rsidR="004E4CC2" w:rsidRDefault="00000000">
                  <w:pPr>
                    <w:pStyle w:val="Compact"/>
                    <w:jc w:val="center"/>
                  </w:pPr>
                  <w:r>
                    <w:t>132</w:t>
                  </w:r>
                </w:p>
              </w:tc>
              <w:tc>
                <w:tcPr>
                  <w:tcW w:w="1377" w:type="dxa"/>
                </w:tcPr>
                <w:p w14:paraId="4131E048" w14:textId="77777777" w:rsidR="004E4CC2" w:rsidRDefault="00000000">
                  <w:pPr>
                    <w:pStyle w:val="Compact"/>
                    <w:jc w:val="center"/>
                  </w:pPr>
                  <w:r>
                    <w:t>123</w:t>
                  </w:r>
                </w:p>
              </w:tc>
              <w:tc>
                <w:tcPr>
                  <w:tcW w:w="1377" w:type="dxa"/>
                </w:tcPr>
                <w:p w14:paraId="31760246" w14:textId="77777777" w:rsidR="004E4CC2" w:rsidRDefault="00000000">
                  <w:pPr>
                    <w:pStyle w:val="Compact"/>
                    <w:jc w:val="center"/>
                  </w:pPr>
                  <w:r>
                    <w:t>134</w:t>
                  </w:r>
                </w:p>
              </w:tc>
              <w:tc>
                <w:tcPr>
                  <w:tcW w:w="1377" w:type="dxa"/>
                </w:tcPr>
                <w:p w14:paraId="17420249" w14:textId="77777777" w:rsidR="004E4CC2" w:rsidRDefault="00000000">
                  <w:pPr>
                    <w:pStyle w:val="Compact"/>
                    <w:jc w:val="center"/>
                  </w:pPr>
                  <w:r>
                    <w:t>122</w:t>
                  </w:r>
                </w:p>
              </w:tc>
            </w:tr>
            <w:tr w:rsidR="004E4CC2" w14:paraId="20935141" w14:textId="77777777">
              <w:tc>
                <w:tcPr>
                  <w:tcW w:w="1033" w:type="dxa"/>
                </w:tcPr>
                <w:p w14:paraId="73EC52EA" w14:textId="77777777" w:rsidR="004E4CC2" w:rsidRDefault="00000000">
                  <w:pPr>
                    <w:pStyle w:val="Compact"/>
                    <w:jc w:val="center"/>
                  </w:pPr>
                  <w:r>
                    <w:t>Industrie</w:t>
                  </w:r>
                </w:p>
              </w:tc>
              <w:tc>
                <w:tcPr>
                  <w:tcW w:w="1377" w:type="dxa"/>
                </w:tcPr>
                <w:p w14:paraId="4C35D165" w14:textId="77777777" w:rsidR="004E4CC2" w:rsidRDefault="00000000">
                  <w:pPr>
                    <w:pStyle w:val="Compact"/>
                    <w:jc w:val="center"/>
                  </w:pPr>
                  <w:r>
                    <w:t>140</w:t>
                  </w:r>
                </w:p>
              </w:tc>
              <w:tc>
                <w:tcPr>
                  <w:tcW w:w="1377" w:type="dxa"/>
                </w:tcPr>
                <w:p w14:paraId="47AEE93B" w14:textId="77777777" w:rsidR="004E4CC2" w:rsidRDefault="00000000">
                  <w:pPr>
                    <w:pStyle w:val="Compact"/>
                    <w:jc w:val="center"/>
                  </w:pPr>
                  <w:r>
                    <w:t>115</w:t>
                  </w:r>
                </w:p>
              </w:tc>
              <w:tc>
                <w:tcPr>
                  <w:tcW w:w="1377" w:type="dxa"/>
                </w:tcPr>
                <w:p w14:paraId="1C365899" w14:textId="77777777" w:rsidR="004E4CC2" w:rsidRDefault="00000000">
                  <w:pPr>
                    <w:pStyle w:val="Compact"/>
                    <w:jc w:val="center"/>
                  </w:pPr>
                  <w:r>
                    <w:t>107</w:t>
                  </w:r>
                </w:p>
              </w:tc>
              <w:tc>
                <w:tcPr>
                  <w:tcW w:w="1377" w:type="dxa"/>
                </w:tcPr>
                <w:p w14:paraId="6BF1A917" w14:textId="77777777" w:rsidR="004E4CC2" w:rsidRDefault="00000000">
                  <w:pPr>
                    <w:pStyle w:val="Compact"/>
                    <w:jc w:val="center"/>
                  </w:pPr>
                  <w:r>
                    <w:t>120</w:t>
                  </w:r>
                </w:p>
              </w:tc>
              <w:tc>
                <w:tcPr>
                  <w:tcW w:w="1377" w:type="dxa"/>
                </w:tcPr>
                <w:p w14:paraId="30F0CA72" w14:textId="77777777" w:rsidR="004E4CC2" w:rsidRDefault="00000000">
                  <w:pPr>
                    <w:pStyle w:val="Compact"/>
                    <w:jc w:val="center"/>
                  </w:pPr>
                  <w:r>
                    <w:t>126</w:t>
                  </w:r>
                </w:p>
              </w:tc>
            </w:tr>
            <w:tr w:rsidR="004E4CC2" w14:paraId="0598E6D1" w14:textId="77777777">
              <w:tc>
                <w:tcPr>
                  <w:tcW w:w="1033" w:type="dxa"/>
                </w:tcPr>
                <w:p w14:paraId="4EA0FC49" w14:textId="77777777" w:rsidR="004E4CC2" w:rsidRDefault="00000000">
                  <w:pPr>
                    <w:pStyle w:val="Compact"/>
                    <w:jc w:val="center"/>
                  </w:pPr>
                  <w:r>
                    <w:t>Landwirtschaft</w:t>
                  </w:r>
                </w:p>
              </w:tc>
              <w:tc>
                <w:tcPr>
                  <w:tcW w:w="1377" w:type="dxa"/>
                </w:tcPr>
                <w:p w14:paraId="10FB55EA" w14:textId="77777777" w:rsidR="004E4CC2" w:rsidRDefault="00000000">
                  <w:pPr>
                    <w:pStyle w:val="Compact"/>
                    <w:jc w:val="center"/>
                  </w:pPr>
                  <w:r>
                    <w:t>4</w:t>
                  </w:r>
                </w:p>
              </w:tc>
              <w:tc>
                <w:tcPr>
                  <w:tcW w:w="1377" w:type="dxa"/>
                </w:tcPr>
                <w:p w14:paraId="151B99DF" w14:textId="77777777" w:rsidR="004E4CC2" w:rsidRDefault="00000000">
                  <w:pPr>
                    <w:pStyle w:val="Compact"/>
                    <w:jc w:val="center"/>
                  </w:pPr>
                  <w:r>
                    <w:t>5</w:t>
                  </w:r>
                </w:p>
              </w:tc>
              <w:tc>
                <w:tcPr>
                  <w:tcW w:w="1377" w:type="dxa"/>
                </w:tcPr>
                <w:p w14:paraId="5EEACBC3" w14:textId="77777777" w:rsidR="004E4CC2" w:rsidRDefault="00000000">
                  <w:pPr>
                    <w:pStyle w:val="Compact"/>
                    <w:jc w:val="center"/>
                  </w:pPr>
                  <w:r>
                    <w:t>4</w:t>
                  </w:r>
                </w:p>
              </w:tc>
              <w:tc>
                <w:tcPr>
                  <w:tcW w:w="1377" w:type="dxa"/>
                </w:tcPr>
                <w:p w14:paraId="7097EA2E" w14:textId="77777777" w:rsidR="004E4CC2" w:rsidRDefault="00000000">
                  <w:pPr>
                    <w:pStyle w:val="Compact"/>
                    <w:jc w:val="center"/>
                  </w:pPr>
                  <w:r>
                    <w:t>5</w:t>
                  </w:r>
                </w:p>
              </w:tc>
              <w:tc>
                <w:tcPr>
                  <w:tcW w:w="1377" w:type="dxa"/>
                </w:tcPr>
                <w:p w14:paraId="0EFFC799" w14:textId="77777777" w:rsidR="004E4CC2" w:rsidRDefault="00000000">
                  <w:pPr>
                    <w:pStyle w:val="Compact"/>
                    <w:jc w:val="center"/>
                  </w:pPr>
                  <w:r>
                    <w:t>4</w:t>
                  </w:r>
                </w:p>
              </w:tc>
            </w:tr>
            <w:tr w:rsidR="004E4CC2" w14:paraId="688AE304" w14:textId="77777777">
              <w:tc>
                <w:tcPr>
                  <w:tcW w:w="1033" w:type="dxa"/>
                </w:tcPr>
                <w:p w14:paraId="55DB962C" w14:textId="77777777" w:rsidR="004E4CC2" w:rsidRDefault="00000000">
                  <w:pPr>
                    <w:pStyle w:val="Compact"/>
                    <w:jc w:val="center"/>
                  </w:pPr>
                  <w:r>
                    <w:t>Verbrauch Sektor Energie</w:t>
                  </w:r>
                </w:p>
              </w:tc>
              <w:tc>
                <w:tcPr>
                  <w:tcW w:w="1377" w:type="dxa"/>
                </w:tcPr>
                <w:p w14:paraId="641D034E" w14:textId="77777777" w:rsidR="004E4CC2" w:rsidRDefault="00000000">
                  <w:pPr>
                    <w:pStyle w:val="Compact"/>
                    <w:jc w:val="center"/>
                  </w:pPr>
                  <w:r>
                    <w:t>34</w:t>
                  </w:r>
                </w:p>
              </w:tc>
              <w:tc>
                <w:tcPr>
                  <w:tcW w:w="1377" w:type="dxa"/>
                </w:tcPr>
                <w:p w14:paraId="4814A1B3" w14:textId="77777777" w:rsidR="004E4CC2" w:rsidRDefault="00000000">
                  <w:pPr>
                    <w:pStyle w:val="Compact"/>
                    <w:jc w:val="center"/>
                  </w:pPr>
                  <w:r>
                    <w:t>28</w:t>
                  </w:r>
                </w:p>
              </w:tc>
              <w:tc>
                <w:tcPr>
                  <w:tcW w:w="1377" w:type="dxa"/>
                </w:tcPr>
                <w:p w14:paraId="5A8C2C1D" w14:textId="77777777" w:rsidR="004E4CC2" w:rsidRDefault="00000000">
                  <w:pPr>
                    <w:pStyle w:val="Compact"/>
                    <w:jc w:val="center"/>
                  </w:pPr>
                  <w:r>
                    <w:t>40</w:t>
                  </w:r>
                </w:p>
              </w:tc>
              <w:tc>
                <w:tcPr>
                  <w:tcW w:w="1377" w:type="dxa"/>
                </w:tcPr>
                <w:p w14:paraId="4E853771" w14:textId="77777777" w:rsidR="004E4CC2" w:rsidRDefault="00000000">
                  <w:pPr>
                    <w:pStyle w:val="Compact"/>
                    <w:jc w:val="center"/>
                  </w:pPr>
                  <w:r>
                    <w:t>25</w:t>
                  </w:r>
                </w:p>
              </w:tc>
              <w:tc>
                <w:tcPr>
                  <w:tcW w:w="1377" w:type="dxa"/>
                </w:tcPr>
                <w:p w14:paraId="67ACBAE5" w14:textId="77777777" w:rsidR="004E4CC2" w:rsidRDefault="00000000">
                  <w:pPr>
                    <w:pStyle w:val="Compact"/>
                    <w:jc w:val="center"/>
                  </w:pPr>
                  <w:r>
                    <w:t>34</w:t>
                  </w:r>
                </w:p>
              </w:tc>
            </w:tr>
            <w:tr w:rsidR="004E4CC2" w14:paraId="23455952" w14:textId="77777777">
              <w:tc>
                <w:tcPr>
                  <w:tcW w:w="1033" w:type="dxa"/>
                </w:tcPr>
                <w:p w14:paraId="33340C03" w14:textId="77777777" w:rsidR="004E4CC2" w:rsidRDefault="00000000">
                  <w:pPr>
                    <w:pStyle w:val="Compact"/>
                    <w:jc w:val="center"/>
                  </w:pPr>
                  <w:r>
                    <w:t>Transportverluste</w:t>
                  </w:r>
                </w:p>
              </w:tc>
              <w:tc>
                <w:tcPr>
                  <w:tcW w:w="1377" w:type="dxa"/>
                </w:tcPr>
                <w:p w14:paraId="6EBD96B8" w14:textId="77777777" w:rsidR="004E4CC2" w:rsidRDefault="00000000">
                  <w:pPr>
                    <w:pStyle w:val="Compact"/>
                    <w:jc w:val="center"/>
                  </w:pPr>
                  <w:r>
                    <w:t>19</w:t>
                  </w:r>
                </w:p>
              </w:tc>
              <w:tc>
                <w:tcPr>
                  <w:tcW w:w="1377" w:type="dxa"/>
                </w:tcPr>
                <w:p w14:paraId="7A4C038E" w14:textId="77777777" w:rsidR="004E4CC2" w:rsidRDefault="00000000">
                  <w:pPr>
                    <w:pStyle w:val="Compact"/>
                    <w:jc w:val="center"/>
                  </w:pPr>
                  <w:r>
                    <w:t>16</w:t>
                  </w:r>
                </w:p>
              </w:tc>
              <w:tc>
                <w:tcPr>
                  <w:tcW w:w="1377" w:type="dxa"/>
                </w:tcPr>
                <w:p w14:paraId="51316262" w14:textId="77777777" w:rsidR="004E4CC2" w:rsidRDefault="00000000">
                  <w:pPr>
                    <w:pStyle w:val="Compact"/>
                    <w:jc w:val="center"/>
                  </w:pPr>
                  <w:r>
                    <w:t>14</w:t>
                  </w:r>
                </w:p>
              </w:tc>
              <w:tc>
                <w:tcPr>
                  <w:tcW w:w="1377" w:type="dxa"/>
                </w:tcPr>
                <w:p w14:paraId="6E9836EB" w14:textId="77777777" w:rsidR="004E4CC2" w:rsidRDefault="00000000">
                  <w:pPr>
                    <w:pStyle w:val="Compact"/>
                    <w:jc w:val="center"/>
                  </w:pPr>
                  <w:r>
                    <w:t>15</w:t>
                  </w:r>
                </w:p>
              </w:tc>
              <w:tc>
                <w:tcPr>
                  <w:tcW w:w="1377" w:type="dxa"/>
                </w:tcPr>
                <w:p w14:paraId="607FD619" w14:textId="77777777" w:rsidR="004E4CC2" w:rsidRDefault="00000000">
                  <w:pPr>
                    <w:pStyle w:val="Compact"/>
                    <w:jc w:val="center"/>
                  </w:pPr>
                  <w:r>
                    <w:t>15</w:t>
                  </w:r>
                </w:p>
              </w:tc>
            </w:tr>
            <w:tr w:rsidR="004E4CC2" w14:paraId="4868C061" w14:textId="77777777">
              <w:tc>
                <w:tcPr>
                  <w:tcW w:w="1033" w:type="dxa"/>
                </w:tcPr>
                <w:p w14:paraId="36806945" w14:textId="77777777" w:rsidR="004E4CC2" w:rsidRDefault="00000000">
                  <w:pPr>
                    <w:pStyle w:val="Compact"/>
                    <w:jc w:val="center"/>
                  </w:pPr>
                  <w:r>
                    <w:t>Umwandlungseinsatz</w:t>
                  </w:r>
                </w:p>
              </w:tc>
              <w:tc>
                <w:tcPr>
                  <w:tcW w:w="1377" w:type="dxa"/>
                </w:tcPr>
                <w:p w14:paraId="775344AB" w14:textId="77777777" w:rsidR="004E4CC2" w:rsidRDefault="00000000">
                  <w:pPr>
                    <w:pStyle w:val="Compact"/>
                    <w:jc w:val="center"/>
                  </w:pPr>
                  <w:r>
                    <w:t>57</w:t>
                  </w:r>
                </w:p>
              </w:tc>
              <w:tc>
                <w:tcPr>
                  <w:tcW w:w="1377" w:type="dxa"/>
                </w:tcPr>
                <w:p w14:paraId="507E54B3" w14:textId="77777777" w:rsidR="004E4CC2" w:rsidRDefault="00000000">
                  <w:pPr>
                    <w:pStyle w:val="Compact"/>
                    <w:jc w:val="center"/>
                  </w:pPr>
                  <w:r>
                    <w:t>3</w:t>
                  </w:r>
                </w:p>
              </w:tc>
              <w:tc>
                <w:tcPr>
                  <w:tcW w:w="1377" w:type="dxa"/>
                </w:tcPr>
                <w:p w14:paraId="1984252E" w14:textId="77777777" w:rsidR="004E4CC2" w:rsidRDefault="00000000">
                  <w:pPr>
                    <w:pStyle w:val="Compact"/>
                    <w:jc w:val="center"/>
                  </w:pPr>
                  <w:r>
                    <w:t>34</w:t>
                  </w:r>
                </w:p>
              </w:tc>
              <w:tc>
                <w:tcPr>
                  <w:tcW w:w="1377" w:type="dxa"/>
                </w:tcPr>
                <w:p w14:paraId="7D931A7E" w14:textId="77777777" w:rsidR="004E4CC2" w:rsidRDefault="00000000">
                  <w:pPr>
                    <w:pStyle w:val="Compact"/>
                    <w:jc w:val="center"/>
                  </w:pPr>
                  <w:r>
                    <w:t>0</w:t>
                  </w:r>
                </w:p>
              </w:tc>
              <w:tc>
                <w:tcPr>
                  <w:tcW w:w="1377" w:type="dxa"/>
                </w:tcPr>
                <w:p w14:paraId="0F6C4A3D" w14:textId="77777777" w:rsidR="004E4CC2" w:rsidRDefault="00000000">
                  <w:pPr>
                    <w:pStyle w:val="Compact"/>
                    <w:jc w:val="center"/>
                  </w:pPr>
                  <w:r>
                    <w:t>36</w:t>
                  </w:r>
                </w:p>
              </w:tc>
            </w:tr>
            <w:tr w:rsidR="004E4CC2" w14:paraId="75C0BE6E" w14:textId="77777777">
              <w:tc>
                <w:tcPr>
                  <w:tcW w:w="1033" w:type="dxa"/>
                </w:tcPr>
                <w:p w14:paraId="75A9283F" w14:textId="77777777" w:rsidR="004E4CC2" w:rsidRDefault="00000000">
                  <w:pPr>
                    <w:pStyle w:val="Compact"/>
                    <w:jc w:val="center"/>
                  </w:pPr>
                  <w:r>
                    <w:t>Publizierter Strombedarf gesamt</w:t>
                  </w:r>
                </w:p>
              </w:tc>
              <w:tc>
                <w:tcPr>
                  <w:tcW w:w="1377" w:type="dxa"/>
                </w:tcPr>
                <w:p w14:paraId="7579DF03" w14:textId="77777777" w:rsidR="004E4CC2" w:rsidRDefault="00000000">
                  <w:pPr>
                    <w:pStyle w:val="Compact"/>
                    <w:jc w:val="center"/>
                  </w:pPr>
                  <w:r>
                    <w:t>450</w:t>
                  </w:r>
                </w:p>
              </w:tc>
              <w:tc>
                <w:tcPr>
                  <w:tcW w:w="1377" w:type="dxa"/>
                </w:tcPr>
                <w:p w14:paraId="5F6D661B" w14:textId="77777777" w:rsidR="004E4CC2" w:rsidRDefault="00000000">
                  <w:pPr>
                    <w:pStyle w:val="Compact"/>
                    <w:jc w:val="center"/>
                  </w:pPr>
                  <w:r>
                    <w:t>376</w:t>
                  </w:r>
                </w:p>
              </w:tc>
              <w:tc>
                <w:tcPr>
                  <w:tcW w:w="1377" w:type="dxa"/>
                </w:tcPr>
                <w:p w14:paraId="02F308EE" w14:textId="77777777" w:rsidR="004E4CC2" w:rsidRDefault="00000000">
                  <w:pPr>
                    <w:pStyle w:val="Compact"/>
                    <w:jc w:val="center"/>
                  </w:pPr>
                  <w:r>
                    <w:t>394</w:t>
                  </w:r>
                </w:p>
              </w:tc>
              <w:tc>
                <w:tcPr>
                  <w:tcW w:w="1377" w:type="dxa"/>
                </w:tcPr>
                <w:p w14:paraId="40AA5440" w14:textId="77777777" w:rsidR="004E4CC2" w:rsidRDefault="00000000">
                  <w:pPr>
                    <w:pStyle w:val="Compact"/>
                    <w:jc w:val="center"/>
                  </w:pPr>
                  <w:r>
                    <w:t>367</w:t>
                  </w:r>
                </w:p>
              </w:tc>
              <w:tc>
                <w:tcPr>
                  <w:tcW w:w="1377" w:type="dxa"/>
                </w:tcPr>
                <w:p w14:paraId="616EE129" w14:textId="77777777" w:rsidR="004E4CC2" w:rsidRDefault="00000000">
                  <w:pPr>
                    <w:pStyle w:val="Compact"/>
                    <w:jc w:val="center"/>
                  </w:pPr>
                  <w:r>
                    <w:t>407</w:t>
                  </w:r>
                </w:p>
              </w:tc>
            </w:tr>
            <w:bookmarkEnd w:id="447"/>
          </w:tbl>
          <w:p w14:paraId="7E56684F" w14:textId="77777777" w:rsidR="004E4CC2" w:rsidRDefault="004E4CC2"/>
        </w:tc>
      </w:tr>
    </w:tbl>
    <w:p w14:paraId="3850CD64" w14:textId="77777777" w:rsidR="004E4CC2" w:rsidRDefault="00000000">
      <w:pPr>
        <w:pStyle w:val="Textkrper"/>
      </w:pPr>
      <w:r>
        <w:t>¹ Transition: Geothermie; die Vergleichstabellen verwenden die breitere Kategorie „Umgebungswärme etc.“. Striche bei WEM/WAM 2023 wurden in der übergebenen Normierung als null geführt.</w:t>
      </w:r>
    </w:p>
    <w:tbl>
      <w:tblPr>
        <w:tblStyle w:val="Table"/>
        <w:tblW w:w="5000" w:type="pct"/>
        <w:tblLayout w:type="fixed"/>
        <w:tblLook w:val="0000" w:firstRow="0" w:lastRow="0" w:firstColumn="0" w:lastColumn="0" w:noHBand="0" w:noVBand="0"/>
      </w:tblPr>
      <w:tblGrid>
        <w:gridCol w:w="9622"/>
      </w:tblGrid>
      <w:tr w:rsidR="004E4CC2" w14:paraId="0366ABB8" w14:textId="77777777">
        <w:tc>
          <w:tcPr>
            <w:tcW w:w="7920" w:type="dxa"/>
          </w:tcPr>
          <w:p w14:paraId="0EE4341F" w14:textId="77777777" w:rsidR="004E4CC2" w:rsidRDefault="00000000">
            <w:pPr>
              <w:pStyle w:val="ImageCaption"/>
              <w:spacing w:before="200"/>
            </w:pPr>
            <w:bookmarkStart w:id="448" w:name="tbl-szenario-bilanzreste"/>
            <w:r>
              <w:t>Tabelle L.3: Dokumentierte Rundungs- und Bilanzreste in PJ_el/a, aus denselben publizierten Tabellen berechnet. Keine Verteilung auf Einzelpositionen.</w:t>
            </w:r>
          </w:p>
          <w:tbl>
            <w:tblPr>
              <w:tblStyle w:val="Table"/>
              <w:tblW w:w="5000" w:type="pct"/>
              <w:tblLayout w:type="fixed"/>
              <w:tblLook w:val="0020" w:firstRow="1" w:lastRow="0" w:firstColumn="0" w:lastColumn="0" w:noHBand="0" w:noVBand="0"/>
            </w:tblPr>
            <w:tblGrid>
              <w:gridCol w:w="1882"/>
              <w:gridCol w:w="2508"/>
              <w:gridCol w:w="2508"/>
              <w:gridCol w:w="2508"/>
            </w:tblGrid>
            <w:tr w:rsidR="004E4CC2" w14:paraId="72E55A75"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584" w:type="dxa"/>
                </w:tcPr>
                <w:p w14:paraId="63B044FA" w14:textId="77777777" w:rsidR="004E4CC2" w:rsidRDefault="00000000">
                  <w:pPr>
                    <w:pStyle w:val="Compact"/>
                    <w:jc w:val="center"/>
                  </w:pPr>
                  <w:r>
                    <w:t>Szenario</w:t>
                  </w:r>
                </w:p>
              </w:tc>
              <w:tc>
                <w:tcPr>
                  <w:tcW w:w="2112" w:type="dxa"/>
                </w:tcPr>
                <w:p w14:paraId="7C53221A" w14:textId="77777777" w:rsidR="004E4CC2" w:rsidRDefault="00000000">
                  <w:pPr>
                    <w:pStyle w:val="Compact"/>
                    <w:jc w:val="center"/>
                  </w:pPr>
                  <w:r>
                    <w:t>Erzeugung: Komponenten − Gesamt</w:t>
                  </w:r>
                </w:p>
              </w:tc>
              <w:tc>
                <w:tcPr>
                  <w:tcW w:w="2112" w:type="dxa"/>
                </w:tcPr>
                <w:p w14:paraId="1C50463E" w14:textId="77777777" w:rsidR="004E4CC2" w:rsidRDefault="00000000">
                  <w:pPr>
                    <w:pStyle w:val="Compact"/>
                    <w:jc w:val="center"/>
                  </w:pPr>
                  <w:r>
                    <w:t>Bedarf: Komponenten − Gesamt</w:t>
                  </w:r>
                </w:p>
              </w:tc>
              <w:tc>
                <w:tcPr>
                  <w:tcW w:w="2112" w:type="dxa"/>
                </w:tcPr>
                <w:p w14:paraId="4EA389AC" w14:textId="77777777" w:rsidR="004E4CC2" w:rsidRDefault="00000000">
                  <w:pPr>
                    <w:pStyle w:val="Compact"/>
                    <w:jc w:val="center"/>
                  </w:pPr>
                  <w:r>
                    <w:t>Erzeugung + Nettoimport − Bedarf</w:t>
                  </w:r>
                </w:p>
              </w:tc>
            </w:tr>
            <w:tr w:rsidR="004E4CC2" w14:paraId="24EE219E" w14:textId="77777777">
              <w:tc>
                <w:tcPr>
                  <w:tcW w:w="1584" w:type="dxa"/>
                </w:tcPr>
                <w:p w14:paraId="63CC2593" w14:textId="77777777" w:rsidR="004E4CC2" w:rsidRDefault="00000000">
                  <w:pPr>
                    <w:pStyle w:val="Compact"/>
                    <w:jc w:val="center"/>
                  </w:pPr>
                  <w:r>
                    <w:lastRenderedPageBreak/>
                    <w:t>Transition 2040</w:t>
                  </w:r>
                </w:p>
              </w:tc>
              <w:tc>
                <w:tcPr>
                  <w:tcW w:w="2112" w:type="dxa"/>
                </w:tcPr>
                <w:p w14:paraId="29CA67F9" w14:textId="77777777" w:rsidR="004E4CC2" w:rsidRDefault="00000000">
                  <w:pPr>
                    <w:pStyle w:val="Compact"/>
                    <w:jc w:val="center"/>
                  </w:pPr>
                  <w:r>
                    <w:t>+0</w:t>
                  </w:r>
                </w:p>
              </w:tc>
              <w:tc>
                <w:tcPr>
                  <w:tcW w:w="2112" w:type="dxa"/>
                </w:tcPr>
                <w:p w14:paraId="550380B1" w14:textId="77777777" w:rsidR="004E4CC2" w:rsidRDefault="00000000">
                  <w:pPr>
                    <w:pStyle w:val="Compact"/>
                    <w:jc w:val="center"/>
                  </w:pPr>
                  <w:r>
                    <w:t>+2</w:t>
                  </w:r>
                </w:p>
              </w:tc>
              <w:tc>
                <w:tcPr>
                  <w:tcW w:w="2112" w:type="dxa"/>
                </w:tcPr>
                <w:p w14:paraId="026CD9DA" w14:textId="77777777" w:rsidR="004E4CC2" w:rsidRDefault="00000000">
                  <w:pPr>
                    <w:pStyle w:val="Compact"/>
                    <w:jc w:val="center"/>
                  </w:pPr>
                  <w:r>
                    <w:t>+0</w:t>
                  </w:r>
                </w:p>
              </w:tc>
            </w:tr>
            <w:tr w:rsidR="004E4CC2" w14:paraId="12FB4D0A" w14:textId="77777777">
              <w:tc>
                <w:tcPr>
                  <w:tcW w:w="1584" w:type="dxa"/>
                </w:tcPr>
                <w:p w14:paraId="5E8C5E53" w14:textId="77777777" w:rsidR="004E4CC2" w:rsidRDefault="00000000">
                  <w:pPr>
                    <w:pStyle w:val="Compact"/>
                    <w:jc w:val="center"/>
                  </w:pPr>
                  <w:r>
                    <w:t>WEM 2025</w:t>
                  </w:r>
                </w:p>
              </w:tc>
              <w:tc>
                <w:tcPr>
                  <w:tcW w:w="2112" w:type="dxa"/>
                </w:tcPr>
                <w:p w14:paraId="4A0B8246" w14:textId="77777777" w:rsidR="004E4CC2" w:rsidRDefault="00000000">
                  <w:pPr>
                    <w:pStyle w:val="Compact"/>
                    <w:jc w:val="center"/>
                  </w:pPr>
                  <w:r>
                    <w:t>+0</w:t>
                  </w:r>
                </w:p>
              </w:tc>
              <w:tc>
                <w:tcPr>
                  <w:tcW w:w="2112" w:type="dxa"/>
                </w:tcPr>
                <w:p w14:paraId="36919564" w14:textId="77777777" w:rsidR="004E4CC2" w:rsidRDefault="00000000">
                  <w:pPr>
                    <w:pStyle w:val="Compact"/>
                    <w:jc w:val="center"/>
                  </w:pPr>
                  <w:r>
                    <w:t>-1</w:t>
                  </w:r>
                </w:p>
              </w:tc>
              <w:tc>
                <w:tcPr>
                  <w:tcW w:w="2112" w:type="dxa"/>
                </w:tcPr>
                <w:p w14:paraId="0A1CEEA1" w14:textId="77777777" w:rsidR="004E4CC2" w:rsidRDefault="00000000">
                  <w:pPr>
                    <w:pStyle w:val="Compact"/>
                    <w:jc w:val="center"/>
                  </w:pPr>
                  <w:r>
                    <w:t>+1</w:t>
                  </w:r>
                </w:p>
              </w:tc>
            </w:tr>
            <w:tr w:rsidR="004E4CC2" w14:paraId="0F9669B6" w14:textId="77777777">
              <w:tc>
                <w:tcPr>
                  <w:tcW w:w="1584" w:type="dxa"/>
                </w:tcPr>
                <w:p w14:paraId="4DC73519" w14:textId="77777777" w:rsidR="004E4CC2" w:rsidRDefault="00000000">
                  <w:pPr>
                    <w:pStyle w:val="Compact"/>
                    <w:jc w:val="center"/>
                  </w:pPr>
                  <w:r>
                    <w:t>WAM 2025</w:t>
                  </w:r>
                </w:p>
              </w:tc>
              <w:tc>
                <w:tcPr>
                  <w:tcW w:w="2112" w:type="dxa"/>
                </w:tcPr>
                <w:p w14:paraId="6E4CF052" w14:textId="77777777" w:rsidR="004E4CC2" w:rsidRDefault="00000000">
                  <w:pPr>
                    <w:pStyle w:val="Compact"/>
                    <w:jc w:val="center"/>
                  </w:pPr>
                  <w:r>
                    <w:t>+0</w:t>
                  </w:r>
                </w:p>
              </w:tc>
              <w:tc>
                <w:tcPr>
                  <w:tcW w:w="2112" w:type="dxa"/>
                </w:tcPr>
                <w:p w14:paraId="18AC7DBE" w14:textId="77777777" w:rsidR="004E4CC2" w:rsidRDefault="00000000">
                  <w:pPr>
                    <w:pStyle w:val="Compact"/>
                    <w:jc w:val="center"/>
                  </w:pPr>
                  <w:r>
                    <w:t>+0</w:t>
                  </w:r>
                </w:p>
              </w:tc>
              <w:tc>
                <w:tcPr>
                  <w:tcW w:w="2112" w:type="dxa"/>
                </w:tcPr>
                <w:p w14:paraId="2C60908E" w14:textId="77777777" w:rsidR="004E4CC2" w:rsidRDefault="00000000">
                  <w:pPr>
                    <w:pStyle w:val="Compact"/>
                    <w:jc w:val="center"/>
                  </w:pPr>
                  <w:r>
                    <w:t>+2</w:t>
                  </w:r>
                </w:p>
              </w:tc>
            </w:tr>
            <w:tr w:rsidR="004E4CC2" w14:paraId="6AE0178D" w14:textId="77777777">
              <w:tc>
                <w:tcPr>
                  <w:tcW w:w="1584" w:type="dxa"/>
                </w:tcPr>
                <w:p w14:paraId="18622198" w14:textId="77777777" w:rsidR="004E4CC2" w:rsidRDefault="00000000">
                  <w:pPr>
                    <w:pStyle w:val="Compact"/>
                    <w:jc w:val="center"/>
                  </w:pPr>
                  <w:r>
                    <w:t>WEM 2023</w:t>
                  </w:r>
                </w:p>
              </w:tc>
              <w:tc>
                <w:tcPr>
                  <w:tcW w:w="2112" w:type="dxa"/>
                </w:tcPr>
                <w:p w14:paraId="07AF79B9" w14:textId="77777777" w:rsidR="004E4CC2" w:rsidRDefault="00000000">
                  <w:pPr>
                    <w:pStyle w:val="Compact"/>
                    <w:jc w:val="center"/>
                  </w:pPr>
                  <w:r>
                    <w:t>-1</w:t>
                  </w:r>
                </w:p>
              </w:tc>
              <w:tc>
                <w:tcPr>
                  <w:tcW w:w="2112" w:type="dxa"/>
                </w:tcPr>
                <w:p w14:paraId="71DD55D7" w14:textId="77777777" w:rsidR="004E4CC2" w:rsidRDefault="00000000">
                  <w:pPr>
                    <w:pStyle w:val="Compact"/>
                    <w:jc w:val="center"/>
                  </w:pPr>
                  <w:r>
                    <w:t>-1</w:t>
                  </w:r>
                </w:p>
              </w:tc>
              <w:tc>
                <w:tcPr>
                  <w:tcW w:w="2112" w:type="dxa"/>
                </w:tcPr>
                <w:p w14:paraId="53331CAE" w14:textId="77777777" w:rsidR="004E4CC2" w:rsidRDefault="00000000">
                  <w:pPr>
                    <w:pStyle w:val="Compact"/>
                    <w:jc w:val="center"/>
                  </w:pPr>
                  <w:r>
                    <w:t>+0</w:t>
                  </w:r>
                </w:p>
              </w:tc>
            </w:tr>
            <w:tr w:rsidR="004E4CC2" w14:paraId="13AA1865" w14:textId="77777777">
              <w:tc>
                <w:tcPr>
                  <w:tcW w:w="1584" w:type="dxa"/>
                </w:tcPr>
                <w:p w14:paraId="31F45BFB" w14:textId="77777777" w:rsidR="004E4CC2" w:rsidRDefault="00000000">
                  <w:pPr>
                    <w:pStyle w:val="Compact"/>
                    <w:jc w:val="center"/>
                  </w:pPr>
                  <w:r>
                    <w:t>WAM 2023</w:t>
                  </w:r>
                </w:p>
              </w:tc>
              <w:tc>
                <w:tcPr>
                  <w:tcW w:w="2112" w:type="dxa"/>
                </w:tcPr>
                <w:p w14:paraId="06798B6C" w14:textId="77777777" w:rsidR="004E4CC2" w:rsidRDefault="00000000">
                  <w:pPr>
                    <w:pStyle w:val="Compact"/>
                    <w:jc w:val="center"/>
                  </w:pPr>
                  <w:r>
                    <w:t>+0</w:t>
                  </w:r>
                </w:p>
              </w:tc>
              <w:tc>
                <w:tcPr>
                  <w:tcW w:w="2112" w:type="dxa"/>
                </w:tcPr>
                <w:p w14:paraId="7FE65C89" w14:textId="77777777" w:rsidR="004E4CC2" w:rsidRDefault="00000000">
                  <w:pPr>
                    <w:pStyle w:val="Compact"/>
                    <w:jc w:val="center"/>
                  </w:pPr>
                  <w:r>
                    <w:t>+0</w:t>
                  </w:r>
                </w:p>
              </w:tc>
              <w:tc>
                <w:tcPr>
                  <w:tcW w:w="2112" w:type="dxa"/>
                </w:tcPr>
                <w:p w14:paraId="4378FDB6" w14:textId="77777777" w:rsidR="004E4CC2" w:rsidRDefault="00000000">
                  <w:pPr>
                    <w:pStyle w:val="Compact"/>
                    <w:jc w:val="center"/>
                  </w:pPr>
                  <w:r>
                    <w:t>+0</w:t>
                  </w:r>
                </w:p>
              </w:tc>
            </w:tr>
            <w:bookmarkEnd w:id="448"/>
          </w:tbl>
          <w:p w14:paraId="7F769608" w14:textId="77777777" w:rsidR="004E4CC2" w:rsidRDefault="004E4CC2"/>
        </w:tc>
      </w:tr>
    </w:tbl>
    <w:p w14:paraId="14D65A3C" w14:textId="77777777" w:rsidR="004E4CC2" w:rsidRDefault="00000000">
      <w:pPr>
        <w:pStyle w:val="SourceCode"/>
      </w:pPr>
      <w:r>
        <w:rPr>
          <w:rStyle w:val="VerbatimChar"/>
        </w:rPr>
        <w:lastRenderedPageBreak/>
        <w:t>Die veröffentlichte nationale Elektrizitätsbilanz ist der Ausgangspunkt der sektoralen Stromaufteilung. Dabei sind Stromerzeugung nach Technologie, Strombedarfe nach Sektor sowie Energieumwandlung, Eigenverbrauch, Netzverluste und gegebenenfalls Nettoimporte nachvollziehbar zu trennen. Insbesondere sind die Rückverstromung gespeicherter Energieträger und die zugehörigen Umwandlungsbedarfe konsistent abzubilden; eine Erzeugungsposition darf nicht mit ihrem vorgelagerten Stromeinsatz doppelt als neue Nettoenergie gezählt werden.</w:t>
      </w:r>
      <w:r>
        <w:br/>
      </w:r>
      <w:r>
        <w:br/>
      </w:r>
      <w:r>
        <w:rPr>
          <w:rStyle w:val="VerbatimChar"/>
        </w:rPr>
        <w:t>## Endenergie aller Energieträger im Vergleich</w:t>
      </w:r>
    </w:p>
    <w:tbl>
      <w:tblPr>
        <w:tblStyle w:val="Table"/>
        <w:tblW w:w="5000" w:type="pct"/>
        <w:tblLayout w:type="fixed"/>
        <w:tblLook w:val="0000" w:firstRow="0" w:lastRow="0" w:firstColumn="0" w:lastColumn="0" w:noHBand="0" w:noVBand="0"/>
      </w:tblPr>
      <w:tblGrid>
        <w:gridCol w:w="9622"/>
      </w:tblGrid>
      <w:tr w:rsidR="004E4CC2" w14:paraId="72D52747" w14:textId="77777777">
        <w:tc>
          <w:tcPr>
            <w:tcW w:w="7920" w:type="dxa"/>
          </w:tcPr>
          <w:p w14:paraId="7E505F99" w14:textId="77777777" w:rsidR="004E4CC2" w:rsidRDefault="00000000">
            <w:pPr>
              <w:pStyle w:val="ImageCaption"/>
              <w:spacing w:before="200"/>
            </w:pPr>
            <w:bookmarkStart w:id="449" w:name="tbl-eev-data-only"/>
            <w:r>
              <w:t>Tabelle L.4: Separater Sektorausweis, nicht Teil der Stromallokation. Quellen: REP-0880 Tab. A S. 7, REP-0882 Zusammenfassung Tab. B S. 5, REP-0995 Tab. B S. 10.</w:t>
            </w:r>
          </w:p>
          <w:tbl>
            <w:tblPr>
              <w:tblStyle w:val="Table"/>
              <w:tblW w:w="5000" w:type="pct"/>
              <w:tblLayout w:type="fixed"/>
              <w:tblLook w:val="0020" w:firstRow="1" w:lastRow="0" w:firstColumn="0" w:lastColumn="0" w:noHBand="0" w:noVBand="0"/>
            </w:tblPr>
            <w:tblGrid>
              <w:gridCol w:w="1226"/>
              <w:gridCol w:w="1636"/>
              <w:gridCol w:w="1636"/>
              <w:gridCol w:w="1636"/>
              <w:gridCol w:w="1636"/>
              <w:gridCol w:w="1636"/>
            </w:tblGrid>
            <w:tr w:rsidR="004E4CC2" w14:paraId="4F31ED31" w14:textId="77777777" w:rsidTr="004E4CC2">
              <w:trPr>
                <w:cnfStyle w:val="100000000000" w:firstRow="1" w:lastRow="0" w:firstColumn="0" w:lastColumn="0" w:oddVBand="0" w:evenVBand="0" w:oddHBand="0" w:evenHBand="0" w:firstRowFirstColumn="0" w:firstRowLastColumn="0" w:lastRowFirstColumn="0" w:lastRowLastColumn="0"/>
                <w:tblHeader/>
              </w:trPr>
              <w:tc>
                <w:tcPr>
                  <w:tcW w:w="1033" w:type="dxa"/>
                </w:tcPr>
                <w:p w14:paraId="6C706C70" w14:textId="77777777" w:rsidR="004E4CC2" w:rsidRDefault="00000000">
                  <w:pPr>
                    <w:pStyle w:val="Compact"/>
                    <w:jc w:val="center"/>
                  </w:pPr>
                  <w:r>
                    <w:t>Endenergie 2040 [PJ_end/a]</w:t>
                  </w:r>
                </w:p>
              </w:tc>
              <w:tc>
                <w:tcPr>
                  <w:tcW w:w="1377" w:type="dxa"/>
                </w:tcPr>
                <w:p w14:paraId="2FFCE845" w14:textId="77777777" w:rsidR="004E4CC2" w:rsidRDefault="00000000">
                  <w:pPr>
                    <w:pStyle w:val="Compact"/>
                    <w:jc w:val="center"/>
                  </w:pPr>
                  <w:r>
                    <w:t>Transition 2040</w:t>
                  </w:r>
                </w:p>
              </w:tc>
              <w:tc>
                <w:tcPr>
                  <w:tcW w:w="1377" w:type="dxa"/>
                </w:tcPr>
                <w:p w14:paraId="146761FB" w14:textId="77777777" w:rsidR="004E4CC2" w:rsidRDefault="00000000">
                  <w:pPr>
                    <w:pStyle w:val="Compact"/>
                    <w:jc w:val="center"/>
                  </w:pPr>
                  <w:r>
                    <w:t>WEM 2025</w:t>
                  </w:r>
                </w:p>
              </w:tc>
              <w:tc>
                <w:tcPr>
                  <w:tcW w:w="1377" w:type="dxa"/>
                </w:tcPr>
                <w:p w14:paraId="5D269586" w14:textId="77777777" w:rsidR="004E4CC2" w:rsidRDefault="00000000">
                  <w:pPr>
                    <w:pStyle w:val="Compact"/>
                    <w:jc w:val="center"/>
                  </w:pPr>
                  <w:r>
                    <w:t>WAM 2025</w:t>
                  </w:r>
                </w:p>
              </w:tc>
              <w:tc>
                <w:tcPr>
                  <w:tcW w:w="1377" w:type="dxa"/>
                </w:tcPr>
                <w:p w14:paraId="2C43307D" w14:textId="77777777" w:rsidR="004E4CC2" w:rsidRDefault="00000000">
                  <w:pPr>
                    <w:pStyle w:val="Compact"/>
                    <w:jc w:val="center"/>
                  </w:pPr>
                  <w:r>
                    <w:t>WEM 2023</w:t>
                  </w:r>
                </w:p>
              </w:tc>
              <w:tc>
                <w:tcPr>
                  <w:tcW w:w="1377" w:type="dxa"/>
                </w:tcPr>
                <w:p w14:paraId="28A7FA16" w14:textId="77777777" w:rsidR="004E4CC2" w:rsidRDefault="00000000">
                  <w:pPr>
                    <w:pStyle w:val="Compact"/>
                    <w:jc w:val="center"/>
                  </w:pPr>
                  <w:r>
                    <w:t>WAM 2023</w:t>
                  </w:r>
                </w:p>
              </w:tc>
            </w:tr>
            <w:tr w:rsidR="004E4CC2" w14:paraId="295251CD" w14:textId="77777777">
              <w:tc>
                <w:tcPr>
                  <w:tcW w:w="1033" w:type="dxa"/>
                </w:tcPr>
                <w:p w14:paraId="49654A6A" w14:textId="77777777" w:rsidR="004E4CC2" w:rsidRDefault="00000000">
                  <w:pPr>
                    <w:pStyle w:val="Compact"/>
                    <w:jc w:val="center"/>
                  </w:pPr>
                  <w:r>
                    <w:t>Verkehr</w:t>
                  </w:r>
                </w:p>
              </w:tc>
              <w:tc>
                <w:tcPr>
                  <w:tcW w:w="1377" w:type="dxa"/>
                </w:tcPr>
                <w:p w14:paraId="4DE4A7A3" w14:textId="77777777" w:rsidR="004E4CC2" w:rsidRDefault="00000000">
                  <w:pPr>
                    <w:pStyle w:val="Compact"/>
                    <w:jc w:val="center"/>
                  </w:pPr>
                  <w:r>
                    <w:t>151</w:t>
                  </w:r>
                </w:p>
              </w:tc>
              <w:tc>
                <w:tcPr>
                  <w:tcW w:w="1377" w:type="dxa"/>
                </w:tcPr>
                <w:p w14:paraId="57FFFDF7" w14:textId="77777777" w:rsidR="004E4CC2" w:rsidRDefault="00000000">
                  <w:pPr>
                    <w:pStyle w:val="Compact"/>
                    <w:jc w:val="center"/>
                  </w:pPr>
                  <w:r>
                    <w:t>279</w:t>
                  </w:r>
                </w:p>
              </w:tc>
              <w:tc>
                <w:tcPr>
                  <w:tcW w:w="1377" w:type="dxa"/>
                </w:tcPr>
                <w:p w14:paraId="12BEE033" w14:textId="77777777" w:rsidR="004E4CC2" w:rsidRDefault="00000000">
                  <w:pPr>
                    <w:pStyle w:val="Compact"/>
                    <w:jc w:val="center"/>
                  </w:pPr>
                  <w:r>
                    <w:t>268</w:t>
                  </w:r>
                </w:p>
              </w:tc>
              <w:tc>
                <w:tcPr>
                  <w:tcW w:w="1377" w:type="dxa"/>
                </w:tcPr>
                <w:p w14:paraId="3FABB47B" w14:textId="77777777" w:rsidR="004E4CC2" w:rsidRDefault="00000000">
                  <w:pPr>
                    <w:pStyle w:val="Compact"/>
                    <w:jc w:val="center"/>
                  </w:pPr>
                  <w:r>
                    <w:t>325</w:t>
                  </w:r>
                </w:p>
              </w:tc>
              <w:tc>
                <w:tcPr>
                  <w:tcW w:w="1377" w:type="dxa"/>
                </w:tcPr>
                <w:p w14:paraId="3937B61D" w14:textId="77777777" w:rsidR="004E4CC2" w:rsidRDefault="00000000">
                  <w:pPr>
                    <w:pStyle w:val="Compact"/>
                    <w:jc w:val="center"/>
                  </w:pPr>
                  <w:r>
                    <w:t>295</w:t>
                  </w:r>
                </w:p>
              </w:tc>
            </w:tr>
            <w:tr w:rsidR="004E4CC2" w14:paraId="23350EC1" w14:textId="77777777">
              <w:tc>
                <w:tcPr>
                  <w:tcW w:w="1033" w:type="dxa"/>
                </w:tcPr>
                <w:p w14:paraId="5618E217" w14:textId="77777777" w:rsidR="004E4CC2" w:rsidRDefault="00000000">
                  <w:pPr>
                    <w:pStyle w:val="Compact"/>
                    <w:jc w:val="center"/>
                  </w:pPr>
                  <w:r>
                    <w:t>Industrie</w:t>
                  </w:r>
                </w:p>
              </w:tc>
              <w:tc>
                <w:tcPr>
                  <w:tcW w:w="1377" w:type="dxa"/>
                </w:tcPr>
                <w:p w14:paraId="13A6642D" w14:textId="77777777" w:rsidR="004E4CC2" w:rsidRDefault="00000000">
                  <w:pPr>
                    <w:pStyle w:val="Compact"/>
                    <w:jc w:val="center"/>
                  </w:pPr>
                  <w:r>
                    <w:t>260</w:t>
                  </w:r>
                </w:p>
              </w:tc>
              <w:tc>
                <w:tcPr>
                  <w:tcW w:w="1377" w:type="dxa"/>
                </w:tcPr>
                <w:p w14:paraId="715DC153" w14:textId="77777777" w:rsidR="004E4CC2" w:rsidRDefault="00000000">
                  <w:pPr>
                    <w:pStyle w:val="Compact"/>
                    <w:jc w:val="center"/>
                  </w:pPr>
                  <w:r>
                    <w:t>347</w:t>
                  </w:r>
                </w:p>
              </w:tc>
              <w:tc>
                <w:tcPr>
                  <w:tcW w:w="1377" w:type="dxa"/>
                </w:tcPr>
                <w:p w14:paraId="34CE8916" w14:textId="77777777" w:rsidR="004E4CC2" w:rsidRDefault="00000000">
                  <w:pPr>
                    <w:pStyle w:val="Compact"/>
                    <w:jc w:val="center"/>
                  </w:pPr>
                  <w:r>
                    <w:t>320</w:t>
                  </w:r>
                </w:p>
              </w:tc>
              <w:tc>
                <w:tcPr>
                  <w:tcW w:w="1377" w:type="dxa"/>
                </w:tcPr>
                <w:p w14:paraId="726DD540" w14:textId="77777777" w:rsidR="004E4CC2" w:rsidRDefault="00000000">
                  <w:pPr>
                    <w:pStyle w:val="Compact"/>
                    <w:jc w:val="center"/>
                  </w:pPr>
                  <w:r>
                    <w:t>348</w:t>
                  </w:r>
                </w:p>
              </w:tc>
              <w:tc>
                <w:tcPr>
                  <w:tcW w:w="1377" w:type="dxa"/>
                </w:tcPr>
                <w:p w14:paraId="7A9AE44B" w14:textId="77777777" w:rsidR="004E4CC2" w:rsidRDefault="00000000">
                  <w:pPr>
                    <w:pStyle w:val="Compact"/>
                    <w:jc w:val="center"/>
                  </w:pPr>
                  <w:r>
                    <w:t>329</w:t>
                  </w:r>
                </w:p>
              </w:tc>
            </w:tr>
            <w:tr w:rsidR="004E4CC2" w14:paraId="2F1067A2" w14:textId="77777777">
              <w:tc>
                <w:tcPr>
                  <w:tcW w:w="1033" w:type="dxa"/>
                </w:tcPr>
                <w:p w14:paraId="4583BF2E" w14:textId="77777777" w:rsidR="004E4CC2" w:rsidRDefault="00000000">
                  <w:pPr>
                    <w:pStyle w:val="Compact"/>
                    <w:jc w:val="center"/>
                  </w:pPr>
                  <w:r>
                    <w:t>Gebäude</w:t>
                  </w:r>
                </w:p>
              </w:tc>
              <w:tc>
                <w:tcPr>
                  <w:tcW w:w="1377" w:type="dxa"/>
                </w:tcPr>
                <w:p w14:paraId="6A4A22F9" w14:textId="77777777" w:rsidR="004E4CC2" w:rsidRDefault="00000000">
                  <w:pPr>
                    <w:pStyle w:val="Compact"/>
                    <w:jc w:val="center"/>
                  </w:pPr>
                  <w:r>
                    <w:t>300</w:t>
                  </w:r>
                </w:p>
              </w:tc>
              <w:tc>
                <w:tcPr>
                  <w:tcW w:w="1377" w:type="dxa"/>
                </w:tcPr>
                <w:p w14:paraId="392C8D70" w14:textId="77777777" w:rsidR="004E4CC2" w:rsidRDefault="00000000">
                  <w:pPr>
                    <w:pStyle w:val="Compact"/>
                    <w:jc w:val="center"/>
                  </w:pPr>
                  <w:r>
                    <w:t>364</w:t>
                  </w:r>
                </w:p>
              </w:tc>
              <w:tc>
                <w:tcPr>
                  <w:tcW w:w="1377" w:type="dxa"/>
                </w:tcPr>
                <w:p w14:paraId="7D3AD980" w14:textId="77777777" w:rsidR="004E4CC2" w:rsidRDefault="00000000">
                  <w:pPr>
                    <w:pStyle w:val="Compact"/>
                    <w:jc w:val="center"/>
                  </w:pPr>
                  <w:r>
                    <w:t>348</w:t>
                  </w:r>
                </w:p>
              </w:tc>
              <w:tc>
                <w:tcPr>
                  <w:tcW w:w="1377" w:type="dxa"/>
                </w:tcPr>
                <w:p w14:paraId="55B6FF35" w14:textId="77777777" w:rsidR="004E4CC2" w:rsidRDefault="00000000">
                  <w:pPr>
                    <w:pStyle w:val="Compact"/>
                    <w:jc w:val="center"/>
                  </w:pPr>
                  <w:r>
                    <w:t>393</w:t>
                  </w:r>
                </w:p>
              </w:tc>
              <w:tc>
                <w:tcPr>
                  <w:tcW w:w="1377" w:type="dxa"/>
                </w:tcPr>
                <w:p w14:paraId="686969E5" w14:textId="77777777" w:rsidR="004E4CC2" w:rsidRDefault="00000000">
                  <w:pPr>
                    <w:pStyle w:val="Compact"/>
                    <w:jc w:val="center"/>
                  </w:pPr>
                  <w:r>
                    <w:t>347</w:t>
                  </w:r>
                </w:p>
              </w:tc>
            </w:tr>
            <w:tr w:rsidR="004E4CC2" w14:paraId="6742FCD6" w14:textId="77777777">
              <w:tc>
                <w:tcPr>
                  <w:tcW w:w="1033" w:type="dxa"/>
                </w:tcPr>
                <w:p w14:paraId="23648BD8" w14:textId="77777777" w:rsidR="004E4CC2" w:rsidRDefault="00000000">
                  <w:pPr>
                    <w:pStyle w:val="Compact"/>
                    <w:jc w:val="center"/>
                  </w:pPr>
                  <w:r>
                    <w:t>Landwirtschaft</w:t>
                  </w:r>
                </w:p>
              </w:tc>
              <w:tc>
                <w:tcPr>
                  <w:tcW w:w="1377" w:type="dxa"/>
                </w:tcPr>
                <w:p w14:paraId="635596B6" w14:textId="77777777" w:rsidR="004E4CC2" w:rsidRDefault="00000000">
                  <w:pPr>
                    <w:pStyle w:val="Compact"/>
                    <w:jc w:val="center"/>
                  </w:pPr>
                  <w:r>
                    <w:t>11</w:t>
                  </w:r>
                </w:p>
              </w:tc>
              <w:tc>
                <w:tcPr>
                  <w:tcW w:w="1377" w:type="dxa"/>
                </w:tcPr>
                <w:p w14:paraId="6583BBA0" w14:textId="77777777" w:rsidR="004E4CC2" w:rsidRDefault="00000000">
                  <w:pPr>
                    <w:pStyle w:val="Compact"/>
                    <w:jc w:val="center"/>
                  </w:pPr>
                  <w:r>
                    <w:t>12</w:t>
                  </w:r>
                </w:p>
              </w:tc>
              <w:tc>
                <w:tcPr>
                  <w:tcW w:w="1377" w:type="dxa"/>
                </w:tcPr>
                <w:p w14:paraId="09C1DE77" w14:textId="77777777" w:rsidR="004E4CC2" w:rsidRDefault="00000000">
                  <w:pPr>
                    <w:pStyle w:val="Compact"/>
                    <w:jc w:val="center"/>
                  </w:pPr>
                  <w:r>
                    <w:t>12</w:t>
                  </w:r>
                </w:p>
              </w:tc>
              <w:tc>
                <w:tcPr>
                  <w:tcW w:w="1377" w:type="dxa"/>
                </w:tcPr>
                <w:p w14:paraId="6D803FF0" w14:textId="77777777" w:rsidR="004E4CC2" w:rsidRDefault="00000000">
                  <w:pPr>
                    <w:pStyle w:val="Compact"/>
                    <w:jc w:val="center"/>
                  </w:pPr>
                  <w:r>
                    <w:t>13</w:t>
                  </w:r>
                </w:p>
              </w:tc>
              <w:tc>
                <w:tcPr>
                  <w:tcW w:w="1377" w:type="dxa"/>
                </w:tcPr>
                <w:p w14:paraId="6C21C9AE" w14:textId="77777777" w:rsidR="004E4CC2" w:rsidRDefault="00000000">
                  <w:pPr>
                    <w:pStyle w:val="Compact"/>
                    <w:jc w:val="center"/>
                  </w:pPr>
                  <w:r>
                    <w:t>12</w:t>
                  </w:r>
                </w:p>
              </w:tc>
            </w:tr>
            <w:tr w:rsidR="004E4CC2" w14:paraId="4A86108E" w14:textId="77777777">
              <w:tc>
                <w:tcPr>
                  <w:tcW w:w="1033" w:type="dxa"/>
                </w:tcPr>
                <w:p w14:paraId="0FEA9BDA" w14:textId="77777777" w:rsidR="004E4CC2" w:rsidRDefault="00000000">
                  <w:pPr>
                    <w:pStyle w:val="Compact"/>
                    <w:jc w:val="center"/>
                  </w:pPr>
                  <w:r>
                    <w:t>Publizierte Endenergie gesamt</w:t>
                  </w:r>
                </w:p>
              </w:tc>
              <w:tc>
                <w:tcPr>
                  <w:tcW w:w="1377" w:type="dxa"/>
                </w:tcPr>
                <w:p w14:paraId="3669A235" w14:textId="77777777" w:rsidR="004E4CC2" w:rsidRDefault="00000000">
                  <w:pPr>
                    <w:pStyle w:val="Compact"/>
                    <w:jc w:val="center"/>
                  </w:pPr>
                  <w:r>
                    <w:t>722</w:t>
                  </w:r>
                </w:p>
              </w:tc>
              <w:tc>
                <w:tcPr>
                  <w:tcW w:w="1377" w:type="dxa"/>
                </w:tcPr>
                <w:p w14:paraId="0D80A4F2" w14:textId="77777777" w:rsidR="004E4CC2" w:rsidRDefault="00000000">
                  <w:pPr>
                    <w:pStyle w:val="Compact"/>
                    <w:jc w:val="center"/>
                  </w:pPr>
                  <w:r>
                    <w:t>1003</w:t>
                  </w:r>
                </w:p>
              </w:tc>
              <w:tc>
                <w:tcPr>
                  <w:tcW w:w="1377" w:type="dxa"/>
                </w:tcPr>
                <w:p w14:paraId="1B449BA7" w14:textId="77777777" w:rsidR="004E4CC2" w:rsidRDefault="00000000">
                  <w:pPr>
                    <w:pStyle w:val="Compact"/>
                    <w:jc w:val="center"/>
                  </w:pPr>
                  <w:r>
                    <w:t>948</w:t>
                  </w:r>
                </w:p>
              </w:tc>
              <w:tc>
                <w:tcPr>
                  <w:tcW w:w="1377" w:type="dxa"/>
                </w:tcPr>
                <w:p w14:paraId="321410F0" w14:textId="77777777" w:rsidR="004E4CC2" w:rsidRDefault="00000000">
                  <w:pPr>
                    <w:pStyle w:val="Compact"/>
                    <w:jc w:val="center"/>
                  </w:pPr>
                  <w:r>
                    <w:t>1079</w:t>
                  </w:r>
                </w:p>
              </w:tc>
              <w:tc>
                <w:tcPr>
                  <w:tcW w:w="1377" w:type="dxa"/>
                </w:tcPr>
                <w:p w14:paraId="46DA94AA" w14:textId="77777777" w:rsidR="004E4CC2" w:rsidRDefault="00000000">
                  <w:pPr>
                    <w:pStyle w:val="Compact"/>
                    <w:jc w:val="center"/>
                  </w:pPr>
                  <w:r>
                    <w:t>984</w:t>
                  </w:r>
                </w:p>
              </w:tc>
            </w:tr>
            <w:bookmarkEnd w:id="449"/>
          </w:tbl>
          <w:p w14:paraId="1435E66A" w14:textId="77777777" w:rsidR="004E4CC2" w:rsidRDefault="004E4CC2"/>
        </w:tc>
      </w:tr>
    </w:tbl>
    <w:p w14:paraId="7650C687" w14:textId="77777777" w:rsidR="004E4CC2" w:rsidRDefault="00000000">
      <w:pPr>
        <w:pStyle w:val="SourceCode"/>
      </w:pPr>
      <w:r>
        <w:rPr>
          <w:rStyle w:val="VerbatimChar"/>
        </w:rPr>
        <w:t>Der Endenergievergleich umfasst sämtliche Energieträger und darf nicht mit dem Strombedarf gleichgesetzt werden [@uba2023transition, Tab. A; @uba2023zusammenfassung, Tab. B; @uba2025szenarien, Tab. B]. Die veröffentlichten Gesamtsummen bleiben neben den Summen gerundeter Einzelpositionen erhalten. Bilanzreste werden nicht stillschweigend auf Sektoren umgelegt. Für WEM/WAM 2025 folgt die vorhandene Normierung Tabelle E (S. 12) in REP-0995; deren Abweichungen gegenüber Tabelle 19 desselben Berichts sind separat dokumentiert. Für Transition ist REP-0880, Tabelle 16, maßgeblich [@uba2025szenarien; @uba2023transition].</w:t>
      </w:r>
      <w:r>
        <w:br/>
      </w:r>
      <w:r>
        <w:br/>
      </w:r>
      <w:r>
        <w:rPr>
          <w:rStyle w:val="VerbatimChar"/>
        </w:rPr>
        <w:t>## Entwicklung vom Ausgangsjahr 2020 bis 2040</w:t>
      </w:r>
      <w:r>
        <w:br/>
      </w:r>
      <w:r>
        <w:br/>
      </w:r>
      <w:r>
        <w:rPr>
          <w:rStyle w:val="VerbatimChar"/>
        </w:rPr>
        <w:t>Das Ausgangsjahr der Transition-Bilanz ist **2020** und nicht das Erscheinungsjahr dieses Berichts. Von 2020 bis 2040 steigt die veröffentlichte jährliche</w:t>
      </w:r>
      <w:r>
        <w:rPr>
          <w:rStyle w:val="VerbatimChar"/>
        </w:rPr>
        <w:lastRenderedPageBreak/>
        <w:t xml:space="preserve"> Stromerzeugung von 249 auf 457 PJ und der Strombedarf von 257 auf 450 PJ. Zugleich sinkt der gesamte energetische Endverbrauch von 1.053 auf 722 PJ. Dies zeigt die zunehmende Elektrifizierung bei sinkendem Endenergieverbrauch über sämtliche Träger [@uba2023transition, Tab. A, 15 und 16].</w:t>
      </w:r>
      <w:r>
        <w:br/>
      </w:r>
      <w:r>
        <w:rPr>
          <w:rStyle w:val="VerbatimChar"/>
        </w:rPr>
        <w:t>~~~~</w:t>
      </w:r>
      <w:r>
        <w:br/>
      </w:r>
      <w:r>
        <w:br/>
      </w:r>
      <w:r>
        <w:rPr>
          <w:rStyle w:val="VerbatimChar"/>
        </w:rPr>
        <w:t>Jetzt:</w:t>
      </w:r>
      <w:r>
        <w:br/>
      </w:r>
      <w:r>
        <w:br/>
      </w:r>
      <w:r>
        <w:rPr>
          <w:rStyle w:val="VerbatimChar"/>
        </w:rPr>
        <w:t>~~~~text</w:t>
      </w:r>
      <w:r>
        <w:br/>
      </w:r>
      <w:r>
        <w:rPr>
          <w:rStyle w:val="VerbatimChar"/>
        </w:rPr>
        <w:t>## Stromerzeugung und Strombedarf</w:t>
      </w:r>
      <w:r>
        <w:br/>
      </w:r>
      <w:r>
        <w:rPr>
          <w:rStyle w:val="VerbatimChar"/>
        </w:rPr>
        <w:t>~~~~</w:t>
      </w:r>
    </w:p>
    <w:p w14:paraId="13DD0D13" w14:textId="77777777" w:rsidR="004E4CC2" w:rsidRDefault="00000000">
      <w:pPr>
        <w:numPr>
          <w:ilvl w:val="0"/>
          <w:numId w:val="13"/>
        </w:numPr>
      </w:pPr>
      <w:r>
        <w:rPr>
          <w:b/>
          <w:bCs/>
        </w:rPr>
        <w:t>Kapitel/03-zielszenario.qmd, Ausgangszeile 33: Umformulierung / Umgliederung.</w:t>
      </w:r>
    </w:p>
    <w:p w14:paraId="224B5843" w14:textId="77777777" w:rsidR="004E4CC2" w:rsidRDefault="00000000">
      <w:pPr>
        <w:numPr>
          <w:ilvl w:val="0"/>
          <w:numId w:val="1"/>
        </w:numPr>
      </w:pPr>
      <w:r>
        <w:t>Bisher:</w:t>
      </w:r>
    </w:p>
    <w:p w14:paraId="3F85CB52" w14:textId="77777777" w:rsidR="004E4CC2" w:rsidRDefault="00000000">
      <w:pPr>
        <w:pStyle w:val="SourceCode"/>
        <w:numPr>
          <w:ilvl w:val="0"/>
          <w:numId w:val="1"/>
        </w:numPr>
      </w:pPr>
      <w:r>
        <w:rPr>
          <w:rStyle w:val="VerbatimChar"/>
        </w:rPr>
        <w:t>&lt;iframe src="../Abbildungen/transition_sankey.html" title="UBA Transition 2040: Stromausbau, Strombedarf und Endenergieminderung" style="width:100%;height:1760px;border:0" loading="lazy"&gt;&lt;/iframe&gt;</w:t>
      </w:r>
    </w:p>
    <w:p w14:paraId="0AD5DF7C" w14:textId="77777777" w:rsidR="004E4CC2" w:rsidRDefault="00000000">
      <w:pPr>
        <w:numPr>
          <w:ilvl w:val="0"/>
          <w:numId w:val="1"/>
        </w:numPr>
      </w:pPr>
      <w:r>
        <w:t>Jetzt:</w:t>
      </w:r>
    </w:p>
    <w:p w14:paraId="49EB5197" w14:textId="77777777" w:rsidR="004E4CC2" w:rsidRDefault="00000000">
      <w:pPr>
        <w:pStyle w:val="SourceCode"/>
        <w:numPr>
          <w:ilvl w:val="0"/>
          <w:numId w:val="1"/>
        </w:numPr>
      </w:pPr>
      <w:r>
        <w:rPr>
          <w:rStyle w:val="VerbatimChar"/>
        </w:rPr>
        <w:t>&lt;iframe src="../Abbildungen/methodik/stromerzeugung.html" title="Stromerzeugung nach Energieträgern" style="width:100%;height:620px;border:0" loading="lazy"&gt;&lt;/iframe&gt;</w:t>
      </w:r>
    </w:p>
    <w:p w14:paraId="63A5FAE0" w14:textId="77777777" w:rsidR="004E4CC2" w:rsidRDefault="00000000">
      <w:pPr>
        <w:numPr>
          <w:ilvl w:val="0"/>
          <w:numId w:val="13"/>
        </w:numPr>
      </w:pPr>
      <w:r>
        <w:rPr>
          <w:b/>
          <w:bCs/>
        </w:rPr>
        <w:t>Kapitel/03-zielszenario.qmd, Ausgangszeile 35: Ergänzung.</w:t>
      </w:r>
    </w:p>
    <w:p w14:paraId="7196483A" w14:textId="77777777" w:rsidR="004E4CC2" w:rsidRDefault="00000000">
      <w:pPr>
        <w:numPr>
          <w:ilvl w:val="0"/>
          <w:numId w:val="1"/>
        </w:numPr>
      </w:pPr>
      <w:r>
        <w:t>Jetzt:</w:t>
      </w:r>
    </w:p>
    <w:p w14:paraId="2D5DC5A5" w14:textId="77777777" w:rsidR="004E4CC2" w:rsidRDefault="00000000">
      <w:pPr>
        <w:pStyle w:val="SourceCode"/>
        <w:numPr>
          <w:ilvl w:val="0"/>
          <w:numId w:val="1"/>
        </w:numPr>
      </w:pPr>
      <w:r>
        <w:rPr>
          <w:rStyle w:val="VerbatimChar"/>
        </w:rPr>
        <w:t>[Grafik separat öffnen](../Abbildungen/methodik/stromerzeugung.html)</w:t>
      </w:r>
      <w:r>
        <w:br/>
      </w:r>
      <w:r>
        <w:rPr>
          <w:rStyle w:val="VerbatimChar"/>
        </w:rPr>
        <w:t>:::</w:t>
      </w:r>
    </w:p>
    <w:p w14:paraId="01740610" w14:textId="77777777" w:rsidR="004E4CC2" w:rsidRDefault="00000000">
      <w:pPr>
        <w:numPr>
          <w:ilvl w:val="0"/>
          <w:numId w:val="13"/>
        </w:numPr>
      </w:pPr>
      <w:r>
        <w:rPr>
          <w:b/>
          <w:bCs/>
        </w:rPr>
        <w:t>Kapitel/03-zielszenario.qmd, Ausgangszeile 36: Umformulierung / Umgliederung.</w:t>
      </w:r>
    </w:p>
    <w:p w14:paraId="5B19535A" w14:textId="77777777" w:rsidR="004E4CC2" w:rsidRDefault="00000000">
      <w:pPr>
        <w:numPr>
          <w:ilvl w:val="0"/>
          <w:numId w:val="1"/>
        </w:numPr>
      </w:pPr>
      <w:r>
        <w:t>Bisher:</w:t>
      </w:r>
    </w:p>
    <w:p w14:paraId="759F7EBB" w14:textId="77777777" w:rsidR="004E4CC2" w:rsidRDefault="00000000">
      <w:pPr>
        <w:pStyle w:val="SourceCode"/>
        <w:numPr>
          <w:ilvl w:val="0"/>
          <w:numId w:val="1"/>
        </w:numPr>
      </w:pPr>
      <w:r>
        <w:rPr>
          <w:rStyle w:val="VerbatimChar"/>
        </w:rPr>
        <w:t>[Interaktive Grafik in voller Breite öffnen](../Abbildungen/transition_sankey.html)</w:t>
      </w:r>
    </w:p>
    <w:p w14:paraId="02CDCBD7" w14:textId="77777777" w:rsidR="004E4CC2" w:rsidRDefault="00000000">
      <w:pPr>
        <w:numPr>
          <w:ilvl w:val="0"/>
          <w:numId w:val="1"/>
        </w:numPr>
      </w:pPr>
      <w:r>
        <w:t>Jetzt:</w:t>
      </w:r>
    </w:p>
    <w:p w14:paraId="2C11ACFB" w14:textId="77777777" w:rsidR="004E4CC2" w:rsidRDefault="00000000">
      <w:pPr>
        <w:pStyle w:val="SourceCode"/>
        <w:numPr>
          <w:ilvl w:val="0"/>
          <w:numId w:val="1"/>
        </w:numPr>
      </w:pPr>
      <w:r>
        <w:rPr>
          <w:rStyle w:val="VerbatimChar"/>
        </w:rPr>
        <w:t>::: {.content-visible when-format="html"}</w:t>
      </w:r>
      <w:r>
        <w:br/>
      </w:r>
      <w:r>
        <w:rPr>
          <w:rStyle w:val="VerbatimChar"/>
        </w:rPr>
        <w:t>```{=html}</w:t>
      </w:r>
      <w:r>
        <w:br/>
      </w:r>
      <w:r>
        <w:rPr>
          <w:rStyle w:val="VerbatimChar"/>
        </w:rPr>
        <w:t>&lt;iframe src="../Abbildungen/methodik/strombedarf.html" title="Strombedarf nach Sektoren" style="width:100%;height:620px;border:0" loading="lazy"&gt;&lt;/iframe&gt;</w:t>
      </w:r>
      <w:r>
        <w:br/>
      </w:r>
      <w:r>
        <w:rPr>
          <w:rStyle w:val="VerbatimChar"/>
        </w:rPr>
        <w:t>```</w:t>
      </w:r>
      <w:r>
        <w:br/>
      </w:r>
      <w:r>
        <w:rPr>
          <w:rStyle w:val="VerbatimChar"/>
        </w:rPr>
        <w:t>[Grafik separat öffnen](../Abbildungen/methodik/strombedarf.html)</w:t>
      </w:r>
      <w:r>
        <w:br/>
      </w:r>
      <w:r>
        <w:rPr>
          <w:rStyle w:val="VerbatimChar"/>
        </w:rPr>
        <w:t>:::</w:t>
      </w:r>
      <w:r>
        <w:br/>
      </w:r>
      <w:r>
        <w:lastRenderedPageBreak/>
        <w:br/>
      </w:r>
      <w:r>
        <w:rPr>
          <w:rStyle w:val="VerbatimChar"/>
        </w:rPr>
        <w:t>Die gestapelten Säulen zeigen die veröffentlichten Komponenten. Rauten markieren die publizierten Gesamtsummen; Nettoimporte beziehungsweise Exporte sind bei der Erzeugung gesondert dargestellt. Für Transition gelten REP-0880, Tabellen 15 und 16; die Vergleichsdaten stammen aus REP-0882 und REP-0995 [@uba2023transition; @uba2023zusammenfassung; @uba2025szenarien].</w:t>
      </w:r>
      <w:r>
        <w:br/>
      </w:r>
      <w:r>
        <w:br/>
      </w:r>
      <w:r>
        <w:rPr>
          <w:rStyle w:val="VerbatimChar"/>
        </w:rPr>
        <w:t>## Bilanzreste und Datengrundlage</w:t>
      </w:r>
      <w:r>
        <w:br/>
      </w:r>
      <w:r>
        <w:br/>
      </w:r>
      <w:r>
        <w:rPr>
          <w:rStyle w:val="VerbatimChar"/>
        </w:rPr>
        <w:t>::: {.content-visible when-format="html"}</w:t>
      </w:r>
      <w:r>
        <w:br/>
      </w:r>
      <w:r>
        <w:rPr>
          <w:rStyle w:val="VerbatimChar"/>
        </w:rPr>
        <w:t>```{=html}</w:t>
      </w:r>
      <w:r>
        <w:br/>
      </w:r>
      <w:r>
        <w:rPr>
          <w:rStyle w:val="VerbatimChar"/>
        </w:rPr>
        <w:t>&lt;iframe src="../Abbildungen/methodik/bilanzreste.html" title="Komponenten, publizierte Summen und Bilanzreste" style="width:100%;height:850px;border:0" loading="lazy"&gt;&lt;/iframe&gt;</w:t>
      </w:r>
      <w:r>
        <w:br/>
      </w:r>
      <w:r>
        <w:rPr>
          <w:rStyle w:val="VerbatimChar"/>
        </w:rPr>
        <w:t>```</w:t>
      </w:r>
      <w:r>
        <w:br/>
      </w:r>
      <w:r>
        <w:rPr>
          <w:rStyle w:val="VerbatimChar"/>
        </w:rPr>
        <w:t>[Grafik separat öffnen](../Abbildungen/methodik/bilanzreste.html)</w:t>
      </w:r>
      <w:r>
        <w:br/>
      </w:r>
      <w:r>
        <w:rPr>
          <w:rStyle w:val="VerbatimChar"/>
        </w:rPr>
        <w:t>:::</w:t>
      </w:r>
      <w:r>
        <w:br/>
      </w:r>
      <w:r>
        <w:br/>
      </w:r>
      <w:r>
        <w:rPr>
          <w:rStyle w:val="VerbatimChar"/>
        </w:rPr>
        <w:t>Die gerundeten Bedarfskomponenten von Transition ergeben 452 PJ/a gegenüber einer publizierten Summe von 450 PJ/a. Die Komponentenbilanz einschließlich Nettoexport weist damit −2 PJ/a aus. Diese Differenz bleibt erhalten. Die vollständigen Tabellen zu Erzeugung, Bedarf, Resten und Endenergie stehen in @sec-szenariotabellen; ihre Quellen- und Tabellenverweise bleiben dort nachvollziehbar.</w:t>
      </w:r>
      <w:r>
        <w:br/>
      </w:r>
      <w:r>
        <w:br/>
      </w:r>
      <w:r>
        <w:rPr>
          <w:rStyle w:val="VerbatimChar"/>
        </w:rPr>
        <w:t>## Entwicklung von 2020 bis 2040</w:t>
      </w:r>
      <w:r>
        <w:br/>
      </w:r>
      <w:r>
        <w:br/>
      </w:r>
      <w:r>
        <w:rPr>
          <w:rStyle w:val="VerbatimChar"/>
        </w:rPr>
        <w:t>Die jährliche Stromerzeugung steigt von 249 auf 457 PJ, der veröffentlichte Strombedarf von 257 auf 450 PJ. Der gesamte energetische Endverbrauch sinkt von 1.053 auf 722 PJ. Transition verbindet damit Elektrifizierung und eine Minderung des Endenergieverbrauchs [@uba2023transition, Tab. A, 15 und 16].</w:t>
      </w:r>
      <w:r>
        <w:br/>
      </w:r>
      <w:r>
        <w:br/>
      </w:r>
      <w:r>
        <w:rPr>
          <w:rStyle w:val="VerbatimChar"/>
        </w:rPr>
        <w:t>::: {.content-visible when-format="html"}</w:t>
      </w:r>
      <w:r>
        <w:br/>
      </w:r>
      <w:r>
        <w:rPr>
          <w:rStyle w:val="VerbatimChar"/>
        </w:rPr>
        <w:t>```{=html}</w:t>
      </w:r>
      <w:r>
        <w:br/>
      </w:r>
      <w:r>
        <w:rPr>
          <w:rStyle w:val="VerbatimChar"/>
        </w:rPr>
        <w:t>&lt;iframe src="../Abbildungen/transition_sankey.html" title="Transition 2040: Ausbau und Bedarfsentwicklung gegenüber 2020" style="width:100%;height:1760px;border:0" loading="lazy"&gt;&lt;/iframe&gt;</w:t>
      </w:r>
      <w:r>
        <w:br/>
      </w:r>
      <w:r>
        <w:rPr>
          <w:rStyle w:val="VerbatimChar"/>
        </w:rPr>
        <w:t>```</w:t>
      </w:r>
      <w:r>
        <w:br/>
      </w:r>
      <w:r>
        <w:rPr>
          <w:rStyle w:val="VerbatimChar"/>
        </w:rPr>
        <w:t>[Interaktive Grafik separat öffnen](../Abbildungen/transition_sankey.html)</w:t>
      </w:r>
    </w:p>
    <w:p w14:paraId="3D25E3AA" w14:textId="77777777" w:rsidR="004E4CC2" w:rsidRDefault="00000000">
      <w:pPr>
        <w:numPr>
          <w:ilvl w:val="0"/>
          <w:numId w:val="13"/>
        </w:numPr>
      </w:pPr>
      <w:r>
        <w:rPr>
          <w:b/>
          <w:bCs/>
        </w:rPr>
        <w:t>Kapitel/03-zielszenario.qmd, Ausgangszeile 40: Umformulierung / Umgliederung.</w:t>
      </w:r>
    </w:p>
    <w:p w14:paraId="719BD05D" w14:textId="77777777" w:rsidR="004E4CC2" w:rsidRDefault="00000000">
      <w:pPr>
        <w:numPr>
          <w:ilvl w:val="0"/>
          <w:numId w:val="1"/>
        </w:numPr>
      </w:pPr>
      <w:r>
        <w:t>Bisher:</w:t>
      </w:r>
    </w:p>
    <w:p w14:paraId="0195774D" w14:textId="77777777" w:rsidR="004E4CC2" w:rsidRDefault="00000000">
      <w:pPr>
        <w:pStyle w:val="SourceCode"/>
        <w:numPr>
          <w:ilvl w:val="0"/>
          <w:numId w:val="1"/>
        </w:numPr>
      </w:pPr>
      <w:r>
        <w:rPr>
          <w:rStyle w:val="VerbatimChar"/>
        </w:rPr>
        <w:lastRenderedPageBreak/>
        <w:t>![Stromausbau und Strombedarf sowie getrennt dargestellte Endenergieminderung: Transition 2040 gegenüber 2020.](../Abbildungen/transition_sankey.png){#fig-transition-sankey}</w:t>
      </w:r>
    </w:p>
    <w:p w14:paraId="5E0E6DA8" w14:textId="77777777" w:rsidR="004E4CC2" w:rsidRDefault="00000000">
      <w:pPr>
        <w:numPr>
          <w:ilvl w:val="0"/>
          <w:numId w:val="1"/>
        </w:numPr>
      </w:pPr>
      <w:r>
        <w:t>Jetzt:</w:t>
      </w:r>
    </w:p>
    <w:p w14:paraId="6A91B812" w14:textId="77777777" w:rsidR="004E4CC2" w:rsidRDefault="00000000">
      <w:pPr>
        <w:pStyle w:val="SourceCode"/>
        <w:numPr>
          <w:ilvl w:val="0"/>
          <w:numId w:val="1"/>
        </w:numPr>
      </w:pPr>
      <w:r>
        <w:rPr>
          <w:rStyle w:val="VerbatimChar"/>
        </w:rPr>
        <w:t>![Stromausbau, Strombedarf und Endenergieminderung gegenüber 2020.](../Abbildungen/transition_sankey.png){#fig-transition-sankey}</w:t>
      </w:r>
    </w:p>
    <w:p w14:paraId="734F815F" w14:textId="77777777" w:rsidR="004E4CC2" w:rsidRDefault="00000000">
      <w:pPr>
        <w:numPr>
          <w:ilvl w:val="0"/>
          <w:numId w:val="13"/>
        </w:numPr>
      </w:pPr>
      <w:r>
        <w:rPr>
          <w:b/>
          <w:bCs/>
        </w:rPr>
        <w:t>Kapitel/03-zielszenario.qmd, Ausgangszeile 43: Umformulierung / Umgliederung.</w:t>
      </w:r>
    </w:p>
    <w:p w14:paraId="4C231CDC" w14:textId="77777777" w:rsidR="004E4CC2" w:rsidRDefault="00000000">
      <w:pPr>
        <w:numPr>
          <w:ilvl w:val="0"/>
          <w:numId w:val="1"/>
        </w:numPr>
      </w:pPr>
      <w:r>
        <w:t>Bisher:</w:t>
      </w:r>
    </w:p>
    <w:p w14:paraId="7A170DCB" w14:textId="77777777" w:rsidR="004E4CC2" w:rsidRDefault="00000000">
      <w:pPr>
        <w:pStyle w:val="SourceCode"/>
        <w:numPr>
          <w:ilvl w:val="0"/>
          <w:numId w:val="1"/>
        </w:numPr>
      </w:pPr>
      <w:r>
        <w:rPr>
          <w:rStyle w:val="VerbatimChar"/>
        </w:rPr>
        <w:t>Die Grafik stellt Jahresenergiemengen, keine installierten Leistungen und keine virtuellen Primärenergie-Gutschriften dar. Die Minderung des Endenergieverbrauchs beträgt nach veröffentlichten Gesamtsummen 331 PJ, nach gerundeten Sektorkomponenten 330 PJ. Beim Ziel-Strombedarf stehen 450 PJ Gesamtsumme einer Komponentensumme von 452 PJ gegenüber; diese Abweichungen werden ausgewiesen, nicht korrigierend verteilt. Zentral/dezentral sowie MIV/ÖPNV/übriger Verkehr sind **nachgelagerte, dokumentationspflichtige Modellaufteilungen** und keine unmittelbar veröffentlichten UBA-Kategorien.</w:t>
      </w:r>
    </w:p>
    <w:p w14:paraId="617917D6" w14:textId="77777777" w:rsidR="004E4CC2" w:rsidRDefault="00000000">
      <w:pPr>
        <w:numPr>
          <w:ilvl w:val="0"/>
          <w:numId w:val="1"/>
        </w:numPr>
      </w:pPr>
      <w:r>
        <w:t>Jetzt:</w:t>
      </w:r>
    </w:p>
    <w:p w14:paraId="7D944694" w14:textId="77777777" w:rsidR="004E4CC2" w:rsidRDefault="00000000">
      <w:pPr>
        <w:pStyle w:val="SourceCode"/>
        <w:numPr>
          <w:ilvl w:val="0"/>
          <w:numId w:val="1"/>
        </w:numPr>
      </w:pPr>
      <w:r>
        <w:rPr>
          <w:rStyle w:val="VerbatimChar"/>
        </w:rPr>
        <w:t>Die Minderung der Endenergie beträgt nach Gesamtsummen 331 PJ/a und nach gerundeten Sektorkomponenten 330 PJ/a. Für WEM/WAM 2025 folgt die Normierung Tabelle E in REP-0995; Abweichungen zu Tabelle 19 desselben Berichts sind im Datenanhang dokumentiert.</w:t>
      </w:r>
    </w:p>
    <w:p w14:paraId="3C6493CD" w14:textId="77777777" w:rsidR="004E4CC2" w:rsidRDefault="00000000">
      <w:pPr>
        <w:numPr>
          <w:ilvl w:val="0"/>
          <w:numId w:val="13"/>
        </w:numPr>
      </w:pPr>
      <w:r>
        <w:rPr>
          <w:b/>
          <w:bCs/>
        </w:rPr>
        <w:t>Kapitel/03-zielszenario.qmd, Ausgangszeile 45: Umformulierung / Umgliederung.</w:t>
      </w:r>
    </w:p>
    <w:p w14:paraId="7986F902" w14:textId="77777777" w:rsidR="004E4CC2" w:rsidRDefault="00000000">
      <w:pPr>
        <w:numPr>
          <w:ilvl w:val="0"/>
          <w:numId w:val="1"/>
        </w:numPr>
      </w:pPr>
      <w:r>
        <w:t>Bisher:</w:t>
      </w:r>
    </w:p>
    <w:p w14:paraId="4A0BC440" w14:textId="77777777" w:rsidR="004E4CC2" w:rsidRDefault="00000000">
      <w:pPr>
        <w:pStyle w:val="SourceCode"/>
        <w:numPr>
          <w:ilvl w:val="0"/>
          <w:numId w:val="1"/>
        </w:numPr>
      </w:pPr>
      <w:r>
        <w:rPr>
          <w:rStyle w:val="VerbatimChar"/>
        </w:rPr>
        <w:t>## Schnittstelle zur sektoralen Allokation</w:t>
      </w:r>
    </w:p>
    <w:p w14:paraId="4074B546" w14:textId="77777777" w:rsidR="004E4CC2" w:rsidRDefault="00000000">
      <w:pPr>
        <w:numPr>
          <w:ilvl w:val="0"/>
          <w:numId w:val="1"/>
        </w:numPr>
      </w:pPr>
      <w:r>
        <w:t>Jetzt:</w:t>
      </w:r>
    </w:p>
    <w:p w14:paraId="585B1917" w14:textId="77777777" w:rsidR="004E4CC2" w:rsidRDefault="00000000">
      <w:pPr>
        <w:pStyle w:val="SourceCode"/>
        <w:numPr>
          <w:ilvl w:val="0"/>
          <w:numId w:val="1"/>
        </w:numPr>
      </w:pPr>
      <w:r>
        <w:rPr>
          <w:rStyle w:val="VerbatimChar"/>
        </w:rPr>
        <w:t>## Übergang zur Allokation</w:t>
      </w:r>
    </w:p>
    <w:p w14:paraId="39DE7F51" w14:textId="77777777" w:rsidR="004E4CC2" w:rsidRDefault="00000000">
      <w:pPr>
        <w:numPr>
          <w:ilvl w:val="0"/>
          <w:numId w:val="13"/>
        </w:numPr>
      </w:pPr>
      <w:r>
        <w:rPr>
          <w:b/>
          <w:bCs/>
        </w:rPr>
        <w:t>Kapitel/03-zielszenario.qmd, Ausgangszeile 47: Umformulierung / Umgliederung.</w:t>
      </w:r>
    </w:p>
    <w:p w14:paraId="27C718D9" w14:textId="77777777" w:rsidR="004E4CC2" w:rsidRDefault="00000000">
      <w:pPr>
        <w:numPr>
          <w:ilvl w:val="0"/>
          <w:numId w:val="1"/>
        </w:numPr>
      </w:pPr>
      <w:r>
        <w:t>Bisher:</w:t>
      </w:r>
    </w:p>
    <w:p w14:paraId="1C110F2E" w14:textId="77777777" w:rsidR="004E4CC2" w:rsidRDefault="00000000">
      <w:pPr>
        <w:pStyle w:val="SourceCode"/>
        <w:numPr>
          <w:ilvl w:val="0"/>
          <w:numId w:val="1"/>
        </w:numPr>
      </w:pPr>
      <w:r>
        <w:rPr>
          <w:rStyle w:val="VerbatimChar"/>
        </w:rPr>
        <w:t>Die Übertragung in @sec-allokation benötigt eine eindeutige, versionierte Strombilanz mit der Aufteilung nach Technologien und Sektoren. Besonders offen sind die Zuordnung von PV-Erzeugung zu Gebäuden beziehungsweise anderen Flächen und die Abgrenzung des Verkehrssektors in MIV, ÖPNV</w:t>
      </w:r>
      <w:r>
        <w:rPr>
          <w:rStyle w:val="VerbatimChar"/>
        </w:rPr>
        <w:lastRenderedPageBreak/>
        <w:t xml:space="preserve"> und weitere Verkehrsleistungen. Die Quelldaten sind dabei unveränderlich; solche Aufteilungen werden als gesonderte Modellparameter geführt.</w:t>
      </w:r>
    </w:p>
    <w:p w14:paraId="55802316" w14:textId="77777777" w:rsidR="004E4CC2" w:rsidRDefault="00000000">
      <w:pPr>
        <w:numPr>
          <w:ilvl w:val="0"/>
          <w:numId w:val="1"/>
        </w:numPr>
      </w:pPr>
      <w:r>
        <w:t>Jetzt:</w:t>
      </w:r>
    </w:p>
    <w:p w14:paraId="2FCEF8DB" w14:textId="77777777" w:rsidR="004E4CC2" w:rsidRDefault="00000000">
      <w:pPr>
        <w:pStyle w:val="SourceCode"/>
        <w:numPr>
          <w:ilvl w:val="0"/>
          <w:numId w:val="1"/>
        </w:numPr>
      </w:pPr>
      <w:r>
        <w:rPr>
          <w:rStyle w:val="VerbatimChar"/>
        </w:rPr>
        <w:t>Die UBA-Tabellen enthalten weder die für PEQ benötigte Aufteilung der PV auf Gebäude und Freiflächen noch jene des Verkehrs auf MIV und ÖPNV. Diese Aufteilungen sind explizite Parameter der Allokation in @sec-allokation. Die Quelldaten bleiben davon unverändert.</w:t>
      </w:r>
    </w:p>
    <w:p w14:paraId="322DB8AF" w14:textId="77777777" w:rsidR="004E4CC2" w:rsidRDefault="00000000">
      <w:pPr>
        <w:numPr>
          <w:ilvl w:val="0"/>
          <w:numId w:val="13"/>
        </w:numPr>
      </w:pPr>
      <w:r>
        <w:rPr>
          <w:b/>
          <w:bCs/>
        </w:rPr>
        <w:t>Kapitel/03-zielszenario.qmd, Ausgangszeile 49: Umformulierung / Umgliederung.</w:t>
      </w:r>
    </w:p>
    <w:p w14:paraId="1F12E439" w14:textId="77777777" w:rsidR="004E4CC2" w:rsidRDefault="00000000">
      <w:pPr>
        <w:numPr>
          <w:ilvl w:val="0"/>
          <w:numId w:val="1"/>
        </w:numPr>
      </w:pPr>
      <w:r>
        <w:t>Bisher:</w:t>
      </w:r>
    </w:p>
    <w:p w14:paraId="32CA1F99" w14:textId="77777777" w:rsidR="004E4CC2" w:rsidRDefault="00000000">
      <w:pPr>
        <w:pStyle w:val="SourceCode"/>
        <w:numPr>
          <w:ilvl w:val="0"/>
          <w:numId w:val="1"/>
        </w:numPr>
      </w:pPr>
      <w:r>
        <w:rPr>
          <w:rStyle w:val="VerbatimChar"/>
        </w:rPr>
        <w:t>Das vorhandene Notebook `Redaktion/transitionsszenarien/Berechnungen/Transition_2040.ipynb` dient als Daten- und Rechengrundlage. Seine Varianten für PV-Zuordnung, MIV/ÖPNV und zusätzliche Verbrauchsminderung sind nicht automatisch als neue PEQ-Anforderung zu interpretieren.</w:t>
      </w:r>
      <w:r>
        <w:br/>
      </w:r>
      <w:r>
        <w:br/>
      </w:r>
      <w:r>
        <w:rPr>
          <w:rStyle w:val="VerbatimChar"/>
        </w:rPr>
        <w:t>::: {.callout-note title="Historische Einordnung"}</w:t>
      </w:r>
      <w:r>
        <w:br/>
      </w:r>
      <w:r>
        <w:rPr>
          <w:rStyle w:val="VerbatimChar"/>
        </w:rPr>
        <w:t>Die ursprüngliche PEQ-Zielwertableitung beruhte auf „Energieautarkie für Österreich 2050“ nach Streicher et al. und der darauf aufbauenden sektoralen Allokation [@streicher2010energieautarkie; @schneider2020lokal; @schneider2023context]. Sie ist für die vorliegende Neukalibrierung **kein konkurrierendes Referenzszenario**. Die vollständige historische Parametrisierung gehört in den Methodenanhang.</w:t>
      </w:r>
      <w:r>
        <w:br/>
      </w:r>
      <w:r>
        <w:rPr>
          <w:rStyle w:val="VerbatimChar"/>
        </w:rPr>
        <w:t>:::</w:t>
      </w:r>
    </w:p>
    <w:p w14:paraId="0F2AEF9A" w14:textId="77777777" w:rsidR="004E4CC2" w:rsidRDefault="00000000">
      <w:pPr>
        <w:numPr>
          <w:ilvl w:val="0"/>
          <w:numId w:val="1"/>
        </w:numPr>
      </w:pPr>
      <w:r>
        <w:t>Jetzt:</w:t>
      </w:r>
    </w:p>
    <w:p w14:paraId="7D369134" w14:textId="77777777" w:rsidR="004E4CC2" w:rsidRDefault="00000000">
      <w:pPr>
        <w:pStyle w:val="SourceCode"/>
        <w:numPr>
          <w:ilvl w:val="0"/>
          <w:numId w:val="1"/>
        </w:numPr>
      </w:pPr>
      <w:r>
        <w:rPr>
          <w:rStyle w:val="VerbatimChar"/>
        </w:rPr>
        <w:t>Die historische Ableitung nach Streicher et al. bildet den methodischen Ausgangspunkt; das Referenzszenario dieses Entwurfs ist Transition 2040 [@streicher2010energieautarkie; @schneider2020lokal; @schneider2023context].</w:t>
      </w:r>
    </w:p>
    <w:p w14:paraId="316D62D1" w14:textId="77777777" w:rsidR="004E4CC2" w:rsidRDefault="00000000">
      <w:pPr>
        <w:numPr>
          <w:ilvl w:val="0"/>
          <w:numId w:val="13"/>
        </w:numPr>
      </w:pPr>
      <w:r>
        <w:rPr>
          <w:b/>
          <w:bCs/>
        </w:rPr>
        <w:t>Kapitel/03-allokation.qmd, Ausgangszeile 4: Umformulierung / Umgliederung.</w:t>
      </w:r>
    </w:p>
    <w:p w14:paraId="4C74A732" w14:textId="77777777" w:rsidR="004E4CC2" w:rsidRDefault="00000000">
      <w:pPr>
        <w:numPr>
          <w:ilvl w:val="0"/>
          <w:numId w:val="1"/>
        </w:numPr>
      </w:pPr>
      <w:r>
        <w:t>Bisher:</w:t>
      </w:r>
    </w:p>
    <w:p w14:paraId="323EF6A4" w14:textId="77777777" w:rsidR="004E4CC2" w:rsidRDefault="00000000">
      <w:pPr>
        <w:pStyle w:val="SourceCode"/>
        <w:numPr>
          <w:ilvl w:val="0"/>
          <w:numId w:val="1"/>
        </w:numPr>
      </w:pPr>
      <w:r>
        <w:rPr>
          <w:rStyle w:val="VerbatimChar"/>
        </w:rPr>
        <w:t>Vom nationalen Stromsystem nach UBA Transition 2040 zum Energiebeitrag des Gebäudesektors und zum MIV-Budget</w:t>
      </w:r>
    </w:p>
    <w:p w14:paraId="3488C460" w14:textId="77777777" w:rsidR="004E4CC2" w:rsidRDefault="00000000">
      <w:pPr>
        <w:numPr>
          <w:ilvl w:val="0"/>
          <w:numId w:val="1"/>
        </w:numPr>
      </w:pPr>
      <w:r>
        <w:t>Jetzt:</w:t>
      </w:r>
    </w:p>
    <w:p w14:paraId="7DE265B2" w14:textId="77777777" w:rsidR="004E4CC2" w:rsidRDefault="00000000">
      <w:pPr>
        <w:pStyle w:val="SourceCode"/>
        <w:numPr>
          <w:ilvl w:val="0"/>
          <w:numId w:val="1"/>
        </w:numPr>
      </w:pPr>
      <w:r>
        <w:rPr>
          <w:rStyle w:val="VerbatimChar"/>
        </w:rPr>
        <w:t>Vom nationalen Stromsystem zum Gebäudesektorsaldo und zum Mobilitätsbudget</w:t>
      </w:r>
    </w:p>
    <w:p w14:paraId="71646129" w14:textId="77777777" w:rsidR="004E4CC2" w:rsidRDefault="00000000">
      <w:pPr>
        <w:numPr>
          <w:ilvl w:val="0"/>
          <w:numId w:val="13"/>
        </w:numPr>
      </w:pPr>
      <w:r>
        <w:rPr>
          <w:b/>
          <w:bCs/>
        </w:rPr>
        <w:t>Kapitel/03-allokation.qmd, Ausgangszeile 7: Umformulierung / Umgliederung.</w:t>
      </w:r>
    </w:p>
    <w:p w14:paraId="32F059B5" w14:textId="77777777" w:rsidR="004E4CC2" w:rsidRDefault="00000000">
      <w:pPr>
        <w:numPr>
          <w:ilvl w:val="0"/>
          <w:numId w:val="1"/>
        </w:numPr>
      </w:pPr>
      <w:r>
        <w:t>Bisher:</w:t>
      </w:r>
    </w:p>
    <w:p w14:paraId="49AE3950" w14:textId="77777777" w:rsidR="004E4CC2" w:rsidRDefault="00000000">
      <w:pPr>
        <w:pStyle w:val="SourceCode"/>
        <w:numPr>
          <w:ilvl w:val="0"/>
          <w:numId w:val="1"/>
        </w:numPr>
      </w:pPr>
      <w:r>
        <w:rPr>
          <w:rStyle w:val="VerbatimChar"/>
        </w:rPr>
        <w:lastRenderedPageBreak/>
        <w:t>Das nationale Zielbild in @sec-zielszenario beschreibt Erzeugung und Bedarf im Zieljahr 2040. Die **sektorale Allokation** legt fest, welche Anteile zentral erzeugter erneuerbarer Energie und welche Strombedarfe den einzelnen Sektoren zugeordnet werden. Zwei Ergebnisse sind für die PEQ-Kalibrierung erforderlich: (1) der dem Gebäudesektor zugeordnete Stromsaldo als nationaler Kalibrierungsmaßstab und (2) das **erneuerbare Mobilitätsbudget**, das später nutzungsbezogen auf Quartiere verteilt wird. Beide Ergebnisse stammen aus demselben Zuordnungsmodell; das Mobilitätsbudget darf nicht erst nachträglich unabhängig von der Sektorbilanz festgelegt werden.</w:t>
      </w:r>
    </w:p>
    <w:p w14:paraId="3BD9939F" w14:textId="77777777" w:rsidR="004E4CC2" w:rsidRDefault="00000000">
      <w:pPr>
        <w:numPr>
          <w:ilvl w:val="0"/>
          <w:numId w:val="1"/>
        </w:numPr>
      </w:pPr>
      <w:r>
        <w:t>Jetzt:</w:t>
      </w:r>
    </w:p>
    <w:p w14:paraId="25010145" w14:textId="77777777" w:rsidR="004E4CC2" w:rsidRDefault="00000000">
      <w:pPr>
        <w:pStyle w:val="SourceCode"/>
        <w:numPr>
          <w:ilvl w:val="0"/>
          <w:numId w:val="1"/>
        </w:numPr>
      </w:pPr>
      <w:r>
        <w:rPr>
          <w:rStyle w:val="VerbatimChar"/>
        </w:rPr>
        <w:t>Die Allokation verteilt die Stromerzeugung und den Bedarf aus UBA Transition 2040 auf sektorale Verantwortungsbereiche. Sie liefert zwei verbundene Größen: den Zielsaldo für Gebäude einschließlich MIV und das aus zentraler Erzeugung zugeordnete Mobilitätsbudget. Die Rechnung ist in @sec-allokation-notebook dokumentiert.</w:t>
      </w:r>
    </w:p>
    <w:p w14:paraId="329A8AFC" w14:textId="77777777" w:rsidR="004E4CC2" w:rsidRDefault="00000000">
      <w:pPr>
        <w:numPr>
          <w:ilvl w:val="0"/>
          <w:numId w:val="13"/>
        </w:numPr>
      </w:pPr>
      <w:r>
        <w:rPr>
          <w:b/>
          <w:bCs/>
        </w:rPr>
        <w:t>Kapitel/03-allokation.qmd, Ausgangszeile 9: Umformulierung / Umgliederung.</w:t>
      </w:r>
    </w:p>
    <w:p w14:paraId="6DD2B3FF" w14:textId="77777777" w:rsidR="004E4CC2" w:rsidRDefault="00000000">
      <w:pPr>
        <w:numPr>
          <w:ilvl w:val="0"/>
          <w:numId w:val="1"/>
        </w:numPr>
      </w:pPr>
      <w:r>
        <w:t>Bisher:</w:t>
      </w:r>
    </w:p>
    <w:p w14:paraId="47501E4B" w14:textId="77777777" w:rsidR="004E4CC2" w:rsidRDefault="00000000">
      <w:pPr>
        <w:pStyle w:val="SourceCode"/>
        <w:numPr>
          <w:ilvl w:val="0"/>
          <w:numId w:val="1"/>
        </w:numPr>
      </w:pPr>
      <w:r>
        <w:rPr>
          <w:rStyle w:val="VerbatimChar"/>
        </w:rPr>
        <w:t>## Zuordnungsprinzip und Bilanzgrenzen</w:t>
      </w:r>
    </w:p>
    <w:p w14:paraId="67A7095F" w14:textId="77777777" w:rsidR="004E4CC2" w:rsidRDefault="00000000">
      <w:pPr>
        <w:numPr>
          <w:ilvl w:val="0"/>
          <w:numId w:val="1"/>
        </w:numPr>
      </w:pPr>
      <w:r>
        <w:t>Jetzt:</w:t>
      </w:r>
    </w:p>
    <w:p w14:paraId="0E1F7175" w14:textId="77777777" w:rsidR="004E4CC2" w:rsidRDefault="00000000">
      <w:pPr>
        <w:pStyle w:val="SourceCode"/>
        <w:numPr>
          <w:ilvl w:val="0"/>
          <w:numId w:val="1"/>
        </w:numPr>
      </w:pPr>
      <w:r>
        <w:rPr>
          <w:rStyle w:val="VerbatimChar"/>
        </w:rPr>
        <w:t>## Begriffe und Bilanzgrößen</w:t>
      </w:r>
    </w:p>
    <w:p w14:paraId="67505737" w14:textId="77777777" w:rsidR="004E4CC2" w:rsidRDefault="00000000">
      <w:pPr>
        <w:numPr>
          <w:ilvl w:val="0"/>
          <w:numId w:val="13"/>
        </w:numPr>
      </w:pPr>
      <w:r>
        <w:rPr>
          <w:b/>
          <w:bCs/>
        </w:rPr>
        <w:t>Kapitel/03-allokation.qmd, Ausgangszeile 11: Umformulierung / Umgliederung.</w:t>
      </w:r>
    </w:p>
    <w:p w14:paraId="102EBE49" w14:textId="77777777" w:rsidR="004E4CC2" w:rsidRDefault="00000000">
      <w:pPr>
        <w:numPr>
          <w:ilvl w:val="0"/>
          <w:numId w:val="1"/>
        </w:numPr>
      </w:pPr>
      <w:r>
        <w:t>Bisher:</w:t>
      </w:r>
    </w:p>
    <w:p w14:paraId="6C46C02C" w14:textId="77777777" w:rsidR="004E4CC2" w:rsidRDefault="00000000">
      <w:pPr>
        <w:pStyle w:val="SourceCode"/>
        <w:numPr>
          <w:ilvl w:val="0"/>
          <w:numId w:val="1"/>
        </w:numPr>
      </w:pPr>
      <w:r>
        <w:rPr>
          <w:rStyle w:val="VerbatimChar"/>
        </w:rPr>
        <w:t>Im Ausgangsmodell werden zentrale erneuerbare Energiequellen vorrangig für Industrie und öffentlichen Verkehr verwendet. Der verbleibende Anteil bildet die Grundlage für eine virtuelle Deckung des motorisierten Individualverkehrs (MIV). Gebäude übernehmen gleichzeitig die Verantwortung für ihren betrieblichen Bedarf, den ihnen zugerechneten MIV-Bedarf und den zugewiesenen lokalen erneuerbaren Erzeugungsbeitrag [@schneider2020lokal, Abschn. 3.1.4 und 5.1; @schneider2023context, Abschn. 6.1–6.2].</w:t>
      </w:r>
    </w:p>
    <w:p w14:paraId="71474707" w14:textId="77777777" w:rsidR="004E4CC2" w:rsidRDefault="00000000">
      <w:pPr>
        <w:numPr>
          <w:ilvl w:val="0"/>
          <w:numId w:val="1"/>
        </w:numPr>
      </w:pPr>
      <w:r>
        <w:t>Jetzt:</w:t>
      </w:r>
    </w:p>
    <w:p w14:paraId="567CB8E0" w14:textId="77777777" w:rsidR="004E4CC2" w:rsidRDefault="00000000">
      <w:pPr>
        <w:pStyle w:val="SourceCode"/>
        <w:numPr>
          <w:ilvl w:val="0"/>
          <w:numId w:val="1"/>
        </w:numPr>
      </w:pPr>
      <w:r>
        <w:rPr>
          <w:rStyle w:val="VerbatimChar"/>
        </w:rPr>
        <w:t>| Begriff | Bedeutung im Modell |</w:t>
      </w:r>
      <w:r>
        <w:br/>
      </w:r>
      <w:r>
        <w:rPr>
          <w:rStyle w:val="VerbatimChar"/>
        </w:rPr>
        <w:t>|---|---|</w:t>
      </w:r>
      <w:r>
        <w:br/>
      </w:r>
      <w:r>
        <w:rPr>
          <w:rStyle w:val="VerbatimChar"/>
        </w:rPr>
        <w:t>| Zentraler Pool | Für die priorisierten Bedarfe angesetzte Nicht-PV-Stromerzeugung; „zentral“ bezeichnet die Allokation, nicht Anlagengröße oder Eigentum. |</w:t>
      </w:r>
      <w:r>
        <w:br/>
      </w:r>
      <w:r>
        <w:rPr>
          <w:rStyle w:val="VerbatimChar"/>
        </w:rPr>
        <w:t>| Budgetfähig | Nach der gewählten Zuordnungsregel für diesen Pool anrechenbar. Der Begriff beschreibt eine Modellentscheidung, keinen Herkunftsnachweis. |</w:t>
      </w:r>
      <w:r>
        <w:br/>
      </w:r>
      <w:r>
        <w:rPr>
          <w:rStyle w:val="VerbatimChar"/>
        </w:rPr>
        <w:lastRenderedPageBreak/>
        <w:t>| Gebäude-PV | Anteil der nationalen PV-Erzeugung, der dem Gebäudesektor zugeordnet wird. |</w:t>
      </w:r>
      <w:r>
        <w:br/>
      </w:r>
      <w:r>
        <w:rPr>
          <w:rStyle w:val="VerbatimChar"/>
        </w:rPr>
        <w:t>| Freiflächen-PV | Im Modell die gesamte PV außerhalb von Gebäuden; sie bleibt als eigener nationaler Pool ausgewiesen. |</w:t>
      </w:r>
      <w:r>
        <w:br/>
      </w:r>
      <w:r>
        <w:rPr>
          <w:rStyle w:val="VerbatimChar"/>
        </w:rPr>
        <w:t>| MIV-Anteil | Anteil des MIV am **elektrischen Energiebedarf** des Verkehrs; kein Wege- oder Personenkilometeranteil. |</w:t>
      </w:r>
      <w:r>
        <w:br/>
      </w:r>
      <w:r>
        <w:rPr>
          <w:rStyle w:val="VerbatimChar"/>
        </w:rPr>
        <w:t>| ÖPNV | Öffentlicher Personenverkehr; eigene Teilmenge des elektrischen Verkehrsbedarfs. Übriger Verkehr wird separat geführt. |</w:t>
      </w:r>
      <w:r>
        <w:br/>
      </w:r>
      <w:r>
        <w:rPr>
          <w:rStyle w:val="VerbatimChar"/>
        </w:rPr>
        <w:t>| MIV-Budget / Mobilitätsgutschrift | Dem MIV zugeteilte Deckung aus dem zentralen Pool in PJ Strom/a. Die nutzungsbezogene PE-Gutschrift ist in @sec-kontext-mobilitaet definiert. |</w:t>
      </w:r>
      <w:r>
        <w:br/>
      </w:r>
      <w:r>
        <w:rPr>
          <w:rStyle w:val="VerbatimChar"/>
        </w:rPr>
        <w:t>| Saldo | Zugeordnete Deckung minus Bedarf; positiv bedeutet Überschuss, negativ Deckungslücke. |</w:t>
      </w:r>
    </w:p>
    <w:p w14:paraId="09CD416B" w14:textId="77777777" w:rsidR="004E4CC2" w:rsidRDefault="00000000">
      <w:pPr>
        <w:numPr>
          <w:ilvl w:val="0"/>
          <w:numId w:val="13"/>
        </w:numPr>
      </w:pPr>
      <w:r>
        <w:rPr>
          <w:b/>
          <w:bCs/>
        </w:rPr>
        <w:t>Kapitel/03-allokation.qmd, Ausgangszeile 13: Umformulierung / Umgliederung.</w:t>
      </w:r>
    </w:p>
    <w:p w14:paraId="225369C2" w14:textId="77777777" w:rsidR="004E4CC2" w:rsidRDefault="00000000">
      <w:pPr>
        <w:numPr>
          <w:ilvl w:val="0"/>
          <w:numId w:val="1"/>
        </w:numPr>
      </w:pPr>
      <w:r>
        <w:t>Bisher:</w:t>
      </w:r>
    </w:p>
    <w:p w14:paraId="750D00AE" w14:textId="77777777" w:rsidR="004E4CC2" w:rsidRDefault="00000000">
      <w:pPr>
        <w:pStyle w:val="SourceCode"/>
        <w:numPr>
          <w:ilvl w:val="0"/>
          <w:numId w:val="1"/>
        </w:numPr>
      </w:pPr>
      <w:r>
        <w:rPr>
          <w:rStyle w:val="VerbatimChar"/>
        </w:rPr>
        <w:t>Diese Zuordnung ist eine **Bilanz- und Lastenverteilungsregel** und keine Aussage über physisch getrennte Stromnetze. Die hier beschriebene Neukalibrierung nutzt UBA Transition 2040 statt des historischen Referenzszenarios. Sämtliche Zuordnungen müssen deshalb anhand der neuen Strombilanz erneut vorgenommen und abgestimmt werden.</w:t>
      </w:r>
    </w:p>
    <w:p w14:paraId="0EDFFED0" w14:textId="77777777" w:rsidR="004E4CC2" w:rsidRDefault="00000000">
      <w:pPr>
        <w:numPr>
          <w:ilvl w:val="0"/>
          <w:numId w:val="1"/>
        </w:numPr>
      </w:pPr>
      <w:r>
        <w:t>Jetzt:</w:t>
      </w:r>
    </w:p>
    <w:p w14:paraId="423F1EBF" w14:textId="77777777" w:rsidR="004E4CC2" w:rsidRDefault="00000000">
      <w:pPr>
        <w:pStyle w:val="SourceCode"/>
        <w:numPr>
          <w:ilvl w:val="0"/>
          <w:numId w:val="1"/>
        </w:numPr>
      </w:pPr>
      <w:r>
        <w:rPr>
          <w:rStyle w:val="VerbatimChar"/>
        </w:rPr>
        <w:t>: Glossar der sektoralen Allokation. {#tbl-allokation-glossar}</w:t>
      </w:r>
    </w:p>
    <w:p w14:paraId="0A8B4D2C" w14:textId="77777777" w:rsidR="004E4CC2" w:rsidRDefault="00000000">
      <w:pPr>
        <w:numPr>
          <w:ilvl w:val="0"/>
          <w:numId w:val="13"/>
        </w:numPr>
      </w:pPr>
      <w:r>
        <w:rPr>
          <w:b/>
          <w:bCs/>
        </w:rPr>
        <w:t>Kapitel/03-allokation.qmd, Ausgangszeile 15: Umformulierung / Umgliederung.</w:t>
      </w:r>
    </w:p>
    <w:p w14:paraId="1D1C44EA" w14:textId="77777777" w:rsidR="004E4CC2" w:rsidRDefault="00000000">
      <w:pPr>
        <w:numPr>
          <w:ilvl w:val="0"/>
          <w:numId w:val="1"/>
        </w:numPr>
      </w:pPr>
      <w:r>
        <w:t>Bisher:</w:t>
      </w:r>
    </w:p>
    <w:p w14:paraId="608C73C3" w14:textId="77777777" w:rsidR="004E4CC2" w:rsidRDefault="00000000">
      <w:pPr>
        <w:pStyle w:val="SourceCode"/>
        <w:numPr>
          <w:ilvl w:val="0"/>
          <w:numId w:val="1"/>
        </w:numPr>
      </w:pPr>
      <w:r>
        <w:rPr>
          <w:rStyle w:val="VerbatimChar"/>
        </w:rPr>
        <w:t>## Zentrale und dezentrale erneuerbare Erzeugung</w:t>
      </w:r>
    </w:p>
    <w:p w14:paraId="0741E6DF" w14:textId="77777777" w:rsidR="004E4CC2" w:rsidRDefault="00000000">
      <w:pPr>
        <w:numPr>
          <w:ilvl w:val="0"/>
          <w:numId w:val="1"/>
        </w:numPr>
      </w:pPr>
      <w:r>
        <w:t>Jetzt:</w:t>
      </w:r>
    </w:p>
    <w:p w14:paraId="0642A320" w14:textId="77777777" w:rsidR="004E4CC2" w:rsidRDefault="00000000">
      <w:pPr>
        <w:pStyle w:val="SourceCode"/>
        <w:numPr>
          <w:ilvl w:val="0"/>
          <w:numId w:val="1"/>
        </w:numPr>
      </w:pPr>
      <w:r>
        <w:rPr>
          <w:rStyle w:val="VerbatimChar"/>
        </w:rPr>
        <w:t>## Erzeugungszuordnung und Prioritäten</w:t>
      </w:r>
    </w:p>
    <w:p w14:paraId="4578B93F" w14:textId="77777777" w:rsidR="004E4CC2" w:rsidRDefault="00000000">
      <w:pPr>
        <w:numPr>
          <w:ilvl w:val="0"/>
          <w:numId w:val="13"/>
        </w:numPr>
      </w:pPr>
      <w:r>
        <w:rPr>
          <w:b/>
          <w:bCs/>
        </w:rPr>
        <w:t>Kapitel/03-allokation.qmd, Ausgangszeile 17: Umformulierung / Umgliederung.</w:t>
      </w:r>
    </w:p>
    <w:p w14:paraId="43678FB0" w14:textId="77777777" w:rsidR="004E4CC2" w:rsidRDefault="00000000">
      <w:pPr>
        <w:numPr>
          <w:ilvl w:val="0"/>
          <w:numId w:val="1"/>
        </w:numPr>
      </w:pPr>
      <w:r>
        <w:t>Bisher:</w:t>
      </w:r>
    </w:p>
    <w:p w14:paraId="770018B1" w14:textId="77777777" w:rsidR="004E4CC2" w:rsidRDefault="00000000">
      <w:pPr>
        <w:pStyle w:val="SourceCode"/>
        <w:numPr>
          <w:ilvl w:val="0"/>
          <w:numId w:val="1"/>
        </w:numPr>
      </w:pPr>
      <w:r>
        <w:rPr>
          <w:rStyle w:val="VerbatimChar"/>
        </w:rPr>
        <w:t>Für die Allokationslogik wird zunächst ein zentral verfügbarer, **nicht aus PV stammender** erneuerbarer Strompool abgegrenzt. Darunter fallen entsprechend den bilanzierten Positionen insbesondere Wasserkraft, Windkraft sowie verfügbare Stromerzeugung aus Rückverstromung und Speichern. Die konkrete technische Zuordnung folgt den UBA-Kategorien und ihren Systemgrenzen; die Bezeichnung „zentral“ ist hier eine **Modellkategorie**, keine Aussage über Eigentum oder Anlagengröße.</w:t>
      </w:r>
    </w:p>
    <w:p w14:paraId="59C0429F" w14:textId="77777777" w:rsidR="004E4CC2" w:rsidRDefault="00000000">
      <w:pPr>
        <w:numPr>
          <w:ilvl w:val="0"/>
          <w:numId w:val="1"/>
        </w:numPr>
      </w:pPr>
      <w:r>
        <w:t>Jetzt:</w:t>
      </w:r>
    </w:p>
    <w:p w14:paraId="3FC8C593" w14:textId="77777777" w:rsidR="004E4CC2" w:rsidRDefault="00000000">
      <w:pPr>
        <w:pStyle w:val="SourceCode"/>
        <w:numPr>
          <w:ilvl w:val="0"/>
          <w:numId w:val="1"/>
        </w:numPr>
      </w:pPr>
      <w:r>
        <w:rPr>
          <w:rStyle w:val="VerbatimChar"/>
        </w:rPr>
        <w:lastRenderedPageBreak/>
        <w:t>Der Referenzfall ordnet die 149 PJ/a PV vollständig den Gebäuden zu. Freiflächen-PV bleibt in Varianten separat; sie wird nicht in den zentralen Nicht-PV-Pool umgebucht. Diese Regel macht sichtbar, wie sich die Gebäudeaufgabe mit der PV-Zuordnung verändert.</w:t>
      </w:r>
    </w:p>
    <w:p w14:paraId="14505CE4" w14:textId="77777777" w:rsidR="004E4CC2" w:rsidRDefault="00000000">
      <w:pPr>
        <w:numPr>
          <w:ilvl w:val="0"/>
          <w:numId w:val="13"/>
        </w:numPr>
      </w:pPr>
      <w:r>
        <w:rPr>
          <w:b/>
          <w:bCs/>
        </w:rPr>
        <w:t>Kapitel/03-allokation.qmd, Ausgangszeile 19: Umformulierung / Umgliederung.</w:t>
      </w:r>
    </w:p>
    <w:p w14:paraId="6A084B0D" w14:textId="77777777" w:rsidR="004E4CC2" w:rsidRDefault="00000000">
      <w:pPr>
        <w:numPr>
          <w:ilvl w:val="0"/>
          <w:numId w:val="1"/>
        </w:numPr>
      </w:pPr>
      <w:r>
        <w:t>Bisher:</w:t>
      </w:r>
    </w:p>
    <w:p w14:paraId="5B3422B7" w14:textId="77777777" w:rsidR="004E4CC2" w:rsidRDefault="00000000">
      <w:pPr>
        <w:pStyle w:val="SourceCode"/>
        <w:numPr>
          <w:ilvl w:val="0"/>
          <w:numId w:val="1"/>
        </w:numPr>
      </w:pPr>
      <w:r>
        <w:rPr>
          <w:rStyle w:val="VerbatimChar"/>
        </w:rPr>
        <w:t>**PV-Strom wird getrennt geführt**, insbesondere Gebäude-PV und PV außerhalb von Gebäuden. Welche Energiemenge an Gebäude-PV dem Gebäudesektor zugerechnet wird und wie sonstige PV-Erzeugung verwendet wird, ist ausdrücklich festzulegen. PV außerhalb von Gebäuden wird nicht stillschweigend dem nicht-PV-Mobilitätsbudget zugeschlagen.</w:t>
      </w:r>
    </w:p>
    <w:p w14:paraId="7A249D05" w14:textId="77777777" w:rsidR="004E4CC2" w:rsidRDefault="00000000">
      <w:pPr>
        <w:numPr>
          <w:ilvl w:val="0"/>
          <w:numId w:val="1"/>
        </w:numPr>
      </w:pPr>
      <w:r>
        <w:t>Jetzt:</w:t>
      </w:r>
    </w:p>
    <w:p w14:paraId="69A8C126" w14:textId="77777777" w:rsidR="004E4CC2" w:rsidRDefault="00000000">
      <w:pPr>
        <w:pStyle w:val="SourceCode"/>
        <w:numPr>
          <w:ilvl w:val="0"/>
          <w:numId w:val="1"/>
        </w:numPr>
      </w:pPr>
      <w:r>
        <w:rPr>
          <w:rStyle w:val="VerbatimChar"/>
        </w:rPr>
        <w:t>Dem zentralen Pool werden Wasserkraft (173 PJ/a), Windkraft (105), Biomasse (21) und die normierte Position Geothermie/sonstige (4) zugeordnet: zusammen **303 PJ/a**. Wasserstoff-Rückverstromung (4 PJ/a) ist im Referenzfall wegen der nicht dokumentierten Herkunft nicht angerechnet; eine Variante zeigt die vollständige Anrechnung. Fossile Erzeugung (1 PJ/a) bleibt außerhalb des Pools [@uba2023transition, Tab. 16].</w:t>
      </w:r>
    </w:p>
    <w:p w14:paraId="0A06C439" w14:textId="77777777" w:rsidR="004E4CC2" w:rsidRDefault="00000000">
      <w:pPr>
        <w:numPr>
          <w:ilvl w:val="0"/>
          <w:numId w:val="13"/>
        </w:numPr>
      </w:pPr>
      <w:r>
        <w:rPr>
          <w:b/>
          <w:bCs/>
        </w:rPr>
        <w:t>Kapitel/03-allokation.qmd, Ausgangszeile 21: Umformulierung / Umgliederung.</w:t>
      </w:r>
    </w:p>
    <w:p w14:paraId="40A26406" w14:textId="77777777" w:rsidR="004E4CC2" w:rsidRDefault="00000000">
      <w:pPr>
        <w:numPr>
          <w:ilvl w:val="0"/>
          <w:numId w:val="1"/>
        </w:numPr>
      </w:pPr>
      <w:r>
        <w:t>Bisher:</w:t>
      </w:r>
    </w:p>
    <w:p w14:paraId="30E3FF31" w14:textId="77777777" w:rsidR="004E4CC2" w:rsidRDefault="00000000">
      <w:pPr>
        <w:pStyle w:val="SourceCode"/>
        <w:numPr>
          <w:ilvl w:val="0"/>
          <w:numId w:val="1"/>
        </w:numPr>
      </w:pPr>
      <w:r>
        <w:rPr>
          <w:rStyle w:val="VerbatimChar"/>
        </w:rPr>
        <w:t>Die Verfügbarkeit des zentralen Pools ist konsistent mit Energiesektor-Eigenverbrauch, Speichern, Umwandlungsbedarfen, Transportverlusten und Stromimporten zu berechnen. Insbesondere sind Elektrolyse-/Methanisierungs-Strombedarfe und die daraus folgende Rückverstromung **nicht als zwei unabhängige zusätzliche Energiequellen** zu bilanzieren. Ein- und Ausspeicherungen sowie Verluste werden nur an einer festgelegten Stelle der Bilanz berücksichtigt.</w:t>
      </w:r>
    </w:p>
    <w:p w14:paraId="35C1B971" w14:textId="77777777" w:rsidR="004E4CC2" w:rsidRDefault="00000000">
      <w:pPr>
        <w:numPr>
          <w:ilvl w:val="0"/>
          <w:numId w:val="1"/>
        </w:numPr>
      </w:pPr>
      <w:r>
        <w:t>Jetzt:</w:t>
      </w:r>
    </w:p>
    <w:p w14:paraId="63F3F832" w14:textId="77777777" w:rsidR="004E4CC2" w:rsidRDefault="00000000">
      <w:pPr>
        <w:pStyle w:val="SourceCode"/>
        <w:numPr>
          <w:ilvl w:val="0"/>
          <w:numId w:val="1"/>
        </w:numPr>
      </w:pPr>
      <w:r>
        <w:rPr>
          <w:rStyle w:val="VerbatimChar"/>
        </w:rPr>
        <w:t>::: {.content-visible when-format="html"}</w:t>
      </w:r>
      <w:r>
        <w:br/>
      </w:r>
      <w:r>
        <w:rPr>
          <w:rStyle w:val="VerbatimChar"/>
        </w:rPr>
        <w:t>```{=html}</w:t>
      </w:r>
      <w:r>
        <w:br/>
      </w:r>
      <w:r>
        <w:rPr>
          <w:rStyle w:val="VerbatimChar"/>
        </w:rPr>
        <w:t>&lt;iframe src="../Abbildungen/methodik/zentraler_pool.html" title="Herleitung des zentralen MIV-Budgets" style="width:100%;height:650px;border:0" loading="lazy"&gt;&lt;/iframe&gt;</w:t>
      </w:r>
      <w:r>
        <w:br/>
      </w:r>
      <w:r>
        <w:rPr>
          <w:rStyle w:val="VerbatimChar"/>
        </w:rPr>
        <w:t>```</w:t>
      </w:r>
      <w:r>
        <w:br/>
      </w:r>
      <w:r>
        <w:rPr>
          <w:rStyle w:val="VerbatimChar"/>
        </w:rPr>
        <w:t>[Grafik separat öffnen](../Abbildungen/methodik/zentraler_pool.html)</w:t>
      </w:r>
      <w:r>
        <w:br/>
      </w:r>
      <w:r>
        <w:rPr>
          <w:rStyle w:val="VerbatimChar"/>
        </w:rPr>
        <w:t>:::</w:t>
      </w:r>
    </w:p>
    <w:p w14:paraId="21856F55" w14:textId="77777777" w:rsidR="004E4CC2" w:rsidRDefault="00000000">
      <w:pPr>
        <w:numPr>
          <w:ilvl w:val="0"/>
          <w:numId w:val="13"/>
        </w:numPr>
      </w:pPr>
      <w:r>
        <w:rPr>
          <w:b/>
          <w:bCs/>
        </w:rPr>
        <w:t>Kapitel/03-allokation.qmd, Ausgangszeile 23: Umformulierung / Umgliederung.</w:t>
      </w:r>
    </w:p>
    <w:p w14:paraId="170CC934" w14:textId="77777777" w:rsidR="004E4CC2" w:rsidRDefault="00000000">
      <w:pPr>
        <w:numPr>
          <w:ilvl w:val="0"/>
          <w:numId w:val="1"/>
        </w:numPr>
      </w:pPr>
      <w:r>
        <w:t>Bisher:</w:t>
      </w:r>
    </w:p>
    <w:p w14:paraId="608F81A4" w14:textId="77777777" w:rsidR="004E4CC2" w:rsidRDefault="00000000">
      <w:pPr>
        <w:pStyle w:val="SourceCode"/>
        <w:numPr>
          <w:ilvl w:val="0"/>
          <w:numId w:val="1"/>
        </w:numPr>
      </w:pPr>
      <w:r>
        <w:rPr>
          <w:rStyle w:val="VerbatimChar"/>
        </w:rPr>
        <w:t>| Modellgröße | Abgrenzung | Kalibrierungsstand |</w:t>
      </w:r>
    </w:p>
    <w:p w14:paraId="7C6D61CB" w14:textId="77777777" w:rsidR="004E4CC2" w:rsidRDefault="00000000">
      <w:pPr>
        <w:numPr>
          <w:ilvl w:val="0"/>
          <w:numId w:val="1"/>
        </w:numPr>
      </w:pPr>
      <w:r>
        <w:lastRenderedPageBreak/>
        <w:t>Jetzt:</w:t>
      </w:r>
    </w:p>
    <w:p w14:paraId="0B4D9432" w14:textId="77777777" w:rsidR="004E4CC2" w:rsidRDefault="00000000">
      <w:pPr>
        <w:pStyle w:val="SourceCode"/>
        <w:numPr>
          <w:ilvl w:val="0"/>
          <w:numId w:val="1"/>
        </w:numPr>
      </w:pPr>
      <w:r>
        <w:br/>
      </w:r>
      <w:r>
        <w:rPr>
          <w:rStyle w:val="VerbatimChar"/>
        </w:rPr>
        <w:t>Die zentrale Erzeugung deckt zuerst Industrie, Landwirtschaft, Energiebranche, Umwandlung, Netzverluste und Nettoexport sowie ÖPNV und übrigen Verkehr. Bei 20 % ÖPNV und 80 % MIV an 90 PJ/a Verkehrsbedarf verbleiben **24 PJ/a für MIV**. Die Priorität folgt dem Allokationsansatz nach @schneider2020lokal und @schneider2023context; die Mengen stammen aus Transition 2040.</w:t>
      </w:r>
      <w:r>
        <w:br/>
      </w:r>
      <w:r>
        <w:br/>
      </w:r>
      <w:r>
        <w:rPr>
          <w:rStyle w:val="VerbatimChar"/>
        </w:rPr>
        <w:t>| Position | Ansatz im Referenzfall |</w:t>
      </w:r>
      <w:r>
        <w:br/>
      </w:r>
      <w:r>
        <w:rPr>
          <w:rStyle w:val="VerbatimChar"/>
        </w:rPr>
        <w:t>|---|---|</w:t>
      </w:r>
      <w:r>
        <w:br/>
      </w:r>
      <w:r>
        <w:rPr>
          <w:rStyle w:val="VerbatimChar"/>
        </w:rPr>
        <w:t>| Nicht-PV-Pool | Wasser, Wind, Biomasse, Geothermie/sonstige |</w:t>
      </w:r>
      <w:r>
        <w:br/>
      </w:r>
      <w:r>
        <w:rPr>
          <w:rStyle w:val="VerbatimChar"/>
        </w:rPr>
        <w:t>| PV | 100 % Gebäude, 0 % Freifläche |</w:t>
      </w:r>
      <w:r>
        <w:br/>
      </w:r>
      <w:r>
        <w:rPr>
          <w:rStyle w:val="VerbatimChar"/>
        </w:rPr>
        <w:t>| Verkehr | 80 % MIV, 20 % ÖPNV, 0 % übriger Verkehr |</w:t>
      </w:r>
      <w:r>
        <w:br/>
      </w:r>
      <w:r>
        <w:rPr>
          <w:rStyle w:val="VerbatimChar"/>
        </w:rPr>
        <w:t>| Systempositionen | Einmaliger Abzug von Energiebranche, Umwandlung, Verlusten und Nettoexport |</w:t>
      </w:r>
      <w:r>
        <w:br/>
      </w:r>
      <w:r>
        <w:rPr>
          <w:rStyle w:val="VerbatimChar"/>
        </w:rPr>
        <w:t>| H₂-Rückverstromung | 0 % anrechenbar; Vergleichsvariante mit 100 % |</w:t>
      </w:r>
      <w:r>
        <w:br/>
      </w:r>
      <w:r>
        <w:br/>
      </w:r>
      <w:r>
        <w:rPr>
          <w:rStyle w:val="VerbatimChar"/>
        </w:rPr>
        <w:t>: Zuordnungsregeln des Referenzfalls. Die PV- und Verkehrsanteile sind Modellannahmen. {#tbl-allokation-datenbedarf}</w:t>
      </w:r>
      <w:r>
        <w:br/>
      </w:r>
      <w:r>
        <w:br/>
      </w:r>
      <w:r>
        <w:rPr>
          <w:rStyle w:val="VerbatimChar"/>
        </w:rPr>
        <w:t>## Berechnung von Mobilitätsbudget und Gebäudesaldo {#sec-allokation-miv}</w:t>
      </w:r>
      <w:r>
        <w:br/>
      </w:r>
      <w:r>
        <w:br/>
      </w:r>
      <w:r>
        <w:rPr>
          <w:rStyle w:val="VerbatimChar"/>
        </w:rPr>
        <w:t>Für die Berechnung gelten folgende jährliche Stromgrößen:</w:t>
      </w:r>
      <w:r>
        <w:br/>
      </w:r>
      <w:r>
        <w:br/>
      </w:r>
      <w:r>
        <w:rPr>
          <w:rStyle w:val="VerbatimChar"/>
        </w:rPr>
        <w:t>| Symbol | Definition | Einheit |</w:t>
      </w:r>
    </w:p>
    <w:p w14:paraId="3A3B07EC" w14:textId="77777777" w:rsidR="004E4CC2" w:rsidRDefault="00000000">
      <w:pPr>
        <w:numPr>
          <w:ilvl w:val="0"/>
          <w:numId w:val="13"/>
        </w:numPr>
      </w:pPr>
      <w:r>
        <w:rPr>
          <w:b/>
          <w:bCs/>
        </w:rPr>
        <w:t>Kapitel/03-allokation.qmd, Ausgangszeile 25: Umformulierung / Umgliederung.</w:t>
      </w:r>
    </w:p>
    <w:p w14:paraId="05ABC6B3" w14:textId="77777777" w:rsidR="004E4CC2" w:rsidRDefault="00000000">
      <w:pPr>
        <w:numPr>
          <w:ilvl w:val="0"/>
          <w:numId w:val="1"/>
        </w:numPr>
      </w:pPr>
      <w:r>
        <w:t>Bisher:</w:t>
      </w:r>
    </w:p>
    <w:p w14:paraId="29F26BF7" w14:textId="77777777" w:rsidR="004E4CC2" w:rsidRDefault="00000000">
      <w:pPr>
        <w:pStyle w:val="SourceCode"/>
        <w:numPr>
          <w:ilvl w:val="0"/>
          <w:numId w:val="1"/>
        </w:numPr>
      </w:pPr>
      <w:r>
        <w:rPr>
          <w:rStyle w:val="VerbatimChar"/>
        </w:rPr>
        <w:t>| Erneuerbare Stromerzeugung ohne PV | Quellen und Stromerzeugung aus Rückverstromung/Speichern gemäß UBA-Bilanz | Technologieliste und Nettoabgrenzung festzulegen |</w:t>
      </w:r>
      <w:r>
        <w:br/>
      </w:r>
      <w:r>
        <w:rPr>
          <w:rStyle w:val="VerbatimChar"/>
        </w:rPr>
        <w:t>| Gebäude-PV | PV-Erzeugung auf beziehungsweise an Gebäuden | Anteil am nationalen PV-Ausbau festzulegen |</w:t>
      </w:r>
      <w:r>
        <w:br/>
      </w:r>
      <w:r>
        <w:rPr>
          <w:rStyle w:val="VerbatimChar"/>
        </w:rPr>
        <w:t>| Andere PV | Freiflächen-PV und weitere nicht dem Gebäude zugeordnete PV | Allokationsregel festzulegen |</w:t>
      </w:r>
      <w:r>
        <w:br/>
      </w:r>
      <w:r>
        <w:rPr>
          <w:rStyle w:val="VerbatimChar"/>
        </w:rPr>
        <w:t>| Netz-/Umwandlungspositionen | Verluste und energiewirtschaftliche Bedarfe, sofern nicht bereits im Nettowert enthalten | Abgleich mit Quelltabellen nötig |</w:t>
      </w:r>
      <w:r>
        <w:br/>
      </w:r>
      <w:r>
        <w:rPr>
          <w:rStyle w:val="VerbatimChar"/>
        </w:rPr>
        <w:t>| Importe, nicht erneuerbare Anteile | Gesonderte Bilanzpositionen, keine automatische erneuerbare MIV-Gutschrift | Behandlung zu dokumentieren |</w:t>
      </w:r>
    </w:p>
    <w:p w14:paraId="54249947" w14:textId="77777777" w:rsidR="004E4CC2" w:rsidRDefault="00000000">
      <w:pPr>
        <w:numPr>
          <w:ilvl w:val="0"/>
          <w:numId w:val="1"/>
        </w:numPr>
      </w:pPr>
      <w:r>
        <w:t>Jetzt:</w:t>
      </w:r>
    </w:p>
    <w:p w14:paraId="1B191BA0" w14:textId="77777777" w:rsidR="004E4CC2" w:rsidRDefault="00000000">
      <w:pPr>
        <w:pStyle w:val="SourceCode"/>
        <w:numPr>
          <w:ilvl w:val="0"/>
          <w:numId w:val="1"/>
        </w:numPr>
      </w:pPr>
      <w:r>
        <w:rPr>
          <w:rStyle w:val="VerbatimChar"/>
        </w:rPr>
        <w:t>| $E_{\mathrm{Z}}$ | Angerechnete zentrale Erzeugung | PJ/a |</w:t>
      </w:r>
      <w:r>
        <w:br/>
      </w:r>
      <w:r>
        <w:rPr>
          <w:rStyle w:val="VerbatimChar"/>
        </w:rPr>
        <w:t>| $E_{\mathrm{V}}$ | Summe der priorisierten Bedarfe einschließlich ÖPN</w:t>
      </w:r>
      <w:r>
        <w:rPr>
          <w:rStyle w:val="VerbatimChar"/>
        </w:rPr>
        <w:lastRenderedPageBreak/>
        <w:t>V, übrigen Verkehrs und Nettoexports | PJ/a |</w:t>
      </w:r>
      <w:r>
        <w:br/>
      </w:r>
      <w:r>
        <w:rPr>
          <w:rStyle w:val="VerbatimChar"/>
        </w:rPr>
        <w:t>| $E_{\mathrm{MIV}}$ | Elektrischer MIV-Bedarf | PJ/a |</w:t>
      </w:r>
      <w:r>
        <w:br/>
      </w:r>
      <w:r>
        <w:rPr>
          <w:rStyle w:val="VerbatimChar"/>
        </w:rPr>
        <w:t>| $G_{\mathrm{MIV}}$ | Zugeordnetes MIV-Budget | PJ/a |</w:t>
      </w:r>
      <w:r>
        <w:br/>
      </w:r>
      <w:r>
        <w:rPr>
          <w:rStyle w:val="VerbatimChar"/>
        </w:rPr>
        <w:t>| $E_{\mathrm{PV,Geb}}$ | Dem Gebäude zugeordnete PV-Erzeugung | PJ/a |</w:t>
      </w:r>
      <w:r>
        <w:br/>
      </w:r>
      <w:r>
        <w:rPr>
          <w:rStyle w:val="VerbatimChar"/>
        </w:rPr>
        <w:t>| $E_{\mathrm{Geb}}$ | Betriebsstrombedarf des Gebäudesektors | PJ/a |</w:t>
      </w:r>
      <w:r>
        <w:br/>
      </w:r>
      <w:r>
        <w:rPr>
          <w:rStyle w:val="VerbatimChar"/>
        </w:rPr>
        <w:t>| $B_{\mathrm{Geb,Ziel}}$ | Zielsaldo für Gebäude einschließlich MIV | PJ/a |</w:t>
      </w:r>
    </w:p>
    <w:p w14:paraId="2D459301" w14:textId="77777777" w:rsidR="004E4CC2" w:rsidRDefault="00000000">
      <w:pPr>
        <w:numPr>
          <w:ilvl w:val="0"/>
          <w:numId w:val="13"/>
        </w:numPr>
      </w:pPr>
      <w:r>
        <w:rPr>
          <w:b/>
          <w:bCs/>
        </w:rPr>
        <w:t>Kapitel/03-allokation.qmd, Ausgangszeile 31: Umformulierung / Umgliederung.</w:t>
      </w:r>
    </w:p>
    <w:p w14:paraId="61256AF2" w14:textId="77777777" w:rsidR="004E4CC2" w:rsidRDefault="00000000">
      <w:pPr>
        <w:numPr>
          <w:ilvl w:val="0"/>
          <w:numId w:val="1"/>
        </w:numPr>
      </w:pPr>
      <w:r>
        <w:t>Bisher:</w:t>
      </w:r>
    </w:p>
    <w:p w14:paraId="7384C118" w14:textId="77777777" w:rsidR="004E4CC2" w:rsidRDefault="00000000">
      <w:pPr>
        <w:pStyle w:val="SourceCode"/>
        <w:numPr>
          <w:ilvl w:val="0"/>
          <w:numId w:val="1"/>
        </w:numPr>
      </w:pPr>
      <w:r>
        <w:rPr>
          <w:rStyle w:val="VerbatimChar"/>
        </w:rPr>
        <w:t>: Für die sektorale Allokation benötigte Strombilanzpositionen. Fehlende Zuordnungen sind **keine Nullwerte**. {#tbl-allokation-datenbedarf}</w:t>
      </w:r>
      <w:r>
        <w:br/>
      </w:r>
      <w:r>
        <w:br/>
      </w:r>
      <w:r>
        <w:rPr>
          <w:rStyle w:val="VerbatimChar"/>
        </w:rPr>
        <w:t>## Vorrangige Bedarfe: Industrie und öffentlicher Verkehr</w:t>
      </w:r>
      <w:r>
        <w:br/>
      </w:r>
      <w:r>
        <w:br/>
      </w:r>
      <w:r>
        <w:rPr>
          <w:rStyle w:val="VerbatimChar"/>
        </w:rPr>
        <w:t>Die Industrie wird auf Basis der entsprechenden nationalen Strombedarfsposition erfasst. Der Verkehrsbedarf von UBA Transition 2040 ist für die PEQ-Definition gesondert nach **öffentlichem Verkehr, motorisiertem Individualverkehr und übrigen Verkehrsbedarfen** aufzuschlüsseln. Soweit das UBA-Szenario die benötigte Unterteilung nicht unmittelbar liefert, ist eine belegte ergänzende Zuordnung erforderlich; historische MIV/ÖPNV-Anteile werden nicht ungeprüft übernommen.</w:t>
      </w:r>
      <w:r>
        <w:br/>
      </w:r>
      <w:r>
        <w:br/>
      </w:r>
      <w:r>
        <w:rPr>
          <w:rStyle w:val="VerbatimChar"/>
        </w:rPr>
        <w:t>Die Zuordnung weiterer Bedarfe, insbesondere des Energiesektors und anderer Endverbraucher, erfolgt ausdrücklich und ohne doppelte Belastung. Es ist zu dokumentieren, welche Positionen bereits von einer verfügbaren Nettoerzeugung abgezogen sind und welche als vorrangige externe Bedarfe zu berücksichtigen sind.</w:t>
      </w:r>
      <w:r>
        <w:br/>
      </w:r>
      <w:r>
        <w:br/>
      </w:r>
      <w:r>
        <w:rPr>
          <w:rStyle w:val="VerbatimChar"/>
        </w:rPr>
        <w:t>## Ermittlung des erneuerbaren MIV-Budgets {#sec-allokation-miv}</w:t>
      </w:r>
      <w:r>
        <w:br/>
      </w:r>
      <w:r>
        <w:br/>
      </w:r>
      <w:r>
        <w:rPr>
          <w:rStyle w:val="VerbatimChar"/>
        </w:rPr>
        <w:t>Das **nationale MIV-Budget entsteht innerhalb der sektoralen Allokation** als Differenz zwischen dem hierfür verfügbaren zentralen erneuerbaren Strompool und den vorrangig zugeordneten Strombedarfen. Schematisch gilt in **elektrischer Energie**:</w:t>
      </w:r>
    </w:p>
    <w:p w14:paraId="46F0A73C" w14:textId="77777777" w:rsidR="004E4CC2" w:rsidRDefault="00000000">
      <w:pPr>
        <w:numPr>
          <w:ilvl w:val="0"/>
          <w:numId w:val="1"/>
        </w:numPr>
      </w:pPr>
      <w:r>
        <w:t>Jetzt:</w:t>
      </w:r>
    </w:p>
    <w:p w14:paraId="194C89D5" w14:textId="77777777" w:rsidR="004E4CC2" w:rsidRDefault="00000000">
      <w:pPr>
        <w:pStyle w:val="SourceCode"/>
        <w:numPr>
          <w:ilvl w:val="0"/>
          <w:numId w:val="1"/>
        </w:numPr>
      </w:pPr>
      <w:r>
        <w:rPr>
          <w:rStyle w:val="VerbatimChar"/>
        </w:rPr>
        <w:t>Das Budget ist auf den verfügbaren positiven Rest und den MIV-Bedarf begrenzt:</w:t>
      </w:r>
    </w:p>
    <w:p w14:paraId="28506C79" w14:textId="77777777" w:rsidR="004E4CC2" w:rsidRDefault="00000000">
      <w:pPr>
        <w:numPr>
          <w:ilvl w:val="0"/>
          <w:numId w:val="13"/>
        </w:numPr>
      </w:pPr>
      <w:r>
        <w:rPr>
          <w:b/>
          <w:bCs/>
        </w:rPr>
        <w:t>Kapitel/03-allokation.qmd, Ausgangszeile 44: Umformulierung / Umgliederung.</w:t>
      </w:r>
    </w:p>
    <w:p w14:paraId="305E2B5C" w14:textId="77777777" w:rsidR="004E4CC2" w:rsidRDefault="00000000">
      <w:pPr>
        <w:numPr>
          <w:ilvl w:val="0"/>
          <w:numId w:val="1"/>
        </w:numPr>
      </w:pPr>
      <w:r>
        <w:t>Bisher:</w:t>
      </w:r>
    </w:p>
    <w:p w14:paraId="27B23440" w14:textId="77777777" w:rsidR="004E4CC2" w:rsidRDefault="00000000">
      <w:pPr>
        <w:pStyle w:val="SourceCode"/>
        <w:numPr>
          <w:ilvl w:val="0"/>
          <w:numId w:val="1"/>
        </w:numPr>
      </w:pPr>
      <w:r>
        <w:rPr>
          <w:rStyle w:val="VerbatimChar"/>
        </w:rPr>
        <w:t>E_{\mathrm{MIV,Budget}}^{\mathrm{el}}</w:t>
      </w:r>
      <w:r>
        <w:br/>
      </w:r>
      <w:r>
        <w:rPr>
          <w:rStyle w:val="VerbatimChar"/>
        </w:rPr>
        <w:t>=E_{\mathrm{zentral,verf}}^{\mathrm{el}}</w:t>
      </w:r>
      <w:r>
        <w:br/>
      </w:r>
      <w:r>
        <w:rPr>
          <w:rStyle w:val="VerbatimChar"/>
        </w:rPr>
        <w:t>-E_{\mathrm{Industrie,zugeordnet}}^{\mathrm{el}}</w:t>
      </w:r>
      <w:r>
        <w:br/>
      </w:r>
      <w:r>
        <w:rPr>
          <w:rStyle w:val="VerbatimChar"/>
        </w:rPr>
        <w:lastRenderedPageBreak/>
        <w:t>-E_{\mathrm{ÖPNV,zugeordnet}}^{\mathrm{el}}</w:t>
      </w:r>
      <w:r>
        <w:br/>
      </w:r>
      <w:r>
        <w:rPr>
          <w:rStyle w:val="VerbatimChar"/>
        </w:rPr>
        <w:t>-E_{\mathrm{sonstige,zugeordnet}}^{\mathrm{el}}.</w:t>
      </w:r>
    </w:p>
    <w:p w14:paraId="7A8B4E31" w14:textId="77777777" w:rsidR="004E4CC2" w:rsidRDefault="00000000">
      <w:pPr>
        <w:numPr>
          <w:ilvl w:val="0"/>
          <w:numId w:val="1"/>
        </w:numPr>
      </w:pPr>
      <w:r>
        <w:t>Jetzt:</w:t>
      </w:r>
    </w:p>
    <w:p w14:paraId="4D43B0ED" w14:textId="77777777" w:rsidR="004E4CC2" w:rsidRDefault="00000000">
      <w:pPr>
        <w:pStyle w:val="SourceCode"/>
        <w:numPr>
          <w:ilvl w:val="0"/>
          <w:numId w:val="1"/>
        </w:numPr>
      </w:pPr>
      <w:r>
        <w:rPr>
          <w:rStyle w:val="VerbatimChar"/>
        </w:rPr>
        <w:t>G_{\mathrm{MIV}}=\min\left(E_{\mathrm{MIV}},\max(0,E_{\mathrm{Z}}-E_{\mathrm{V}})\right).</w:t>
      </w:r>
    </w:p>
    <w:p w14:paraId="38E74924" w14:textId="77777777" w:rsidR="004E4CC2" w:rsidRDefault="00000000">
      <w:pPr>
        <w:numPr>
          <w:ilvl w:val="0"/>
          <w:numId w:val="13"/>
        </w:numPr>
      </w:pPr>
      <w:r>
        <w:rPr>
          <w:b/>
          <w:bCs/>
        </w:rPr>
        <w:t>Kapitel/03-allokation.qmd, Ausgangszeile 51: Umformulierung / Umgliederung.</w:t>
      </w:r>
    </w:p>
    <w:p w14:paraId="1BEDCA24" w14:textId="77777777" w:rsidR="004E4CC2" w:rsidRDefault="00000000">
      <w:pPr>
        <w:numPr>
          <w:ilvl w:val="0"/>
          <w:numId w:val="1"/>
        </w:numPr>
      </w:pPr>
      <w:r>
        <w:t>Bisher:</w:t>
      </w:r>
    </w:p>
    <w:p w14:paraId="0C707550" w14:textId="77777777" w:rsidR="004E4CC2" w:rsidRDefault="00000000">
      <w:pPr>
        <w:pStyle w:val="SourceCode"/>
        <w:numPr>
          <w:ilvl w:val="0"/>
          <w:numId w:val="1"/>
        </w:numPr>
      </w:pPr>
      <w:r>
        <w:rPr>
          <w:rStyle w:val="VerbatimChar"/>
        </w:rPr>
        <w:t>Die letzte Position enthält nur solche zusätzlichen Verwendungen, die nicht bereits bei der Nettoabgrenzung des zentralen Pools berücksichtigt wurden. Ergibt die Rechnung keinen positiven Rest, ist dies als **Allokationskonflikt beziehungsweise Fehlbetrag** sichtbar zu machen und nicht durch eine erfundene Gutschrift zu verdecken. Die Verwendung des Restes als MIV-Budget ist selbst eine dokumentierte Zuordnungsregel.</w:t>
      </w:r>
      <w:r>
        <w:br/>
      </w:r>
      <w:r>
        <w:br/>
      </w:r>
      <w:r>
        <w:rPr>
          <w:rStyle w:val="VerbatimChar"/>
        </w:rPr>
        <w:t>**Erst nach der Stromallokation** wird der ermittelte budgetfähige Stromanteil mit den einschlägigen Primärenergiefaktoren in eine PE-Größe überführt. Strommengen (PJ Strom/a) und Gutschriften (PJ PE/a) werden dabei nicht gleichgesetzt. Die weitere Verteilung auf Wohn-, Büro-, Bildungs- und andere Nutzflächen sowie die Gegenüberstellung mit dem standortabhängigen MIV-Bedarf erfolgt in @sec-kontext-mobilitaet.</w:t>
      </w:r>
      <w:r>
        <w:br/>
      </w:r>
      <w:r>
        <w:br/>
      </w:r>
      <w:r>
        <w:rPr>
          <w:rStyle w:val="VerbatimChar"/>
        </w:rPr>
        <w:t>## Gebäude-PV, zugeordneter Bedarf und Gebäudesektorsaldo</w:t>
      </w:r>
      <w:r>
        <w:br/>
      </w:r>
      <w:r>
        <w:br/>
      </w:r>
      <w:r>
        <w:rPr>
          <w:rStyle w:val="VerbatimChar"/>
        </w:rPr>
        <w:t>Die zweite Ausgangsgröße für die Neukalibrierung ist die Bilanz des Gebäudesektors. Ihr liegen die dem Gebäude zugewiesene PV-Erzeugung und die Gebäude- und Mobilitätsbedarfe zugrunde. Bei einer im Gebäudesektor geführten MIV-Bilanz wird die aus dem zentralen Pool finanzierte Stromdeckung **einmalig** berücksichtigt; dieselbe erneuerbare Energiemenge darf nicht zusätzlich in einem anderen sektoralen Saldo als verfügbarer Überschuss erscheinen.</w:t>
      </w:r>
      <w:r>
        <w:br/>
      </w:r>
      <w:r>
        <w:br/>
      </w:r>
      <w:r>
        <w:rPr>
          <w:rStyle w:val="VerbatimChar"/>
        </w:rPr>
        <w:t>Für die Dokumentation sind mindestens die folgenden Positionen nötig:</w:t>
      </w:r>
      <w:r>
        <w:br/>
      </w:r>
      <w:r>
        <w:br/>
      </w:r>
      <w:r>
        <w:rPr>
          <w:rStyle w:val="VerbatimChar"/>
        </w:rPr>
        <w:t>| Position | Beschreibung |</w:t>
      </w:r>
      <w:r>
        <w:br/>
      </w:r>
      <w:r>
        <w:rPr>
          <w:rStyle w:val="VerbatimChar"/>
        </w:rPr>
        <w:t>|---|---|</w:t>
      </w:r>
      <w:r>
        <w:br/>
      </w:r>
      <w:r>
        <w:rPr>
          <w:rStyle w:val="VerbatimChar"/>
        </w:rPr>
        <w:t>| \(E_{\mathrm{PV,Geb}}\) | Dem Gebäudesektor zugeordnete PV-Stromerzeugung |</w:t>
      </w:r>
      <w:r>
        <w:br/>
      </w:r>
      <w:r>
        <w:rPr>
          <w:rStyle w:val="VerbatimChar"/>
        </w:rPr>
        <w:t>| \(E_{\mathrm{Geb,Betrieb}}\) | Strombedarf für Betrieb und Nutzung der Gebäude |</w:t>
      </w:r>
      <w:r>
        <w:br/>
      </w:r>
      <w:r>
        <w:rPr>
          <w:rStyle w:val="VerbatimChar"/>
        </w:rPr>
        <w:t>| \(E_{\mathrm{MIV}}\) | Zu bilanzierender Strombedarf des individuellen motorisierten Verkehrs |</w:t>
      </w:r>
      <w:r>
        <w:br/>
      </w:r>
      <w:r>
        <w:rPr>
          <w:rStyle w:val="VerbatimChar"/>
        </w:rPr>
        <w:t>| \(E_{\mathrm{MIV,Budget}}\) | Einmalig zugeteilter zentraler Erneuerbaren-Anteil für MIV |</w:t>
      </w:r>
      <w:r>
        <w:br/>
      </w:r>
      <w:r>
        <w:rPr>
          <w:rStyle w:val="VerbatimChar"/>
        </w:rPr>
        <w:t>| \(B_{\mathrm{Geb,Ziel}}\) | Resultierender, konsistent abgegrenzter nationaler Gebäudesektorsaldo |</w:t>
      </w:r>
      <w:r>
        <w:br/>
      </w:r>
      <w:r>
        <w:br/>
      </w:r>
      <w:r>
        <w:rPr>
          <w:rStyle w:val="VerbatimChar"/>
        </w:rPr>
        <w:lastRenderedPageBreak/>
        <w:t>Das Vorzeichen eines Saldos wird als *Erzeugung beziehungsweise Deckung minus zugeordneter Bedarf* ausgewiesen. Eine schematische Darstellung – **nur bei gleicher Bilanzgrenze und ausschließlich elektrischen Größen** – lautet:</w:t>
      </w:r>
    </w:p>
    <w:p w14:paraId="5151344F" w14:textId="77777777" w:rsidR="004E4CC2" w:rsidRDefault="00000000">
      <w:pPr>
        <w:numPr>
          <w:ilvl w:val="0"/>
          <w:numId w:val="1"/>
        </w:numPr>
      </w:pPr>
      <w:r>
        <w:t>Jetzt:</w:t>
      </w:r>
    </w:p>
    <w:p w14:paraId="3350A805" w14:textId="77777777" w:rsidR="004E4CC2" w:rsidRDefault="00000000">
      <w:pPr>
        <w:pStyle w:val="SourceCode"/>
        <w:numPr>
          <w:ilvl w:val="0"/>
          <w:numId w:val="1"/>
        </w:numPr>
      </w:pPr>
      <w:r>
        <w:rPr>
          <w:rStyle w:val="VerbatimChar"/>
        </w:rPr>
        <w:t>Ein negativer Rest $E_{\mathrm{Z}}-E_{\mathrm{V}}$ wird als zentrale Unterdeckung ausgewiesen. Ein Rest oberhalb des MIV-Bedarfs bleibt unverteilt.</w:t>
      </w:r>
    </w:p>
    <w:p w14:paraId="384AA22E" w14:textId="77777777" w:rsidR="004E4CC2" w:rsidRDefault="00000000">
      <w:pPr>
        <w:numPr>
          <w:ilvl w:val="0"/>
          <w:numId w:val="13"/>
        </w:numPr>
      </w:pPr>
      <w:r>
        <w:rPr>
          <w:b/>
          <w:bCs/>
        </w:rPr>
        <w:t>Kapitel/03-allokation.qmd, Ausgangszeile 72: Umformulierung / Umgliederung.</w:t>
      </w:r>
    </w:p>
    <w:p w14:paraId="223C9ACD" w14:textId="77777777" w:rsidR="004E4CC2" w:rsidRDefault="00000000">
      <w:pPr>
        <w:numPr>
          <w:ilvl w:val="0"/>
          <w:numId w:val="1"/>
        </w:numPr>
      </w:pPr>
      <w:r>
        <w:t>Bisher:</w:t>
      </w:r>
    </w:p>
    <w:p w14:paraId="0A0B6705" w14:textId="77777777" w:rsidR="004E4CC2" w:rsidRDefault="00000000">
      <w:pPr>
        <w:pStyle w:val="SourceCode"/>
        <w:numPr>
          <w:ilvl w:val="0"/>
          <w:numId w:val="1"/>
        </w:numPr>
      </w:pPr>
      <w:r>
        <w:rPr>
          <w:rStyle w:val="VerbatimChar"/>
        </w:rPr>
        <w:t>B_{\mathrm{Geb,Ziel}}^{\mathrm{el}}</w:t>
      </w:r>
      <w:r>
        <w:br/>
      </w:r>
      <w:r>
        <w:rPr>
          <w:rStyle w:val="VerbatimChar"/>
        </w:rPr>
        <w:t>=E_{\mathrm{PV,Geb}}^{\mathrm{el}}</w:t>
      </w:r>
      <w:r>
        <w:br/>
      </w:r>
      <w:r>
        <w:rPr>
          <w:rStyle w:val="VerbatimChar"/>
        </w:rPr>
        <w:t>+E_{\mathrm{MIV,Budget}}^{\mathrm{el}}</w:t>
      </w:r>
      <w:r>
        <w:br/>
      </w:r>
      <w:r>
        <w:rPr>
          <w:rStyle w:val="VerbatimChar"/>
        </w:rPr>
        <w:t>-E_{\mathrm{Geb,Betrieb}}^{\mathrm{el}}</w:t>
      </w:r>
      <w:r>
        <w:br/>
      </w:r>
      <w:r>
        <w:rPr>
          <w:rStyle w:val="VerbatimChar"/>
        </w:rPr>
        <w:t>-E_{\mathrm{MIV}}^{\mathrm{el}}.</w:t>
      </w:r>
    </w:p>
    <w:p w14:paraId="727BD54C" w14:textId="77777777" w:rsidR="004E4CC2" w:rsidRDefault="00000000">
      <w:pPr>
        <w:numPr>
          <w:ilvl w:val="0"/>
          <w:numId w:val="1"/>
        </w:numPr>
      </w:pPr>
      <w:r>
        <w:t>Jetzt:</w:t>
      </w:r>
    </w:p>
    <w:p w14:paraId="13B2C471" w14:textId="77777777" w:rsidR="004E4CC2" w:rsidRDefault="00000000">
      <w:pPr>
        <w:pStyle w:val="SourceCode"/>
        <w:numPr>
          <w:ilvl w:val="0"/>
          <w:numId w:val="1"/>
        </w:numPr>
      </w:pPr>
      <w:r>
        <w:rPr>
          <w:rStyle w:val="VerbatimChar"/>
        </w:rPr>
        <w:t>B_{\mathrm{Geb,Ziel}}=E_{\mathrm{PV,Geb}}+G_{\mathrm{MIV}}-E_{\mathrm{Geb}}-E_{\mathrm{MIV}}.</w:t>
      </w:r>
    </w:p>
    <w:p w14:paraId="4C26D208" w14:textId="77777777" w:rsidR="004E4CC2" w:rsidRDefault="00000000">
      <w:pPr>
        <w:numPr>
          <w:ilvl w:val="0"/>
          <w:numId w:val="13"/>
        </w:numPr>
      </w:pPr>
      <w:r>
        <w:rPr>
          <w:b/>
          <w:bCs/>
        </w:rPr>
        <w:t>Kapitel/03-allokation.qmd, Ausgangszeile 79: Umformulierung / Umgliederung.</w:t>
      </w:r>
    </w:p>
    <w:p w14:paraId="0854527A" w14:textId="77777777" w:rsidR="004E4CC2" w:rsidRDefault="00000000">
      <w:pPr>
        <w:numPr>
          <w:ilvl w:val="0"/>
          <w:numId w:val="1"/>
        </w:numPr>
      </w:pPr>
      <w:r>
        <w:t>Bisher:</w:t>
      </w:r>
    </w:p>
    <w:p w14:paraId="25ECD66F" w14:textId="77777777" w:rsidR="004E4CC2" w:rsidRDefault="00000000">
      <w:pPr>
        <w:pStyle w:val="SourceCode"/>
        <w:numPr>
          <w:ilvl w:val="0"/>
          <w:numId w:val="1"/>
        </w:numPr>
      </w:pPr>
      <w:r>
        <w:rPr>
          <w:rStyle w:val="VerbatimChar"/>
        </w:rPr>
        <w:t>Ob weitere Strombedarfe oder Zuordnungen hinzukommen, ist am UBA-Sektormodell zu prüfen. Diese Gleichung wird im folgenden Rechenanhang für ausdrücklich gesetzte Annahmen ausgewertet. Der nationale Abgleich erfolgt zunächst auf elektrischer Endenergiebasis. Die spätere Bewertung mit heutigen Primärenergiefaktoren bleibt ein eigener Schritt; elektrische und primärenergetische Größen dürfen nicht unmittelbar gleichgesetzt werden.</w:t>
      </w:r>
    </w:p>
    <w:p w14:paraId="09EB1813" w14:textId="77777777" w:rsidR="004E4CC2" w:rsidRDefault="00000000">
      <w:pPr>
        <w:numPr>
          <w:ilvl w:val="0"/>
          <w:numId w:val="1"/>
        </w:numPr>
      </w:pPr>
      <w:r>
        <w:t>Jetzt:</w:t>
      </w:r>
    </w:p>
    <w:p w14:paraId="1B0749C7" w14:textId="77777777" w:rsidR="004E4CC2" w:rsidRDefault="00000000">
      <w:pPr>
        <w:pStyle w:val="SourceCode"/>
        <w:numPr>
          <w:ilvl w:val="0"/>
          <w:numId w:val="1"/>
        </w:numPr>
      </w:pPr>
      <w:r>
        <w:rPr>
          <w:rStyle w:val="VerbatimChar"/>
        </w:rPr>
        <w:t>Im Referenzfall: $149+24-108-72=-7$ PJ/a. Ohne MIV beträgt der Gebäudesaldo $149-108=+41$ PJ/a. Das MIV-Budget von 24 PJ/a entspricht 6,667 TWh/a.</w:t>
      </w:r>
    </w:p>
    <w:p w14:paraId="01A6059A" w14:textId="77777777" w:rsidR="004E4CC2" w:rsidRDefault="00000000">
      <w:pPr>
        <w:numPr>
          <w:ilvl w:val="0"/>
          <w:numId w:val="13"/>
        </w:numPr>
      </w:pPr>
      <w:r>
        <w:rPr>
          <w:b/>
          <w:bCs/>
        </w:rPr>
        <w:t>Kapitel/03-allokation.qmd, Ausgangszeile 81: Umformulierung / Umgliederung.</w:t>
      </w:r>
    </w:p>
    <w:p w14:paraId="5931A229" w14:textId="77777777" w:rsidR="004E4CC2" w:rsidRDefault="00000000">
      <w:pPr>
        <w:numPr>
          <w:ilvl w:val="0"/>
          <w:numId w:val="1"/>
        </w:numPr>
      </w:pPr>
      <w:r>
        <w:t>Bisher:</w:t>
      </w:r>
    </w:p>
    <w:p w14:paraId="6026E818" w14:textId="77777777" w:rsidR="004E4CC2" w:rsidRDefault="00000000">
      <w:pPr>
        <w:pStyle w:val="SourceCode"/>
        <w:numPr>
          <w:ilvl w:val="0"/>
          <w:numId w:val="1"/>
        </w:numPr>
      </w:pPr>
      <w:r>
        <w:rPr>
          <w:rStyle w:val="VerbatimChar"/>
        </w:rPr>
        <w:t>## Vorläufige quantitative Allokation {#sec-allokation-ergebnisse}</w:t>
      </w:r>
    </w:p>
    <w:p w14:paraId="4FA2C6EC" w14:textId="77777777" w:rsidR="004E4CC2" w:rsidRDefault="00000000">
      <w:pPr>
        <w:numPr>
          <w:ilvl w:val="0"/>
          <w:numId w:val="1"/>
        </w:numPr>
      </w:pPr>
      <w:r>
        <w:t>Jetzt:</w:t>
      </w:r>
    </w:p>
    <w:p w14:paraId="32B61C49" w14:textId="77777777" w:rsidR="004E4CC2" w:rsidRDefault="00000000">
      <w:pPr>
        <w:pStyle w:val="SourceCode"/>
        <w:numPr>
          <w:ilvl w:val="0"/>
          <w:numId w:val="1"/>
        </w:numPr>
      </w:pPr>
      <w:r>
        <w:rPr>
          <w:rStyle w:val="VerbatimChar"/>
        </w:rPr>
        <w:lastRenderedPageBreak/>
        <w:t>## Quantitative Allokation und Stellschrauben {#sec-allokation-ergebnisse}</w:t>
      </w:r>
    </w:p>
    <w:p w14:paraId="0F67DA1D" w14:textId="77777777" w:rsidR="004E4CC2" w:rsidRDefault="00000000">
      <w:pPr>
        <w:numPr>
          <w:ilvl w:val="0"/>
          <w:numId w:val="13"/>
        </w:numPr>
      </w:pPr>
      <w:r>
        <w:rPr>
          <w:b/>
          <w:bCs/>
        </w:rPr>
        <w:t>Kapitel/03-allokation.qmd, Ausgangszeile 83: Umformulierung / Umgliederung.</w:t>
      </w:r>
    </w:p>
    <w:p w14:paraId="1E2749DA" w14:textId="77777777" w:rsidR="004E4CC2" w:rsidRDefault="00000000">
      <w:pPr>
        <w:numPr>
          <w:ilvl w:val="0"/>
          <w:numId w:val="1"/>
        </w:numPr>
      </w:pPr>
      <w:r>
        <w:t>Bisher:</w:t>
      </w:r>
    </w:p>
    <w:p w14:paraId="6448F654" w14:textId="77777777" w:rsidR="004E4CC2" w:rsidRDefault="00000000">
      <w:pPr>
        <w:pStyle w:val="SourceCode"/>
        <w:numPr>
          <w:ilvl w:val="0"/>
          <w:numId w:val="1"/>
        </w:numPr>
      </w:pPr>
      <w:r>
        <w:rPr>
          <w:rStyle w:val="VerbatimChar"/>
        </w:rPr>
        <w:t>Der ausführbare Anhang @sec-allokation-notebook enthält die vollständigen Berechnungen, Parameter und Bilanzkontrollen. Grundlage sind REP-0880 Tabelle 15 (S. 60) und Tabelle 16 (S. 63). Das Modell arbeitet mit 457 PJ Stromerzeugung, 7 PJ Nettoexport und 452 PJ Bedarfskomponenten. Die publizierte Bedarfssumme beträgt 450 PJ; der Komponentenrest von −2 PJ wird erhalten [@uba2023transition].</w:t>
      </w:r>
    </w:p>
    <w:p w14:paraId="5E1ECEF4" w14:textId="77777777" w:rsidR="004E4CC2" w:rsidRDefault="00000000">
      <w:pPr>
        <w:numPr>
          <w:ilvl w:val="0"/>
          <w:numId w:val="1"/>
        </w:numPr>
      </w:pPr>
      <w:r>
        <w:t>Jetzt:</w:t>
      </w:r>
    </w:p>
    <w:p w14:paraId="5EF649B2" w14:textId="77777777" w:rsidR="004E4CC2" w:rsidRDefault="00000000">
      <w:pPr>
        <w:pStyle w:val="SourceCode"/>
        <w:numPr>
          <w:ilvl w:val="0"/>
          <w:numId w:val="1"/>
        </w:numPr>
      </w:pPr>
      <w:r>
        <w:rPr>
          <w:rStyle w:val="VerbatimChar"/>
        </w:rPr>
        <w:t>Die Rechnung verwendet 457 PJ/a Erzeugung, 7 PJ/a Nettoexport und 452 PJ/a Bedarfskomponenten. Der Rest von −2 PJ/a bleibt in der nationalen Zuordnungsbilanz erhalten. Die veröffentlichten Summen und ihre Rundungsreste stehen in @sec-szenariotabellen.</w:t>
      </w:r>
    </w:p>
    <w:p w14:paraId="29761073" w14:textId="77777777" w:rsidR="004E4CC2" w:rsidRDefault="00000000">
      <w:pPr>
        <w:numPr>
          <w:ilvl w:val="0"/>
          <w:numId w:val="13"/>
        </w:numPr>
      </w:pPr>
      <w:r>
        <w:rPr>
          <w:b/>
          <w:bCs/>
        </w:rPr>
        <w:t>Kapitel/03-allokation.qmd, Ausgangszeile 85: Umformulierung / Umgliederung.</w:t>
      </w:r>
    </w:p>
    <w:p w14:paraId="3161DD00" w14:textId="77777777" w:rsidR="004E4CC2" w:rsidRDefault="00000000">
      <w:pPr>
        <w:numPr>
          <w:ilvl w:val="0"/>
          <w:numId w:val="1"/>
        </w:numPr>
      </w:pPr>
      <w:r>
        <w:t>Bisher:</w:t>
      </w:r>
    </w:p>
    <w:p w14:paraId="12681EF2" w14:textId="77777777" w:rsidR="004E4CC2" w:rsidRDefault="00000000">
      <w:pPr>
        <w:pStyle w:val="SourceCode"/>
        <w:numPr>
          <w:ilvl w:val="0"/>
          <w:numId w:val="1"/>
        </w:numPr>
      </w:pPr>
      <w:r>
        <w:rPr>
          <w:rStyle w:val="VerbatimChar"/>
        </w:rPr>
        <w:t>### Rechenannahmen und gemeinsamer nationaler Saldo</w:t>
      </w:r>
      <w:r>
        <w:br/>
      </w:r>
      <w:r>
        <w:br/>
      </w:r>
      <w:r>
        <w:rPr>
          <w:rStyle w:val="VerbatimChar"/>
        </w:rPr>
        <w:t>Das **vorläufige Rechenbeispiel** ordnet die gesamte PV-Erzeugung den Gebäuden zu und teilt den elektrischen Verkehrsbedarf in 80 % MIV und 20 % ÖPNV. Diese Anteile sind keine UBA-Ergebnisse oder bereits beschlossenen Vorgaben. Andere Verkehrsbedarfe bleiben als eigene parametrierbare Kategorie vorgesehen; ihr Nullanteil gilt nur im Beispiel.</w:t>
      </w:r>
      <w:r>
        <w:br/>
      </w:r>
      <w:r>
        <w:br/>
      </w:r>
      <w:r>
        <w:rPr>
          <w:rStyle w:val="VerbatimChar"/>
        </w:rPr>
        <w:t>Dem zentralen Pool werden Wasser (173 PJ), Wind (105 PJ), Biomasse (21 PJ) und vorläufig die gesamte normierte Position Geothermie/sonstige (4 PJ) zugeordnet. Die 4 PJ Wasserstoff-Rückverstromung bleiben mangels dokumentierter Herkunft zunächst außerhalb des budgetfähigen Pools; ihre volle Anrechnung wird als eigene Variante gezeigt. Die fossile Erzeugung von 1 PJ bleibt separat. Diese Zuordnung ist eine Rechenannahme, kein Herkunftsnachweis einzelner Strommengen.</w:t>
      </w:r>
      <w:r>
        <w:br/>
      </w:r>
      <w:r>
        <w:br/>
      </w:r>
      <w:r>
        <w:rPr>
          <w:rStyle w:val="VerbatimChar"/>
        </w:rPr>
        <w:t>| Rechenschritt im Beispiel | Elektrische Jahresenergie [PJ/a] |</w:t>
      </w:r>
      <w:r>
        <w:br/>
      </w:r>
      <w:r>
        <w:rPr>
          <w:rStyle w:val="VerbatimChar"/>
        </w:rPr>
        <w:t>|---|---:|</w:t>
      </w:r>
      <w:r>
        <w:br/>
      </w:r>
      <w:r>
        <w:rPr>
          <w:rStyle w:val="VerbatimChar"/>
        </w:rPr>
        <w:t>| Zentral budgetfähige Erzeugung | 303 |</w:t>
      </w:r>
      <w:r>
        <w:br/>
      </w:r>
      <w:r>
        <w:rPr>
          <w:rStyle w:val="VerbatimChar"/>
        </w:rPr>
        <w:t>| Industrie | −140 |</w:t>
      </w:r>
      <w:r>
        <w:br/>
      </w:r>
      <w:r>
        <w:rPr>
          <w:rStyle w:val="VerbatimChar"/>
        </w:rPr>
        <w:t>| Landwirtschaft | −4 |</w:t>
      </w:r>
      <w:r>
        <w:br/>
      </w:r>
      <w:r>
        <w:rPr>
          <w:rStyle w:val="VerbatimChar"/>
        </w:rPr>
        <w:t>| Verbrauch des Energiesektors | −34 |</w:t>
      </w:r>
      <w:r>
        <w:br/>
      </w:r>
      <w:r>
        <w:rPr>
          <w:rStyle w:val="VerbatimChar"/>
        </w:rPr>
        <w:t>| Umwandlungseinsatz | −57 |</w:t>
      </w:r>
      <w:r>
        <w:br/>
      </w:r>
      <w:r>
        <w:rPr>
          <w:rStyle w:val="VerbatimChar"/>
        </w:rPr>
        <w:t>| Transportverluste | −19 |</w:t>
      </w:r>
      <w:r>
        <w:br/>
      </w:r>
      <w:r>
        <w:rPr>
          <w:rStyle w:val="VerbatimChar"/>
        </w:rPr>
        <w:t>| Nettoexport | −7 |</w:t>
      </w:r>
      <w:r>
        <w:br/>
      </w:r>
      <w:r>
        <w:rPr>
          <w:rStyle w:val="VerbatimChar"/>
        </w:rPr>
        <w:t>| ÖPNV, hier 20 % von 90 PJ Verkehr | −18 |</w:t>
      </w:r>
      <w:r>
        <w:br/>
      </w:r>
      <w:r>
        <w:rPr>
          <w:rStyle w:val="VerbatimChar"/>
        </w:rPr>
        <w:lastRenderedPageBreak/>
        <w:t>| **Verbleibendes MIV-Budget** | **24** |</w:t>
      </w:r>
      <w:r>
        <w:br/>
      </w:r>
      <w:r>
        <w:br/>
      </w:r>
      <w:r>
        <w:rPr>
          <w:rStyle w:val="VerbatimChar"/>
        </w:rPr>
        <w:t>Die Systembedarfe und der Nettoexport werden in diesem Modell einmalig vorrangig aus dem zentralen Pool finanziert. Eine alternative Priorität wäre eine zusätzliche normative Entscheidung. Bei Anrechnung der Rückverstromung bleibt der Umwandlungseinsatz bestehen; er wird nicht zusätzlich als Erzeugung behandelt.</w:t>
      </w:r>
      <w:r>
        <w:br/>
      </w:r>
      <w:r>
        <w:br/>
      </w:r>
      <w:r>
        <w:rPr>
          <w:rStyle w:val="VerbatimChar"/>
        </w:rPr>
        <w:t>Bei 149 PJ Gebäude-PV und 108 PJ Betriebsstrombedarf beträgt der betriebliche Gebäudesaldo +41 PJ/a. Mit 72 PJ MIV-Bedarf und 24 PJ einmalig zugeordnetem MIV-Budget ergibt sich für die **erweiterte Bilanzgrenze Gebäude einschließlich MIV ein Zielsaldo von −7 PJ/a**. Das elektrische MIV-Budget entspricht **6,667 TWh/a**. Es ist noch keine Primärenergie- oder flächenbezogene Gutschrift.</w:t>
      </w:r>
      <w:r>
        <w:br/>
      </w:r>
      <w:r>
        <w:br/>
      </w:r>
      <w:r>
        <w:rPr>
          <w:rStyle w:val="VerbatimChar"/>
        </w:rPr>
        <w:t>### Stellschrauben und Grenzen</w:t>
      </w:r>
    </w:p>
    <w:p w14:paraId="3F77EA81" w14:textId="77777777" w:rsidR="004E4CC2" w:rsidRDefault="00000000">
      <w:pPr>
        <w:numPr>
          <w:ilvl w:val="0"/>
          <w:numId w:val="1"/>
        </w:numPr>
      </w:pPr>
      <w:r>
        <w:t>Jetzt:</w:t>
      </w:r>
    </w:p>
    <w:p w14:paraId="766C205D" w14:textId="77777777" w:rsidR="004E4CC2" w:rsidRDefault="00000000">
      <w:pPr>
        <w:pStyle w:val="SourceCode"/>
        <w:numPr>
          <w:ilvl w:val="0"/>
          <w:numId w:val="1"/>
        </w:numPr>
      </w:pPr>
      <w:r>
        <w:rPr>
          <w:rStyle w:val="VerbatimChar"/>
        </w:rPr>
        <w:t>Die folgenden Tabellen zeigen **Gesamtmenge und Teilmengen**. Alle Werte sind PJ Strom/a. PV-Anteile beziehen sich auf die nationale PV-Erzeugung; Verkehrsanteile auf den nationalen elektrischen Verkehrsbedarf. Die gewählten Anteile sind Varianten des Modells, keine von UBA veröffentlichten Aufteilungen.</w:t>
      </w:r>
    </w:p>
    <w:p w14:paraId="2D229742" w14:textId="77777777" w:rsidR="004E4CC2" w:rsidRDefault="00000000">
      <w:pPr>
        <w:numPr>
          <w:ilvl w:val="0"/>
          <w:numId w:val="13"/>
        </w:numPr>
      </w:pPr>
      <w:r>
        <w:rPr>
          <w:b/>
          <w:bCs/>
        </w:rPr>
        <w:t>Kapitel/03-allokation.qmd, Ausgangszeile 111: Umformulierung / Umgliederung.</w:t>
      </w:r>
    </w:p>
    <w:p w14:paraId="2311820A" w14:textId="77777777" w:rsidR="004E4CC2" w:rsidRDefault="00000000">
      <w:pPr>
        <w:numPr>
          <w:ilvl w:val="0"/>
          <w:numId w:val="1"/>
        </w:numPr>
      </w:pPr>
      <w:r>
        <w:t>Bisher:</w:t>
      </w:r>
    </w:p>
    <w:p w14:paraId="71B682E9" w14:textId="77777777" w:rsidR="004E4CC2" w:rsidRDefault="00000000">
      <w:pPr>
        <w:pStyle w:val="SourceCode"/>
        <w:numPr>
          <w:ilvl w:val="0"/>
          <w:numId w:val="1"/>
        </w:numPr>
      </w:pPr>
      <w:r>
        <w:rPr>
          <w:rStyle w:val="VerbatimChar"/>
        </w:rPr>
        <w:t>![Auswirkung weniger expliziter Rechenvarianten auf elektrisches MIV-Budget und erweiterten Gebäudesektorsaldo. Der Fall mit 40 % MIV enthält einen ungedeckten zentralen Bedarf und ist keine geschlossene Deckungszuordnung.](../Berechnungen/sektorenmodell/outputs/allokation/allokation_varianten.png){#fig-allokation-varianten width="100%"}</w:t>
      </w:r>
      <w:r>
        <w:br/>
      </w:r>
      <w:r>
        <w:br/>
      </w:r>
      <w:r>
        <w:rPr>
          <w:rStyle w:val="VerbatimChar"/>
        </w:rPr>
        <w:t>Mit \(f\) als Anteil der PV außerhalb von Gebäuden, \(m\) als elektrischem MIV-Anteil und \(h\) als angerechnetem Anteil der 4 PJ Rückverstromung gilt für die oben gewählten übrigen Zuordnungen:</w:t>
      </w:r>
      <w:r>
        <w:br/>
      </w:r>
      <w:r>
        <w:br/>
      </w:r>
      <w:r>
        <w:rPr>
          <w:rStyle w:val="VerbatimChar"/>
        </w:rPr>
        <w:t>$$</w:t>
      </w:r>
      <w:r>
        <w:br/>
      </w:r>
      <w:r>
        <w:rPr>
          <w:rStyle w:val="VerbatimChar"/>
        </w:rPr>
        <w:t>E_{MIV,Budget}^{el}=90m-48+4h,\qquad B_{Geb,Ziel}^{el}=-7+4h-149f.</w:t>
      </w:r>
      <w:r>
        <w:br/>
      </w:r>
      <w:r>
        <w:rPr>
          <w:rStyle w:val="VerbatimChar"/>
        </w:rPr>
        <w:t>$$</w:t>
      </w:r>
      <w:r>
        <w:br/>
      </w:r>
      <w:r>
        <w:br/>
      </w:r>
      <w:r>
        <w:rPr>
          <w:rStyle w:val="VerbatimChar"/>
        </w:rPr>
        <w:t>Diese vereinfachten Beziehungen gelten nur, solange der zentrale Rest nicht negativ ist und das Budget den MIV-Bedarf nicht überschreitet. Der ausführbare Algorithmus weist bei einem negativen Rest einen Fehlbetrag aus und vergibt keine negative Gutschrift. Ein überschüssiger Rest oberhalb des MIV-Bedarfs bliebe unverteilt. Bei gedeckter Priorität heben sich Änderungen des MIV-Bedarfs und seiner zugeordneten Deckung im Gebäudesaldo auf; sie verändern dennoch das MIV-Budget.</w:t>
      </w:r>
      <w:r>
        <w:br/>
      </w:r>
      <w:r>
        <w:br/>
      </w:r>
      <w:r>
        <w:rPr>
          <w:rStyle w:val="VerbatimChar"/>
        </w:rPr>
        <w:lastRenderedPageBreak/>
        <w:t>PV außerhalb von Gebäuden bleibt in diesen Varianten ein **noch nicht zugeordneter Pool**. Ihr Betrag wird weder dem nicht-PV-Mobilitätsbudget zugeschlagen noch aus der nationalen Prüfung entfernt. Der Gebäudesaldo plus verbleibender zentraler Rest plus andere PV plus nicht budgetfähige Erzeugung entspricht in allen Fällen dem Quellenrest von −2 PJ. Die Abhängigkeit von \(f\) bedeutet somit nicht, dass andere PV national verloren geht, sondern dass ihre Zuteilung noch aussteht.</w:t>
      </w:r>
      <w:r>
        <w:br/>
      </w:r>
      <w:r>
        <w:br/>
      </w:r>
      <w:r>
        <w:rPr>
          <w:rStyle w:val="VerbatimChar"/>
        </w:rPr>
        <w:t>### Endenergiezuordnung und spätere Primärenergiebewertung</w:t>
      </w:r>
      <w:r>
        <w:br/>
      </w:r>
      <w:r>
        <w:br/>
      </w:r>
      <w:r>
        <w:rPr>
          <w:rStyle w:val="VerbatimChar"/>
        </w:rPr>
        <w:t>Die sektorale Zuordnung für 2040 erfolgt hier auf elektrischer Endenergiebasis. Eine nachgelagerte PE-Bewertung soll mit einem dokumentierten heutigen Konversionsfaktorensatz die Vergleichbarkeit mit heutigen Nachweisverfahren herstellen. Sie ist keine Prognose der Primärenergieintensität 2040. Ohne belegte Faktoren, Zeitgewichtung, Nutzungsanteile und Flächen wird aus dem elektrischen MIV-Budget keine neue spezifische PE-Gutschrift berechnet. Die historische Operationalisierung wird nicht durch dieses Rechenbeispiel ersetzt.</w:t>
      </w:r>
      <w:r>
        <w:br/>
      </w:r>
      <w:r>
        <w:br/>
      </w:r>
      <w:r>
        <w:rPr>
          <w:rStyle w:val="VerbatimChar"/>
        </w:rPr>
        <w:t>Die Bottom-up-Gebäudesektorrechnung liegt inzwischen auf Basis der aktualisierten Typologie-Excel vor (@sec-gebaeudebestand; @sec-gebaeudesektormodell). Der gelieferte Pool erreicht einen betrieblichen Stromsaldo von −59,25 PJ/a; unter derselben MIV-Zuordnung ergibt sich −107,25 PJ/a und damit ein Abstand von −100,25 PJ/a zum hier dargestellten Top-down-Beispiel. Die Festlegung der PEQ-Anteile, der PV-Ausstattung und der Dichtekalibrierung bleibt offen. Die Differenz ist kein Rundungsrest und wird nicht durch eine zusätzliche Gutschrift geschlossen.</w:t>
      </w:r>
      <w:r>
        <w:br/>
      </w:r>
      <w:r>
        <w:br/>
      </w:r>
      <w:r>
        <w:rPr>
          <w:rStyle w:val="VerbatimChar"/>
        </w:rPr>
        <w:t>## Bilanzschluss, Konsistenz und Freigabe der Kalibriergrundlage</w:t>
      </w:r>
      <w:r>
        <w:br/>
      </w:r>
      <w:r>
        <w:br/>
      </w:r>
      <w:r>
        <w:rPr>
          <w:rStyle w:val="VerbatimChar"/>
        </w:rPr>
        <w:t>Vor der Übernahme in @sec-kalibrierung sind sowohl die nationalen Stromsummen als auch die Zuordnungen zu schließen: Erzeugung und Bedarf laut Quelle, zugeordnete Mengen je Pool und Sektor, separat ausgewiesene Rest- und Verlustpositionen sowie Umrechnung in die für die Quartiersbewertung relevanten Größen. Die Summe der sektoralen Ansprüche darf verfügbare erneuerbare Ressourcen nicht mehrfach beanspruchen.</w:t>
      </w:r>
      <w:r>
        <w:br/>
      </w:r>
      <w:r>
        <w:br/>
      </w:r>
      <w:r>
        <w:rPr>
          <w:rStyle w:val="VerbatimChar"/>
        </w:rPr>
        <w:t>::: {.callout-important title="Noch abzustimmende Allokationsparameter"}</w:t>
      </w:r>
      <w:r>
        <w:br/>
      </w:r>
      <w:r>
        <w:rPr>
          <w:rStyle w:val="VerbatimChar"/>
        </w:rPr>
        <w:t>**Offen:** genaue Zuordnung der UBA-Technologien zur zentralen Nettoerzeugung; Anteil Gebäude-PV versus übrige PV; nachgewiesene Zerlegung des Verkehrs in MIV/ÖPNV/übrigen Verkehr; Behandlung von Umwandlungs- und Speicherpositionen; primärenergetische Umrechnung; schließlich der abgestimmte nationale Gebäudesektorsaldo und das MIV-Budget. Die vorläufigen Zahlen in @sec-allokation-ergebnisse sind ausdrücklich bedingte Rechenergebnisse; sie werden nicht als gültige PEQ-Gutschriften oder freigegebene Zielwerte ausgegeben.</w:t>
      </w:r>
    </w:p>
    <w:p w14:paraId="01C91737" w14:textId="77777777" w:rsidR="004E4CC2" w:rsidRDefault="00000000">
      <w:pPr>
        <w:numPr>
          <w:ilvl w:val="0"/>
          <w:numId w:val="1"/>
        </w:numPr>
      </w:pPr>
      <w:r>
        <w:t>Jetzt:</w:t>
      </w:r>
    </w:p>
    <w:p w14:paraId="1A8C421E" w14:textId="77777777" w:rsidR="004E4CC2" w:rsidRDefault="00000000">
      <w:pPr>
        <w:pStyle w:val="SourceCode"/>
        <w:numPr>
          <w:ilvl w:val="0"/>
          <w:numId w:val="1"/>
        </w:numPr>
      </w:pPr>
      <w:r>
        <w:rPr>
          <w:rStyle w:val="VerbatimChar"/>
        </w:rPr>
        <w:lastRenderedPageBreak/>
        <w:t>::: {.content-visible when-format="html"}</w:t>
      </w:r>
      <w:r>
        <w:br/>
      </w:r>
      <w:r>
        <w:rPr>
          <w:rStyle w:val="VerbatimChar"/>
        </w:rPr>
        <w:t>```{=html}</w:t>
      </w:r>
      <w:r>
        <w:br/>
      </w:r>
      <w:r>
        <w:rPr>
          <w:rStyle w:val="VerbatimChar"/>
        </w:rPr>
        <w:t>&lt;iframe src="../Abbildungen/methodik/allokation_deckung.html" title="Bedarf und Deckung von Gebäude und MIV je Variante" style="width:100%;height:690px;border:0" loading="lazy"&gt;&lt;/iframe&gt;</w:t>
      </w:r>
      <w:r>
        <w:br/>
      </w:r>
      <w:r>
        <w:rPr>
          <w:rStyle w:val="VerbatimChar"/>
        </w:rPr>
        <w:t>```</w:t>
      </w:r>
      <w:r>
        <w:br/>
      </w:r>
      <w:r>
        <w:rPr>
          <w:rStyle w:val="VerbatimChar"/>
        </w:rPr>
        <w:t>[Grafik separat öffnen](../Abbildungen/methodik/allokation_deckung.html)</w:t>
      </w:r>
    </w:p>
    <w:p w14:paraId="11D14807" w14:textId="77777777" w:rsidR="004E4CC2" w:rsidRDefault="00000000">
      <w:pPr>
        <w:numPr>
          <w:ilvl w:val="0"/>
          <w:numId w:val="13"/>
        </w:numPr>
      </w:pPr>
      <w:r>
        <w:rPr>
          <w:b/>
          <w:bCs/>
        </w:rPr>
        <w:t>Kapitel/03-allokation.qmd, Ausgangszeile 137: Umformulierung / Umgliederung.</w:t>
      </w:r>
    </w:p>
    <w:p w14:paraId="24C4F7D5" w14:textId="77777777" w:rsidR="004E4CC2" w:rsidRDefault="00000000">
      <w:pPr>
        <w:numPr>
          <w:ilvl w:val="0"/>
          <w:numId w:val="1"/>
        </w:numPr>
      </w:pPr>
      <w:r>
        <w:t>Bisher:</w:t>
      </w:r>
    </w:p>
    <w:p w14:paraId="33645E34" w14:textId="77777777" w:rsidR="004E4CC2" w:rsidRDefault="00000000">
      <w:pPr>
        <w:pStyle w:val="SourceCode"/>
        <w:numPr>
          <w:ilvl w:val="0"/>
          <w:numId w:val="1"/>
        </w:numPr>
      </w:pPr>
      <w:r>
        <w:rPr>
          <w:rStyle w:val="VerbatimChar"/>
        </w:rPr>
        <w:t>::: {.callout-note title="Historische Referenz – keine aktuelle Kalibrierung"}</w:t>
      </w:r>
      <w:r>
        <w:br/>
      </w:r>
      <w:r>
        <w:rPr>
          <w:rStyle w:val="VerbatimChar"/>
        </w:rPr>
        <w:t>Die Streicher-basierte Operationalisierung 2023 wies dem Gebäudesektor 114,8 PJ/a PV-Erzeugung und 137,6 PJ/a Strombedarf nach sektoraler Zuordnung zu; daraus ergab sich ein Saldo von rund −22,7 PJ/a [@schneider2023context, Tab. 6]. Diese Größen dienen ausschließlich der Nachvollziehbarkeit der ursprünglichen Methode und werden **nicht** auf UBA Transition 2040 übertragen.</w:t>
      </w:r>
    </w:p>
    <w:p w14:paraId="2C7EB0BB" w14:textId="77777777" w:rsidR="004E4CC2" w:rsidRDefault="00000000">
      <w:pPr>
        <w:numPr>
          <w:ilvl w:val="0"/>
          <w:numId w:val="1"/>
        </w:numPr>
      </w:pPr>
      <w:r>
        <w:t>Jetzt:</w:t>
      </w:r>
    </w:p>
    <w:p w14:paraId="134EC67C" w14:textId="77777777" w:rsidR="004E4CC2" w:rsidRDefault="00000000">
      <w:pPr>
        <w:pStyle w:val="SourceCode"/>
        <w:numPr>
          <w:ilvl w:val="0"/>
          <w:numId w:val="1"/>
        </w:numPr>
      </w:pPr>
      <w:r>
        <w:rPr>
          <w:rStyle w:val="VerbatimChar"/>
        </w:rPr>
        <w:t>::: {.content-visible when-format="html"}</w:t>
      </w:r>
      <w:r>
        <w:br/>
      </w:r>
      <w:r>
        <w:rPr>
          <w:rStyle w:val="VerbatimChar"/>
        </w:rPr>
        <w:t>```{=html}</w:t>
      </w:r>
      <w:r>
        <w:br/>
      </w:r>
      <w:r>
        <w:rPr>
          <w:rStyle w:val="VerbatimChar"/>
        </w:rPr>
        <w:t>&lt;iframe src="../Abbildungen/methodik/allokation_saldo.html" title="Saldo und zentrale Unterdeckung je Variante" style="width:100%;height:620px;border:0" loading="lazy"&gt;&lt;/iframe&gt;</w:t>
      </w:r>
      <w:r>
        <w:br/>
      </w:r>
      <w:r>
        <w:rPr>
          <w:rStyle w:val="VerbatimChar"/>
        </w:rPr>
        <w:t>```</w:t>
      </w:r>
      <w:r>
        <w:br/>
      </w:r>
      <w:r>
        <w:rPr>
          <w:rStyle w:val="VerbatimChar"/>
        </w:rPr>
        <w:t>[Grafik separat öffnen](../Abbildungen/methodik/allokation_saldo.html)</w:t>
      </w:r>
    </w:p>
    <w:p w14:paraId="502140A3" w14:textId="77777777" w:rsidR="004E4CC2" w:rsidRDefault="00000000">
      <w:pPr>
        <w:numPr>
          <w:ilvl w:val="0"/>
          <w:numId w:val="13"/>
        </w:numPr>
      </w:pPr>
      <w:r>
        <w:rPr>
          <w:b/>
          <w:bCs/>
        </w:rPr>
        <w:t>Kapitel/03-allokation.qmd, Ausgangszeile 140: Ergänzung.</w:t>
      </w:r>
    </w:p>
    <w:p w14:paraId="26B992E5" w14:textId="77777777" w:rsidR="004E4CC2" w:rsidRDefault="00000000">
      <w:pPr>
        <w:numPr>
          <w:ilvl w:val="0"/>
          <w:numId w:val="1"/>
        </w:numPr>
      </w:pPr>
      <w:r>
        <w:t>Jetzt:</w:t>
      </w:r>
    </w:p>
    <w:p w14:paraId="38452153" w14:textId="77777777" w:rsidR="004E4CC2" w:rsidRDefault="00000000">
      <w:pPr>
        <w:pStyle w:val="SourceCode"/>
        <w:numPr>
          <w:ilvl w:val="0"/>
          <w:numId w:val="1"/>
        </w:numPr>
      </w:pPr>
      <w:r>
        <w:br/>
      </w:r>
      <w:r>
        <w:br/>
      </w:r>
      <w:r>
        <w:rPr>
          <w:rStyle w:val="VerbatimChar"/>
        </w:rPr>
        <w:t>Je Variante stehen **Gebäudestrombedarf + MIV-Strombedarf** der Deckung aus **Gebäude-PV + Mobilitätsgutschrift** gegenüber. Das zweite Diagramm zeigt den resultierenden Saldo und einen etwaigen zentralen Fehlbetrag. Der positive Gebäudesaldo der 40-%-MIV-Variante ist daher zusammen mit der zentralen Unterdeckung von 12 PJ/a zu lesen.</w:t>
      </w:r>
      <w:r>
        <w:br/>
      </w:r>
      <w:r>
        <w:br/>
      </w:r>
      <w:r>
        <w:rPr>
          <w:rStyle w:val="VerbatimChar"/>
        </w:rPr>
        <w:t>Mit $f$ als Freiflächenanteil der PV, $m$ als MIV-Anteil am Verkehr und $h$ als angerechnetem Anteil der H₂-Rückverstromung ergibt sich bei gedeckter Priorität und nicht bindender Budgetobergrenze:</w:t>
      </w:r>
      <w:r>
        <w:br/>
      </w:r>
      <w:r>
        <w:br/>
      </w:r>
      <w:r>
        <w:rPr>
          <w:rStyle w:val="VerbatimChar"/>
        </w:rPr>
        <w:t>$$G_{\mathrm{MIV}}=90m-48+4h,\qquad B_{\mathrm{Geb,Ziel}}=-7+4h-149f.$$</w:t>
      </w:r>
      <w:r>
        <w:br/>
      </w:r>
      <w:r>
        <w:br/>
      </w:r>
      <w:r>
        <w:rPr>
          <w:rStyle w:val="VerbatimChar"/>
        </w:rPr>
        <w:t>Eine Änderung des MIV-Anteils verändert Bedarf und Budget im selben Umfang, solange diese Bedingungen gelten. Mehr Freiflächen-PV vermindert d</w:t>
      </w:r>
      <w:r>
        <w:rPr>
          <w:rStyle w:val="VerbatimChar"/>
        </w:rPr>
        <w:lastRenderedPageBreak/>
        <w:t>agegen die dem Gebäude zugeordnete Deckung. Die nicht zugeordnete PV bleibt Bestandteil der nationalen Bilanz.</w:t>
      </w:r>
      <w:r>
        <w:br/>
      </w:r>
      <w:r>
        <w:br/>
      </w:r>
      <w:r>
        <w:rPr>
          <w:rStyle w:val="VerbatimChar"/>
        </w:rPr>
        <w:t>## Übergang zur Gebäude- und Quartiersbewertung</w:t>
      </w:r>
      <w:r>
        <w:br/>
      </w:r>
      <w:r>
        <w:br/>
      </w:r>
      <w:r>
        <w:rPr>
          <w:rStyle w:val="VerbatimChar"/>
        </w:rPr>
        <w:t>Der Gebäudepool erreicht −59,25 PJ/a im Betrieb und −107,25 PJ/a einschließlich derselben MIV-Zuordnung. Der Abstand zum Top-down-Ziel beträgt damit −100,25 PJ/a (@sec-gebaeudebestand). Er kennzeichnet Unterschiede in PV-Erzeugung und Gebäudebedarf der beiden Szenarien.</w:t>
      </w:r>
      <w:r>
        <w:br/>
      </w:r>
      <w:r>
        <w:br/>
      </w:r>
      <w:r>
        <w:rPr>
          <w:rStyle w:val="VerbatimChar"/>
        </w:rPr>
        <w:t>Die sektorale Kalibrierung erfolgt auf elektrischer Endenergiebasis. Für den Quartiersnachweis werden die Ergebnisse mit dem dokumentierten heutigen PE-Faktorensatz bewertet. Die nutzungsbezogene Verteilung des Mobilitätsbudgets steht in @sec-kontext-mobilitaet, die Dichte- und Typologiekalibrierung in @sec-kalibrierung. Der Entwurf dokumentiert die verwendeten Annahmen und ihren Ergebnisstand; eine normative Festlegung von PEQ-Flächenanteilen und neuer Dichtefunktion ist darin nicht enthalten.</w:t>
      </w:r>
    </w:p>
    <w:p w14:paraId="4F1C4797" w14:textId="77777777" w:rsidR="004E4CC2" w:rsidRDefault="00000000">
      <w:pPr>
        <w:numPr>
          <w:ilvl w:val="0"/>
          <w:numId w:val="13"/>
        </w:numPr>
      </w:pPr>
      <w:r>
        <w:rPr>
          <w:b/>
          <w:bCs/>
        </w:rPr>
        <w:t>Kapitel/03-gebaeudebestand.qmd, Ausgangszeile 7: Umformulierung / Umgliederung.</w:t>
      </w:r>
    </w:p>
    <w:p w14:paraId="0AF34EEA" w14:textId="77777777" w:rsidR="004E4CC2" w:rsidRDefault="00000000">
      <w:pPr>
        <w:numPr>
          <w:ilvl w:val="0"/>
          <w:numId w:val="1"/>
        </w:numPr>
      </w:pPr>
      <w:r>
        <w:t>Bisher:</w:t>
      </w:r>
    </w:p>
    <w:p w14:paraId="33271F6E" w14:textId="77777777" w:rsidR="004E4CC2" w:rsidRDefault="00000000">
      <w:pPr>
        <w:pStyle w:val="SourceCode"/>
        <w:numPr>
          <w:ilvl w:val="0"/>
          <w:numId w:val="1"/>
        </w:numPr>
      </w:pPr>
      <w:r>
        <w:rPr>
          <w:rStyle w:val="VerbatimChar"/>
        </w:rPr>
        <w:t>Das Gebäudesektormodell verknüpft die Flächenstruktur des Zieljahres 2040 mit den energetischen Kennwerten der Gebäudetypen und ihren Dichteverteilungen. Es bildet die Bottom-up-Seite zur sektoralen Allokation in @sec-allokation. Die erste Auswertung des gelieferten Pools ergibt **137,49 PJ/a Strombedarf**, **78,25 PJ/a PV-Erzeugung** und einen **betrieblichen Stromsaldo von −59,25 PJ/a**. Diese Zahlen beschreiben den gelieferten Szenariostand. Sie sind noch keine mit UBA Transition abgestimmten PEQ-Zielwerte.</w:t>
      </w:r>
    </w:p>
    <w:p w14:paraId="7EED902E" w14:textId="77777777" w:rsidR="004E4CC2" w:rsidRDefault="00000000">
      <w:pPr>
        <w:numPr>
          <w:ilvl w:val="0"/>
          <w:numId w:val="1"/>
        </w:numPr>
      </w:pPr>
      <w:r>
        <w:t>Jetzt:</w:t>
      </w:r>
    </w:p>
    <w:p w14:paraId="7AC13104" w14:textId="77777777" w:rsidR="004E4CC2" w:rsidRDefault="00000000">
      <w:pPr>
        <w:pStyle w:val="SourceCode"/>
        <w:numPr>
          <w:ilvl w:val="0"/>
          <w:numId w:val="1"/>
        </w:numPr>
      </w:pPr>
      <w:r>
        <w:rPr>
          <w:rStyle w:val="VerbatimChar"/>
        </w:rPr>
        <w:t>Das Gebäudesektormodell verknüpft die Flächenstruktur des Zieljahres 2040 mit den energetischen Kennwerten der Gebäudetypen und ihren Dichteverteilungen. Es bildet die Bottom-up-Seite zur sektoralen Allokation in @sec-allokation. Die Auswertung des Pools ergibt **137,49 PJ/a Strombedarf**, **78,25 PJ/a PV-Erzeugung** und einen **betrieblichen Stromsaldo von −59,25 PJ/a**. Diese Zahlen beschreiben den gelieferten Szenariostand. Der Abgleich mit UBA Transition zeigt den Szenarioabstand.</w:t>
      </w:r>
    </w:p>
    <w:p w14:paraId="60824D7A" w14:textId="77777777" w:rsidR="004E4CC2" w:rsidRDefault="00000000">
      <w:pPr>
        <w:numPr>
          <w:ilvl w:val="0"/>
          <w:numId w:val="13"/>
        </w:numPr>
      </w:pPr>
      <w:r>
        <w:rPr>
          <w:b/>
          <w:bCs/>
        </w:rPr>
        <w:t>Kapitel/03-gebaeudebestand.qmd, Ausgangszeile 15: Umformulierung / Umgliederung.</w:t>
      </w:r>
    </w:p>
    <w:p w14:paraId="01E3383C" w14:textId="77777777" w:rsidR="004E4CC2" w:rsidRDefault="00000000">
      <w:pPr>
        <w:numPr>
          <w:ilvl w:val="0"/>
          <w:numId w:val="1"/>
        </w:numPr>
      </w:pPr>
      <w:r>
        <w:t>Bisher:</w:t>
      </w:r>
    </w:p>
    <w:p w14:paraId="04F11364" w14:textId="77777777" w:rsidR="004E4CC2" w:rsidRDefault="00000000">
      <w:pPr>
        <w:pStyle w:val="SourceCode"/>
        <w:numPr>
          <w:ilvl w:val="0"/>
          <w:numId w:val="1"/>
        </w:numPr>
      </w:pPr>
      <w:r>
        <w:rPr>
          <w:rStyle w:val="VerbatimChar"/>
        </w:rPr>
        <w:t xml:space="preserve">Die nationale Flächensumme beträgt **1.126,579 Mio. m² BGF für 2040**, gegenüber **1.112,341 Mio. m² BGF** in der Quellspalte „heute“. Deren konkretes Bezugsjahr ist noch zu bestätigen. Sie wird deshalb nicht mit </w:t>
      </w:r>
      <w:r>
        <w:rPr>
          <w:rStyle w:val="VerbatimChar"/>
        </w:rPr>
        <w:lastRenderedPageBreak/>
        <w:t>2020 gleichgesetzt. Die Energiekennwerte beziehen sich laut Simulationsblatt auf **NGF**. Für diese erste Aggregation gilt die aus der bestehenden GFZ-Analyse übernommene einheitliche Modellannahme:</w:t>
      </w:r>
    </w:p>
    <w:p w14:paraId="2F81A2A5" w14:textId="77777777" w:rsidR="004E4CC2" w:rsidRDefault="00000000">
      <w:pPr>
        <w:numPr>
          <w:ilvl w:val="0"/>
          <w:numId w:val="1"/>
        </w:numPr>
      </w:pPr>
      <w:r>
        <w:t>Jetzt:</w:t>
      </w:r>
    </w:p>
    <w:p w14:paraId="1B497112" w14:textId="77777777" w:rsidR="004E4CC2" w:rsidRDefault="00000000">
      <w:pPr>
        <w:pStyle w:val="SourceCode"/>
        <w:numPr>
          <w:ilvl w:val="0"/>
          <w:numId w:val="1"/>
        </w:numPr>
      </w:pPr>
      <w:r>
        <w:rPr>
          <w:rStyle w:val="VerbatimChar"/>
        </w:rPr>
        <w:t>Die nationale Flächensumme beträgt **1.126,579 Mio. m² BGF für 2040**, gegenüber **1.112,341 Mio. m² BGF** in der Quellspalte „heute“. Deren konkretes Bezugsjahr ist nicht bestätigt. Sie wird deshalb nicht mit 2020 gleichgesetzt. Die Energiekennwerte beziehen sich laut Simulationsblatt auf **NGF**. Für die Aggregation gilt die aus der bestehenden GFZ-Analyse übernommene einheitliche Modellannahme:</w:t>
      </w:r>
    </w:p>
    <w:p w14:paraId="6B8381A9" w14:textId="77777777" w:rsidR="004E4CC2" w:rsidRDefault="00000000">
      <w:pPr>
        <w:numPr>
          <w:ilvl w:val="0"/>
          <w:numId w:val="13"/>
        </w:numPr>
      </w:pPr>
      <w:r>
        <w:rPr>
          <w:b/>
          <w:bCs/>
        </w:rPr>
        <w:t>Kapitel/03-gebaeudebestand.qmd, Ausgangszeile 21: Umformulierung / Umgliederung.</w:t>
      </w:r>
    </w:p>
    <w:p w14:paraId="2F1228D8" w14:textId="77777777" w:rsidR="004E4CC2" w:rsidRDefault="00000000">
      <w:pPr>
        <w:numPr>
          <w:ilvl w:val="0"/>
          <w:numId w:val="1"/>
        </w:numPr>
      </w:pPr>
      <w:r>
        <w:t>Bisher:</w:t>
      </w:r>
    </w:p>
    <w:p w14:paraId="66B5ACAD" w14:textId="77777777" w:rsidR="004E4CC2" w:rsidRDefault="00000000">
      <w:pPr>
        <w:pStyle w:val="SourceCode"/>
        <w:numPr>
          <w:ilvl w:val="0"/>
          <w:numId w:val="1"/>
        </w:numPr>
      </w:pPr>
      <w:r>
        <w:rPr>
          <w:rStyle w:val="VerbatimChar"/>
        </w:rPr>
        <w:t>Für 2040 folgen daraus 901,263 Mio. m² NGF. Eine typologiespezifische Umrechnung ist später möglich. Es erfolgt keine Skalierung auf die GFZ-Bestandsfläche von 1.058,935 Mio. m² BGF oder auf die separate Flächenannahme der THG-Allokation. Diese Größen haben unterschiedliche Grundlagen.</w:t>
      </w:r>
    </w:p>
    <w:p w14:paraId="62AE4A41" w14:textId="77777777" w:rsidR="004E4CC2" w:rsidRDefault="00000000">
      <w:pPr>
        <w:numPr>
          <w:ilvl w:val="0"/>
          <w:numId w:val="1"/>
        </w:numPr>
      </w:pPr>
      <w:r>
        <w:t>Jetzt:</w:t>
      </w:r>
    </w:p>
    <w:p w14:paraId="53637E8C" w14:textId="77777777" w:rsidR="004E4CC2" w:rsidRDefault="00000000">
      <w:pPr>
        <w:pStyle w:val="SourceCode"/>
        <w:numPr>
          <w:ilvl w:val="0"/>
          <w:numId w:val="1"/>
        </w:numPr>
      </w:pPr>
      <w:r>
        <w:rPr>
          <w:rStyle w:val="VerbatimChar"/>
        </w:rPr>
        <w:t>Für 2040 folgen daraus 901,263 Mio. m² NGF. Der Flächenfaktor ist für alle Typen einheitlich. Es erfolgt keine Skalierung auf die GFZ-Bestandsfläche von 1.058,935 Mio. m² BGF oder auf die separate Flächenannahme der THG-Allokation. Diese Größen haben unterschiedliche Grundlagen.</w:t>
      </w:r>
    </w:p>
    <w:p w14:paraId="2AFAA005" w14:textId="77777777" w:rsidR="004E4CC2" w:rsidRDefault="00000000">
      <w:pPr>
        <w:numPr>
          <w:ilvl w:val="0"/>
          <w:numId w:val="13"/>
        </w:numPr>
      </w:pPr>
      <w:r>
        <w:rPr>
          <w:b/>
          <w:bCs/>
        </w:rPr>
        <w:t>Kapitel/03-gebaeudebestand.qmd, Ausgangszeile 41: Umformulierung / Umgliederung.</w:t>
      </w:r>
    </w:p>
    <w:p w14:paraId="6BD9AD84" w14:textId="77777777" w:rsidR="004E4CC2" w:rsidRDefault="00000000">
      <w:pPr>
        <w:numPr>
          <w:ilvl w:val="0"/>
          <w:numId w:val="1"/>
        </w:numPr>
      </w:pPr>
      <w:r>
        <w:t>Bisher:</w:t>
      </w:r>
    </w:p>
    <w:p w14:paraId="18E288A8" w14:textId="77777777" w:rsidR="004E4CC2" w:rsidRDefault="00000000">
      <w:pPr>
        <w:pStyle w:val="SourceCode"/>
        <w:numPr>
          <w:ilvl w:val="0"/>
          <w:numId w:val="1"/>
        </w:numPr>
      </w:pPr>
      <w:r>
        <w:rPr>
          <w:rStyle w:val="VerbatimChar"/>
        </w:rPr>
        <w:t>![Flächenverteilung nach Geometrie. „Heute“ bezeichnet die gleichnamige Quellspalte mit noch offenem Bezugsjahr.](../Berechnungen/gebaeudesektormodell/outputs/flaechen.png){#fig-gebaeude-flaechen width="100%"}</w:t>
      </w:r>
    </w:p>
    <w:p w14:paraId="45A1577E" w14:textId="77777777" w:rsidR="004E4CC2" w:rsidRDefault="00000000">
      <w:pPr>
        <w:numPr>
          <w:ilvl w:val="0"/>
          <w:numId w:val="1"/>
        </w:numPr>
      </w:pPr>
      <w:r>
        <w:t>Jetzt:</w:t>
      </w:r>
    </w:p>
    <w:p w14:paraId="59A65B08" w14:textId="77777777" w:rsidR="004E4CC2" w:rsidRDefault="00000000">
      <w:pPr>
        <w:pStyle w:val="SourceCode"/>
        <w:numPr>
          <w:ilvl w:val="0"/>
          <w:numId w:val="1"/>
        </w:numPr>
      </w:pPr>
      <w:r>
        <w:rPr>
          <w:rStyle w:val="VerbatimChar"/>
        </w:rPr>
        <w:t>![Flächenverteilung nach Geometrie. „Heute“ bezeichnet die gleichnamige Quellspalte mit nicht festgelegtem Bezugsjahr.](../Berechnungen/gebaeudesektormodell/outputs/flaechen.png){#fig-gebaeude-flaechen width="100%"}</w:t>
      </w:r>
    </w:p>
    <w:p w14:paraId="5DFF2F13" w14:textId="77777777" w:rsidR="004E4CC2" w:rsidRDefault="00000000">
      <w:pPr>
        <w:numPr>
          <w:ilvl w:val="0"/>
          <w:numId w:val="13"/>
        </w:numPr>
      </w:pPr>
      <w:r>
        <w:rPr>
          <w:b/>
          <w:bCs/>
        </w:rPr>
        <w:t>Kapitel/03-gebaeudebestand.qmd, Ausgangszeile 43: Umformulierung / Umgliederung.</w:t>
      </w:r>
    </w:p>
    <w:p w14:paraId="21BDDEB2" w14:textId="77777777" w:rsidR="004E4CC2" w:rsidRDefault="00000000">
      <w:pPr>
        <w:numPr>
          <w:ilvl w:val="0"/>
          <w:numId w:val="1"/>
        </w:numPr>
      </w:pPr>
      <w:r>
        <w:t>Bisher:</w:t>
      </w:r>
    </w:p>
    <w:p w14:paraId="0C1510A2" w14:textId="77777777" w:rsidR="004E4CC2" w:rsidRDefault="00000000">
      <w:pPr>
        <w:pStyle w:val="SourceCode"/>
        <w:numPr>
          <w:ilvl w:val="0"/>
          <w:numId w:val="1"/>
        </w:numPr>
      </w:pPr>
      <w:r>
        <w:rPr>
          <w:rStyle w:val="VerbatimChar"/>
        </w:rPr>
        <w:lastRenderedPageBreak/>
        <w:t>Die Neubaufläche ist nicht mit dem Nettoflächenzuwachs gleichzusetzen. Für einen nachvollziehbaren Entwicklungspfad fehlen noch die zeitliche Definition dieser Kategorien und eine Übergangsbilanz mit Abbruch, Ersatzneubau und Sanierung. Die Reinschrift enthält ein separates, zunächst leeres Feld für BGF 2020. Es wird nicht automatisch aus „heute“ gefüllt.</w:t>
      </w:r>
    </w:p>
    <w:p w14:paraId="1F2BD2A6" w14:textId="77777777" w:rsidR="004E4CC2" w:rsidRDefault="00000000">
      <w:pPr>
        <w:numPr>
          <w:ilvl w:val="0"/>
          <w:numId w:val="1"/>
        </w:numPr>
      </w:pPr>
      <w:r>
        <w:t>Jetzt:</w:t>
      </w:r>
    </w:p>
    <w:p w14:paraId="6F3CDBD4" w14:textId="77777777" w:rsidR="004E4CC2" w:rsidRDefault="00000000">
      <w:pPr>
        <w:pStyle w:val="SourceCode"/>
        <w:numPr>
          <w:ilvl w:val="0"/>
          <w:numId w:val="1"/>
        </w:numPr>
      </w:pPr>
      <w:r>
        <w:rPr>
          <w:rStyle w:val="VerbatimChar"/>
        </w:rPr>
        <w:t>Die Neubaufläche ist nicht mit dem Nettoflächenzuwachs gleichzusetzen. Für einen nachvollziehbaren Entwicklungspfad fehlen die zeitliche Definition dieser Kategorien und eine Übergangsbilanz mit Abbruch, Ersatzneubau und Sanierung. Die Reinschrift enthält ein separates, leeres Feld für BGF 2020. Es wird nicht automatisch aus „heute“ gefüllt.</w:t>
      </w:r>
    </w:p>
    <w:p w14:paraId="0CCA56B2" w14:textId="77777777" w:rsidR="004E4CC2" w:rsidRDefault="00000000">
      <w:pPr>
        <w:numPr>
          <w:ilvl w:val="0"/>
          <w:numId w:val="13"/>
        </w:numPr>
      </w:pPr>
      <w:r>
        <w:rPr>
          <w:b/>
          <w:bCs/>
        </w:rPr>
        <w:t>Kapitel/03-gebaeudebestand.qmd, Ausgangszeile 46: Ergänzung.</w:t>
      </w:r>
    </w:p>
    <w:p w14:paraId="496C95BF" w14:textId="77777777" w:rsidR="004E4CC2" w:rsidRDefault="00000000">
      <w:pPr>
        <w:numPr>
          <w:ilvl w:val="0"/>
          <w:numId w:val="1"/>
        </w:numPr>
      </w:pPr>
      <w:r>
        <w:t>Jetzt:</w:t>
      </w:r>
    </w:p>
    <w:p w14:paraId="65B9AB3C" w14:textId="77777777" w:rsidR="004E4CC2" w:rsidRDefault="00000000">
      <w:pPr>
        <w:pStyle w:val="SourceCode"/>
        <w:numPr>
          <w:ilvl w:val="0"/>
          <w:numId w:val="1"/>
        </w:numPr>
      </w:pPr>
      <w:r>
        <w:br/>
      </w:r>
      <w:r>
        <w:rPr>
          <w:rStyle w:val="VerbatimChar"/>
        </w:rPr>
        <w:t>Die PV-Erzeugung wird **aus der Typen-Excel übernommen**: `PV_total_direct` plus `PV_to_Egrid` in `Strombed_estim`, gegengeprüft gegen `PV_total` in `Tabelle2`. Das Sektormodell simuliert keine eigenen PV-Flächen oder Erträge. Alle gelieferten Typen verwenden die Variante `PV30|noFlex`. Die nationale Erzeugung entsteht durch Multiplikation des spezifischen Ertrags mit der zugeordneten NGF; eine zusätzliche GFZ-bedingte Skalierung der PV findet nicht statt.</w:t>
      </w:r>
    </w:p>
    <w:p w14:paraId="1EEAF763" w14:textId="77777777" w:rsidR="004E4CC2" w:rsidRDefault="00000000">
      <w:pPr>
        <w:numPr>
          <w:ilvl w:val="0"/>
          <w:numId w:val="13"/>
        </w:numPr>
      </w:pPr>
      <w:r>
        <w:rPr>
          <w:b/>
          <w:bCs/>
        </w:rPr>
        <w:t>Kapitel/03-gebaeudebestand.qmd, Ausgangszeile 63: Umformulierung / Umgliederung.</w:t>
      </w:r>
    </w:p>
    <w:p w14:paraId="37215B98" w14:textId="77777777" w:rsidR="004E4CC2" w:rsidRDefault="00000000">
      <w:pPr>
        <w:numPr>
          <w:ilvl w:val="0"/>
          <w:numId w:val="1"/>
        </w:numPr>
      </w:pPr>
      <w:r>
        <w:t>Bisher:</w:t>
      </w:r>
    </w:p>
    <w:p w14:paraId="15C3ACC4" w14:textId="77777777" w:rsidR="004E4CC2" w:rsidRDefault="00000000">
      <w:pPr>
        <w:pStyle w:val="SourceCode"/>
        <w:numPr>
          <w:ilvl w:val="0"/>
          <w:numId w:val="1"/>
        </w:numPr>
      </w:pPr>
      <w:r>
        <w:rPr>
          <w:rStyle w:val="VerbatimChar"/>
        </w:rPr>
        <w:t>Fernwärme-, Gas-, Biomasse- und Ölbedarfe werden eigenständig bilanziert. Geringer elektrischer Heizbedarf dieser Typen bedeutet nicht, dass ihre Wärmeversorgung energiefrei wäre. Die Sammelgröße `EUI_other` wird bei den als `Oel` gekennzeichneten Typen Öl zugeordnet; weitere Beträge blieben separat unter sonstiger thermischer Endenergie erhalten.</w:t>
      </w:r>
    </w:p>
    <w:p w14:paraId="0EC786D1" w14:textId="77777777" w:rsidR="004E4CC2" w:rsidRDefault="00000000">
      <w:pPr>
        <w:numPr>
          <w:ilvl w:val="0"/>
          <w:numId w:val="1"/>
        </w:numPr>
      </w:pPr>
      <w:r>
        <w:t>Jetzt:</w:t>
      </w:r>
    </w:p>
    <w:p w14:paraId="178BA877" w14:textId="77777777" w:rsidR="004E4CC2" w:rsidRDefault="00000000">
      <w:pPr>
        <w:pStyle w:val="SourceCode"/>
        <w:numPr>
          <w:ilvl w:val="0"/>
          <w:numId w:val="1"/>
        </w:numPr>
      </w:pPr>
      <w:r>
        <w:rPr>
          <w:rStyle w:val="VerbatimChar"/>
        </w:rPr>
        <w:t>Fernwärme-, Gas-, Biomasse- und Ölbedarfe werden eigenständig bilanziert. Die Sammelgröße `EUI_other` wird bei den als `Oel` gekennzeichneten Typen Öl zugeordnet; weitere Beträge blieben separat unter sonstiger thermischer Endenergie erhalten.</w:t>
      </w:r>
    </w:p>
    <w:p w14:paraId="63CA9AF8" w14:textId="77777777" w:rsidR="004E4CC2" w:rsidRDefault="00000000">
      <w:pPr>
        <w:numPr>
          <w:ilvl w:val="0"/>
          <w:numId w:val="13"/>
        </w:numPr>
      </w:pPr>
      <w:r>
        <w:rPr>
          <w:b/>
          <w:bCs/>
        </w:rPr>
        <w:t>Kapitel/03-gebaeudebestand.qmd, Ausgangszeile 69: Umformulierung / Umgliederung.</w:t>
      </w:r>
    </w:p>
    <w:p w14:paraId="6EA80FB5" w14:textId="77777777" w:rsidR="004E4CC2" w:rsidRDefault="00000000">
      <w:pPr>
        <w:numPr>
          <w:ilvl w:val="0"/>
          <w:numId w:val="1"/>
        </w:numPr>
      </w:pPr>
      <w:r>
        <w:t>Bisher:</w:t>
      </w:r>
    </w:p>
    <w:p w14:paraId="406F7702" w14:textId="77777777" w:rsidR="004E4CC2" w:rsidRDefault="00000000">
      <w:pPr>
        <w:pStyle w:val="SourceCode"/>
        <w:numPr>
          <w:ilvl w:val="0"/>
          <w:numId w:val="1"/>
        </w:numPr>
      </w:pPr>
      <w:r>
        <w:rPr>
          <w:rStyle w:val="VerbatimChar"/>
        </w:rPr>
        <w:lastRenderedPageBreak/>
        <w:t>Insbesondere die verbleibenden **76,67 PJ/a Gas** und **58,51 PJ/a Öl** zeigen, dass die gelieferte Flächen-/Versorgungsstruktur noch kein vollständig dekarbonisiertes Szenario darstellt. Diese Mengen werden weder als Strom behandelt noch aus der Bilanz entfernt. Die Anwendungsaufteilung der thermischen Energie steht in @sec-gebaeude-endenergie.</w:t>
      </w:r>
    </w:p>
    <w:p w14:paraId="0F356311" w14:textId="77777777" w:rsidR="004E4CC2" w:rsidRDefault="00000000">
      <w:pPr>
        <w:numPr>
          <w:ilvl w:val="0"/>
          <w:numId w:val="1"/>
        </w:numPr>
      </w:pPr>
      <w:r>
        <w:t>Jetzt:</w:t>
      </w:r>
    </w:p>
    <w:p w14:paraId="0E2646C4" w14:textId="77777777" w:rsidR="004E4CC2" w:rsidRDefault="00000000">
      <w:pPr>
        <w:pStyle w:val="SourceCode"/>
        <w:numPr>
          <w:ilvl w:val="0"/>
          <w:numId w:val="1"/>
        </w:numPr>
      </w:pPr>
      <w:r>
        <w:rPr>
          <w:rStyle w:val="VerbatimChar"/>
        </w:rPr>
        <w:t>Insbesondere die verbleibenden **76,67 PJ/a Gas** und **58,51 PJ/a Öl** zeigen, dass die gelieferte Flächen-/Versorgungsstruktur kein vollständig dekarbonisiertes Szenario darstellt. Diese Mengen werden weder als Strom behandelt noch aus der Bilanz entfernt. Die Anwendungsaufteilung der thermischen Energie steht in @sec-gebaeude-endenergie.</w:t>
      </w:r>
    </w:p>
    <w:p w14:paraId="6D757A88" w14:textId="77777777" w:rsidR="004E4CC2" w:rsidRDefault="00000000">
      <w:pPr>
        <w:numPr>
          <w:ilvl w:val="0"/>
          <w:numId w:val="13"/>
        </w:numPr>
      </w:pPr>
      <w:r>
        <w:rPr>
          <w:b/>
          <w:bCs/>
        </w:rPr>
        <w:t>Kapitel/03-gebaeudebestand.qmd, Ausgangszeile 75: Umformulierung / Umgliederung.</w:t>
      </w:r>
    </w:p>
    <w:p w14:paraId="4EEAAF7D" w14:textId="77777777" w:rsidR="004E4CC2" w:rsidRDefault="00000000">
      <w:pPr>
        <w:numPr>
          <w:ilvl w:val="0"/>
          <w:numId w:val="1"/>
        </w:numPr>
      </w:pPr>
      <w:r>
        <w:t>Bisher:</w:t>
      </w:r>
    </w:p>
    <w:p w14:paraId="1C5B2076" w14:textId="77777777" w:rsidR="004E4CC2" w:rsidRDefault="00000000">
      <w:pPr>
        <w:pStyle w:val="SourceCode"/>
        <w:numPr>
          <w:ilvl w:val="0"/>
          <w:numId w:val="1"/>
        </w:numPr>
      </w:pPr>
      <w:r>
        <w:rPr>
          <w:rStyle w:val="VerbatimChar"/>
        </w:rPr>
        <w:t>Der PE-Saldo von **−409,36 PJ PE/a** ist ein Ergebnis des gelieferten Bewertungsstands. Die konkreten Konversionsfaktoren und ihr Bezugsjahr sind noch zu bestätigen. Effektive Faktoren unterscheiden sich zwischen Typen und zwischen Import und Export; eine einfache Multiplikation sämtlicher Stromflüsse mit einem Jahresmittel würde die gelieferten PEI nicht reproduzieren. Die sektorale Aufgabe 2040 bleibt auf Endenergiebasis definiert. Eine Bewertung mit heutigen Faktoren stellt die Vergleichbarkeit mit heutigen Nachweisverfahren her und ist keine Prognose der PE-Intensitäten 2040 (@sec-gebaeude-pe).</w:t>
      </w:r>
    </w:p>
    <w:p w14:paraId="6EF8FE5F" w14:textId="77777777" w:rsidR="004E4CC2" w:rsidRDefault="00000000">
      <w:pPr>
        <w:numPr>
          <w:ilvl w:val="0"/>
          <w:numId w:val="1"/>
        </w:numPr>
      </w:pPr>
      <w:r>
        <w:t>Jetzt:</w:t>
      </w:r>
    </w:p>
    <w:p w14:paraId="6143627E" w14:textId="77777777" w:rsidR="004E4CC2" w:rsidRDefault="00000000">
      <w:pPr>
        <w:pStyle w:val="SourceCode"/>
        <w:numPr>
          <w:ilvl w:val="0"/>
          <w:numId w:val="1"/>
        </w:numPr>
      </w:pPr>
      <w:r>
        <w:rPr>
          <w:rStyle w:val="VerbatimChar"/>
        </w:rPr>
        <w:t>Der PE-Saldo von **−409,36 PJ PE/a** ist ein Ergebnis des gelieferten Bewertungsstands. Die konkreten Konversionsfaktoren und ihr Bezugsjahr sind nicht bestätigt. Effektive Faktoren unterscheiden sich zwischen Typen und zwischen Import und Export; eine einfache Multiplikation sämtlicher Stromflüsse mit einem Jahresmittel würde die gelieferten PEI nicht reproduzieren. Die sektorale Aufgabe 2040 bleibt auf Endenergiebasis definiert. Eine Bewertung mit heutigen Faktoren stellt die Vergleichbarkeit mit heutigen Nachweisverfahren her und ist keine Prognose der PE-Intensitäten 2040 (@sec-gebaeude-pe).</w:t>
      </w:r>
    </w:p>
    <w:p w14:paraId="71266FD6" w14:textId="77777777" w:rsidR="004E4CC2" w:rsidRDefault="00000000">
      <w:pPr>
        <w:numPr>
          <w:ilvl w:val="0"/>
          <w:numId w:val="13"/>
        </w:numPr>
      </w:pPr>
      <w:r>
        <w:rPr>
          <w:b/>
          <w:bCs/>
        </w:rPr>
        <w:t>Kapitel/03-gebaeudebestand.qmd, Ausgangszeile 81: Umformulierung / Umgliederung.</w:t>
      </w:r>
    </w:p>
    <w:p w14:paraId="6A9D4C71" w14:textId="77777777" w:rsidR="004E4CC2" w:rsidRDefault="00000000">
      <w:pPr>
        <w:numPr>
          <w:ilvl w:val="0"/>
          <w:numId w:val="1"/>
        </w:numPr>
      </w:pPr>
      <w:r>
        <w:t>Bisher:</w:t>
      </w:r>
    </w:p>
    <w:p w14:paraId="2F8A73E0" w14:textId="77777777" w:rsidR="004E4CC2" w:rsidRDefault="00000000">
      <w:pPr>
        <w:pStyle w:val="SourceCode"/>
        <w:numPr>
          <w:ilvl w:val="0"/>
          <w:numId w:val="1"/>
        </w:numPr>
      </w:pPr>
      <w:r>
        <w:rPr>
          <w:rStyle w:val="VerbatimChar"/>
        </w:rPr>
        <w:t>Die im GFZ-Modell zusammengefasste Kategorie „Ein- und Zweifamilienhäuser“ erhält die identischen Regeln der beiden entsprechenden Excel-Nutzungen nur einmal. Dadurch wird keine Referenzfläche doppelt gezählt. Aus den zugeordneten BGF-Mengen entstehen je Geometrie bedingte GFZ-Verteilungen. Unterschiedliche energetische Varianten derselben Geometrie übernehmen im ersten Modellstand dieselbe Verteilung.</w:t>
      </w:r>
    </w:p>
    <w:p w14:paraId="6D8C36A2" w14:textId="77777777" w:rsidR="004E4CC2" w:rsidRDefault="00000000">
      <w:pPr>
        <w:numPr>
          <w:ilvl w:val="0"/>
          <w:numId w:val="1"/>
        </w:numPr>
      </w:pPr>
      <w:r>
        <w:lastRenderedPageBreak/>
        <w:t>Jetzt:</w:t>
      </w:r>
    </w:p>
    <w:p w14:paraId="3718D206" w14:textId="77777777" w:rsidR="004E4CC2" w:rsidRDefault="00000000">
      <w:pPr>
        <w:pStyle w:val="SourceCode"/>
        <w:numPr>
          <w:ilvl w:val="0"/>
          <w:numId w:val="1"/>
        </w:numPr>
      </w:pPr>
      <w:r>
        <w:rPr>
          <w:rStyle w:val="VerbatimChar"/>
        </w:rPr>
        <w:t>Die im GFZ-Modell zusammengefasste Kategorie „Ein- und Zweifamilienhäuser“ erhält die identischen Regeln der beiden entsprechenden Excel-Nutzungen nur einmal. Dadurch wird keine Referenzfläche doppelt gezählt. Aus den zugeordneten BGF-Mengen entstehen je Geometrie bedingte GFZ-Verteilungen. Unterschiedliche energetische Varianten derselben Geometrie übernehmen im Modell dieselbe Verteilung.</w:t>
      </w:r>
    </w:p>
    <w:p w14:paraId="4E3DFCAE" w14:textId="77777777" w:rsidR="004E4CC2" w:rsidRDefault="00000000">
      <w:pPr>
        <w:numPr>
          <w:ilvl w:val="0"/>
          <w:numId w:val="13"/>
        </w:numPr>
      </w:pPr>
      <w:r>
        <w:rPr>
          <w:b/>
          <w:bCs/>
        </w:rPr>
        <w:t>Kapitel/03-gebaeudebestand.qmd, Ausgangszeile 85: Umformulierung / Umgliederung.</w:t>
      </w:r>
    </w:p>
    <w:p w14:paraId="3B138A82" w14:textId="77777777" w:rsidR="004E4CC2" w:rsidRDefault="00000000">
      <w:pPr>
        <w:numPr>
          <w:ilvl w:val="0"/>
          <w:numId w:val="1"/>
        </w:numPr>
      </w:pPr>
      <w:r>
        <w:t>Bisher:</w:t>
      </w:r>
    </w:p>
    <w:p w14:paraId="77B57B42" w14:textId="77777777" w:rsidR="004E4CC2" w:rsidRDefault="00000000">
      <w:pPr>
        <w:pStyle w:val="SourceCode"/>
        <w:numPr>
          <w:ilvl w:val="0"/>
          <w:numId w:val="1"/>
        </w:numPr>
      </w:pPr>
      <w:r>
        <w:rPr>
          <w:rStyle w:val="VerbatimChar"/>
        </w:rPr>
        <w:t>Die Erwartungswerte in @tbl-gebaeude-typologien werden über sämtliche GFZ-Bins berechnet. Der Funktionswert am mittleren GFZ wäre wegen der Nichtlinearität nicht gleichwertig. Als vorläufige elektrische Referenz dient die historische Tabellenparametrisierung aus @schneider2023context, Gl. 7 und Tab. 5, mit 30,4, 26,4, Achsenverschiebung 0,15 und Begrenzung 62. Die gemischte EE-/PE-Beschriftung der Quellentabelle ist im Notebook dokumentiert; der Referenzansatz ist noch keine neu freigegebene Dichtefunktion.</w:t>
      </w:r>
    </w:p>
    <w:p w14:paraId="0846919C" w14:textId="77777777" w:rsidR="004E4CC2" w:rsidRDefault="00000000">
      <w:pPr>
        <w:numPr>
          <w:ilvl w:val="0"/>
          <w:numId w:val="1"/>
        </w:numPr>
      </w:pPr>
      <w:r>
        <w:t>Jetzt:</w:t>
      </w:r>
    </w:p>
    <w:p w14:paraId="164CC040" w14:textId="77777777" w:rsidR="004E4CC2" w:rsidRDefault="00000000">
      <w:pPr>
        <w:pStyle w:val="SourceCode"/>
        <w:numPr>
          <w:ilvl w:val="0"/>
          <w:numId w:val="1"/>
        </w:numPr>
      </w:pPr>
      <w:r>
        <w:rPr>
          <w:rStyle w:val="VerbatimChar"/>
        </w:rPr>
        <w:t>Die Erwartungswerte in @tbl-gebaeude-typologien werden über sämtliche GFZ-Bins berechnet. Der Funktionswert am mittleren GFZ wäre wegen der Nichtlinearität nicht gleichwertig. Als elektrische Referenz dient die historische Tabellenparametrisierung aus @schneider2023context, Gl. 7 und Tab. 5, mit 30,4, 26,4, Achsenverschiebung 0,15 und Begrenzung 62. Die gemischte EE-/PE-Beschriftung der Quellentabelle ist im Notebook dokumentiert; der Referenzansatz ist eine historische Referenz, keine normative Neufestlegung.</w:t>
      </w:r>
      <w:r>
        <w:br/>
      </w:r>
      <w:r>
        <w:br/>
      </w:r>
      <w:r>
        <w:rPr>
          <w:rStyle w:val="VerbatimChar"/>
        </w:rPr>
        <w:t>Der Erwartungswert $\mathbb{E}_k[c_D]$ ist der BGF-gewichtete Mittelwert des Dichtewerts über die GFZ-Verteilung von Typ $k$. Der Index $j$ bezeichnet einen GFZ-Bin, $s_{j|k}$ dessen Flächenanteil und $d_j$ seine GFZ. Der nationale virtuelle Beitrag lautet $C_D=\sum_k A_{BGF,k}\mathbb{E}_k[c_D]$. Positive Werte entlasten die Bewertungsbilanz, negative erhöhen die Anforderung.</w:t>
      </w:r>
    </w:p>
    <w:p w14:paraId="19782208" w14:textId="77777777" w:rsidR="004E4CC2" w:rsidRDefault="00000000">
      <w:pPr>
        <w:numPr>
          <w:ilvl w:val="0"/>
          <w:numId w:val="13"/>
        </w:numPr>
      </w:pPr>
      <w:r>
        <w:rPr>
          <w:b/>
          <w:bCs/>
        </w:rPr>
        <w:t>Kapitel/03-gebaeudebestand.qmd, Ausgangszeile 89: Ergänzung.</w:t>
      </w:r>
    </w:p>
    <w:p w14:paraId="30BE4B06" w14:textId="77777777" w:rsidR="004E4CC2" w:rsidRDefault="00000000">
      <w:pPr>
        <w:numPr>
          <w:ilvl w:val="0"/>
          <w:numId w:val="1"/>
        </w:numPr>
      </w:pPr>
      <w:r>
        <w:t>Jetzt:</w:t>
      </w:r>
    </w:p>
    <w:p w14:paraId="0F50EEEA" w14:textId="77777777" w:rsidR="004E4CC2" w:rsidRDefault="00000000">
      <w:pPr>
        <w:pStyle w:val="SourceCode"/>
        <w:numPr>
          <w:ilvl w:val="0"/>
          <w:numId w:val="1"/>
        </w:numPr>
      </w:pPr>
      <w:r>
        <w:rPr>
          <w:rStyle w:val="VerbatimChar"/>
        </w:rPr>
        <w:t>::: {.content-visible when-format="html"}</w:t>
      </w:r>
      <w:r>
        <w:br/>
      </w:r>
      <w:r>
        <w:rPr>
          <w:rStyle w:val="VerbatimChar"/>
        </w:rPr>
        <w:t>```{=html}</w:t>
      </w:r>
      <w:r>
        <w:br/>
      </w:r>
      <w:r>
        <w:rPr>
          <w:rStyle w:val="VerbatimChar"/>
        </w:rPr>
        <w:t>&lt;iframe src="../Abbildungen/methodik/typen_deckung.html" title="Alle Gebäudetypen: Strombedarf, PV und virtueller Dichtewert" style="width:100%;height:850px;border:0" loading="lazy"&gt;&lt;/iframe&gt;</w:t>
      </w:r>
      <w:r>
        <w:br/>
      </w:r>
      <w:r>
        <w:rPr>
          <w:rStyle w:val="VerbatimChar"/>
        </w:rPr>
        <w:t>```</w:t>
      </w:r>
      <w:r>
        <w:br/>
      </w:r>
      <w:r>
        <w:rPr>
          <w:rStyle w:val="VerbatimChar"/>
        </w:rPr>
        <w:t>[Grafik separat öffnen](../Abbildungen/methodik/typen_deckung.html)</w:t>
      </w:r>
      <w:r>
        <w:br/>
      </w:r>
      <w:r>
        <w:rPr>
          <w:rStyle w:val="VerbatimChar"/>
        </w:rPr>
        <w:lastRenderedPageBreak/>
        <w:t>:::</w:t>
      </w:r>
      <w:r>
        <w:br/>
      </w:r>
      <w:r>
        <w:br/>
      </w:r>
      <w:r>
        <w:rPr>
          <w:rStyle w:val="VerbatimChar"/>
        </w:rPr>
        <w:t>Die Auswahl enthält alle 900 Typen, gegliedert nach Geometrie; der Achsenregler zeigt einen lesbaren Ausschnitt. Der Tooltip nennt Archetyp und nationale Fläche. Bedarf wird negativ, PV positiv und die virtuelle Dichtekorrektur schraffiert gezeigt. MFH_2G besitzt keine zugeordnete GFZ-Verteilung und keine nationale Fläche; sein Kontextwert bleibt leer.</w:t>
      </w:r>
      <w:r>
        <w:br/>
      </w:r>
    </w:p>
    <w:p w14:paraId="2EEA304B" w14:textId="77777777" w:rsidR="004E4CC2" w:rsidRDefault="00000000">
      <w:pPr>
        <w:numPr>
          <w:ilvl w:val="0"/>
          <w:numId w:val="13"/>
        </w:numPr>
      </w:pPr>
      <w:r>
        <w:rPr>
          <w:b/>
          <w:bCs/>
        </w:rPr>
        <w:t>Kapitel/03-gebaeudebestand.qmd, Ausgangszeile 91: Umformulierung / Umgliederung.</w:t>
      </w:r>
    </w:p>
    <w:p w14:paraId="694B8A4E" w14:textId="77777777" w:rsidR="004E4CC2" w:rsidRDefault="00000000">
      <w:pPr>
        <w:numPr>
          <w:ilvl w:val="0"/>
          <w:numId w:val="1"/>
        </w:numPr>
      </w:pPr>
      <w:r>
        <w:t>Bisher:</w:t>
      </w:r>
    </w:p>
    <w:p w14:paraId="1205C31B" w14:textId="77777777" w:rsidR="004E4CC2" w:rsidRDefault="00000000">
      <w:pPr>
        <w:pStyle w:val="SourceCode"/>
        <w:numPr>
          <w:ilvl w:val="0"/>
          <w:numId w:val="1"/>
        </w:numPr>
      </w:pPr>
      <w:r>
        <w:rPr>
          <w:rStyle w:val="VerbatimChar"/>
        </w:rPr>
        <w:t>Für Typologie \(k\) und GFZ-Bin \(j\) gilt:</w:t>
      </w:r>
    </w:p>
    <w:p w14:paraId="021AA473" w14:textId="77777777" w:rsidR="004E4CC2" w:rsidRDefault="00000000">
      <w:pPr>
        <w:numPr>
          <w:ilvl w:val="0"/>
          <w:numId w:val="1"/>
        </w:numPr>
      </w:pPr>
      <w:r>
        <w:t>Jetzt:</w:t>
      </w:r>
    </w:p>
    <w:p w14:paraId="532387BF" w14:textId="77777777" w:rsidR="004E4CC2" w:rsidRDefault="00000000">
      <w:pPr>
        <w:pStyle w:val="SourceCode"/>
        <w:numPr>
          <w:ilvl w:val="0"/>
          <w:numId w:val="1"/>
        </w:numPr>
      </w:pPr>
      <w:r>
        <w:rPr>
          <w:rStyle w:val="VerbatimChar"/>
        </w:rPr>
        <w:t>Für Typologie $k$ und GFZ-Bin $j$ gilt:</w:t>
      </w:r>
    </w:p>
    <w:p w14:paraId="151B9E88" w14:textId="77777777" w:rsidR="004E4CC2" w:rsidRDefault="00000000">
      <w:pPr>
        <w:numPr>
          <w:ilvl w:val="0"/>
          <w:numId w:val="13"/>
        </w:numPr>
      </w:pPr>
      <w:r>
        <w:rPr>
          <w:b/>
          <w:bCs/>
        </w:rPr>
        <w:t>Kapitel/03-gebaeudebestand.qmd, Ausgangszeile 101: Umformulierung / Umgliederung.</w:t>
      </w:r>
    </w:p>
    <w:p w14:paraId="5F9D805A" w14:textId="77777777" w:rsidR="004E4CC2" w:rsidRDefault="00000000">
      <w:pPr>
        <w:numPr>
          <w:ilvl w:val="0"/>
          <w:numId w:val="1"/>
        </w:numPr>
      </w:pPr>
      <w:r>
        <w:t>Bisher:</w:t>
      </w:r>
    </w:p>
    <w:p w14:paraId="3851D855" w14:textId="77777777" w:rsidR="004E4CC2" w:rsidRDefault="00000000">
      <w:pPr>
        <w:pStyle w:val="SourceCode"/>
        <w:numPr>
          <w:ilvl w:val="0"/>
          <w:numId w:val="1"/>
        </w:numPr>
      </w:pPr>
      <w:r>
        <w:rPr>
          <w:rStyle w:val="VerbatimChar"/>
        </w:rPr>
        <w:t>Der Abstand zum vorläufigen Top-down-Saldo beträgt **−100,25 PJ/a**. Er ergibt sich aus geringerer PV-Erzeugung und höherem Gebäudestrombedarf des gelieferten Pools. Werden auf beiden Seiten dieselben 24 PJ/a MIV-Budget und 72 PJ/a MIV-Bedarf angesetzt, bleibt diese Differenz unverändert. Sie ist ein Szenariounterschied und wird nicht durch nachträgliche Flächenskalierung oder eine neue Gutschrift geschlossen.</w:t>
      </w:r>
    </w:p>
    <w:p w14:paraId="36E51457" w14:textId="77777777" w:rsidR="004E4CC2" w:rsidRDefault="00000000">
      <w:pPr>
        <w:numPr>
          <w:ilvl w:val="0"/>
          <w:numId w:val="1"/>
        </w:numPr>
      </w:pPr>
      <w:r>
        <w:t>Jetzt:</w:t>
      </w:r>
    </w:p>
    <w:p w14:paraId="0D4A10D2" w14:textId="77777777" w:rsidR="004E4CC2" w:rsidRDefault="00000000">
      <w:pPr>
        <w:pStyle w:val="SourceCode"/>
        <w:numPr>
          <w:ilvl w:val="0"/>
          <w:numId w:val="1"/>
        </w:numPr>
      </w:pPr>
      <w:r>
        <w:rPr>
          <w:rStyle w:val="VerbatimChar"/>
        </w:rPr>
        <w:t>::: {.content-visible when-format="html"}</w:t>
      </w:r>
      <w:r>
        <w:br/>
      </w:r>
      <w:r>
        <w:rPr>
          <w:rStyle w:val="VerbatimChar"/>
        </w:rPr>
        <w:t>```{=html}</w:t>
      </w:r>
      <w:r>
        <w:br/>
      </w:r>
      <w:r>
        <w:rPr>
          <w:rStyle w:val="VerbatimChar"/>
        </w:rPr>
        <w:t>&lt;iframe src="../Abbildungen/methodik/sektorvergleich.html" title="Sektorvergleich Top-down, Bottom-up und Dichte-Bewertung" style="width:100%;height:690px;border:0" loading="lazy"&gt;&lt;/iframe&gt;</w:t>
      </w:r>
      <w:r>
        <w:br/>
      </w:r>
      <w:r>
        <w:rPr>
          <w:rStyle w:val="VerbatimChar"/>
        </w:rPr>
        <w:t>```</w:t>
      </w:r>
      <w:r>
        <w:br/>
      </w:r>
      <w:r>
        <w:rPr>
          <w:rStyle w:val="VerbatimChar"/>
        </w:rPr>
        <w:t>[Grafik separat öffnen](../Abbildungen/methodik/sektorvergleich.html)</w:t>
      </w:r>
      <w:r>
        <w:br/>
      </w:r>
      <w:r>
        <w:rPr>
          <w:rStyle w:val="VerbatimChar"/>
        </w:rPr>
        <w:t>:::</w:t>
      </w:r>
    </w:p>
    <w:p w14:paraId="6D73F924" w14:textId="77777777" w:rsidR="004E4CC2" w:rsidRDefault="00000000">
      <w:pPr>
        <w:numPr>
          <w:ilvl w:val="0"/>
          <w:numId w:val="13"/>
        </w:numPr>
      </w:pPr>
      <w:r>
        <w:rPr>
          <w:b/>
          <w:bCs/>
        </w:rPr>
        <w:t>Kapitel/03-gebaeudebestand.qmd, Ausgangszeile 103: Umformulierung / Umgliederung.</w:t>
      </w:r>
    </w:p>
    <w:p w14:paraId="1529C468" w14:textId="77777777" w:rsidR="004E4CC2" w:rsidRDefault="00000000">
      <w:pPr>
        <w:numPr>
          <w:ilvl w:val="0"/>
          <w:numId w:val="1"/>
        </w:numPr>
      </w:pPr>
      <w:r>
        <w:t>Bisher:</w:t>
      </w:r>
    </w:p>
    <w:p w14:paraId="7E6073AA" w14:textId="77777777" w:rsidR="004E4CC2" w:rsidRDefault="00000000">
      <w:pPr>
        <w:pStyle w:val="SourceCode"/>
        <w:numPr>
          <w:ilvl w:val="0"/>
          <w:numId w:val="1"/>
        </w:numPr>
      </w:pPr>
      <w:r>
        <w:rPr>
          <w:rStyle w:val="VerbatimChar"/>
        </w:rPr>
        <w:t>Für die Kalibrierung in @sec-kalibrierung fehlen noch die definierten PEQ-Flächenanteile, die abgestimmte Versorgung der übrigen Typen sowie alternative PV-/Flexibilitätsvarianten. Die gelieferte Typologiematrix und ihre Ergebnisse bilden nun eine prüfbare Grundlage für diese Entsche</w:t>
      </w:r>
      <w:r>
        <w:rPr>
          <w:rStyle w:val="VerbatimChar"/>
        </w:rPr>
        <w:lastRenderedPageBreak/>
        <w:t>idungen. Die THG-Allokation erhält dadurch nicht automatisch eine neue Flächenbasis.</w:t>
      </w:r>
    </w:p>
    <w:p w14:paraId="55422F33" w14:textId="77777777" w:rsidR="004E4CC2" w:rsidRDefault="00000000">
      <w:pPr>
        <w:numPr>
          <w:ilvl w:val="0"/>
          <w:numId w:val="1"/>
        </w:numPr>
      </w:pPr>
      <w:r>
        <w:t>Jetzt:</w:t>
      </w:r>
    </w:p>
    <w:p w14:paraId="6719ADD6" w14:textId="77777777" w:rsidR="004E4CC2" w:rsidRDefault="00000000">
      <w:pPr>
        <w:pStyle w:val="SourceCode"/>
        <w:numPr>
          <w:ilvl w:val="0"/>
          <w:numId w:val="1"/>
        </w:numPr>
      </w:pPr>
      <w:r>
        <w:rPr>
          <w:rStyle w:val="VerbatimChar"/>
        </w:rPr>
        <w:t>Die dritte Vergleichsgruppe addiert die historische Dichtefunktion rechnerisch über **alle positiv gewichteten Typen**. Das ergibt einen virtuellen Beitrag von −57,81 PJ-Äquivalent/a: Der betriebliche Bewertungssaldo beträgt damit −117,06 PJ-Äquivalent/a und einschließlich derselben MIV-Zuordnung −165,06 PJ-Äquivalent/a. Die physischen Energieflüsse bleiben unverändert. Diese vollständige Anwendung ist ein transparenter Vergleichsfall; sie ersetzt keine Festlegung der PEQ-berechtigten Flächenanteile.</w:t>
      </w:r>
      <w:r>
        <w:br/>
      </w:r>
      <w:r>
        <w:br/>
      </w:r>
      <w:r>
        <w:br/>
      </w:r>
      <w:r>
        <w:rPr>
          <w:rStyle w:val="VerbatimChar"/>
        </w:rPr>
        <w:t>Der Abstand zum Top-down-Saldo beträgt **−100,25 PJ/a**. Er ergibt sich aus geringerer PV-Erzeugung und höherem Gebäudestrombedarf des gelieferten Pools. Werden auf beiden Seiten dieselben 24 PJ/a MIV-Budget und 72 PJ/a MIV-Bedarf angesetzt, bleibt diese Differenz unverändert. Sie ist ein Szenariounterschied und wird nicht durch nachträgliche Flächenskalierung oder eine neue Gutschrift geschlossen.</w:t>
      </w:r>
      <w:r>
        <w:br/>
      </w:r>
      <w:r>
        <w:br/>
      </w:r>
      <w:r>
        <w:rPr>
          <w:rStyle w:val="VerbatimChar"/>
        </w:rPr>
        <w:t>Für die Kalibrierung in @sec-kalibrierung fehlen die definierten PEQ-Flächenanteile, die abgestimmte Versorgung der übrigen Typen sowie alternative PV-/Flexibilitätsvarianten. Die gelieferte Typologiematrix und ihre Ergebnisse bilden die Grundlage für diese Entscheidungen. Die THG-Allokation erhält dadurch nicht automatisch eine neue Flächenbasis.</w:t>
      </w:r>
    </w:p>
    <w:p w14:paraId="5F2EE3AD" w14:textId="77777777" w:rsidR="004E4CC2" w:rsidRDefault="00000000">
      <w:pPr>
        <w:numPr>
          <w:ilvl w:val="0"/>
          <w:numId w:val="13"/>
        </w:numPr>
      </w:pPr>
      <w:r>
        <w:rPr>
          <w:b/>
          <w:bCs/>
        </w:rPr>
        <w:t>Kapitel/05-kontextfaktoren.qmd, Ausgangszeile 9: Umformulierung / Umgliederung.</w:t>
      </w:r>
    </w:p>
    <w:p w14:paraId="24E14422" w14:textId="77777777" w:rsidR="004E4CC2" w:rsidRDefault="00000000">
      <w:pPr>
        <w:numPr>
          <w:ilvl w:val="0"/>
          <w:numId w:val="1"/>
        </w:numPr>
      </w:pPr>
      <w:r>
        <w:t>Bisher:</w:t>
      </w:r>
    </w:p>
    <w:p w14:paraId="70FF8F7C" w14:textId="77777777" w:rsidR="004E4CC2" w:rsidRDefault="00000000">
      <w:pPr>
        <w:pStyle w:val="SourceCode"/>
        <w:numPr>
          <w:ilvl w:val="0"/>
          <w:numId w:val="1"/>
        </w:numPr>
      </w:pPr>
      <w:r>
        <w:rPr>
          <w:rStyle w:val="VerbatimChar"/>
        </w:rPr>
        <w:t>Der Dichtefaktor verteilt die Anforderungen zwischen unterschiedlichen baulichen Dichten. Die Sanierungsanpassung wird künftig **nach energetischer Gebäudetypologie** festgelegt und im selben Modell abgestimmt. Eine allgemeine, von der Typologie unabhängige Pauschalgutschrift gehört nicht zur neuen Kalibrierung.</w:t>
      </w:r>
    </w:p>
    <w:p w14:paraId="17307EA9" w14:textId="77777777" w:rsidR="004E4CC2" w:rsidRDefault="00000000">
      <w:pPr>
        <w:numPr>
          <w:ilvl w:val="0"/>
          <w:numId w:val="1"/>
        </w:numPr>
      </w:pPr>
      <w:r>
        <w:t>Jetzt:</w:t>
      </w:r>
    </w:p>
    <w:p w14:paraId="3A77E18D" w14:textId="77777777" w:rsidR="004E4CC2" w:rsidRDefault="00000000">
      <w:pPr>
        <w:pStyle w:val="SourceCode"/>
        <w:numPr>
          <w:ilvl w:val="0"/>
          <w:numId w:val="1"/>
        </w:numPr>
      </w:pPr>
      <w:r>
        <w:rPr>
          <w:rStyle w:val="VerbatimChar"/>
        </w:rPr>
        <w:t>Der Dichtefaktor verteilt die Anforderungen zwischen unterschiedlichen baulichen Dichten. Die Sanierungsanpassung wird **nach energetischer Gebäudetypologie** festgelegt und im selben Modell abgestimmt. Eine allgemeine, von der Typologie unabhängige Pauschalgutschrift gehört nicht zur neuen Kalibrierung.</w:t>
      </w:r>
    </w:p>
    <w:p w14:paraId="2414B4FE" w14:textId="77777777" w:rsidR="004E4CC2" w:rsidRDefault="00000000">
      <w:pPr>
        <w:numPr>
          <w:ilvl w:val="0"/>
          <w:numId w:val="13"/>
        </w:numPr>
      </w:pPr>
      <w:r>
        <w:rPr>
          <w:b/>
          <w:bCs/>
        </w:rPr>
        <w:t>Kapitel/05-kontextfaktoren.qmd, Ausgangszeile 13: Umformulierung / Umgliederung.</w:t>
      </w:r>
    </w:p>
    <w:p w14:paraId="497034C9" w14:textId="77777777" w:rsidR="004E4CC2" w:rsidRDefault="00000000">
      <w:pPr>
        <w:numPr>
          <w:ilvl w:val="0"/>
          <w:numId w:val="1"/>
        </w:numPr>
      </w:pPr>
      <w:r>
        <w:t>Bisher:</w:t>
      </w:r>
    </w:p>
    <w:p w14:paraId="70A5EBEB" w14:textId="77777777" w:rsidR="004E4CC2" w:rsidRDefault="00000000">
      <w:pPr>
        <w:pStyle w:val="SourceCode"/>
        <w:numPr>
          <w:ilvl w:val="0"/>
          <w:numId w:val="1"/>
        </w:numPr>
      </w:pPr>
      <w:r>
        <w:rPr>
          <w:rStyle w:val="VerbatimChar"/>
        </w:rPr>
        <w:lastRenderedPageBreak/>
        <w:t>Für jede neue energetische Typologie \(k\) werden die relevanten jährlichen Bedarfe, Erzeugungsannahmen, Bewertungsgrenzen und Anforderungsparameter aus dem Gebäudeszenario beziehungsweise der Kalibrierung dokumentiert. Dabei ist zwischen zwei Rollen zu unterscheiden: **Nicht-PEQ-Klassen** gehen mit ihrem begründeten, szenariotypischen Bilanzbeitrag in die nationale Aggregation ein; für **PEQ-Klassen** wird die erforderliche Bilanzqualität als Zielwertfunktion bestimmt. Eine bestimmte PV-Ausstattung oder ein spezifischer Energiebedarf ist nicht automatisch bereits ein allgemein geltender PEQ-Grenzwert.</w:t>
      </w:r>
    </w:p>
    <w:p w14:paraId="28587B9A" w14:textId="77777777" w:rsidR="004E4CC2" w:rsidRDefault="00000000">
      <w:pPr>
        <w:numPr>
          <w:ilvl w:val="0"/>
          <w:numId w:val="1"/>
        </w:numPr>
      </w:pPr>
      <w:r>
        <w:t>Jetzt:</w:t>
      </w:r>
    </w:p>
    <w:p w14:paraId="658A85B4" w14:textId="77777777" w:rsidR="004E4CC2" w:rsidRDefault="00000000">
      <w:pPr>
        <w:pStyle w:val="SourceCode"/>
        <w:numPr>
          <w:ilvl w:val="0"/>
          <w:numId w:val="1"/>
        </w:numPr>
      </w:pPr>
      <w:r>
        <w:rPr>
          <w:rStyle w:val="VerbatimChar"/>
        </w:rPr>
        <w:t>Für jede neue energetische Typologie $k$ werden die relevanten jährlichen Bedarfe, Erzeugungsannahmen, Bewertungsgrenzen und Anforderungsparameter aus dem Gebäudeszenario beziehungsweise der Kalibrierung dokumentiert. Dabei ist zwischen zwei Rollen zu unterscheiden: **Nicht-PEQ-Klassen** gehen mit ihrem begründeten, szenariotypischen Bilanzbeitrag in die nationale Aggregation ein; für **PEQ-Klassen** wird die erforderliche Bilanzqualität als Zielwertfunktion bestimmt. Eine bestimmte PV-Ausstattung oder ein spezifischer Energiebedarf ist nicht automatisch bereits ein allgemein geltender PEQ-Grenzwert.</w:t>
      </w:r>
    </w:p>
    <w:p w14:paraId="0E384487" w14:textId="77777777" w:rsidR="004E4CC2" w:rsidRDefault="00000000">
      <w:pPr>
        <w:numPr>
          <w:ilvl w:val="0"/>
          <w:numId w:val="13"/>
        </w:numPr>
      </w:pPr>
      <w:r>
        <w:rPr>
          <w:b/>
          <w:bCs/>
        </w:rPr>
        <w:t>Kapitel/05-kontextfaktoren.qmd, Ausgangszeile 19: Umformulierung / Umgliederung.</w:t>
      </w:r>
    </w:p>
    <w:p w14:paraId="1FA9A55E" w14:textId="77777777" w:rsidR="004E4CC2" w:rsidRDefault="00000000">
      <w:pPr>
        <w:numPr>
          <w:ilvl w:val="0"/>
          <w:numId w:val="1"/>
        </w:numPr>
      </w:pPr>
      <w:r>
        <w:t>Bisher:</w:t>
      </w:r>
    </w:p>
    <w:p w14:paraId="4A39D513" w14:textId="77777777" w:rsidR="004E4CC2" w:rsidRDefault="00000000">
      <w:pPr>
        <w:pStyle w:val="SourceCode"/>
        <w:numPr>
          <w:ilvl w:val="0"/>
          <w:numId w:val="1"/>
        </w:numPr>
      </w:pPr>
      <w:r>
        <w:rPr>
          <w:rStyle w:val="VerbatimChar"/>
        </w:rPr>
        <w:t>| \(k\), \(A_{k,j}^{2040}\) | Gebäudetyp und Fläche nach GFZ-Klasse | Aus @sec-gebaeudebestand |</w:t>
      </w:r>
      <w:r>
        <w:br/>
      </w:r>
      <w:r>
        <w:rPr>
          <w:rStyle w:val="VerbatimChar"/>
        </w:rPr>
        <w:t>| \(e_k\), \(p_k\) | Typologiebezogener Energiebedarf und lokale Erzeugung | Gelieferte PV30/noFlex-Kennwerte in @sec-gebaeudesektormodell |</w:t>
      </w:r>
      <w:r>
        <w:br/>
      </w:r>
      <w:r>
        <w:rPr>
          <w:rStyle w:val="VerbatimChar"/>
        </w:rPr>
        <w:t>| \(b_{k,j}^{\mathrm{ref}}\) | Modellierter Referenzsaldo für Nicht-PEQ-Klassen | Aus Szenarioannahmen zu bestimmen |</w:t>
      </w:r>
      <w:r>
        <w:br/>
      </w:r>
      <w:r>
        <w:rPr>
          <w:rStyle w:val="VerbatimChar"/>
        </w:rPr>
        <w:t>| \(t_{k,j}^{\mathrm{PEQ}}\) | Zu kalibrierender Mindestbeitrag für PEQ-Klassen | Neu zu kalibrieren |</w:t>
      </w:r>
      <w:r>
        <w:br/>
      </w:r>
      <w:r>
        <w:rPr>
          <w:rStyle w:val="VerbatimChar"/>
        </w:rPr>
        <w:t>| \(c_{\mathrm{S},k}\) | **Typologiespezifische Sanierungsanpassung** für die jeweils berechtigte PEQ-Klasse | Neu zu kalibrieren |</w:t>
      </w:r>
      <w:r>
        <w:br/>
      </w:r>
      <w:r>
        <w:rPr>
          <w:rStyle w:val="VerbatimChar"/>
        </w:rPr>
        <w:t>| \(c_{\mathrm{D}}(d;\theta)\) | Dichteabhängige Zielwertkorrektur | Neu zu kalibrieren |</w:t>
      </w:r>
      <w:r>
        <w:br/>
      </w:r>
      <w:r>
        <w:rPr>
          <w:rStyle w:val="VerbatimChar"/>
        </w:rPr>
        <w:t>| \(\theta\) | Parameter der Lastenverteilung und gegebenenfalls weitere Nebenbedingungen | Gemeinsam festzulegen |</w:t>
      </w:r>
    </w:p>
    <w:p w14:paraId="27B01026" w14:textId="77777777" w:rsidR="004E4CC2" w:rsidRDefault="00000000">
      <w:pPr>
        <w:numPr>
          <w:ilvl w:val="0"/>
          <w:numId w:val="1"/>
        </w:numPr>
      </w:pPr>
      <w:r>
        <w:t>Jetzt:</w:t>
      </w:r>
    </w:p>
    <w:p w14:paraId="286837E8" w14:textId="77777777" w:rsidR="004E4CC2" w:rsidRDefault="00000000">
      <w:pPr>
        <w:pStyle w:val="SourceCode"/>
        <w:numPr>
          <w:ilvl w:val="0"/>
          <w:numId w:val="1"/>
        </w:numPr>
      </w:pPr>
      <w:r>
        <w:rPr>
          <w:rStyle w:val="VerbatimChar"/>
        </w:rPr>
        <w:t>| $k$, $A_{k,j}^{2040}$ | Gebäudetyp und Fläche nach GFZ-Klasse | Aus @sec-gebaeudebestand |</w:t>
      </w:r>
      <w:r>
        <w:br/>
      </w:r>
      <w:r>
        <w:rPr>
          <w:rStyle w:val="VerbatimChar"/>
        </w:rPr>
        <w:t>| $e_k$, $p_k$ | Typologiebezogener Energiebedarf und lokale Erzeugung | Gelieferte PV30/noFlex-Kennwerte in @sec-gebaeudesektormodell |</w:t>
      </w:r>
      <w:r>
        <w:br/>
      </w:r>
      <w:r>
        <w:rPr>
          <w:rStyle w:val="VerbatimChar"/>
        </w:rPr>
        <w:t>| $b_{k,j}^{\mathrm{ref}}$ | Modellierter Referenzsaldo für Nicht-PEQ-Klassen | Aus Szenarioannahmen zu bestimmen |</w:t>
      </w:r>
      <w:r>
        <w:br/>
      </w:r>
      <w:r>
        <w:rPr>
          <w:rStyle w:val="VerbatimChar"/>
        </w:rPr>
        <w:t>| $t_{k,j}^{\mathrm{PEQ}}$ | Zu kalibrierender Mindestbeitrag für PEQ-Klassen | Neu zu kalibrieren |</w:t>
      </w:r>
      <w:r>
        <w:br/>
      </w:r>
      <w:r>
        <w:rPr>
          <w:rStyle w:val="VerbatimChar"/>
        </w:rPr>
        <w:lastRenderedPageBreak/>
        <w:t>| $c_{\mathrm{S},k}$ | **Typologiespezifische Sanierungsanpassung** für die jeweils berechtigte PEQ-Klasse | Neu zu kalibrieren |</w:t>
      </w:r>
      <w:r>
        <w:br/>
      </w:r>
      <w:r>
        <w:rPr>
          <w:rStyle w:val="VerbatimChar"/>
        </w:rPr>
        <w:t>| $c_{\mathrm{D}}(d;\theta)$ | Dichteabhängige Zielwertkorrektur | Neu zu kalibrieren |</w:t>
      </w:r>
      <w:r>
        <w:br/>
      </w:r>
      <w:r>
        <w:rPr>
          <w:rStyle w:val="VerbatimChar"/>
        </w:rPr>
        <w:t>| $\theta$ | Parameter der Lastenverteilung und gegebenenfalls weitere Nebenbedingungen | Gemeinsam festzulegen |</w:t>
      </w:r>
    </w:p>
    <w:p w14:paraId="4135784D" w14:textId="77777777" w:rsidR="004E4CC2" w:rsidRDefault="00000000">
      <w:pPr>
        <w:numPr>
          <w:ilvl w:val="0"/>
          <w:numId w:val="13"/>
        </w:numPr>
      </w:pPr>
      <w:r>
        <w:rPr>
          <w:b/>
          <w:bCs/>
        </w:rPr>
        <w:t>Kapitel/05-kontextfaktoren.qmd, Ausgangszeile 35: Umformulierung / Umgliederung.</w:t>
      </w:r>
    </w:p>
    <w:p w14:paraId="3B550494" w14:textId="77777777" w:rsidR="004E4CC2" w:rsidRDefault="00000000">
      <w:pPr>
        <w:numPr>
          <w:ilvl w:val="0"/>
          <w:numId w:val="1"/>
        </w:numPr>
      </w:pPr>
      <w:r>
        <w:t>Bisher:</w:t>
      </w:r>
    </w:p>
    <w:p w14:paraId="479D7D1A" w14:textId="77777777" w:rsidR="004E4CC2" w:rsidRDefault="00000000">
      <w:pPr>
        <w:pStyle w:val="SourceCode"/>
        <w:numPr>
          <w:ilvl w:val="0"/>
          <w:numId w:val="1"/>
        </w:numPr>
      </w:pPr>
      <w:r>
        <w:rPr>
          <w:rStyle w:val="VerbatimChar"/>
        </w:rPr>
        <w:t>Sei \(A_G\) die Grundstücksfläche, \(A_B\) die Bruttogrundfläche und \(d=A_B/A_G\) die GFZ. Bei einem Erzeugungspotenzial \(p\) je Grundstücksfläche und einem Bedarf \(e\) je BGF ergibt sich schematisch:</w:t>
      </w:r>
    </w:p>
    <w:p w14:paraId="7FD53864" w14:textId="77777777" w:rsidR="004E4CC2" w:rsidRDefault="00000000">
      <w:pPr>
        <w:numPr>
          <w:ilvl w:val="0"/>
          <w:numId w:val="1"/>
        </w:numPr>
      </w:pPr>
      <w:r>
        <w:t>Jetzt:</w:t>
      </w:r>
    </w:p>
    <w:p w14:paraId="31E14E63" w14:textId="77777777" w:rsidR="004E4CC2" w:rsidRDefault="00000000">
      <w:pPr>
        <w:pStyle w:val="SourceCode"/>
        <w:numPr>
          <w:ilvl w:val="0"/>
          <w:numId w:val="1"/>
        </w:numPr>
      </w:pPr>
      <w:r>
        <w:rPr>
          <w:rStyle w:val="VerbatimChar"/>
        </w:rPr>
        <w:t>Sei $A_G$ die Grundstücksfläche, $A_B$ die Bruttogrundfläche und $d=A_B/A_G$ die GFZ. Bei einem Erzeugungspotenzial $p$ je Grundstücksfläche und einem Bedarf $e$ je BGF ergibt sich schematisch:</w:t>
      </w:r>
    </w:p>
    <w:p w14:paraId="2B8901C2" w14:textId="77777777" w:rsidR="004E4CC2" w:rsidRDefault="00000000">
      <w:pPr>
        <w:numPr>
          <w:ilvl w:val="0"/>
          <w:numId w:val="13"/>
        </w:numPr>
      </w:pPr>
      <w:r>
        <w:rPr>
          <w:b/>
          <w:bCs/>
        </w:rPr>
        <w:t>Kapitel/05-kontextfaktoren.qmd, Ausgangszeile 41: Umformulierung / Umgliederung.</w:t>
      </w:r>
    </w:p>
    <w:p w14:paraId="4215487E" w14:textId="77777777" w:rsidR="004E4CC2" w:rsidRDefault="00000000">
      <w:pPr>
        <w:numPr>
          <w:ilvl w:val="0"/>
          <w:numId w:val="1"/>
        </w:numPr>
      </w:pPr>
      <w:r>
        <w:t>Bisher:</w:t>
      </w:r>
    </w:p>
    <w:p w14:paraId="458ADB85" w14:textId="77777777" w:rsidR="004E4CC2" w:rsidRDefault="00000000">
      <w:pPr>
        <w:pStyle w:val="SourceCode"/>
        <w:numPr>
          <w:ilvl w:val="0"/>
          <w:numId w:val="1"/>
        </w:numPr>
      </w:pPr>
      <w:r>
        <w:rPr>
          <w:rStyle w:val="VerbatimChar"/>
        </w:rPr>
        <w:t>Die Gleichung ist eine **physikalische Orientierung**, noch keine kalibrierte Anforderung. Eine Zielwertfunktion kann durch Parameter, eine Verschiebung der Dichteachse und eine Begrenzung der Gutschrift den Zusammenhang in eine Lastenverteilungsregel übersetzen. Die Parameter sind anhand der nationalen Gebäudeverteilung und Zielbilanz festzulegen [@schneider2023context, Gl. 7–8]. Gebäudeform, Verschattung, Dach- und Fassadennutzung bleiben Gegenstand der tatsächlichen Quartiersbilanz.</w:t>
      </w:r>
    </w:p>
    <w:p w14:paraId="7B145DAC" w14:textId="77777777" w:rsidR="004E4CC2" w:rsidRDefault="00000000">
      <w:pPr>
        <w:numPr>
          <w:ilvl w:val="0"/>
          <w:numId w:val="1"/>
        </w:numPr>
      </w:pPr>
      <w:r>
        <w:t>Jetzt:</w:t>
      </w:r>
    </w:p>
    <w:p w14:paraId="575A7FF3" w14:textId="77777777" w:rsidR="004E4CC2" w:rsidRDefault="00000000">
      <w:pPr>
        <w:pStyle w:val="SourceCode"/>
        <w:numPr>
          <w:ilvl w:val="0"/>
          <w:numId w:val="1"/>
        </w:numPr>
      </w:pPr>
      <w:r>
        <w:rPr>
          <w:rStyle w:val="VerbatimChar"/>
        </w:rPr>
        <w:t>Die Gleichung beschreibt den physikalischen Zusammenhang; die Anforderung folgt aus der nationalen Kalibrierung. Eine Zielwertfunktion kann durch Parameter, eine Verschiebung der Dichteachse und eine Begrenzung der Gutschrift den Zusammenhang in eine Lastenverteilungsregel übersetzen. Die Parameter sind anhand der nationalen Gebäudeverteilung und Zielbilanz festzulegen [@schneider2023context, Gl. 7–8]. Gebäudeform, Verschattung, Dach- und Fassadennutzung bleiben Gegenstand der tatsächlichen Quartiersbilanz.</w:t>
      </w:r>
    </w:p>
    <w:p w14:paraId="45EB7FD8" w14:textId="77777777" w:rsidR="004E4CC2" w:rsidRDefault="00000000">
      <w:pPr>
        <w:numPr>
          <w:ilvl w:val="0"/>
          <w:numId w:val="13"/>
        </w:numPr>
      </w:pPr>
      <w:r>
        <w:rPr>
          <w:b/>
          <w:bCs/>
        </w:rPr>
        <w:t>Kapitel/05-kontextfaktoren.qmd, Ausgangszeile 47: Umformulierung / Umgliederung.</w:t>
      </w:r>
    </w:p>
    <w:p w14:paraId="769450E4" w14:textId="77777777" w:rsidR="004E4CC2" w:rsidRDefault="00000000">
      <w:pPr>
        <w:numPr>
          <w:ilvl w:val="0"/>
          <w:numId w:val="1"/>
        </w:numPr>
      </w:pPr>
      <w:r>
        <w:t>Bisher:</w:t>
      </w:r>
    </w:p>
    <w:p w14:paraId="32F02959" w14:textId="77777777" w:rsidR="004E4CC2" w:rsidRDefault="00000000">
      <w:pPr>
        <w:pStyle w:val="SourceCode"/>
        <w:numPr>
          <w:ilvl w:val="0"/>
          <w:numId w:val="1"/>
        </w:numPr>
      </w:pPr>
      <w:r>
        <w:rPr>
          <w:rStyle w:val="VerbatimChar"/>
        </w:rPr>
        <w:lastRenderedPageBreak/>
        <w:t>Bei der Neubestimmung der Funktion ist zwischen dem unveränderten **physikalisch errechneten Quartierssaldo** und den **virtuellen Zielwertkorrekturen** zu unterscheiden. Für eine PEQ-berechtigte Typologie \(k\) lautet die Bewertungsbedingung schematisch:</w:t>
      </w:r>
    </w:p>
    <w:p w14:paraId="426F122D" w14:textId="77777777" w:rsidR="004E4CC2" w:rsidRDefault="00000000">
      <w:pPr>
        <w:numPr>
          <w:ilvl w:val="0"/>
          <w:numId w:val="1"/>
        </w:numPr>
      </w:pPr>
      <w:r>
        <w:t>Jetzt:</w:t>
      </w:r>
    </w:p>
    <w:p w14:paraId="3A190FD4" w14:textId="77777777" w:rsidR="004E4CC2" w:rsidRDefault="00000000">
      <w:pPr>
        <w:pStyle w:val="SourceCode"/>
        <w:numPr>
          <w:ilvl w:val="0"/>
          <w:numId w:val="1"/>
        </w:numPr>
      </w:pPr>
      <w:r>
        <w:rPr>
          <w:rStyle w:val="VerbatimChar"/>
        </w:rPr>
        <w:t>Bei der Neubestimmung der Funktion ist zwischen dem unveränderten **physikalisch errechneten Quartierssaldo** und den **virtuellen Zielwertkorrekturen** zu unterscheiden. Für eine PEQ-berechtigte Typologie $k$ lautet die Bewertungsbedingung schematisch:</w:t>
      </w:r>
    </w:p>
    <w:p w14:paraId="6E811CCB" w14:textId="77777777" w:rsidR="004E4CC2" w:rsidRDefault="00000000">
      <w:pPr>
        <w:numPr>
          <w:ilvl w:val="0"/>
          <w:numId w:val="13"/>
        </w:numPr>
      </w:pPr>
      <w:r>
        <w:rPr>
          <w:b/>
          <w:bCs/>
        </w:rPr>
        <w:t>Kapitel/05-kontextfaktoren.qmd, Ausgangszeile 61: Umformulierung / Umgliederung.</w:t>
      </w:r>
    </w:p>
    <w:p w14:paraId="6A3A7D59" w14:textId="77777777" w:rsidR="004E4CC2" w:rsidRDefault="00000000">
      <w:pPr>
        <w:numPr>
          <w:ilvl w:val="0"/>
          <w:numId w:val="1"/>
        </w:numPr>
      </w:pPr>
      <w:r>
        <w:t>Bisher:</w:t>
      </w:r>
    </w:p>
    <w:p w14:paraId="60E7A4DC" w14:textId="77777777" w:rsidR="004E4CC2" w:rsidRDefault="00000000">
      <w:pPr>
        <w:pStyle w:val="SourceCode"/>
        <w:numPr>
          <w:ilvl w:val="0"/>
          <w:numId w:val="1"/>
        </w:numPr>
      </w:pPr>
      <w:r>
        <w:rPr>
          <w:rStyle w:val="VerbatimChar"/>
        </w:rPr>
        <w:t>Dabei ist \(t_{k,0}^{\mathrm{PE}}\) das einheitlich definierte Basiskriterium der betroffenen PEQ-Klasse; bei einem Nullmaßstab ist es null. Diese Gleichungen beschreiben die **Parameterstruktur**, nicht schon die endgültige Funktionsform. Vor einer Festlegung sind Dichteachsenverschiebung, Begrenzungen, Typologiezuordnung und Nebenbedingungen abzustimmen. Für Nicht-PEQ-Klassen werden stattdessen die prognostizierten Bilanzbeiträge dokumentiert. Mobilität wird nicht als frei wählbarer Kalibrierrest in die Dichtefunktion eingerechnet: Das nationale MIV-Budget entsteht in @sec-allokation und wird in @sec-kontext-mobilitaet verwendet.</w:t>
      </w:r>
    </w:p>
    <w:p w14:paraId="31AC6A7C" w14:textId="77777777" w:rsidR="004E4CC2" w:rsidRDefault="00000000">
      <w:pPr>
        <w:numPr>
          <w:ilvl w:val="0"/>
          <w:numId w:val="1"/>
        </w:numPr>
      </w:pPr>
      <w:r>
        <w:t>Jetzt:</w:t>
      </w:r>
    </w:p>
    <w:p w14:paraId="3E7DD35D" w14:textId="77777777" w:rsidR="004E4CC2" w:rsidRDefault="00000000">
      <w:pPr>
        <w:pStyle w:val="SourceCode"/>
        <w:numPr>
          <w:ilvl w:val="0"/>
          <w:numId w:val="1"/>
        </w:numPr>
      </w:pPr>
      <w:r>
        <w:rPr>
          <w:rStyle w:val="VerbatimChar"/>
        </w:rPr>
        <w:t>Dabei ist $t_{k,0}^{\mathrm{PE}}$ das einheitlich definierte Basiskriterium der betroffenen PEQ-Klasse; bei einem Nullmaßstab ist es null. Diese Gleichungen definieren die **Parameterstruktur** des Entwurfs. Vor einer Festlegung sind Dichteachsenverschiebung, Begrenzungen, Typologiezuordnung und Nebenbedingungen abzustimmen. Für Nicht-PEQ-Klassen werden stattdessen die prognostizierten Bilanzbeiträge dokumentiert. Mobilität wird nicht als frei wählbarer Kalibrierrest in die Dichtefunktion eingerechnet: Das nationale MIV-Budget entsteht in @sec-allokation und wird in @sec-kontext-mobilitaet verwendet.</w:t>
      </w:r>
    </w:p>
    <w:p w14:paraId="7C227916" w14:textId="77777777" w:rsidR="004E4CC2" w:rsidRDefault="00000000">
      <w:pPr>
        <w:numPr>
          <w:ilvl w:val="0"/>
          <w:numId w:val="13"/>
        </w:numPr>
      </w:pPr>
      <w:r>
        <w:rPr>
          <w:b/>
          <w:bCs/>
        </w:rPr>
        <w:t>Kapitel/05-kontextfaktoren.qmd, Ausgangszeile 63: Umformulierung / Umgliederung.</w:t>
      </w:r>
    </w:p>
    <w:p w14:paraId="518C4D2F" w14:textId="77777777" w:rsidR="004E4CC2" w:rsidRDefault="00000000">
      <w:pPr>
        <w:numPr>
          <w:ilvl w:val="0"/>
          <w:numId w:val="1"/>
        </w:numPr>
      </w:pPr>
      <w:r>
        <w:t>Bisher:</w:t>
      </w:r>
    </w:p>
    <w:p w14:paraId="0E79D839" w14:textId="77777777" w:rsidR="004E4CC2" w:rsidRDefault="00000000">
      <w:pPr>
        <w:pStyle w:val="SourceCode"/>
        <w:numPr>
          <w:ilvl w:val="0"/>
          <w:numId w:val="1"/>
        </w:numPr>
      </w:pPr>
      <w:r>
        <w:rPr>
          <w:rStyle w:val="VerbatimChar"/>
        </w:rPr>
        <w:t>Für die Sanierungsanpassung gilt ausdrücklich: **kein einheitlicher Faktor für sämtliche sanierten Flächen**. Der Wert \(c_{\mathrm{S},k}\) hängt von der zugewiesenen Typologie ab und wird mit deren energetischen Annahmen und nationalem Flächenanteil gemeinsam kalibriert. Ob für bestimmte Klassen der Anpassungswert null ist und wie unterschiedliche Sanierungsintensitäten bewertet werden, ist anhand der neuen Excel-Klassen fachlich zu begründen.</w:t>
      </w:r>
    </w:p>
    <w:p w14:paraId="7368B581" w14:textId="77777777" w:rsidR="004E4CC2" w:rsidRDefault="00000000">
      <w:pPr>
        <w:numPr>
          <w:ilvl w:val="0"/>
          <w:numId w:val="1"/>
        </w:numPr>
      </w:pPr>
      <w:r>
        <w:lastRenderedPageBreak/>
        <w:t>Jetzt:</w:t>
      </w:r>
    </w:p>
    <w:p w14:paraId="13081BEA" w14:textId="77777777" w:rsidR="004E4CC2" w:rsidRDefault="00000000">
      <w:pPr>
        <w:pStyle w:val="SourceCode"/>
        <w:numPr>
          <w:ilvl w:val="0"/>
          <w:numId w:val="1"/>
        </w:numPr>
      </w:pPr>
      <w:r>
        <w:rPr>
          <w:rStyle w:val="VerbatimChar"/>
        </w:rPr>
        <w:t>Für die Sanierungsanpassung gilt ausdrücklich: **kein einheitlicher Faktor für sämtliche sanierten Flächen**. Der Wert $c_{\mathrm{S},k}$ hängt von der zugewiesenen Typologie ab und wird mit deren energetischen Annahmen und nationalem Flächenanteil gemeinsam kalibriert. Ob für bestimmte Klassen der Anpassungswert null ist und wie unterschiedliche Sanierungsintensitäten bewertet werden, ist anhand der neuen Excel-Klassen fachlich zu begründen.</w:t>
      </w:r>
    </w:p>
    <w:p w14:paraId="392391D6" w14:textId="77777777" w:rsidR="004E4CC2" w:rsidRDefault="00000000">
      <w:pPr>
        <w:numPr>
          <w:ilvl w:val="0"/>
          <w:numId w:val="13"/>
        </w:numPr>
      </w:pPr>
      <w:r>
        <w:rPr>
          <w:b/>
          <w:bCs/>
        </w:rPr>
        <w:t>Kapitel/05-kontextfaktoren.qmd, Ausgangszeile 67: Umformulierung / Umgliederung.</w:t>
      </w:r>
    </w:p>
    <w:p w14:paraId="249E9091" w14:textId="77777777" w:rsidR="004E4CC2" w:rsidRDefault="00000000">
      <w:pPr>
        <w:numPr>
          <w:ilvl w:val="0"/>
          <w:numId w:val="1"/>
        </w:numPr>
      </w:pPr>
      <w:r>
        <w:t>Bisher:</w:t>
      </w:r>
    </w:p>
    <w:p w14:paraId="721CCBA3" w14:textId="77777777" w:rsidR="004E4CC2" w:rsidRDefault="00000000">
      <w:pPr>
        <w:pStyle w:val="SourceCode"/>
        <w:numPr>
          <w:ilvl w:val="0"/>
          <w:numId w:val="1"/>
        </w:numPr>
      </w:pPr>
      <w:r>
        <w:rPr>
          <w:rStyle w:val="VerbatimChar"/>
        </w:rPr>
        <w:t>Die Flächenverteilung nach Typologie \(k\) und Dichteklasse \(j\) wird aus @sec-gebaeudebestand übernommen. Ein konsistent auf **BGF** bezogener jährlicher nationaler Modellbeitrag lässt sich in den **fest vorgegebenen Beitrag der Nicht-PEQ-Klassen** und die **kalibrierten Beiträge der PEQ-Klassen** zerlegen:</w:t>
      </w:r>
    </w:p>
    <w:p w14:paraId="55BD188F" w14:textId="77777777" w:rsidR="004E4CC2" w:rsidRDefault="00000000">
      <w:pPr>
        <w:numPr>
          <w:ilvl w:val="0"/>
          <w:numId w:val="1"/>
        </w:numPr>
      </w:pPr>
      <w:r>
        <w:t>Jetzt:</w:t>
      </w:r>
    </w:p>
    <w:p w14:paraId="526418F7" w14:textId="77777777" w:rsidR="004E4CC2" w:rsidRDefault="00000000">
      <w:pPr>
        <w:pStyle w:val="SourceCode"/>
        <w:numPr>
          <w:ilvl w:val="0"/>
          <w:numId w:val="1"/>
        </w:numPr>
      </w:pPr>
      <w:r>
        <w:rPr>
          <w:rStyle w:val="VerbatimChar"/>
        </w:rPr>
        <w:t>Die Flächenverteilung nach Typologie $k$ und Dichteklasse $j$ wird aus @sec-gebaeudebestand übernommen. Ein konsistent auf **BGF** bezogener jährlicher nationaler Modellbeitrag lässt sich in den **fest vorgegebenen Beitrag der Nicht-PEQ-Klassen** und die **kalibrierten Beiträge der PEQ-Klassen** zerlegen:</w:t>
      </w:r>
    </w:p>
    <w:p w14:paraId="651E8E99" w14:textId="77777777" w:rsidR="004E4CC2" w:rsidRDefault="00000000">
      <w:pPr>
        <w:numPr>
          <w:ilvl w:val="0"/>
          <w:numId w:val="13"/>
        </w:numPr>
      </w:pPr>
      <w:r>
        <w:rPr>
          <w:b/>
          <w:bCs/>
        </w:rPr>
        <w:t>Kapitel/05-kontextfaktoren.qmd, Ausgangszeile 75: Umformulierung / Umgliederung.</w:t>
      </w:r>
    </w:p>
    <w:p w14:paraId="60517FBD" w14:textId="77777777" w:rsidR="004E4CC2" w:rsidRDefault="00000000">
      <w:pPr>
        <w:numPr>
          <w:ilvl w:val="0"/>
          <w:numId w:val="1"/>
        </w:numPr>
      </w:pPr>
      <w:r>
        <w:t>Bisher:</w:t>
      </w:r>
    </w:p>
    <w:p w14:paraId="319E4EAD" w14:textId="77777777" w:rsidR="004E4CC2" w:rsidRDefault="00000000">
      <w:pPr>
        <w:pStyle w:val="SourceCode"/>
        <w:numPr>
          <w:ilvl w:val="0"/>
          <w:numId w:val="1"/>
        </w:numPr>
      </w:pPr>
      <w:r>
        <w:rPr>
          <w:rStyle w:val="VerbatimChar"/>
        </w:rPr>
        <w:t>Die Beiträge \(b_{k,j}^{\mathrm{ref}}\) und \(t_{k,j}^{\mathrm{PEQ}}\) müssen hier in derselben auf BGF bezogenen, national aggregierbaren Bilanzgröße ausgedrückt sein. Die Ziel- und Flächenbezüge sind vor der Aggregation zu harmonisieren: Ein PEQ-Zielwert in kWh PE/(m² NGF·a) kann nicht unmittelbar mit nationaler BGF multipliziert werden. Ebenso kann eine in PJ **elektrischer Energie** ausgewiesene nationale Sektorbilanz nicht ohne Definition und Umrechnung mit einem Primärenergiesaldo gleichgesetzt werden. Diese Umrechnung – einschließlich NGF/BGF und geeigneter PE-Gewichtung – gehört ausdrücklich zur Kalibrierrechnung und zu ihrer Dokumentation.</w:t>
      </w:r>
    </w:p>
    <w:p w14:paraId="213D1499" w14:textId="77777777" w:rsidR="004E4CC2" w:rsidRDefault="00000000">
      <w:pPr>
        <w:numPr>
          <w:ilvl w:val="0"/>
          <w:numId w:val="1"/>
        </w:numPr>
      </w:pPr>
      <w:r>
        <w:t>Jetzt:</w:t>
      </w:r>
    </w:p>
    <w:p w14:paraId="3F4BEB94" w14:textId="77777777" w:rsidR="004E4CC2" w:rsidRDefault="00000000">
      <w:pPr>
        <w:pStyle w:val="SourceCode"/>
        <w:numPr>
          <w:ilvl w:val="0"/>
          <w:numId w:val="1"/>
        </w:numPr>
      </w:pPr>
      <w:r>
        <w:rPr>
          <w:rStyle w:val="VerbatimChar"/>
        </w:rPr>
        <w:t>Die Beiträge werden als jährliche elektrische Energie je BGF aggregiert. Für NGF-bezogene Kennwerte gilt der dokumentierte Flächenfaktor; die PE-Bewertung folgt getrennt in der Quartiersbilanz.</w:t>
      </w:r>
    </w:p>
    <w:p w14:paraId="5E9956DE" w14:textId="77777777" w:rsidR="004E4CC2" w:rsidRDefault="00000000">
      <w:pPr>
        <w:numPr>
          <w:ilvl w:val="0"/>
          <w:numId w:val="13"/>
        </w:numPr>
      </w:pPr>
      <w:r>
        <w:rPr>
          <w:b/>
          <w:bCs/>
        </w:rPr>
        <w:lastRenderedPageBreak/>
        <w:t>Kapitel/05-kontextfaktoren.qmd, Ausgangszeile 77: Umformulierung / Umgliederung.</w:t>
      </w:r>
    </w:p>
    <w:p w14:paraId="3BA67524" w14:textId="77777777" w:rsidR="004E4CC2" w:rsidRDefault="00000000">
      <w:pPr>
        <w:numPr>
          <w:ilvl w:val="0"/>
          <w:numId w:val="1"/>
        </w:numPr>
      </w:pPr>
      <w:r>
        <w:t>Bisher:</w:t>
      </w:r>
    </w:p>
    <w:p w14:paraId="7BE8AE88" w14:textId="77777777" w:rsidR="004E4CC2" w:rsidRDefault="00000000">
      <w:pPr>
        <w:pStyle w:val="SourceCode"/>
        <w:numPr>
          <w:ilvl w:val="0"/>
          <w:numId w:val="1"/>
        </w:numPr>
      </w:pPr>
      <w:r>
        <w:rPr>
          <w:rStyle w:val="VerbatimChar"/>
        </w:rPr>
        <w:t>Die Parameter \(\theta\) werden so gewählt, dass sich der nationale aggregierte Zielbeitrag und der aus @sec-allokation stammende, in dieselbe Bilanzgröße überführte Referenzsaldo innerhalb einer ausgewiesenen Toleranz entsprechen:</w:t>
      </w:r>
    </w:p>
    <w:p w14:paraId="287C8A0C" w14:textId="77777777" w:rsidR="004E4CC2" w:rsidRDefault="00000000">
      <w:pPr>
        <w:numPr>
          <w:ilvl w:val="0"/>
          <w:numId w:val="1"/>
        </w:numPr>
      </w:pPr>
      <w:r>
        <w:t>Jetzt:</w:t>
      </w:r>
    </w:p>
    <w:p w14:paraId="4CC8C4E7" w14:textId="77777777" w:rsidR="004E4CC2" w:rsidRDefault="00000000">
      <w:pPr>
        <w:pStyle w:val="SourceCode"/>
        <w:numPr>
          <w:ilvl w:val="0"/>
          <w:numId w:val="1"/>
        </w:numPr>
      </w:pPr>
      <w:r>
        <w:rPr>
          <w:rStyle w:val="VerbatimChar"/>
        </w:rPr>
        <w:t>Die Parameter $\theta$ werden so gewählt, dass sich der nationale aggregierte Zielbeitrag und der aus @sec-allokation stammende, in dieselbe Bilanzgröße überführte Referenzsaldo innerhalb einer ausgewiesenen Toleranz entsprechen:</w:t>
      </w:r>
    </w:p>
    <w:p w14:paraId="4D36A3E4" w14:textId="77777777" w:rsidR="004E4CC2" w:rsidRDefault="00000000">
      <w:pPr>
        <w:numPr>
          <w:ilvl w:val="0"/>
          <w:numId w:val="13"/>
        </w:numPr>
      </w:pPr>
      <w:r>
        <w:rPr>
          <w:b/>
          <w:bCs/>
        </w:rPr>
        <w:t>Kapitel/05-kontextfaktoren.qmd, Ausgangszeile 86: Umformulierung / Umgliederung.</w:t>
      </w:r>
    </w:p>
    <w:p w14:paraId="443A30BA" w14:textId="77777777" w:rsidR="004E4CC2" w:rsidRDefault="00000000">
      <w:pPr>
        <w:numPr>
          <w:ilvl w:val="0"/>
          <w:numId w:val="1"/>
        </w:numPr>
      </w:pPr>
      <w:r>
        <w:t>Bisher:</w:t>
      </w:r>
    </w:p>
    <w:p w14:paraId="076C33AE" w14:textId="77777777" w:rsidR="004E4CC2" w:rsidRDefault="00000000">
      <w:pPr>
        <w:pStyle w:val="SourceCode"/>
        <w:numPr>
          <w:ilvl w:val="0"/>
          <w:numId w:val="1"/>
        </w:numPr>
      </w:pPr>
      <w:r>
        <w:rPr>
          <w:rStyle w:val="VerbatimChar"/>
        </w:rPr>
        <w:t>## Kalibrierergebnis und Qualitätssicherung</w:t>
      </w:r>
    </w:p>
    <w:p w14:paraId="5D074119" w14:textId="77777777" w:rsidR="004E4CC2" w:rsidRDefault="00000000">
      <w:pPr>
        <w:numPr>
          <w:ilvl w:val="0"/>
          <w:numId w:val="1"/>
        </w:numPr>
      </w:pPr>
      <w:r>
        <w:t>Jetzt:</w:t>
      </w:r>
    </w:p>
    <w:p w14:paraId="7A594055" w14:textId="77777777" w:rsidR="004E4CC2" w:rsidRDefault="00000000">
      <w:pPr>
        <w:pStyle w:val="SourceCode"/>
        <w:numPr>
          <w:ilvl w:val="0"/>
          <w:numId w:val="1"/>
        </w:numPr>
      </w:pPr>
      <w:r>
        <w:rPr>
          <w:rStyle w:val="VerbatimChar"/>
        </w:rPr>
        <w:t>## Kalibrierungsstand und Ergebnisvergleich</w:t>
      </w:r>
    </w:p>
    <w:p w14:paraId="4D05FE6E" w14:textId="77777777" w:rsidR="004E4CC2" w:rsidRDefault="00000000">
      <w:pPr>
        <w:numPr>
          <w:ilvl w:val="0"/>
          <w:numId w:val="13"/>
        </w:numPr>
      </w:pPr>
      <w:r>
        <w:rPr>
          <w:b/>
          <w:bCs/>
        </w:rPr>
        <w:t>Kapitel/05-kontextfaktoren.qmd, Ausgangszeile 88: Umformulierung / Umgliederung.</w:t>
      </w:r>
    </w:p>
    <w:p w14:paraId="79FE9E0B" w14:textId="77777777" w:rsidR="004E4CC2" w:rsidRDefault="00000000">
      <w:pPr>
        <w:numPr>
          <w:ilvl w:val="0"/>
          <w:numId w:val="1"/>
        </w:numPr>
      </w:pPr>
      <w:r>
        <w:t>Bisher:</w:t>
      </w:r>
    </w:p>
    <w:p w14:paraId="38021544" w14:textId="77777777" w:rsidR="004E4CC2" w:rsidRDefault="00000000">
      <w:pPr>
        <w:pStyle w:val="SourceCode"/>
        <w:numPr>
          <w:ilvl w:val="0"/>
          <w:numId w:val="1"/>
        </w:numPr>
      </w:pPr>
      <w:r>
        <w:rPr>
          <w:rStyle w:val="VerbatimChar"/>
        </w:rPr>
        <w:t>Die Top-down-Seite ist als parametrierbare Rechnung in @sec-allokation-notebook umgesetzt. Unter den ausdrücklich vorläufigen Annahmen in @sec-allokation-ergebnisse ergeben sich 24 PJ/a elektrisches MIV-Budget und −7 PJ/a für den erweiterten Gebäudesektorsaldo einschließlich MIV. Die Bottom-up-Seite liegt nun in @sec-gebaeudesektormodell vor: 603 positiv gewichtete Typen, ihre GFZ-Verteilungen und die jeweiligen Erwartungswerte der vorläufigen historischen Dichtefunktion. Die Einzelzielzuordnung zu Dichteklassen ist mit 100 % bestätigt; bei zwei Zielklassen gelten die gelieferten Anteile.</w:t>
      </w:r>
    </w:p>
    <w:p w14:paraId="42F6A28D" w14:textId="77777777" w:rsidR="004E4CC2" w:rsidRDefault="00000000">
      <w:pPr>
        <w:numPr>
          <w:ilvl w:val="0"/>
          <w:numId w:val="1"/>
        </w:numPr>
      </w:pPr>
      <w:r>
        <w:t>Jetzt:</w:t>
      </w:r>
    </w:p>
    <w:p w14:paraId="0AC6D4B1" w14:textId="77777777" w:rsidR="004E4CC2" w:rsidRDefault="00000000">
      <w:pPr>
        <w:pStyle w:val="SourceCode"/>
        <w:numPr>
          <w:ilvl w:val="0"/>
          <w:numId w:val="1"/>
        </w:numPr>
      </w:pPr>
      <w:r>
        <w:rPr>
          <w:rStyle w:val="VerbatimChar"/>
        </w:rPr>
        <w:t>Unter den Annahmen des Referenzfalls ergeben sich 24 PJ/a elektrisches MIV-Budget und −7 PJ/a für den Gebäudesektorsaldo einschließlich MIV (@sec-allokation-ergebnisse). Die Bottom-up-Rechnung umfasst 603 positiv gewichtete Typen, ihre GFZ-Verteilungen und die Erwartungswerte der historischen Dichtefunktion (@sec-gebaeudesektormodell).</w:t>
      </w:r>
    </w:p>
    <w:p w14:paraId="08DA3922" w14:textId="77777777" w:rsidR="004E4CC2" w:rsidRDefault="00000000">
      <w:pPr>
        <w:numPr>
          <w:ilvl w:val="0"/>
          <w:numId w:val="13"/>
        </w:numPr>
      </w:pPr>
      <w:r>
        <w:rPr>
          <w:b/>
          <w:bCs/>
        </w:rPr>
        <w:lastRenderedPageBreak/>
        <w:t>Kapitel/05-kontextfaktoren.qmd, Ausgangszeile 90: Umformulierung / Umgliederung.</w:t>
      </w:r>
    </w:p>
    <w:p w14:paraId="36CE94FC" w14:textId="77777777" w:rsidR="004E4CC2" w:rsidRDefault="00000000">
      <w:pPr>
        <w:numPr>
          <w:ilvl w:val="0"/>
          <w:numId w:val="1"/>
        </w:numPr>
      </w:pPr>
      <w:r>
        <w:t>Bisher:</w:t>
      </w:r>
    </w:p>
    <w:p w14:paraId="2E3653E6" w14:textId="77777777" w:rsidR="004E4CC2" w:rsidRDefault="00000000">
      <w:pPr>
        <w:pStyle w:val="SourceCode"/>
        <w:numPr>
          <w:ilvl w:val="0"/>
          <w:numId w:val="1"/>
        </w:numPr>
      </w:pPr>
      <w:r>
        <w:rPr>
          <w:rStyle w:val="VerbatimChar"/>
        </w:rPr>
        <w:t>Der physische Pool-Stromsaldo beträgt −59,25 PJ/a. Einschließlich derselben einmaligen MIV-Zuordnung ergibt sich −107,25 PJ/a, also −100,25 PJ/a gegenüber dem Top-down-Beispiel. Die virtuellen Dichte-Erwartungswerte werden dabei nicht als reale Deckung hinzuaddiert. Der Pool enthält nur PV30/noFlex sowie noch erhebliche Gas- und Ölmengen. Eine neue Zielwertfunktion lässt sich deshalb nicht allein durch Gleichsetzen dieses Pool-Ergebnisses mit dem nationalen Ziel bestimmen. PEQ-Flächenanteile, energetische Entwicklung der übrigen Typen und alternative PV-Ausstattungen sind zuerst festzulegen.</w:t>
      </w:r>
    </w:p>
    <w:p w14:paraId="753D7BEA" w14:textId="77777777" w:rsidR="004E4CC2" w:rsidRDefault="00000000">
      <w:pPr>
        <w:numPr>
          <w:ilvl w:val="0"/>
          <w:numId w:val="1"/>
        </w:numPr>
      </w:pPr>
      <w:r>
        <w:t>Jetzt:</w:t>
      </w:r>
    </w:p>
    <w:p w14:paraId="52C7A649" w14:textId="77777777" w:rsidR="004E4CC2" w:rsidRDefault="00000000">
      <w:pPr>
        <w:pStyle w:val="SourceCode"/>
        <w:numPr>
          <w:ilvl w:val="0"/>
          <w:numId w:val="1"/>
        </w:numPr>
      </w:pPr>
      <w:r>
        <w:rPr>
          <w:rStyle w:val="VerbatimChar"/>
        </w:rPr>
        <w:t>Der physische Pool-Stromsaldo beträgt −59,25 PJ/a. Einschließlich derselben einmaligen MIV-Zuordnung ergibt sich −107,25 PJ/a, also −100,25 PJ/a gegenüber dem Top-down-Beispiel. Die virtuellen Dichte-Erwartungswerte werden dabei nicht als reale Deckung hinzuaddiert. Der Pool enthält nur PV30/noFlex sowie erhebliche Gas- und Ölmengen. Eine neue Zielwertfunktion lässt sich deshalb nicht allein durch Gleichsetzen dieses Pool-Ergebnisses mit dem nationalen Ziel bestimmen. PEQ-Flächenanteile, energetische Entwicklung der übrigen Typen und alternative PV-Ausstattungen sind zuerst festzulegen.</w:t>
      </w:r>
    </w:p>
    <w:p w14:paraId="5043161C" w14:textId="77777777" w:rsidR="004E4CC2" w:rsidRDefault="00000000">
      <w:pPr>
        <w:numPr>
          <w:ilvl w:val="0"/>
          <w:numId w:val="13"/>
        </w:numPr>
      </w:pPr>
      <w:r>
        <w:rPr>
          <w:b/>
          <w:bCs/>
        </w:rPr>
        <w:t>Kapitel/05-kontextfaktoren.qmd, Ausgangszeile 92: Umformulierung / Umgliederung.</w:t>
      </w:r>
    </w:p>
    <w:p w14:paraId="38B416F9" w14:textId="77777777" w:rsidR="004E4CC2" w:rsidRDefault="00000000">
      <w:pPr>
        <w:numPr>
          <w:ilvl w:val="0"/>
          <w:numId w:val="1"/>
        </w:numPr>
      </w:pPr>
      <w:r>
        <w:t>Bisher:</w:t>
      </w:r>
    </w:p>
    <w:p w14:paraId="6FE23063" w14:textId="77777777" w:rsidR="004E4CC2" w:rsidRDefault="00000000">
      <w:pPr>
        <w:pStyle w:val="SourceCode"/>
        <w:numPr>
          <w:ilvl w:val="0"/>
          <w:numId w:val="1"/>
        </w:numPr>
      </w:pPr>
      <w:r>
        <w:rPr>
          <w:rStyle w:val="VerbatimChar"/>
        </w:rPr>
        <w:t>::: {.callout-important title="Ergebnis der Neukalibrierung einzufügen"}</w:t>
      </w:r>
      <w:r>
        <w:br/>
      </w:r>
      <w:r>
        <w:rPr>
          <w:rStyle w:val="VerbatimChar"/>
        </w:rPr>
        <w:t>**Vorhanden:** gelieferte 2040-Typologie- und Flächenmatrix, flächengewichtete Energiebilanzen, GFZ-Zuordnung und elektrischer Abgleich. **Noch offen:** freigegebene PEQ-Anteile und Versorgungspfade, abgestimmter UBA-Gebäudesektorsaldo, Bestätigung der BGF-/NGF-Annahme und PE-Faktorversion, endgültige Dichtefunktion sowie typologische Sanierungsparameter. Die historische Referenzkurve wird nicht als neue Kalibrierung ausgegeben.</w:t>
      </w:r>
    </w:p>
    <w:p w14:paraId="53672F50" w14:textId="77777777" w:rsidR="004E4CC2" w:rsidRDefault="00000000">
      <w:pPr>
        <w:numPr>
          <w:ilvl w:val="0"/>
          <w:numId w:val="1"/>
        </w:numPr>
      </w:pPr>
      <w:r>
        <w:t>Jetzt:</w:t>
      </w:r>
    </w:p>
    <w:p w14:paraId="388EF8E3" w14:textId="77777777" w:rsidR="004E4CC2" w:rsidRDefault="00000000">
      <w:pPr>
        <w:pStyle w:val="SourceCode"/>
        <w:numPr>
          <w:ilvl w:val="0"/>
          <w:numId w:val="1"/>
        </w:numPr>
      </w:pPr>
      <w:r>
        <w:rPr>
          <w:rStyle w:val="VerbatimChar"/>
        </w:rPr>
        <w:t>::: {.callout-note title="Geltungsbereich des Entwurfs"}</w:t>
      </w:r>
      <w:r>
        <w:br/>
      </w:r>
      <w:r>
        <w:rPr>
          <w:rStyle w:val="VerbatimChar"/>
        </w:rPr>
        <w:t>Die 2040-Flächenmatrix, Energieaggregation und GFZ-Zuordnung sind berechnet. Die historische Dichtefunktion wird als Referenzansatz ausgewertet. PEQ-Flächenanteile, Versorgungspfade, PE-Faktorversion und typologische Sanierungswerte sind nicht normativ festgelegt. Der Ergebnisvergleich beschreibt diesen Parameterstand.</w:t>
      </w:r>
    </w:p>
    <w:p w14:paraId="5FEEFAB9" w14:textId="77777777" w:rsidR="004E4CC2" w:rsidRDefault="00000000">
      <w:pPr>
        <w:numPr>
          <w:ilvl w:val="0"/>
          <w:numId w:val="13"/>
        </w:numPr>
      </w:pPr>
      <w:r>
        <w:rPr>
          <w:b/>
          <w:bCs/>
        </w:rPr>
        <w:t>Kapitel/05-kontextfaktoren.qmd, Ausgangszeile 96: Umformulierung / Umgliederung.</w:t>
      </w:r>
    </w:p>
    <w:p w14:paraId="6E157860" w14:textId="77777777" w:rsidR="004E4CC2" w:rsidRDefault="00000000">
      <w:pPr>
        <w:numPr>
          <w:ilvl w:val="0"/>
          <w:numId w:val="1"/>
        </w:numPr>
      </w:pPr>
      <w:r>
        <w:lastRenderedPageBreak/>
        <w:t>Bisher:</w:t>
      </w:r>
    </w:p>
    <w:p w14:paraId="48B7EDAA" w14:textId="77777777" w:rsidR="004E4CC2" w:rsidRDefault="00000000">
      <w:pPr>
        <w:pStyle w:val="SourceCode"/>
        <w:numPr>
          <w:ilvl w:val="0"/>
          <w:numId w:val="1"/>
        </w:numPr>
      </w:pPr>
      <w:r>
        <w:rPr>
          <w:rStyle w:val="VerbatimChar"/>
        </w:rPr>
        <w:t>Nach Einsetzen der Werte sollen mindestens dargestellt werden: die nationale Flächenverteilung der Klassen über die GFZ; die Bilanzbeiträge nach Typologie; die neue dichteabhängige Anforderung; der Beitrag der typologiespezifischen Sanierungsanpassungen; der aggregierte Modellwert und die Differenz zum Referenzsaldo. Die Parameter und verwendeten Quelldateiversionen sind reproduzierbar auszuweisen.</w:t>
      </w:r>
    </w:p>
    <w:p w14:paraId="53257716" w14:textId="77777777" w:rsidR="004E4CC2" w:rsidRDefault="00000000">
      <w:pPr>
        <w:numPr>
          <w:ilvl w:val="0"/>
          <w:numId w:val="1"/>
        </w:numPr>
      </w:pPr>
      <w:r>
        <w:t>Jetzt:</w:t>
      </w:r>
    </w:p>
    <w:p w14:paraId="5F566926" w14:textId="77777777" w:rsidR="004E4CC2" w:rsidRDefault="00000000">
      <w:pPr>
        <w:pStyle w:val="SourceCode"/>
        <w:numPr>
          <w:ilvl w:val="0"/>
          <w:numId w:val="1"/>
        </w:numPr>
      </w:pPr>
      <w:r>
        <w:rPr>
          <w:rStyle w:val="VerbatimChar"/>
        </w:rPr>
        <w:t>Die Ergebnisdarstellung umfasst Flächen, Typenbeiträge, Dichtekorrektur und den Abstand zum Referenzsaldo (@sec-gebaeude-abgleich). Quelldateien und Parameter sind in den Rechenanhängen versioniert.</w:t>
      </w:r>
    </w:p>
    <w:p w14:paraId="110CAEB3" w14:textId="77777777" w:rsidR="004E4CC2" w:rsidRDefault="00000000">
      <w:pPr>
        <w:numPr>
          <w:ilvl w:val="0"/>
          <w:numId w:val="13"/>
        </w:numPr>
      </w:pPr>
      <w:r>
        <w:rPr>
          <w:b/>
          <w:bCs/>
        </w:rPr>
        <w:t>Kapitel/05-kontextfaktoren.qmd, Ausgangszeile 103: Umformulierung / Umgliederung.</w:t>
      </w:r>
    </w:p>
    <w:p w14:paraId="2E96BEFA" w14:textId="77777777" w:rsidR="004E4CC2" w:rsidRDefault="00000000">
      <w:pPr>
        <w:numPr>
          <w:ilvl w:val="0"/>
          <w:numId w:val="1"/>
        </w:numPr>
      </w:pPr>
      <w:r>
        <w:t>Bisher:</w:t>
      </w:r>
    </w:p>
    <w:p w14:paraId="68294E44" w14:textId="77777777" w:rsidR="004E4CC2" w:rsidRDefault="00000000">
      <w:pPr>
        <w:pStyle w:val="SourceCode"/>
        <w:numPr>
          <w:ilvl w:val="0"/>
          <w:numId w:val="1"/>
        </w:numPr>
      </w:pPr>
      <w:r>
        <w:rPr>
          <w:rStyle w:val="VerbatimChar"/>
        </w:rPr>
        <w:t>Die ursprüngliche Kalibrierung verwendete fünf energetische Gebäudeklassen und eine spezifische Dichtefunktion [@schneider2023context]. Diese historische Lösung erläutert die Entstehung der Methode, ersetzt aber weder die neuen Typologien noch die hier durchzuführende Kalibrierung mit UBA Transition 2040.</w:t>
      </w:r>
    </w:p>
    <w:p w14:paraId="13AC718E" w14:textId="77777777" w:rsidR="004E4CC2" w:rsidRDefault="00000000">
      <w:pPr>
        <w:numPr>
          <w:ilvl w:val="0"/>
          <w:numId w:val="1"/>
        </w:numPr>
      </w:pPr>
      <w:r>
        <w:t>Jetzt:</w:t>
      </w:r>
    </w:p>
    <w:p w14:paraId="598D08CF" w14:textId="77777777" w:rsidR="004E4CC2" w:rsidRDefault="00000000">
      <w:pPr>
        <w:pStyle w:val="SourceCode"/>
        <w:numPr>
          <w:ilvl w:val="0"/>
          <w:numId w:val="1"/>
        </w:numPr>
      </w:pPr>
      <w:r>
        <w:rPr>
          <w:rStyle w:val="VerbatimChar"/>
        </w:rPr>
        <w:t>Die ursprüngliche Kalibrierung verwendete fünf energetische Gebäudeklassen und eine spezifische Dichtefunktion [@schneider2023context]. Diese historische Lösung erläutert die Entstehung der Methode, ersetzt aber weder die neuen Typologien noch die Kalibrierung mit UBA Transition 2040.</w:t>
      </w:r>
    </w:p>
    <w:p w14:paraId="1297DE32" w14:textId="77777777" w:rsidR="004E4CC2" w:rsidRDefault="00000000">
      <w:pPr>
        <w:numPr>
          <w:ilvl w:val="0"/>
          <w:numId w:val="13"/>
        </w:numPr>
      </w:pPr>
      <w:r>
        <w:rPr>
          <w:b/>
          <w:bCs/>
        </w:rPr>
        <w:t>Kapitel/05-kontext-mobilitaet.qmd, Ausgangszeile 9: Umformulierung / Umgliederung.</w:t>
      </w:r>
    </w:p>
    <w:p w14:paraId="6733D457" w14:textId="77777777" w:rsidR="004E4CC2" w:rsidRDefault="00000000">
      <w:pPr>
        <w:numPr>
          <w:ilvl w:val="0"/>
          <w:numId w:val="1"/>
        </w:numPr>
      </w:pPr>
      <w:r>
        <w:t>Bisher:</w:t>
      </w:r>
    </w:p>
    <w:p w14:paraId="4A6605F1" w14:textId="77777777" w:rsidR="004E4CC2" w:rsidRDefault="00000000">
      <w:pPr>
        <w:pStyle w:val="SourceCode"/>
        <w:numPr>
          <w:ilvl w:val="0"/>
          <w:numId w:val="1"/>
        </w:numPr>
      </w:pPr>
      <w:r>
        <w:rPr>
          <w:rStyle w:val="VerbatimChar"/>
        </w:rPr>
        <w:t>::: {.callout-note title="Vorläufige quantitative Allokation"}</w:t>
      </w:r>
      <w:r>
        <w:br/>
      </w:r>
      <w:r>
        <w:rPr>
          <w:rStyle w:val="VerbatimChar"/>
        </w:rPr>
        <w:t>@sec-allokation-ergebnisse zeigt erstmals ein explizit parametriertes Transition-Rechenbeispiel: 24 PJ/a beziehungsweise 6,667 TWh/a elektrisches MIV-Budget bei den dort dokumentierten Annahmen. Die volle Anrechnung der Wasserstoff-Rückverstromung erhöht es im Vergleichsfall auf 28 PJ/a. Das sind nationale elektrische Zuteilungen, keine neuen nutzungsbezogenen PE-Gutschriften. Heutige PE-Faktoren, Verteilungsschlüssel und Ziel-Flächen sind dafür noch festzulegen. Die vollständige Rechnung steht in @sec-allokation-notebook.</w:t>
      </w:r>
    </w:p>
    <w:p w14:paraId="46FEBD73" w14:textId="77777777" w:rsidR="004E4CC2" w:rsidRDefault="00000000">
      <w:pPr>
        <w:numPr>
          <w:ilvl w:val="0"/>
          <w:numId w:val="1"/>
        </w:numPr>
      </w:pPr>
      <w:r>
        <w:t>Jetzt:</w:t>
      </w:r>
    </w:p>
    <w:p w14:paraId="35B6C8E2" w14:textId="77777777" w:rsidR="004E4CC2" w:rsidRDefault="00000000">
      <w:pPr>
        <w:pStyle w:val="SourceCode"/>
        <w:numPr>
          <w:ilvl w:val="0"/>
          <w:numId w:val="1"/>
        </w:numPr>
      </w:pPr>
      <w:r>
        <w:rPr>
          <w:rStyle w:val="VerbatimChar"/>
        </w:rPr>
        <w:t>::: {.callout-note title="quantitative Allokation"}</w:t>
      </w:r>
      <w:r>
        <w:br/>
      </w:r>
      <w:r>
        <w:rPr>
          <w:rStyle w:val="VerbatimChar"/>
        </w:rPr>
        <w:t>@sec-allokation-ergebnisse zeigt den parametrierten Transition-Referenz</w:t>
      </w:r>
      <w:r>
        <w:rPr>
          <w:rStyle w:val="VerbatimChar"/>
        </w:rPr>
        <w:lastRenderedPageBreak/>
        <w:t>fall: 24 PJ/a beziehungsweise 6,667 TWh/a elektrisches MIV-Budget bei den dort dokumentierten Annahmen. Die volle Anrechnung der Wasserstoff-Rückverstromung erhöht es im Vergleichsfall auf 28 PJ/a. Das sind nationale elektrische Zuteilungen, keine neuen nutzungsbezogenen PE-Gutschriften. PE-Faktoren, Verteilungsschlüssel und Ziel-Flächen sind dafür nicht gemeinsam festgelegt. Die vollständige Rechnung steht in @sec-allokation-notebook.</w:t>
      </w:r>
    </w:p>
    <w:p w14:paraId="4045535A" w14:textId="77777777" w:rsidR="004E4CC2" w:rsidRDefault="00000000">
      <w:pPr>
        <w:numPr>
          <w:ilvl w:val="0"/>
          <w:numId w:val="13"/>
        </w:numPr>
      </w:pPr>
      <w:r>
        <w:rPr>
          <w:b/>
          <w:bCs/>
        </w:rPr>
        <w:t>Kapitel/05-kontext-mobilitaet.qmd, Ausgangszeile 17: Umformulierung / Umgliederung.</w:t>
      </w:r>
    </w:p>
    <w:p w14:paraId="3E9B87F3" w14:textId="77777777" w:rsidR="004E4CC2" w:rsidRDefault="00000000">
      <w:pPr>
        <w:numPr>
          <w:ilvl w:val="0"/>
          <w:numId w:val="1"/>
        </w:numPr>
      </w:pPr>
      <w:r>
        <w:t>Bisher:</w:t>
      </w:r>
    </w:p>
    <w:p w14:paraId="6FBB5076" w14:textId="77777777" w:rsidR="004E4CC2" w:rsidRDefault="00000000">
      <w:pPr>
        <w:pStyle w:val="SourceCode"/>
        <w:numPr>
          <w:ilvl w:val="0"/>
          <w:numId w:val="1"/>
        </w:numPr>
      </w:pPr>
      <w:r>
        <w:rPr>
          <w:rStyle w:val="VerbatimChar"/>
        </w:rPr>
        <w:t>Für Nutzung \(u\) gilt:</w:t>
      </w:r>
    </w:p>
    <w:p w14:paraId="000AC13F" w14:textId="77777777" w:rsidR="004E4CC2" w:rsidRDefault="00000000">
      <w:pPr>
        <w:numPr>
          <w:ilvl w:val="0"/>
          <w:numId w:val="1"/>
        </w:numPr>
      </w:pPr>
      <w:r>
        <w:t>Jetzt:</w:t>
      </w:r>
    </w:p>
    <w:p w14:paraId="37A44376" w14:textId="77777777" w:rsidR="004E4CC2" w:rsidRDefault="00000000">
      <w:pPr>
        <w:pStyle w:val="SourceCode"/>
        <w:numPr>
          <w:ilvl w:val="0"/>
          <w:numId w:val="1"/>
        </w:numPr>
      </w:pPr>
      <w:r>
        <w:rPr>
          <w:rStyle w:val="VerbatimChar"/>
        </w:rPr>
        <w:t>Für Nutzung $u$ gilt:</w:t>
      </w:r>
    </w:p>
    <w:p w14:paraId="33BCDAD7" w14:textId="77777777" w:rsidR="004E4CC2" w:rsidRDefault="00000000">
      <w:pPr>
        <w:numPr>
          <w:ilvl w:val="0"/>
          <w:numId w:val="13"/>
        </w:numPr>
      </w:pPr>
      <w:r>
        <w:rPr>
          <w:b/>
          <w:bCs/>
        </w:rPr>
        <w:t>Kapitel/05-kontext-mobilitaet.qmd, Ausgangszeile 26: Umformulierung / Umgliederung.</w:t>
      </w:r>
    </w:p>
    <w:p w14:paraId="6F242A77" w14:textId="77777777" w:rsidR="004E4CC2" w:rsidRDefault="00000000">
      <w:pPr>
        <w:numPr>
          <w:ilvl w:val="0"/>
          <w:numId w:val="1"/>
        </w:numPr>
      </w:pPr>
      <w:r>
        <w:t>Bisher:</w:t>
      </w:r>
    </w:p>
    <w:p w14:paraId="597E188E" w14:textId="77777777" w:rsidR="004E4CC2" w:rsidRDefault="00000000">
      <w:pPr>
        <w:pStyle w:val="SourceCode"/>
        <w:numPr>
          <w:ilvl w:val="0"/>
          <w:numId w:val="1"/>
        </w:numPr>
      </w:pPr>
      <w:r>
        <w:rPr>
          <w:rStyle w:val="VerbatimChar"/>
        </w:rPr>
        <w:t>Dabei ist \(s_u\) der Anteil des nationalen Budgets, der dem von Nutzung \(u\) verursachten beziehungsweise ihr zugeordneten Zielverkehr zugerechnet wird. Die verwendeten nationalen NGF müssen dem Flächen- und Nutzungsstand des Kalibrierungsszenarios entsprechen. Es wird zwischen **Budgetverteilung je Nutzung** und **tatsächlicher Verkehrsvermeidung am Standort** unterschieden.</w:t>
      </w:r>
    </w:p>
    <w:p w14:paraId="5580ED34" w14:textId="77777777" w:rsidR="004E4CC2" w:rsidRDefault="00000000">
      <w:pPr>
        <w:numPr>
          <w:ilvl w:val="0"/>
          <w:numId w:val="1"/>
        </w:numPr>
      </w:pPr>
      <w:r>
        <w:t>Jetzt:</w:t>
      </w:r>
    </w:p>
    <w:p w14:paraId="4E18DA20" w14:textId="77777777" w:rsidR="004E4CC2" w:rsidRDefault="00000000">
      <w:pPr>
        <w:pStyle w:val="SourceCode"/>
        <w:numPr>
          <w:ilvl w:val="0"/>
          <w:numId w:val="1"/>
        </w:numPr>
      </w:pPr>
      <w:r>
        <w:rPr>
          <w:rStyle w:val="VerbatimChar"/>
        </w:rPr>
        <w:t>Dabei ist $s_u$ der Anteil des nationalen Budgets, der dem von Nutzung $u$ verursachten beziehungsweise ihr zugeordneten Zielverkehr zugerechnet wird. Die verwendeten nationalen NGF müssen dem Flächen- und Nutzungsstand des Kalibrierungsszenarios entsprechen. Es wird zwischen **Budgetverteilung je Nutzung** und **tatsächlicher Verkehrsvermeidung am Standort** unterschieden.</w:t>
      </w:r>
    </w:p>
    <w:p w14:paraId="2A74EF98" w14:textId="77777777" w:rsidR="004E4CC2" w:rsidRDefault="00000000">
      <w:pPr>
        <w:numPr>
          <w:ilvl w:val="0"/>
          <w:numId w:val="13"/>
        </w:numPr>
      </w:pPr>
      <w:r>
        <w:rPr>
          <w:b/>
          <w:bCs/>
        </w:rPr>
        <w:t>Kapitel/05-kontext-mobilitaet.qmd, Ausgangszeile 28: Umformulierung / Umgliederung.</w:t>
      </w:r>
    </w:p>
    <w:p w14:paraId="63185842" w14:textId="77777777" w:rsidR="004E4CC2" w:rsidRDefault="00000000">
      <w:pPr>
        <w:numPr>
          <w:ilvl w:val="0"/>
          <w:numId w:val="1"/>
        </w:numPr>
      </w:pPr>
      <w:r>
        <w:t>Bisher:</w:t>
      </w:r>
    </w:p>
    <w:p w14:paraId="37FEC51A" w14:textId="77777777" w:rsidR="004E4CC2" w:rsidRDefault="00000000">
      <w:pPr>
        <w:pStyle w:val="SourceCode"/>
        <w:numPr>
          <w:ilvl w:val="0"/>
          <w:numId w:val="1"/>
        </w:numPr>
      </w:pPr>
      <w:r>
        <w:rPr>
          <w:rStyle w:val="VerbatimChar"/>
        </w:rPr>
        <w:t>::: {.callout-important title="Neue Mobilitätsgutschriften noch zu berechnen"}</w:t>
      </w:r>
      <w:r>
        <w:br/>
      </w:r>
      <w:r>
        <w:rPr>
          <w:rStyle w:val="VerbatimChar"/>
        </w:rPr>
        <w:t>Einzutragen sind das aus @sec-allokation resultierende elektrische und primärenergetische MIV-Budget, die nutzungsbezogenen Zielverkehrsanteile, nationale NGF je Nutzung und die daraus abgeleiteten Gutschriften. Die historischen Werte aus 2023 sind **nicht** die neue Transition-2040-Kalibrierung.</w:t>
      </w:r>
    </w:p>
    <w:p w14:paraId="43DC4A37" w14:textId="77777777" w:rsidR="004E4CC2" w:rsidRDefault="00000000">
      <w:pPr>
        <w:numPr>
          <w:ilvl w:val="0"/>
          <w:numId w:val="1"/>
        </w:numPr>
      </w:pPr>
      <w:r>
        <w:lastRenderedPageBreak/>
        <w:t>Jetzt:</w:t>
      </w:r>
    </w:p>
    <w:p w14:paraId="7517FCAA" w14:textId="77777777" w:rsidR="004E4CC2" w:rsidRDefault="00000000">
      <w:pPr>
        <w:pStyle w:val="SourceCode"/>
        <w:numPr>
          <w:ilvl w:val="0"/>
          <w:numId w:val="1"/>
        </w:numPr>
      </w:pPr>
      <w:r>
        <w:rPr>
          <w:rStyle w:val="VerbatimChar"/>
        </w:rPr>
        <w:t>::: {.callout-note title="Parameterstand"}</w:t>
      </w:r>
      <w:r>
        <w:br/>
      </w:r>
      <w:r>
        <w:rPr>
          <w:rStyle w:val="VerbatimChar"/>
        </w:rPr>
        <w:t>Das nationale elektrische Budget ist berechnet. Nutzungsbezogene PE-Gutschriften sind für Transition nicht numerisch festgelegt, da Faktorensatz, Zielverkehrsanteile und Nutzflächen hierfür nicht gemeinsam bestimmt sind. Die historischen Werte dokumentieren den Bewertungsstand 2023.</w:t>
      </w:r>
    </w:p>
    <w:p w14:paraId="3444FA0C" w14:textId="77777777" w:rsidR="004E4CC2" w:rsidRDefault="00000000">
      <w:pPr>
        <w:numPr>
          <w:ilvl w:val="0"/>
          <w:numId w:val="13"/>
        </w:numPr>
      </w:pPr>
      <w:r>
        <w:rPr>
          <w:b/>
          <w:bCs/>
        </w:rPr>
        <w:t>Kapitel/05-kontext-sanierung.qmd, Ausgangszeile 11: Umformulierung / Umgliederung.</w:t>
      </w:r>
    </w:p>
    <w:p w14:paraId="5539749A" w14:textId="77777777" w:rsidR="004E4CC2" w:rsidRDefault="00000000">
      <w:pPr>
        <w:numPr>
          <w:ilvl w:val="0"/>
          <w:numId w:val="1"/>
        </w:numPr>
      </w:pPr>
      <w:r>
        <w:t>Bisher:</w:t>
      </w:r>
    </w:p>
    <w:p w14:paraId="183B1469" w14:textId="77777777" w:rsidR="004E4CC2" w:rsidRDefault="00000000">
      <w:pPr>
        <w:pStyle w:val="SourceCode"/>
        <w:numPr>
          <w:ilvl w:val="0"/>
          <w:numId w:val="1"/>
        </w:numPr>
      </w:pPr>
      <w:r>
        <w:rPr>
          <w:rStyle w:val="VerbatimChar"/>
        </w:rPr>
        <w:t>Die zu betrachtenden Typologien, ihre energetischen Zustände und die zugehörigen nationalen Flächenanteile werden in @sec-gebaeudebestand festgelegt. Für jede Typologie \(k\) ist zu dokumentieren, ob eine Sanierungsanpassung sachlich gerechtfertigt ist, welchen zulässigen Kontextwert \(c_{\mathrm{S},k}\) sie erhält und wie dieser Wert mit den modellierten typologischen Anforderungen zusammenhängt.</w:t>
      </w:r>
    </w:p>
    <w:p w14:paraId="2D8AB92B" w14:textId="77777777" w:rsidR="004E4CC2" w:rsidRDefault="00000000">
      <w:pPr>
        <w:numPr>
          <w:ilvl w:val="0"/>
          <w:numId w:val="1"/>
        </w:numPr>
      </w:pPr>
      <w:r>
        <w:t>Jetzt:</w:t>
      </w:r>
    </w:p>
    <w:p w14:paraId="3DEE62DD" w14:textId="77777777" w:rsidR="004E4CC2" w:rsidRDefault="00000000">
      <w:pPr>
        <w:pStyle w:val="SourceCode"/>
        <w:numPr>
          <w:ilvl w:val="0"/>
          <w:numId w:val="1"/>
        </w:numPr>
      </w:pPr>
      <w:r>
        <w:rPr>
          <w:rStyle w:val="VerbatimChar"/>
        </w:rPr>
        <w:t>Die zu betrachtenden Typologien, ihre energetischen Zustände und die zugehörigen nationalen Flächenanteile werden in @sec-gebaeudebestand festgelegt. Für jede Typologie $k$ ist zu dokumentieren, ob eine Sanierungsanpassung sachlich gerechtfertigt ist, welchen zulässigen Kontextwert $c_{\mathrm{S},k}$ sie erhält und wie dieser Wert mit den modellierten typologischen Anforderungen zusammenhängt.</w:t>
      </w:r>
    </w:p>
    <w:p w14:paraId="7D53939F" w14:textId="77777777" w:rsidR="004E4CC2" w:rsidRDefault="00000000">
      <w:pPr>
        <w:numPr>
          <w:ilvl w:val="0"/>
          <w:numId w:val="13"/>
        </w:numPr>
      </w:pPr>
      <w:r>
        <w:rPr>
          <w:b/>
          <w:bCs/>
        </w:rPr>
        <w:t>Kapitel/05-kontext-sanierung.qmd, Ausgangszeile 29: Umformulierung / Umgliederung.</w:t>
      </w:r>
    </w:p>
    <w:p w14:paraId="0A5324B7" w14:textId="77777777" w:rsidR="004E4CC2" w:rsidRDefault="00000000">
      <w:pPr>
        <w:numPr>
          <w:ilvl w:val="0"/>
          <w:numId w:val="1"/>
        </w:numPr>
      </w:pPr>
      <w:r>
        <w:t>Bisher:</w:t>
      </w:r>
    </w:p>
    <w:p w14:paraId="32B42DF7" w14:textId="77777777" w:rsidR="004E4CC2" w:rsidRDefault="00000000">
      <w:pPr>
        <w:pStyle w:val="SourceCode"/>
        <w:numPr>
          <w:ilvl w:val="0"/>
          <w:numId w:val="1"/>
        </w:numPr>
      </w:pPr>
      <w:r>
        <w:rPr>
          <w:rStyle w:val="VerbatimChar"/>
        </w:rPr>
        <w:t>::: {.callout-important title="Typologiewerte nach Excel und Kalibrierung ergänzen"}</w:t>
      </w:r>
      <w:r>
        <w:br/>
      </w:r>
      <w:r>
        <w:rPr>
          <w:rStyle w:val="VerbatimChar"/>
        </w:rPr>
        <w:t>Hier ist die Tabelle der **neuen** Sanierungstypologien mit eindeutiger Definition, zulässigen Zuordnungsregeln und kalibrierten Werten \(c_{\mathrm{S},k}\) einzufügen. Solange sie nicht freigegeben ist, werden keine neuen numerischen Gutschriften angegeben.</w:t>
      </w:r>
    </w:p>
    <w:p w14:paraId="45541A06" w14:textId="77777777" w:rsidR="004E4CC2" w:rsidRDefault="00000000">
      <w:pPr>
        <w:numPr>
          <w:ilvl w:val="0"/>
          <w:numId w:val="1"/>
        </w:numPr>
      </w:pPr>
      <w:r>
        <w:t>Jetzt:</w:t>
      </w:r>
    </w:p>
    <w:p w14:paraId="467721FC" w14:textId="77777777" w:rsidR="004E4CC2" w:rsidRDefault="00000000">
      <w:pPr>
        <w:pStyle w:val="SourceCode"/>
        <w:numPr>
          <w:ilvl w:val="0"/>
          <w:numId w:val="1"/>
        </w:numPr>
      </w:pPr>
      <w:r>
        <w:rPr>
          <w:rStyle w:val="VerbatimChar"/>
        </w:rPr>
        <w:t>::: {.callout-note title="Parameterstand"}</w:t>
      </w:r>
      <w:r>
        <w:br/>
      </w:r>
      <w:r>
        <w:rPr>
          <w:rStyle w:val="VerbatimChar"/>
        </w:rPr>
        <w:t>Der Entwurf definiert die typologische Zuordnung und Aggregationsregel. Numerische Sanierungswerte je Typ sind nicht festgelegt. Die historische Pauschale ist ausschließlich als Vergleichsstand dokumentiert.</w:t>
      </w:r>
    </w:p>
    <w:p w14:paraId="635F972A" w14:textId="77777777" w:rsidR="004E4CC2" w:rsidRDefault="00000000">
      <w:pPr>
        <w:numPr>
          <w:ilvl w:val="0"/>
          <w:numId w:val="13"/>
        </w:numPr>
      </w:pPr>
      <w:r>
        <w:rPr>
          <w:b/>
          <w:bCs/>
        </w:rPr>
        <w:t>Kapitel/03-zielwert-thg.qmd, Ausgangszeile 6: Umformulierung / Umgliederung.</w:t>
      </w:r>
    </w:p>
    <w:p w14:paraId="6536FF32" w14:textId="77777777" w:rsidR="004E4CC2" w:rsidRDefault="00000000">
      <w:pPr>
        <w:numPr>
          <w:ilvl w:val="0"/>
          <w:numId w:val="1"/>
        </w:numPr>
      </w:pPr>
      <w:r>
        <w:t>Bisher:</w:t>
      </w:r>
    </w:p>
    <w:p w14:paraId="09E9124F" w14:textId="77777777" w:rsidR="004E4CC2" w:rsidRDefault="00000000">
      <w:pPr>
        <w:pStyle w:val="SourceCode"/>
        <w:numPr>
          <w:ilvl w:val="0"/>
          <w:numId w:val="1"/>
        </w:numPr>
      </w:pPr>
      <w:r>
        <w:rPr>
          <w:rStyle w:val="VerbatimChar"/>
        </w:rPr>
        <w:lastRenderedPageBreak/>
        <w:t>Die jährliche Primärenergiebilanz in @sec-allokation und das Treibhausgasbudget beantworten unterschiedliche Fragen. Der PE-Zielwert verteilt Energieaufgaben im Zielsystem. Der THG-Zielwert begrenzt die über den Bewertungszeitraum kumulierten Emissionen. Eine ausgeglichene Jahresenergiebilanz belegt deshalb noch keine Einhaltung des Klimabudgets.</w:t>
      </w:r>
    </w:p>
    <w:p w14:paraId="4D701ED0" w14:textId="77777777" w:rsidR="004E4CC2" w:rsidRDefault="00000000">
      <w:pPr>
        <w:numPr>
          <w:ilvl w:val="0"/>
          <w:numId w:val="1"/>
        </w:numPr>
      </w:pPr>
      <w:r>
        <w:t>Jetzt:</w:t>
      </w:r>
    </w:p>
    <w:p w14:paraId="615B01A7" w14:textId="77777777" w:rsidR="004E4CC2" w:rsidRDefault="00000000">
      <w:pPr>
        <w:pStyle w:val="SourceCode"/>
        <w:numPr>
          <w:ilvl w:val="0"/>
          <w:numId w:val="1"/>
        </w:numPr>
      </w:pPr>
      <w:r>
        <w:rPr>
          <w:rStyle w:val="VerbatimChar"/>
        </w:rPr>
        <w:t>Der Energiezielwert beschreibt die jährliche Leistung im Zielsystem. Der THG-Zielwert begrenzt dagegen die kumulierten Emissionen aus Errichtung, Betrieb, Instandhaltung und MIV über 50 Jahre.</w:t>
      </w:r>
    </w:p>
    <w:p w14:paraId="7B5B59AD" w14:textId="77777777" w:rsidR="004E4CC2" w:rsidRDefault="00000000">
      <w:pPr>
        <w:numPr>
          <w:ilvl w:val="0"/>
          <w:numId w:val="13"/>
        </w:numPr>
      </w:pPr>
      <w:r>
        <w:rPr>
          <w:b/>
          <w:bCs/>
        </w:rPr>
        <w:t>Kapitel/03-zielwert-thg.qmd, Ausgangszeile 13: Streichung.</w:t>
      </w:r>
    </w:p>
    <w:p w14:paraId="7A8C4545" w14:textId="77777777" w:rsidR="004E4CC2" w:rsidRDefault="00000000">
      <w:pPr>
        <w:numPr>
          <w:ilvl w:val="0"/>
          <w:numId w:val="1"/>
        </w:numPr>
      </w:pPr>
      <w:r>
        <w:t>Bisher:</w:t>
      </w:r>
    </w:p>
    <w:p w14:paraId="724A58FB" w14:textId="77777777" w:rsidR="004E4CC2" w:rsidRDefault="00000000">
      <w:pPr>
        <w:pStyle w:val="SourceCode"/>
        <w:numPr>
          <w:ilvl w:val="0"/>
          <w:numId w:val="1"/>
        </w:numPr>
      </w:pPr>
      <w:r>
        <w:rPr>
          <w:rStyle w:val="VerbatimChar"/>
        </w:rPr>
        <w:t>Zusätzlich zur jährlichen Primärenergiebilanz begrenzt ein kumuliertes THG-Budget die bilanzierten Emissionen aus Errichtung, Nutzung, Instandhaltung und MIV über den definierten Zeitraum.</w:t>
      </w:r>
    </w:p>
    <w:p w14:paraId="29448B33" w14:textId="77777777" w:rsidR="004E4CC2" w:rsidRDefault="00000000">
      <w:pPr>
        <w:numPr>
          <w:ilvl w:val="0"/>
          <w:numId w:val="13"/>
        </w:numPr>
      </w:pPr>
      <w:r>
        <w:rPr>
          <w:b/>
          <w:bCs/>
        </w:rPr>
        <w:t>Kapitel/03-zielwert-thg.qmd, Ausgangszeile 19: Umformulierung / Umgliederung.</w:t>
      </w:r>
    </w:p>
    <w:p w14:paraId="459CDA4D" w14:textId="77777777" w:rsidR="004E4CC2" w:rsidRDefault="00000000">
      <w:pPr>
        <w:pStyle w:val="SourceCode"/>
      </w:pPr>
      <w:r>
        <w:rPr>
          <w:rStyle w:val="VerbatimChar"/>
        </w:rPr>
        <w:t>Bisher:</w:t>
      </w:r>
      <w:r>
        <w:br/>
      </w:r>
      <w:r>
        <w:br/>
      </w:r>
      <w:r>
        <w:rPr>
          <w:rStyle w:val="VerbatimChar"/>
        </w:rPr>
        <w:t>~~~~text</w:t>
      </w:r>
      <w:r>
        <w:br/>
      </w:r>
      <w:r>
        <w:rPr>
          <w:rStyle w:val="VerbatimChar"/>
        </w:rPr>
        <w:t>Mit nationalem Restbudget \(B_{\mathrm{AT}}\), Bevölkerung \(P\), jährlicher Senkenleistung je Person \(s\), Zeitraum \(T\), Sektoranteil \(\alpha\) und Bezugsfläche \(A_B\) gilt:</w:t>
      </w:r>
      <w:r>
        <w:br/>
      </w:r>
      <w:r>
        <w:rPr>
          <w:rStyle w:val="VerbatimChar"/>
        </w:rPr>
        <w:t>~~~~</w:t>
      </w:r>
      <w:r>
        <w:br/>
      </w:r>
      <w:r>
        <w:br/>
      </w:r>
      <w:r>
        <w:rPr>
          <w:rStyle w:val="VerbatimChar"/>
        </w:rPr>
        <w:t>Jetzt:</w:t>
      </w:r>
      <w:r>
        <w:br/>
      </w:r>
      <w:r>
        <w:br/>
      </w:r>
      <w:r>
        <w:rPr>
          <w:rStyle w:val="VerbatimChar"/>
        </w:rPr>
        <w:t>~~~~text</w:t>
      </w:r>
      <w:r>
        <w:br/>
      </w:r>
      <w:r>
        <w:rPr>
          <w:rStyle w:val="VerbatimChar"/>
        </w:rPr>
        <w:t>Mit nationalem Restbudget $B_{\mathrm{AT}}$, Bevölkerung $P$, jährlicher Senkenleistung je Person $s$, Zeitraum $T$, Sektoranteil $\alpha$ und Bezugsfläche $A_B$ gilt:</w:t>
      </w:r>
      <w:r>
        <w:br/>
      </w:r>
      <w:r>
        <w:rPr>
          <w:rStyle w:val="VerbatimChar"/>
        </w:rPr>
        <w:t>~~~~</w:t>
      </w:r>
    </w:p>
    <w:p w14:paraId="2D6F8D59" w14:textId="77777777" w:rsidR="004E4CC2" w:rsidRDefault="00000000">
      <w:pPr>
        <w:pStyle w:val="Compact"/>
        <w:numPr>
          <w:ilvl w:val="0"/>
          <w:numId w:val="14"/>
        </w:numPr>
      </w:pPr>
      <w:r>
        <w:rPr>
          <w:b/>
          <w:bCs/>
        </w:rPr>
        <w:t>Kapitel/03-zielwert-thg.qmd, Ausgangszeile 60: Umformulierung / Umgliederung.</w:t>
      </w:r>
    </w:p>
    <w:p w14:paraId="2B8E4CDA" w14:textId="77777777" w:rsidR="004E4CC2" w:rsidRDefault="00000000">
      <w:pPr>
        <w:pStyle w:val="SourceCode"/>
      </w:pPr>
      <w:r>
        <w:rPr>
          <w:rStyle w:val="VerbatimChar"/>
        </w:rPr>
        <w:t>Bisher:</w:t>
      </w:r>
      <w:r>
        <w:br/>
      </w:r>
      <w:r>
        <w:br/>
      </w:r>
      <w:r>
        <w:rPr>
          <w:rStyle w:val="VerbatimChar"/>
        </w:rPr>
        <w:t>~~~~text</w:t>
      </w:r>
      <w:r>
        <w:br/>
      </w:r>
      <w:r>
        <w:rPr>
          <w:rStyle w:val="VerbatimChar"/>
        </w:rPr>
        <w:t>| Bestand 2025 und Zwischenjahre bis 2040 | noch zu ergänzen | noch zu ergänzen | Keine interpolierten Werte ohne harmonisierte Abgrenzung |</w:t>
      </w:r>
      <w:r>
        <w:br/>
      </w:r>
      <w:r>
        <w:rPr>
          <w:rStyle w:val="VerbatimChar"/>
        </w:rPr>
        <w:t>~~~~</w:t>
      </w:r>
      <w:r>
        <w:br/>
      </w:r>
      <w:r>
        <w:br/>
      </w:r>
      <w:r>
        <w:rPr>
          <w:rStyle w:val="VerbatimChar"/>
        </w:rPr>
        <w:t>Jetzt:</w:t>
      </w:r>
      <w:r>
        <w:br/>
      </w:r>
      <w:r>
        <w:br/>
      </w:r>
      <w:r>
        <w:rPr>
          <w:rStyle w:val="VerbatimChar"/>
        </w:rPr>
        <w:t>~~~~text</w:t>
      </w:r>
      <w:r>
        <w:br/>
      </w:r>
      <w:r>
        <w:rPr>
          <w:rStyle w:val="VerbatimChar"/>
        </w:rPr>
        <w:lastRenderedPageBreak/>
        <w:t>| Bestand 2025 und Zwischenjahre bis 2040 | nicht im Datensatz enthalten | nicht im Datensatz enthalten | Keine interpolierten Werte ohne harmonisierte Abgrenzung |</w:t>
      </w:r>
      <w:r>
        <w:br/>
      </w:r>
      <w:r>
        <w:rPr>
          <w:rStyle w:val="VerbatimChar"/>
        </w:rPr>
        <w:t>~~~~</w:t>
      </w:r>
    </w:p>
    <w:p w14:paraId="0D26FF8B" w14:textId="77777777" w:rsidR="004E4CC2" w:rsidRDefault="00000000">
      <w:pPr>
        <w:pStyle w:val="Compact"/>
        <w:numPr>
          <w:ilvl w:val="0"/>
          <w:numId w:val="15"/>
        </w:numPr>
      </w:pPr>
      <w:r>
        <w:rPr>
          <w:b/>
          <w:bCs/>
        </w:rPr>
        <w:t>Kapitel/03-zielwert-thg.qmd, Ausgangszeile 62: Umformulierung / Umgliederung.</w:t>
      </w:r>
    </w:p>
    <w:p w14:paraId="2C2641C0" w14:textId="77777777" w:rsidR="004E4CC2" w:rsidRDefault="00000000">
      <w:pPr>
        <w:pStyle w:val="SourceCode"/>
      </w:pPr>
      <w:r>
        <w:rPr>
          <w:rStyle w:val="VerbatimChar"/>
        </w:rPr>
        <w:t>Bisher:</w:t>
      </w:r>
      <w:r>
        <w:br/>
      </w:r>
      <w:r>
        <w:br/>
      </w:r>
      <w:r>
        <w:rPr>
          <w:rStyle w:val="VerbatimChar"/>
        </w:rPr>
        <w:t>~~~~text</w:t>
      </w:r>
      <w:r>
        <w:br/>
      </w:r>
      <w:r>
        <w:rPr>
          <w:rStyle w:val="VerbatimChar"/>
        </w:rPr>
        <w:t>: Vorliegende Flächenbezüge und noch offene Fortschreibung. {#tbl-thg-flaechenentwicklung}</w:t>
      </w:r>
      <w:r>
        <w:br/>
      </w:r>
      <w:r>
        <w:rPr>
          <w:rStyle w:val="VerbatimChar"/>
        </w:rPr>
        <w:t>~~~~</w:t>
      </w:r>
      <w:r>
        <w:br/>
      </w:r>
      <w:r>
        <w:br/>
      </w:r>
      <w:r>
        <w:rPr>
          <w:rStyle w:val="VerbatimChar"/>
        </w:rPr>
        <w:t>Jetzt:</w:t>
      </w:r>
      <w:r>
        <w:br/>
      </w:r>
      <w:r>
        <w:br/>
      </w:r>
      <w:r>
        <w:rPr>
          <w:rStyle w:val="VerbatimChar"/>
        </w:rPr>
        <w:t>~~~~text</w:t>
      </w:r>
      <w:r>
        <w:br/>
      </w:r>
      <w:r>
        <w:rPr>
          <w:rStyle w:val="VerbatimChar"/>
        </w:rPr>
        <w:t>: Flächenbezüge des Energie- und THG-Modells. {#tbl-thg-flaechenentwicklung}</w:t>
      </w:r>
      <w:r>
        <w:br/>
      </w:r>
      <w:r>
        <w:rPr>
          <w:rStyle w:val="VerbatimChar"/>
        </w:rPr>
        <w:t>~~~~</w:t>
      </w:r>
    </w:p>
    <w:p w14:paraId="52B53CD0" w14:textId="77777777" w:rsidR="004E4CC2" w:rsidRDefault="00000000">
      <w:pPr>
        <w:pStyle w:val="Compact"/>
        <w:numPr>
          <w:ilvl w:val="0"/>
          <w:numId w:val="16"/>
        </w:numPr>
      </w:pPr>
      <w:r>
        <w:rPr>
          <w:b/>
          <w:bCs/>
        </w:rPr>
        <w:t>Kapitel/03-zielwert-thg.qmd, Ausgangszeile 67: Umformulierung / Umgliederung.</w:t>
      </w:r>
    </w:p>
    <w:p w14:paraId="0DEADE25" w14:textId="77777777" w:rsidR="004E4CC2" w:rsidRDefault="00000000">
      <w:pPr>
        <w:pStyle w:val="SourceCode"/>
      </w:pPr>
      <w:r>
        <w:rPr>
          <w:rStyle w:val="VerbatimChar"/>
        </w:rPr>
        <w:t>Bisher:</w:t>
      </w:r>
      <w:r>
        <w:br/>
      </w:r>
      <w:r>
        <w:br/>
      </w:r>
      <w:r>
        <w:rPr>
          <w:rStyle w:val="VerbatimChar"/>
        </w:rPr>
        <w:t>~~~~text</w:t>
      </w:r>
      <w:r>
        <w:br/>
      </w:r>
      <w:r>
        <w:rPr>
          <w:rStyle w:val="VerbatimChar"/>
        </w:rPr>
        <w:t>| Neubau und Erweiterung | Zusätzliche m² je Nutzung und Jahr | Typengewichteter Neubauanteil 2040 vorhanden; zeitliche Übergangsbilanz noch offen (@sec-gebaeude-flaechen) |</w:t>
      </w:r>
      <w:r>
        <w:br/>
      </w:r>
      <w:r>
        <w:rPr>
          <w:rStyle w:val="VerbatimChar"/>
        </w:rPr>
        <w:t>| Abbruch und Umnutzung | Abgänge und Nutzungsverschiebungen je Jahr | Noch zu ergänzen |</w:t>
      </w:r>
      <w:r>
        <w:br/>
      </w:r>
      <w:r>
        <w:rPr>
          <w:rStyle w:val="VerbatimChar"/>
        </w:rPr>
        <w:t>~~~~</w:t>
      </w:r>
      <w:r>
        <w:br/>
      </w:r>
      <w:r>
        <w:br/>
      </w:r>
      <w:r>
        <w:rPr>
          <w:rStyle w:val="VerbatimChar"/>
        </w:rPr>
        <w:t>Jetzt:</w:t>
      </w:r>
      <w:r>
        <w:br/>
      </w:r>
      <w:r>
        <w:br/>
      </w:r>
      <w:r>
        <w:rPr>
          <w:rStyle w:val="VerbatimChar"/>
        </w:rPr>
        <w:t>~~~~text</w:t>
      </w:r>
      <w:r>
        <w:br/>
      </w:r>
      <w:r>
        <w:rPr>
          <w:rStyle w:val="VerbatimChar"/>
        </w:rPr>
        <w:t>| Neubau und Erweiterung | Zusätzliche m² je Nutzung und Jahr | Typengewichteter Neubauanteil 2040 vorhanden; zeitliche Übergangsbilanz nicht festgelegt (@sec-gebaeude-flaechen) |</w:t>
      </w:r>
      <w:r>
        <w:br/>
      </w:r>
      <w:r>
        <w:rPr>
          <w:rStyle w:val="VerbatimChar"/>
        </w:rPr>
        <w:t>| Abbruch und Umnutzung | Abgänge und Nutzungsverschiebungen je Jahr | Nicht im Datensatz enthalten |</w:t>
      </w:r>
      <w:r>
        <w:br/>
      </w:r>
      <w:r>
        <w:rPr>
          <w:rStyle w:val="VerbatimChar"/>
        </w:rPr>
        <w:t>~~~~</w:t>
      </w:r>
    </w:p>
    <w:p w14:paraId="0658D81C" w14:textId="77777777" w:rsidR="004E4CC2" w:rsidRDefault="00000000">
      <w:pPr>
        <w:pStyle w:val="Compact"/>
        <w:numPr>
          <w:ilvl w:val="0"/>
          <w:numId w:val="17"/>
        </w:numPr>
      </w:pPr>
      <w:r>
        <w:rPr>
          <w:b/>
          <w:bCs/>
        </w:rPr>
        <w:t>Kapitel/03-zielwert-thg.qmd, Ausgangszeile 72: Umformulierung / Umgliederung.</w:t>
      </w:r>
    </w:p>
    <w:p w14:paraId="19675329" w14:textId="77777777" w:rsidR="004E4CC2" w:rsidRDefault="00000000">
      <w:pPr>
        <w:pStyle w:val="SourceCode"/>
      </w:pPr>
      <w:r>
        <w:rPr>
          <w:rStyle w:val="VerbatimChar"/>
        </w:rPr>
        <w:t>Bisher:</w:t>
      </w:r>
      <w:r>
        <w:br/>
      </w:r>
      <w:r>
        <w:br/>
      </w:r>
      <w:r>
        <w:rPr>
          <w:rStyle w:val="VerbatimChar"/>
        </w:rPr>
        <w:t>~~~~text</w:t>
      </w:r>
      <w:r>
        <w:br/>
      </w:r>
      <w:r>
        <w:rPr>
          <w:rStyle w:val="VerbatimChar"/>
        </w:rPr>
        <w:t>: Struktur für die angekündigte Ergänzung der Gebäudesektor-Daten. {#tbl-thg-fortschreibung}</w:t>
      </w:r>
      <w:r>
        <w:br/>
      </w:r>
      <w:r>
        <w:rPr>
          <w:rStyle w:val="VerbatimChar"/>
        </w:rPr>
        <w:t>~~~~</w:t>
      </w:r>
      <w:r>
        <w:br/>
      </w:r>
      <w:r>
        <w:lastRenderedPageBreak/>
        <w:br/>
      </w:r>
      <w:r>
        <w:rPr>
          <w:rStyle w:val="VerbatimChar"/>
        </w:rPr>
        <w:t>Jetzt:</w:t>
      </w:r>
      <w:r>
        <w:br/>
      </w:r>
      <w:r>
        <w:br/>
      </w:r>
      <w:r>
        <w:rPr>
          <w:rStyle w:val="VerbatimChar"/>
        </w:rPr>
        <w:t>~~~~text</w:t>
      </w:r>
      <w:r>
        <w:br/>
      </w:r>
      <w:r>
        <w:rPr>
          <w:rStyle w:val="VerbatimChar"/>
        </w:rPr>
        <w:t>: Datenumfang der Gebäudeflächenentwicklung. {#tbl-thg-fortschreibung}</w:t>
      </w:r>
      <w:r>
        <w:br/>
      </w:r>
      <w:r>
        <w:rPr>
          <w:rStyle w:val="VerbatimChar"/>
        </w:rPr>
        <w:t>~~~~</w:t>
      </w:r>
    </w:p>
    <w:p w14:paraId="2BEE0D15" w14:textId="77777777" w:rsidR="004E4CC2" w:rsidRDefault="00000000">
      <w:pPr>
        <w:pStyle w:val="Compact"/>
        <w:numPr>
          <w:ilvl w:val="0"/>
          <w:numId w:val="18"/>
        </w:numPr>
      </w:pPr>
      <w:r>
        <w:rPr>
          <w:b/>
          <w:bCs/>
        </w:rPr>
        <w:t>Kapitel/03-zielwert-thg.qmd, Ausgangszeile 88: Umformulierung / Umgliederung.</w:t>
      </w:r>
    </w:p>
    <w:p w14:paraId="6678B984" w14:textId="77777777" w:rsidR="004E4CC2" w:rsidRDefault="00000000">
      <w:pPr>
        <w:pStyle w:val="SourceCode"/>
      </w:pPr>
      <w:r>
        <w:rPr>
          <w:rStyle w:val="VerbatimChar"/>
        </w:rPr>
        <w:t>Bisher:</w:t>
      </w:r>
      <w:r>
        <w:br/>
      </w:r>
      <w:r>
        <w:br/>
      </w:r>
      <w:r>
        <w:rPr>
          <w:rStyle w:val="VerbatimChar"/>
        </w:rPr>
        <w:t>~~~~text</w:t>
      </w:r>
      <w:r>
        <w:br/>
      </w:r>
      <w:r>
        <w:rPr>
          <w:rStyle w:val="VerbatimChar"/>
        </w:rPr>
        <w:t>Für die Lebenszyklusbewertung werden zeitabhängige Emissionsfaktoren verwendet. Ihre Entwicklung bildet einen angenommenen Dekarbonisierungspfad ab und beeinflusst insbesondere die Bewertung zukünftiger Betriebsemissionen.</w:t>
      </w:r>
      <w:r>
        <w:br/>
      </w:r>
      <w:r>
        <w:rPr>
          <w:rStyle w:val="VerbatimChar"/>
        </w:rPr>
        <w:t>~~~~</w:t>
      </w:r>
      <w:r>
        <w:br/>
      </w:r>
      <w:r>
        <w:br/>
      </w:r>
      <w:r>
        <w:rPr>
          <w:rStyle w:val="VerbatimChar"/>
        </w:rPr>
        <w:t>Jetzt:</w:t>
      </w:r>
      <w:r>
        <w:br/>
      </w:r>
      <w:r>
        <w:br/>
      </w:r>
      <w:r>
        <w:rPr>
          <w:rStyle w:val="VerbatimChar"/>
        </w:rPr>
        <w:t>~~~~text</w:t>
      </w:r>
      <w:r>
        <w:br/>
      </w:r>
      <w:r>
        <w:rPr>
          <w:rStyle w:val="VerbatimChar"/>
        </w:rPr>
        <w:t>Für die Lebenszyklusbewertung werden zeitabhängige Emissionsfaktoren verwendet. Ihre Entwicklung bildet einen angenommenen Dekarbonisierungspfad ab und beeinflusst insbesondere die Bewertung der Betriebsemissionen im Szenariozeitraum.</w:t>
      </w:r>
      <w:r>
        <w:br/>
      </w:r>
      <w:r>
        <w:rPr>
          <w:rStyle w:val="VerbatimChar"/>
        </w:rPr>
        <w:t>~~~~</w:t>
      </w:r>
    </w:p>
    <w:p w14:paraId="4071E375" w14:textId="77777777" w:rsidR="004E4CC2" w:rsidRDefault="00000000">
      <w:pPr>
        <w:pStyle w:val="Compact"/>
        <w:numPr>
          <w:ilvl w:val="0"/>
          <w:numId w:val="19"/>
        </w:numPr>
      </w:pPr>
      <w:r>
        <w:rPr>
          <w:b/>
          <w:bCs/>
        </w:rPr>
        <w:t>Kapitel/03-zielwert-thg.qmd, Ausgangszeile 92: Umformulierung / Umgliederung.</w:t>
      </w:r>
    </w:p>
    <w:p w14:paraId="6C2FC58F" w14:textId="77777777" w:rsidR="004E4CC2" w:rsidRDefault="00000000">
      <w:pPr>
        <w:pStyle w:val="SourceCode"/>
      </w:pPr>
      <w:r>
        <w:rPr>
          <w:rStyle w:val="VerbatimChar"/>
        </w:rPr>
        <w:t>Bisher:</w:t>
      </w:r>
      <w:r>
        <w:br/>
      </w:r>
      <w:r>
        <w:br/>
      </w:r>
      <w:r>
        <w:rPr>
          <w:rStyle w:val="VerbatimChar"/>
        </w:rPr>
        <w:t>~~~~text</w:t>
      </w:r>
      <w:r>
        <w:br/>
      </w:r>
      <w:r>
        <w:rPr>
          <w:rStyle w:val="VerbatimChar"/>
        </w:rPr>
        <w:t>Die in @fig-absenkpfade dargestellten Verläufe sind Szenarioannahmen und keine Prognose tatsächlich gemessener zukünftiger Emissionen.</w:t>
      </w:r>
      <w:r>
        <w:br/>
      </w:r>
      <w:r>
        <w:br/>
      </w:r>
      <w:r>
        <w:rPr>
          <w:rStyle w:val="VerbatimChar"/>
        </w:rPr>
        <w:t>Die bestehende Abbildung unterscheidet Netzstromvarianten, Fernwärmesysteme, Abwärme sowie fossile und biogene Brennstoffe. Ihre numerischen Zeitreihen sind hier noch nicht als versionierte Eingabetabelle verfügbar. Aus der Grafik werden deshalb keine scheinpräzisen Jahreswerte abgelesen. Die methodische Grundlage bilden @schneider2025declaration, Abschn. 2.4 und 2.6, sowie @schneider2026thesis, Abschn. 3.2.8.</w:t>
      </w:r>
      <w:r>
        <w:br/>
      </w:r>
      <w:r>
        <w:rPr>
          <w:rStyle w:val="VerbatimChar"/>
        </w:rPr>
        <w:t>~~~~</w:t>
      </w:r>
      <w:r>
        <w:br/>
      </w:r>
      <w:r>
        <w:br/>
      </w:r>
      <w:r>
        <w:rPr>
          <w:rStyle w:val="VerbatimChar"/>
        </w:rPr>
        <w:t>Jetzt:</w:t>
      </w:r>
      <w:r>
        <w:br/>
      </w:r>
      <w:r>
        <w:br/>
      </w:r>
      <w:r>
        <w:rPr>
          <w:rStyle w:val="VerbatimChar"/>
        </w:rPr>
        <w:t>~~~~text</w:t>
      </w:r>
      <w:r>
        <w:br/>
      </w:r>
      <w:r>
        <w:rPr>
          <w:rStyle w:val="VerbatimChar"/>
        </w:rPr>
        <w:t>Die bestehende Abbildung unterscheidet Netzstromvarianten, Fernwärmesysteme, Abwärme sowie fossile und biogene Brennstoffe. Die numerischen Zeitreihen sind im Datensatz nicht enthalten; die Abbildung dokumentiert die Szenariopfade qualitativ. Die methodische Grundlage bilden @schneider2025declaration, Absch</w:t>
      </w:r>
      <w:r>
        <w:rPr>
          <w:rStyle w:val="VerbatimChar"/>
        </w:rPr>
        <w:lastRenderedPageBreak/>
        <w:t>n. 2.4 und 2.6, sowie @schneider2026thesis, Abschn. 3.2.8.</w:t>
      </w:r>
      <w:r>
        <w:br/>
      </w:r>
      <w:r>
        <w:rPr>
          <w:rStyle w:val="VerbatimChar"/>
        </w:rPr>
        <w:t>~~~~</w:t>
      </w:r>
    </w:p>
    <w:p w14:paraId="7FBAF8C7" w14:textId="77777777" w:rsidR="004E4CC2" w:rsidRDefault="00000000">
      <w:pPr>
        <w:pStyle w:val="Compact"/>
        <w:numPr>
          <w:ilvl w:val="0"/>
          <w:numId w:val="20"/>
        </w:numPr>
      </w:pPr>
      <w:r>
        <w:rPr>
          <w:b/>
          <w:bCs/>
        </w:rPr>
        <w:t>Kapitel/03-zielwert-thg.qmd, Ausgangszeile 98: Umformulierung / Umgliederung.</w:t>
      </w:r>
    </w:p>
    <w:p w14:paraId="42E6F7FC" w14:textId="77777777" w:rsidR="004E4CC2" w:rsidRDefault="00000000">
      <w:pPr>
        <w:pStyle w:val="SourceCode"/>
      </w:pPr>
      <w:r>
        <w:rPr>
          <w:rStyle w:val="VerbatimChar"/>
        </w:rPr>
        <w:t>Bisher:</w:t>
      </w:r>
      <w:r>
        <w:br/>
      </w:r>
      <w:r>
        <w:br/>
      </w:r>
      <w:r>
        <w:rPr>
          <w:rStyle w:val="VerbatimChar"/>
        </w:rPr>
        <w:t>~~~~text</w:t>
      </w:r>
      <w:r>
        <w:br/>
      </w:r>
      <w:r>
        <w:rPr>
          <w:rStyle w:val="VerbatimChar"/>
        </w:rPr>
        <w:t>| Netzstrom und weitere Energieträger | Jahresverbrauch × zeitabhängiger THG-Faktor, über die Jahre summiert | Trägerspezifische Pfade in @fig-absenkpfade; numerische Stützwerte und Interpolation noch zu ergänzen |</w:t>
      </w:r>
      <w:r>
        <w:br/>
      </w:r>
      <w:r>
        <w:rPr>
          <w:rStyle w:val="VerbatimChar"/>
        </w:rPr>
        <w:t>~~~~</w:t>
      </w:r>
      <w:r>
        <w:br/>
      </w:r>
      <w:r>
        <w:br/>
      </w:r>
      <w:r>
        <w:rPr>
          <w:rStyle w:val="VerbatimChar"/>
        </w:rPr>
        <w:t>Jetzt:</w:t>
      </w:r>
      <w:r>
        <w:br/>
      </w:r>
      <w:r>
        <w:br/>
      </w:r>
      <w:r>
        <w:rPr>
          <w:rStyle w:val="VerbatimChar"/>
        </w:rPr>
        <w:t>~~~~text</w:t>
      </w:r>
      <w:r>
        <w:br/>
      </w:r>
      <w:r>
        <w:rPr>
          <w:rStyle w:val="VerbatimChar"/>
        </w:rPr>
        <w:t>| Netzstrom und weitere Energieträger | Jahresverbrauch × zeitabhängiger THG-Faktor, über die Jahre summiert | Trägerspezifische Pfade in @fig-absenkpfade; numerische Stützwerte und Interpolation nicht im Datensatz enthalten |</w:t>
      </w:r>
      <w:r>
        <w:br/>
      </w:r>
      <w:r>
        <w:rPr>
          <w:rStyle w:val="VerbatimChar"/>
        </w:rPr>
        <w:t>~~~~</w:t>
      </w:r>
    </w:p>
    <w:p w14:paraId="31C4449B" w14:textId="77777777" w:rsidR="004E4CC2" w:rsidRDefault="00000000">
      <w:pPr>
        <w:pStyle w:val="Compact"/>
        <w:numPr>
          <w:ilvl w:val="0"/>
          <w:numId w:val="21"/>
        </w:numPr>
      </w:pPr>
      <w:r>
        <w:rPr>
          <w:b/>
          <w:bCs/>
        </w:rPr>
        <w:t>Kapitel/03-zielwert-thg.qmd, Ausgangszeile 102: Streichung.</w:t>
      </w:r>
    </w:p>
    <w:p w14:paraId="5188C1C7" w14:textId="77777777" w:rsidR="004E4CC2" w:rsidRDefault="00000000">
      <w:pPr>
        <w:pStyle w:val="SourceCode"/>
      </w:pPr>
      <w:r>
        <w:rPr>
          <w:rStyle w:val="VerbatimChar"/>
        </w:rPr>
        <w:t>Bisher:</w:t>
      </w:r>
      <w:r>
        <w:br/>
      </w:r>
      <w:r>
        <w:br/>
      </w:r>
      <w:r>
        <w:rPr>
          <w:rStyle w:val="VerbatimChar"/>
        </w:rPr>
        <w:t>~~~~text</w:t>
      </w:r>
      <w:r>
        <w:br/>
      </w:r>
      <w:r>
        <w:br/>
      </w:r>
      <w:r>
        <w:rPr>
          <w:rStyle w:val="VerbatimChar"/>
        </w:rPr>
        <w:t>Ein sinkender Emissionsfaktor reduziert zukünftige Betriebsemissionen. Bereits entstandene Errichtungsemissionen werden dadurch nicht nachträglich gelöscht. Die tatsächlichen Jahresverbräuche, Maßnahmenzeitpunkte und Faktorenpfade müssen zusammen bilanziert werden. CO₂-Intensitäten allein sind außerdem nicht ohne dokumentierte Abgrenzung mit den hier verwendeten THG-Faktoren in CO₂e austauschbar.</w:t>
      </w:r>
      <w:r>
        <w:br/>
      </w:r>
      <w:r>
        <w:rPr>
          <w:rStyle w:val="VerbatimChar"/>
        </w:rPr>
        <w:t>~~~~</w:t>
      </w:r>
    </w:p>
    <w:p w14:paraId="067ED679" w14:textId="77777777" w:rsidR="004E4CC2" w:rsidRDefault="00000000">
      <w:pPr>
        <w:pStyle w:val="Compact"/>
        <w:numPr>
          <w:ilvl w:val="0"/>
          <w:numId w:val="22"/>
        </w:numPr>
      </w:pPr>
      <w:r>
        <w:rPr>
          <w:b/>
          <w:bCs/>
        </w:rPr>
        <w:t>Kapitel/04-bilanzregeln.qmd, Ausgangszeile 26: Streichung.</w:t>
      </w:r>
    </w:p>
    <w:p w14:paraId="4AF69801" w14:textId="77777777" w:rsidR="004E4CC2" w:rsidRDefault="00000000">
      <w:pPr>
        <w:pStyle w:val="SourceCode"/>
      </w:pPr>
      <w:r>
        <w:rPr>
          <w:rStyle w:val="VerbatimChar"/>
        </w:rPr>
        <w:t>Bisher:</w:t>
      </w:r>
      <w:r>
        <w:br/>
      </w:r>
      <w:r>
        <w:br/>
      </w:r>
      <w:r>
        <w:rPr>
          <w:rStyle w:val="VerbatimChar"/>
        </w:rPr>
        <w:t>~~~~text</w:t>
      </w:r>
      <w:r>
        <w:br/>
      </w:r>
      <w:r>
        <w:rPr>
          <w:rStyle w:val="VerbatimChar"/>
        </w:rPr>
        <w:t>Die Flächenbezüge sind **nicht austauschbar**: Ein spezifischer Wert in kWh PE/(m² NGF a) ist ohne Flächenumrechnung nicht mit einem Wert in kg CO₂e/m² BGF vergleichbar. Änderungen der Quartiersgrenze können gleichzeitig Bedarf, lokale Erzeugung, GFZ und verfügbare Budgets verändern. Varianten sind daher nur bei dokumentierter Abgrenzung sinnvoll vergleichbar.</w:t>
      </w:r>
      <w:r>
        <w:br/>
      </w:r>
      <w:r>
        <w:br/>
      </w:r>
      <w:r>
        <w:rPr>
          <w:rStyle w:val="VerbatimChar"/>
        </w:rPr>
        <w:t>::: {.callout-note title="Abbildung – Räumliche und funktionale Quartiersgrenze (Platzhalter)" appearance="minimal" icon=false}</w:t>
      </w:r>
      <w:r>
        <w:br/>
      </w:r>
      <w:r>
        <w:rPr>
          <w:rStyle w:val="VerbatimChar"/>
        </w:rPr>
        <w:t>Schematische Quartierszeichnung mit Umrandung des bewerteten Gebiets, konditionierten Gebäudeflächen, unbeheizten Bauteilen, gemeinschaftlicher Wärmeversorgung, lokaler PV und Netzschnittstellen. Beschriftung der verschiedenen Flächenbezüge (Grundstück, BGF, NGF). Außerhalb liegende Infrastruktur und Erzeug</w:t>
      </w:r>
      <w:r>
        <w:rPr>
          <w:rStyle w:val="VerbatimChar"/>
        </w:rPr>
        <w:lastRenderedPageBreak/>
        <w:t>ung getrennt kennzeichnen. **Ziel:** zeigen, dass die physische Quartiersgrenze nicht mit jeder sektoralen Bilanzgrenze identisch ist.</w:t>
      </w:r>
      <w:r>
        <w:br/>
      </w:r>
      <w:r>
        <w:br/>
      </w:r>
      <w:r>
        <w:rPr>
          <w:rStyle w:val="VerbatimChar"/>
        </w:rPr>
        <w:t>*Vorgesehene Grundlage:* Schneider (2026), Abschn. 3.2.2; grafisch neu aufbereiten.</w:t>
      </w:r>
      <w:r>
        <w:br/>
      </w:r>
      <w:r>
        <w:rPr>
          <w:rStyle w:val="VerbatimChar"/>
        </w:rPr>
        <w:t>:::</w:t>
      </w:r>
      <w:r>
        <w:br/>
      </w:r>
      <w:r>
        <w:rPr>
          <w:rStyle w:val="VerbatimChar"/>
        </w:rPr>
        <w:t>~~~~</w:t>
      </w:r>
    </w:p>
    <w:p w14:paraId="7132331B" w14:textId="77777777" w:rsidR="004E4CC2" w:rsidRDefault="00000000">
      <w:pPr>
        <w:pStyle w:val="Compact"/>
        <w:numPr>
          <w:ilvl w:val="0"/>
          <w:numId w:val="23"/>
        </w:numPr>
      </w:pPr>
      <w:r>
        <w:rPr>
          <w:b/>
          <w:bCs/>
        </w:rPr>
        <w:t>Kapitel/04-bilanzregeln.qmd, Ausgangszeile 54: Umformulierung / Umgliederung.</w:t>
      </w:r>
    </w:p>
    <w:p w14:paraId="2DDF7D5C" w14:textId="77777777" w:rsidR="004E4CC2" w:rsidRDefault="00000000">
      <w:pPr>
        <w:pStyle w:val="SourceCode"/>
      </w:pPr>
      <w:r>
        <w:rPr>
          <w:rStyle w:val="VerbatimChar"/>
        </w:rPr>
        <w:t>Bisher:</w:t>
      </w:r>
      <w:r>
        <w:br/>
      </w:r>
      <w:r>
        <w:br/>
      </w:r>
      <w:r>
        <w:rPr>
          <w:rStyle w:val="VerbatimChar"/>
        </w:rPr>
        <w:t>~~~~text</w:t>
      </w:r>
      <w:r>
        <w:br/>
      </w:r>
      <w:r>
        <w:rPr>
          <w:rStyle w:val="VerbatimChar"/>
        </w:rPr>
        <w:t>Das Quartiersmodell bestimmt zunächst die **physischen Energieflüsse** über ein Jahr: Bedarf der Anwendungen, lokale Erzeugung, direkten Eigenverbrauch, Lade- und Entladevorgänge, Speicherverluste sowie Bezug und Abgabe über die Quartiersgrenze. Ein Speicher stellt dabei keine zusätzliche Energiequelle dar; er verschiebt verfügbare Energie und verursacht Verluste.</w:t>
      </w:r>
      <w:r>
        <w:br/>
      </w:r>
      <w:r>
        <w:rPr>
          <w:rStyle w:val="VerbatimChar"/>
        </w:rPr>
        <w:t>~~~~</w:t>
      </w:r>
      <w:r>
        <w:br/>
      </w:r>
      <w:r>
        <w:br/>
      </w:r>
      <w:r>
        <w:rPr>
          <w:rStyle w:val="VerbatimChar"/>
        </w:rPr>
        <w:t>Jetzt:</w:t>
      </w:r>
      <w:r>
        <w:br/>
      </w:r>
      <w:r>
        <w:br/>
      </w:r>
      <w:r>
        <w:rPr>
          <w:rStyle w:val="VerbatimChar"/>
        </w:rPr>
        <w:t>~~~~text</w:t>
      </w:r>
      <w:r>
        <w:br/>
      </w:r>
      <w:r>
        <w:rPr>
          <w:rStyle w:val="VerbatimChar"/>
        </w:rPr>
        <w:t>Das Quartiersmodell bestimmt zunächst die **physischen Energieflüsse** über ein Jahr: Bedarf der Anwendungen, lokale Erzeugung, direkten Eigenverbrauch, Lade- und Entladevorgänge, Speicherverluste sowie Bezug und Abgabe über die Quartiersgrenze.</w:t>
      </w:r>
      <w:r>
        <w:br/>
      </w:r>
      <w:r>
        <w:rPr>
          <w:rStyle w:val="VerbatimChar"/>
        </w:rPr>
        <w:t>~~~~</w:t>
      </w:r>
    </w:p>
    <w:p w14:paraId="71D8F149" w14:textId="77777777" w:rsidR="004E4CC2" w:rsidRDefault="00000000">
      <w:pPr>
        <w:pStyle w:val="Compact"/>
        <w:numPr>
          <w:ilvl w:val="0"/>
          <w:numId w:val="24"/>
        </w:numPr>
      </w:pPr>
      <w:r>
        <w:rPr>
          <w:b/>
          <w:bCs/>
        </w:rPr>
        <w:t>Kapitel/04-bilanzregeln.qmd, Ausgangszeile 57: Streichung.</w:t>
      </w:r>
    </w:p>
    <w:p w14:paraId="2AAD6692" w14:textId="77777777" w:rsidR="004E4CC2" w:rsidRDefault="00000000">
      <w:pPr>
        <w:pStyle w:val="SourceCode"/>
      </w:pPr>
      <w:r>
        <w:rPr>
          <w:rStyle w:val="VerbatimChar"/>
        </w:rPr>
        <w:t>Bisher:</w:t>
      </w:r>
      <w:r>
        <w:br/>
      </w:r>
      <w:r>
        <w:br/>
      </w:r>
      <w:r>
        <w:rPr>
          <w:rStyle w:val="VerbatimChar"/>
        </w:rPr>
        <w:t>~~~~text</w:t>
      </w:r>
      <w:r>
        <w:br/>
      </w:r>
      <w:r>
        <w:br/>
      </w:r>
      <w:r>
        <w:rPr>
          <w:rStyle w:val="VerbatimChar"/>
        </w:rPr>
        <w:t>Eine Kontextgutschrift ist daher weder zusätzlich erzeugte Energie noch eine tatsächliche Verringerung des Netzbezugs. Auch ein positiver **Bewertungssaldo** ist nicht mit elektrischer Autarkie gleichzusetzen. Die formale Kombination von Saldo und Kontextkomponenten wird in @sec-kontext angegeben.</w:t>
      </w:r>
      <w:r>
        <w:br/>
      </w:r>
      <w:r>
        <w:rPr>
          <w:rStyle w:val="VerbatimChar"/>
        </w:rPr>
        <w:t>~~~~</w:t>
      </w:r>
    </w:p>
    <w:p w14:paraId="5944BBFD" w14:textId="77777777" w:rsidR="004E4CC2" w:rsidRDefault="00000000">
      <w:pPr>
        <w:pStyle w:val="Compact"/>
        <w:numPr>
          <w:ilvl w:val="0"/>
          <w:numId w:val="25"/>
        </w:numPr>
      </w:pPr>
      <w:r>
        <w:rPr>
          <w:b/>
          <w:bCs/>
        </w:rPr>
        <w:t>Kapitel/04-bilanzregeln.qmd, Ausgangszeile 65: Streichung.</w:t>
      </w:r>
    </w:p>
    <w:p w14:paraId="3CECC7A8" w14:textId="77777777" w:rsidR="004E4CC2" w:rsidRDefault="00000000">
      <w:pPr>
        <w:pStyle w:val="SourceCode"/>
      </w:pPr>
      <w:r>
        <w:rPr>
          <w:rStyle w:val="VerbatimChar"/>
        </w:rPr>
        <w:t>Bisher:</w:t>
      </w:r>
      <w:r>
        <w:br/>
      </w:r>
      <w:r>
        <w:br/>
      </w:r>
      <w:r>
        <w:rPr>
          <w:rStyle w:val="VerbatimChar"/>
        </w:rPr>
        <w:t>~~~~text</w:t>
      </w:r>
      <w:r>
        <w:br/>
      </w:r>
      <w:r>
        <w:rPr>
          <w:rStyle w:val="VerbatimChar"/>
        </w:rPr>
        <w:t>::: {.callout-note title="Abbildung – Vom Energiefluss zur Bewertungsbilanz (Platzhalter)" appearance="minimal" icon=false}</w:t>
      </w:r>
      <w:r>
        <w:br/>
      </w:r>
      <w:r>
        <w:rPr>
          <w:rStyle w:val="VerbatimChar"/>
        </w:rPr>
        <w:t xml:space="preserve">Dreistufige Grafik: **(1)** physische Energieflüsse (PV, Anwendungen, Speicher, Netzbezug/-export), **(2)** zeitlich gewichteter Primärenergiesaldo, **(3)** Addition virtueller Kontextfaktoren zum bewerteten Endsaldo. Physische und virtuelle Größen grafisch deutlich unterscheiden. Optional eine interaktive </w:t>
      </w:r>
      <w:r>
        <w:rPr>
          <w:rStyle w:val="VerbatimChar"/>
        </w:rPr>
        <w:lastRenderedPageBreak/>
        <w:t>HTML-Version mit Tooltip zu jeder Komponente und einem feststehenden, druckbaren Zustand für PDF/DOCX.</w:t>
      </w:r>
      <w:r>
        <w:br/>
      </w:r>
      <w:r>
        <w:br/>
      </w:r>
      <w:r>
        <w:rPr>
          <w:rStyle w:val="VerbatimChar"/>
        </w:rPr>
        <w:t>*Vorgesehene Grundlage:* Bilanzlogik nach Schneider et al. (2025) sowie @eq-kontextbilanz.</w:t>
      </w:r>
      <w:r>
        <w:br/>
      </w:r>
      <w:r>
        <w:rPr>
          <w:rStyle w:val="VerbatimChar"/>
        </w:rPr>
        <w:t>:::</w:t>
      </w:r>
      <w:r>
        <w:br/>
      </w:r>
      <w:r>
        <w:rPr>
          <w:rStyle w:val="VerbatimChar"/>
        </w:rPr>
        <w:t>~~~~</w:t>
      </w:r>
    </w:p>
    <w:p w14:paraId="62B43D57" w14:textId="77777777" w:rsidR="004E4CC2" w:rsidRDefault="00000000">
      <w:pPr>
        <w:pStyle w:val="Compact"/>
        <w:numPr>
          <w:ilvl w:val="0"/>
          <w:numId w:val="26"/>
        </w:numPr>
      </w:pPr>
      <w:r>
        <w:rPr>
          <w:b/>
          <w:bCs/>
        </w:rPr>
        <w:t>Kapitel/04-bilanzregeln.qmd, Ausgangszeile 76: Umformulierung / Umgliederung.</w:t>
      </w:r>
    </w:p>
    <w:p w14:paraId="37A20D1F" w14:textId="77777777" w:rsidR="004E4CC2" w:rsidRDefault="00000000">
      <w:pPr>
        <w:pStyle w:val="SourceCode"/>
      </w:pPr>
      <w:r>
        <w:rPr>
          <w:rStyle w:val="VerbatimChar"/>
        </w:rPr>
        <w:t>Bisher:</w:t>
      </w:r>
      <w:r>
        <w:br/>
      </w:r>
      <w:r>
        <w:br/>
      </w:r>
      <w:r>
        <w:rPr>
          <w:rStyle w:val="VerbatimChar"/>
        </w:rPr>
        <w:t>~~~~text</w:t>
      </w:r>
      <w:r>
        <w:br/>
      </w:r>
      <w:r>
        <w:rPr>
          <w:rStyle w:val="VerbatimChar"/>
        </w:rPr>
        <w:t>In der THG-Bilanz wird außerdem die Fahrzeugherstellung in dem im Referenzverfahren vorgesehenen Umfang angesetzt. Daraus folgt keine vollständige Flotten-LCA aller künftigen Fahrzeugwechsel. Das nutzungsbezogene Mobilitätsbudget ist ebenfalls von realen Ladeleistungen, Anschlusskapazitäten und der tatsächlichen Anwesenheit von Fahrzeugen zu unterscheiden. Budgetzuordnung und Anwendung des Mobilitätskontextfaktors beschreibt @sec-kontext-mobilitaet; die stündliche Fahrzeugmodellierung ist in @schneider_annual_2025 beschrieben.</w:t>
      </w:r>
      <w:r>
        <w:br/>
      </w:r>
      <w:r>
        <w:rPr>
          <w:rStyle w:val="VerbatimChar"/>
        </w:rPr>
        <w:t>~~~~</w:t>
      </w:r>
      <w:r>
        <w:br/>
      </w:r>
      <w:r>
        <w:br/>
      </w:r>
      <w:r>
        <w:rPr>
          <w:rStyle w:val="VerbatimChar"/>
        </w:rPr>
        <w:t>Jetzt:</w:t>
      </w:r>
      <w:r>
        <w:br/>
      </w:r>
      <w:r>
        <w:br/>
      </w:r>
      <w:r>
        <w:rPr>
          <w:rStyle w:val="VerbatimChar"/>
        </w:rPr>
        <w:t>~~~~text</w:t>
      </w:r>
      <w:r>
        <w:br/>
      </w:r>
      <w:r>
        <w:rPr>
          <w:rStyle w:val="VerbatimChar"/>
        </w:rPr>
        <w:t>In der THG-Bilanz wird außerdem die Fahrzeugherstellung in dem im Referenzverfahren vorgesehenen Umfang angesetzt. Der Umfang der Fahrzeugherstellung folgt dem Referenzverfahren. Das nutzungsbezogene Mobilitätsbudget ist ebenfalls von realen Ladeleistungen, Anschlusskapazitäten und der tatsächlichen Anwesenheit von Fahrzeugen zu unterscheiden. Budgetzuordnung und Anwendung des Mobilitätskontextfaktors beschreibt @sec-kontext-mobilitaet; die stündliche Fahrzeugmodellierung ist in @schneider_annual_2025 beschrieben.</w:t>
      </w:r>
      <w:r>
        <w:br/>
      </w:r>
      <w:r>
        <w:rPr>
          <w:rStyle w:val="VerbatimChar"/>
        </w:rPr>
        <w:t>~~~~</w:t>
      </w:r>
    </w:p>
    <w:p w14:paraId="5EDE21EC" w14:textId="77777777" w:rsidR="004E4CC2" w:rsidRDefault="00000000">
      <w:pPr>
        <w:pStyle w:val="Compact"/>
        <w:numPr>
          <w:ilvl w:val="0"/>
          <w:numId w:val="27"/>
        </w:numPr>
      </w:pPr>
      <w:r>
        <w:rPr>
          <w:b/>
          <w:bCs/>
        </w:rPr>
        <w:t>Kapitel/04-bilanzregeln.qmd, Ausgangszeile 78: Streichung.</w:t>
      </w:r>
    </w:p>
    <w:p w14:paraId="0AC83567" w14:textId="77777777" w:rsidR="004E4CC2" w:rsidRDefault="00000000">
      <w:pPr>
        <w:pStyle w:val="SourceCode"/>
      </w:pPr>
      <w:r>
        <w:rPr>
          <w:rStyle w:val="VerbatimChar"/>
        </w:rPr>
        <w:t>Bisher:</w:t>
      </w:r>
      <w:r>
        <w:br/>
      </w:r>
      <w:r>
        <w:br/>
      </w:r>
      <w:r>
        <w:rPr>
          <w:rStyle w:val="VerbatimChar"/>
        </w:rPr>
        <w:t>~~~~text</w:t>
      </w:r>
      <w:r>
        <w:br/>
      </w:r>
      <w:r>
        <w:rPr>
          <w:rStyle w:val="VerbatimChar"/>
        </w:rPr>
        <w:t>::: {.callout-note title="Abbildung – Zielverkehr und Ladeort (Platzhalter)" appearance="minimal" icon=false}</w:t>
      </w:r>
      <w:r>
        <w:br/>
      </w:r>
      <w:r>
        <w:rPr>
          <w:rStyle w:val="VerbatimChar"/>
        </w:rPr>
        <w:t>Vereinfachte Karte mit Wohn-, Arbeits- und Einkaufsquartier. Pfeile zeigen nach dem Zielverkehrsprinzip zugeordnete Fahrten; Ladepunkte zeigen davon getrennt die physischen Orte der Stromaufnahme. Ergänzend schematische Zuordnung zu Mobilitätsbedarf, Nutzungsgutschrift und Fahrzeugherstellung. **Ziel:** Doppelzählung von Fahrtenergie, Ladevorgang und Budgetgutschrift anschaulich vermeiden.</w:t>
      </w:r>
      <w:r>
        <w:br/>
      </w:r>
      <w:r>
        <w:br/>
      </w:r>
      <w:r>
        <w:rPr>
          <w:rStyle w:val="VerbatimChar"/>
        </w:rPr>
        <w:t>*Vorgesehene Grundlage:* Schneider et al. (2025), Abschn. 2.4.2.</w:t>
      </w:r>
      <w:r>
        <w:br/>
      </w:r>
      <w:r>
        <w:rPr>
          <w:rStyle w:val="VerbatimChar"/>
        </w:rPr>
        <w:t>:::</w:t>
      </w:r>
      <w:r>
        <w:br/>
      </w:r>
      <w:r>
        <w:br/>
      </w:r>
      <w:r>
        <w:rPr>
          <w:rStyle w:val="VerbatimChar"/>
        </w:rPr>
        <w:lastRenderedPageBreak/>
        <w:t>Die energetische Zuordnung von Mobilität und die tatsächlichen Ladevorgänge folgen unterschiedlichen Systemgrenzen. Fahrenergie wird dem Zielverkehr zugerechnet; geladen werden kann auch außerhalb des betrachteten Quartiers.</w:t>
      </w:r>
      <w:r>
        <w:br/>
      </w:r>
      <w:r>
        <w:rPr>
          <w:rStyle w:val="VerbatimChar"/>
        </w:rPr>
        <w:t>~~~~</w:t>
      </w:r>
    </w:p>
    <w:p w14:paraId="3DB55BA7" w14:textId="77777777" w:rsidR="004E4CC2" w:rsidRDefault="00000000">
      <w:pPr>
        <w:pStyle w:val="Compact"/>
        <w:numPr>
          <w:ilvl w:val="0"/>
          <w:numId w:val="28"/>
        </w:numPr>
      </w:pPr>
      <w:r>
        <w:rPr>
          <w:b/>
          <w:bCs/>
        </w:rPr>
        <w:t>Kapitel/04-bilanzregeln.qmd, Ausgangszeile 125: Umformulierung / Umgliederung.</w:t>
      </w:r>
    </w:p>
    <w:p w14:paraId="7189E816" w14:textId="77777777" w:rsidR="004E4CC2" w:rsidRDefault="00000000">
      <w:pPr>
        <w:pStyle w:val="SourceCode"/>
      </w:pPr>
      <w:r>
        <w:rPr>
          <w:rStyle w:val="VerbatimChar"/>
        </w:rPr>
        <w:t>Bisher:</w:t>
      </w:r>
      <w:r>
        <w:br/>
      </w:r>
      <w:r>
        <w:br/>
      </w:r>
      <w:r>
        <w:rPr>
          <w:rStyle w:val="VerbatimChar"/>
        </w:rPr>
        <w:t>~~~~text</w:t>
      </w:r>
      <w:r>
        <w:br/>
      </w:r>
      <w:r>
        <w:rPr>
          <w:rStyle w:val="VerbatimChar"/>
        </w:rPr>
        <w:t>Dies ist eine **Bilanzierungskonvention**, keine Aussage, dass jeder Holzbau emissionsfrei wäre. Die gleiche Speicherwirkung darf nicht doppelt angesetzt werden, etwa wenn sie bereits in einem übernommenen LCA-Datensatz enthalten ist. Eine dynamische Bewertung von Speicherung, Nachwachsen und späterer Freisetzung wäre methodisch differenzierter, benötigt aber eine zum Budget konsistente Bewertung und ist nicht ohne Weiteres mit dem statischen GWP100-Kennwert vergleichbar [@schneider2025declaration, Abschn. 2.5.1].</w:t>
      </w:r>
      <w:r>
        <w:br/>
      </w:r>
      <w:r>
        <w:br/>
      </w:r>
      <w:r>
        <w:br/>
      </w:r>
      <w:r>
        <w:br/>
      </w:r>
      <w:r>
        <w:rPr>
          <w:rStyle w:val="VerbatimChar"/>
        </w:rPr>
        <w:t>~~~~</w:t>
      </w:r>
      <w:r>
        <w:br/>
      </w:r>
      <w:r>
        <w:br/>
      </w:r>
      <w:r>
        <w:rPr>
          <w:rStyle w:val="VerbatimChar"/>
        </w:rPr>
        <w:t>Jetzt:</w:t>
      </w:r>
      <w:r>
        <w:br/>
      </w:r>
      <w:r>
        <w:br/>
      </w:r>
      <w:r>
        <w:rPr>
          <w:rStyle w:val="VerbatimChar"/>
        </w:rPr>
        <w:t>~~~~text</w:t>
      </w:r>
      <w:r>
        <w:br/>
      </w:r>
      <w:r>
        <w:rPr>
          <w:rStyle w:val="VerbatimChar"/>
        </w:rPr>
        <w:t>Die gleiche Speicherwirkung darf nicht doppelt angesetzt werden, etwa wenn sie bereits in einem übernommenen LCA-Datensatz enthalten ist. Eine dynamische Bewertung von Speicherung, Nachwachsen und späterer Freisetzung wäre methodisch differenzierter, benötigt aber eine zum Budget konsistente Bewertung und ist nicht ohne Weiteres mit dem statischen GWP100-Kennwert vergleichbar [@schneider2025declaration, Abschn. 2.5.1].</w:t>
      </w:r>
      <w:r>
        <w:br/>
      </w:r>
      <w:r>
        <w:rPr>
          <w:rStyle w:val="VerbatimChar"/>
        </w:rPr>
        <w:t>~~~~</w:t>
      </w:r>
    </w:p>
    <w:p w14:paraId="52998CB3" w14:textId="77777777" w:rsidR="004E4CC2" w:rsidRDefault="00000000">
      <w:pPr>
        <w:pStyle w:val="Compact"/>
        <w:numPr>
          <w:ilvl w:val="0"/>
          <w:numId w:val="29"/>
        </w:numPr>
      </w:pPr>
      <w:r>
        <w:rPr>
          <w:b/>
          <w:bCs/>
        </w:rPr>
        <w:t>Kapitel/04-bilanzregeln.qmd, Ausgangszeile 138: Streichung.</w:t>
      </w:r>
    </w:p>
    <w:p w14:paraId="67B7A0D7" w14:textId="77777777" w:rsidR="004E4CC2" w:rsidRDefault="00000000">
      <w:pPr>
        <w:pStyle w:val="SourceCode"/>
      </w:pPr>
      <w:r>
        <w:rPr>
          <w:rStyle w:val="VerbatimChar"/>
        </w:rPr>
        <w:t>Bisher:</w:t>
      </w:r>
      <w:r>
        <w:br/>
      </w:r>
      <w:r>
        <w:br/>
      </w:r>
      <w:r>
        <w:rPr>
          <w:rStyle w:val="VerbatimChar"/>
        </w:rPr>
        <w:t>~~~~text</w:t>
      </w:r>
      <w:r>
        <w:br/>
      </w:r>
      <w:r>
        <w:rPr>
          <w:rStyle w:val="VerbatimChar"/>
        </w:rPr>
        <w:t>Die beiden Auflösungen erfüllen unterschiedliche Aufgaben: Die stündliche Simulation bildet beispielsweise Eigenverbrauch, Speicherverluste und Lastverschiebungen ab. Ein unveränderter Monatsfaktor bewertet dagegen zwei gleich große Netzstrommengen innerhalb desselben Monats identisch – selbst wenn sie zu unterschiedlichen Tageszeiten auftreten. Eine Flexibilitätsmaßnahme kann somit physisch sinnvoll sein, ohne allein über den Monatsfaktor einen zusätzlichen Bewertungsbonus zu erhalten.</w:t>
      </w:r>
      <w:r>
        <w:br/>
      </w:r>
      <w:r>
        <w:br/>
      </w:r>
      <w:r>
        <w:br/>
      </w:r>
      <w:r>
        <w:rPr>
          <w:rStyle w:val="VerbatimChar"/>
        </w:rPr>
        <w:t>::: {.callout-note title="Abbildung – Stundenflüsse und monatliche Bewertung (Platzhalter)" appearance="minimal" icon=false}</w:t>
      </w:r>
      <w:r>
        <w:br/>
      </w:r>
      <w:r>
        <w:rPr>
          <w:rStyle w:val="VerbatimChar"/>
        </w:rPr>
        <w:t>Gemeinsame Zeitachse für beispielhafte stündliche PV-Erzeugung, Strombedarf, Netzbezug und -export; darunter die zugeordneten monatlichen Primärenergiefak</w:t>
      </w:r>
      <w:r>
        <w:rPr>
          <w:rStyle w:val="VerbatimChar"/>
        </w:rPr>
        <w:lastRenderedPageBreak/>
        <w:t>toren. Eine Markierung erklärt, weshalb die **Simulation stündlich** ist, die **Gewichtung aber monatlich** erfolgt. Daten aus einer freigegebenen PEExcel-Beispielvariante, nicht aus einem erfundenen Referenzprojekt.</w:t>
      </w:r>
      <w:r>
        <w:br/>
      </w:r>
      <w:r>
        <w:br/>
      </w:r>
      <w:r>
        <w:rPr>
          <w:rStyle w:val="VerbatimChar"/>
        </w:rPr>
        <w:t>*Vorgesehene Umsetzung:* Plotly-Zeitreihen im HTML, SVG/PNG im PDF und DOCX.</w:t>
      </w:r>
      <w:r>
        <w:br/>
      </w:r>
      <w:r>
        <w:rPr>
          <w:rStyle w:val="VerbatimChar"/>
        </w:rPr>
        <w:t>:::</w:t>
      </w:r>
      <w:r>
        <w:br/>
      </w:r>
      <w:r>
        <w:br/>
      </w:r>
      <w:r>
        <w:rPr>
          <w:rStyle w:val="VerbatimChar"/>
        </w:rPr>
        <w:t>~~~~</w:t>
      </w:r>
    </w:p>
    <w:p w14:paraId="0AA254F1" w14:textId="77777777" w:rsidR="004E4CC2" w:rsidRDefault="00000000">
      <w:pPr>
        <w:pStyle w:val="Compact"/>
        <w:numPr>
          <w:ilvl w:val="0"/>
          <w:numId w:val="30"/>
        </w:numPr>
      </w:pPr>
      <w:r>
        <w:rPr>
          <w:b/>
          <w:bCs/>
        </w:rPr>
        <w:t>Kapitel/04-bilanzregeln.qmd, Ausgangszeile 154: Streichung.</w:t>
      </w:r>
    </w:p>
    <w:p w14:paraId="10A14632" w14:textId="77777777" w:rsidR="004E4CC2" w:rsidRDefault="00000000">
      <w:pPr>
        <w:pStyle w:val="SourceCode"/>
      </w:pPr>
      <w:r>
        <w:rPr>
          <w:rStyle w:val="VerbatimChar"/>
        </w:rPr>
        <w:t>Bisher:</w:t>
      </w:r>
      <w:r>
        <w:br/>
      </w:r>
      <w:r>
        <w:br/>
      </w:r>
      <w:r>
        <w:rPr>
          <w:rStyle w:val="VerbatimChar"/>
        </w:rPr>
        <w:t>~~~~text</w:t>
      </w:r>
      <w:r>
        <w:br/>
      </w:r>
      <w:r>
        <w:rPr>
          <w:rStyle w:val="VerbatimChar"/>
        </w:rPr>
        <w:t>Drei Zeitangaben sind auseinanderzuhalten: **2040** als Bezugspunkt des österreichischen Klimaneutralitätsziels und der nationalen Allokation, **2025–2075** als Zeitraum der kumulierten Quartiersbewertung sowie **GWP100** als 100-jähriger Charakterisierungshorizont von Treibhausgasen. GWP100 bedeutet nicht, dass die Quartiersbilanz über 100 Jahre geführt wird. Die Budgetherleitung und die Bedeutung dieser Annahmen stehen in @sec-zielwert-thg.</w:t>
      </w:r>
      <w:r>
        <w:br/>
      </w:r>
      <w:r>
        <w:br/>
      </w:r>
      <w:r>
        <w:rPr>
          <w:rStyle w:val="VerbatimChar"/>
        </w:rPr>
        <w:t>~~~~</w:t>
      </w:r>
    </w:p>
    <w:p w14:paraId="160E98D3" w14:textId="77777777" w:rsidR="004E4CC2" w:rsidRDefault="00000000">
      <w:pPr>
        <w:pStyle w:val="Compact"/>
        <w:numPr>
          <w:ilvl w:val="0"/>
          <w:numId w:val="31"/>
        </w:numPr>
      </w:pPr>
      <w:r>
        <w:rPr>
          <w:b/>
          <w:bCs/>
        </w:rPr>
        <w:t>Kapitel/08-fortschreibung.qmd, Ausgangszeile 4: Umformulierung / Umgliederung.</w:t>
      </w:r>
    </w:p>
    <w:p w14:paraId="49099405" w14:textId="77777777" w:rsidR="004E4CC2" w:rsidRDefault="00000000">
      <w:pPr>
        <w:pStyle w:val="SourceCode"/>
      </w:pPr>
      <w:r>
        <w:rPr>
          <w:rStyle w:val="VerbatimChar"/>
        </w:rPr>
        <w:t>Bisher:</w:t>
      </w:r>
      <w:r>
        <w:br/>
      </w:r>
      <w:r>
        <w:br/>
      </w:r>
      <w:r>
        <w:rPr>
          <w:rStyle w:val="VerbatimChar"/>
        </w:rPr>
        <w:t>~~~~text</w:t>
      </w:r>
      <w:r>
        <w:br/>
      </w:r>
      <w:r>
        <w:rPr>
          <w:rStyle w:val="VerbatimChar"/>
        </w:rPr>
        <w:t># Methodenstand, Grenzen und Weiterentwicklung {#sec-fortschreibung}</w:t>
      </w:r>
      <w:r>
        <w:br/>
      </w:r>
      <w:r>
        <w:rPr>
          <w:rStyle w:val="VerbatimChar"/>
        </w:rPr>
        <w:t>~~~~</w:t>
      </w:r>
      <w:r>
        <w:br/>
      </w:r>
      <w:r>
        <w:br/>
      </w:r>
      <w:r>
        <w:rPr>
          <w:rStyle w:val="VerbatimChar"/>
        </w:rPr>
        <w:t>Jetzt:</w:t>
      </w:r>
      <w:r>
        <w:br/>
      </w:r>
      <w:r>
        <w:br/>
      </w:r>
      <w:r>
        <w:rPr>
          <w:rStyle w:val="VerbatimChar"/>
        </w:rPr>
        <w:t>~~~~text</w:t>
      </w:r>
      <w:r>
        <w:br/>
      </w:r>
      <w:r>
        <w:rPr>
          <w:rStyle w:val="VerbatimChar"/>
        </w:rPr>
        <w:t># Methodenstand und Fortschreibung {#sec-fortschreibung}</w:t>
      </w:r>
      <w:r>
        <w:br/>
      </w:r>
      <w:r>
        <w:rPr>
          <w:rStyle w:val="VerbatimChar"/>
        </w:rPr>
        <w:t>~~~~</w:t>
      </w:r>
    </w:p>
    <w:p w14:paraId="0F805498" w14:textId="77777777" w:rsidR="004E4CC2" w:rsidRDefault="00000000">
      <w:pPr>
        <w:pStyle w:val="Compact"/>
        <w:numPr>
          <w:ilvl w:val="0"/>
          <w:numId w:val="32"/>
        </w:numPr>
      </w:pPr>
      <w:r>
        <w:rPr>
          <w:b/>
          <w:bCs/>
        </w:rPr>
        <w:t>Kapitel/08-fortschreibung.qmd, Ausgangszeile 6: Umformulierung / Umgliederung.</w:t>
      </w:r>
    </w:p>
    <w:p w14:paraId="4939F75A" w14:textId="77777777" w:rsidR="004E4CC2" w:rsidRDefault="00000000">
      <w:pPr>
        <w:pStyle w:val="SourceCode"/>
      </w:pPr>
      <w:r>
        <w:rPr>
          <w:rStyle w:val="VerbatimChar"/>
        </w:rPr>
        <w:t>Bisher:</w:t>
      </w:r>
      <w:r>
        <w:br/>
      </w:r>
      <w:r>
        <w:br/>
      </w:r>
      <w:r>
        <w:rPr>
          <w:rStyle w:val="VerbatimChar"/>
        </w:rPr>
        <w:t>~~~~text</w:t>
      </w:r>
      <w:r>
        <w:br/>
      </w:r>
      <w:r>
        <w:br/>
      </w:r>
      <w:r>
        <w:rPr>
          <w:rStyle w:val="VerbatimChar"/>
        </w:rPr>
        <w:t>~~~~</w:t>
      </w:r>
      <w:r>
        <w:br/>
      </w:r>
      <w:r>
        <w:br/>
      </w:r>
      <w:r>
        <w:rPr>
          <w:rStyle w:val="VerbatimChar"/>
        </w:rPr>
        <w:t>Jetzt:</w:t>
      </w:r>
      <w:r>
        <w:br/>
      </w:r>
      <w:r>
        <w:br/>
      </w:r>
      <w:r>
        <w:rPr>
          <w:rStyle w:val="VerbatimChar"/>
        </w:rPr>
        <w:t>~~~~text</w:t>
      </w:r>
      <w:r>
        <w:br/>
      </w:r>
      <w:r>
        <w:rPr>
          <w:rStyle w:val="VerbatimChar"/>
        </w:rPr>
        <w:t>Einflussgrößen, Geltungsbereich und Regeln für die Fortschreibung</w:t>
      </w:r>
      <w:r>
        <w:br/>
      </w:r>
      <w:r>
        <w:rPr>
          <w:rStyle w:val="VerbatimChar"/>
        </w:rPr>
        <w:t>~~~~</w:t>
      </w:r>
    </w:p>
    <w:p w14:paraId="4FD31102" w14:textId="77777777" w:rsidR="004E4CC2" w:rsidRDefault="00000000">
      <w:pPr>
        <w:pStyle w:val="Compact"/>
        <w:numPr>
          <w:ilvl w:val="0"/>
          <w:numId w:val="33"/>
        </w:numPr>
      </w:pPr>
      <w:r>
        <w:rPr>
          <w:b/>
          <w:bCs/>
        </w:rPr>
        <w:lastRenderedPageBreak/>
        <w:t>Kapitel/08-fortschreibung.qmd, Ausgangszeile 14: Streichung.</w:t>
      </w:r>
    </w:p>
    <w:p w14:paraId="6F406758" w14:textId="77777777" w:rsidR="004E4CC2" w:rsidRDefault="00000000">
      <w:pPr>
        <w:pStyle w:val="SourceCode"/>
      </w:pPr>
      <w:r>
        <w:rPr>
          <w:rStyle w:val="VerbatimChar"/>
        </w:rPr>
        <w:t>Bisher:</w:t>
      </w:r>
      <w:r>
        <w:br/>
      </w:r>
      <w:r>
        <w:br/>
      </w:r>
      <w:r>
        <w:rPr>
          <w:rStyle w:val="VerbatimChar"/>
        </w:rPr>
        <w:t>~~~~text</w:t>
      </w:r>
      <w:r>
        <w:br/>
      </w:r>
      <w:r>
        <w:br/>
      </w:r>
      <w:r>
        <w:rPr>
          <w:rStyle w:val="VerbatimChar"/>
        </w:rPr>
        <w:t>Ebenso wenig ist eine positive Jahresbilanz ein Autarkienachweis. Ein Quartier kann erhebliche Mengen Strom oder Wärme beziehen und zu anderen Zeiten Energie abgeben. Für die technische Planung bleiben Anschlussleistungen und zeitliche Versorgungslücken relevant. Ein energetisch günstiges Konzept muss außerdem Komfort, Nutzbarkeit und andere Anforderungen an ein nachhaltiges Gebäude erfüllen.</w:t>
      </w:r>
      <w:r>
        <w:br/>
      </w:r>
      <w:r>
        <w:rPr>
          <w:rStyle w:val="VerbatimChar"/>
        </w:rPr>
        <w:t>~~~~</w:t>
      </w:r>
    </w:p>
    <w:p w14:paraId="14C99135" w14:textId="77777777" w:rsidR="004E4CC2" w:rsidRDefault="00000000">
      <w:pPr>
        <w:pStyle w:val="Compact"/>
        <w:numPr>
          <w:ilvl w:val="0"/>
          <w:numId w:val="34"/>
        </w:numPr>
      </w:pPr>
      <w:r>
        <w:rPr>
          <w:b/>
          <w:bCs/>
        </w:rPr>
        <w:t>Kapitel/08-fortschreibung.qmd, Ausgangszeile 31: Umformulierung / Umgliederung.</w:t>
      </w:r>
    </w:p>
    <w:p w14:paraId="13D46A02" w14:textId="77777777" w:rsidR="004E4CC2" w:rsidRDefault="00000000">
      <w:pPr>
        <w:pStyle w:val="SourceCode"/>
      </w:pPr>
      <w:r>
        <w:rPr>
          <w:rStyle w:val="VerbatimChar"/>
        </w:rPr>
        <w:t>Bisher:</w:t>
      </w:r>
      <w:r>
        <w:br/>
      </w:r>
      <w:r>
        <w:br/>
      </w:r>
      <w:r>
        <w:rPr>
          <w:rStyle w:val="VerbatimChar"/>
        </w:rPr>
        <w:t>~~~~text</w:t>
      </w:r>
      <w:r>
        <w:br/>
      </w:r>
      <w:r>
        <w:rPr>
          <w:rStyle w:val="VerbatimChar"/>
        </w:rPr>
        <w:t>## Wo die nächsten fachlichen Verbesserungen liegen</w:t>
      </w:r>
      <w:r>
        <w:br/>
      </w:r>
      <w:r>
        <w:rPr>
          <w:rStyle w:val="VerbatimChar"/>
        </w:rPr>
        <w:t>~~~~</w:t>
      </w:r>
      <w:r>
        <w:br/>
      </w:r>
      <w:r>
        <w:br/>
      </w:r>
      <w:r>
        <w:rPr>
          <w:rStyle w:val="VerbatimChar"/>
        </w:rPr>
        <w:t>Jetzt:</w:t>
      </w:r>
      <w:r>
        <w:br/>
      </w:r>
      <w:r>
        <w:br/>
      </w:r>
      <w:r>
        <w:rPr>
          <w:rStyle w:val="VerbatimChar"/>
        </w:rPr>
        <w:t>~~~~text</w:t>
      </w:r>
      <w:r>
        <w:br/>
      </w:r>
      <w:r>
        <w:rPr>
          <w:rStyle w:val="VerbatimChar"/>
        </w:rPr>
        <w:t>## Einflussgrößen und Grenzen des Modells</w:t>
      </w:r>
      <w:r>
        <w:br/>
      </w:r>
      <w:r>
        <w:rPr>
          <w:rStyle w:val="VerbatimChar"/>
        </w:rPr>
        <w:t>~~~~</w:t>
      </w:r>
    </w:p>
    <w:p w14:paraId="56F39AB4" w14:textId="77777777" w:rsidR="004E4CC2" w:rsidRDefault="00000000">
      <w:pPr>
        <w:pStyle w:val="Compact"/>
        <w:numPr>
          <w:ilvl w:val="0"/>
          <w:numId w:val="35"/>
        </w:numPr>
      </w:pPr>
      <w:r>
        <w:rPr>
          <w:b/>
          <w:bCs/>
        </w:rPr>
        <w:t>Kapitel/08-fortschreibung.qmd, Ausgangszeile 45: Umformulierung / Umgliederung.</w:t>
      </w:r>
    </w:p>
    <w:p w14:paraId="5A82CC46" w14:textId="77777777" w:rsidR="004E4CC2" w:rsidRDefault="00000000">
      <w:pPr>
        <w:pStyle w:val="SourceCode"/>
      </w:pPr>
      <w:r>
        <w:rPr>
          <w:rStyle w:val="VerbatimChar"/>
        </w:rPr>
        <w:t>Bisher:</w:t>
      </w:r>
      <w:r>
        <w:br/>
      </w:r>
      <w:r>
        <w:br/>
      </w:r>
      <w:r>
        <w:rPr>
          <w:rStyle w:val="VerbatimChar"/>
        </w:rPr>
        <w:t>~~~~text</w:t>
      </w:r>
      <w:r>
        <w:br/>
      </w:r>
      <w:r>
        <w:rPr>
          <w:rStyle w:val="VerbatimChar"/>
        </w:rPr>
        <w:t>Eine Fortschreibung sollte deshalb zunächst dieselben Projektvarianten mit dem bisherigen und dem neuen Faktorsatz vergleichen. So wird sichtbar, ob ein Ergebnis durch die technische Maßnahme oder durch den geänderten Maßstab besser wird. Stündliche Faktoren sind damit ein möglicher nächster Schritt, keine Voraussetzung dafür, den bisherigen monatlichen Ansatz nachvollziehbar anzuwenden [@schneider2026thesis, Abschn. 3.2.3–3.2.4; @schneider2025declaration, Abschn. 2.6 und 4.2–4.3].</w:t>
      </w:r>
      <w:r>
        <w:br/>
      </w:r>
      <w:r>
        <w:rPr>
          <w:rStyle w:val="VerbatimChar"/>
        </w:rPr>
        <w:t>~~~~</w:t>
      </w:r>
      <w:r>
        <w:br/>
      </w:r>
      <w:r>
        <w:br/>
      </w:r>
      <w:r>
        <w:rPr>
          <w:rStyle w:val="VerbatimChar"/>
        </w:rPr>
        <w:t>Jetzt:</w:t>
      </w:r>
      <w:r>
        <w:br/>
      </w:r>
      <w:r>
        <w:br/>
      </w:r>
      <w:r>
        <w:rPr>
          <w:rStyle w:val="VerbatimChar"/>
        </w:rPr>
        <w:t>~~~~text</w:t>
      </w:r>
      <w:r>
        <w:br/>
      </w:r>
      <w:r>
        <w:rPr>
          <w:rStyle w:val="VerbatimChar"/>
        </w:rPr>
        <w:t>Eine Fortschreibung sollte deshalb zunächst dieselben Projektvarianten mit dem bisherigen und dem neuen Faktorsatz vergleichen. So wird sichtbar, ob ein Ergebnis durch die technische Maßnahme oder durch den geänderten Maßstab besser wird. Der Referenzansatz verwendet monatliche Faktoren; stündliche Faktoren bilden eine gesonderte Bewertungsvariante [@schneider2026thesis, Abschn. 3.2.</w:t>
      </w:r>
      <w:r>
        <w:rPr>
          <w:rStyle w:val="VerbatimChar"/>
        </w:rPr>
        <w:lastRenderedPageBreak/>
        <w:t>3–3.2.4; @schneider2025declaration, Abschn. 2.6 und 4.2–4.3].</w:t>
      </w:r>
      <w:r>
        <w:br/>
      </w:r>
      <w:r>
        <w:rPr>
          <w:rStyle w:val="VerbatimChar"/>
        </w:rPr>
        <w:t>~~~~</w:t>
      </w:r>
    </w:p>
    <w:p w14:paraId="66E36DF2" w14:textId="77777777" w:rsidR="004E4CC2" w:rsidRDefault="00000000">
      <w:pPr>
        <w:pStyle w:val="Compact"/>
        <w:numPr>
          <w:ilvl w:val="0"/>
          <w:numId w:val="36"/>
        </w:numPr>
      </w:pPr>
      <w:r>
        <w:rPr>
          <w:b/>
          <w:bCs/>
        </w:rPr>
        <w:t>Kapitel/08-fortschreibung.qmd, Ausgangszeile 57: Umformulierung / Umgliederung.</w:t>
      </w:r>
    </w:p>
    <w:p w14:paraId="3DFDD8EC" w14:textId="77777777" w:rsidR="004E4CC2" w:rsidRDefault="00000000">
      <w:pPr>
        <w:pStyle w:val="SourceCode"/>
      </w:pPr>
      <w:r>
        <w:rPr>
          <w:rStyle w:val="VerbatimChar"/>
        </w:rPr>
        <w:t>Bisher:</w:t>
      </w:r>
      <w:r>
        <w:br/>
      </w:r>
      <w:r>
        <w:br/>
      </w:r>
      <w:r>
        <w:rPr>
          <w:rStyle w:val="VerbatimChar"/>
        </w:rPr>
        <w:t>~~~~text</w:t>
      </w:r>
      <w:r>
        <w:br/>
      </w:r>
      <w:r>
        <w:rPr>
          <w:rStyle w:val="VerbatimChar"/>
        </w:rPr>
        <w:t>Die pauschale Sanierungsgutschrift lässt sich künftig nach tatsächlich unterschiedlichen Erschwernissen differenzieren. Dafür braucht es eine belastbare Datengrundlage und eine Regel, die in der Planung mit vertretbarem Aufwand nachweisbar ist. Eine kleinteilige Differenzierung wäre wenig hilfreich, wenn die erforderlichen Informationen erst spät oder nur mit unverhältnismäßigem Aufwand verfügbar sind.</w:t>
      </w:r>
      <w:r>
        <w:br/>
      </w:r>
      <w:r>
        <w:rPr>
          <w:rStyle w:val="VerbatimChar"/>
        </w:rPr>
        <w:t>~~~~</w:t>
      </w:r>
      <w:r>
        <w:br/>
      </w:r>
      <w:r>
        <w:br/>
      </w:r>
      <w:r>
        <w:rPr>
          <w:rStyle w:val="VerbatimChar"/>
        </w:rPr>
        <w:t>Jetzt:</w:t>
      </w:r>
      <w:r>
        <w:br/>
      </w:r>
      <w:r>
        <w:br/>
      </w:r>
      <w:r>
        <w:rPr>
          <w:rStyle w:val="VerbatimChar"/>
        </w:rPr>
        <w:t>~~~~text</w:t>
      </w:r>
      <w:r>
        <w:br/>
      </w:r>
      <w:r>
        <w:rPr>
          <w:rStyle w:val="VerbatimChar"/>
        </w:rPr>
        <w:t>Der Entwurf differenziert die Sanierungsanpassung nach energetischer Typologie und baulichen Randbedingungen. Dafür braucht es eine belastbare Datengrundlage und eine Regel, die in der Planung mit vertretbarem Aufwand nachweisbar ist. Eine kleinteilige Differenzierung wäre wenig hilfreich, wenn die erforderlichen Informationen erst spät oder nur mit unverhältnismäßigem Aufwand verfügbar sind.</w:t>
      </w:r>
      <w:r>
        <w:br/>
      </w:r>
      <w:r>
        <w:rPr>
          <w:rStyle w:val="VerbatimChar"/>
        </w:rPr>
        <w:t>~~~~</w:t>
      </w:r>
    </w:p>
    <w:p w14:paraId="4E77A0D0" w14:textId="77777777" w:rsidR="004E4CC2" w:rsidRDefault="00000000">
      <w:pPr>
        <w:pStyle w:val="Compact"/>
        <w:numPr>
          <w:ilvl w:val="0"/>
          <w:numId w:val="37"/>
        </w:numPr>
      </w:pPr>
      <w:r>
        <w:rPr>
          <w:b/>
          <w:bCs/>
        </w:rPr>
        <w:t>Kapitel/08-fortschreibung.qmd, Ausgangszeile 59: Umformulierung / Umgliederung.</w:t>
      </w:r>
    </w:p>
    <w:p w14:paraId="5E61258D" w14:textId="77777777" w:rsidR="004E4CC2" w:rsidRDefault="00000000">
      <w:pPr>
        <w:pStyle w:val="SourceCode"/>
      </w:pPr>
      <w:r>
        <w:rPr>
          <w:rStyle w:val="VerbatimChar"/>
        </w:rPr>
        <w:t>Bisher:</w:t>
      </w:r>
      <w:r>
        <w:br/>
      </w:r>
      <w:r>
        <w:br/>
      </w:r>
      <w:r>
        <w:rPr>
          <w:rStyle w:val="VerbatimChar"/>
        </w:rPr>
        <w:t>~~~~text</w:t>
      </w:r>
      <w:r>
        <w:br/>
      </w:r>
      <w:r>
        <w:rPr>
          <w:rStyle w:val="VerbatimChar"/>
        </w:rPr>
        <w:t>Für Renovierungsfahrpläne sind außerdem die künftigen Herstellungsemissionen von Bauteilen relevant. Europäische Arbeiten zur Lebenszyklusbewertung liefern dafür Szenarien und Vergleichsgrundlagen. Die EU-Roadmap verbindet Gebäude- und Bestandsmodelle mit Maßnahmen an Materialproduktion, Materialeinsatz und Bautätigkeit [@leden2024roadmap]. Die INDICATE-Arbeiten zeigen ergänzend, wie nationale Ausgangswerte mit einheitlichen Erhebungsgrundlagen aufgebaut werden können und warum Unterschiede der Bilanzmethoden den Vergleich erschweren [@bpie2024benchmarks]. Daraus lassen sich Prüfaufgaben für die Fortschreibung ableiten; konkrete österreichische Materialpfade müssen gesondert ausgewählt und auf den PEQ-Bilanzumfang abgestimmt werden.</w:t>
      </w:r>
      <w:r>
        <w:br/>
      </w:r>
      <w:r>
        <w:rPr>
          <w:rStyle w:val="VerbatimChar"/>
        </w:rPr>
        <w:t>~~~~</w:t>
      </w:r>
      <w:r>
        <w:br/>
      </w:r>
      <w:r>
        <w:br/>
      </w:r>
      <w:r>
        <w:rPr>
          <w:rStyle w:val="VerbatimChar"/>
        </w:rPr>
        <w:t>Jetzt:</w:t>
      </w:r>
      <w:r>
        <w:br/>
      </w:r>
      <w:r>
        <w:br/>
      </w:r>
      <w:r>
        <w:rPr>
          <w:rStyle w:val="VerbatimChar"/>
        </w:rPr>
        <w:t>~~~~text</w:t>
      </w:r>
      <w:r>
        <w:br/>
      </w:r>
      <w:r>
        <w:rPr>
          <w:rStyle w:val="VerbatimChar"/>
        </w:rPr>
        <w:t>Für Renovierungsfahrpläne sind außerdem die Herstellungsemissionen zum Maßnahmenzeitpunkt von Bauteilen relevant. Europäische Arbeiten zur Lebenszyklusbewertung liefern dafür Szenarien und Vergleichsgrundlagen. Die EU-Roadmap verbi</w:t>
      </w:r>
      <w:r>
        <w:rPr>
          <w:rStyle w:val="VerbatimChar"/>
        </w:rPr>
        <w:lastRenderedPageBreak/>
        <w:t>ndet Gebäude- und Bestandsmodelle mit Maßnahmen an Materialproduktion, Materialeinsatz und Bautätigkeit [@leden2024roadmap]. Die INDICATE-Arbeiten zeigen ergänzend, wie nationale Ausgangswerte mit einheitlichen Erhebungsgrundlagen aufgebaut werden können und warum Unterschiede der Bilanzmethoden den Vergleich erschweren [@bpie2024benchmarks]. Daraus lassen sich Prüfaufgaben für die Fortschreibung ableiten; konkrete österreichische Materialpfade müssen gesondert ausgewählt und auf den PEQ-Bilanzumfang abgestimmt werden.</w:t>
      </w:r>
      <w:r>
        <w:br/>
      </w:r>
      <w:r>
        <w:rPr>
          <w:rStyle w:val="VerbatimChar"/>
        </w:rPr>
        <w:t>~~~~</w:t>
      </w:r>
    </w:p>
    <w:p w14:paraId="4FEA71D5" w14:textId="77777777" w:rsidR="004E4CC2" w:rsidRDefault="00000000">
      <w:pPr>
        <w:pStyle w:val="Compact"/>
        <w:numPr>
          <w:ilvl w:val="0"/>
          <w:numId w:val="38"/>
        </w:numPr>
      </w:pPr>
      <w:r>
        <w:rPr>
          <w:b/>
          <w:bCs/>
        </w:rPr>
        <w:t>Kapitel/08-fortschreibung.qmd, Ausgangszeile 70: Streichung.</w:t>
      </w:r>
    </w:p>
    <w:p w14:paraId="701DC986" w14:textId="77777777" w:rsidR="004E4CC2" w:rsidRDefault="00000000">
      <w:pPr>
        <w:pStyle w:val="SourceCode"/>
      </w:pPr>
      <w:r>
        <w:rPr>
          <w:rStyle w:val="VerbatimChar"/>
        </w:rPr>
        <w:t>Bisher:</w:t>
      </w:r>
      <w:r>
        <w:br/>
      </w:r>
      <w:r>
        <w:br/>
      </w:r>
      <w:r>
        <w:rPr>
          <w:rStyle w:val="VerbatimChar"/>
        </w:rPr>
        <w:t>~~~~text</w:t>
      </w:r>
      <w:r>
        <w:br/>
      </w:r>
      <w:r>
        <w:br/>
      </w:r>
      <w:r>
        <w:rPr>
          <w:rStyle w:val="VerbatimChar"/>
        </w:rPr>
        <w:t>Für die Anwendung bleibt entscheidend, dass ein Ergebnis erklärbar ist: welche Maßnahmen wirken, welche Annahmen es tragen und welche Beiträge außerhalb des Projekts liegen. Genau diese Verbindung macht den Bericht als Grundlage für Entwurfsentscheidungen, fachliche Prüfung und Gespräche zwischen Bauherrschaften, Planung und Verwaltung nutzbar.</w:t>
      </w:r>
      <w:r>
        <w:br/>
      </w:r>
      <w:r>
        <w:rPr>
          <w:rStyle w:val="VerbatimChar"/>
        </w:rPr>
        <w:t>~~~~</w:t>
      </w:r>
    </w:p>
    <w:p w14:paraId="41C90F05" w14:textId="77777777" w:rsidR="004E4CC2" w:rsidRDefault="00000000">
      <w:pPr>
        <w:pStyle w:val="Compact"/>
        <w:numPr>
          <w:ilvl w:val="0"/>
          <w:numId w:val="39"/>
        </w:numPr>
      </w:pPr>
      <w:r>
        <w:rPr>
          <w:b/>
          <w:bCs/>
        </w:rPr>
        <w:t>Kapitel/01-einführung.qmd, Ausgangszeile 13: Umformulierung / Umgliederung.</w:t>
      </w:r>
    </w:p>
    <w:p w14:paraId="5951F7AD" w14:textId="77777777" w:rsidR="004E4CC2" w:rsidRDefault="00000000">
      <w:pPr>
        <w:pStyle w:val="SourceCode"/>
      </w:pPr>
      <w:r>
        <w:rPr>
          <w:rStyle w:val="VerbatimChar"/>
        </w:rPr>
        <w:t>Bisher:</w:t>
      </w:r>
      <w:r>
        <w:br/>
      </w:r>
      <w:r>
        <w:br/>
      </w:r>
      <w:r>
        <w:rPr>
          <w:rStyle w:val="VerbatimChar"/>
        </w:rPr>
        <w:t>~~~~text</w:t>
      </w:r>
      <w:r>
        <w:br/>
      </w:r>
      <w:r>
        <w:rPr>
          <w:rStyle w:val="VerbatimChar"/>
        </w:rPr>
        <w:t>Ein künftig erneuerbares Energiesystem macht Energieeffizienz und Flexibilität auf Gebäudeebene nicht überflüssig – im Gegenteil: Nationale Energie- und Klimaszenarien setzen erhebliche Energieeinsparungen voraus. Damit die angestrebten Ausbau- und Klimaziele erreicht werden können, müssen Gebäude ihren Energiebedarf entsprechend reduzieren und zunehmend flexibel gestalten.</w:t>
      </w:r>
      <w:r>
        <w:br/>
      </w:r>
      <w:r>
        <w:rPr>
          <w:rStyle w:val="VerbatimChar"/>
        </w:rPr>
        <w:t>~~~~</w:t>
      </w:r>
      <w:r>
        <w:br/>
      </w:r>
      <w:r>
        <w:br/>
      </w:r>
      <w:r>
        <w:rPr>
          <w:rStyle w:val="VerbatimChar"/>
        </w:rPr>
        <w:t>Jetzt:</w:t>
      </w:r>
      <w:r>
        <w:br/>
      </w:r>
      <w:r>
        <w:br/>
      </w:r>
      <w:r>
        <w:rPr>
          <w:rStyle w:val="VerbatimChar"/>
        </w:rPr>
        <w:t>~~~~text</w:t>
      </w:r>
      <w:r>
        <w:br/>
      </w:r>
      <w:r>
        <w:rPr>
          <w:rStyle w:val="VerbatimChar"/>
        </w:rPr>
        <w:t>Ein erneuerbares Zielenergiesystem macht Energieeffizienz und Flexibilität auf Gebäudeebene nicht überflüssig – im Gegenteil: Nationale Energie- und Klimaszenarien setzen erhebliche Energieeinsparungen voraus. Damit die angestrebten Ausbau- und Klimaziele erreicht werden können, müssen Gebäude ihren Energiebedarf entsprechend reduzieren und zunehmend flexibel gestalten.</w:t>
      </w:r>
      <w:r>
        <w:br/>
      </w:r>
      <w:r>
        <w:rPr>
          <w:rStyle w:val="VerbatimChar"/>
        </w:rPr>
        <w:t>~~~~</w:t>
      </w:r>
    </w:p>
    <w:p w14:paraId="38977EEA" w14:textId="77777777" w:rsidR="004E4CC2" w:rsidRDefault="00000000">
      <w:pPr>
        <w:pStyle w:val="Compact"/>
        <w:numPr>
          <w:ilvl w:val="0"/>
          <w:numId w:val="40"/>
        </w:numPr>
      </w:pPr>
      <w:r>
        <w:rPr>
          <w:b/>
          <w:bCs/>
        </w:rPr>
        <w:t>Kapitel/07-anwendung.qmd, Ausgangszeile 56: Umformulierung / Umgliederung.</w:t>
      </w:r>
    </w:p>
    <w:p w14:paraId="26ECB365" w14:textId="77777777" w:rsidR="004E4CC2" w:rsidRDefault="00000000">
      <w:pPr>
        <w:pStyle w:val="SourceCode"/>
      </w:pPr>
      <w:r>
        <w:rPr>
          <w:rStyle w:val="VerbatimChar"/>
        </w:rPr>
        <w:t>Bisher:</w:t>
      </w:r>
      <w:r>
        <w:br/>
      </w:r>
      <w:r>
        <w:br/>
      </w:r>
      <w:r>
        <w:rPr>
          <w:rStyle w:val="VerbatimChar"/>
        </w:rPr>
        <w:t>~~~~text</w:t>
      </w:r>
      <w:r>
        <w:br/>
      </w:r>
      <w:r>
        <w:rPr>
          <w:rStyle w:val="VerbatimChar"/>
        </w:rPr>
        <w:t>- **PV-Vorhalteflächen:** planerisch gesicherte Dach- oder Fassadenflächen einschließlich Tragfähigkeit, Verschattung, Leitungsführung und künftiger Ansch</w:t>
      </w:r>
      <w:r>
        <w:rPr>
          <w:rStyle w:val="VerbatimChar"/>
        </w:rPr>
        <w:lastRenderedPageBreak/>
        <w:t>lussmöglichkeit.</w:t>
      </w:r>
      <w:r>
        <w:br/>
      </w:r>
      <w:r>
        <w:rPr>
          <w:rStyle w:val="VerbatimChar"/>
        </w:rPr>
        <w:t>~~~~</w:t>
      </w:r>
      <w:r>
        <w:br/>
      </w:r>
      <w:r>
        <w:br/>
      </w:r>
      <w:r>
        <w:rPr>
          <w:rStyle w:val="VerbatimChar"/>
        </w:rPr>
        <w:t>Jetzt:</w:t>
      </w:r>
      <w:r>
        <w:br/>
      </w:r>
      <w:r>
        <w:br/>
      </w:r>
      <w:r>
        <w:rPr>
          <w:rStyle w:val="VerbatimChar"/>
        </w:rPr>
        <w:t>~~~~text</w:t>
      </w:r>
      <w:r>
        <w:br/>
      </w:r>
      <w:r>
        <w:rPr>
          <w:rStyle w:val="VerbatimChar"/>
        </w:rPr>
        <w:t>- **PV-Vorhalteflächen:** planerisch gesicherte Dach- oder Fassadenflächen einschließlich Tragfähigkeit, Verschattung, Leitungsführung und geplanter Anschlussmöglichkeit.</w:t>
      </w:r>
      <w:r>
        <w:br/>
      </w:r>
      <w:r>
        <w:rPr>
          <w:rStyle w:val="VerbatimChar"/>
        </w:rPr>
        <w:t>~~~~</w:t>
      </w:r>
    </w:p>
    <w:p w14:paraId="61AB021B" w14:textId="77777777" w:rsidR="004E4CC2" w:rsidRDefault="00000000">
      <w:pPr>
        <w:pStyle w:val="Compact"/>
        <w:numPr>
          <w:ilvl w:val="0"/>
          <w:numId w:val="41"/>
        </w:numPr>
      </w:pPr>
      <w:r>
        <w:rPr>
          <w:b/>
          <w:bCs/>
        </w:rPr>
        <w:t>Kapitel/07-anwendung.qmd, Ausgangszeile 63: Umformulierung / Umgliederung.</w:t>
      </w:r>
    </w:p>
    <w:p w14:paraId="787CAC88" w14:textId="77777777" w:rsidR="004E4CC2" w:rsidRDefault="00000000">
      <w:pPr>
        <w:pStyle w:val="SourceCode"/>
      </w:pPr>
      <w:r>
        <w:rPr>
          <w:rStyle w:val="VerbatimChar"/>
        </w:rPr>
        <w:t>Bisher:</w:t>
      </w:r>
      <w:r>
        <w:br/>
      </w:r>
      <w:r>
        <w:br/>
      </w:r>
      <w:r>
        <w:rPr>
          <w:rStyle w:val="VerbatimChar"/>
        </w:rPr>
        <w:t>~~~~text</w:t>
      </w:r>
      <w:r>
        <w:br/>
      </w:r>
      <w:r>
        <w:rPr>
          <w:rStyle w:val="VerbatimChar"/>
        </w:rPr>
        <w:t>Für die THG-Bewertung sind außerdem die Emissionen bis zur späteren Umsetzung und die zusätzlichen Herstellungsemissionen der Maßnahmen zu berücksichtigen. Ein zukünftiges gutes Ergebnis macht bereits entstandene Emissionen nicht rückgängig.</w:t>
      </w:r>
      <w:r>
        <w:br/>
      </w:r>
      <w:r>
        <w:rPr>
          <w:rStyle w:val="VerbatimChar"/>
        </w:rPr>
        <w:t>~~~~</w:t>
      </w:r>
      <w:r>
        <w:br/>
      </w:r>
      <w:r>
        <w:br/>
      </w:r>
      <w:r>
        <w:rPr>
          <w:rStyle w:val="VerbatimChar"/>
        </w:rPr>
        <w:t>Jetzt:</w:t>
      </w:r>
      <w:r>
        <w:br/>
      </w:r>
      <w:r>
        <w:br/>
      </w:r>
      <w:r>
        <w:rPr>
          <w:rStyle w:val="VerbatimChar"/>
        </w:rPr>
        <w:t>~~~~text</w:t>
      </w:r>
      <w:r>
        <w:br/>
      </w:r>
      <w:r>
        <w:rPr>
          <w:rStyle w:val="VerbatimChar"/>
        </w:rPr>
        <w:t>Für die THG-Bewertung sind außerdem die Emissionen bis zur späteren Umsetzung und die zusätzlichen Herstellungsemissionen der Maßnahmen zu berücksichtigen. Ein gutes Ergebnis im Zieljahr macht bereits entstandene Emissionen nicht rückgängig.</w:t>
      </w:r>
      <w:r>
        <w:br/>
      </w:r>
      <w:r>
        <w:rPr>
          <w:rStyle w:val="VerbatimChar"/>
        </w:rPr>
        <w:t>~~~~</w:t>
      </w:r>
    </w:p>
    <w:p w14:paraId="61F3DEBB" w14:textId="77777777" w:rsidR="004E4CC2" w:rsidRDefault="00000000">
      <w:pPr>
        <w:pStyle w:val="Compact"/>
        <w:numPr>
          <w:ilvl w:val="0"/>
          <w:numId w:val="42"/>
        </w:numPr>
      </w:pPr>
      <w:r>
        <w:rPr>
          <w:b/>
          <w:bCs/>
        </w:rPr>
        <w:t>Kapitel/07-praxisbeispiele.qmd, Ausgangszeile 17: Umformulierung / Umgliederung.</w:t>
      </w:r>
    </w:p>
    <w:p w14:paraId="63B4998D" w14:textId="77777777" w:rsidR="004E4CC2" w:rsidRDefault="00000000">
      <w:pPr>
        <w:pStyle w:val="SourceCode"/>
      </w:pPr>
      <w:r>
        <w:rPr>
          <w:rStyle w:val="VerbatimChar"/>
        </w:rPr>
        <w:t>Bisher:</w:t>
      </w:r>
      <w:r>
        <w:br/>
      </w:r>
      <w:r>
        <w:br/>
      </w:r>
      <w:r>
        <w:rPr>
          <w:rStyle w:val="VerbatimChar"/>
        </w:rPr>
        <w:t>~~~~text</w:t>
      </w:r>
      <w:r>
        <w:br/>
      </w:r>
      <w:r>
        <w:rPr>
          <w:rStyle w:val="VerbatimChar"/>
        </w:rPr>
        <w:t>Das Beispiel verdeutlicht die Wirkung des Dichtekontexts: Bei geringer baulicher Dichte wird ein zusätzlicher energetischer Beitrag verlangt. Im Fall von Am Bichl III konnte diese Anforderung durch die Ermöglichung zukünftig von energieflexiblem Heizen und Kühlen kompensiert werden.</w:t>
      </w:r>
      <w:r>
        <w:br/>
      </w:r>
      <w:r>
        <w:rPr>
          <w:rStyle w:val="VerbatimChar"/>
        </w:rPr>
        <w:t>~~~~</w:t>
      </w:r>
      <w:r>
        <w:br/>
      </w:r>
      <w:r>
        <w:br/>
      </w:r>
      <w:r>
        <w:rPr>
          <w:rStyle w:val="VerbatimChar"/>
        </w:rPr>
        <w:t>Jetzt:</w:t>
      </w:r>
      <w:r>
        <w:br/>
      </w:r>
      <w:r>
        <w:br/>
      </w:r>
      <w:r>
        <w:rPr>
          <w:rStyle w:val="VerbatimChar"/>
        </w:rPr>
        <w:t>~~~~text</w:t>
      </w:r>
      <w:r>
        <w:br/>
      </w:r>
      <w:r>
        <w:rPr>
          <w:rStyle w:val="VerbatimChar"/>
        </w:rPr>
        <w:t>Das Beispiel verdeutlicht die Wirkung des Dichtekontexts: Bei geringer baulicher Dichte wird ein zusätzlicher energetischer Beitrag verlangt. Im Fall von Am Bichl III konnte diese Anforderung durch die vorgesehene Flexibilität beim Heizen und Kühlen kompensiert werden.</w:t>
      </w:r>
      <w:r>
        <w:br/>
      </w:r>
      <w:r>
        <w:rPr>
          <w:rStyle w:val="VerbatimChar"/>
        </w:rPr>
        <w:t>~~~~</w:t>
      </w:r>
    </w:p>
    <w:p w14:paraId="2273AC76" w14:textId="77777777" w:rsidR="004E4CC2" w:rsidRDefault="00000000">
      <w:pPr>
        <w:pStyle w:val="berschrift2"/>
      </w:pPr>
      <w:bookmarkStart w:id="450" w:name="prüfumfang"/>
      <w:bookmarkStart w:id="451" w:name="_Toc243681401"/>
      <w:bookmarkEnd w:id="442"/>
      <w:r>
        <w:lastRenderedPageBreak/>
        <w:t>H.4 Prüfumfang</w:t>
      </w:r>
      <w:bookmarkEnd w:id="451"/>
    </w:p>
    <w:p w14:paraId="4AABF678" w14:textId="77777777" w:rsidR="004E4CC2" w:rsidRDefault="00000000">
      <w:pPr>
        <w:pStyle w:val="FirstParagraph"/>
      </w:pPr>
      <w:r>
        <w:t>Die ausgeführten Rechenanhänge prüfen PV-/Stromidentitäten, nationale Zuordnungsbilanz, GFZ-Gewichte und den neuen Bewertungssaldo. Die ergänzte Bilanzkontrolle lautet Deckung − Bedarf + Dichte = Bewertungssaldo. Die HTML-Prüfung umfasst Variablenrendering, Plotly-Auswahl und vollständige Book-Verweise.</w:t>
      </w:r>
      <w:bookmarkEnd w:id="438"/>
      <w:bookmarkEnd w:id="450"/>
    </w:p>
    <w:sectPr w:rsidR="004E4CC2">
      <w:footnotePr>
        <w:numRestart w:val="eachSect"/>
      </w:footnotePr>
      <w:pgSz w:w="12240" w:h="15840"/>
      <w:pgMar w:top="1417"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9941101"/>
    <w:multiLevelType w:val="multilevel"/>
    <w:tmpl w:val="EE862F2A"/>
    <w:lvl w:ilvl="0">
      <w:start w:val="101"/>
      <w:numFmt w:val="decimal"/>
      <w:lvlText w:val="%1."/>
      <w:lvlJc w:val="left"/>
      <w:pPr>
        <w:ind w:left="720" w:hanging="360"/>
      </w:pPr>
    </w:lvl>
    <w:lvl w:ilvl="1">
      <w:start w:val="101"/>
      <w:numFmt w:val="decimal"/>
      <w:lvlText w:val="%2."/>
      <w:lvlJc w:val="left"/>
      <w:pPr>
        <w:ind w:left="1440" w:hanging="360"/>
      </w:pPr>
    </w:lvl>
    <w:lvl w:ilvl="2">
      <w:start w:val="101"/>
      <w:numFmt w:val="decimal"/>
      <w:lvlText w:val="%3."/>
      <w:lvlJc w:val="left"/>
      <w:pPr>
        <w:ind w:left="2160" w:hanging="360"/>
      </w:pPr>
    </w:lvl>
    <w:lvl w:ilvl="3">
      <w:start w:val="101"/>
      <w:numFmt w:val="decimal"/>
      <w:lvlText w:val="%4."/>
      <w:lvlJc w:val="left"/>
      <w:pPr>
        <w:ind w:left="2880" w:hanging="360"/>
      </w:pPr>
    </w:lvl>
    <w:lvl w:ilvl="4">
      <w:start w:val="101"/>
      <w:numFmt w:val="decimal"/>
      <w:lvlText w:val="%5."/>
      <w:lvlJc w:val="left"/>
      <w:pPr>
        <w:ind w:left="3600" w:hanging="360"/>
      </w:pPr>
    </w:lvl>
    <w:lvl w:ilvl="5">
      <w:start w:val="101"/>
      <w:numFmt w:val="decimal"/>
      <w:lvlText w:val="%6."/>
      <w:lvlJc w:val="left"/>
      <w:pPr>
        <w:ind w:left="4320" w:hanging="360"/>
      </w:pPr>
    </w:lvl>
    <w:lvl w:ilvl="6">
      <w:start w:val="101"/>
      <w:numFmt w:val="decimal"/>
      <w:lvlText w:val="%7."/>
      <w:lvlJc w:val="left"/>
      <w:pPr>
        <w:ind w:left="5040" w:hanging="360"/>
      </w:pPr>
    </w:lvl>
    <w:lvl w:ilvl="7">
      <w:start w:val="101"/>
      <w:numFmt w:val="decimal"/>
      <w:lvlText w:val="%8."/>
      <w:lvlJc w:val="left"/>
      <w:pPr>
        <w:ind w:left="5760" w:hanging="360"/>
      </w:pPr>
    </w:lvl>
    <w:lvl w:ilvl="8">
      <w:start w:val="101"/>
      <w:numFmt w:val="decimal"/>
      <w:lvlText w:val="%9."/>
      <w:lvlJc w:val="left"/>
      <w:pPr>
        <w:ind w:left="6480" w:hanging="360"/>
      </w:pPr>
    </w:lvl>
  </w:abstractNum>
  <w:abstractNum w:abstractNumId="1" w15:restartNumberingAfterBreak="0">
    <w:nsid w:val="A9941102"/>
    <w:multiLevelType w:val="multilevel"/>
    <w:tmpl w:val="3EE410DE"/>
    <w:lvl w:ilvl="0">
      <w:start w:val="102"/>
      <w:numFmt w:val="decimal"/>
      <w:lvlText w:val="%1."/>
      <w:lvlJc w:val="left"/>
      <w:pPr>
        <w:ind w:left="720" w:hanging="360"/>
      </w:pPr>
    </w:lvl>
    <w:lvl w:ilvl="1">
      <w:start w:val="102"/>
      <w:numFmt w:val="decimal"/>
      <w:lvlText w:val="%2."/>
      <w:lvlJc w:val="left"/>
      <w:pPr>
        <w:ind w:left="1440" w:hanging="360"/>
      </w:pPr>
    </w:lvl>
    <w:lvl w:ilvl="2">
      <w:start w:val="102"/>
      <w:numFmt w:val="decimal"/>
      <w:lvlText w:val="%3."/>
      <w:lvlJc w:val="left"/>
      <w:pPr>
        <w:ind w:left="2160" w:hanging="360"/>
      </w:pPr>
    </w:lvl>
    <w:lvl w:ilvl="3">
      <w:start w:val="102"/>
      <w:numFmt w:val="decimal"/>
      <w:lvlText w:val="%4."/>
      <w:lvlJc w:val="left"/>
      <w:pPr>
        <w:ind w:left="2880" w:hanging="360"/>
      </w:pPr>
    </w:lvl>
    <w:lvl w:ilvl="4">
      <w:start w:val="102"/>
      <w:numFmt w:val="decimal"/>
      <w:lvlText w:val="%5."/>
      <w:lvlJc w:val="left"/>
      <w:pPr>
        <w:ind w:left="3600" w:hanging="360"/>
      </w:pPr>
    </w:lvl>
    <w:lvl w:ilvl="5">
      <w:start w:val="102"/>
      <w:numFmt w:val="decimal"/>
      <w:lvlText w:val="%6."/>
      <w:lvlJc w:val="left"/>
      <w:pPr>
        <w:ind w:left="4320" w:hanging="360"/>
      </w:pPr>
    </w:lvl>
    <w:lvl w:ilvl="6">
      <w:start w:val="102"/>
      <w:numFmt w:val="decimal"/>
      <w:lvlText w:val="%7."/>
      <w:lvlJc w:val="left"/>
      <w:pPr>
        <w:ind w:left="5040" w:hanging="360"/>
      </w:pPr>
    </w:lvl>
    <w:lvl w:ilvl="7">
      <w:start w:val="102"/>
      <w:numFmt w:val="decimal"/>
      <w:lvlText w:val="%8."/>
      <w:lvlJc w:val="left"/>
      <w:pPr>
        <w:ind w:left="5760" w:hanging="360"/>
      </w:pPr>
    </w:lvl>
    <w:lvl w:ilvl="8">
      <w:start w:val="102"/>
      <w:numFmt w:val="decimal"/>
      <w:lvlText w:val="%9."/>
      <w:lvlJc w:val="left"/>
      <w:pPr>
        <w:ind w:left="6480" w:hanging="360"/>
      </w:pPr>
    </w:lvl>
  </w:abstractNum>
  <w:abstractNum w:abstractNumId="2" w15:restartNumberingAfterBreak="0">
    <w:nsid w:val="A9941103"/>
    <w:multiLevelType w:val="multilevel"/>
    <w:tmpl w:val="FA122A10"/>
    <w:lvl w:ilvl="0">
      <w:start w:val="103"/>
      <w:numFmt w:val="decimal"/>
      <w:lvlText w:val="%1."/>
      <w:lvlJc w:val="left"/>
      <w:pPr>
        <w:ind w:left="720" w:hanging="360"/>
      </w:pPr>
    </w:lvl>
    <w:lvl w:ilvl="1">
      <w:start w:val="103"/>
      <w:numFmt w:val="decimal"/>
      <w:lvlText w:val="%2."/>
      <w:lvlJc w:val="left"/>
      <w:pPr>
        <w:ind w:left="1440" w:hanging="360"/>
      </w:pPr>
    </w:lvl>
    <w:lvl w:ilvl="2">
      <w:start w:val="103"/>
      <w:numFmt w:val="decimal"/>
      <w:lvlText w:val="%3."/>
      <w:lvlJc w:val="left"/>
      <w:pPr>
        <w:ind w:left="2160" w:hanging="360"/>
      </w:pPr>
    </w:lvl>
    <w:lvl w:ilvl="3">
      <w:start w:val="103"/>
      <w:numFmt w:val="decimal"/>
      <w:lvlText w:val="%4."/>
      <w:lvlJc w:val="left"/>
      <w:pPr>
        <w:ind w:left="2880" w:hanging="360"/>
      </w:pPr>
    </w:lvl>
    <w:lvl w:ilvl="4">
      <w:start w:val="103"/>
      <w:numFmt w:val="decimal"/>
      <w:lvlText w:val="%5."/>
      <w:lvlJc w:val="left"/>
      <w:pPr>
        <w:ind w:left="3600" w:hanging="360"/>
      </w:pPr>
    </w:lvl>
    <w:lvl w:ilvl="5">
      <w:start w:val="103"/>
      <w:numFmt w:val="decimal"/>
      <w:lvlText w:val="%6."/>
      <w:lvlJc w:val="left"/>
      <w:pPr>
        <w:ind w:left="4320" w:hanging="360"/>
      </w:pPr>
    </w:lvl>
    <w:lvl w:ilvl="6">
      <w:start w:val="103"/>
      <w:numFmt w:val="decimal"/>
      <w:lvlText w:val="%7."/>
      <w:lvlJc w:val="left"/>
      <w:pPr>
        <w:ind w:left="5040" w:hanging="360"/>
      </w:pPr>
    </w:lvl>
    <w:lvl w:ilvl="7">
      <w:start w:val="103"/>
      <w:numFmt w:val="decimal"/>
      <w:lvlText w:val="%8."/>
      <w:lvlJc w:val="left"/>
      <w:pPr>
        <w:ind w:left="5760" w:hanging="360"/>
      </w:pPr>
    </w:lvl>
    <w:lvl w:ilvl="8">
      <w:start w:val="103"/>
      <w:numFmt w:val="decimal"/>
      <w:lvlText w:val="%9."/>
      <w:lvlJc w:val="left"/>
      <w:pPr>
        <w:ind w:left="6480" w:hanging="360"/>
      </w:pPr>
    </w:lvl>
  </w:abstractNum>
  <w:abstractNum w:abstractNumId="3" w15:restartNumberingAfterBreak="0">
    <w:nsid w:val="A9941104"/>
    <w:multiLevelType w:val="multilevel"/>
    <w:tmpl w:val="EEFE0BD4"/>
    <w:lvl w:ilvl="0">
      <w:start w:val="104"/>
      <w:numFmt w:val="decimal"/>
      <w:lvlText w:val="%1."/>
      <w:lvlJc w:val="left"/>
      <w:pPr>
        <w:ind w:left="720" w:hanging="360"/>
      </w:pPr>
    </w:lvl>
    <w:lvl w:ilvl="1">
      <w:start w:val="104"/>
      <w:numFmt w:val="decimal"/>
      <w:lvlText w:val="%2."/>
      <w:lvlJc w:val="left"/>
      <w:pPr>
        <w:ind w:left="1440" w:hanging="360"/>
      </w:pPr>
    </w:lvl>
    <w:lvl w:ilvl="2">
      <w:start w:val="104"/>
      <w:numFmt w:val="decimal"/>
      <w:lvlText w:val="%3."/>
      <w:lvlJc w:val="left"/>
      <w:pPr>
        <w:ind w:left="2160" w:hanging="360"/>
      </w:pPr>
    </w:lvl>
    <w:lvl w:ilvl="3">
      <w:start w:val="104"/>
      <w:numFmt w:val="decimal"/>
      <w:lvlText w:val="%4."/>
      <w:lvlJc w:val="left"/>
      <w:pPr>
        <w:ind w:left="2880" w:hanging="360"/>
      </w:pPr>
    </w:lvl>
    <w:lvl w:ilvl="4">
      <w:start w:val="104"/>
      <w:numFmt w:val="decimal"/>
      <w:lvlText w:val="%5."/>
      <w:lvlJc w:val="left"/>
      <w:pPr>
        <w:ind w:left="3600" w:hanging="360"/>
      </w:pPr>
    </w:lvl>
    <w:lvl w:ilvl="5">
      <w:start w:val="104"/>
      <w:numFmt w:val="decimal"/>
      <w:lvlText w:val="%6."/>
      <w:lvlJc w:val="left"/>
      <w:pPr>
        <w:ind w:left="4320" w:hanging="360"/>
      </w:pPr>
    </w:lvl>
    <w:lvl w:ilvl="6">
      <w:start w:val="104"/>
      <w:numFmt w:val="decimal"/>
      <w:lvlText w:val="%7."/>
      <w:lvlJc w:val="left"/>
      <w:pPr>
        <w:ind w:left="5040" w:hanging="360"/>
      </w:pPr>
    </w:lvl>
    <w:lvl w:ilvl="7">
      <w:start w:val="104"/>
      <w:numFmt w:val="decimal"/>
      <w:lvlText w:val="%8."/>
      <w:lvlJc w:val="left"/>
      <w:pPr>
        <w:ind w:left="5760" w:hanging="360"/>
      </w:pPr>
    </w:lvl>
    <w:lvl w:ilvl="8">
      <w:start w:val="104"/>
      <w:numFmt w:val="decimal"/>
      <w:lvlText w:val="%9."/>
      <w:lvlJc w:val="left"/>
      <w:pPr>
        <w:ind w:left="6480" w:hanging="360"/>
      </w:pPr>
    </w:lvl>
  </w:abstractNum>
  <w:abstractNum w:abstractNumId="4" w15:restartNumberingAfterBreak="0">
    <w:nsid w:val="A9941105"/>
    <w:multiLevelType w:val="multilevel"/>
    <w:tmpl w:val="DEE0B862"/>
    <w:lvl w:ilvl="0">
      <w:start w:val="105"/>
      <w:numFmt w:val="decimal"/>
      <w:lvlText w:val="%1."/>
      <w:lvlJc w:val="left"/>
      <w:pPr>
        <w:ind w:left="720" w:hanging="360"/>
      </w:pPr>
    </w:lvl>
    <w:lvl w:ilvl="1">
      <w:start w:val="105"/>
      <w:numFmt w:val="decimal"/>
      <w:lvlText w:val="%2."/>
      <w:lvlJc w:val="left"/>
      <w:pPr>
        <w:ind w:left="1440" w:hanging="360"/>
      </w:pPr>
    </w:lvl>
    <w:lvl w:ilvl="2">
      <w:start w:val="105"/>
      <w:numFmt w:val="decimal"/>
      <w:lvlText w:val="%3."/>
      <w:lvlJc w:val="left"/>
      <w:pPr>
        <w:ind w:left="2160" w:hanging="360"/>
      </w:pPr>
    </w:lvl>
    <w:lvl w:ilvl="3">
      <w:start w:val="105"/>
      <w:numFmt w:val="decimal"/>
      <w:lvlText w:val="%4."/>
      <w:lvlJc w:val="left"/>
      <w:pPr>
        <w:ind w:left="2880" w:hanging="360"/>
      </w:pPr>
    </w:lvl>
    <w:lvl w:ilvl="4">
      <w:start w:val="105"/>
      <w:numFmt w:val="decimal"/>
      <w:lvlText w:val="%5."/>
      <w:lvlJc w:val="left"/>
      <w:pPr>
        <w:ind w:left="3600" w:hanging="360"/>
      </w:pPr>
    </w:lvl>
    <w:lvl w:ilvl="5">
      <w:start w:val="105"/>
      <w:numFmt w:val="decimal"/>
      <w:lvlText w:val="%6."/>
      <w:lvlJc w:val="left"/>
      <w:pPr>
        <w:ind w:left="4320" w:hanging="360"/>
      </w:pPr>
    </w:lvl>
    <w:lvl w:ilvl="6">
      <w:start w:val="105"/>
      <w:numFmt w:val="decimal"/>
      <w:lvlText w:val="%7."/>
      <w:lvlJc w:val="left"/>
      <w:pPr>
        <w:ind w:left="5040" w:hanging="360"/>
      </w:pPr>
    </w:lvl>
    <w:lvl w:ilvl="7">
      <w:start w:val="105"/>
      <w:numFmt w:val="decimal"/>
      <w:lvlText w:val="%8."/>
      <w:lvlJc w:val="left"/>
      <w:pPr>
        <w:ind w:left="5760" w:hanging="360"/>
      </w:pPr>
    </w:lvl>
    <w:lvl w:ilvl="8">
      <w:start w:val="105"/>
      <w:numFmt w:val="decimal"/>
      <w:lvlText w:val="%9."/>
      <w:lvlJc w:val="left"/>
      <w:pPr>
        <w:ind w:left="6480" w:hanging="360"/>
      </w:pPr>
    </w:lvl>
  </w:abstractNum>
  <w:abstractNum w:abstractNumId="5" w15:restartNumberingAfterBreak="0">
    <w:nsid w:val="A9941106"/>
    <w:multiLevelType w:val="multilevel"/>
    <w:tmpl w:val="8B6875F0"/>
    <w:lvl w:ilvl="0">
      <w:start w:val="106"/>
      <w:numFmt w:val="decimal"/>
      <w:lvlText w:val="%1."/>
      <w:lvlJc w:val="left"/>
      <w:pPr>
        <w:ind w:left="720" w:hanging="360"/>
      </w:pPr>
    </w:lvl>
    <w:lvl w:ilvl="1">
      <w:start w:val="106"/>
      <w:numFmt w:val="decimal"/>
      <w:lvlText w:val="%2."/>
      <w:lvlJc w:val="left"/>
      <w:pPr>
        <w:ind w:left="1440" w:hanging="360"/>
      </w:pPr>
    </w:lvl>
    <w:lvl w:ilvl="2">
      <w:start w:val="106"/>
      <w:numFmt w:val="decimal"/>
      <w:lvlText w:val="%3."/>
      <w:lvlJc w:val="left"/>
      <w:pPr>
        <w:ind w:left="2160" w:hanging="360"/>
      </w:pPr>
    </w:lvl>
    <w:lvl w:ilvl="3">
      <w:start w:val="106"/>
      <w:numFmt w:val="decimal"/>
      <w:lvlText w:val="%4."/>
      <w:lvlJc w:val="left"/>
      <w:pPr>
        <w:ind w:left="2880" w:hanging="360"/>
      </w:pPr>
    </w:lvl>
    <w:lvl w:ilvl="4">
      <w:start w:val="106"/>
      <w:numFmt w:val="decimal"/>
      <w:lvlText w:val="%5."/>
      <w:lvlJc w:val="left"/>
      <w:pPr>
        <w:ind w:left="3600" w:hanging="360"/>
      </w:pPr>
    </w:lvl>
    <w:lvl w:ilvl="5">
      <w:start w:val="106"/>
      <w:numFmt w:val="decimal"/>
      <w:lvlText w:val="%6."/>
      <w:lvlJc w:val="left"/>
      <w:pPr>
        <w:ind w:left="4320" w:hanging="360"/>
      </w:pPr>
    </w:lvl>
    <w:lvl w:ilvl="6">
      <w:start w:val="106"/>
      <w:numFmt w:val="decimal"/>
      <w:lvlText w:val="%7."/>
      <w:lvlJc w:val="left"/>
      <w:pPr>
        <w:ind w:left="5040" w:hanging="360"/>
      </w:pPr>
    </w:lvl>
    <w:lvl w:ilvl="7">
      <w:start w:val="106"/>
      <w:numFmt w:val="decimal"/>
      <w:lvlText w:val="%8."/>
      <w:lvlJc w:val="left"/>
      <w:pPr>
        <w:ind w:left="5760" w:hanging="360"/>
      </w:pPr>
    </w:lvl>
    <w:lvl w:ilvl="8">
      <w:start w:val="106"/>
      <w:numFmt w:val="decimal"/>
      <w:lvlText w:val="%9."/>
      <w:lvlJc w:val="left"/>
      <w:pPr>
        <w:ind w:left="6480" w:hanging="360"/>
      </w:pPr>
    </w:lvl>
  </w:abstractNum>
  <w:abstractNum w:abstractNumId="6" w15:restartNumberingAfterBreak="0">
    <w:nsid w:val="A9941107"/>
    <w:multiLevelType w:val="multilevel"/>
    <w:tmpl w:val="B6CC3888"/>
    <w:lvl w:ilvl="0">
      <w:start w:val="107"/>
      <w:numFmt w:val="decimal"/>
      <w:lvlText w:val="%1."/>
      <w:lvlJc w:val="left"/>
      <w:pPr>
        <w:ind w:left="720" w:hanging="360"/>
      </w:pPr>
    </w:lvl>
    <w:lvl w:ilvl="1">
      <w:start w:val="107"/>
      <w:numFmt w:val="decimal"/>
      <w:lvlText w:val="%2."/>
      <w:lvlJc w:val="left"/>
      <w:pPr>
        <w:ind w:left="1440" w:hanging="360"/>
      </w:pPr>
    </w:lvl>
    <w:lvl w:ilvl="2">
      <w:start w:val="107"/>
      <w:numFmt w:val="decimal"/>
      <w:lvlText w:val="%3."/>
      <w:lvlJc w:val="left"/>
      <w:pPr>
        <w:ind w:left="2160" w:hanging="360"/>
      </w:pPr>
    </w:lvl>
    <w:lvl w:ilvl="3">
      <w:start w:val="107"/>
      <w:numFmt w:val="decimal"/>
      <w:lvlText w:val="%4."/>
      <w:lvlJc w:val="left"/>
      <w:pPr>
        <w:ind w:left="2880" w:hanging="360"/>
      </w:pPr>
    </w:lvl>
    <w:lvl w:ilvl="4">
      <w:start w:val="107"/>
      <w:numFmt w:val="decimal"/>
      <w:lvlText w:val="%5."/>
      <w:lvlJc w:val="left"/>
      <w:pPr>
        <w:ind w:left="3600" w:hanging="360"/>
      </w:pPr>
    </w:lvl>
    <w:lvl w:ilvl="5">
      <w:start w:val="107"/>
      <w:numFmt w:val="decimal"/>
      <w:lvlText w:val="%6."/>
      <w:lvlJc w:val="left"/>
      <w:pPr>
        <w:ind w:left="4320" w:hanging="360"/>
      </w:pPr>
    </w:lvl>
    <w:lvl w:ilvl="6">
      <w:start w:val="107"/>
      <w:numFmt w:val="decimal"/>
      <w:lvlText w:val="%7."/>
      <w:lvlJc w:val="left"/>
      <w:pPr>
        <w:ind w:left="5040" w:hanging="360"/>
      </w:pPr>
    </w:lvl>
    <w:lvl w:ilvl="7">
      <w:start w:val="107"/>
      <w:numFmt w:val="decimal"/>
      <w:lvlText w:val="%8."/>
      <w:lvlJc w:val="left"/>
      <w:pPr>
        <w:ind w:left="5760" w:hanging="360"/>
      </w:pPr>
    </w:lvl>
    <w:lvl w:ilvl="8">
      <w:start w:val="107"/>
      <w:numFmt w:val="decimal"/>
      <w:lvlText w:val="%9."/>
      <w:lvlJc w:val="left"/>
      <w:pPr>
        <w:ind w:left="6480" w:hanging="360"/>
      </w:pPr>
    </w:lvl>
  </w:abstractNum>
  <w:abstractNum w:abstractNumId="7" w15:restartNumberingAfterBreak="0">
    <w:nsid w:val="A9941108"/>
    <w:multiLevelType w:val="multilevel"/>
    <w:tmpl w:val="AA921FDC"/>
    <w:lvl w:ilvl="0">
      <w:start w:val="108"/>
      <w:numFmt w:val="decimal"/>
      <w:lvlText w:val="%1."/>
      <w:lvlJc w:val="left"/>
      <w:pPr>
        <w:ind w:left="720" w:hanging="360"/>
      </w:pPr>
    </w:lvl>
    <w:lvl w:ilvl="1">
      <w:start w:val="108"/>
      <w:numFmt w:val="decimal"/>
      <w:lvlText w:val="%2."/>
      <w:lvlJc w:val="left"/>
      <w:pPr>
        <w:ind w:left="1440" w:hanging="360"/>
      </w:pPr>
    </w:lvl>
    <w:lvl w:ilvl="2">
      <w:start w:val="108"/>
      <w:numFmt w:val="decimal"/>
      <w:lvlText w:val="%3."/>
      <w:lvlJc w:val="left"/>
      <w:pPr>
        <w:ind w:left="2160" w:hanging="360"/>
      </w:pPr>
    </w:lvl>
    <w:lvl w:ilvl="3">
      <w:start w:val="108"/>
      <w:numFmt w:val="decimal"/>
      <w:lvlText w:val="%4."/>
      <w:lvlJc w:val="left"/>
      <w:pPr>
        <w:ind w:left="2880" w:hanging="360"/>
      </w:pPr>
    </w:lvl>
    <w:lvl w:ilvl="4">
      <w:start w:val="108"/>
      <w:numFmt w:val="decimal"/>
      <w:lvlText w:val="%5."/>
      <w:lvlJc w:val="left"/>
      <w:pPr>
        <w:ind w:left="3600" w:hanging="360"/>
      </w:pPr>
    </w:lvl>
    <w:lvl w:ilvl="5">
      <w:start w:val="108"/>
      <w:numFmt w:val="decimal"/>
      <w:lvlText w:val="%6."/>
      <w:lvlJc w:val="left"/>
      <w:pPr>
        <w:ind w:left="4320" w:hanging="360"/>
      </w:pPr>
    </w:lvl>
    <w:lvl w:ilvl="6">
      <w:start w:val="108"/>
      <w:numFmt w:val="decimal"/>
      <w:lvlText w:val="%7."/>
      <w:lvlJc w:val="left"/>
      <w:pPr>
        <w:ind w:left="5040" w:hanging="360"/>
      </w:pPr>
    </w:lvl>
    <w:lvl w:ilvl="7">
      <w:start w:val="108"/>
      <w:numFmt w:val="decimal"/>
      <w:lvlText w:val="%8."/>
      <w:lvlJc w:val="left"/>
      <w:pPr>
        <w:ind w:left="5760" w:hanging="360"/>
      </w:pPr>
    </w:lvl>
    <w:lvl w:ilvl="8">
      <w:start w:val="108"/>
      <w:numFmt w:val="decimal"/>
      <w:lvlText w:val="%9."/>
      <w:lvlJc w:val="left"/>
      <w:pPr>
        <w:ind w:left="6480" w:hanging="360"/>
      </w:pPr>
    </w:lvl>
  </w:abstractNum>
  <w:abstractNum w:abstractNumId="8" w15:restartNumberingAfterBreak="0">
    <w:nsid w:val="A9941109"/>
    <w:multiLevelType w:val="multilevel"/>
    <w:tmpl w:val="249820E0"/>
    <w:lvl w:ilvl="0">
      <w:start w:val="109"/>
      <w:numFmt w:val="decimal"/>
      <w:lvlText w:val="%1."/>
      <w:lvlJc w:val="left"/>
      <w:pPr>
        <w:ind w:left="720" w:hanging="360"/>
      </w:pPr>
    </w:lvl>
    <w:lvl w:ilvl="1">
      <w:start w:val="109"/>
      <w:numFmt w:val="decimal"/>
      <w:lvlText w:val="%2."/>
      <w:lvlJc w:val="left"/>
      <w:pPr>
        <w:ind w:left="1440" w:hanging="360"/>
      </w:pPr>
    </w:lvl>
    <w:lvl w:ilvl="2">
      <w:start w:val="109"/>
      <w:numFmt w:val="decimal"/>
      <w:lvlText w:val="%3."/>
      <w:lvlJc w:val="left"/>
      <w:pPr>
        <w:ind w:left="2160" w:hanging="360"/>
      </w:pPr>
    </w:lvl>
    <w:lvl w:ilvl="3">
      <w:start w:val="109"/>
      <w:numFmt w:val="decimal"/>
      <w:lvlText w:val="%4."/>
      <w:lvlJc w:val="left"/>
      <w:pPr>
        <w:ind w:left="2880" w:hanging="360"/>
      </w:pPr>
    </w:lvl>
    <w:lvl w:ilvl="4">
      <w:start w:val="109"/>
      <w:numFmt w:val="decimal"/>
      <w:lvlText w:val="%5."/>
      <w:lvlJc w:val="left"/>
      <w:pPr>
        <w:ind w:left="3600" w:hanging="360"/>
      </w:pPr>
    </w:lvl>
    <w:lvl w:ilvl="5">
      <w:start w:val="109"/>
      <w:numFmt w:val="decimal"/>
      <w:lvlText w:val="%6."/>
      <w:lvlJc w:val="left"/>
      <w:pPr>
        <w:ind w:left="4320" w:hanging="360"/>
      </w:pPr>
    </w:lvl>
    <w:lvl w:ilvl="6">
      <w:start w:val="109"/>
      <w:numFmt w:val="decimal"/>
      <w:lvlText w:val="%7."/>
      <w:lvlJc w:val="left"/>
      <w:pPr>
        <w:ind w:left="5040" w:hanging="360"/>
      </w:pPr>
    </w:lvl>
    <w:lvl w:ilvl="7">
      <w:start w:val="109"/>
      <w:numFmt w:val="decimal"/>
      <w:lvlText w:val="%8."/>
      <w:lvlJc w:val="left"/>
      <w:pPr>
        <w:ind w:left="5760" w:hanging="360"/>
      </w:pPr>
    </w:lvl>
    <w:lvl w:ilvl="8">
      <w:start w:val="109"/>
      <w:numFmt w:val="decimal"/>
      <w:lvlText w:val="%9."/>
      <w:lvlJc w:val="left"/>
      <w:pPr>
        <w:ind w:left="6480" w:hanging="360"/>
      </w:pPr>
    </w:lvl>
  </w:abstractNum>
  <w:abstractNum w:abstractNumId="9" w15:restartNumberingAfterBreak="0">
    <w:nsid w:val="A9941110"/>
    <w:multiLevelType w:val="multilevel"/>
    <w:tmpl w:val="F164323C"/>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10" w15:restartNumberingAfterBreak="0">
    <w:nsid w:val="A9941111"/>
    <w:multiLevelType w:val="multilevel"/>
    <w:tmpl w:val="51BCEFB8"/>
    <w:lvl w:ilvl="0">
      <w:start w:val="111"/>
      <w:numFmt w:val="decimal"/>
      <w:lvlText w:val="%1."/>
      <w:lvlJc w:val="left"/>
      <w:pPr>
        <w:ind w:left="720" w:hanging="360"/>
      </w:pPr>
    </w:lvl>
    <w:lvl w:ilvl="1">
      <w:start w:val="111"/>
      <w:numFmt w:val="decimal"/>
      <w:lvlText w:val="%2."/>
      <w:lvlJc w:val="left"/>
      <w:pPr>
        <w:ind w:left="1440" w:hanging="360"/>
      </w:pPr>
    </w:lvl>
    <w:lvl w:ilvl="2">
      <w:start w:val="111"/>
      <w:numFmt w:val="decimal"/>
      <w:lvlText w:val="%3."/>
      <w:lvlJc w:val="left"/>
      <w:pPr>
        <w:ind w:left="2160" w:hanging="360"/>
      </w:pPr>
    </w:lvl>
    <w:lvl w:ilvl="3">
      <w:start w:val="111"/>
      <w:numFmt w:val="decimal"/>
      <w:lvlText w:val="%4."/>
      <w:lvlJc w:val="left"/>
      <w:pPr>
        <w:ind w:left="2880" w:hanging="360"/>
      </w:pPr>
    </w:lvl>
    <w:lvl w:ilvl="4">
      <w:start w:val="111"/>
      <w:numFmt w:val="decimal"/>
      <w:lvlText w:val="%5."/>
      <w:lvlJc w:val="left"/>
      <w:pPr>
        <w:ind w:left="3600" w:hanging="360"/>
      </w:pPr>
    </w:lvl>
    <w:lvl w:ilvl="5">
      <w:start w:val="111"/>
      <w:numFmt w:val="decimal"/>
      <w:lvlText w:val="%6."/>
      <w:lvlJc w:val="left"/>
      <w:pPr>
        <w:ind w:left="4320" w:hanging="360"/>
      </w:pPr>
    </w:lvl>
    <w:lvl w:ilvl="6">
      <w:start w:val="111"/>
      <w:numFmt w:val="decimal"/>
      <w:lvlText w:val="%7."/>
      <w:lvlJc w:val="left"/>
      <w:pPr>
        <w:ind w:left="5040" w:hanging="360"/>
      </w:pPr>
    </w:lvl>
    <w:lvl w:ilvl="7">
      <w:start w:val="111"/>
      <w:numFmt w:val="decimal"/>
      <w:lvlText w:val="%8."/>
      <w:lvlJc w:val="left"/>
      <w:pPr>
        <w:ind w:left="5760" w:hanging="360"/>
      </w:pPr>
    </w:lvl>
    <w:lvl w:ilvl="8">
      <w:start w:val="111"/>
      <w:numFmt w:val="decimal"/>
      <w:lvlText w:val="%9."/>
      <w:lvlJc w:val="left"/>
      <w:pPr>
        <w:ind w:left="6480" w:hanging="360"/>
      </w:pPr>
    </w:lvl>
  </w:abstractNum>
  <w:abstractNum w:abstractNumId="11" w15:restartNumberingAfterBreak="0">
    <w:nsid w:val="A9941112"/>
    <w:multiLevelType w:val="multilevel"/>
    <w:tmpl w:val="C8C4C1C4"/>
    <w:lvl w:ilvl="0">
      <w:start w:val="112"/>
      <w:numFmt w:val="decimal"/>
      <w:lvlText w:val="%1."/>
      <w:lvlJc w:val="left"/>
      <w:pPr>
        <w:ind w:left="720" w:hanging="360"/>
      </w:pPr>
    </w:lvl>
    <w:lvl w:ilvl="1">
      <w:start w:val="112"/>
      <w:numFmt w:val="decimal"/>
      <w:lvlText w:val="%2."/>
      <w:lvlJc w:val="left"/>
      <w:pPr>
        <w:ind w:left="1440" w:hanging="360"/>
      </w:pPr>
    </w:lvl>
    <w:lvl w:ilvl="2">
      <w:start w:val="112"/>
      <w:numFmt w:val="decimal"/>
      <w:lvlText w:val="%3."/>
      <w:lvlJc w:val="left"/>
      <w:pPr>
        <w:ind w:left="2160" w:hanging="360"/>
      </w:pPr>
    </w:lvl>
    <w:lvl w:ilvl="3">
      <w:start w:val="112"/>
      <w:numFmt w:val="decimal"/>
      <w:lvlText w:val="%4."/>
      <w:lvlJc w:val="left"/>
      <w:pPr>
        <w:ind w:left="2880" w:hanging="360"/>
      </w:pPr>
    </w:lvl>
    <w:lvl w:ilvl="4">
      <w:start w:val="112"/>
      <w:numFmt w:val="decimal"/>
      <w:lvlText w:val="%5."/>
      <w:lvlJc w:val="left"/>
      <w:pPr>
        <w:ind w:left="3600" w:hanging="360"/>
      </w:pPr>
    </w:lvl>
    <w:lvl w:ilvl="5">
      <w:start w:val="112"/>
      <w:numFmt w:val="decimal"/>
      <w:lvlText w:val="%6."/>
      <w:lvlJc w:val="left"/>
      <w:pPr>
        <w:ind w:left="4320" w:hanging="360"/>
      </w:pPr>
    </w:lvl>
    <w:lvl w:ilvl="6">
      <w:start w:val="112"/>
      <w:numFmt w:val="decimal"/>
      <w:lvlText w:val="%7."/>
      <w:lvlJc w:val="left"/>
      <w:pPr>
        <w:ind w:left="5040" w:hanging="360"/>
      </w:pPr>
    </w:lvl>
    <w:lvl w:ilvl="7">
      <w:start w:val="112"/>
      <w:numFmt w:val="decimal"/>
      <w:lvlText w:val="%8."/>
      <w:lvlJc w:val="left"/>
      <w:pPr>
        <w:ind w:left="5760" w:hanging="360"/>
      </w:pPr>
    </w:lvl>
    <w:lvl w:ilvl="8">
      <w:start w:val="112"/>
      <w:numFmt w:val="decimal"/>
      <w:lvlText w:val="%9."/>
      <w:lvlJc w:val="left"/>
      <w:pPr>
        <w:ind w:left="6480" w:hanging="360"/>
      </w:pPr>
    </w:lvl>
  </w:abstractNum>
  <w:abstractNum w:abstractNumId="12" w15:restartNumberingAfterBreak="0">
    <w:nsid w:val="A9941113"/>
    <w:multiLevelType w:val="multilevel"/>
    <w:tmpl w:val="54769852"/>
    <w:lvl w:ilvl="0">
      <w:start w:val="113"/>
      <w:numFmt w:val="decimal"/>
      <w:lvlText w:val="%1."/>
      <w:lvlJc w:val="left"/>
      <w:pPr>
        <w:ind w:left="720" w:hanging="360"/>
      </w:pPr>
    </w:lvl>
    <w:lvl w:ilvl="1">
      <w:start w:val="113"/>
      <w:numFmt w:val="decimal"/>
      <w:lvlText w:val="%2."/>
      <w:lvlJc w:val="left"/>
      <w:pPr>
        <w:ind w:left="1440" w:hanging="360"/>
      </w:pPr>
    </w:lvl>
    <w:lvl w:ilvl="2">
      <w:start w:val="113"/>
      <w:numFmt w:val="decimal"/>
      <w:lvlText w:val="%3."/>
      <w:lvlJc w:val="left"/>
      <w:pPr>
        <w:ind w:left="2160" w:hanging="360"/>
      </w:pPr>
    </w:lvl>
    <w:lvl w:ilvl="3">
      <w:start w:val="113"/>
      <w:numFmt w:val="decimal"/>
      <w:lvlText w:val="%4."/>
      <w:lvlJc w:val="left"/>
      <w:pPr>
        <w:ind w:left="2880" w:hanging="360"/>
      </w:pPr>
    </w:lvl>
    <w:lvl w:ilvl="4">
      <w:start w:val="113"/>
      <w:numFmt w:val="decimal"/>
      <w:lvlText w:val="%5."/>
      <w:lvlJc w:val="left"/>
      <w:pPr>
        <w:ind w:left="3600" w:hanging="360"/>
      </w:pPr>
    </w:lvl>
    <w:lvl w:ilvl="5">
      <w:start w:val="113"/>
      <w:numFmt w:val="decimal"/>
      <w:lvlText w:val="%6."/>
      <w:lvlJc w:val="left"/>
      <w:pPr>
        <w:ind w:left="4320" w:hanging="360"/>
      </w:pPr>
    </w:lvl>
    <w:lvl w:ilvl="6">
      <w:start w:val="113"/>
      <w:numFmt w:val="decimal"/>
      <w:lvlText w:val="%7."/>
      <w:lvlJc w:val="left"/>
      <w:pPr>
        <w:ind w:left="5040" w:hanging="360"/>
      </w:pPr>
    </w:lvl>
    <w:lvl w:ilvl="7">
      <w:start w:val="113"/>
      <w:numFmt w:val="decimal"/>
      <w:lvlText w:val="%8."/>
      <w:lvlJc w:val="left"/>
      <w:pPr>
        <w:ind w:left="5760" w:hanging="360"/>
      </w:pPr>
    </w:lvl>
    <w:lvl w:ilvl="8">
      <w:start w:val="113"/>
      <w:numFmt w:val="decimal"/>
      <w:lvlText w:val="%9."/>
      <w:lvlJc w:val="left"/>
      <w:pPr>
        <w:ind w:left="6480" w:hanging="360"/>
      </w:pPr>
    </w:lvl>
  </w:abstractNum>
  <w:abstractNum w:abstractNumId="13" w15:restartNumberingAfterBreak="0">
    <w:nsid w:val="A9941114"/>
    <w:multiLevelType w:val="multilevel"/>
    <w:tmpl w:val="F74CA768"/>
    <w:lvl w:ilvl="0">
      <w:start w:val="114"/>
      <w:numFmt w:val="decimal"/>
      <w:lvlText w:val="%1."/>
      <w:lvlJc w:val="left"/>
      <w:pPr>
        <w:ind w:left="720" w:hanging="360"/>
      </w:pPr>
    </w:lvl>
    <w:lvl w:ilvl="1">
      <w:start w:val="114"/>
      <w:numFmt w:val="decimal"/>
      <w:lvlText w:val="%2."/>
      <w:lvlJc w:val="left"/>
      <w:pPr>
        <w:ind w:left="1440" w:hanging="360"/>
      </w:pPr>
    </w:lvl>
    <w:lvl w:ilvl="2">
      <w:start w:val="114"/>
      <w:numFmt w:val="decimal"/>
      <w:lvlText w:val="%3."/>
      <w:lvlJc w:val="left"/>
      <w:pPr>
        <w:ind w:left="2160" w:hanging="360"/>
      </w:pPr>
    </w:lvl>
    <w:lvl w:ilvl="3">
      <w:start w:val="114"/>
      <w:numFmt w:val="decimal"/>
      <w:lvlText w:val="%4."/>
      <w:lvlJc w:val="left"/>
      <w:pPr>
        <w:ind w:left="2880" w:hanging="360"/>
      </w:pPr>
    </w:lvl>
    <w:lvl w:ilvl="4">
      <w:start w:val="114"/>
      <w:numFmt w:val="decimal"/>
      <w:lvlText w:val="%5."/>
      <w:lvlJc w:val="left"/>
      <w:pPr>
        <w:ind w:left="3600" w:hanging="360"/>
      </w:pPr>
    </w:lvl>
    <w:lvl w:ilvl="5">
      <w:start w:val="114"/>
      <w:numFmt w:val="decimal"/>
      <w:lvlText w:val="%6."/>
      <w:lvlJc w:val="left"/>
      <w:pPr>
        <w:ind w:left="4320" w:hanging="360"/>
      </w:pPr>
    </w:lvl>
    <w:lvl w:ilvl="6">
      <w:start w:val="114"/>
      <w:numFmt w:val="decimal"/>
      <w:lvlText w:val="%7."/>
      <w:lvlJc w:val="left"/>
      <w:pPr>
        <w:ind w:left="5040" w:hanging="360"/>
      </w:pPr>
    </w:lvl>
    <w:lvl w:ilvl="7">
      <w:start w:val="114"/>
      <w:numFmt w:val="decimal"/>
      <w:lvlText w:val="%8."/>
      <w:lvlJc w:val="left"/>
      <w:pPr>
        <w:ind w:left="5760" w:hanging="360"/>
      </w:pPr>
    </w:lvl>
    <w:lvl w:ilvl="8">
      <w:start w:val="114"/>
      <w:numFmt w:val="decimal"/>
      <w:lvlText w:val="%9."/>
      <w:lvlJc w:val="left"/>
      <w:pPr>
        <w:ind w:left="6480" w:hanging="360"/>
      </w:pPr>
    </w:lvl>
  </w:abstractNum>
  <w:abstractNum w:abstractNumId="14" w15:restartNumberingAfterBreak="0">
    <w:nsid w:val="A9941115"/>
    <w:multiLevelType w:val="multilevel"/>
    <w:tmpl w:val="8604B126"/>
    <w:lvl w:ilvl="0">
      <w:start w:val="115"/>
      <w:numFmt w:val="decimal"/>
      <w:lvlText w:val="%1."/>
      <w:lvlJc w:val="left"/>
      <w:pPr>
        <w:ind w:left="720" w:hanging="360"/>
      </w:pPr>
    </w:lvl>
    <w:lvl w:ilvl="1">
      <w:start w:val="115"/>
      <w:numFmt w:val="decimal"/>
      <w:lvlText w:val="%2."/>
      <w:lvlJc w:val="left"/>
      <w:pPr>
        <w:ind w:left="1440" w:hanging="360"/>
      </w:pPr>
    </w:lvl>
    <w:lvl w:ilvl="2">
      <w:start w:val="115"/>
      <w:numFmt w:val="decimal"/>
      <w:lvlText w:val="%3."/>
      <w:lvlJc w:val="left"/>
      <w:pPr>
        <w:ind w:left="2160" w:hanging="360"/>
      </w:pPr>
    </w:lvl>
    <w:lvl w:ilvl="3">
      <w:start w:val="115"/>
      <w:numFmt w:val="decimal"/>
      <w:lvlText w:val="%4."/>
      <w:lvlJc w:val="left"/>
      <w:pPr>
        <w:ind w:left="2880" w:hanging="360"/>
      </w:pPr>
    </w:lvl>
    <w:lvl w:ilvl="4">
      <w:start w:val="115"/>
      <w:numFmt w:val="decimal"/>
      <w:lvlText w:val="%5."/>
      <w:lvlJc w:val="left"/>
      <w:pPr>
        <w:ind w:left="3600" w:hanging="360"/>
      </w:pPr>
    </w:lvl>
    <w:lvl w:ilvl="5">
      <w:start w:val="115"/>
      <w:numFmt w:val="decimal"/>
      <w:lvlText w:val="%6."/>
      <w:lvlJc w:val="left"/>
      <w:pPr>
        <w:ind w:left="4320" w:hanging="360"/>
      </w:pPr>
    </w:lvl>
    <w:lvl w:ilvl="6">
      <w:start w:val="115"/>
      <w:numFmt w:val="decimal"/>
      <w:lvlText w:val="%7."/>
      <w:lvlJc w:val="left"/>
      <w:pPr>
        <w:ind w:left="5040" w:hanging="360"/>
      </w:pPr>
    </w:lvl>
    <w:lvl w:ilvl="7">
      <w:start w:val="115"/>
      <w:numFmt w:val="decimal"/>
      <w:lvlText w:val="%8."/>
      <w:lvlJc w:val="left"/>
      <w:pPr>
        <w:ind w:left="5760" w:hanging="360"/>
      </w:pPr>
    </w:lvl>
    <w:lvl w:ilvl="8">
      <w:start w:val="115"/>
      <w:numFmt w:val="decimal"/>
      <w:lvlText w:val="%9."/>
      <w:lvlJc w:val="left"/>
      <w:pPr>
        <w:ind w:left="6480" w:hanging="360"/>
      </w:pPr>
    </w:lvl>
  </w:abstractNum>
  <w:abstractNum w:abstractNumId="15" w15:restartNumberingAfterBreak="0">
    <w:nsid w:val="A9941116"/>
    <w:multiLevelType w:val="multilevel"/>
    <w:tmpl w:val="492ECB72"/>
    <w:lvl w:ilvl="0">
      <w:start w:val="116"/>
      <w:numFmt w:val="decimal"/>
      <w:lvlText w:val="%1."/>
      <w:lvlJc w:val="left"/>
      <w:pPr>
        <w:ind w:left="720" w:hanging="360"/>
      </w:pPr>
    </w:lvl>
    <w:lvl w:ilvl="1">
      <w:start w:val="116"/>
      <w:numFmt w:val="decimal"/>
      <w:lvlText w:val="%2."/>
      <w:lvlJc w:val="left"/>
      <w:pPr>
        <w:ind w:left="1440" w:hanging="360"/>
      </w:pPr>
    </w:lvl>
    <w:lvl w:ilvl="2">
      <w:start w:val="116"/>
      <w:numFmt w:val="decimal"/>
      <w:lvlText w:val="%3."/>
      <w:lvlJc w:val="left"/>
      <w:pPr>
        <w:ind w:left="2160" w:hanging="360"/>
      </w:pPr>
    </w:lvl>
    <w:lvl w:ilvl="3">
      <w:start w:val="116"/>
      <w:numFmt w:val="decimal"/>
      <w:lvlText w:val="%4."/>
      <w:lvlJc w:val="left"/>
      <w:pPr>
        <w:ind w:left="2880" w:hanging="360"/>
      </w:pPr>
    </w:lvl>
    <w:lvl w:ilvl="4">
      <w:start w:val="116"/>
      <w:numFmt w:val="decimal"/>
      <w:lvlText w:val="%5."/>
      <w:lvlJc w:val="left"/>
      <w:pPr>
        <w:ind w:left="3600" w:hanging="360"/>
      </w:pPr>
    </w:lvl>
    <w:lvl w:ilvl="5">
      <w:start w:val="116"/>
      <w:numFmt w:val="decimal"/>
      <w:lvlText w:val="%6."/>
      <w:lvlJc w:val="left"/>
      <w:pPr>
        <w:ind w:left="4320" w:hanging="360"/>
      </w:pPr>
    </w:lvl>
    <w:lvl w:ilvl="6">
      <w:start w:val="116"/>
      <w:numFmt w:val="decimal"/>
      <w:lvlText w:val="%7."/>
      <w:lvlJc w:val="left"/>
      <w:pPr>
        <w:ind w:left="5040" w:hanging="360"/>
      </w:pPr>
    </w:lvl>
    <w:lvl w:ilvl="7">
      <w:start w:val="116"/>
      <w:numFmt w:val="decimal"/>
      <w:lvlText w:val="%8."/>
      <w:lvlJc w:val="left"/>
      <w:pPr>
        <w:ind w:left="5760" w:hanging="360"/>
      </w:pPr>
    </w:lvl>
    <w:lvl w:ilvl="8">
      <w:start w:val="116"/>
      <w:numFmt w:val="decimal"/>
      <w:lvlText w:val="%9."/>
      <w:lvlJc w:val="left"/>
      <w:pPr>
        <w:ind w:left="6480" w:hanging="360"/>
      </w:pPr>
    </w:lvl>
  </w:abstractNum>
  <w:abstractNum w:abstractNumId="16" w15:restartNumberingAfterBreak="0">
    <w:nsid w:val="A9941117"/>
    <w:multiLevelType w:val="multilevel"/>
    <w:tmpl w:val="728856AC"/>
    <w:lvl w:ilvl="0">
      <w:start w:val="117"/>
      <w:numFmt w:val="decimal"/>
      <w:lvlText w:val="%1."/>
      <w:lvlJc w:val="left"/>
      <w:pPr>
        <w:ind w:left="720" w:hanging="360"/>
      </w:pPr>
    </w:lvl>
    <w:lvl w:ilvl="1">
      <w:start w:val="117"/>
      <w:numFmt w:val="decimal"/>
      <w:lvlText w:val="%2."/>
      <w:lvlJc w:val="left"/>
      <w:pPr>
        <w:ind w:left="1440" w:hanging="360"/>
      </w:pPr>
    </w:lvl>
    <w:lvl w:ilvl="2">
      <w:start w:val="117"/>
      <w:numFmt w:val="decimal"/>
      <w:lvlText w:val="%3."/>
      <w:lvlJc w:val="left"/>
      <w:pPr>
        <w:ind w:left="2160" w:hanging="360"/>
      </w:pPr>
    </w:lvl>
    <w:lvl w:ilvl="3">
      <w:start w:val="117"/>
      <w:numFmt w:val="decimal"/>
      <w:lvlText w:val="%4."/>
      <w:lvlJc w:val="left"/>
      <w:pPr>
        <w:ind w:left="2880" w:hanging="360"/>
      </w:pPr>
    </w:lvl>
    <w:lvl w:ilvl="4">
      <w:start w:val="117"/>
      <w:numFmt w:val="decimal"/>
      <w:lvlText w:val="%5."/>
      <w:lvlJc w:val="left"/>
      <w:pPr>
        <w:ind w:left="3600" w:hanging="360"/>
      </w:pPr>
    </w:lvl>
    <w:lvl w:ilvl="5">
      <w:start w:val="117"/>
      <w:numFmt w:val="decimal"/>
      <w:lvlText w:val="%6."/>
      <w:lvlJc w:val="left"/>
      <w:pPr>
        <w:ind w:left="4320" w:hanging="360"/>
      </w:pPr>
    </w:lvl>
    <w:lvl w:ilvl="6">
      <w:start w:val="117"/>
      <w:numFmt w:val="decimal"/>
      <w:lvlText w:val="%7."/>
      <w:lvlJc w:val="left"/>
      <w:pPr>
        <w:ind w:left="5040" w:hanging="360"/>
      </w:pPr>
    </w:lvl>
    <w:lvl w:ilvl="7">
      <w:start w:val="117"/>
      <w:numFmt w:val="decimal"/>
      <w:lvlText w:val="%8."/>
      <w:lvlJc w:val="left"/>
      <w:pPr>
        <w:ind w:left="5760" w:hanging="360"/>
      </w:pPr>
    </w:lvl>
    <w:lvl w:ilvl="8">
      <w:start w:val="117"/>
      <w:numFmt w:val="decimal"/>
      <w:lvlText w:val="%9."/>
      <w:lvlJc w:val="left"/>
      <w:pPr>
        <w:ind w:left="6480" w:hanging="360"/>
      </w:pPr>
    </w:lvl>
  </w:abstractNum>
  <w:abstractNum w:abstractNumId="17" w15:restartNumberingAfterBreak="0">
    <w:nsid w:val="A9941118"/>
    <w:multiLevelType w:val="multilevel"/>
    <w:tmpl w:val="C5A4A3C6"/>
    <w:lvl w:ilvl="0">
      <w:start w:val="118"/>
      <w:numFmt w:val="decimal"/>
      <w:lvlText w:val="%1."/>
      <w:lvlJc w:val="left"/>
      <w:pPr>
        <w:ind w:left="720" w:hanging="360"/>
      </w:pPr>
    </w:lvl>
    <w:lvl w:ilvl="1">
      <w:start w:val="118"/>
      <w:numFmt w:val="decimal"/>
      <w:lvlText w:val="%2."/>
      <w:lvlJc w:val="left"/>
      <w:pPr>
        <w:ind w:left="1440" w:hanging="360"/>
      </w:pPr>
    </w:lvl>
    <w:lvl w:ilvl="2">
      <w:start w:val="118"/>
      <w:numFmt w:val="decimal"/>
      <w:lvlText w:val="%3."/>
      <w:lvlJc w:val="left"/>
      <w:pPr>
        <w:ind w:left="2160" w:hanging="360"/>
      </w:pPr>
    </w:lvl>
    <w:lvl w:ilvl="3">
      <w:start w:val="118"/>
      <w:numFmt w:val="decimal"/>
      <w:lvlText w:val="%4."/>
      <w:lvlJc w:val="left"/>
      <w:pPr>
        <w:ind w:left="2880" w:hanging="360"/>
      </w:pPr>
    </w:lvl>
    <w:lvl w:ilvl="4">
      <w:start w:val="118"/>
      <w:numFmt w:val="decimal"/>
      <w:lvlText w:val="%5."/>
      <w:lvlJc w:val="left"/>
      <w:pPr>
        <w:ind w:left="3600" w:hanging="360"/>
      </w:pPr>
    </w:lvl>
    <w:lvl w:ilvl="5">
      <w:start w:val="118"/>
      <w:numFmt w:val="decimal"/>
      <w:lvlText w:val="%6."/>
      <w:lvlJc w:val="left"/>
      <w:pPr>
        <w:ind w:left="4320" w:hanging="360"/>
      </w:pPr>
    </w:lvl>
    <w:lvl w:ilvl="6">
      <w:start w:val="118"/>
      <w:numFmt w:val="decimal"/>
      <w:lvlText w:val="%7."/>
      <w:lvlJc w:val="left"/>
      <w:pPr>
        <w:ind w:left="5040" w:hanging="360"/>
      </w:pPr>
    </w:lvl>
    <w:lvl w:ilvl="7">
      <w:start w:val="118"/>
      <w:numFmt w:val="decimal"/>
      <w:lvlText w:val="%8."/>
      <w:lvlJc w:val="left"/>
      <w:pPr>
        <w:ind w:left="5760" w:hanging="360"/>
      </w:pPr>
    </w:lvl>
    <w:lvl w:ilvl="8">
      <w:start w:val="118"/>
      <w:numFmt w:val="decimal"/>
      <w:lvlText w:val="%9."/>
      <w:lvlJc w:val="left"/>
      <w:pPr>
        <w:ind w:left="6480" w:hanging="360"/>
      </w:pPr>
    </w:lvl>
  </w:abstractNum>
  <w:abstractNum w:abstractNumId="18" w15:restartNumberingAfterBreak="0">
    <w:nsid w:val="A9941119"/>
    <w:multiLevelType w:val="multilevel"/>
    <w:tmpl w:val="9446B4B0"/>
    <w:lvl w:ilvl="0">
      <w:start w:val="119"/>
      <w:numFmt w:val="decimal"/>
      <w:lvlText w:val="%1."/>
      <w:lvlJc w:val="left"/>
      <w:pPr>
        <w:ind w:left="720" w:hanging="360"/>
      </w:pPr>
    </w:lvl>
    <w:lvl w:ilvl="1">
      <w:start w:val="119"/>
      <w:numFmt w:val="decimal"/>
      <w:lvlText w:val="%2."/>
      <w:lvlJc w:val="left"/>
      <w:pPr>
        <w:ind w:left="1440" w:hanging="360"/>
      </w:pPr>
    </w:lvl>
    <w:lvl w:ilvl="2">
      <w:start w:val="119"/>
      <w:numFmt w:val="decimal"/>
      <w:lvlText w:val="%3."/>
      <w:lvlJc w:val="left"/>
      <w:pPr>
        <w:ind w:left="2160" w:hanging="360"/>
      </w:pPr>
    </w:lvl>
    <w:lvl w:ilvl="3">
      <w:start w:val="119"/>
      <w:numFmt w:val="decimal"/>
      <w:lvlText w:val="%4."/>
      <w:lvlJc w:val="left"/>
      <w:pPr>
        <w:ind w:left="2880" w:hanging="360"/>
      </w:pPr>
    </w:lvl>
    <w:lvl w:ilvl="4">
      <w:start w:val="119"/>
      <w:numFmt w:val="decimal"/>
      <w:lvlText w:val="%5."/>
      <w:lvlJc w:val="left"/>
      <w:pPr>
        <w:ind w:left="3600" w:hanging="360"/>
      </w:pPr>
    </w:lvl>
    <w:lvl w:ilvl="5">
      <w:start w:val="119"/>
      <w:numFmt w:val="decimal"/>
      <w:lvlText w:val="%6."/>
      <w:lvlJc w:val="left"/>
      <w:pPr>
        <w:ind w:left="4320" w:hanging="360"/>
      </w:pPr>
    </w:lvl>
    <w:lvl w:ilvl="6">
      <w:start w:val="119"/>
      <w:numFmt w:val="decimal"/>
      <w:lvlText w:val="%7."/>
      <w:lvlJc w:val="left"/>
      <w:pPr>
        <w:ind w:left="5040" w:hanging="360"/>
      </w:pPr>
    </w:lvl>
    <w:lvl w:ilvl="7">
      <w:start w:val="119"/>
      <w:numFmt w:val="decimal"/>
      <w:lvlText w:val="%8."/>
      <w:lvlJc w:val="left"/>
      <w:pPr>
        <w:ind w:left="5760" w:hanging="360"/>
      </w:pPr>
    </w:lvl>
    <w:lvl w:ilvl="8">
      <w:start w:val="119"/>
      <w:numFmt w:val="decimal"/>
      <w:lvlText w:val="%9."/>
      <w:lvlJc w:val="left"/>
      <w:pPr>
        <w:ind w:left="6480" w:hanging="360"/>
      </w:pPr>
    </w:lvl>
  </w:abstractNum>
  <w:abstractNum w:abstractNumId="19" w15:restartNumberingAfterBreak="0">
    <w:nsid w:val="A9941120"/>
    <w:multiLevelType w:val="multilevel"/>
    <w:tmpl w:val="C16CFBC0"/>
    <w:lvl w:ilvl="0">
      <w:start w:val="120"/>
      <w:numFmt w:val="decimal"/>
      <w:lvlText w:val="%1."/>
      <w:lvlJc w:val="left"/>
      <w:pPr>
        <w:ind w:left="720" w:hanging="360"/>
      </w:pPr>
    </w:lvl>
    <w:lvl w:ilvl="1">
      <w:start w:val="120"/>
      <w:numFmt w:val="decimal"/>
      <w:lvlText w:val="%2."/>
      <w:lvlJc w:val="left"/>
      <w:pPr>
        <w:ind w:left="1440" w:hanging="360"/>
      </w:pPr>
    </w:lvl>
    <w:lvl w:ilvl="2">
      <w:start w:val="120"/>
      <w:numFmt w:val="decimal"/>
      <w:lvlText w:val="%3."/>
      <w:lvlJc w:val="left"/>
      <w:pPr>
        <w:ind w:left="2160" w:hanging="360"/>
      </w:pPr>
    </w:lvl>
    <w:lvl w:ilvl="3">
      <w:start w:val="120"/>
      <w:numFmt w:val="decimal"/>
      <w:lvlText w:val="%4."/>
      <w:lvlJc w:val="left"/>
      <w:pPr>
        <w:ind w:left="2880" w:hanging="360"/>
      </w:pPr>
    </w:lvl>
    <w:lvl w:ilvl="4">
      <w:start w:val="120"/>
      <w:numFmt w:val="decimal"/>
      <w:lvlText w:val="%5."/>
      <w:lvlJc w:val="left"/>
      <w:pPr>
        <w:ind w:left="3600" w:hanging="360"/>
      </w:pPr>
    </w:lvl>
    <w:lvl w:ilvl="5">
      <w:start w:val="120"/>
      <w:numFmt w:val="decimal"/>
      <w:lvlText w:val="%6."/>
      <w:lvlJc w:val="left"/>
      <w:pPr>
        <w:ind w:left="4320" w:hanging="360"/>
      </w:pPr>
    </w:lvl>
    <w:lvl w:ilvl="6">
      <w:start w:val="120"/>
      <w:numFmt w:val="decimal"/>
      <w:lvlText w:val="%7."/>
      <w:lvlJc w:val="left"/>
      <w:pPr>
        <w:ind w:left="5040" w:hanging="360"/>
      </w:pPr>
    </w:lvl>
    <w:lvl w:ilvl="7">
      <w:start w:val="120"/>
      <w:numFmt w:val="decimal"/>
      <w:lvlText w:val="%8."/>
      <w:lvlJc w:val="left"/>
      <w:pPr>
        <w:ind w:left="5760" w:hanging="360"/>
      </w:pPr>
    </w:lvl>
    <w:lvl w:ilvl="8">
      <w:start w:val="120"/>
      <w:numFmt w:val="decimal"/>
      <w:lvlText w:val="%9."/>
      <w:lvlJc w:val="left"/>
      <w:pPr>
        <w:ind w:left="6480" w:hanging="360"/>
      </w:pPr>
    </w:lvl>
  </w:abstractNum>
  <w:abstractNum w:abstractNumId="20" w15:restartNumberingAfterBreak="0">
    <w:nsid w:val="A9941121"/>
    <w:multiLevelType w:val="multilevel"/>
    <w:tmpl w:val="9032327C"/>
    <w:lvl w:ilvl="0">
      <w:start w:val="121"/>
      <w:numFmt w:val="decimal"/>
      <w:lvlText w:val="%1."/>
      <w:lvlJc w:val="left"/>
      <w:pPr>
        <w:ind w:left="720" w:hanging="360"/>
      </w:pPr>
    </w:lvl>
    <w:lvl w:ilvl="1">
      <w:start w:val="121"/>
      <w:numFmt w:val="decimal"/>
      <w:lvlText w:val="%2."/>
      <w:lvlJc w:val="left"/>
      <w:pPr>
        <w:ind w:left="1440" w:hanging="360"/>
      </w:pPr>
    </w:lvl>
    <w:lvl w:ilvl="2">
      <w:start w:val="121"/>
      <w:numFmt w:val="decimal"/>
      <w:lvlText w:val="%3."/>
      <w:lvlJc w:val="left"/>
      <w:pPr>
        <w:ind w:left="2160" w:hanging="360"/>
      </w:pPr>
    </w:lvl>
    <w:lvl w:ilvl="3">
      <w:start w:val="121"/>
      <w:numFmt w:val="decimal"/>
      <w:lvlText w:val="%4."/>
      <w:lvlJc w:val="left"/>
      <w:pPr>
        <w:ind w:left="2880" w:hanging="360"/>
      </w:pPr>
    </w:lvl>
    <w:lvl w:ilvl="4">
      <w:start w:val="121"/>
      <w:numFmt w:val="decimal"/>
      <w:lvlText w:val="%5."/>
      <w:lvlJc w:val="left"/>
      <w:pPr>
        <w:ind w:left="3600" w:hanging="360"/>
      </w:pPr>
    </w:lvl>
    <w:lvl w:ilvl="5">
      <w:start w:val="121"/>
      <w:numFmt w:val="decimal"/>
      <w:lvlText w:val="%6."/>
      <w:lvlJc w:val="left"/>
      <w:pPr>
        <w:ind w:left="4320" w:hanging="360"/>
      </w:pPr>
    </w:lvl>
    <w:lvl w:ilvl="6">
      <w:start w:val="121"/>
      <w:numFmt w:val="decimal"/>
      <w:lvlText w:val="%7."/>
      <w:lvlJc w:val="left"/>
      <w:pPr>
        <w:ind w:left="5040" w:hanging="360"/>
      </w:pPr>
    </w:lvl>
    <w:lvl w:ilvl="7">
      <w:start w:val="121"/>
      <w:numFmt w:val="decimal"/>
      <w:lvlText w:val="%8."/>
      <w:lvlJc w:val="left"/>
      <w:pPr>
        <w:ind w:left="5760" w:hanging="360"/>
      </w:pPr>
    </w:lvl>
    <w:lvl w:ilvl="8">
      <w:start w:val="121"/>
      <w:numFmt w:val="decimal"/>
      <w:lvlText w:val="%9."/>
      <w:lvlJc w:val="left"/>
      <w:pPr>
        <w:ind w:left="6480" w:hanging="360"/>
      </w:pPr>
    </w:lvl>
  </w:abstractNum>
  <w:abstractNum w:abstractNumId="21" w15:restartNumberingAfterBreak="0">
    <w:nsid w:val="A9941122"/>
    <w:multiLevelType w:val="multilevel"/>
    <w:tmpl w:val="856A96CA"/>
    <w:lvl w:ilvl="0">
      <w:start w:val="122"/>
      <w:numFmt w:val="decimal"/>
      <w:lvlText w:val="%1."/>
      <w:lvlJc w:val="left"/>
      <w:pPr>
        <w:ind w:left="720" w:hanging="360"/>
      </w:pPr>
    </w:lvl>
    <w:lvl w:ilvl="1">
      <w:start w:val="122"/>
      <w:numFmt w:val="decimal"/>
      <w:lvlText w:val="%2."/>
      <w:lvlJc w:val="left"/>
      <w:pPr>
        <w:ind w:left="1440" w:hanging="360"/>
      </w:pPr>
    </w:lvl>
    <w:lvl w:ilvl="2">
      <w:start w:val="122"/>
      <w:numFmt w:val="decimal"/>
      <w:lvlText w:val="%3."/>
      <w:lvlJc w:val="left"/>
      <w:pPr>
        <w:ind w:left="2160" w:hanging="360"/>
      </w:pPr>
    </w:lvl>
    <w:lvl w:ilvl="3">
      <w:start w:val="122"/>
      <w:numFmt w:val="decimal"/>
      <w:lvlText w:val="%4."/>
      <w:lvlJc w:val="left"/>
      <w:pPr>
        <w:ind w:left="2880" w:hanging="360"/>
      </w:pPr>
    </w:lvl>
    <w:lvl w:ilvl="4">
      <w:start w:val="122"/>
      <w:numFmt w:val="decimal"/>
      <w:lvlText w:val="%5."/>
      <w:lvlJc w:val="left"/>
      <w:pPr>
        <w:ind w:left="3600" w:hanging="360"/>
      </w:pPr>
    </w:lvl>
    <w:lvl w:ilvl="5">
      <w:start w:val="122"/>
      <w:numFmt w:val="decimal"/>
      <w:lvlText w:val="%6."/>
      <w:lvlJc w:val="left"/>
      <w:pPr>
        <w:ind w:left="4320" w:hanging="360"/>
      </w:pPr>
    </w:lvl>
    <w:lvl w:ilvl="6">
      <w:start w:val="122"/>
      <w:numFmt w:val="decimal"/>
      <w:lvlText w:val="%7."/>
      <w:lvlJc w:val="left"/>
      <w:pPr>
        <w:ind w:left="5040" w:hanging="360"/>
      </w:pPr>
    </w:lvl>
    <w:lvl w:ilvl="7">
      <w:start w:val="122"/>
      <w:numFmt w:val="decimal"/>
      <w:lvlText w:val="%8."/>
      <w:lvlJc w:val="left"/>
      <w:pPr>
        <w:ind w:left="5760" w:hanging="360"/>
      </w:pPr>
    </w:lvl>
    <w:lvl w:ilvl="8">
      <w:start w:val="122"/>
      <w:numFmt w:val="decimal"/>
      <w:lvlText w:val="%9."/>
      <w:lvlJc w:val="left"/>
      <w:pPr>
        <w:ind w:left="6480" w:hanging="360"/>
      </w:pPr>
    </w:lvl>
  </w:abstractNum>
  <w:abstractNum w:abstractNumId="22" w15:restartNumberingAfterBreak="0">
    <w:nsid w:val="A9941123"/>
    <w:multiLevelType w:val="multilevel"/>
    <w:tmpl w:val="B5B44CDA"/>
    <w:lvl w:ilvl="0">
      <w:start w:val="123"/>
      <w:numFmt w:val="decimal"/>
      <w:lvlText w:val="%1."/>
      <w:lvlJc w:val="left"/>
      <w:pPr>
        <w:ind w:left="720" w:hanging="360"/>
      </w:pPr>
    </w:lvl>
    <w:lvl w:ilvl="1">
      <w:start w:val="123"/>
      <w:numFmt w:val="decimal"/>
      <w:lvlText w:val="%2."/>
      <w:lvlJc w:val="left"/>
      <w:pPr>
        <w:ind w:left="1440" w:hanging="360"/>
      </w:pPr>
    </w:lvl>
    <w:lvl w:ilvl="2">
      <w:start w:val="123"/>
      <w:numFmt w:val="decimal"/>
      <w:lvlText w:val="%3."/>
      <w:lvlJc w:val="left"/>
      <w:pPr>
        <w:ind w:left="2160" w:hanging="360"/>
      </w:pPr>
    </w:lvl>
    <w:lvl w:ilvl="3">
      <w:start w:val="123"/>
      <w:numFmt w:val="decimal"/>
      <w:lvlText w:val="%4."/>
      <w:lvlJc w:val="left"/>
      <w:pPr>
        <w:ind w:left="2880" w:hanging="360"/>
      </w:pPr>
    </w:lvl>
    <w:lvl w:ilvl="4">
      <w:start w:val="123"/>
      <w:numFmt w:val="decimal"/>
      <w:lvlText w:val="%5."/>
      <w:lvlJc w:val="left"/>
      <w:pPr>
        <w:ind w:left="3600" w:hanging="360"/>
      </w:pPr>
    </w:lvl>
    <w:lvl w:ilvl="5">
      <w:start w:val="123"/>
      <w:numFmt w:val="decimal"/>
      <w:lvlText w:val="%6."/>
      <w:lvlJc w:val="left"/>
      <w:pPr>
        <w:ind w:left="4320" w:hanging="360"/>
      </w:pPr>
    </w:lvl>
    <w:lvl w:ilvl="6">
      <w:start w:val="123"/>
      <w:numFmt w:val="decimal"/>
      <w:lvlText w:val="%7."/>
      <w:lvlJc w:val="left"/>
      <w:pPr>
        <w:ind w:left="5040" w:hanging="360"/>
      </w:pPr>
    </w:lvl>
    <w:lvl w:ilvl="7">
      <w:start w:val="123"/>
      <w:numFmt w:val="decimal"/>
      <w:lvlText w:val="%8."/>
      <w:lvlJc w:val="left"/>
      <w:pPr>
        <w:ind w:left="5760" w:hanging="360"/>
      </w:pPr>
    </w:lvl>
    <w:lvl w:ilvl="8">
      <w:start w:val="123"/>
      <w:numFmt w:val="decimal"/>
      <w:lvlText w:val="%9."/>
      <w:lvlJc w:val="left"/>
      <w:pPr>
        <w:ind w:left="6480" w:hanging="360"/>
      </w:pPr>
    </w:lvl>
  </w:abstractNum>
  <w:abstractNum w:abstractNumId="23" w15:restartNumberingAfterBreak="0">
    <w:nsid w:val="A9941124"/>
    <w:multiLevelType w:val="multilevel"/>
    <w:tmpl w:val="CF88390A"/>
    <w:lvl w:ilvl="0">
      <w:start w:val="124"/>
      <w:numFmt w:val="decimal"/>
      <w:lvlText w:val="%1."/>
      <w:lvlJc w:val="left"/>
      <w:pPr>
        <w:ind w:left="720" w:hanging="360"/>
      </w:pPr>
    </w:lvl>
    <w:lvl w:ilvl="1">
      <w:start w:val="124"/>
      <w:numFmt w:val="decimal"/>
      <w:lvlText w:val="%2."/>
      <w:lvlJc w:val="left"/>
      <w:pPr>
        <w:ind w:left="1440" w:hanging="360"/>
      </w:pPr>
    </w:lvl>
    <w:lvl w:ilvl="2">
      <w:start w:val="124"/>
      <w:numFmt w:val="decimal"/>
      <w:lvlText w:val="%3."/>
      <w:lvlJc w:val="left"/>
      <w:pPr>
        <w:ind w:left="2160" w:hanging="360"/>
      </w:pPr>
    </w:lvl>
    <w:lvl w:ilvl="3">
      <w:start w:val="124"/>
      <w:numFmt w:val="decimal"/>
      <w:lvlText w:val="%4."/>
      <w:lvlJc w:val="left"/>
      <w:pPr>
        <w:ind w:left="2880" w:hanging="360"/>
      </w:pPr>
    </w:lvl>
    <w:lvl w:ilvl="4">
      <w:start w:val="124"/>
      <w:numFmt w:val="decimal"/>
      <w:lvlText w:val="%5."/>
      <w:lvlJc w:val="left"/>
      <w:pPr>
        <w:ind w:left="3600" w:hanging="360"/>
      </w:pPr>
    </w:lvl>
    <w:lvl w:ilvl="5">
      <w:start w:val="124"/>
      <w:numFmt w:val="decimal"/>
      <w:lvlText w:val="%6."/>
      <w:lvlJc w:val="left"/>
      <w:pPr>
        <w:ind w:left="4320" w:hanging="360"/>
      </w:pPr>
    </w:lvl>
    <w:lvl w:ilvl="6">
      <w:start w:val="124"/>
      <w:numFmt w:val="decimal"/>
      <w:lvlText w:val="%7."/>
      <w:lvlJc w:val="left"/>
      <w:pPr>
        <w:ind w:left="5040" w:hanging="360"/>
      </w:pPr>
    </w:lvl>
    <w:lvl w:ilvl="7">
      <w:start w:val="124"/>
      <w:numFmt w:val="decimal"/>
      <w:lvlText w:val="%8."/>
      <w:lvlJc w:val="left"/>
      <w:pPr>
        <w:ind w:left="5760" w:hanging="360"/>
      </w:pPr>
    </w:lvl>
    <w:lvl w:ilvl="8">
      <w:start w:val="124"/>
      <w:numFmt w:val="decimal"/>
      <w:lvlText w:val="%9."/>
      <w:lvlJc w:val="left"/>
      <w:pPr>
        <w:ind w:left="6480" w:hanging="360"/>
      </w:pPr>
    </w:lvl>
  </w:abstractNum>
  <w:abstractNum w:abstractNumId="24" w15:restartNumberingAfterBreak="0">
    <w:nsid w:val="A9941125"/>
    <w:multiLevelType w:val="multilevel"/>
    <w:tmpl w:val="910CEB08"/>
    <w:lvl w:ilvl="0">
      <w:start w:val="125"/>
      <w:numFmt w:val="decimal"/>
      <w:lvlText w:val="%1."/>
      <w:lvlJc w:val="left"/>
      <w:pPr>
        <w:ind w:left="720" w:hanging="360"/>
      </w:pPr>
    </w:lvl>
    <w:lvl w:ilvl="1">
      <w:start w:val="125"/>
      <w:numFmt w:val="decimal"/>
      <w:lvlText w:val="%2."/>
      <w:lvlJc w:val="left"/>
      <w:pPr>
        <w:ind w:left="1440" w:hanging="360"/>
      </w:pPr>
    </w:lvl>
    <w:lvl w:ilvl="2">
      <w:start w:val="125"/>
      <w:numFmt w:val="decimal"/>
      <w:lvlText w:val="%3."/>
      <w:lvlJc w:val="left"/>
      <w:pPr>
        <w:ind w:left="2160" w:hanging="360"/>
      </w:pPr>
    </w:lvl>
    <w:lvl w:ilvl="3">
      <w:start w:val="125"/>
      <w:numFmt w:val="decimal"/>
      <w:lvlText w:val="%4."/>
      <w:lvlJc w:val="left"/>
      <w:pPr>
        <w:ind w:left="2880" w:hanging="360"/>
      </w:pPr>
    </w:lvl>
    <w:lvl w:ilvl="4">
      <w:start w:val="125"/>
      <w:numFmt w:val="decimal"/>
      <w:lvlText w:val="%5."/>
      <w:lvlJc w:val="left"/>
      <w:pPr>
        <w:ind w:left="3600" w:hanging="360"/>
      </w:pPr>
    </w:lvl>
    <w:lvl w:ilvl="5">
      <w:start w:val="125"/>
      <w:numFmt w:val="decimal"/>
      <w:lvlText w:val="%6."/>
      <w:lvlJc w:val="left"/>
      <w:pPr>
        <w:ind w:left="4320" w:hanging="360"/>
      </w:pPr>
    </w:lvl>
    <w:lvl w:ilvl="6">
      <w:start w:val="125"/>
      <w:numFmt w:val="decimal"/>
      <w:lvlText w:val="%7."/>
      <w:lvlJc w:val="left"/>
      <w:pPr>
        <w:ind w:left="5040" w:hanging="360"/>
      </w:pPr>
    </w:lvl>
    <w:lvl w:ilvl="7">
      <w:start w:val="125"/>
      <w:numFmt w:val="decimal"/>
      <w:lvlText w:val="%8."/>
      <w:lvlJc w:val="left"/>
      <w:pPr>
        <w:ind w:left="5760" w:hanging="360"/>
      </w:pPr>
    </w:lvl>
    <w:lvl w:ilvl="8">
      <w:start w:val="125"/>
      <w:numFmt w:val="decimal"/>
      <w:lvlText w:val="%9."/>
      <w:lvlJc w:val="left"/>
      <w:pPr>
        <w:ind w:left="6480" w:hanging="360"/>
      </w:pPr>
    </w:lvl>
  </w:abstractNum>
  <w:abstractNum w:abstractNumId="25" w15:restartNumberingAfterBreak="0">
    <w:nsid w:val="A9941126"/>
    <w:multiLevelType w:val="multilevel"/>
    <w:tmpl w:val="1068ED76"/>
    <w:lvl w:ilvl="0">
      <w:start w:val="126"/>
      <w:numFmt w:val="decimal"/>
      <w:lvlText w:val="%1."/>
      <w:lvlJc w:val="left"/>
      <w:pPr>
        <w:ind w:left="720" w:hanging="360"/>
      </w:pPr>
    </w:lvl>
    <w:lvl w:ilvl="1">
      <w:start w:val="126"/>
      <w:numFmt w:val="decimal"/>
      <w:lvlText w:val="%2."/>
      <w:lvlJc w:val="left"/>
      <w:pPr>
        <w:ind w:left="1440" w:hanging="360"/>
      </w:pPr>
    </w:lvl>
    <w:lvl w:ilvl="2">
      <w:start w:val="126"/>
      <w:numFmt w:val="decimal"/>
      <w:lvlText w:val="%3."/>
      <w:lvlJc w:val="left"/>
      <w:pPr>
        <w:ind w:left="2160" w:hanging="360"/>
      </w:pPr>
    </w:lvl>
    <w:lvl w:ilvl="3">
      <w:start w:val="126"/>
      <w:numFmt w:val="decimal"/>
      <w:lvlText w:val="%4."/>
      <w:lvlJc w:val="left"/>
      <w:pPr>
        <w:ind w:left="2880" w:hanging="360"/>
      </w:pPr>
    </w:lvl>
    <w:lvl w:ilvl="4">
      <w:start w:val="126"/>
      <w:numFmt w:val="decimal"/>
      <w:lvlText w:val="%5."/>
      <w:lvlJc w:val="left"/>
      <w:pPr>
        <w:ind w:left="3600" w:hanging="360"/>
      </w:pPr>
    </w:lvl>
    <w:lvl w:ilvl="5">
      <w:start w:val="126"/>
      <w:numFmt w:val="decimal"/>
      <w:lvlText w:val="%6."/>
      <w:lvlJc w:val="left"/>
      <w:pPr>
        <w:ind w:left="4320" w:hanging="360"/>
      </w:pPr>
    </w:lvl>
    <w:lvl w:ilvl="6">
      <w:start w:val="126"/>
      <w:numFmt w:val="decimal"/>
      <w:lvlText w:val="%7."/>
      <w:lvlJc w:val="left"/>
      <w:pPr>
        <w:ind w:left="5040" w:hanging="360"/>
      </w:pPr>
    </w:lvl>
    <w:lvl w:ilvl="7">
      <w:start w:val="126"/>
      <w:numFmt w:val="decimal"/>
      <w:lvlText w:val="%8."/>
      <w:lvlJc w:val="left"/>
      <w:pPr>
        <w:ind w:left="5760" w:hanging="360"/>
      </w:pPr>
    </w:lvl>
    <w:lvl w:ilvl="8">
      <w:start w:val="126"/>
      <w:numFmt w:val="decimal"/>
      <w:lvlText w:val="%9."/>
      <w:lvlJc w:val="left"/>
      <w:pPr>
        <w:ind w:left="6480" w:hanging="360"/>
      </w:pPr>
    </w:lvl>
  </w:abstractNum>
  <w:abstractNum w:abstractNumId="26" w15:restartNumberingAfterBreak="0">
    <w:nsid w:val="A9941127"/>
    <w:multiLevelType w:val="multilevel"/>
    <w:tmpl w:val="20EC7576"/>
    <w:lvl w:ilvl="0">
      <w:start w:val="127"/>
      <w:numFmt w:val="decimal"/>
      <w:lvlText w:val="%1."/>
      <w:lvlJc w:val="left"/>
      <w:pPr>
        <w:ind w:left="720" w:hanging="360"/>
      </w:pPr>
    </w:lvl>
    <w:lvl w:ilvl="1">
      <w:start w:val="127"/>
      <w:numFmt w:val="decimal"/>
      <w:lvlText w:val="%2."/>
      <w:lvlJc w:val="left"/>
      <w:pPr>
        <w:ind w:left="1440" w:hanging="360"/>
      </w:pPr>
    </w:lvl>
    <w:lvl w:ilvl="2">
      <w:start w:val="127"/>
      <w:numFmt w:val="decimal"/>
      <w:lvlText w:val="%3."/>
      <w:lvlJc w:val="left"/>
      <w:pPr>
        <w:ind w:left="2160" w:hanging="360"/>
      </w:pPr>
    </w:lvl>
    <w:lvl w:ilvl="3">
      <w:start w:val="127"/>
      <w:numFmt w:val="decimal"/>
      <w:lvlText w:val="%4."/>
      <w:lvlJc w:val="left"/>
      <w:pPr>
        <w:ind w:left="2880" w:hanging="360"/>
      </w:pPr>
    </w:lvl>
    <w:lvl w:ilvl="4">
      <w:start w:val="127"/>
      <w:numFmt w:val="decimal"/>
      <w:lvlText w:val="%5."/>
      <w:lvlJc w:val="left"/>
      <w:pPr>
        <w:ind w:left="3600" w:hanging="360"/>
      </w:pPr>
    </w:lvl>
    <w:lvl w:ilvl="5">
      <w:start w:val="127"/>
      <w:numFmt w:val="decimal"/>
      <w:lvlText w:val="%6."/>
      <w:lvlJc w:val="left"/>
      <w:pPr>
        <w:ind w:left="4320" w:hanging="360"/>
      </w:pPr>
    </w:lvl>
    <w:lvl w:ilvl="6">
      <w:start w:val="127"/>
      <w:numFmt w:val="decimal"/>
      <w:lvlText w:val="%7."/>
      <w:lvlJc w:val="left"/>
      <w:pPr>
        <w:ind w:left="5040" w:hanging="360"/>
      </w:pPr>
    </w:lvl>
    <w:lvl w:ilvl="7">
      <w:start w:val="127"/>
      <w:numFmt w:val="decimal"/>
      <w:lvlText w:val="%8."/>
      <w:lvlJc w:val="left"/>
      <w:pPr>
        <w:ind w:left="5760" w:hanging="360"/>
      </w:pPr>
    </w:lvl>
    <w:lvl w:ilvl="8">
      <w:start w:val="127"/>
      <w:numFmt w:val="decimal"/>
      <w:lvlText w:val="%9."/>
      <w:lvlJc w:val="left"/>
      <w:pPr>
        <w:ind w:left="6480" w:hanging="360"/>
      </w:pPr>
    </w:lvl>
  </w:abstractNum>
  <w:abstractNum w:abstractNumId="27" w15:restartNumberingAfterBreak="0">
    <w:nsid w:val="A9941128"/>
    <w:multiLevelType w:val="multilevel"/>
    <w:tmpl w:val="F76A5206"/>
    <w:lvl w:ilvl="0">
      <w:start w:val="128"/>
      <w:numFmt w:val="decimal"/>
      <w:lvlText w:val="%1."/>
      <w:lvlJc w:val="left"/>
      <w:pPr>
        <w:ind w:left="720" w:hanging="360"/>
      </w:pPr>
    </w:lvl>
    <w:lvl w:ilvl="1">
      <w:start w:val="128"/>
      <w:numFmt w:val="decimal"/>
      <w:lvlText w:val="%2."/>
      <w:lvlJc w:val="left"/>
      <w:pPr>
        <w:ind w:left="1440" w:hanging="360"/>
      </w:pPr>
    </w:lvl>
    <w:lvl w:ilvl="2">
      <w:start w:val="128"/>
      <w:numFmt w:val="decimal"/>
      <w:lvlText w:val="%3."/>
      <w:lvlJc w:val="left"/>
      <w:pPr>
        <w:ind w:left="2160" w:hanging="360"/>
      </w:pPr>
    </w:lvl>
    <w:lvl w:ilvl="3">
      <w:start w:val="128"/>
      <w:numFmt w:val="decimal"/>
      <w:lvlText w:val="%4."/>
      <w:lvlJc w:val="left"/>
      <w:pPr>
        <w:ind w:left="2880" w:hanging="360"/>
      </w:pPr>
    </w:lvl>
    <w:lvl w:ilvl="4">
      <w:start w:val="128"/>
      <w:numFmt w:val="decimal"/>
      <w:lvlText w:val="%5."/>
      <w:lvlJc w:val="left"/>
      <w:pPr>
        <w:ind w:left="3600" w:hanging="360"/>
      </w:pPr>
    </w:lvl>
    <w:lvl w:ilvl="5">
      <w:start w:val="128"/>
      <w:numFmt w:val="decimal"/>
      <w:lvlText w:val="%6."/>
      <w:lvlJc w:val="left"/>
      <w:pPr>
        <w:ind w:left="4320" w:hanging="360"/>
      </w:pPr>
    </w:lvl>
    <w:lvl w:ilvl="6">
      <w:start w:val="128"/>
      <w:numFmt w:val="decimal"/>
      <w:lvlText w:val="%7."/>
      <w:lvlJc w:val="left"/>
      <w:pPr>
        <w:ind w:left="5040" w:hanging="360"/>
      </w:pPr>
    </w:lvl>
    <w:lvl w:ilvl="7">
      <w:start w:val="128"/>
      <w:numFmt w:val="decimal"/>
      <w:lvlText w:val="%8."/>
      <w:lvlJc w:val="left"/>
      <w:pPr>
        <w:ind w:left="5760" w:hanging="360"/>
      </w:pPr>
    </w:lvl>
    <w:lvl w:ilvl="8">
      <w:start w:val="128"/>
      <w:numFmt w:val="decimal"/>
      <w:lvlText w:val="%9."/>
      <w:lvlJc w:val="left"/>
      <w:pPr>
        <w:ind w:left="6480" w:hanging="360"/>
      </w:pPr>
    </w:lvl>
  </w:abstractNum>
  <w:abstractNum w:abstractNumId="28" w15:restartNumberingAfterBreak="0">
    <w:nsid w:val="A9941129"/>
    <w:multiLevelType w:val="multilevel"/>
    <w:tmpl w:val="7A023C80"/>
    <w:lvl w:ilvl="0">
      <w:start w:val="129"/>
      <w:numFmt w:val="decimal"/>
      <w:lvlText w:val="%1."/>
      <w:lvlJc w:val="left"/>
      <w:pPr>
        <w:ind w:left="720" w:hanging="360"/>
      </w:pPr>
    </w:lvl>
    <w:lvl w:ilvl="1">
      <w:start w:val="129"/>
      <w:numFmt w:val="decimal"/>
      <w:lvlText w:val="%2."/>
      <w:lvlJc w:val="left"/>
      <w:pPr>
        <w:ind w:left="1440" w:hanging="360"/>
      </w:pPr>
    </w:lvl>
    <w:lvl w:ilvl="2">
      <w:start w:val="129"/>
      <w:numFmt w:val="decimal"/>
      <w:lvlText w:val="%3."/>
      <w:lvlJc w:val="left"/>
      <w:pPr>
        <w:ind w:left="2160" w:hanging="360"/>
      </w:pPr>
    </w:lvl>
    <w:lvl w:ilvl="3">
      <w:start w:val="129"/>
      <w:numFmt w:val="decimal"/>
      <w:lvlText w:val="%4."/>
      <w:lvlJc w:val="left"/>
      <w:pPr>
        <w:ind w:left="2880" w:hanging="360"/>
      </w:pPr>
    </w:lvl>
    <w:lvl w:ilvl="4">
      <w:start w:val="129"/>
      <w:numFmt w:val="decimal"/>
      <w:lvlText w:val="%5."/>
      <w:lvlJc w:val="left"/>
      <w:pPr>
        <w:ind w:left="3600" w:hanging="360"/>
      </w:pPr>
    </w:lvl>
    <w:lvl w:ilvl="5">
      <w:start w:val="129"/>
      <w:numFmt w:val="decimal"/>
      <w:lvlText w:val="%6."/>
      <w:lvlJc w:val="left"/>
      <w:pPr>
        <w:ind w:left="4320" w:hanging="360"/>
      </w:pPr>
    </w:lvl>
    <w:lvl w:ilvl="6">
      <w:start w:val="129"/>
      <w:numFmt w:val="decimal"/>
      <w:lvlText w:val="%7."/>
      <w:lvlJc w:val="left"/>
      <w:pPr>
        <w:ind w:left="5040" w:hanging="360"/>
      </w:pPr>
    </w:lvl>
    <w:lvl w:ilvl="7">
      <w:start w:val="129"/>
      <w:numFmt w:val="decimal"/>
      <w:lvlText w:val="%8."/>
      <w:lvlJc w:val="left"/>
      <w:pPr>
        <w:ind w:left="5760" w:hanging="360"/>
      </w:pPr>
    </w:lvl>
    <w:lvl w:ilvl="8">
      <w:start w:val="129"/>
      <w:numFmt w:val="decimal"/>
      <w:lvlText w:val="%9."/>
      <w:lvlJc w:val="left"/>
      <w:pPr>
        <w:ind w:left="6480" w:hanging="360"/>
      </w:pPr>
    </w:lvl>
  </w:abstractNum>
  <w:abstractNum w:abstractNumId="29" w15:restartNumberingAfterBreak="0">
    <w:nsid w:val="0000A990"/>
    <w:multiLevelType w:val="multilevel"/>
    <w:tmpl w:val="A8F8AF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30" w15:restartNumberingAfterBreak="0">
    <w:nsid w:val="0000A991"/>
    <w:multiLevelType w:val="multilevel"/>
    <w:tmpl w:val="D0389A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1" w15:restartNumberingAfterBreak="0">
    <w:nsid w:val="00A99411"/>
    <w:multiLevelType w:val="multilevel"/>
    <w:tmpl w:val="696846A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 w15:restartNumberingAfterBreak="0">
    <w:nsid w:val="0A994124"/>
    <w:multiLevelType w:val="multilevel"/>
    <w:tmpl w:val="3BE425F6"/>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33" w15:restartNumberingAfterBreak="0">
    <w:nsid w:val="0A994130"/>
    <w:multiLevelType w:val="multilevel"/>
    <w:tmpl w:val="4386E9A6"/>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num w:numId="1" w16cid:durableId="2096709750">
    <w:abstractNumId w:val="29"/>
  </w:num>
  <w:num w:numId="2" w16cid:durableId="35187752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00648902">
    <w:abstractNumId w:val="30"/>
  </w:num>
  <w:num w:numId="4" w16cid:durableId="7292881">
    <w:abstractNumId w:val="30"/>
  </w:num>
  <w:num w:numId="5" w16cid:durableId="459962318">
    <w:abstractNumId w:val="30"/>
  </w:num>
  <w:num w:numId="6" w16cid:durableId="1644776397">
    <w:abstractNumId w:val="30"/>
  </w:num>
  <w:num w:numId="7" w16cid:durableId="3814398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0591889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4643907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03010381">
    <w:abstractNumId w:val="30"/>
  </w:num>
  <w:num w:numId="11" w16cid:durableId="110233518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5901657">
    <w:abstractNumId w:val="32"/>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3" w16cid:durableId="1855799398">
    <w:abstractNumId w:val="33"/>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4" w16cid:durableId="856382399">
    <w:abstractNumId w:val="0"/>
    <w:lvlOverride w:ilvl="0">
      <w:startOverride w:val="101"/>
    </w:lvlOverride>
    <w:lvlOverride w:ilvl="1">
      <w:startOverride w:val="101"/>
    </w:lvlOverride>
    <w:lvlOverride w:ilvl="2">
      <w:startOverride w:val="101"/>
    </w:lvlOverride>
    <w:lvlOverride w:ilvl="3">
      <w:startOverride w:val="101"/>
    </w:lvlOverride>
    <w:lvlOverride w:ilvl="4">
      <w:startOverride w:val="101"/>
    </w:lvlOverride>
    <w:lvlOverride w:ilvl="5">
      <w:startOverride w:val="101"/>
    </w:lvlOverride>
    <w:lvlOverride w:ilvl="6">
      <w:startOverride w:val="101"/>
    </w:lvlOverride>
    <w:lvlOverride w:ilvl="7">
      <w:startOverride w:val="101"/>
    </w:lvlOverride>
    <w:lvlOverride w:ilvl="8">
      <w:startOverride w:val="101"/>
    </w:lvlOverride>
  </w:num>
  <w:num w:numId="15" w16cid:durableId="65686357">
    <w:abstractNumId w:val="1"/>
    <w:lvlOverride w:ilvl="0">
      <w:startOverride w:val="102"/>
    </w:lvlOverride>
    <w:lvlOverride w:ilvl="1">
      <w:startOverride w:val="102"/>
    </w:lvlOverride>
    <w:lvlOverride w:ilvl="2">
      <w:startOverride w:val="102"/>
    </w:lvlOverride>
    <w:lvlOverride w:ilvl="3">
      <w:startOverride w:val="102"/>
    </w:lvlOverride>
    <w:lvlOverride w:ilvl="4">
      <w:startOverride w:val="102"/>
    </w:lvlOverride>
    <w:lvlOverride w:ilvl="5">
      <w:startOverride w:val="102"/>
    </w:lvlOverride>
    <w:lvlOverride w:ilvl="6">
      <w:startOverride w:val="102"/>
    </w:lvlOverride>
    <w:lvlOverride w:ilvl="7">
      <w:startOverride w:val="102"/>
    </w:lvlOverride>
    <w:lvlOverride w:ilvl="8">
      <w:startOverride w:val="102"/>
    </w:lvlOverride>
  </w:num>
  <w:num w:numId="16" w16cid:durableId="1644192053">
    <w:abstractNumId w:val="2"/>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7" w16cid:durableId="1194996282">
    <w:abstractNumId w:val="3"/>
    <w:lvlOverride w:ilvl="0">
      <w:startOverride w:val="104"/>
    </w:lvlOverride>
    <w:lvlOverride w:ilvl="1">
      <w:startOverride w:val="104"/>
    </w:lvlOverride>
    <w:lvlOverride w:ilvl="2">
      <w:startOverride w:val="104"/>
    </w:lvlOverride>
    <w:lvlOverride w:ilvl="3">
      <w:startOverride w:val="104"/>
    </w:lvlOverride>
    <w:lvlOverride w:ilvl="4">
      <w:startOverride w:val="104"/>
    </w:lvlOverride>
    <w:lvlOverride w:ilvl="5">
      <w:startOverride w:val="104"/>
    </w:lvlOverride>
    <w:lvlOverride w:ilvl="6">
      <w:startOverride w:val="104"/>
    </w:lvlOverride>
    <w:lvlOverride w:ilvl="7">
      <w:startOverride w:val="104"/>
    </w:lvlOverride>
    <w:lvlOverride w:ilvl="8">
      <w:startOverride w:val="104"/>
    </w:lvlOverride>
  </w:num>
  <w:num w:numId="18" w16cid:durableId="1611274216">
    <w:abstractNumId w:val="4"/>
    <w:lvlOverride w:ilvl="0">
      <w:startOverride w:val="105"/>
    </w:lvlOverride>
    <w:lvlOverride w:ilvl="1">
      <w:startOverride w:val="105"/>
    </w:lvlOverride>
    <w:lvlOverride w:ilvl="2">
      <w:startOverride w:val="105"/>
    </w:lvlOverride>
    <w:lvlOverride w:ilvl="3">
      <w:startOverride w:val="105"/>
    </w:lvlOverride>
    <w:lvlOverride w:ilvl="4">
      <w:startOverride w:val="105"/>
    </w:lvlOverride>
    <w:lvlOverride w:ilvl="5">
      <w:startOverride w:val="105"/>
    </w:lvlOverride>
    <w:lvlOverride w:ilvl="6">
      <w:startOverride w:val="105"/>
    </w:lvlOverride>
    <w:lvlOverride w:ilvl="7">
      <w:startOverride w:val="105"/>
    </w:lvlOverride>
    <w:lvlOverride w:ilvl="8">
      <w:startOverride w:val="105"/>
    </w:lvlOverride>
  </w:num>
  <w:num w:numId="19" w16cid:durableId="1088620397">
    <w:abstractNumId w:val="5"/>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 w:numId="20" w16cid:durableId="92827647">
    <w:abstractNumId w:val="6"/>
    <w:lvlOverride w:ilvl="0">
      <w:startOverride w:val="107"/>
    </w:lvlOverride>
    <w:lvlOverride w:ilvl="1">
      <w:startOverride w:val="107"/>
    </w:lvlOverride>
    <w:lvlOverride w:ilvl="2">
      <w:startOverride w:val="107"/>
    </w:lvlOverride>
    <w:lvlOverride w:ilvl="3">
      <w:startOverride w:val="107"/>
    </w:lvlOverride>
    <w:lvlOverride w:ilvl="4">
      <w:startOverride w:val="107"/>
    </w:lvlOverride>
    <w:lvlOverride w:ilvl="5">
      <w:startOverride w:val="107"/>
    </w:lvlOverride>
    <w:lvlOverride w:ilvl="6">
      <w:startOverride w:val="107"/>
    </w:lvlOverride>
    <w:lvlOverride w:ilvl="7">
      <w:startOverride w:val="107"/>
    </w:lvlOverride>
    <w:lvlOverride w:ilvl="8">
      <w:startOverride w:val="107"/>
    </w:lvlOverride>
  </w:num>
  <w:num w:numId="21" w16cid:durableId="2130513528">
    <w:abstractNumId w:val="7"/>
    <w:lvlOverride w:ilvl="0">
      <w:startOverride w:val="108"/>
    </w:lvlOverride>
    <w:lvlOverride w:ilvl="1">
      <w:startOverride w:val="108"/>
    </w:lvlOverride>
    <w:lvlOverride w:ilvl="2">
      <w:startOverride w:val="108"/>
    </w:lvlOverride>
    <w:lvlOverride w:ilvl="3">
      <w:startOverride w:val="108"/>
    </w:lvlOverride>
    <w:lvlOverride w:ilvl="4">
      <w:startOverride w:val="108"/>
    </w:lvlOverride>
    <w:lvlOverride w:ilvl="5">
      <w:startOverride w:val="108"/>
    </w:lvlOverride>
    <w:lvlOverride w:ilvl="6">
      <w:startOverride w:val="108"/>
    </w:lvlOverride>
    <w:lvlOverride w:ilvl="7">
      <w:startOverride w:val="108"/>
    </w:lvlOverride>
    <w:lvlOverride w:ilvl="8">
      <w:startOverride w:val="108"/>
    </w:lvlOverride>
  </w:num>
  <w:num w:numId="22" w16cid:durableId="1044908200">
    <w:abstractNumId w:val="8"/>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23" w16cid:durableId="971445107">
    <w:abstractNumId w:val="9"/>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24" w16cid:durableId="1721784703">
    <w:abstractNumId w:val="10"/>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25" w16cid:durableId="1820001437">
    <w:abstractNumId w:val="11"/>
    <w:lvlOverride w:ilvl="0">
      <w:startOverride w:val="112"/>
    </w:lvlOverride>
    <w:lvlOverride w:ilvl="1">
      <w:startOverride w:val="112"/>
    </w:lvlOverride>
    <w:lvlOverride w:ilvl="2">
      <w:startOverride w:val="112"/>
    </w:lvlOverride>
    <w:lvlOverride w:ilvl="3">
      <w:startOverride w:val="112"/>
    </w:lvlOverride>
    <w:lvlOverride w:ilvl="4">
      <w:startOverride w:val="112"/>
    </w:lvlOverride>
    <w:lvlOverride w:ilvl="5">
      <w:startOverride w:val="112"/>
    </w:lvlOverride>
    <w:lvlOverride w:ilvl="6">
      <w:startOverride w:val="112"/>
    </w:lvlOverride>
    <w:lvlOverride w:ilvl="7">
      <w:startOverride w:val="112"/>
    </w:lvlOverride>
    <w:lvlOverride w:ilvl="8">
      <w:startOverride w:val="112"/>
    </w:lvlOverride>
  </w:num>
  <w:num w:numId="26" w16cid:durableId="2103602844">
    <w:abstractNumId w:val="12"/>
    <w:lvlOverride w:ilvl="0">
      <w:startOverride w:val="113"/>
    </w:lvlOverride>
    <w:lvlOverride w:ilvl="1">
      <w:startOverride w:val="113"/>
    </w:lvlOverride>
    <w:lvlOverride w:ilvl="2">
      <w:startOverride w:val="113"/>
    </w:lvlOverride>
    <w:lvlOverride w:ilvl="3">
      <w:startOverride w:val="113"/>
    </w:lvlOverride>
    <w:lvlOverride w:ilvl="4">
      <w:startOverride w:val="113"/>
    </w:lvlOverride>
    <w:lvlOverride w:ilvl="5">
      <w:startOverride w:val="113"/>
    </w:lvlOverride>
    <w:lvlOverride w:ilvl="6">
      <w:startOverride w:val="113"/>
    </w:lvlOverride>
    <w:lvlOverride w:ilvl="7">
      <w:startOverride w:val="113"/>
    </w:lvlOverride>
    <w:lvlOverride w:ilvl="8">
      <w:startOverride w:val="113"/>
    </w:lvlOverride>
  </w:num>
  <w:num w:numId="27" w16cid:durableId="692806487">
    <w:abstractNumId w:val="13"/>
    <w:lvlOverride w:ilvl="0">
      <w:startOverride w:val="114"/>
    </w:lvlOverride>
    <w:lvlOverride w:ilvl="1">
      <w:startOverride w:val="114"/>
    </w:lvlOverride>
    <w:lvlOverride w:ilvl="2">
      <w:startOverride w:val="114"/>
    </w:lvlOverride>
    <w:lvlOverride w:ilvl="3">
      <w:startOverride w:val="114"/>
    </w:lvlOverride>
    <w:lvlOverride w:ilvl="4">
      <w:startOverride w:val="114"/>
    </w:lvlOverride>
    <w:lvlOverride w:ilvl="5">
      <w:startOverride w:val="114"/>
    </w:lvlOverride>
    <w:lvlOverride w:ilvl="6">
      <w:startOverride w:val="114"/>
    </w:lvlOverride>
    <w:lvlOverride w:ilvl="7">
      <w:startOverride w:val="114"/>
    </w:lvlOverride>
    <w:lvlOverride w:ilvl="8">
      <w:startOverride w:val="114"/>
    </w:lvlOverride>
  </w:num>
  <w:num w:numId="28" w16cid:durableId="449518343">
    <w:abstractNumId w:val="14"/>
    <w:lvlOverride w:ilvl="0">
      <w:startOverride w:val="115"/>
    </w:lvlOverride>
    <w:lvlOverride w:ilvl="1">
      <w:startOverride w:val="115"/>
    </w:lvlOverride>
    <w:lvlOverride w:ilvl="2">
      <w:startOverride w:val="115"/>
    </w:lvlOverride>
    <w:lvlOverride w:ilvl="3">
      <w:startOverride w:val="115"/>
    </w:lvlOverride>
    <w:lvlOverride w:ilvl="4">
      <w:startOverride w:val="115"/>
    </w:lvlOverride>
    <w:lvlOverride w:ilvl="5">
      <w:startOverride w:val="115"/>
    </w:lvlOverride>
    <w:lvlOverride w:ilvl="6">
      <w:startOverride w:val="115"/>
    </w:lvlOverride>
    <w:lvlOverride w:ilvl="7">
      <w:startOverride w:val="115"/>
    </w:lvlOverride>
    <w:lvlOverride w:ilvl="8">
      <w:startOverride w:val="115"/>
    </w:lvlOverride>
  </w:num>
  <w:num w:numId="29" w16cid:durableId="1199512167">
    <w:abstractNumId w:val="15"/>
    <w:lvlOverride w:ilvl="0">
      <w:startOverride w:val="116"/>
    </w:lvlOverride>
    <w:lvlOverride w:ilvl="1">
      <w:startOverride w:val="116"/>
    </w:lvlOverride>
    <w:lvlOverride w:ilvl="2">
      <w:startOverride w:val="116"/>
    </w:lvlOverride>
    <w:lvlOverride w:ilvl="3">
      <w:startOverride w:val="116"/>
    </w:lvlOverride>
    <w:lvlOverride w:ilvl="4">
      <w:startOverride w:val="116"/>
    </w:lvlOverride>
    <w:lvlOverride w:ilvl="5">
      <w:startOverride w:val="116"/>
    </w:lvlOverride>
    <w:lvlOverride w:ilvl="6">
      <w:startOverride w:val="116"/>
    </w:lvlOverride>
    <w:lvlOverride w:ilvl="7">
      <w:startOverride w:val="116"/>
    </w:lvlOverride>
    <w:lvlOverride w:ilvl="8">
      <w:startOverride w:val="116"/>
    </w:lvlOverride>
  </w:num>
  <w:num w:numId="30" w16cid:durableId="583609186">
    <w:abstractNumId w:val="16"/>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31" w16cid:durableId="1091118704">
    <w:abstractNumId w:val="17"/>
    <w:lvlOverride w:ilvl="0">
      <w:startOverride w:val="118"/>
    </w:lvlOverride>
    <w:lvlOverride w:ilvl="1">
      <w:startOverride w:val="118"/>
    </w:lvlOverride>
    <w:lvlOverride w:ilvl="2">
      <w:startOverride w:val="118"/>
    </w:lvlOverride>
    <w:lvlOverride w:ilvl="3">
      <w:startOverride w:val="118"/>
    </w:lvlOverride>
    <w:lvlOverride w:ilvl="4">
      <w:startOverride w:val="118"/>
    </w:lvlOverride>
    <w:lvlOverride w:ilvl="5">
      <w:startOverride w:val="118"/>
    </w:lvlOverride>
    <w:lvlOverride w:ilvl="6">
      <w:startOverride w:val="118"/>
    </w:lvlOverride>
    <w:lvlOverride w:ilvl="7">
      <w:startOverride w:val="118"/>
    </w:lvlOverride>
    <w:lvlOverride w:ilvl="8">
      <w:startOverride w:val="118"/>
    </w:lvlOverride>
  </w:num>
  <w:num w:numId="32" w16cid:durableId="1216431316">
    <w:abstractNumId w:val="18"/>
    <w:lvlOverride w:ilvl="0">
      <w:startOverride w:val="119"/>
    </w:lvlOverride>
    <w:lvlOverride w:ilvl="1">
      <w:startOverride w:val="119"/>
    </w:lvlOverride>
    <w:lvlOverride w:ilvl="2">
      <w:startOverride w:val="119"/>
    </w:lvlOverride>
    <w:lvlOverride w:ilvl="3">
      <w:startOverride w:val="119"/>
    </w:lvlOverride>
    <w:lvlOverride w:ilvl="4">
      <w:startOverride w:val="119"/>
    </w:lvlOverride>
    <w:lvlOverride w:ilvl="5">
      <w:startOverride w:val="119"/>
    </w:lvlOverride>
    <w:lvlOverride w:ilvl="6">
      <w:startOverride w:val="119"/>
    </w:lvlOverride>
    <w:lvlOverride w:ilvl="7">
      <w:startOverride w:val="119"/>
    </w:lvlOverride>
    <w:lvlOverride w:ilvl="8">
      <w:startOverride w:val="119"/>
    </w:lvlOverride>
  </w:num>
  <w:num w:numId="33" w16cid:durableId="1565794471">
    <w:abstractNumId w:val="19"/>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34" w16cid:durableId="128667900">
    <w:abstractNumId w:val="20"/>
    <w:lvlOverride w:ilvl="0">
      <w:startOverride w:val="121"/>
    </w:lvlOverride>
    <w:lvlOverride w:ilvl="1">
      <w:startOverride w:val="121"/>
    </w:lvlOverride>
    <w:lvlOverride w:ilvl="2">
      <w:startOverride w:val="121"/>
    </w:lvlOverride>
    <w:lvlOverride w:ilvl="3">
      <w:startOverride w:val="121"/>
    </w:lvlOverride>
    <w:lvlOverride w:ilvl="4">
      <w:startOverride w:val="121"/>
    </w:lvlOverride>
    <w:lvlOverride w:ilvl="5">
      <w:startOverride w:val="121"/>
    </w:lvlOverride>
    <w:lvlOverride w:ilvl="6">
      <w:startOverride w:val="121"/>
    </w:lvlOverride>
    <w:lvlOverride w:ilvl="7">
      <w:startOverride w:val="121"/>
    </w:lvlOverride>
    <w:lvlOverride w:ilvl="8">
      <w:startOverride w:val="121"/>
    </w:lvlOverride>
  </w:num>
  <w:num w:numId="35" w16cid:durableId="941112822">
    <w:abstractNumId w:val="21"/>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36" w16cid:durableId="609431673">
    <w:abstractNumId w:val="22"/>
    <w:lvlOverride w:ilvl="0">
      <w:startOverride w:val="123"/>
    </w:lvlOverride>
    <w:lvlOverride w:ilvl="1">
      <w:startOverride w:val="123"/>
    </w:lvlOverride>
    <w:lvlOverride w:ilvl="2">
      <w:startOverride w:val="123"/>
    </w:lvlOverride>
    <w:lvlOverride w:ilvl="3">
      <w:startOverride w:val="123"/>
    </w:lvlOverride>
    <w:lvlOverride w:ilvl="4">
      <w:startOverride w:val="123"/>
    </w:lvlOverride>
    <w:lvlOverride w:ilvl="5">
      <w:startOverride w:val="123"/>
    </w:lvlOverride>
    <w:lvlOverride w:ilvl="6">
      <w:startOverride w:val="123"/>
    </w:lvlOverride>
    <w:lvlOverride w:ilvl="7">
      <w:startOverride w:val="123"/>
    </w:lvlOverride>
    <w:lvlOverride w:ilvl="8">
      <w:startOverride w:val="123"/>
    </w:lvlOverride>
  </w:num>
  <w:num w:numId="37" w16cid:durableId="996616870">
    <w:abstractNumId w:val="23"/>
    <w:lvlOverride w:ilvl="0">
      <w:startOverride w:val="124"/>
    </w:lvlOverride>
    <w:lvlOverride w:ilvl="1">
      <w:startOverride w:val="124"/>
    </w:lvlOverride>
    <w:lvlOverride w:ilvl="2">
      <w:startOverride w:val="124"/>
    </w:lvlOverride>
    <w:lvlOverride w:ilvl="3">
      <w:startOverride w:val="124"/>
    </w:lvlOverride>
    <w:lvlOverride w:ilvl="4">
      <w:startOverride w:val="124"/>
    </w:lvlOverride>
    <w:lvlOverride w:ilvl="5">
      <w:startOverride w:val="124"/>
    </w:lvlOverride>
    <w:lvlOverride w:ilvl="6">
      <w:startOverride w:val="124"/>
    </w:lvlOverride>
    <w:lvlOverride w:ilvl="7">
      <w:startOverride w:val="124"/>
    </w:lvlOverride>
    <w:lvlOverride w:ilvl="8">
      <w:startOverride w:val="124"/>
    </w:lvlOverride>
  </w:num>
  <w:num w:numId="38" w16cid:durableId="1705789102">
    <w:abstractNumId w:val="24"/>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39" w16cid:durableId="292836774">
    <w:abstractNumId w:val="25"/>
    <w:lvlOverride w:ilvl="0">
      <w:startOverride w:val="126"/>
    </w:lvlOverride>
    <w:lvlOverride w:ilvl="1">
      <w:startOverride w:val="126"/>
    </w:lvlOverride>
    <w:lvlOverride w:ilvl="2">
      <w:startOverride w:val="126"/>
    </w:lvlOverride>
    <w:lvlOverride w:ilvl="3">
      <w:startOverride w:val="126"/>
    </w:lvlOverride>
    <w:lvlOverride w:ilvl="4">
      <w:startOverride w:val="126"/>
    </w:lvlOverride>
    <w:lvlOverride w:ilvl="5">
      <w:startOverride w:val="126"/>
    </w:lvlOverride>
    <w:lvlOverride w:ilvl="6">
      <w:startOverride w:val="126"/>
    </w:lvlOverride>
    <w:lvlOverride w:ilvl="7">
      <w:startOverride w:val="126"/>
    </w:lvlOverride>
    <w:lvlOverride w:ilvl="8">
      <w:startOverride w:val="126"/>
    </w:lvlOverride>
  </w:num>
  <w:num w:numId="40" w16cid:durableId="79185860">
    <w:abstractNumId w:val="26"/>
    <w:lvlOverride w:ilvl="0">
      <w:startOverride w:val="127"/>
    </w:lvlOverride>
    <w:lvlOverride w:ilvl="1">
      <w:startOverride w:val="127"/>
    </w:lvlOverride>
    <w:lvlOverride w:ilvl="2">
      <w:startOverride w:val="127"/>
    </w:lvlOverride>
    <w:lvlOverride w:ilvl="3">
      <w:startOverride w:val="127"/>
    </w:lvlOverride>
    <w:lvlOverride w:ilvl="4">
      <w:startOverride w:val="127"/>
    </w:lvlOverride>
    <w:lvlOverride w:ilvl="5">
      <w:startOverride w:val="127"/>
    </w:lvlOverride>
    <w:lvlOverride w:ilvl="6">
      <w:startOverride w:val="127"/>
    </w:lvlOverride>
    <w:lvlOverride w:ilvl="7">
      <w:startOverride w:val="127"/>
    </w:lvlOverride>
    <w:lvlOverride w:ilvl="8">
      <w:startOverride w:val="127"/>
    </w:lvlOverride>
  </w:num>
  <w:num w:numId="41" w16cid:durableId="854684198">
    <w:abstractNumId w:val="27"/>
    <w:lvlOverride w:ilvl="0">
      <w:startOverride w:val="128"/>
    </w:lvlOverride>
    <w:lvlOverride w:ilvl="1">
      <w:startOverride w:val="128"/>
    </w:lvlOverride>
    <w:lvlOverride w:ilvl="2">
      <w:startOverride w:val="128"/>
    </w:lvlOverride>
    <w:lvlOverride w:ilvl="3">
      <w:startOverride w:val="128"/>
    </w:lvlOverride>
    <w:lvlOverride w:ilvl="4">
      <w:startOverride w:val="128"/>
    </w:lvlOverride>
    <w:lvlOverride w:ilvl="5">
      <w:startOverride w:val="128"/>
    </w:lvlOverride>
    <w:lvlOverride w:ilvl="6">
      <w:startOverride w:val="128"/>
    </w:lvlOverride>
    <w:lvlOverride w:ilvl="7">
      <w:startOverride w:val="128"/>
    </w:lvlOverride>
    <w:lvlOverride w:ilvl="8">
      <w:startOverride w:val="128"/>
    </w:lvlOverride>
  </w:num>
  <w:num w:numId="42" w16cid:durableId="68307176">
    <w:abstractNumId w:val="28"/>
    <w:lvlOverride w:ilvl="0">
      <w:startOverride w:val="129"/>
    </w:lvlOverride>
    <w:lvlOverride w:ilvl="1">
      <w:startOverride w:val="129"/>
    </w:lvlOverride>
    <w:lvlOverride w:ilvl="2">
      <w:startOverride w:val="129"/>
    </w:lvlOverride>
    <w:lvlOverride w:ilvl="3">
      <w:startOverride w:val="129"/>
    </w:lvlOverride>
    <w:lvlOverride w:ilvl="4">
      <w:startOverride w:val="129"/>
    </w:lvlOverride>
    <w:lvlOverride w:ilvl="5">
      <w:startOverride w:val="129"/>
    </w:lvlOverride>
    <w:lvlOverride w:ilvl="6">
      <w:startOverride w:val="129"/>
    </w:lvlOverride>
    <w:lvlOverride w:ilvl="7">
      <w:startOverride w:val="129"/>
    </w:lvlOverride>
    <w:lvlOverride w:ilvl="8">
      <w:startOverride w:val="12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E4CC2"/>
    <w:rsid w:val="004E4CC2"/>
    <w:rsid w:val="00CA132B"/>
    <w:rsid w:val="00E758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B5C17"/>
  <w15:docId w15:val="{EBC8A7D7-EDA8-452D-BA7F-6B5A54CD5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uiPriority w:val="99"/>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color w:val="D73A49"/>
      <w:sz w:val="22"/>
    </w:rPr>
  </w:style>
  <w:style w:type="character" w:customStyle="1" w:styleId="DataTypeTok">
    <w:name w:val="DataTypeTok"/>
    <w:basedOn w:val="VerbatimChar"/>
    <w:rPr>
      <w:rFonts w:ascii="Consolas" w:hAnsi="Consolas"/>
      <w:color w:val="D73A49"/>
      <w:sz w:val="22"/>
    </w:rPr>
  </w:style>
  <w:style w:type="character" w:customStyle="1" w:styleId="DecValTok">
    <w:name w:val="DecValTok"/>
    <w:basedOn w:val="VerbatimChar"/>
    <w:rPr>
      <w:rFonts w:ascii="Consolas" w:hAnsi="Consolas"/>
      <w:color w:val="005CC5"/>
      <w:sz w:val="22"/>
    </w:rPr>
  </w:style>
  <w:style w:type="character" w:customStyle="1" w:styleId="BaseNTok">
    <w:name w:val="BaseNTok"/>
    <w:basedOn w:val="VerbatimChar"/>
    <w:rPr>
      <w:rFonts w:ascii="Consolas" w:hAnsi="Consolas"/>
      <w:color w:val="005CC5"/>
      <w:sz w:val="22"/>
    </w:rPr>
  </w:style>
  <w:style w:type="character" w:customStyle="1" w:styleId="FloatTok">
    <w:name w:val="FloatTok"/>
    <w:basedOn w:val="VerbatimChar"/>
    <w:rPr>
      <w:rFonts w:ascii="Consolas" w:hAnsi="Consolas"/>
      <w:color w:val="005CC5"/>
      <w:sz w:val="22"/>
    </w:rPr>
  </w:style>
  <w:style w:type="character" w:customStyle="1" w:styleId="ConstantTok">
    <w:name w:val="ConstantTok"/>
    <w:basedOn w:val="VerbatimChar"/>
    <w:rPr>
      <w:rFonts w:ascii="Consolas" w:hAnsi="Consolas"/>
      <w:color w:val="005CC5"/>
      <w:sz w:val="22"/>
    </w:rPr>
  </w:style>
  <w:style w:type="character" w:customStyle="1" w:styleId="CharTok">
    <w:name w:val="CharTok"/>
    <w:basedOn w:val="VerbatimChar"/>
    <w:rPr>
      <w:rFonts w:ascii="Consolas" w:hAnsi="Consolas"/>
      <w:color w:val="032F62"/>
      <w:sz w:val="22"/>
    </w:rPr>
  </w:style>
  <w:style w:type="character" w:customStyle="1" w:styleId="SpecialCharTok">
    <w:name w:val="SpecialCharTok"/>
    <w:basedOn w:val="VerbatimChar"/>
    <w:rPr>
      <w:rFonts w:ascii="Consolas" w:hAnsi="Consolas"/>
      <w:color w:val="005CC5"/>
      <w:sz w:val="22"/>
    </w:rPr>
  </w:style>
  <w:style w:type="character" w:customStyle="1" w:styleId="StringTok">
    <w:name w:val="StringTok"/>
    <w:basedOn w:val="VerbatimChar"/>
    <w:rPr>
      <w:rFonts w:ascii="Consolas" w:hAnsi="Consolas"/>
      <w:color w:val="032F62"/>
      <w:sz w:val="22"/>
    </w:rPr>
  </w:style>
  <w:style w:type="character" w:customStyle="1" w:styleId="VerbatimStringTok">
    <w:name w:val="VerbatimStringTok"/>
    <w:basedOn w:val="VerbatimChar"/>
    <w:rPr>
      <w:rFonts w:ascii="Consolas" w:hAnsi="Consolas"/>
      <w:color w:val="032F62"/>
      <w:sz w:val="22"/>
    </w:rPr>
  </w:style>
  <w:style w:type="character" w:customStyle="1" w:styleId="SpecialStringTok">
    <w:name w:val="SpecialStringTok"/>
    <w:basedOn w:val="VerbatimChar"/>
    <w:rPr>
      <w:rFonts w:ascii="Consolas" w:hAnsi="Consolas"/>
      <w:color w:val="032F62"/>
      <w:sz w:val="22"/>
    </w:rPr>
  </w:style>
  <w:style w:type="character" w:customStyle="1" w:styleId="ImportTok">
    <w:name w:val="ImportTok"/>
    <w:basedOn w:val="VerbatimChar"/>
    <w:rPr>
      <w:rFonts w:ascii="Consolas" w:hAnsi="Consolas"/>
      <w:color w:val="032F62"/>
      <w:sz w:val="22"/>
    </w:rPr>
  </w:style>
  <w:style w:type="character" w:customStyle="1" w:styleId="CommentTok">
    <w:name w:val="CommentTok"/>
    <w:basedOn w:val="VerbatimChar"/>
    <w:rPr>
      <w:rFonts w:ascii="Consolas" w:hAnsi="Consolas"/>
      <w:color w:val="6A737D"/>
      <w:sz w:val="22"/>
    </w:rPr>
  </w:style>
  <w:style w:type="character" w:customStyle="1" w:styleId="DocumentationTok">
    <w:name w:val="DocumentationTok"/>
    <w:basedOn w:val="VerbatimChar"/>
    <w:rPr>
      <w:rFonts w:ascii="Consolas" w:hAnsi="Consolas"/>
      <w:color w:val="6A737D"/>
      <w:sz w:val="22"/>
    </w:rPr>
  </w:style>
  <w:style w:type="character" w:customStyle="1" w:styleId="AnnotationTok">
    <w:name w:val="AnnotationTok"/>
    <w:basedOn w:val="VerbatimChar"/>
    <w:rPr>
      <w:rFonts w:ascii="Consolas" w:hAnsi="Consolas"/>
      <w:color w:val="6A737D"/>
      <w:sz w:val="22"/>
    </w:rPr>
  </w:style>
  <w:style w:type="character" w:customStyle="1" w:styleId="CommentVarTok">
    <w:name w:val="CommentVarTok"/>
    <w:basedOn w:val="VerbatimChar"/>
    <w:rPr>
      <w:rFonts w:ascii="Consolas" w:hAnsi="Consolas"/>
      <w:color w:val="6A737D"/>
      <w:sz w:val="22"/>
    </w:rPr>
  </w:style>
  <w:style w:type="character" w:customStyle="1" w:styleId="OtherTok">
    <w:name w:val="OtherTok"/>
    <w:basedOn w:val="VerbatimChar"/>
    <w:rPr>
      <w:rFonts w:ascii="Consolas" w:hAnsi="Consolas"/>
      <w:color w:val="6F42C1"/>
      <w:sz w:val="22"/>
    </w:rPr>
  </w:style>
  <w:style w:type="character" w:customStyle="1" w:styleId="FunctionTok">
    <w:name w:val="FunctionTok"/>
    <w:basedOn w:val="VerbatimChar"/>
    <w:rPr>
      <w:rFonts w:ascii="Consolas" w:hAnsi="Consolas"/>
      <w:color w:val="6F42C1"/>
      <w:sz w:val="22"/>
    </w:rPr>
  </w:style>
  <w:style w:type="character" w:customStyle="1" w:styleId="VariableTok">
    <w:name w:val="VariableTok"/>
    <w:basedOn w:val="VerbatimChar"/>
    <w:rPr>
      <w:rFonts w:ascii="Consolas" w:hAnsi="Consolas"/>
      <w:color w:val="E36209"/>
      <w:sz w:val="22"/>
    </w:rPr>
  </w:style>
  <w:style w:type="character" w:customStyle="1" w:styleId="ControlFlowTok">
    <w:name w:val="ControlFlowTok"/>
    <w:basedOn w:val="VerbatimChar"/>
    <w:rPr>
      <w:rFonts w:ascii="Consolas" w:hAnsi="Consolas"/>
      <w:color w:val="D73A49"/>
      <w:sz w:val="22"/>
    </w:rPr>
  </w:style>
  <w:style w:type="character" w:customStyle="1" w:styleId="OperatorTok">
    <w:name w:val="OperatorTok"/>
    <w:basedOn w:val="VerbatimChar"/>
    <w:rPr>
      <w:rFonts w:ascii="Consolas" w:hAnsi="Consolas"/>
      <w:color w:val="24292E"/>
      <w:sz w:val="22"/>
    </w:rPr>
  </w:style>
  <w:style w:type="character" w:customStyle="1" w:styleId="BuiltInTok">
    <w:name w:val="BuiltInTok"/>
    <w:basedOn w:val="VerbatimChar"/>
    <w:rPr>
      <w:rFonts w:ascii="Consolas" w:hAnsi="Consolas"/>
      <w:color w:val="D73A49"/>
      <w:sz w:val="22"/>
    </w:rPr>
  </w:style>
  <w:style w:type="character" w:customStyle="1" w:styleId="ExtensionTok">
    <w:name w:val="ExtensionTok"/>
    <w:basedOn w:val="VerbatimChar"/>
    <w:rPr>
      <w:rFonts w:ascii="Consolas" w:hAnsi="Consolas"/>
      <w:b/>
      <w:color w:val="D73A49"/>
      <w:sz w:val="22"/>
    </w:rPr>
  </w:style>
  <w:style w:type="character" w:customStyle="1" w:styleId="PreprocessorTok">
    <w:name w:val="PreprocessorTok"/>
    <w:basedOn w:val="VerbatimChar"/>
    <w:rPr>
      <w:rFonts w:ascii="Consolas" w:hAnsi="Consolas"/>
      <w:color w:val="D73A49"/>
      <w:sz w:val="22"/>
    </w:rPr>
  </w:style>
  <w:style w:type="character" w:customStyle="1" w:styleId="AttributeTok">
    <w:name w:val="AttributeTok"/>
    <w:basedOn w:val="VerbatimChar"/>
    <w:rPr>
      <w:rFonts w:ascii="Consolas" w:hAnsi="Consolas"/>
      <w:color w:val="D73A49"/>
      <w:sz w:val="22"/>
    </w:rPr>
  </w:style>
  <w:style w:type="character" w:customStyle="1" w:styleId="RegionMarkerTok">
    <w:name w:val="RegionMarkerTok"/>
    <w:basedOn w:val="VerbatimChar"/>
    <w:rPr>
      <w:rFonts w:ascii="Consolas" w:hAnsi="Consolas"/>
      <w:color w:val="6A737D"/>
      <w:sz w:val="22"/>
    </w:rPr>
  </w:style>
  <w:style w:type="character" w:customStyle="1" w:styleId="InformationTok">
    <w:name w:val="InformationTok"/>
    <w:basedOn w:val="VerbatimChar"/>
    <w:rPr>
      <w:rFonts w:ascii="Consolas" w:hAnsi="Consolas"/>
      <w:color w:val="6A737D"/>
      <w:sz w:val="22"/>
    </w:rPr>
  </w:style>
  <w:style w:type="character" w:customStyle="1" w:styleId="WarningTok">
    <w:name w:val="WarningTok"/>
    <w:basedOn w:val="VerbatimChar"/>
    <w:rPr>
      <w:rFonts w:ascii="Consolas" w:hAnsi="Consolas"/>
      <w:color w:val="FF5555"/>
      <w:sz w:val="22"/>
    </w:rPr>
  </w:style>
  <w:style w:type="character" w:customStyle="1" w:styleId="AlertTok">
    <w:name w:val="AlertTok"/>
    <w:basedOn w:val="VerbatimChar"/>
    <w:rPr>
      <w:rFonts w:ascii="Consolas" w:hAnsi="Consolas"/>
      <w:b/>
      <w:color w:val="FF5555"/>
      <w:sz w:val="22"/>
    </w:rPr>
  </w:style>
  <w:style w:type="character" w:customStyle="1" w:styleId="ErrorTok">
    <w:name w:val="ErrorTok"/>
    <w:basedOn w:val="VerbatimChar"/>
    <w:rPr>
      <w:rFonts w:ascii="Consolas" w:hAnsi="Consolas"/>
      <w:color w:val="FF5555"/>
      <w:sz w:val="22"/>
    </w:rPr>
  </w:style>
  <w:style w:type="character" w:customStyle="1" w:styleId="NormalTok">
    <w:name w:val="NormalTok"/>
    <w:basedOn w:val="VerbatimChar"/>
    <w:rPr>
      <w:rFonts w:ascii="Consolas" w:hAnsi="Consolas"/>
      <w:color w:val="24292E"/>
      <w:sz w:val="22"/>
    </w:rPr>
  </w:style>
  <w:style w:type="paragraph" w:styleId="Verzeichnis1">
    <w:name w:val="toc 1"/>
    <w:basedOn w:val="Standard"/>
    <w:next w:val="Standard"/>
    <w:autoRedefine/>
    <w:uiPriority w:val="39"/>
    <w:rsid w:val="00CA132B"/>
    <w:pPr>
      <w:spacing w:after="100"/>
    </w:pPr>
  </w:style>
  <w:style w:type="paragraph" w:styleId="Verzeichnis2">
    <w:name w:val="toc 2"/>
    <w:basedOn w:val="Standard"/>
    <w:next w:val="Standard"/>
    <w:autoRedefine/>
    <w:uiPriority w:val="39"/>
    <w:rsid w:val="00CA132B"/>
    <w:pPr>
      <w:spacing w:after="100"/>
      <w:ind w:left="240"/>
    </w:pPr>
  </w:style>
  <w:style w:type="paragraph" w:styleId="Verzeichnis3">
    <w:name w:val="toc 3"/>
    <w:basedOn w:val="Standard"/>
    <w:next w:val="Standard"/>
    <w:autoRedefine/>
    <w:uiPriority w:val="39"/>
    <w:rsid w:val="00CA132B"/>
    <w:pPr>
      <w:spacing w:after="100"/>
      <w:ind w:left="480"/>
    </w:pPr>
  </w:style>
  <w:style w:type="paragraph" w:styleId="Verzeichnis4">
    <w:name w:val="toc 4"/>
    <w:basedOn w:val="Standard"/>
    <w:next w:val="Standard"/>
    <w:autoRedefine/>
    <w:uiPriority w:val="39"/>
    <w:unhideWhenUsed/>
    <w:rsid w:val="00CA132B"/>
    <w:pPr>
      <w:spacing w:after="100" w:line="278" w:lineRule="auto"/>
      <w:ind w:left="720"/>
    </w:pPr>
    <w:rPr>
      <w:kern w:val="2"/>
      <w:lang w:val="de-DE" w:eastAsia="de-DE"/>
    </w:rPr>
  </w:style>
  <w:style w:type="paragraph" w:styleId="Verzeichnis5">
    <w:name w:val="toc 5"/>
    <w:basedOn w:val="Standard"/>
    <w:next w:val="Standard"/>
    <w:autoRedefine/>
    <w:uiPriority w:val="39"/>
    <w:unhideWhenUsed/>
    <w:rsid w:val="00CA132B"/>
    <w:pPr>
      <w:spacing w:after="100" w:line="278" w:lineRule="auto"/>
      <w:ind w:left="960"/>
    </w:pPr>
    <w:rPr>
      <w:kern w:val="2"/>
      <w:lang w:val="de-DE" w:eastAsia="de-DE"/>
    </w:rPr>
  </w:style>
  <w:style w:type="paragraph" w:styleId="Verzeichnis6">
    <w:name w:val="toc 6"/>
    <w:basedOn w:val="Standard"/>
    <w:next w:val="Standard"/>
    <w:autoRedefine/>
    <w:uiPriority w:val="39"/>
    <w:unhideWhenUsed/>
    <w:rsid w:val="00CA132B"/>
    <w:pPr>
      <w:spacing w:after="100" w:line="278" w:lineRule="auto"/>
      <w:ind w:left="1200"/>
    </w:pPr>
    <w:rPr>
      <w:kern w:val="2"/>
      <w:lang w:val="de-DE" w:eastAsia="de-DE"/>
    </w:rPr>
  </w:style>
  <w:style w:type="paragraph" w:styleId="Verzeichnis7">
    <w:name w:val="toc 7"/>
    <w:basedOn w:val="Standard"/>
    <w:next w:val="Standard"/>
    <w:autoRedefine/>
    <w:uiPriority w:val="39"/>
    <w:unhideWhenUsed/>
    <w:rsid w:val="00CA132B"/>
    <w:pPr>
      <w:spacing w:after="100" w:line="278" w:lineRule="auto"/>
      <w:ind w:left="1440"/>
    </w:pPr>
    <w:rPr>
      <w:kern w:val="2"/>
      <w:lang w:val="de-DE" w:eastAsia="de-DE"/>
    </w:rPr>
  </w:style>
  <w:style w:type="paragraph" w:styleId="Verzeichnis8">
    <w:name w:val="toc 8"/>
    <w:basedOn w:val="Standard"/>
    <w:next w:val="Standard"/>
    <w:autoRedefine/>
    <w:uiPriority w:val="39"/>
    <w:unhideWhenUsed/>
    <w:rsid w:val="00CA132B"/>
    <w:pPr>
      <w:spacing w:after="100" w:line="278" w:lineRule="auto"/>
      <w:ind w:left="1680"/>
    </w:pPr>
    <w:rPr>
      <w:kern w:val="2"/>
      <w:lang w:val="de-DE" w:eastAsia="de-DE"/>
    </w:rPr>
  </w:style>
  <w:style w:type="paragraph" w:styleId="Verzeichnis9">
    <w:name w:val="toc 9"/>
    <w:basedOn w:val="Standard"/>
    <w:next w:val="Standard"/>
    <w:autoRedefine/>
    <w:uiPriority w:val="39"/>
    <w:unhideWhenUsed/>
    <w:rsid w:val="00CA132B"/>
    <w:pPr>
      <w:spacing w:after="100" w:line="278" w:lineRule="auto"/>
      <w:ind w:left="1920"/>
    </w:pPr>
    <w:rPr>
      <w:kern w:val="2"/>
      <w:lang w:val="de-DE" w:eastAsia="de-DE"/>
    </w:rPr>
  </w:style>
  <w:style w:type="character" w:styleId="NichtaufgelsteErwhnung">
    <w:name w:val="Unresolved Mention"/>
    <w:basedOn w:val="Absatz-Standardschriftart"/>
    <w:uiPriority w:val="99"/>
    <w:semiHidden/>
    <w:unhideWhenUsed/>
    <w:rsid w:val="00CA13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Abbildungen/logo.svg" TargetMode="External"/><Relationship Id="rId47" Type="http://schemas.openxmlformats.org/officeDocument/2006/relationships/hyperlink" Target="07-renovierungsfahrplan.qmd" TargetMode="External"/><Relationship Id="rId63" Type="http://schemas.openxmlformats.org/officeDocument/2006/relationships/hyperlink" Target="https://www.umweltbundesamt.at/fileadmin/site/publikationen/rep0882_bfz.pdf" TargetMode="External"/><Relationship Id="rId68" Type="http://schemas.openxmlformats.org/officeDocument/2006/relationships/image" Target="media/image42.png"/><Relationship Id="rId16" Type="http://schemas.openxmlformats.org/officeDocument/2006/relationships/image" Target="media/image9.png"/><Relationship Id="rId11" Type="http://schemas.openxmlformats.org/officeDocument/2006/relationships/image" Target="media/image5.svg"/><Relationship Id="rId32" Type="http://schemas.openxmlformats.org/officeDocument/2006/relationships/image" Target="media/image25.svg"/><Relationship Id="rId37" Type="http://schemas.openxmlformats.org/officeDocument/2006/relationships/hyperlink" Target="07-renovierungsfahrplan.qmd" TargetMode="External"/><Relationship Id="rId53" Type="http://schemas.openxmlformats.org/officeDocument/2006/relationships/image" Target="media/image39.svg"/><Relationship Id="rId58" Type="http://schemas.openxmlformats.org/officeDocument/2006/relationships/hyperlink" Target="https://doi.org/10.1109/EEEIC/ICPSEurope64998.2025.11169136" TargetMode="External"/><Relationship Id="rId74" Type="http://schemas.openxmlformats.org/officeDocument/2006/relationships/image" Target="media/image48.png"/><Relationship Id="rId79" Type="http://schemas.openxmlformats.org/officeDocument/2006/relationships/image" Target="media/image53.png"/><Relationship Id="rId5" Type="http://schemas.openxmlformats.org/officeDocument/2006/relationships/image" Target="media/image1.png"/><Relationship Id="rId61" Type="http://schemas.openxmlformats.org/officeDocument/2006/relationships/hyperlink" Target="https://nachhaltigwirtschaften.at/resources/sdz_pdf/schriftenreihe-2020-11-zukunftsquartier.pdf" TargetMode="External"/><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svg"/><Relationship Id="rId35" Type="http://schemas.openxmlformats.org/officeDocument/2006/relationships/image" Target="media/image28.svg"/><Relationship Id="rId43" Type="http://schemas.openxmlformats.org/officeDocument/2006/relationships/hyperlink" Target="https://simonschaluppe.github.io/peexcel/" TargetMode="External"/><Relationship Id="rId48" Type="http://schemas.openxmlformats.org/officeDocument/2006/relationships/image" Target="media/image34.png"/><Relationship Id="rId56" Type="http://schemas.openxmlformats.org/officeDocument/2006/relationships/hyperlink" Target="https://nachhaltigwirtschaften.at/resources/sdz_pdf/schriftenreihe-2020-26-smart-city-mikroquartiere.pdf" TargetMode="External"/><Relationship Id="rId64" Type="http://schemas.openxmlformats.org/officeDocument/2006/relationships/hyperlink" Target="https://www.umweltbundesamt.at/fileadmin/site/publikationen/rep0880.pdf" TargetMode="External"/><Relationship Id="rId69" Type="http://schemas.openxmlformats.org/officeDocument/2006/relationships/image" Target="media/image43.png"/><Relationship Id="rId77" Type="http://schemas.openxmlformats.org/officeDocument/2006/relationships/image" Target="media/image51.png"/><Relationship Id="rId8" Type="http://schemas.openxmlformats.org/officeDocument/2006/relationships/image" Target="media/image2.png"/><Relationship Id="rId51" Type="http://schemas.openxmlformats.org/officeDocument/2006/relationships/image" Target="media/image37.svg"/><Relationship Id="rId72" Type="http://schemas.openxmlformats.org/officeDocument/2006/relationships/image" Target="media/image46.png"/><Relationship Id="rId80" Type="http://schemas.openxmlformats.org/officeDocument/2006/relationships/image" Target="media/image54.png"/><Relationship Id="rId3" Type="http://schemas.openxmlformats.org/officeDocument/2006/relationships/settings" Target="settings.xml"/><Relationship Id="rId12" Type="http://schemas.openxmlformats.org/officeDocument/2006/relationships/hyperlink" Target="https://simonschaluppe.github.io/peexcel/" TargetMode="External"/><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6.png"/><Relationship Id="rId38" Type="http://schemas.openxmlformats.org/officeDocument/2006/relationships/image" Target="media/image30.png"/><Relationship Id="rId46" Type="http://schemas.openxmlformats.org/officeDocument/2006/relationships/hyperlink" Target="07-praxisbeispiele.qmd" TargetMode="External"/><Relationship Id="rId59" Type="http://schemas.openxmlformats.org/officeDocument/2006/relationships/hyperlink" Target="https://doi.org/10.3390/designs9060123" TargetMode="External"/><Relationship Id="rId67" Type="http://schemas.openxmlformats.org/officeDocument/2006/relationships/image" Target="media/image41.svg"/><Relationship Id="rId20" Type="http://schemas.openxmlformats.org/officeDocument/2006/relationships/image" Target="media/image13.png"/><Relationship Id="rId41" Type="http://schemas.openxmlformats.org/officeDocument/2006/relationships/image" Target="media/image33.svg"/><Relationship Id="rId54" Type="http://schemas.openxmlformats.org/officeDocument/2006/relationships/hyperlink" Target="https://www.bpie.eu/publication/how-to-establish-whole-life-carbon-benchmarks-insights-and-lessons-learned-from-emerging-approaches-in-ireland-czechia-and-spain/" TargetMode="External"/><Relationship Id="rId62" Type="http://schemas.openxmlformats.org/officeDocument/2006/relationships/hyperlink" Target="https://www.umweltbundesamt.at/fileadmin/site/publikationen/rep0882.pdf" TargetMode="External"/><Relationship Id="rId70" Type="http://schemas.openxmlformats.org/officeDocument/2006/relationships/image" Target="media/image44.png"/><Relationship Id="rId75" Type="http://schemas.openxmlformats.org/officeDocument/2006/relationships/image" Target="media/image49.png"/><Relationship Id="rId1" Type="http://schemas.openxmlformats.org/officeDocument/2006/relationships/numbering" Target="numbering.xml"/><Relationship Id="rId6" Type="http://schemas.openxmlformats.org/officeDocument/2006/relationships/hyperlink" Target="https://simonschaluppe.github.io/peexcel/" TargetMode="External"/><Relationship Id="rId15" Type="http://schemas.openxmlformats.org/officeDocument/2006/relationships/image" Target="media/image8.png"/><Relationship Id="rId23" Type="http://schemas.openxmlformats.org/officeDocument/2006/relationships/image" Target="media/image16.svg"/><Relationship Id="rId28" Type="http://schemas.openxmlformats.org/officeDocument/2006/relationships/image" Target="media/image21.svg"/><Relationship Id="rId36" Type="http://schemas.openxmlformats.org/officeDocument/2006/relationships/image" Target="media/image29.png"/><Relationship Id="rId49" Type="http://schemas.openxmlformats.org/officeDocument/2006/relationships/image" Target="media/image35.svg"/><Relationship Id="rId57" Type="http://schemas.openxmlformats.org/officeDocument/2006/relationships/hyperlink" Target="https://doi.org/10.2779/849252" TargetMode="External"/><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hyperlink" Target="https://simonschaluppe.github.io/peexcel/" TargetMode="External"/><Relationship Id="rId52" Type="http://schemas.openxmlformats.org/officeDocument/2006/relationships/image" Target="media/image38.png"/><Relationship Id="rId60" Type="http://schemas.openxmlformats.org/officeDocument/2006/relationships/hyperlink" Target="https://doi.org/10.3390/buildings13051210" TargetMode="External"/><Relationship Id="rId65" Type="http://schemas.openxmlformats.org/officeDocument/2006/relationships/hyperlink" Target="https://www.umweltbundesamt.at/fileadmin/site/publikationen/rep0995.pdf" TargetMode="External"/><Relationship Id="rId73" Type="http://schemas.openxmlformats.org/officeDocument/2006/relationships/image" Target="media/image47.png"/><Relationship Id="rId78" Type="http://schemas.openxmlformats.org/officeDocument/2006/relationships/image" Target="media/image5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sv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svg"/><Relationship Id="rId34" Type="http://schemas.openxmlformats.org/officeDocument/2006/relationships/image" Target="media/image27.png"/><Relationship Id="rId50" Type="http://schemas.openxmlformats.org/officeDocument/2006/relationships/image" Target="media/image36.png"/><Relationship Id="rId55" Type="http://schemas.openxmlformats.org/officeDocument/2006/relationships/hyperlink" Target="https://www.cencenelec.eu/news-events/news/2026/en-in-the-spotlight/2026-04-17-en-15978-2026/" TargetMode="External"/><Relationship Id="rId76" Type="http://schemas.openxmlformats.org/officeDocument/2006/relationships/image" Target="media/image50.png"/><Relationship Id="rId7" Type="http://schemas.openxmlformats.org/officeDocument/2006/relationships/hyperlink" Target="about.qmd" TargetMode="External"/><Relationship Id="rId71"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hyperlink" Target="07-ergebnisse.qmd" TargetMode="External"/><Relationship Id="rId66"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54291</Words>
  <Characters>342037</Characters>
  <Application>Microsoft Office Word</Application>
  <DocSecurity>0</DocSecurity>
  <Lines>2850</Lines>
  <Paragraphs>791</Paragraphs>
  <ScaleCrop>false</ScaleCrop>
  <Company/>
  <LinksUpToDate>false</LinksUpToDate>
  <CharactersWithSpaces>395537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Klimaneutrale Plus-Energie-Quartiere</dc:title>
  <dc:creator/>
  <cp:keywords/>
  <cp:lastModifiedBy>Simon Schneider</cp:lastModifiedBy>
  <cp:revision>3</cp:revision>
  <dcterms:created xsi:type="dcterms:W3CDTF">2026-10-23T18:52:00Z</dcterms:created>
  <dcterms:modified xsi:type="dcterms:W3CDTF">2026-10-23T18:53:00Z</dcterms:modified>
  <dc:languag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comments">
    <vt:lpwstr/>
  </property>
  <property fmtid="{D5CDD505-2E9C-101B-9397-08002B2CF9AE}" pid="7" name="crossref">
    <vt:lpwstr/>
  </property>
  <property fmtid="{D5CDD505-2E9C-101B-9397-08002B2CF9AE}" pid="8" name="date">
    <vt:lpwstr>2026-10-14</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Wissenschaftliche Grundlagen des klimaaktiv Standards – Arbeitsfassung</vt:lpwstr>
  </property>
  <property fmtid="{D5CDD505-2E9C-101B-9397-08002B2CF9AE}" pid="14" name="template-partials">
    <vt:lpwstr/>
  </property>
  <property fmtid="{D5CDD505-2E9C-101B-9397-08002B2CF9AE}" pid="15" name="toc-title">
    <vt:lpwstr>Inhaltsverzeichnis</vt:lpwstr>
  </property>
</Properties>
</file>