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4B740" w:sz="4"/>
              <w:left w:val="single" w:color="F4B740" w:sz="4"/>
              <w:bottom w:val="single" w:color="F4B740" w:sz="4"/>
              <w:right w:val="single" w:color="F4B740" w:sz="4"/>
            </w:tcBorders>
            <w:shd w:fill="F4B740" w:val="clear"/>
            <w:tcMar>
              <w:top w:type="dxa" w:w="120"/>
              <w:left w:type="dxa" w:w="200"/>
              <w:bottom w:type="dxa" w:w="120"/>
              <w:right w:type="dxa" w:w="200"/>
            </w:tcMar>
          </w:tcPr>
          <w:p>
            <w:r>
              <w:rPr>
                <w:b/>
                <w:bCs/>
                <w:color w:val="0A1F44"/>
                <w:sz w:val="20"/>
                <w:szCs w:val="20"/>
              </w:rPr>
              <w:t xml:space="preserve">⚠ TEMPLATE — Requiere revisión por un abogado antes de firmar. Aplica especialmente cuando hay 2+ co-fundadores. Si sos solo founder, este doc te sirve para alinear con la Sociedad y para mostrarle a inversores que el vesting está pactado.</w:t>
            </w:r>
          </w:p>
        </w:tc>
      </w:tr>
    </w:tbl>
    <w:p>
      <w:r>
        <w:t xml:space="preserve"/>
      </w:r>
    </w:p>
    <w:p>
      <w:pPr>
        <w:pStyle w:val="Heading1"/>
      </w:pPr>
      <w:r>
        <w:t xml:space="preserve">Founders Agreement</w:t>
      </w:r>
    </w:p>
    <w:p>
      <w:pPr>
        <w:pStyle w:val="Caption"/>
      </w:pPr>
      <w:r>
        <w:t xml:space="preserve">(Acuerdo entre fundadores y/o entre fundador único y la Sociedad)</w:t>
      </w:r>
    </w:p>
    <w:p>
      <w:r>
        <w:t xml:space="preserve"/>
      </w:r>
    </w:p>
    <w:p>
      <w:pPr>
        <w:pStyle w:val="Heading3"/>
      </w:pPr>
      <w:r>
        <w:t xml:space="preserve">Partes</w:t>
      </w:r>
    </w:p>
    <w:p>
      <w:r>
        <w:t xml:space="preserve">Entre los fundadores firmantes (los </w:t>
      </w:r>
      <w:r>
        <w:rPr>
          <w:b/>
          <w:bCs/>
        </w:rPr>
        <w:t xml:space="preserve">"Fundadores"</w:t>
      </w:r>
      <w:r>
        <w:t xml:space="preserve">) y </w:t>
      </w:r>
      <w:r>
        <w:rPr>
          <w:b/>
          <w:bCs/>
        </w:rPr>
        <w:t xml:space="preserve">[RAZÓN SOCIAL]</w:t>
      </w:r>
      <w:r>
        <w:t xml:space="preserve"> (la </w:t>
      </w:r>
      <w:r>
        <w:rPr>
          <w:b/>
          <w:bCs/>
        </w:rPr>
        <w:t xml:space="preserve">"Sociedad"</w:t>
      </w:r>
      <w:r>
        <w:t xml:space="preserve">), con fecha [FECHA].</w:t>
      </w:r>
    </w:p>
    <w:p>
      <w:r>
        <w:t xml:space="preserve"/>
      </w:r>
    </w:p>
    <w:p>
      <w:pPr>
        <w:pStyle w:val="Heading2"/>
      </w:pPr>
      <w:r>
        <w:t xml:space="preserve">1. Roles y dedicación</w:t>
      </w:r>
    </w:p>
    <w:p>
      <w:r>
        <w:t xml:space="preserve">Cada Fundador asume los siguientes roles y compromisos:</w:t>
      </w:r>
    </w:p>
    <w:p>
      <w:r>
        <w:t xml:space="preserve"/>
      </w:r>
    </w:p>
    <w:p>
      <w:r>
        <w:rPr>
          <w:b/>
          <w:bCs/>
        </w:rPr>
        <w:t xml:space="preserve">[NOMBRE FUNDADOR 1]</w:t>
      </w:r>
      <w:r>
        <w:t xml:space="preserve"> — CEO. Dedicación full-time. Responsable de: producto, fundraising, hiring, decisiones estratégicas.</w:t>
      </w:r>
    </w:p>
    <w:p>
      <w:r>
        <w:t xml:space="preserve"/>
      </w:r>
    </w:p>
    <w:p>
      <w:r>
        <w:rPr>
          <w:b/>
          <w:bCs/>
        </w:rPr>
        <w:t xml:space="preserve">[NOMBRE FUNDADOR 2 — borrar si aplica]</w:t>
      </w:r>
      <w:r>
        <w:t xml:space="preserve"> — CTO. Dedicación full-time. Responsable de: arquitectura técnica, engineering, infraestructura.</w:t>
      </w:r>
    </w:p>
    <w:p>
      <w:r>
        <w:t xml:space="preserve"/>
      </w:r>
    </w:p>
    <w:p>
      <w:r>
        <w:rPr>
          <w:color w:val="64748B"/>
        </w:rPr>
        <w:t xml:space="preserve">Ningún Fundador podrá tener actividad laboral o consultoría externa que ocupe más de [10] horas semanales sin aprobación unánime del board.</w:t>
      </w:r>
    </w:p>
    <w:p>
      <w:r>
        <w:t xml:space="preserve"/>
      </w:r>
    </w:p>
    <w:p>
      <w:pPr>
        <w:pStyle w:val="Heading2"/>
      </w:pPr>
      <w:r>
        <w:t xml:space="preserve">2. Equity inicial</w:t>
      </w:r>
    </w:p>
    <w:p>
      <w:r>
        <w:t xml:space="preserve">El equity de los Fundadores se distribuye al momento de la incorporación según el siguiente cuadro:</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246"/>
      </w:tblGrid>
      <w:tr>
        <w:tc>
          <w:tcPr>
            <w:tcW w:type="dxa" w:w="3500"/>
            <w:shd w:fill="0A1F44" w:val="clear"/>
            <w:tcMar>
              <w:top w:type="dxa" w:w="80"/>
              <w:left w:type="dxa" w:w="120"/>
              <w:bottom w:type="dxa" w:w="80"/>
              <w:right w:type="dxa" w:w="120"/>
            </w:tcMar>
          </w:tcPr>
          <w:p>
            <w:r>
              <w:rPr>
                <w:b/>
                <w:bCs/>
                <w:color w:val="FFFFFF"/>
              </w:rPr>
              <w:t xml:space="preserve">Fundador</w:t>
            </w:r>
          </w:p>
        </w:tc>
        <w:tc>
          <w:tcPr>
            <w:tcW w:type="dxa" w:w="2000"/>
            <w:shd w:fill="0A1F44" w:val="clear"/>
            <w:tcMar>
              <w:top w:type="dxa" w:w="80"/>
              <w:left w:type="dxa" w:w="120"/>
              <w:bottom w:type="dxa" w:w="80"/>
              <w:right w:type="dxa" w:w="120"/>
            </w:tcMar>
          </w:tcPr>
          <w:p>
            <w:r>
              <w:rPr>
                <w:b/>
                <w:bCs/>
                <w:color w:val="FFFFFF"/>
              </w:rPr>
              <w:t xml:space="preserve">Acciones</w:t>
            </w:r>
          </w:p>
        </w:tc>
        <w:tc>
          <w:tcPr>
            <w:tcW w:type="dxa" w:w="2000"/>
            <w:shd w:fill="0A1F44" w:val="clear"/>
            <w:tcMar>
              <w:top w:type="dxa" w:w="80"/>
              <w:left w:type="dxa" w:w="120"/>
              <w:bottom w:type="dxa" w:w="80"/>
              <w:right w:type="dxa" w:w="120"/>
            </w:tcMar>
          </w:tcPr>
          <w:p>
            <w:r>
              <w:rPr>
                <w:b/>
                <w:bCs/>
                <w:color w:val="FFFFFF"/>
              </w:rPr>
              <w:t xml:space="preserve">%</w:t>
            </w:r>
          </w:p>
        </w:tc>
        <w:tc>
          <w:tcPr>
            <w:tcW w:type="dxa" w:w="2246"/>
            <w:shd w:fill="0A1F44" w:val="clear"/>
            <w:tcMar>
              <w:top w:type="dxa" w:w="80"/>
              <w:left w:type="dxa" w:w="120"/>
              <w:bottom w:type="dxa" w:w="80"/>
              <w:right w:type="dxa" w:w="120"/>
            </w:tcMar>
          </w:tcPr>
          <w:p>
            <w:r>
              <w:rPr>
                <w:b/>
                <w:bCs/>
                <w:color w:val="FFFFFF"/>
              </w:rPr>
              <w:t xml:space="preserve">Notas</w:t>
            </w:r>
          </w:p>
        </w:tc>
      </w:tr>
      <w:tr>
        <w:tc>
          <w:tcPr>
            <w:tcW w:type="dxa" w:w="3500"/>
            <w:tcMar>
              <w:top w:type="dxa" w:w="80"/>
              <w:left w:type="dxa" w:w="120"/>
              <w:bottom w:type="dxa" w:w="80"/>
              <w:right w:type="dxa" w:w="120"/>
            </w:tcMar>
          </w:tcPr>
          <w:p>
            <w:r>
              <w:t xml:space="preserve">[Fundador 1]</w:t>
            </w:r>
          </w:p>
        </w:tc>
        <w:tc>
          <w:tcPr>
            <w:tcW w:type="dxa" w:w="2000"/>
            <w:tcMar>
              <w:top w:type="dxa" w:w="80"/>
              <w:left w:type="dxa" w:w="120"/>
              <w:bottom w:type="dxa" w:w="80"/>
              <w:right w:type="dxa" w:w="120"/>
            </w:tcMar>
          </w:tcPr>
          <w:p>
            <w:r>
              <w:t xml:space="preserve">[ACCIONES]</w:t>
            </w:r>
          </w:p>
        </w:tc>
        <w:tc>
          <w:tcPr>
            <w:tcW w:type="dxa" w:w="2000"/>
            <w:tcMar>
              <w:top w:type="dxa" w:w="80"/>
              <w:left w:type="dxa" w:w="120"/>
              <w:bottom w:type="dxa" w:w="80"/>
              <w:right w:type="dxa" w:w="120"/>
            </w:tcMar>
          </w:tcPr>
          <w:p>
            <w:r>
              <w:t xml:space="preserve">[%]</w:t>
            </w:r>
          </w:p>
        </w:tc>
        <w:tc>
          <w:tcPr>
            <w:tcW w:type="dxa" w:w="2246"/>
            <w:tcMar>
              <w:top w:type="dxa" w:w="80"/>
              <w:left w:type="dxa" w:w="120"/>
              <w:bottom w:type="dxa" w:w="80"/>
              <w:right w:type="dxa" w:w="120"/>
            </w:tcMar>
          </w:tcPr>
          <w:p>
            <w:r>
              <w:t xml:space="preserve">CEO</w:t>
            </w:r>
          </w:p>
        </w:tc>
      </w:tr>
      <w:tr>
        <w:tc>
          <w:tcPr>
            <w:tcW w:type="dxa" w:w="3500"/>
            <w:tcMar>
              <w:top w:type="dxa" w:w="80"/>
              <w:left w:type="dxa" w:w="120"/>
              <w:bottom w:type="dxa" w:w="80"/>
              <w:right w:type="dxa" w:w="120"/>
            </w:tcMar>
          </w:tcPr>
          <w:p>
            <w:r>
              <w:t xml:space="preserve">[Fundador 2 — opcional]</w:t>
            </w:r>
          </w:p>
        </w:tc>
        <w:tc>
          <w:tcPr>
            <w:tcW w:type="dxa" w:w="2000"/>
            <w:tcMar>
              <w:top w:type="dxa" w:w="80"/>
              <w:left w:type="dxa" w:w="120"/>
              <w:bottom w:type="dxa" w:w="80"/>
              <w:right w:type="dxa" w:w="120"/>
            </w:tcMar>
          </w:tcPr>
          <w:p>
            <w:r>
              <w:t xml:space="preserve">[ACCIONES]</w:t>
            </w:r>
          </w:p>
        </w:tc>
        <w:tc>
          <w:tcPr>
            <w:tcW w:type="dxa" w:w="2000"/>
            <w:tcMar>
              <w:top w:type="dxa" w:w="80"/>
              <w:left w:type="dxa" w:w="120"/>
              <w:bottom w:type="dxa" w:w="80"/>
              <w:right w:type="dxa" w:w="120"/>
            </w:tcMar>
          </w:tcPr>
          <w:p>
            <w:r>
              <w:t xml:space="preserve">[%]</w:t>
            </w:r>
          </w:p>
        </w:tc>
        <w:tc>
          <w:tcPr>
            <w:tcW w:type="dxa" w:w="2246"/>
            <w:tcMar>
              <w:top w:type="dxa" w:w="80"/>
              <w:left w:type="dxa" w:w="120"/>
              <w:bottom w:type="dxa" w:w="80"/>
              <w:right w:type="dxa" w:w="120"/>
            </w:tcMar>
          </w:tcPr>
          <w:p>
            <w:r>
              <w:t xml:space="preserve">CTO</w:t>
            </w:r>
          </w:p>
        </w:tc>
      </w:tr>
    </w:tbl>
    <w:p>
      <w:r>
        <w:t xml:space="preserve"/>
      </w:r>
    </w:p>
    <w:p>
      <w:pPr>
        <w:pStyle w:val="Heading2"/>
      </w:pPr>
      <w:r>
        <w:t xml:space="preserve">3. Vesting</w:t>
      </w:r>
    </w:p>
    <w:p>
      <w:r>
        <w:t xml:space="preserve">Las acciones de cada Fundador están sujetas al siguiente esquema de vesting:</w:t>
      </w:r>
    </w:p>
    <w:p>
      <w:pPr>
        <w:pStyle w:val="ListParagraph"/>
        <w:numPr>
          <w:ilvl w:val="0"/>
          <w:numId w:val="2"/>
        </w:numPr>
      </w:pPr>
      <w:r>
        <w:t xml:space="preserve">Período total: 4 años (48 meses).</w:t>
      </w:r>
    </w:p>
    <w:p>
      <w:pPr>
        <w:pStyle w:val="ListParagraph"/>
        <w:numPr>
          <w:ilvl w:val="0"/>
          <w:numId w:val="2"/>
        </w:numPr>
      </w:pPr>
      <w:r>
        <w:t xml:space="preserve">Cliff: 12 meses. Si un Fundador termina su vinculación antes del primer aniversario, no recibe acciones vested.</w:t>
      </w:r>
    </w:p>
    <w:p>
      <w:pPr>
        <w:pStyle w:val="ListParagraph"/>
        <w:numPr>
          <w:ilvl w:val="0"/>
          <w:numId w:val="2"/>
        </w:numPr>
      </w:pPr>
      <w:r>
        <w:t xml:space="preserve">Después del cliff: vesting mensual lineal del 1/48 mensual hasta el mes 48.</w:t>
      </w:r>
    </w:p>
    <w:p>
      <w:pPr>
        <w:pStyle w:val="ListParagraph"/>
        <w:numPr>
          <w:ilvl w:val="0"/>
          <w:numId w:val="2"/>
        </w:numPr>
      </w:pPr>
      <w:r>
        <w:t xml:space="preserve">Inicio del vesting: [FECHA DE INCORPORACIÓN DE LA SOCIEDAD].</w:t>
      </w:r>
    </w:p>
    <w:p>
      <w:r>
        <w:t xml:space="preserve"/>
      </w:r>
    </w:p>
    <w:p>
      <w:r>
        <w:t xml:space="preserve">Las acciones unvested al momento de terminación de la vinculación quedan sujetas a un derecho de recompra de la Sociedad al precio nominal (o al menor entre nominal y precio de emisión), sin necesidad de aprobación adicional.</w:t>
      </w:r>
    </w:p>
    <w:p>
      <w:r>
        <w:t xml:space="preserve"/>
      </w:r>
    </w:p>
    <w:p>
      <w:pPr>
        <w:pStyle w:val="Heading2"/>
      </w:pPr>
      <w:r>
        <w:t xml:space="preserve">4. Acceleration</w:t>
      </w:r>
    </w:p>
    <w:p>
      <w:r>
        <w:t xml:space="preserve">Se aplica acceleration en los siguientes supuestos:</w:t>
      </w:r>
    </w:p>
    <w:p>
      <w:pPr>
        <w:pStyle w:val="ListParagraph"/>
        <w:numPr>
          <w:ilvl w:val="0"/>
          <w:numId w:val="2"/>
        </w:numPr>
      </w:pPr>
      <w:r>
        <w:t xml:space="preserve">Single-trigger: NO. Un cambio de control por sí solo no acelera vesting.</w:t>
      </w:r>
    </w:p>
    <w:p>
      <w:pPr>
        <w:pStyle w:val="ListParagraph"/>
        <w:numPr>
          <w:ilvl w:val="0"/>
          <w:numId w:val="2"/>
        </w:numPr>
      </w:pPr>
      <w:r>
        <w:t xml:space="preserve">Double-trigger: SÍ. Si después de un Cambio de Control un Fundador es despedido sin causa o renuncia por causa justificada (good leaver) dentro de los siguientes 12 meses, el 100% del vesting unvested acelera.</w:t>
      </w:r>
    </w:p>
    <w:p>
      <w:r>
        <w:t xml:space="preserve"/>
      </w:r>
    </w:p>
    <w:p>
      <w:pPr>
        <w:pStyle w:val="Heading2"/>
      </w:pPr>
      <w:r>
        <w:t xml:space="preserve">5. Decisiones del board</w:t>
      </w:r>
    </w:p>
    <w:p>
      <w:r>
        <w:t xml:space="preserve">Las decisiones materiales requieren mayoría simple del board, con las siguientes excepciones que requieren unanimidad de Fundadores:</w:t>
      </w:r>
    </w:p>
    <w:p>
      <w:pPr>
        <w:pStyle w:val="ListParagraph"/>
        <w:numPr>
          <w:ilvl w:val="0"/>
          <w:numId w:val="2"/>
        </w:numPr>
      </w:pPr>
      <w:r>
        <w:t xml:space="preserve">Venta total o sustancial de los activos de la Sociedad.</w:t>
      </w:r>
    </w:p>
    <w:p>
      <w:pPr>
        <w:pStyle w:val="ListParagraph"/>
        <w:numPr>
          <w:ilvl w:val="0"/>
          <w:numId w:val="2"/>
        </w:numPr>
      </w:pPr>
      <w:r>
        <w:t xml:space="preserve">Cambio del giro principal del negocio.</w:t>
      </w:r>
    </w:p>
    <w:p>
      <w:pPr>
        <w:pStyle w:val="ListParagraph"/>
        <w:numPr>
          <w:ilvl w:val="0"/>
          <w:numId w:val="2"/>
        </w:numPr>
      </w:pPr>
      <w:r>
        <w:t xml:space="preserve">Emisión de nuevas acciones que diluya a un Fundador en más de [10] puntos porcentuales.</w:t>
      </w:r>
    </w:p>
    <w:p>
      <w:pPr>
        <w:pStyle w:val="ListParagraph"/>
        <w:numPr>
          <w:ilvl w:val="0"/>
          <w:numId w:val="2"/>
        </w:numPr>
      </w:pPr>
      <w:r>
        <w:t xml:space="preserve">Endeudamiento que supere [USD 500.000] o [25%] del valor de la Sociedad.</w:t>
      </w:r>
    </w:p>
    <w:p>
      <w:pPr>
        <w:pStyle w:val="ListParagraph"/>
        <w:numPr>
          <w:ilvl w:val="0"/>
          <w:numId w:val="2"/>
        </w:numPr>
      </w:pPr>
      <w:r>
        <w:t xml:space="preserve">Modificación de este Acuerdo o del Founders Agreement.</w:t>
      </w:r>
    </w:p>
    <w:p>
      <w:r>
        <w:t xml:space="preserve"/>
      </w:r>
    </w:p>
    <w:p>
      <w:pPr>
        <w:pStyle w:val="Heading2"/>
      </w:pPr>
      <w:r>
        <w:t xml:space="preserve">6. Departure / Bad leaver</w:t>
      </w:r>
    </w:p>
    <w:p>
      <w:r>
        <w:t xml:space="preserve">Si un Fundador termina su vinculación con la Sociedad:</w:t>
      </w:r>
    </w:p>
    <w:p>
      <w:r>
        <w:t xml:space="preserve"/>
      </w:r>
    </w:p>
    <w:p>
      <w:r>
        <w:rPr>
          <w:b/>
          <w:bCs/>
        </w:rPr>
        <w:t xml:space="preserve">(a) Good leaver</w:t>
      </w:r>
      <w:r>
        <w:t xml:space="preserve"> — terminación por la Sociedad sin causa, muerte, incapacidad permanente, o renuncia por causa justificada: el Fundador conserva todas las acciones vested. Las unvested quedan sujetas a recompra al precio nominal.</w:t>
      </w:r>
    </w:p>
    <w:p>
      <w:r>
        <w:t xml:space="preserve"/>
      </w:r>
    </w:p>
    <w:p>
      <w:r>
        <w:rPr>
          <w:b/>
          <w:bCs/>
        </w:rPr>
        <w:t xml:space="preserve">(b) Bad leaver</w:t>
      </w:r>
      <w:r>
        <w:t xml:space="preserve"> — renuncia voluntaria sin causa o terminación con justa causa por la Sociedad (fraude, incumplimiento material, competencia desleal): la Sociedad tiene opción de recompra del [50%] de las acciones vested al menor de (i) precio nominal o (ii) precio de la última ronda con descuento del [50%].</w:t>
      </w:r>
    </w:p>
    <w:p>
      <w:r>
        <w:t xml:space="preserve"/>
      </w:r>
    </w:p>
    <w:p>
      <w:pPr>
        <w:pStyle w:val="Heading2"/>
      </w:pPr>
      <w:r>
        <w:t xml:space="preserve">7. No competencia y no solicitación</w:t>
      </w:r>
    </w:p>
    <w:p>
      <w:r>
        <w:t xml:space="preserve">Durante la vinculación y por [12] meses posteriores, los Fundadores se abstienen de:</w:t>
      </w:r>
    </w:p>
    <w:p>
      <w:pPr>
        <w:pStyle w:val="ListParagraph"/>
        <w:numPr>
          <w:ilvl w:val="0"/>
          <w:numId w:val="2"/>
        </w:numPr>
      </w:pPr>
      <w:r>
        <w:t xml:space="preserve">Crear, invertir significativamente en, o trabajar para una empresa cuya actividad principal compita directamente con la Sociedad.</w:t>
      </w:r>
    </w:p>
    <w:p>
      <w:pPr>
        <w:pStyle w:val="ListParagraph"/>
        <w:numPr>
          <w:ilvl w:val="0"/>
          <w:numId w:val="2"/>
        </w:numPr>
      </w:pPr>
      <w:r>
        <w:t xml:space="preserve">Solicitar o contratar a empleados, contractors o asesores clave de la Sociedad.</w:t>
      </w:r>
    </w:p>
    <w:p>
      <w:pPr>
        <w:pStyle w:val="ListParagraph"/>
        <w:numPr>
          <w:ilvl w:val="0"/>
          <w:numId w:val="2"/>
        </w:numPr>
      </w:pPr>
      <w:r>
        <w:t xml:space="preserve">Solicitar a clientes existentes con los que la Sociedad tenía relación al momento de la salida.</w:t>
      </w:r>
    </w:p>
    <w:p>
      <w:r>
        <w:t xml:space="preserve"/>
      </w:r>
    </w:p>
    <w:p>
      <w:pPr>
        <w:pStyle w:val="Heading2"/>
      </w:pPr>
      <w:r>
        <w:t xml:space="preserve">8. Propiedad intelectual</w:t>
      </w:r>
    </w:p>
    <w:p>
      <w:r>
        <w:t xml:space="preserve">Cada Fundador firma por separado el Acuerdo de Cesión de Propiedad Intelectual con la Sociedad. Los términos de ese acuerdo prevalecen sobre cualquier disposición de este documento en materia de IP.</w:t>
      </w:r>
    </w:p>
    <w:p>
      <w:r>
        <w:t xml:space="preserve"/>
      </w:r>
    </w:p>
    <w:p>
      <w:pPr>
        <w:pStyle w:val="Heading2"/>
      </w:pPr>
      <w:r>
        <w:t xml:space="preserve">9. Confidencialidad</w:t>
      </w:r>
    </w:p>
    <w:p>
      <w:r>
        <w:t xml:space="preserve">Los Fundadores mantendrán confidencialidad sobre toda información no pública de la Sociedad durante la vigencia y por [5] años después de terminada su vinculación.</w:t>
      </w:r>
    </w:p>
    <w:p>
      <w:r>
        <w:t xml:space="preserve"/>
      </w:r>
    </w:p>
    <w:p>
      <w:pPr>
        <w:pStyle w:val="Heading2"/>
      </w:pPr>
      <w:r>
        <w:t xml:space="preserve">10. Resolución de disputas</w:t>
      </w:r>
    </w:p>
    <w:p>
      <w:r>
        <w:t xml:space="preserve">Las disputas entre Fundadores se resolverán primero por negociación de buena fe (30 días), luego por mediación con un mediador acordado por las partes (60 días), y finalmente por arbitraje vinculante en [CIUDAD] bajo las reglas de [CÁMARA ARBITRAL].</w:t>
      </w:r>
    </w:p>
    <w:p>
      <w:r>
        <w:t xml:space="preserve"/>
      </w:r>
    </w:p>
    <w:p>
      <w:pPr>
        <w:pStyle w:val="Heading2"/>
      </w:pPr>
      <w:r>
        <w:t xml:space="preserve">11. Ley aplicable</w:t>
      </w:r>
    </w:p>
    <w:p>
      <w:r>
        <w:t xml:space="preserve">Este Acuerdo se rige por las leyes de [JURISDICCIÓN].</w:t>
      </w:r>
    </w:p>
    <w:p>
      <w:r>
        <w:t xml:space="preserve"/>
      </w:r>
    </w:p>
    <w:p>
      <w:r>
        <w:t xml:space="preserve"/>
      </w:r>
    </w:p>
    <w:p>
      <w:pPr>
        <w:pStyle w:val="Heading3"/>
      </w:pPr>
      <w:r>
        <w:t xml:space="preserve">Firmas</w:t>
      </w:r>
    </w:p>
    <w:p>
      <w:r>
        <w:t xml:space="preserve"/>
      </w:r>
    </w:p>
    <w:p>
      <w:r>
        <w:t xml:space="preserve">____________________________________   Fecha: ________________</w:t>
      </w:r>
    </w:p>
    <w:p>
      <w:r>
        <w:t xml:space="preserve">[Fundador 1]</w:t>
      </w:r>
    </w:p>
    <w:p>
      <w:r>
        <w:t xml:space="preserve"/>
      </w:r>
    </w:p>
    <w:p>
      <w:r>
        <w:t xml:space="preserve">____________________________________   Fecha: ________________</w:t>
      </w:r>
    </w:p>
    <w:p>
      <w:r>
        <w:t xml:space="preserve">[Fundador 2 — opcional]</w:t>
      </w:r>
    </w:p>
    <w:p>
      <w:r>
        <w:t xml:space="preserve"/>
      </w:r>
    </w:p>
    <w:p>
      <w:r>
        <w:t xml:space="preserve">____________________________________   Fecha: ________________</w:t>
      </w:r>
    </w:p>
    <w:p>
      <w:r>
        <w:t xml:space="preserve">[Representante de la Sociedad]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64748B"/>
        <w:sz w:val="16"/>
        <w:szCs w:val="16"/>
      </w:rPr>
      <w:t xml:space="preserve">Pulso · Founders Agreement</w:t>
    </w:r>
    <w:r>
      <w:t xml:space="preserve">	</w:t>
    </w:r>
    <w:r>
      <w:rPr>
        <w:color w:val="64748B"/>
        <w:sz w:val="16"/>
        <w:szCs w:val="16"/>
      </w:rPr>
      <w:t xml:space="preserve">Pág.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857250" cy="247650"/>
          <wp:effectExtent t="0" r="0" b="0" l="0"/>
          <wp:docPr id="1" name="Pulso" descr="Pulso logo" title="Pu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476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lowerLetter"/>
      <w:lvlText w:val="%1)"/>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A1F44"/>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0A1F44"/>
      <w:sz w:val="26"/>
      <w:szCs w:val="26"/>
    </w:rPr>
  </w:style>
  <w:style w:type="paragraph" w:styleId="Heading3">
    <w:name w:val="Heading 3"/>
    <w:basedOn w:val="Normal"/>
    <w:next w:val="Normal"/>
    <w:pPr>
      <w:spacing w:after="80" w:before="160"/>
      <w:outlineLvl w:val="2"/>
    </w:pPr>
    <w:rPr>
      <w:rFonts w:ascii="Arial" w:cs="Arial" w:eastAsia="Arial" w:hAnsi="Arial"/>
      <w:b/>
      <w:bCs/>
      <w:color w:val="0A1F44"/>
      <w:sz w:val="22"/>
      <w:szCs w:val="22"/>
    </w:rPr>
  </w:style>
  <w:style w:type="paragraph" w:styleId="Caption">
    <w:name w:val="Caption"/>
    <w:basedOn w:val="Normal"/>
    <w:rPr>
      <w:rFonts w:ascii="Arial" w:cs="Arial" w:eastAsia="Arial" w:hAnsi="Arial"/>
      <w:color w:val="64748B"/>
      <w:sz w:val="18"/>
      <w:szCs w:val="18"/>
    </w:rPr>
  </w:style>
  <w:style w:type="paragraph" w:styleId="Eyebrow">
    <w:name w:val="Eyebrow"/>
    <w:basedOn w:val="Normal"/>
    <w:rPr>
      <w:rFonts w:ascii="Arial" w:cs="Arial" w:eastAsia="Arial" w:hAnsi="Arial"/>
      <w:b/>
      <w:bCs/>
      <w:color w:val="F4B740"/>
      <w:spacing w:val="4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b12bdcbca4cbcb35e5a9d143bc2df9405fd6cd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2026-05-03T09:47:18.376Z</dcterms:created>
  <dcterms:modified xsi:type="dcterms:W3CDTF">2026-05-03T09:47:18.376Z</dcterms:modified>
</cp:coreProperties>
</file>

<file path=docProps/custom.xml><?xml version="1.0" encoding="utf-8"?>
<Properties xmlns="http://schemas.openxmlformats.org/officeDocument/2006/custom-properties" xmlns:vt="http://schemas.openxmlformats.org/officeDocument/2006/docPropsVTypes"/>
</file>