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b/>
          <w:i w:val="0"/>
          <w:color w:val="1F3864"/>
          <w:sz w:val="32"/>
        </w:rPr>
        <w:t>GOLD FIELDS LIMITED (GFI)</w:t>
      </w:r>
    </w:p>
    <w:p>
      <w:pPr>
        <w:spacing w:after="40" w:before="0"/>
      </w:pPr>
      <w:r>
        <w:rPr>
          <w:rFonts w:ascii="Arial" w:hAnsi="Arial"/>
          <w:b w:val="0"/>
          <w:i w:val="0"/>
          <w:color w:val="595959"/>
          <w:sz w:val="20"/>
        </w:rPr>
        <w:t>Basic Materials – Gold Mining  ·  JSE primary; NYSE ADR  ·  USD reporter, 31 Dec year-end</w:t>
      </w:r>
    </w:p>
    <w:p>
      <w:pPr>
        <w:spacing w:after="40" w:before="0"/>
      </w:pPr>
      <w:r>
        <w:rPr>
          <w:rFonts w:ascii="Arial" w:hAnsi="Arial"/>
          <w:b w:val="0"/>
          <w:i w:val="0"/>
          <w:color w:val="595959"/>
          <w:sz w:val="20"/>
        </w:rPr>
        <w:t>Forward scenario &amp; sensitivity note — prepared 18 June 2026 for internal investment-committee use</w:t>
      </w:r>
    </w:p>
    <w:p>
      <w:pPr>
        <w:spacing w:after="40" w:before="0"/>
      </w:pPr>
      <w:r>
        <w:rPr>
          <w:rFonts w:ascii="Arial" w:hAnsi="Arial"/>
          <w:b w:val="0"/>
          <w:i w:val="0"/>
          <w:color w:val="595959"/>
          <w:sz w:val="20"/>
        </w:rPr>
        <w:t>Sector lens applied: jse-sector-mining (Basic Materials → Mining → Gold)</w:t>
      </w:r>
    </w:p>
    <w:p>
      <w:pPr>
        <w:spacing w:after="60" w:before="0"/>
      </w:pPr>
      <w:r>
        <w:rPr>
          <w:rFonts w:ascii="Arial" w:hAnsi="Arial"/>
          <w:b/>
          <w:i w:val="0"/>
          <w:sz w:val="26"/>
        </w:rPr>
        <w:t>Rand weakness &amp; load-shedding — FY2026e / FY2027e scenario &amp; sensitivity analysis</w:t>
      </w:r>
    </w:p>
    <w:p>
      <w:pPr>
        <w:spacing w:after="200" w:before="0"/>
      </w:pPr>
      <w:r>
        <w:rPr>
          <w:rFonts w:ascii="Arial" w:hAnsi="Arial"/>
          <w:b w:val="0"/>
          <w:i/>
          <w:color w:val="595959"/>
          <w:sz w:val="18"/>
        </w:rPr>
        <w:t>Internal IC briefing. All FY2025 figures are reported actuals (Gold Fields FY2025 reviewed results, SEC Form 6-K, 19–20 Feb 2026, verified vs the official results microsite). All forward figures are analyst estimates, marked (e), with the working shown. Numbers are sacred.</w:t>
      </w:r>
    </w:p>
    <w:p>
      <w:pPr>
        <w:pStyle w:val="Heading1"/>
      </w:pPr>
      <w:r>
        <w:t>Verdict</w:t>
      </w:r>
    </w:p>
    <w:tbl>
      <w:tblPr>
        <w:tblStyle w:val="TableGrid"/>
        <w:tblW w:type="auto" w:w="0"/>
        <w:tblLook w:firstColumn="1" w:firstRow="1" w:lastColumn="0" w:lastRow="0" w:noHBand="0" w:noVBand="1" w:val="04A0"/>
      </w:tblPr>
      <w:tblGrid>
        <w:gridCol w:w="9360"/>
      </w:tblGrid>
      <w:tr>
        <w:tc>
          <w:tcPr>
            <w:tcW w:type="dxa" w:w="9360"/>
            <w:shd w:val="clear" w:fill="FFF7E0"/>
          </w:tcPr>
          <w:p>
            <w:pPr>
              <w:spacing w:after="0"/>
            </w:pPr>
            <w:r/>
            <w:r>
              <w:rPr>
                <w:rFonts w:ascii="Arial" w:hAnsi="Arial"/>
                <w:b/>
                <w:i w:val="0"/>
                <w:sz w:val="21"/>
              </w:rPr>
              <w:t xml:space="preserve">Verdict (FY2026e / FY2027e).  </w:t>
            </w:r>
            <w:r>
              <w:rPr>
                <w:rFonts w:ascii="Arial" w:hAnsi="Arial"/>
                <w:b w:val="0"/>
                <w:i w:val="0"/>
                <w:sz w:val="21"/>
              </w:rPr>
              <w:t>Gold Fields is structurally insulated from both shocks because it REPORTS and SELLS in US dollars and runs only ONE South African mine — South Deep, ~14% of group ounces. (A) A substantial rand depreciation is, in US-dollar terms, a MILD POSITIVE: group revenue is unchanged (USD-priced gold) while South Deep's ZAR cost base translates to fewer dollars, easing group AISC — we model +US$100m EBITDA FY2026e and +US$107m FY2027e (e), ~+1.4%. For a rand investor it is clearly positive: rand-translated EBITDA and dividends rise ~+29% (e). (B) Renewed Stage 4–6 load-shedding is a contained South Deep headwind — ~−US$74m EBITDA FY2026e and ~−US$76m FY2027e (e), ~−1.0%. COMBINED, the weak-rand cost tailwind roughly offsets the load-shedding drag — a near wash in USD (+US$26m FY2026e / +US$31m FY2027e (e)) but ~+29% in ZAR. Both shocks are dwarfed by the US-dollar gold price: a single +US$100/oz move (+US$250m EBITDA (e)) outweighs either SA shock in full.</w:t>
            </w:r>
          </w:p>
        </w:tc>
      </w:tr>
    </w:tbl>
    <w:p>
      <w:pPr>
        <w:spacing w:after="40" w:before="0"/>
      </w:pPr>
    </w:p>
    <w:p>
      <w:pPr>
        <w:pStyle w:val="Heading1"/>
      </w:pPr>
      <w:r>
        <w:t>1.  Why both shocks are localised — the structural nuance</w:t>
      </w:r>
    </w:p>
    <w:p>
      <w:pPr>
        <w:spacing w:after="160" w:before="0"/>
      </w:pPr>
      <w:r>
        <w:rPr>
          <w:rFonts w:ascii="Arial" w:hAnsi="Arial"/>
          <w:b w:val="0"/>
          <w:i w:val="0"/>
          <w:sz w:val="21"/>
        </w:rPr>
        <w:t xml:space="preserve">Gold Fields is a </w:t>
      </w:r>
      <w:r>
        <w:rPr>
          <w:rFonts w:ascii="Arial" w:hAnsi="Arial"/>
          <w:b/>
          <w:i w:val="0"/>
          <w:sz w:val="21"/>
        </w:rPr>
        <w:t>US-dollar reporter</w:t>
      </w:r>
      <w:r>
        <w:rPr>
          <w:rFonts w:ascii="Arial" w:hAnsi="Arial"/>
          <w:b w:val="0"/>
          <w:i w:val="0"/>
          <w:sz w:val="21"/>
        </w:rPr>
        <w:t xml:space="preserve"> that sells gold at a US-dollar price, so group </w:t>
      </w:r>
      <w:r>
        <w:rPr>
          <w:rFonts w:ascii="Arial" w:hAnsi="Arial"/>
          <w:b/>
          <w:i w:val="0"/>
          <w:sz w:val="21"/>
        </w:rPr>
        <w:t>revenue does not change when the rand moves</w:t>
      </w:r>
      <w:r>
        <w:rPr>
          <w:rFonts w:ascii="Arial" w:hAnsi="Arial"/>
          <w:b w:val="0"/>
          <w:i w:val="0"/>
          <w:sz w:val="21"/>
        </w:rPr>
        <w:t xml:space="preserve">. The rand and the Eskom grid enter the group P&amp;L through </w:t>
      </w:r>
      <w:r>
        <w:rPr>
          <w:rFonts w:ascii="Arial" w:hAnsi="Arial"/>
          <w:b/>
          <w:i w:val="0"/>
          <w:sz w:val="21"/>
        </w:rPr>
        <w:t>one asset only — South Deep</w:t>
      </w:r>
      <w:r>
        <w:rPr>
          <w:rFonts w:ascii="Arial" w:hAnsi="Arial"/>
          <w:b w:val="0"/>
          <w:i w:val="0"/>
          <w:sz w:val="21"/>
        </w:rPr>
        <w:t xml:space="preserve">, the sole South African mine (~90.2% owned), ~14% of group attributable ounces (~320koz of 2.438Moz FY2025, ramping toward a ~380koz/a run-rate). The other ~85% sits in Australia (AUD costs), Ghana, Peru, Chile and — pre-build — Canada, none of which touch the rand or Eskom. South Deep is also the </w:t>
      </w:r>
      <w:r>
        <w:rPr>
          <w:rFonts w:ascii="Arial" w:hAnsi="Arial"/>
          <w:b/>
          <w:i w:val="0"/>
          <w:sz w:val="21"/>
        </w:rPr>
        <w:t>only Gold Fields asset on the Eskom grid</w:t>
      </w:r>
      <w:r>
        <w:rPr>
          <w:rFonts w:ascii="Arial" w:hAnsi="Arial"/>
          <w:b w:val="0"/>
          <w:i w:val="0"/>
          <w:sz w:val="21"/>
        </w:rPr>
        <w:t>. So both shocks are ring-fenced to South Deep, and group-level USD sensitivity is muted versus a pure-SA miner.</w:t>
      </w:r>
    </w:p>
    <w:p>
      <w:pPr>
        <w:pStyle w:val="ListBullet"/>
        <w:spacing w:after="80"/>
      </w:pPr>
      <w:r>
        <w:rPr>
          <w:rFonts w:ascii="Arial" w:hAnsi="Arial"/>
          <w:b/>
          <w:i w:val="0"/>
          <w:sz w:val="21"/>
        </w:rPr>
        <w:t xml:space="preserve">Weaker rand → South Deep cost channel (tailwind). </w:t>
      </w:r>
      <w:r>
        <w:rPr>
          <w:rFonts w:ascii="Arial" w:hAnsi="Arial"/>
          <w:b w:val="0"/>
          <w:i w:val="0"/>
          <w:sz w:val="21"/>
        </w:rPr>
        <w:t xml:space="preserve">South Deep's ZAR-denominated costs translate into fewer US dollars, so group AISC eases and South Deep's USD margin widens. Per the mining lens, always separate the </w:t>
      </w:r>
      <w:r>
        <w:rPr>
          <w:rFonts w:ascii="Arial" w:hAnsi="Arial"/>
          <w:b w:val="0"/>
          <w:i/>
          <w:sz w:val="21"/>
        </w:rPr>
        <w:t>price</w:t>
      </w:r>
      <w:r>
        <w:rPr>
          <w:rFonts w:ascii="Arial" w:hAnsi="Arial"/>
          <w:b w:val="0"/>
          <w:i w:val="0"/>
          <w:sz w:val="21"/>
        </w:rPr>
        <w:t xml:space="preserve"> effect (nil here — USD gold) from the </w:t>
      </w:r>
      <w:r>
        <w:rPr>
          <w:rFonts w:ascii="Arial" w:hAnsi="Arial"/>
          <w:b w:val="0"/>
          <w:i/>
          <w:sz w:val="21"/>
        </w:rPr>
        <w:t>FX</w:t>
      </w:r>
      <w:r>
        <w:rPr>
          <w:rFonts w:ascii="Arial" w:hAnsi="Arial"/>
          <w:b w:val="0"/>
          <w:i w:val="0"/>
          <w:sz w:val="21"/>
        </w:rPr>
        <w:t xml:space="preserve"> effect (the classic 'rand hedge' on the cost side).</w:t>
      </w:r>
    </w:p>
    <w:p>
      <w:pPr>
        <w:pStyle w:val="ListBullet"/>
        <w:spacing w:after="80"/>
      </w:pPr>
      <w:r>
        <w:rPr>
          <w:rFonts w:ascii="Arial" w:hAnsi="Arial"/>
          <w:b/>
          <w:i w:val="0"/>
          <w:sz w:val="21"/>
        </w:rPr>
        <w:t xml:space="preserve">Load-shedding → South Deep cost + volume channel (headwind). </w:t>
      </w:r>
      <w:r>
        <w:rPr>
          <w:rFonts w:ascii="Arial" w:hAnsi="Arial"/>
          <w:b w:val="0"/>
          <w:i w:val="0"/>
          <w:sz w:val="21"/>
        </w:rPr>
        <w:t>Underground hoisting, ventilation, pumping and refrigeration run 24/7; outages force diesel self-generation (higher cost) and can stop hoisting (lost ounces). Eskom is the classic SA operational swing factor in the mining lens.</w:t>
      </w:r>
    </w:p>
    <w:p>
      <w:pPr>
        <w:pStyle w:val="Heading1"/>
      </w:pPr>
      <w:r>
        <w:t>2.  FY2025 anchor — the sacred actuals</w:t>
      </w:r>
    </w:p>
    <w:p>
      <w:pPr>
        <w:spacing w:after="120" w:before="0"/>
      </w:pPr>
      <w:r>
        <w:rPr>
          <w:rFonts w:ascii="Arial" w:hAnsi="Arial"/>
          <w:b w:val="0"/>
          <w:i w:val="0"/>
          <w:sz w:val="21"/>
        </w:rPr>
        <w:t>Every scenario is calibrated to these reported FY2025 numbers; the model reproduces FY2025 adjusted EBITDA to 98.3% (model US$5,542m (e) vs reported US$5,637m). Record year, driven by the gold price and the Salares Norte ramp.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400"/>
            <w:shd w:val="clear" w:fill="1F3864"/>
          </w:tcPr>
          <w:p>
            <w:r/>
            <w:r>
              <w:rPr>
                <w:rFonts w:ascii="Arial" w:hAnsi="Arial"/>
                <w:b/>
                <w:i w:val="0"/>
                <w:color w:val="FFFFFF"/>
                <w:sz w:val="18"/>
              </w:rPr>
              <w:t>Metric (US$m unless stated)</w:t>
            </w:r>
          </w:p>
        </w:tc>
        <w:tc>
          <w:tcPr>
            <w:tcW w:type="dxa" w:w="1100"/>
            <w:shd w:val="clear" w:fill="1F3864"/>
          </w:tcPr>
          <w:p>
            <w:r/>
            <w:r>
              <w:rPr>
                <w:rFonts w:ascii="Arial" w:hAnsi="Arial"/>
                <w:b/>
                <w:i w:val="0"/>
                <w:color w:val="FFFFFF"/>
                <w:sz w:val="18"/>
              </w:rPr>
              <w:t>FY2025A</w:t>
            </w:r>
          </w:p>
        </w:tc>
        <w:tc>
          <w:tcPr>
            <w:tcW w:type="dxa" w:w="1100"/>
            <w:shd w:val="clear" w:fill="1F3864"/>
          </w:tcPr>
          <w:p>
            <w:r/>
            <w:r>
              <w:rPr>
                <w:rFonts w:ascii="Arial" w:hAnsi="Arial"/>
                <w:b/>
                <w:i w:val="0"/>
                <w:color w:val="FFFFFF"/>
                <w:sz w:val="18"/>
              </w:rPr>
              <w:t>FY2024A</w:t>
            </w:r>
          </w:p>
        </w:tc>
        <w:tc>
          <w:tcPr>
            <w:tcW w:type="dxa" w:w="1000"/>
            <w:shd w:val="clear" w:fill="1F3864"/>
          </w:tcPr>
          <w:p>
            <w:r/>
            <w:r>
              <w:rPr>
                <w:rFonts w:ascii="Arial" w:hAnsi="Arial"/>
                <w:b/>
                <w:i w:val="0"/>
                <w:color w:val="FFFFFF"/>
                <w:sz w:val="18"/>
              </w:rPr>
              <w:t>% chg</w:t>
            </w:r>
          </w:p>
        </w:tc>
        <w:tc>
          <w:tcPr>
            <w:tcW w:type="dxa" w:w="1500"/>
            <w:shd w:val="clear" w:fill="1F3864"/>
          </w:tcPr>
          <w:p>
            <w:r/>
            <w:r>
              <w:rPr>
                <w:rFonts w:ascii="Arial" w:hAnsi="Arial"/>
                <w:b/>
                <w:i w:val="0"/>
                <w:color w:val="FFFFFF"/>
                <w:sz w:val="18"/>
              </w:rPr>
              <w:t>Source</w:t>
            </w:r>
          </w:p>
        </w:tc>
      </w:tr>
      <w:tr>
        <w:tc>
          <w:tcPr>
            <w:tcW w:type="dxa" w:w="4400"/>
            <w:shd w:val="clear" w:fill="F2F2F2"/>
          </w:tcPr>
          <w:p>
            <w:r/>
            <w:r>
              <w:rPr>
                <w:rFonts w:ascii="Arial" w:hAnsi="Arial"/>
                <w:b/>
                <w:i w:val="0"/>
                <w:sz w:val="18"/>
              </w:rPr>
              <w:t>Revenue (managed basis)</w:t>
            </w:r>
          </w:p>
        </w:tc>
        <w:tc>
          <w:tcPr>
            <w:tcW w:type="dxa" w:w="1100"/>
          </w:tcPr>
          <w:p>
            <w:r/>
            <w:r>
              <w:rPr>
                <w:rFonts w:ascii="Arial" w:hAnsi="Arial"/>
                <w:b w:val="0"/>
                <w:i w:val="0"/>
                <w:sz w:val="18"/>
              </w:rPr>
              <w:t>8,751</w:t>
            </w:r>
          </w:p>
        </w:tc>
        <w:tc>
          <w:tcPr>
            <w:tcW w:type="dxa" w:w="1100"/>
          </w:tcPr>
          <w:p>
            <w:r/>
            <w:r>
              <w:rPr>
                <w:rFonts w:ascii="Arial" w:hAnsi="Arial"/>
                <w:b w:val="0"/>
                <w:i w:val="0"/>
                <w:sz w:val="18"/>
              </w:rPr>
              <w:t>5,202</w:t>
            </w:r>
          </w:p>
        </w:tc>
        <w:tc>
          <w:tcPr>
            <w:tcW w:type="dxa" w:w="1000"/>
          </w:tcPr>
          <w:p>
            <w:r/>
            <w:r>
              <w:rPr>
                <w:rFonts w:ascii="Arial" w:hAnsi="Arial"/>
                <w:b w:val="0"/>
                <w:i w:val="0"/>
                <w:sz w:val="18"/>
              </w:rPr>
              <w:t>+68%</w:t>
            </w:r>
          </w:p>
        </w:tc>
        <w:tc>
          <w:tcPr>
            <w:tcW w:type="dxa" w:w="1500"/>
          </w:tcPr>
          <w:p>
            <w:r/>
            <w:r>
              <w:rPr>
                <w:rFonts w:ascii="Arial" w:hAnsi="Arial"/>
                <w:b w:val="0"/>
                <w:i w:val="0"/>
                <w:sz w:val="18"/>
              </w:rPr>
              <w:t>S1, results</w:t>
            </w:r>
          </w:p>
        </w:tc>
      </w:tr>
      <w:tr>
        <w:tc>
          <w:tcPr>
            <w:tcW w:type="dxa" w:w="4400"/>
            <w:shd w:val="clear" w:fill="F2F2F2"/>
          </w:tcPr>
          <w:p>
            <w:r/>
            <w:r>
              <w:rPr>
                <w:rFonts w:ascii="Arial" w:hAnsi="Arial"/>
                <w:b/>
                <w:i w:val="0"/>
                <w:sz w:val="18"/>
              </w:rPr>
              <w:t>Average realised gold price (US$/oz)</w:t>
            </w:r>
          </w:p>
        </w:tc>
        <w:tc>
          <w:tcPr>
            <w:tcW w:type="dxa" w:w="1100"/>
            <w:shd w:val="clear" w:fill="FAFAFA"/>
          </w:tcPr>
          <w:p>
            <w:r/>
            <w:r>
              <w:rPr>
                <w:rFonts w:ascii="Arial" w:hAnsi="Arial"/>
                <w:b w:val="0"/>
                <w:i w:val="0"/>
                <w:sz w:val="18"/>
              </w:rPr>
              <w:t>3,496</w:t>
            </w:r>
          </w:p>
        </w:tc>
        <w:tc>
          <w:tcPr>
            <w:tcW w:type="dxa" w:w="1100"/>
            <w:shd w:val="clear" w:fill="FAFAFA"/>
          </w:tcPr>
          <w:p>
            <w:r/>
            <w:r>
              <w:rPr>
                <w:rFonts w:ascii="Arial" w:hAnsi="Arial"/>
                <w:b w:val="0"/>
                <w:i w:val="0"/>
                <w:sz w:val="18"/>
              </w:rPr>
              <w:t>2,418</w:t>
            </w:r>
          </w:p>
        </w:tc>
        <w:tc>
          <w:tcPr>
            <w:tcW w:type="dxa" w:w="1000"/>
            <w:shd w:val="clear" w:fill="FAFAFA"/>
          </w:tcPr>
          <w:p>
            <w:r/>
            <w:r>
              <w:rPr>
                <w:rFonts w:ascii="Arial" w:hAnsi="Arial"/>
                <w:b w:val="0"/>
                <w:i w:val="0"/>
                <w:sz w:val="18"/>
              </w:rPr>
              <w:t>+45%</w:t>
            </w:r>
          </w:p>
        </w:tc>
        <w:tc>
          <w:tcPr>
            <w:tcW w:type="dxa" w:w="1500"/>
            <w:shd w:val="clear" w:fill="FAFAFA"/>
          </w:tcPr>
          <w:p>
            <w:r/>
            <w:r>
              <w:rPr>
                <w:rFonts w:ascii="Arial" w:hAnsi="Arial"/>
                <w:b w:val="0"/>
                <w:i w:val="0"/>
                <w:sz w:val="18"/>
              </w:rPr>
              <w:t>S1, results</w:t>
            </w:r>
          </w:p>
        </w:tc>
      </w:tr>
      <w:tr>
        <w:tc>
          <w:tcPr>
            <w:tcW w:type="dxa" w:w="4400"/>
            <w:shd w:val="clear" w:fill="F2F2F2"/>
          </w:tcPr>
          <w:p>
            <w:r/>
            <w:r>
              <w:rPr>
                <w:rFonts w:ascii="Arial" w:hAnsi="Arial"/>
                <w:b/>
                <w:i w:val="0"/>
                <w:sz w:val="18"/>
              </w:rPr>
              <w:t>Adjusted EBITDA</w:t>
            </w:r>
          </w:p>
        </w:tc>
        <w:tc>
          <w:tcPr>
            <w:tcW w:type="dxa" w:w="1100"/>
          </w:tcPr>
          <w:p>
            <w:r/>
            <w:r>
              <w:rPr>
                <w:rFonts w:ascii="Arial" w:hAnsi="Arial"/>
                <w:b w:val="0"/>
                <w:i w:val="0"/>
                <w:sz w:val="18"/>
              </w:rPr>
              <w:t>5,637</w:t>
            </w:r>
          </w:p>
        </w:tc>
        <w:tc>
          <w:tcPr>
            <w:tcW w:type="dxa" w:w="1100"/>
          </w:tcPr>
          <w:p>
            <w:r/>
            <w:r>
              <w:rPr>
                <w:rFonts w:ascii="Arial" w:hAnsi="Arial"/>
                <w:b w:val="0"/>
                <w:i w:val="0"/>
                <w:sz w:val="18"/>
              </w:rPr>
              <w:t>2,847</w:t>
            </w:r>
          </w:p>
        </w:tc>
        <w:tc>
          <w:tcPr>
            <w:tcW w:type="dxa" w:w="1000"/>
          </w:tcPr>
          <w:p>
            <w:r/>
            <w:r>
              <w:rPr>
                <w:rFonts w:ascii="Arial" w:hAnsi="Arial"/>
                <w:b w:val="0"/>
                <w:i w:val="0"/>
                <w:sz w:val="18"/>
              </w:rPr>
              <w:t>+98%</w:t>
            </w:r>
          </w:p>
        </w:tc>
        <w:tc>
          <w:tcPr>
            <w:tcW w:type="dxa" w:w="1500"/>
          </w:tcPr>
          <w:p>
            <w:r/>
            <w:r>
              <w:rPr>
                <w:rFonts w:ascii="Arial" w:hAnsi="Arial"/>
                <w:b w:val="0"/>
                <w:i w:val="0"/>
                <w:sz w:val="18"/>
              </w:rPr>
              <w:t>S1, results</w:t>
            </w:r>
          </w:p>
        </w:tc>
      </w:tr>
      <w:tr>
        <w:tc>
          <w:tcPr>
            <w:tcW w:type="dxa" w:w="4400"/>
            <w:shd w:val="clear" w:fill="F2F2F2"/>
          </w:tcPr>
          <w:p>
            <w:r/>
            <w:r>
              <w:rPr>
                <w:rFonts w:ascii="Arial" w:hAnsi="Arial"/>
                <w:b/>
                <w:i w:val="0"/>
                <w:sz w:val="18"/>
              </w:rPr>
              <w:t>Attributable profit (incl ~US$808m Gruyere one-off)</w:t>
            </w:r>
          </w:p>
        </w:tc>
        <w:tc>
          <w:tcPr>
            <w:tcW w:type="dxa" w:w="1100"/>
            <w:shd w:val="clear" w:fill="FAFAFA"/>
          </w:tcPr>
          <w:p>
            <w:r/>
            <w:r>
              <w:rPr>
                <w:rFonts w:ascii="Arial" w:hAnsi="Arial"/>
                <w:b w:val="0"/>
                <w:i w:val="0"/>
                <w:sz w:val="18"/>
              </w:rPr>
              <w:t>3,567</w:t>
            </w:r>
          </w:p>
        </w:tc>
        <w:tc>
          <w:tcPr>
            <w:tcW w:type="dxa" w:w="1100"/>
            <w:shd w:val="clear" w:fill="FAFAFA"/>
          </w:tcPr>
          <w:p>
            <w:r/>
            <w:r>
              <w:rPr>
                <w:rFonts w:ascii="Arial" w:hAnsi="Arial"/>
                <w:b w:val="0"/>
                <w:i w:val="0"/>
                <w:sz w:val="18"/>
              </w:rPr>
              <w:t>1,245</w:t>
            </w:r>
          </w:p>
        </w:tc>
        <w:tc>
          <w:tcPr>
            <w:tcW w:type="dxa" w:w="1000"/>
            <w:shd w:val="clear" w:fill="FAFAFA"/>
          </w:tcPr>
          <w:p>
            <w:r/>
            <w:r>
              <w:rPr>
                <w:rFonts w:ascii="Arial" w:hAnsi="Arial"/>
                <w:b w:val="0"/>
                <w:i w:val="0"/>
                <w:sz w:val="18"/>
              </w:rPr>
              <w:t>+187%</w:t>
            </w:r>
          </w:p>
        </w:tc>
        <w:tc>
          <w:tcPr>
            <w:tcW w:type="dxa" w:w="1500"/>
            <w:shd w:val="clear" w:fill="FAFAFA"/>
          </w:tcPr>
          <w:p>
            <w:r/>
            <w:r>
              <w:rPr>
                <w:rFonts w:ascii="Arial" w:hAnsi="Arial"/>
                <w:b w:val="0"/>
                <w:i w:val="0"/>
                <w:sz w:val="18"/>
              </w:rPr>
              <w:t>S1, results</w:t>
            </w:r>
          </w:p>
        </w:tc>
      </w:tr>
      <w:tr>
        <w:tc>
          <w:tcPr>
            <w:tcW w:type="dxa" w:w="4400"/>
            <w:shd w:val="clear" w:fill="F2F2F2"/>
          </w:tcPr>
          <w:p>
            <w:r/>
            <w:r>
              <w:rPr>
                <w:rFonts w:ascii="Arial" w:hAnsi="Arial"/>
                <w:b/>
                <w:i w:val="0"/>
                <w:sz w:val="18"/>
              </w:rPr>
              <w:t>Normalised profit</w:t>
            </w:r>
          </w:p>
        </w:tc>
        <w:tc>
          <w:tcPr>
            <w:tcW w:type="dxa" w:w="1100"/>
          </w:tcPr>
          <w:p>
            <w:r/>
            <w:r>
              <w:rPr>
                <w:rFonts w:ascii="Arial" w:hAnsi="Arial"/>
                <w:b w:val="0"/>
                <w:i w:val="0"/>
                <w:sz w:val="18"/>
              </w:rPr>
              <w:t>2,684</w:t>
            </w:r>
          </w:p>
        </w:tc>
        <w:tc>
          <w:tcPr>
            <w:tcW w:type="dxa" w:w="1100"/>
          </w:tcPr>
          <w:p>
            <w:r/>
            <w:r>
              <w:rPr>
                <w:rFonts w:ascii="Arial" w:hAnsi="Arial"/>
                <w:b w:val="0"/>
                <w:i w:val="0"/>
                <w:sz w:val="18"/>
              </w:rPr>
              <w:t>1,227</w:t>
            </w:r>
          </w:p>
        </w:tc>
        <w:tc>
          <w:tcPr>
            <w:tcW w:type="dxa" w:w="1000"/>
          </w:tcPr>
          <w:p>
            <w:r/>
            <w:r>
              <w:rPr>
                <w:rFonts w:ascii="Arial" w:hAnsi="Arial"/>
                <w:b w:val="0"/>
                <w:i w:val="0"/>
                <w:sz w:val="18"/>
              </w:rPr>
              <w:t>+119%</w:t>
            </w:r>
          </w:p>
        </w:tc>
        <w:tc>
          <w:tcPr>
            <w:tcW w:type="dxa" w:w="1500"/>
          </w:tcPr>
          <w:p>
            <w:r/>
            <w:r>
              <w:rPr>
                <w:rFonts w:ascii="Arial" w:hAnsi="Arial"/>
                <w:b w:val="0"/>
                <w:i w:val="0"/>
                <w:sz w:val="18"/>
              </w:rPr>
              <w:t>S1, results</w:t>
            </w:r>
          </w:p>
        </w:tc>
      </w:tr>
      <w:tr>
        <w:tc>
          <w:tcPr>
            <w:tcW w:type="dxa" w:w="4400"/>
            <w:shd w:val="clear" w:fill="F2F2F2"/>
          </w:tcPr>
          <w:p>
            <w:r/>
            <w:r>
              <w:rPr>
                <w:rFonts w:ascii="Arial" w:hAnsi="Arial"/>
                <w:b/>
                <w:i w:val="0"/>
                <w:sz w:val="18"/>
              </w:rPr>
              <w:t>Attributable production (Moz)</w:t>
            </w:r>
          </w:p>
        </w:tc>
        <w:tc>
          <w:tcPr>
            <w:tcW w:type="dxa" w:w="1100"/>
            <w:shd w:val="clear" w:fill="FAFAFA"/>
          </w:tcPr>
          <w:p>
            <w:r/>
            <w:r>
              <w:rPr>
                <w:rFonts w:ascii="Arial" w:hAnsi="Arial"/>
                <w:b w:val="0"/>
                <w:i w:val="0"/>
                <w:sz w:val="18"/>
              </w:rPr>
              <w:t>2.438</w:t>
            </w:r>
          </w:p>
        </w:tc>
        <w:tc>
          <w:tcPr>
            <w:tcW w:type="dxa" w:w="1100"/>
            <w:shd w:val="clear" w:fill="FAFAFA"/>
          </w:tcPr>
          <w:p>
            <w:r/>
            <w:r>
              <w:rPr>
                <w:rFonts w:ascii="Arial" w:hAnsi="Arial"/>
                <w:b w:val="0"/>
                <w:i w:val="0"/>
                <w:sz w:val="18"/>
              </w:rPr>
              <w:t>2.071</w:t>
            </w:r>
          </w:p>
        </w:tc>
        <w:tc>
          <w:tcPr>
            <w:tcW w:type="dxa" w:w="1000"/>
            <w:shd w:val="clear" w:fill="FAFAFA"/>
          </w:tcPr>
          <w:p>
            <w:r/>
            <w:r>
              <w:rPr>
                <w:rFonts w:ascii="Arial" w:hAnsi="Arial"/>
                <w:b w:val="0"/>
                <w:i w:val="0"/>
                <w:sz w:val="18"/>
              </w:rPr>
              <w:t>+18%</w:t>
            </w:r>
          </w:p>
        </w:tc>
        <w:tc>
          <w:tcPr>
            <w:tcW w:type="dxa" w:w="1500"/>
            <w:shd w:val="clear" w:fill="FAFAFA"/>
          </w:tcPr>
          <w:p>
            <w:r/>
            <w:r>
              <w:rPr>
                <w:rFonts w:ascii="Arial" w:hAnsi="Arial"/>
                <w:b w:val="0"/>
                <w:i w:val="0"/>
                <w:sz w:val="18"/>
              </w:rPr>
              <w:t>S1, results</w:t>
            </w:r>
          </w:p>
        </w:tc>
      </w:tr>
      <w:tr>
        <w:tc>
          <w:tcPr>
            <w:tcW w:type="dxa" w:w="4400"/>
            <w:shd w:val="clear" w:fill="F2F2F2"/>
          </w:tcPr>
          <w:p>
            <w:r/>
            <w:r>
              <w:rPr>
                <w:rFonts w:ascii="Arial" w:hAnsi="Arial"/>
                <w:b/>
                <w:i w:val="0"/>
                <w:sz w:val="18"/>
              </w:rPr>
              <w:t>Group AISC (US$/oz)</w:t>
            </w:r>
          </w:p>
        </w:tc>
        <w:tc>
          <w:tcPr>
            <w:tcW w:type="dxa" w:w="1100"/>
          </w:tcPr>
          <w:p>
            <w:r/>
            <w:r>
              <w:rPr>
                <w:rFonts w:ascii="Arial" w:hAnsi="Arial"/>
                <w:b w:val="0"/>
                <w:i w:val="0"/>
                <w:sz w:val="18"/>
              </w:rPr>
              <w:t>1,645</w:t>
            </w:r>
          </w:p>
        </w:tc>
        <w:tc>
          <w:tcPr>
            <w:tcW w:type="dxa" w:w="1100"/>
          </w:tcPr>
          <w:p>
            <w:r/>
            <w:r>
              <w:rPr>
                <w:rFonts w:ascii="Arial" w:hAnsi="Arial"/>
                <w:b w:val="0"/>
                <w:i w:val="0"/>
                <w:sz w:val="18"/>
              </w:rPr>
              <w:t>1,629</w:t>
            </w:r>
          </w:p>
        </w:tc>
        <w:tc>
          <w:tcPr>
            <w:tcW w:type="dxa" w:w="1000"/>
          </w:tcPr>
          <w:p>
            <w:r/>
            <w:r>
              <w:rPr>
                <w:rFonts w:ascii="Arial" w:hAnsi="Arial"/>
                <w:b w:val="0"/>
                <w:i w:val="0"/>
                <w:sz w:val="18"/>
              </w:rPr>
              <w:t>+1%</w:t>
            </w:r>
          </w:p>
        </w:tc>
        <w:tc>
          <w:tcPr>
            <w:tcW w:type="dxa" w:w="1500"/>
          </w:tcPr>
          <w:p>
            <w:r/>
            <w:r>
              <w:rPr>
                <w:rFonts w:ascii="Arial" w:hAnsi="Arial"/>
                <w:b w:val="0"/>
                <w:i w:val="0"/>
                <w:sz w:val="18"/>
              </w:rPr>
              <w:t>S1, results</w:t>
            </w:r>
          </w:p>
        </w:tc>
      </w:tr>
      <w:tr>
        <w:tc>
          <w:tcPr>
            <w:tcW w:type="dxa" w:w="4400"/>
            <w:shd w:val="clear" w:fill="F2F2F2"/>
          </w:tcPr>
          <w:p>
            <w:r/>
            <w:r>
              <w:rPr>
                <w:rFonts w:ascii="Arial" w:hAnsi="Arial"/>
                <w:b/>
                <w:i w:val="0"/>
                <w:sz w:val="18"/>
              </w:rPr>
              <w:t>Adjusted free cash flow</w:t>
            </w:r>
          </w:p>
        </w:tc>
        <w:tc>
          <w:tcPr>
            <w:tcW w:type="dxa" w:w="1100"/>
            <w:shd w:val="clear" w:fill="FAFAFA"/>
          </w:tcPr>
          <w:p>
            <w:r/>
            <w:r>
              <w:rPr>
                <w:rFonts w:ascii="Arial" w:hAnsi="Arial"/>
                <w:b w:val="0"/>
                <w:i w:val="0"/>
                <w:sz w:val="18"/>
              </w:rPr>
              <w:t>2,970</w:t>
            </w:r>
          </w:p>
        </w:tc>
        <w:tc>
          <w:tcPr>
            <w:tcW w:type="dxa" w:w="1100"/>
            <w:shd w:val="clear" w:fill="FAFAFA"/>
          </w:tcPr>
          <w:p>
            <w:r/>
            <w:r>
              <w:rPr>
                <w:rFonts w:ascii="Arial" w:hAnsi="Arial"/>
                <w:b w:val="0"/>
                <w:i w:val="0"/>
                <w:sz w:val="18"/>
              </w:rPr>
              <w:t>605</w:t>
            </w:r>
          </w:p>
        </w:tc>
        <w:tc>
          <w:tcPr>
            <w:tcW w:type="dxa" w:w="1000"/>
            <w:shd w:val="clear" w:fill="FAFAFA"/>
          </w:tcPr>
          <w:p>
            <w:r/>
            <w:r>
              <w:rPr>
                <w:rFonts w:ascii="Arial" w:hAnsi="Arial"/>
                <w:b w:val="0"/>
                <w:i w:val="0"/>
                <w:sz w:val="18"/>
              </w:rPr>
              <w:t>+391%</w:t>
            </w:r>
          </w:p>
        </w:tc>
        <w:tc>
          <w:tcPr>
            <w:tcW w:type="dxa" w:w="1500"/>
            <w:shd w:val="clear" w:fill="FAFAFA"/>
          </w:tcPr>
          <w:p>
            <w:r/>
            <w:r>
              <w:rPr>
                <w:rFonts w:ascii="Arial" w:hAnsi="Arial"/>
                <w:b w:val="0"/>
                <w:i w:val="0"/>
                <w:sz w:val="18"/>
              </w:rPr>
              <w:t>S1, results</w:t>
            </w:r>
          </w:p>
        </w:tc>
      </w:tr>
      <w:tr>
        <w:tc>
          <w:tcPr>
            <w:tcW w:type="dxa" w:w="4400"/>
            <w:shd w:val="clear" w:fill="F2F2F2"/>
          </w:tcPr>
          <w:p>
            <w:r/>
            <w:r>
              <w:rPr>
                <w:rFonts w:ascii="Arial" w:hAnsi="Arial"/>
                <w:b/>
                <w:i w:val="0"/>
                <w:sz w:val="18"/>
              </w:rPr>
              <w:t>Net debt / adj. EBITDA (x)</w:t>
            </w:r>
          </w:p>
        </w:tc>
        <w:tc>
          <w:tcPr>
            <w:tcW w:type="dxa" w:w="1100"/>
          </w:tcPr>
          <w:p>
            <w:r/>
            <w:r>
              <w:rPr>
                <w:rFonts w:ascii="Arial" w:hAnsi="Arial"/>
                <w:b w:val="0"/>
                <w:i w:val="0"/>
                <w:sz w:val="18"/>
              </w:rPr>
              <w:t>0.26</w:t>
            </w:r>
          </w:p>
        </w:tc>
        <w:tc>
          <w:tcPr>
            <w:tcW w:type="dxa" w:w="1100"/>
          </w:tcPr>
          <w:p>
            <w:r/>
            <w:r>
              <w:rPr>
                <w:rFonts w:ascii="Arial" w:hAnsi="Arial"/>
                <w:b w:val="0"/>
                <w:i w:val="0"/>
                <w:sz w:val="18"/>
              </w:rPr>
              <w:t>0.73</w:t>
            </w:r>
          </w:p>
        </w:tc>
        <w:tc>
          <w:tcPr>
            <w:tcW w:type="dxa" w:w="1000"/>
          </w:tcPr>
          <w:p>
            <w:r/>
            <w:r>
              <w:rPr>
                <w:rFonts w:ascii="Arial" w:hAnsi="Arial"/>
                <w:b w:val="0"/>
                <w:i w:val="0"/>
                <w:sz w:val="18"/>
              </w:rPr>
              <w:t>−0.47x</w:t>
            </w:r>
          </w:p>
        </w:tc>
        <w:tc>
          <w:tcPr>
            <w:tcW w:type="dxa" w:w="1500"/>
          </w:tcPr>
          <w:p>
            <w:r/>
            <w:r>
              <w:rPr>
                <w:rFonts w:ascii="Arial" w:hAnsi="Arial"/>
                <w:b w:val="0"/>
                <w:i w:val="0"/>
                <w:sz w:val="18"/>
              </w:rPr>
              <w:t>S1, results</w:t>
            </w:r>
          </w:p>
        </w:tc>
      </w:tr>
      <w:tr>
        <w:tc>
          <w:tcPr>
            <w:tcW w:type="dxa" w:w="4400"/>
            <w:shd w:val="clear" w:fill="F2F2F2"/>
          </w:tcPr>
          <w:p>
            <w:r/>
            <w:r>
              <w:rPr>
                <w:rFonts w:ascii="Arial" w:hAnsi="Arial"/>
                <w:b/>
                <w:i w:val="0"/>
                <w:sz w:val="18"/>
              </w:rPr>
              <w:t>Total ordinary dividend (ZAR/share)</w:t>
            </w:r>
          </w:p>
        </w:tc>
        <w:tc>
          <w:tcPr>
            <w:tcW w:type="dxa" w:w="1100"/>
            <w:shd w:val="clear" w:fill="FAFAFA"/>
          </w:tcPr>
          <w:p>
            <w:r/>
            <w:r>
              <w:rPr>
                <w:rFonts w:ascii="Arial" w:hAnsi="Arial"/>
                <w:b w:val="0"/>
                <w:i w:val="0"/>
                <w:sz w:val="18"/>
              </w:rPr>
              <w:t>25.50</w:t>
            </w:r>
          </w:p>
        </w:tc>
        <w:tc>
          <w:tcPr>
            <w:tcW w:type="dxa" w:w="1100"/>
            <w:shd w:val="clear" w:fill="FAFAFA"/>
          </w:tcPr>
          <w:p>
            <w:r/>
            <w:r>
              <w:rPr>
                <w:rFonts w:ascii="Arial" w:hAnsi="Arial"/>
                <w:b w:val="0"/>
                <w:i w:val="0"/>
                <w:sz w:val="18"/>
              </w:rPr>
              <w:t>11.00</w:t>
            </w:r>
          </w:p>
        </w:tc>
        <w:tc>
          <w:tcPr>
            <w:tcW w:type="dxa" w:w="1000"/>
            <w:shd w:val="clear" w:fill="FAFAFA"/>
          </w:tcPr>
          <w:p>
            <w:r/>
            <w:r>
              <w:rPr>
                <w:rFonts w:ascii="Arial" w:hAnsi="Arial"/>
                <w:b w:val="0"/>
                <w:i w:val="0"/>
                <w:sz w:val="18"/>
              </w:rPr>
              <w:t>+132%</w:t>
            </w:r>
          </w:p>
        </w:tc>
        <w:tc>
          <w:tcPr>
            <w:tcW w:type="dxa" w:w="1500"/>
            <w:shd w:val="clear" w:fill="FAFAFA"/>
          </w:tcPr>
          <w:p>
            <w:r/>
            <w:r>
              <w:rPr>
                <w:rFonts w:ascii="Arial" w:hAnsi="Arial"/>
                <w:b w:val="0"/>
                <w:i w:val="0"/>
                <w:sz w:val="18"/>
              </w:rPr>
              <w:t>S1, results</w:t>
            </w:r>
          </w:p>
        </w:tc>
      </w:tr>
    </w:tbl>
    <w:p>
      <w:pPr>
        <w:spacing w:after="40" w:before="0"/>
      </w:pPr>
    </w:p>
    <w:p>
      <w:pPr>
        <w:spacing w:after="120" w:before="0"/>
      </w:pPr>
      <w:r>
        <w:rPr>
          <w:rFonts w:ascii="Arial" w:hAnsi="Arial"/>
          <w:b w:val="0"/>
          <w:i w:val="0"/>
          <w:sz w:val="21"/>
        </w:rPr>
        <w:t>FY2025 also paid a ~R4.50 special dividend (total distributions ~US$1.7bn, ~54% of adjusted FCF). FY2026 company guidance: production 2.40–2.60Moz, AISC US$1,800–2,000/oz, capex US$1.9–2.1bn (S1).</w:t>
      </w:r>
    </w:p>
    <w:p>
      <w:pPr>
        <w:pStyle w:val="Heading1"/>
      </w:pPr>
      <w:r>
        <w:t>3.  Scenario A — Substantial rand weakness (USD/ZAR ~21–22)</w:t>
      </w:r>
    </w:p>
    <w:p>
      <w:pPr>
        <w:spacing w:after="160" w:before="0"/>
      </w:pPr>
      <w:r>
        <w:rPr>
          <w:rFonts w:ascii="Arial" w:hAnsi="Arial"/>
          <w:b/>
          <w:i w:val="0"/>
          <w:sz w:val="21"/>
        </w:rPr>
        <w:t xml:space="preserve">The mechanism. </w:t>
      </w:r>
      <w:r>
        <w:rPr>
          <w:rFonts w:ascii="Arial" w:hAnsi="Arial"/>
          <w:b w:val="0"/>
          <w:i w:val="0"/>
          <w:sz w:val="21"/>
        </w:rPr>
        <w:t xml:space="preserve">Group revenue is set by US-dollar gold price × ounces sold and is unaffected by the ZAR. The rand enters only through South Deep's cost base. A ~25–35% depreciation (to ~R21–22 from ~R16.2 spot) trims group AISC by roughly US$30–60/oz (e) — we model −US$40/oz — lifting group EBITDA </w:t>
      </w:r>
      <w:r>
        <w:rPr>
          <w:rFonts w:ascii="Arial" w:hAnsi="Arial"/>
          <w:b/>
          <w:i w:val="0"/>
          <w:sz w:val="21"/>
        </w:rPr>
        <w:t>+US$100m FY2026e and +US$107m FY2027e (e)</w:t>
      </w:r>
      <w:r>
        <w:rPr>
          <w:rFonts w:ascii="Arial" w:hAnsi="Arial"/>
          <w:b w:val="0"/>
          <w:i w:val="0"/>
          <w:sz w:val="21"/>
        </w:rPr>
        <w:t>, about +1.4% on the modelled base. Real, but second-order.</w:t>
      </w:r>
    </w:p>
    <w:p>
      <w:pPr>
        <w:spacing w:after="160" w:before="0"/>
      </w:pPr>
      <w:r>
        <w:rPr>
          <w:rFonts w:ascii="Arial" w:hAnsi="Arial"/>
          <w:b/>
          <w:i w:val="0"/>
          <w:sz w:val="21"/>
        </w:rPr>
        <w:t xml:space="preserve">What matters for a rand investor. </w:t>
      </w:r>
      <w:r>
        <w:rPr>
          <w:rFonts w:ascii="Arial" w:hAnsi="Arial"/>
          <w:b w:val="0"/>
          <w:i w:val="0"/>
          <w:sz w:val="21"/>
        </w:rPr>
        <w:t>The JSE share price and the dividend are denominated in rand. With US-dollar earnings unchanged, a ~25–30% weaker rand mechanically lifts the rand share price and the rand dividend by a similar amount — modelled rand EBITDA rises from R121bn to ~R156bn FY2026e (+29%) and to ~R173bn FY2027e (e). On flat USD payout, the FY2025 R25.50 ordinary dividend would translate ~25–30% higher purely on FX. Gold Fields is a natural rand hedge for a rand-based holder.</w:t>
      </w:r>
    </w:p>
    <w:p>
      <w:pPr>
        <w:pStyle w:val="Heading1"/>
      </w:pPr>
      <w:r>
        <w:t>4.  Scenario B — Load-shedding reintroduced (Stage 4–6)</w:t>
      </w:r>
    </w:p>
    <w:p>
      <w:pPr>
        <w:spacing w:after="160" w:before="0"/>
      </w:pPr>
      <w:r>
        <w:rPr>
          <w:rFonts w:ascii="Arial" w:hAnsi="Arial"/>
          <w:b/>
          <w:i w:val="0"/>
          <w:sz w:val="21"/>
        </w:rPr>
        <w:t xml:space="preserve">Starting point. </w:t>
      </w:r>
      <w:r>
        <w:rPr>
          <w:rFonts w:ascii="Arial" w:hAnsi="Arial"/>
          <w:b w:val="0"/>
          <w:i w:val="0"/>
          <w:sz w:val="21"/>
        </w:rPr>
        <w:t xml:space="preserve">Load-shedding has been suspended 341+ consecutive days and Eskom forecasts none for winter 2026 (S5) — so this is a re-introduction stress, not the base case. </w:t>
      </w:r>
      <w:r>
        <w:rPr>
          <w:rFonts w:ascii="Arial" w:hAnsi="Arial"/>
          <w:b/>
          <w:i w:val="0"/>
          <w:sz w:val="21"/>
        </w:rPr>
        <w:t>Exposure is ring-fenced to South Deep</w:t>
      </w:r>
      <w:r>
        <w:rPr>
          <w:rFonts w:ascii="Arial" w:hAnsi="Arial"/>
          <w:b w:val="0"/>
          <w:i w:val="0"/>
          <w:sz w:val="21"/>
        </w:rPr>
        <w:t>, the only Gold Fields asset on the Eskom grid.</w:t>
      </w:r>
    </w:p>
    <w:p>
      <w:pPr>
        <w:spacing w:after="160" w:before="0"/>
      </w:pPr>
      <w:r>
        <w:rPr>
          <w:rFonts w:ascii="Arial" w:hAnsi="Arial"/>
          <w:b/>
          <w:i w:val="0"/>
          <w:sz w:val="21"/>
        </w:rPr>
        <w:t xml:space="preserve">Mitigation is already built. </w:t>
      </w:r>
      <w:r>
        <w:rPr>
          <w:rFonts w:ascii="Arial" w:hAnsi="Arial"/>
          <w:b w:val="0"/>
          <w:i w:val="0"/>
          <w:sz w:val="21"/>
        </w:rPr>
        <w:t>South Deep's 50MW Khanyisa solar plant generates at ~8.5% of Eskom grid cost and at times exports surplus; a solar-plus-battery and a wind study are under evaluation (S3). Solar is daytime-only and cannot cover the 24/7 underground load, so it cushions rather than removes the risk.</w:t>
      </w:r>
    </w:p>
    <w:p>
      <w:pPr>
        <w:spacing w:after="160" w:before="0"/>
      </w:pPr>
      <w:r>
        <w:rPr>
          <w:rFonts w:ascii="Arial" w:hAnsi="Arial"/>
          <w:b/>
          <w:i w:val="0"/>
          <w:sz w:val="21"/>
        </w:rPr>
        <w:t xml:space="preserve">Size of the effect. </w:t>
      </w:r>
      <w:r>
        <w:rPr>
          <w:rFonts w:ascii="Arial" w:hAnsi="Arial"/>
          <w:b w:val="0"/>
          <w:i w:val="0"/>
          <w:sz w:val="21"/>
        </w:rPr>
        <w:t xml:space="preserve">A return to Stage 4–6 plausibly costs South Deep ~5–15koz and adds ~US$50–150/oz to its AISC; weighted to ~14% of the group that is ~US$20/oz on group AISC and ~5koz on group output — a group EBITDA drag of </w:t>
      </w:r>
      <w:r>
        <w:rPr>
          <w:rFonts w:ascii="Arial" w:hAnsi="Arial"/>
          <w:b/>
          <w:i w:val="0"/>
          <w:sz w:val="21"/>
        </w:rPr>
        <w:t>~−US$74m FY2026e and ~−US$76m FY2027e (e)</w:t>
      </w:r>
      <w:r>
        <w:rPr>
          <w:rFonts w:ascii="Arial" w:hAnsi="Arial"/>
          <w:b w:val="0"/>
          <w:i w:val="0"/>
          <w:sz w:val="21"/>
        </w:rPr>
        <w:t>, ~−1.0% of the modelled base (within the ~US$50–120m envelope).</w:t>
      </w:r>
    </w:p>
    <w:p>
      <w:pPr>
        <w:pStyle w:val="Heading1"/>
      </w:pPr>
      <w:r>
        <w:t>5.  Scenario output — group EBITDA &amp; FCF (US$m unless stated), all forward values (e)</w:t>
      </w:r>
    </w:p>
    <w:p>
      <w:pPr>
        <w:spacing w:after="120" w:before="0"/>
      </w:pPr>
      <w:r>
        <w:rPr>
          <w:rFonts w:ascii="Arial" w:hAnsi="Arial"/>
          <w:b w:val="0"/>
          <w:i w:val="0"/>
          <w:sz w:val="21"/>
        </w:rPr>
        <w:t>Calibration: gold held flat within each year (US$4,300/oz FY2026e, US$4,400/oz FY2027e); production near guidance mid-point; base AISC at guidance mid-point (US$1,900/oz). Only the two SA levers move per scenario. Full live-formula build is in the companion model (S6).</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000"/>
            <w:shd w:val="clear" w:fill="1F3864"/>
          </w:tcPr>
          <w:p>
            <w:r/>
            <w:r>
              <w:rPr>
                <w:rFonts w:ascii="Arial" w:hAnsi="Arial"/>
                <w:b/>
                <w:i w:val="0"/>
                <w:color w:val="FFFFFF"/>
                <w:sz w:val="18"/>
              </w:rPr>
              <w:t>Output</w:t>
            </w:r>
          </w:p>
        </w:tc>
        <w:tc>
          <w:tcPr>
            <w:tcW w:type="dxa" w:w="1000"/>
            <w:shd w:val="clear" w:fill="1F3864"/>
          </w:tcPr>
          <w:p>
            <w:r/>
            <w:r>
              <w:rPr>
                <w:rFonts w:ascii="Arial" w:hAnsi="Arial"/>
                <w:b/>
                <w:i w:val="0"/>
                <w:color w:val="FFFFFF"/>
                <w:sz w:val="18"/>
              </w:rPr>
              <w:t>Base 26e</w:t>
            </w:r>
          </w:p>
        </w:tc>
        <w:tc>
          <w:tcPr>
            <w:tcW w:type="dxa" w:w="1100"/>
            <w:shd w:val="clear" w:fill="1F3864"/>
          </w:tcPr>
          <w:p>
            <w:r/>
            <w:r>
              <w:rPr>
                <w:rFonts w:ascii="Arial" w:hAnsi="Arial"/>
                <w:b/>
                <w:i w:val="0"/>
                <w:color w:val="FFFFFF"/>
                <w:sz w:val="18"/>
              </w:rPr>
              <w:t>Weak‑rand 26e</w:t>
            </w:r>
          </w:p>
        </w:tc>
        <w:tc>
          <w:tcPr>
            <w:tcW w:type="dxa" w:w="1100"/>
            <w:shd w:val="clear" w:fill="1F3864"/>
          </w:tcPr>
          <w:p>
            <w:r/>
            <w:r>
              <w:rPr>
                <w:rFonts w:ascii="Arial" w:hAnsi="Arial"/>
                <w:b/>
                <w:i w:val="0"/>
                <w:color w:val="FFFFFF"/>
                <w:sz w:val="18"/>
              </w:rPr>
              <w:t>Load‑shed 26e</w:t>
            </w:r>
          </w:p>
        </w:tc>
        <w:tc>
          <w:tcPr>
            <w:tcW w:type="dxa" w:w="1100"/>
            <w:shd w:val="clear" w:fill="1F3864"/>
          </w:tcPr>
          <w:p>
            <w:r/>
            <w:r>
              <w:rPr>
                <w:rFonts w:ascii="Arial" w:hAnsi="Arial"/>
                <w:b/>
                <w:i w:val="0"/>
                <w:color w:val="FFFFFF"/>
                <w:sz w:val="18"/>
              </w:rPr>
              <w:t>Combined 26e</w:t>
            </w:r>
          </w:p>
        </w:tc>
        <w:tc>
          <w:tcPr>
            <w:tcW w:type="dxa" w:w="1000"/>
            <w:shd w:val="clear" w:fill="1F3864"/>
          </w:tcPr>
          <w:p>
            <w:r/>
            <w:r>
              <w:rPr>
                <w:rFonts w:ascii="Arial" w:hAnsi="Arial"/>
                <w:b/>
                <w:i w:val="0"/>
                <w:color w:val="FFFFFF"/>
                <w:sz w:val="18"/>
              </w:rPr>
              <w:t>Base 27e</w:t>
            </w:r>
          </w:p>
        </w:tc>
        <w:tc>
          <w:tcPr>
            <w:tcW w:type="dxa" w:w="1100"/>
            <w:shd w:val="clear" w:fill="1F3864"/>
          </w:tcPr>
          <w:p>
            <w:r/>
            <w:r>
              <w:rPr>
                <w:rFonts w:ascii="Arial" w:hAnsi="Arial"/>
                <w:b/>
                <w:i w:val="0"/>
                <w:color w:val="FFFFFF"/>
                <w:sz w:val="18"/>
              </w:rPr>
              <w:t>Weak‑rand 27e</w:t>
            </w:r>
          </w:p>
        </w:tc>
        <w:tc>
          <w:tcPr>
            <w:tcW w:type="dxa" w:w="1100"/>
            <w:shd w:val="clear" w:fill="1F3864"/>
          </w:tcPr>
          <w:p>
            <w:r/>
            <w:r>
              <w:rPr>
                <w:rFonts w:ascii="Arial" w:hAnsi="Arial"/>
                <w:b/>
                <w:i w:val="0"/>
                <w:color w:val="FFFFFF"/>
                <w:sz w:val="18"/>
              </w:rPr>
              <w:t>Load‑shed 27e</w:t>
            </w:r>
          </w:p>
        </w:tc>
        <w:tc>
          <w:tcPr>
            <w:tcW w:type="dxa" w:w="1100"/>
            <w:shd w:val="clear" w:fill="1F3864"/>
          </w:tcPr>
          <w:p>
            <w:r/>
            <w:r>
              <w:rPr>
                <w:rFonts w:ascii="Arial" w:hAnsi="Arial"/>
                <w:b/>
                <w:i w:val="0"/>
                <w:color w:val="FFFFFF"/>
                <w:sz w:val="18"/>
              </w:rPr>
              <w:t>Combined 27e</w:t>
            </w:r>
          </w:p>
        </w:tc>
      </w:tr>
      <w:tr>
        <w:tc>
          <w:tcPr>
            <w:tcW w:type="dxa" w:w="2000"/>
            <w:shd w:val="clear" w:fill="F2F2F2"/>
          </w:tcPr>
          <w:p>
            <w:r/>
            <w:r>
              <w:rPr>
                <w:rFonts w:ascii="Arial" w:hAnsi="Arial"/>
                <w:b/>
                <w:i w:val="0"/>
                <w:sz w:val="18"/>
              </w:rPr>
              <w:t>Realised gold (US$/oz)</w:t>
            </w:r>
          </w:p>
        </w:tc>
        <w:tc>
          <w:tcPr>
            <w:tcW w:type="dxa" w:w="1000"/>
          </w:tcPr>
          <w:p>
            <w:r/>
            <w:r>
              <w:rPr>
                <w:rFonts w:ascii="Arial" w:hAnsi="Arial"/>
                <w:b w:val="0"/>
                <w:i w:val="0"/>
                <w:sz w:val="18"/>
              </w:rPr>
              <w:t>4,300</w:t>
            </w:r>
          </w:p>
        </w:tc>
        <w:tc>
          <w:tcPr>
            <w:tcW w:type="dxa" w:w="1100"/>
          </w:tcPr>
          <w:p>
            <w:r/>
            <w:r>
              <w:rPr>
                <w:rFonts w:ascii="Arial" w:hAnsi="Arial"/>
                <w:b w:val="0"/>
                <w:i w:val="0"/>
                <w:sz w:val="18"/>
              </w:rPr>
              <w:t>4,300</w:t>
            </w:r>
          </w:p>
        </w:tc>
        <w:tc>
          <w:tcPr>
            <w:tcW w:type="dxa" w:w="1100"/>
          </w:tcPr>
          <w:p>
            <w:r/>
            <w:r>
              <w:rPr>
                <w:rFonts w:ascii="Arial" w:hAnsi="Arial"/>
                <w:b w:val="0"/>
                <w:i w:val="0"/>
                <w:sz w:val="18"/>
              </w:rPr>
              <w:t>4,300</w:t>
            </w:r>
          </w:p>
        </w:tc>
        <w:tc>
          <w:tcPr>
            <w:tcW w:type="dxa" w:w="1100"/>
          </w:tcPr>
          <w:p>
            <w:r/>
            <w:r>
              <w:rPr>
                <w:rFonts w:ascii="Arial" w:hAnsi="Arial"/>
                <w:b w:val="0"/>
                <w:i w:val="0"/>
                <w:sz w:val="18"/>
              </w:rPr>
              <w:t>4,300</w:t>
            </w:r>
          </w:p>
        </w:tc>
        <w:tc>
          <w:tcPr>
            <w:tcW w:type="dxa" w:w="1000"/>
          </w:tcPr>
          <w:p>
            <w:r/>
            <w:r>
              <w:rPr>
                <w:rFonts w:ascii="Arial" w:hAnsi="Arial"/>
                <w:b w:val="0"/>
                <w:i w:val="0"/>
                <w:sz w:val="18"/>
              </w:rPr>
              <w:t>4,400</w:t>
            </w:r>
          </w:p>
        </w:tc>
        <w:tc>
          <w:tcPr>
            <w:tcW w:type="dxa" w:w="1100"/>
          </w:tcPr>
          <w:p>
            <w:r/>
            <w:r>
              <w:rPr>
                <w:rFonts w:ascii="Arial" w:hAnsi="Arial"/>
                <w:b w:val="0"/>
                <w:i w:val="0"/>
                <w:sz w:val="18"/>
              </w:rPr>
              <w:t>4,400</w:t>
            </w:r>
          </w:p>
        </w:tc>
        <w:tc>
          <w:tcPr>
            <w:tcW w:type="dxa" w:w="1100"/>
          </w:tcPr>
          <w:p>
            <w:r/>
            <w:r>
              <w:rPr>
                <w:rFonts w:ascii="Arial" w:hAnsi="Arial"/>
                <w:b w:val="0"/>
                <w:i w:val="0"/>
                <w:sz w:val="18"/>
              </w:rPr>
              <w:t>4,400</w:t>
            </w:r>
          </w:p>
        </w:tc>
        <w:tc>
          <w:tcPr>
            <w:tcW w:type="dxa" w:w="1100"/>
          </w:tcPr>
          <w:p>
            <w:r/>
            <w:r>
              <w:rPr>
                <w:rFonts w:ascii="Arial" w:hAnsi="Arial"/>
                <w:b w:val="0"/>
                <w:i w:val="0"/>
                <w:sz w:val="18"/>
              </w:rPr>
              <w:t>4,400</w:t>
            </w:r>
          </w:p>
        </w:tc>
      </w:tr>
      <w:tr>
        <w:tc>
          <w:tcPr>
            <w:tcW w:type="dxa" w:w="2000"/>
            <w:shd w:val="clear" w:fill="F2F2F2"/>
          </w:tcPr>
          <w:p>
            <w:r/>
            <w:r>
              <w:rPr>
                <w:rFonts w:ascii="Arial" w:hAnsi="Arial"/>
                <w:b/>
                <w:i w:val="0"/>
                <w:sz w:val="18"/>
              </w:rPr>
              <w:t>Production (Moz)</w:t>
            </w:r>
          </w:p>
        </w:tc>
        <w:tc>
          <w:tcPr>
            <w:tcW w:type="dxa" w:w="1000"/>
            <w:shd w:val="clear" w:fill="FAFAFA"/>
          </w:tcPr>
          <w:p>
            <w:r/>
            <w:r>
              <w:rPr>
                <w:rFonts w:ascii="Arial" w:hAnsi="Arial"/>
                <w:b w:val="0"/>
                <w:i w:val="0"/>
                <w:sz w:val="18"/>
              </w:rPr>
              <w:t>2.50</w:t>
            </w:r>
          </w:p>
        </w:tc>
        <w:tc>
          <w:tcPr>
            <w:tcW w:type="dxa" w:w="1100"/>
            <w:shd w:val="clear" w:fill="FAFAFA"/>
          </w:tcPr>
          <w:p>
            <w:r/>
            <w:r>
              <w:rPr>
                <w:rFonts w:ascii="Arial" w:hAnsi="Arial"/>
                <w:b w:val="0"/>
                <w:i w:val="0"/>
                <w:sz w:val="18"/>
              </w:rPr>
              <w:t>2.50</w:t>
            </w:r>
          </w:p>
        </w:tc>
        <w:tc>
          <w:tcPr>
            <w:tcW w:type="dxa" w:w="1100"/>
            <w:shd w:val="clear" w:fill="FAFAFA"/>
          </w:tcPr>
          <w:p>
            <w:r/>
            <w:r>
              <w:rPr>
                <w:rFonts w:ascii="Arial" w:hAnsi="Arial"/>
                <w:b w:val="0"/>
                <w:i w:val="0"/>
                <w:sz w:val="18"/>
              </w:rPr>
              <w:t>2.49</w:t>
            </w:r>
          </w:p>
        </w:tc>
        <w:tc>
          <w:tcPr>
            <w:tcW w:type="dxa" w:w="1100"/>
            <w:shd w:val="clear" w:fill="FAFAFA"/>
          </w:tcPr>
          <w:p>
            <w:r/>
            <w:r>
              <w:rPr>
                <w:rFonts w:ascii="Arial" w:hAnsi="Arial"/>
                <w:b w:val="0"/>
                <w:i w:val="0"/>
                <w:sz w:val="18"/>
              </w:rPr>
              <w:t>2.49</w:t>
            </w:r>
          </w:p>
        </w:tc>
        <w:tc>
          <w:tcPr>
            <w:tcW w:type="dxa" w:w="1000"/>
            <w:shd w:val="clear" w:fill="FAFAFA"/>
          </w:tcPr>
          <w:p>
            <w:r/>
            <w:r>
              <w:rPr>
                <w:rFonts w:ascii="Arial" w:hAnsi="Arial"/>
                <w:b w:val="0"/>
                <w:i w:val="0"/>
                <w:sz w:val="18"/>
              </w:rPr>
              <w:t>2.55</w:t>
            </w:r>
          </w:p>
        </w:tc>
        <w:tc>
          <w:tcPr>
            <w:tcW w:type="dxa" w:w="1100"/>
            <w:shd w:val="clear" w:fill="FAFAFA"/>
          </w:tcPr>
          <w:p>
            <w:r/>
            <w:r>
              <w:rPr>
                <w:rFonts w:ascii="Arial" w:hAnsi="Arial"/>
                <w:b w:val="0"/>
                <w:i w:val="0"/>
                <w:sz w:val="18"/>
              </w:rPr>
              <w:t>2.55</w:t>
            </w:r>
          </w:p>
        </w:tc>
        <w:tc>
          <w:tcPr>
            <w:tcW w:type="dxa" w:w="1100"/>
            <w:shd w:val="clear" w:fill="FAFAFA"/>
          </w:tcPr>
          <w:p>
            <w:r/>
            <w:r>
              <w:rPr>
                <w:rFonts w:ascii="Arial" w:hAnsi="Arial"/>
                <w:b w:val="0"/>
                <w:i w:val="0"/>
                <w:sz w:val="18"/>
              </w:rPr>
              <w:t>2.54</w:t>
            </w:r>
          </w:p>
        </w:tc>
        <w:tc>
          <w:tcPr>
            <w:tcW w:type="dxa" w:w="1100"/>
            <w:shd w:val="clear" w:fill="FAFAFA"/>
          </w:tcPr>
          <w:p>
            <w:r/>
            <w:r>
              <w:rPr>
                <w:rFonts w:ascii="Arial" w:hAnsi="Arial"/>
                <w:b w:val="0"/>
                <w:i w:val="0"/>
                <w:sz w:val="18"/>
              </w:rPr>
              <w:t>2.54</w:t>
            </w:r>
          </w:p>
        </w:tc>
      </w:tr>
      <w:tr>
        <w:tc>
          <w:tcPr>
            <w:tcW w:type="dxa" w:w="2000"/>
            <w:shd w:val="clear" w:fill="F2F2F2"/>
          </w:tcPr>
          <w:p>
            <w:r/>
            <w:r>
              <w:rPr>
                <w:rFonts w:ascii="Arial" w:hAnsi="Arial"/>
                <w:b/>
                <w:i w:val="0"/>
                <w:sz w:val="18"/>
              </w:rPr>
              <w:t>Group AISC (US$/oz)</w:t>
            </w:r>
          </w:p>
        </w:tc>
        <w:tc>
          <w:tcPr>
            <w:tcW w:type="dxa" w:w="1000"/>
          </w:tcPr>
          <w:p>
            <w:r/>
            <w:r>
              <w:rPr>
                <w:rFonts w:ascii="Arial" w:hAnsi="Arial"/>
                <w:b w:val="0"/>
                <w:i w:val="0"/>
                <w:sz w:val="18"/>
              </w:rPr>
              <w:t>1,900</w:t>
            </w:r>
          </w:p>
        </w:tc>
        <w:tc>
          <w:tcPr>
            <w:tcW w:type="dxa" w:w="1100"/>
          </w:tcPr>
          <w:p>
            <w:r/>
            <w:r>
              <w:rPr>
                <w:rFonts w:ascii="Arial" w:hAnsi="Arial"/>
                <w:b w:val="0"/>
                <w:i w:val="0"/>
                <w:sz w:val="18"/>
              </w:rPr>
              <w:t>1,860</w:t>
            </w:r>
          </w:p>
        </w:tc>
        <w:tc>
          <w:tcPr>
            <w:tcW w:type="dxa" w:w="1100"/>
          </w:tcPr>
          <w:p>
            <w:r/>
            <w:r>
              <w:rPr>
                <w:rFonts w:ascii="Arial" w:hAnsi="Arial"/>
                <w:b w:val="0"/>
                <w:i w:val="0"/>
                <w:sz w:val="18"/>
              </w:rPr>
              <w:t>1,920</w:t>
            </w:r>
          </w:p>
        </w:tc>
        <w:tc>
          <w:tcPr>
            <w:tcW w:type="dxa" w:w="1100"/>
          </w:tcPr>
          <w:p>
            <w:r/>
            <w:r>
              <w:rPr>
                <w:rFonts w:ascii="Arial" w:hAnsi="Arial"/>
                <w:b w:val="0"/>
                <w:i w:val="0"/>
                <w:sz w:val="18"/>
              </w:rPr>
              <w:t>1,880</w:t>
            </w:r>
          </w:p>
        </w:tc>
        <w:tc>
          <w:tcPr>
            <w:tcW w:type="dxa" w:w="1000"/>
          </w:tcPr>
          <w:p>
            <w:r/>
            <w:r>
              <w:rPr>
                <w:rFonts w:ascii="Arial" w:hAnsi="Arial"/>
                <w:b w:val="0"/>
                <w:i w:val="0"/>
                <w:sz w:val="18"/>
              </w:rPr>
              <w:t>1,880</w:t>
            </w:r>
          </w:p>
        </w:tc>
        <w:tc>
          <w:tcPr>
            <w:tcW w:type="dxa" w:w="1100"/>
          </w:tcPr>
          <w:p>
            <w:r/>
            <w:r>
              <w:rPr>
                <w:rFonts w:ascii="Arial" w:hAnsi="Arial"/>
                <w:b w:val="0"/>
                <w:i w:val="0"/>
                <w:sz w:val="18"/>
              </w:rPr>
              <w:t>1,838</w:t>
            </w:r>
          </w:p>
        </w:tc>
        <w:tc>
          <w:tcPr>
            <w:tcW w:type="dxa" w:w="1100"/>
          </w:tcPr>
          <w:p>
            <w:r/>
            <w:r>
              <w:rPr>
                <w:rFonts w:ascii="Arial" w:hAnsi="Arial"/>
                <w:b w:val="0"/>
                <w:i w:val="0"/>
                <w:sz w:val="18"/>
              </w:rPr>
              <w:t>1,900</w:t>
            </w:r>
          </w:p>
        </w:tc>
        <w:tc>
          <w:tcPr>
            <w:tcW w:type="dxa" w:w="1100"/>
          </w:tcPr>
          <w:p>
            <w:r/>
            <w:r>
              <w:rPr>
                <w:rFonts w:ascii="Arial" w:hAnsi="Arial"/>
                <w:b w:val="0"/>
                <w:i w:val="0"/>
                <w:sz w:val="18"/>
              </w:rPr>
              <w:t>1,858</w:t>
            </w:r>
          </w:p>
        </w:tc>
      </w:tr>
      <w:tr>
        <w:tc>
          <w:tcPr>
            <w:tcW w:type="dxa" w:w="2000"/>
            <w:shd w:val="clear" w:fill="F2F2F2"/>
          </w:tcPr>
          <w:p>
            <w:r/>
            <w:r>
              <w:rPr>
                <w:rFonts w:ascii="Arial" w:hAnsi="Arial"/>
                <w:b/>
                <w:i w:val="0"/>
                <w:sz w:val="18"/>
              </w:rPr>
              <w:t>USD/ZAR (avg)</w:t>
            </w:r>
          </w:p>
        </w:tc>
        <w:tc>
          <w:tcPr>
            <w:tcW w:type="dxa" w:w="1000"/>
            <w:shd w:val="clear" w:fill="FAFAFA"/>
          </w:tcPr>
          <w:p>
            <w:r/>
            <w:r>
              <w:rPr>
                <w:rFonts w:ascii="Arial" w:hAnsi="Arial"/>
                <w:b w:val="0"/>
                <w:i w:val="0"/>
                <w:sz w:val="18"/>
              </w:rPr>
              <w:t>16.5</w:t>
            </w:r>
          </w:p>
        </w:tc>
        <w:tc>
          <w:tcPr>
            <w:tcW w:type="dxa" w:w="1100"/>
            <w:shd w:val="clear" w:fill="FAFAFA"/>
          </w:tcPr>
          <w:p>
            <w:r/>
            <w:r>
              <w:rPr>
                <w:rFonts w:ascii="Arial" w:hAnsi="Arial"/>
                <w:b w:val="0"/>
                <w:i w:val="0"/>
                <w:sz w:val="18"/>
              </w:rPr>
              <w:t>21.0</w:t>
            </w:r>
          </w:p>
        </w:tc>
        <w:tc>
          <w:tcPr>
            <w:tcW w:type="dxa" w:w="1100"/>
            <w:shd w:val="clear" w:fill="FAFAFA"/>
          </w:tcPr>
          <w:p>
            <w:r/>
            <w:r>
              <w:rPr>
                <w:rFonts w:ascii="Arial" w:hAnsi="Arial"/>
                <w:b w:val="0"/>
                <w:i w:val="0"/>
                <w:sz w:val="18"/>
              </w:rPr>
              <w:t>16.5</w:t>
            </w:r>
          </w:p>
        </w:tc>
        <w:tc>
          <w:tcPr>
            <w:tcW w:type="dxa" w:w="1100"/>
            <w:shd w:val="clear" w:fill="FAFAFA"/>
          </w:tcPr>
          <w:p>
            <w:r/>
            <w:r>
              <w:rPr>
                <w:rFonts w:ascii="Arial" w:hAnsi="Arial"/>
                <w:b w:val="0"/>
                <w:i w:val="0"/>
                <w:sz w:val="18"/>
              </w:rPr>
              <w:t>21.0</w:t>
            </w:r>
          </w:p>
        </w:tc>
        <w:tc>
          <w:tcPr>
            <w:tcW w:type="dxa" w:w="1000"/>
            <w:shd w:val="clear" w:fill="FAFAFA"/>
          </w:tcPr>
          <w:p>
            <w:r/>
            <w:r>
              <w:rPr>
                <w:rFonts w:ascii="Arial" w:hAnsi="Arial"/>
                <w:b w:val="0"/>
                <w:i w:val="0"/>
                <w:sz w:val="18"/>
              </w:rPr>
              <w:t>16.8</w:t>
            </w:r>
          </w:p>
        </w:tc>
        <w:tc>
          <w:tcPr>
            <w:tcW w:type="dxa" w:w="1100"/>
            <w:shd w:val="clear" w:fill="FAFAFA"/>
          </w:tcPr>
          <w:p>
            <w:r/>
            <w:r>
              <w:rPr>
                <w:rFonts w:ascii="Arial" w:hAnsi="Arial"/>
                <w:b w:val="0"/>
                <w:i w:val="0"/>
                <w:sz w:val="18"/>
              </w:rPr>
              <w:t>22.0</w:t>
            </w:r>
          </w:p>
        </w:tc>
        <w:tc>
          <w:tcPr>
            <w:tcW w:type="dxa" w:w="1100"/>
            <w:shd w:val="clear" w:fill="FAFAFA"/>
          </w:tcPr>
          <w:p>
            <w:r/>
            <w:r>
              <w:rPr>
                <w:rFonts w:ascii="Arial" w:hAnsi="Arial"/>
                <w:b w:val="0"/>
                <w:i w:val="0"/>
                <w:sz w:val="18"/>
              </w:rPr>
              <w:t>16.8</w:t>
            </w:r>
          </w:p>
        </w:tc>
        <w:tc>
          <w:tcPr>
            <w:tcW w:type="dxa" w:w="1100"/>
            <w:shd w:val="clear" w:fill="FAFAFA"/>
          </w:tcPr>
          <w:p>
            <w:r/>
            <w:r>
              <w:rPr>
                <w:rFonts w:ascii="Arial" w:hAnsi="Arial"/>
                <w:b w:val="0"/>
                <w:i w:val="0"/>
                <w:sz w:val="18"/>
              </w:rPr>
              <w:t>22.0</w:t>
            </w:r>
          </w:p>
        </w:tc>
      </w:tr>
      <w:tr>
        <w:tc>
          <w:tcPr>
            <w:tcW w:type="dxa" w:w="2000"/>
            <w:shd w:val="clear" w:fill="F2F2F2"/>
          </w:tcPr>
          <w:p>
            <w:r/>
            <w:r>
              <w:rPr>
                <w:rFonts w:ascii="Arial" w:hAnsi="Arial"/>
                <w:b/>
                <w:i w:val="0"/>
                <w:sz w:val="18"/>
              </w:rPr>
              <w:t>EBITDA (e)</w:t>
            </w:r>
          </w:p>
        </w:tc>
        <w:tc>
          <w:tcPr>
            <w:tcW w:type="dxa" w:w="1000"/>
          </w:tcPr>
          <w:p>
            <w:r/>
            <w:r>
              <w:rPr>
                <w:rFonts w:ascii="Arial" w:hAnsi="Arial"/>
                <w:b w:val="0"/>
                <w:i w:val="0"/>
                <w:sz w:val="18"/>
              </w:rPr>
              <w:t>7,350</w:t>
            </w:r>
          </w:p>
        </w:tc>
        <w:tc>
          <w:tcPr>
            <w:tcW w:type="dxa" w:w="1100"/>
          </w:tcPr>
          <w:p>
            <w:r/>
            <w:r>
              <w:rPr>
                <w:rFonts w:ascii="Arial" w:hAnsi="Arial"/>
                <w:b w:val="0"/>
                <w:i w:val="0"/>
                <w:sz w:val="18"/>
              </w:rPr>
              <w:t>7,450</w:t>
            </w:r>
          </w:p>
        </w:tc>
        <w:tc>
          <w:tcPr>
            <w:tcW w:type="dxa" w:w="1100"/>
          </w:tcPr>
          <w:p>
            <w:r/>
            <w:r>
              <w:rPr>
                <w:rFonts w:ascii="Arial" w:hAnsi="Arial"/>
                <w:b w:val="0"/>
                <w:i w:val="0"/>
                <w:sz w:val="18"/>
              </w:rPr>
              <w:t>7,276</w:t>
            </w:r>
          </w:p>
        </w:tc>
        <w:tc>
          <w:tcPr>
            <w:tcW w:type="dxa" w:w="1100"/>
          </w:tcPr>
          <w:p>
            <w:r/>
            <w:r>
              <w:rPr>
                <w:rFonts w:ascii="Arial" w:hAnsi="Arial"/>
                <w:b w:val="0"/>
                <w:i w:val="0"/>
                <w:sz w:val="18"/>
              </w:rPr>
              <w:t>7,376</w:t>
            </w:r>
          </w:p>
        </w:tc>
        <w:tc>
          <w:tcPr>
            <w:tcW w:type="dxa" w:w="1000"/>
          </w:tcPr>
          <w:p>
            <w:r/>
            <w:r>
              <w:rPr>
                <w:rFonts w:ascii="Arial" w:hAnsi="Arial"/>
                <w:b w:val="0"/>
                <w:i w:val="0"/>
                <w:sz w:val="18"/>
              </w:rPr>
              <w:t>7,746</w:t>
            </w:r>
          </w:p>
        </w:tc>
        <w:tc>
          <w:tcPr>
            <w:tcW w:type="dxa" w:w="1100"/>
          </w:tcPr>
          <w:p>
            <w:r/>
            <w:r>
              <w:rPr>
                <w:rFonts w:ascii="Arial" w:hAnsi="Arial"/>
                <w:b w:val="0"/>
                <w:i w:val="0"/>
                <w:sz w:val="18"/>
              </w:rPr>
              <w:t>7,853</w:t>
            </w:r>
          </w:p>
        </w:tc>
        <w:tc>
          <w:tcPr>
            <w:tcW w:type="dxa" w:w="1100"/>
          </w:tcPr>
          <w:p>
            <w:r/>
            <w:r>
              <w:rPr>
                <w:rFonts w:ascii="Arial" w:hAnsi="Arial"/>
                <w:b w:val="0"/>
                <w:i w:val="0"/>
                <w:sz w:val="18"/>
              </w:rPr>
              <w:t>7,670</w:t>
            </w:r>
          </w:p>
        </w:tc>
        <w:tc>
          <w:tcPr>
            <w:tcW w:type="dxa" w:w="1100"/>
          </w:tcPr>
          <w:p>
            <w:r/>
            <w:r>
              <w:rPr>
                <w:rFonts w:ascii="Arial" w:hAnsi="Arial"/>
                <w:b w:val="0"/>
                <w:i w:val="0"/>
                <w:sz w:val="18"/>
              </w:rPr>
              <w:t>7,777</w:t>
            </w:r>
          </w:p>
        </w:tc>
      </w:tr>
      <w:tr>
        <w:tc>
          <w:tcPr>
            <w:tcW w:type="dxa" w:w="2000"/>
            <w:shd w:val="clear" w:fill="F2F2F2"/>
          </w:tcPr>
          <w:p>
            <w:r/>
            <w:r>
              <w:rPr>
                <w:rFonts w:ascii="Arial" w:hAnsi="Arial"/>
                <w:b/>
                <w:i w:val="0"/>
                <w:sz w:val="18"/>
              </w:rPr>
              <w:t>EBITDA vs Base (e)</w:t>
            </w:r>
          </w:p>
        </w:tc>
        <w:tc>
          <w:tcPr>
            <w:tcW w:type="dxa" w:w="1000"/>
            <w:shd w:val="clear" w:fill="FAFAFA"/>
          </w:tcPr>
          <w:p>
            <w:r/>
            <w:r>
              <w:rPr>
                <w:rFonts w:ascii="Arial" w:hAnsi="Arial"/>
                <w:b w:val="0"/>
                <w:i w:val="0"/>
                <w:sz w:val="18"/>
              </w:rPr>
              <w:t>—</w:t>
            </w:r>
          </w:p>
        </w:tc>
        <w:tc>
          <w:tcPr>
            <w:tcW w:type="dxa" w:w="1100"/>
            <w:shd w:val="clear" w:fill="FAFAFA"/>
          </w:tcPr>
          <w:p>
            <w:r/>
            <w:r>
              <w:rPr>
                <w:rFonts w:ascii="Arial" w:hAnsi="Arial"/>
                <w:b w:val="0"/>
                <w:i w:val="0"/>
                <w:sz w:val="18"/>
              </w:rPr>
              <w:t>+100</w:t>
            </w:r>
          </w:p>
        </w:tc>
        <w:tc>
          <w:tcPr>
            <w:tcW w:type="dxa" w:w="1100"/>
            <w:shd w:val="clear" w:fill="FAFAFA"/>
          </w:tcPr>
          <w:p>
            <w:r/>
            <w:r>
              <w:rPr>
                <w:rFonts w:ascii="Arial" w:hAnsi="Arial"/>
                <w:b w:val="0"/>
                <w:i w:val="0"/>
                <w:sz w:val="18"/>
              </w:rPr>
              <w:t>−74</w:t>
            </w:r>
          </w:p>
        </w:tc>
        <w:tc>
          <w:tcPr>
            <w:tcW w:type="dxa" w:w="1100"/>
            <w:shd w:val="clear" w:fill="FAFAFA"/>
          </w:tcPr>
          <w:p>
            <w:r/>
            <w:r>
              <w:rPr>
                <w:rFonts w:ascii="Arial" w:hAnsi="Arial"/>
                <w:b w:val="0"/>
                <w:i w:val="0"/>
                <w:sz w:val="18"/>
              </w:rPr>
              <w:t>+26</w:t>
            </w:r>
          </w:p>
        </w:tc>
        <w:tc>
          <w:tcPr>
            <w:tcW w:type="dxa" w:w="1000"/>
            <w:shd w:val="clear" w:fill="FAFAFA"/>
          </w:tcPr>
          <w:p>
            <w:r/>
            <w:r>
              <w:rPr>
                <w:rFonts w:ascii="Arial" w:hAnsi="Arial"/>
                <w:b w:val="0"/>
                <w:i w:val="0"/>
                <w:sz w:val="18"/>
              </w:rPr>
              <w:t>—</w:t>
            </w:r>
          </w:p>
        </w:tc>
        <w:tc>
          <w:tcPr>
            <w:tcW w:type="dxa" w:w="1100"/>
            <w:shd w:val="clear" w:fill="FAFAFA"/>
          </w:tcPr>
          <w:p>
            <w:r/>
            <w:r>
              <w:rPr>
                <w:rFonts w:ascii="Arial" w:hAnsi="Arial"/>
                <w:b w:val="0"/>
                <w:i w:val="0"/>
                <w:sz w:val="18"/>
              </w:rPr>
              <w:t>+107</w:t>
            </w:r>
          </w:p>
        </w:tc>
        <w:tc>
          <w:tcPr>
            <w:tcW w:type="dxa" w:w="1100"/>
            <w:shd w:val="clear" w:fill="FAFAFA"/>
          </w:tcPr>
          <w:p>
            <w:r/>
            <w:r>
              <w:rPr>
                <w:rFonts w:ascii="Arial" w:hAnsi="Arial"/>
                <w:b w:val="0"/>
                <w:i w:val="0"/>
                <w:sz w:val="18"/>
              </w:rPr>
              <w:t>−76</w:t>
            </w:r>
          </w:p>
        </w:tc>
        <w:tc>
          <w:tcPr>
            <w:tcW w:type="dxa" w:w="1100"/>
            <w:shd w:val="clear" w:fill="FAFAFA"/>
          </w:tcPr>
          <w:p>
            <w:r/>
            <w:r>
              <w:rPr>
                <w:rFonts w:ascii="Arial" w:hAnsi="Arial"/>
                <w:b w:val="0"/>
                <w:i w:val="0"/>
                <w:sz w:val="18"/>
              </w:rPr>
              <w:t>+31</w:t>
            </w:r>
          </w:p>
        </w:tc>
      </w:tr>
      <w:tr>
        <w:tc>
          <w:tcPr>
            <w:tcW w:type="dxa" w:w="2000"/>
            <w:shd w:val="clear" w:fill="F2F2F2"/>
          </w:tcPr>
          <w:p>
            <w:r/>
            <w:r>
              <w:rPr>
                <w:rFonts w:ascii="Arial" w:hAnsi="Arial"/>
                <w:b/>
                <w:i w:val="0"/>
                <w:sz w:val="18"/>
              </w:rPr>
              <w:t>EBITDA in ZAR bn (e)</w:t>
            </w:r>
          </w:p>
        </w:tc>
        <w:tc>
          <w:tcPr>
            <w:tcW w:type="dxa" w:w="1000"/>
          </w:tcPr>
          <w:p>
            <w:r/>
            <w:r>
              <w:rPr>
                <w:rFonts w:ascii="Arial" w:hAnsi="Arial"/>
                <w:b w:val="0"/>
                <w:i w:val="0"/>
                <w:sz w:val="18"/>
              </w:rPr>
              <w:t>121</w:t>
            </w:r>
          </w:p>
        </w:tc>
        <w:tc>
          <w:tcPr>
            <w:tcW w:type="dxa" w:w="1100"/>
          </w:tcPr>
          <w:p>
            <w:r/>
            <w:r>
              <w:rPr>
                <w:rFonts w:ascii="Arial" w:hAnsi="Arial"/>
                <w:b w:val="0"/>
                <w:i w:val="0"/>
                <w:sz w:val="18"/>
              </w:rPr>
              <w:t>156</w:t>
            </w:r>
          </w:p>
        </w:tc>
        <w:tc>
          <w:tcPr>
            <w:tcW w:type="dxa" w:w="1100"/>
          </w:tcPr>
          <w:p>
            <w:r/>
            <w:r>
              <w:rPr>
                <w:rFonts w:ascii="Arial" w:hAnsi="Arial"/>
                <w:b w:val="0"/>
                <w:i w:val="0"/>
                <w:sz w:val="18"/>
              </w:rPr>
              <w:t>120</w:t>
            </w:r>
          </w:p>
        </w:tc>
        <w:tc>
          <w:tcPr>
            <w:tcW w:type="dxa" w:w="1100"/>
          </w:tcPr>
          <w:p>
            <w:r/>
            <w:r>
              <w:rPr>
                <w:rFonts w:ascii="Arial" w:hAnsi="Arial"/>
                <w:b w:val="0"/>
                <w:i w:val="0"/>
                <w:sz w:val="18"/>
              </w:rPr>
              <w:t>155</w:t>
            </w:r>
          </w:p>
        </w:tc>
        <w:tc>
          <w:tcPr>
            <w:tcW w:type="dxa" w:w="1000"/>
          </w:tcPr>
          <w:p>
            <w:r/>
            <w:r>
              <w:rPr>
                <w:rFonts w:ascii="Arial" w:hAnsi="Arial"/>
                <w:b w:val="0"/>
                <w:i w:val="0"/>
                <w:sz w:val="18"/>
              </w:rPr>
              <w:t>130</w:t>
            </w:r>
          </w:p>
        </w:tc>
        <w:tc>
          <w:tcPr>
            <w:tcW w:type="dxa" w:w="1100"/>
          </w:tcPr>
          <w:p>
            <w:r/>
            <w:r>
              <w:rPr>
                <w:rFonts w:ascii="Arial" w:hAnsi="Arial"/>
                <w:b w:val="0"/>
                <w:i w:val="0"/>
                <w:sz w:val="18"/>
              </w:rPr>
              <w:t>173</w:t>
            </w:r>
          </w:p>
        </w:tc>
        <w:tc>
          <w:tcPr>
            <w:tcW w:type="dxa" w:w="1100"/>
          </w:tcPr>
          <w:p>
            <w:r/>
            <w:r>
              <w:rPr>
                <w:rFonts w:ascii="Arial" w:hAnsi="Arial"/>
                <w:b w:val="0"/>
                <w:i w:val="0"/>
                <w:sz w:val="18"/>
              </w:rPr>
              <w:t>129</w:t>
            </w:r>
          </w:p>
        </w:tc>
        <w:tc>
          <w:tcPr>
            <w:tcW w:type="dxa" w:w="1100"/>
          </w:tcPr>
          <w:p>
            <w:r/>
            <w:r>
              <w:rPr>
                <w:rFonts w:ascii="Arial" w:hAnsi="Arial"/>
                <w:b w:val="0"/>
                <w:i w:val="0"/>
                <w:sz w:val="18"/>
              </w:rPr>
              <w:t>171</w:t>
            </w:r>
          </w:p>
        </w:tc>
      </w:tr>
      <w:tr>
        <w:tc>
          <w:tcPr>
            <w:tcW w:type="dxa" w:w="2000"/>
            <w:shd w:val="clear" w:fill="F2F2F2"/>
          </w:tcPr>
          <w:p>
            <w:r/>
            <w:r>
              <w:rPr>
                <w:rFonts w:ascii="Arial" w:hAnsi="Arial"/>
                <w:b/>
                <w:i w:val="0"/>
                <w:sz w:val="18"/>
              </w:rPr>
              <w:t>Post‑tax FCF proxy (e)</w:t>
            </w:r>
          </w:p>
        </w:tc>
        <w:tc>
          <w:tcPr>
            <w:tcW w:type="dxa" w:w="1000"/>
            <w:shd w:val="clear" w:fill="FAFAFA"/>
          </w:tcPr>
          <w:p>
            <w:r/>
            <w:r>
              <w:rPr>
                <w:rFonts w:ascii="Arial" w:hAnsi="Arial"/>
                <w:b w:val="0"/>
                <w:i w:val="0"/>
                <w:sz w:val="18"/>
              </w:rPr>
              <w:t>3,675</w:t>
            </w:r>
          </w:p>
        </w:tc>
        <w:tc>
          <w:tcPr>
            <w:tcW w:type="dxa" w:w="1100"/>
            <w:shd w:val="clear" w:fill="FAFAFA"/>
          </w:tcPr>
          <w:p>
            <w:r/>
            <w:r>
              <w:rPr>
                <w:rFonts w:ascii="Arial" w:hAnsi="Arial"/>
                <w:b w:val="0"/>
                <w:i w:val="0"/>
                <w:sz w:val="18"/>
              </w:rPr>
              <w:t>3,745</w:t>
            </w:r>
          </w:p>
        </w:tc>
        <w:tc>
          <w:tcPr>
            <w:tcW w:type="dxa" w:w="1100"/>
            <w:shd w:val="clear" w:fill="FAFAFA"/>
          </w:tcPr>
          <w:p>
            <w:r/>
            <w:r>
              <w:rPr>
                <w:rFonts w:ascii="Arial" w:hAnsi="Arial"/>
                <w:b w:val="0"/>
                <w:i w:val="0"/>
                <w:sz w:val="18"/>
              </w:rPr>
              <w:t>3,625</w:t>
            </w:r>
          </w:p>
        </w:tc>
        <w:tc>
          <w:tcPr>
            <w:tcW w:type="dxa" w:w="1100"/>
            <w:shd w:val="clear" w:fill="FAFAFA"/>
          </w:tcPr>
          <w:p>
            <w:r/>
            <w:r>
              <w:rPr>
                <w:rFonts w:ascii="Arial" w:hAnsi="Arial"/>
                <w:b w:val="0"/>
                <w:i w:val="0"/>
                <w:sz w:val="18"/>
              </w:rPr>
              <w:t>3,695</w:t>
            </w:r>
          </w:p>
        </w:tc>
        <w:tc>
          <w:tcPr>
            <w:tcW w:type="dxa" w:w="1000"/>
            <w:shd w:val="clear" w:fill="FAFAFA"/>
          </w:tcPr>
          <w:p>
            <w:r/>
            <w:r>
              <w:rPr>
                <w:rFonts w:ascii="Arial" w:hAnsi="Arial"/>
                <w:b w:val="0"/>
                <w:i w:val="0"/>
                <w:sz w:val="18"/>
              </w:rPr>
              <w:t>3,981</w:t>
            </w:r>
          </w:p>
        </w:tc>
        <w:tc>
          <w:tcPr>
            <w:tcW w:type="dxa" w:w="1100"/>
            <w:shd w:val="clear" w:fill="FAFAFA"/>
          </w:tcPr>
          <w:p>
            <w:r/>
            <w:r>
              <w:rPr>
                <w:rFonts w:ascii="Arial" w:hAnsi="Arial"/>
                <w:b w:val="0"/>
                <w:i w:val="0"/>
                <w:sz w:val="18"/>
              </w:rPr>
              <w:t>4,056</w:t>
            </w:r>
          </w:p>
        </w:tc>
        <w:tc>
          <w:tcPr>
            <w:tcW w:type="dxa" w:w="1100"/>
            <w:shd w:val="clear" w:fill="FAFAFA"/>
          </w:tcPr>
          <w:p>
            <w:r/>
            <w:r>
              <w:rPr>
                <w:rFonts w:ascii="Arial" w:hAnsi="Arial"/>
                <w:b w:val="0"/>
                <w:i w:val="0"/>
                <w:sz w:val="18"/>
              </w:rPr>
              <w:t>3,929</w:t>
            </w:r>
          </w:p>
        </w:tc>
        <w:tc>
          <w:tcPr>
            <w:tcW w:type="dxa" w:w="1100"/>
            <w:shd w:val="clear" w:fill="FAFAFA"/>
          </w:tcPr>
          <w:p>
            <w:r/>
            <w:r>
              <w:rPr>
                <w:rFonts w:ascii="Arial" w:hAnsi="Arial"/>
                <w:b w:val="0"/>
                <w:i w:val="0"/>
                <w:sz w:val="18"/>
              </w:rPr>
              <w:t>4,004</w:t>
            </w:r>
          </w:p>
        </w:tc>
      </w:tr>
    </w:tbl>
    <w:p>
      <w:pPr>
        <w:spacing w:after="40" w:before="0"/>
      </w:pPr>
    </w:p>
    <w:p>
      <w:pPr>
        <w:spacing w:after="160" w:before="0"/>
      </w:pPr>
      <w:r>
        <w:rPr>
          <w:rFonts w:ascii="Arial" w:hAnsi="Arial"/>
          <w:b/>
          <w:i w:val="0"/>
          <w:sz w:val="21"/>
        </w:rPr>
        <w:t xml:space="preserve">Read-through. </w:t>
      </w:r>
      <w:r>
        <w:rPr>
          <w:rFonts w:ascii="Arial" w:hAnsi="Arial"/>
          <w:b w:val="0"/>
          <w:i w:val="0"/>
          <w:sz w:val="21"/>
        </w:rPr>
        <w:t>In US-dollar terms all stress columns sit within ~±1.5% of the base — the weaker-rand cost benefit roughly offsets the load-shedding drag, so the realistic combined SA-stress case is close to a wash (+US$26m FY2026e / +US$31m FY2027e (e)). In rand terms the weaker-rand and combined cases are ~29% higher, because the same US-dollar EBITDA is translated at R21–22 rather than R16.5–16.8.</w:t>
      </w:r>
    </w:p>
    <w:p>
      <w:pPr>
        <w:pStyle w:val="Heading1"/>
      </w:pPr>
      <w:r>
        <w:t>6.  What actually moves the needle — the gold price</w:t>
      </w:r>
    </w:p>
    <w:p>
      <w:pPr>
        <w:pStyle w:val="ListBullet"/>
        <w:spacing w:after="80"/>
      </w:pPr>
      <w:r>
        <w:rPr>
          <w:rFonts w:ascii="Arial" w:hAnsi="Arial"/>
          <w:b/>
          <w:i w:val="0"/>
          <w:sz w:val="21"/>
        </w:rPr>
        <w:t>Gold price: ±US$100/oz → ±US$250m EBITDA (e)</w:t>
      </w:r>
      <w:r>
        <w:rPr>
          <w:rFonts w:ascii="Arial" w:hAnsi="Arial"/>
          <w:b w:val="0"/>
          <w:i w:val="0"/>
          <w:sz w:val="21"/>
        </w:rPr>
        <w:t xml:space="preserve"> at ~2.5Moz. Gold itself swung from US$4,152 (10 Jun) to US$4,301/oz (18 Jun 2026) (S4) — a ~US$150/oz move in eight days, ~US$375m of annualised EBITDA (e), larger than the full-year impact of either SA scenario.</w:t>
      </w:r>
    </w:p>
    <w:p>
      <w:pPr>
        <w:pStyle w:val="ListBullet"/>
        <w:spacing w:after="80"/>
      </w:pPr>
      <w:r>
        <w:rPr>
          <w:rFonts w:ascii="Arial" w:hAnsi="Arial"/>
          <w:b/>
          <w:i w:val="0"/>
          <w:sz w:val="21"/>
        </w:rPr>
        <w:t>Group AISC: ±US$100/oz → ∓US$250m EBITDA (e).</w:t>
      </w:r>
      <w:r>
        <w:rPr>
          <w:rFonts w:ascii="Arial" w:hAnsi="Arial"/>
          <w:b w:val="0"/>
          <w:i w:val="0"/>
          <w:sz w:val="21"/>
        </w:rPr>
        <w:t xml:space="preserve"> The rand and load-shedding both work through AISC, but their net swing (±~US$40–60/oz) is small next to a gold-price move.</w:t>
      </w:r>
    </w:p>
    <w:p>
      <w:pPr>
        <w:pStyle w:val="ListBullet"/>
        <w:spacing w:after="80"/>
      </w:pPr>
      <w:r>
        <w:rPr>
          <w:rFonts w:ascii="Arial" w:hAnsi="Arial"/>
          <w:b/>
          <w:i w:val="0"/>
          <w:sz w:val="21"/>
        </w:rPr>
        <w:t xml:space="preserve">Implication. </w:t>
      </w:r>
      <w:r>
        <w:rPr>
          <w:rFonts w:ascii="Arial" w:hAnsi="Arial"/>
          <w:b w:val="0"/>
          <w:i w:val="0"/>
          <w:sz w:val="21"/>
        </w:rPr>
        <w:t xml:space="preserve">A Gold Fields position is a bet on the US-dollar gold price and on delivery against guidance — not on the rand or Eskom. The SA factors are a modest, mostly favourable, swing around that. </w:t>
      </w:r>
      <w:r>
        <w:rPr>
          <w:rFonts w:ascii="Arial" w:hAnsi="Arial"/>
          <w:b w:val="0"/>
          <w:i/>
          <w:sz w:val="21"/>
        </w:rPr>
        <w:t>(House judgement.)</w:t>
      </w:r>
    </w:p>
    <w:p>
      <w:pPr>
        <w:pStyle w:val="Heading1"/>
      </w:pPr>
      <w:r>
        <w:t>7.  Risk flags &amp; watch items (mining lens)</w:t>
      </w:r>
    </w:p>
    <w:p>
      <w:pPr>
        <w:pStyle w:val="ListBullet"/>
        <w:spacing w:after="80"/>
      </w:pPr>
      <w:r>
        <w:rPr>
          <w:rFonts w:ascii="Arial" w:hAnsi="Arial"/>
          <w:b/>
          <w:i w:val="0"/>
          <w:sz w:val="21"/>
        </w:rPr>
        <w:t xml:space="preserve">Gold-price reversal — the real risk. </w:t>
      </w:r>
      <w:r>
        <w:rPr>
          <w:rFonts w:ascii="Arial" w:hAnsi="Arial"/>
          <w:b w:val="0"/>
          <w:i w:val="0"/>
          <w:sz w:val="21"/>
        </w:rPr>
        <w:t>Gold is up ~28% y/y; a sharp pullback hurts far more than any SA shock. A Fed turn toward hikes is a real-rate headwind to watch (S4).</w:t>
      </w:r>
    </w:p>
    <w:p>
      <w:pPr>
        <w:pStyle w:val="ListBullet"/>
        <w:spacing w:after="80"/>
      </w:pPr>
      <w:r>
        <w:rPr>
          <w:rFonts w:ascii="Arial" w:hAnsi="Arial"/>
          <w:b/>
          <w:i w:val="0"/>
          <w:sz w:val="21"/>
        </w:rPr>
        <w:t xml:space="preserve">South Deep ramp execution. </w:t>
      </w:r>
      <w:r>
        <w:rPr>
          <w:rFonts w:ascii="Arial" w:hAnsi="Arial"/>
          <w:b w:val="0"/>
          <w:i w:val="0"/>
          <w:sz w:val="21"/>
        </w:rPr>
        <w:t>The 320→380koz/a step-up is the SA value driver; load-shedding or grid instability would slow it. Track Khanyisa output and the battery/wind FID (S2/S3).</w:t>
      </w:r>
    </w:p>
    <w:p>
      <w:pPr>
        <w:pStyle w:val="ListBullet"/>
        <w:spacing w:after="80"/>
      </w:pPr>
      <w:r>
        <w:rPr>
          <w:rFonts w:ascii="Arial" w:hAnsi="Arial"/>
          <w:b/>
          <w:i w:val="0"/>
          <w:sz w:val="21"/>
        </w:rPr>
        <w:t xml:space="preserve">Non-SA portfolio events dwarf the SA levers. </w:t>
      </w:r>
      <w:r>
        <w:rPr>
          <w:rFonts w:ascii="Arial" w:hAnsi="Arial"/>
          <w:b w:val="0"/>
          <w:i w:val="0"/>
          <w:sz w:val="21"/>
        </w:rPr>
        <w:t>Tarkwa (Ghana) mining leases expire April 2027 (renewal not automatic); Damang handed back to the State April 2026; Windfall (Canada) FID guided mid-2026. Each is a larger swing factor than load-shedding (S1).</w:t>
      </w:r>
    </w:p>
    <w:p>
      <w:pPr>
        <w:pStyle w:val="ListBullet"/>
        <w:spacing w:after="80"/>
      </w:pPr>
      <w:r>
        <w:rPr>
          <w:rFonts w:ascii="Arial" w:hAnsi="Arial"/>
          <w:b/>
          <w:i w:val="0"/>
          <w:sz w:val="21"/>
        </w:rPr>
        <w:t xml:space="preserve">Rand STRENGTH, not weakness, is the mild negative. </w:t>
      </w:r>
      <w:r>
        <w:rPr>
          <w:rFonts w:ascii="Arial" w:hAnsi="Arial"/>
          <w:b w:val="0"/>
          <w:i w:val="0"/>
          <w:sz w:val="21"/>
        </w:rPr>
        <w:t>The scenario asked about is favourable-to-neutral; the less-discussed risk is a stronger rand lifting South Deep's USD cost and deflating rand-translated returns.</w:t>
      </w:r>
    </w:p>
    <w:p>
      <w:pPr>
        <w:pStyle w:val="ListBullet"/>
        <w:spacing w:after="80"/>
      </w:pPr>
      <w:r>
        <w:rPr>
          <w:rFonts w:ascii="Arial" w:hAnsi="Arial"/>
          <w:b/>
          <w:i w:val="0"/>
          <w:sz w:val="21"/>
        </w:rPr>
        <w:t xml:space="preserve">Cost inflation. </w:t>
      </w:r>
      <w:r>
        <w:rPr>
          <w:rFonts w:ascii="Arial" w:hAnsi="Arial"/>
          <w:b w:val="0"/>
          <w:i w:val="0"/>
          <w:sz w:val="21"/>
        </w:rPr>
        <w:t>A weak rand usually rides on higher SA inflation and SARB rates (repo 7.00% after the 28 May 2026 hike), which over time lifts South Deep's rand wage and consumable costs, eroding part of the FX cost benefit (S4).</w:t>
      </w:r>
    </w:p>
    <w:p>
      <w:pPr>
        <w:pStyle w:val="Heading1"/>
      </w:pPr>
      <w:r>
        <w:t>8.  Positive Outcomes Assessment (ESG &amp; Stakeholder) — informational, non-financial</w:t>
      </w:r>
    </w:p>
    <w:p>
      <w:pPr>
        <w:spacing w:after="160" w:before="0"/>
      </w:pPr>
      <w:r>
        <w:rPr>
          <w:rFonts w:ascii="Arial" w:hAnsi="Arial"/>
          <w:b w:val="0"/>
          <w:i w:val="0"/>
          <w:sz w:val="21"/>
        </w:rPr>
        <w:t xml:space="preserve">Per AllWeather's </w:t>
      </w:r>
      <w:r>
        <w:rPr>
          <w:rFonts w:ascii="Arial" w:hAnsi="Arial"/>
          <w:b w:val="0"/>
          <w:i/>
          <w:sz w:val="21"/>
        </w:rPr>
        <w:t>'Investing in positive outcomes'</w:t>
      </w:r>
      <w:r>
        <w:rPr>
          <w:rFonts w:ascii="Arial" w:hAnsi="Arial"/>
          <w:b w:val="0"/>
          <w:i w:val="0"/>
          <w:sz w:val="21"/>
        </w:rPr>
        <w:t xml:space="preserve"> philosophy, every analysis carries this labelled ESG &amp; stakeholder lens. It is informational and non-financial: it does NOT change, gate or tie-break the financial verdict above. The FY2025 Integrated Annual Report and sustainability report are not yet on disk (coverage gap), so hard ESG figures should be re-verified on a deep run. Items marked 'AllWeather view:' are judgement, not sourced fact.</w:t>
      </w:r>
    </w:p>
    <w:p>
      <w:pPr>
        <w:pStyle w:val="ListBullet"/>
        <w:spacing w:after="80"/>
      </w:pPr>
      <w:r>
        <w:rPr>
          <w:rFonts w:ascii="Arial" w:hAnsi="Arial"/>
          <w:b/>
          <w:i w:val="0"/>
          <w:sz w:val="21"/>
        </w:rPr>
        <w:t xml:space="preserve">ESG / impact. </w:t>
      </w:r>
      <w:r>
        <w:rPr>
          <w:rFonts w:ascii="Arial" w:hAnsi="Arial"/>
          <w:b w:val="0"/>
          <w:i w:val="0"/>
          <w:sz w:val="21"/>
        </w:rPr>
        <w:t>Net-zero by 2050 (Paris-aligned); Scope 1&amp;2 −30% net / −50% absolute by 2030, Scope 3 −10% net by 2030; by 2024 only ~4% Scope 1&amp;2 cut vs the 2016 baseline (production +5% over the span) — most reduction still to come. South Deep's 50MW Khanyisa solar (~8.5% of grid cost, exports surplus) both lowers emissions and hardens the mine against the load-shedding risk modelled here. 2030 goals also span tailings, water and a 30% female workforce (S3).</w:t>
      </w:r>
    </w:p>
    <w:p>
      <w:pPr>
        <w:pStyle w:val="ListBullet"/>
        <w:spacing w:after="80"/>
      </w:pPr>
      <w:r>
        <w:rPr>
          <w:rFonts w:ascii="Arial" w:hAnsi="Arial"/>
          <w:b/>
          <w:i w:val="0"/>
          <w:sz w:val="21"/>
        </w:rPr>
        <w:t xml:space="preserve">Stakeholder outcomes. </w:t>
      </w:r>
      <w:r>
        <w:rPr>
          <w:rFonts w:ascii="Arial" w:hAnsi="Arial"/>
          <w:b w:val="0"/>
          <w:i w:val="0"/>
          <w:sz w:val="21"/>
        </w:rPr>
        <w:t>Safety — the primary social metric for a deep miner — five consecutive fatality-free quarters, though three serious injuries in the latest quarter show the journey is incomplete. The Thusano employee share trust holds ~10.75% of GFIMSA (the SA holdco), paying employee dividends; South Deep Education &amp; Community Trusts fund jobs, adult education, infrastructure and small-enterprise development. The same SA shocks modelled financially also pressure host communities, raising the value of these programmes (S3).</w:t>
      </w:r>
    </w:p>
    <w:p>
      <w:pPr>
        <w:pStyle w:val="ListBullet"/>
        <w:spacing w:after="80"/>
      </w:pPr>
      <w:r>
        <w:rPr>
          <w:rFonts w:ascii="Arial" w:hAnsi="Arial"/>
          <w:b/>
          <w:i w:val="0"/>
          <w:sz w:val="21"/>
        </w:rPr>
        <w:t xml:space="preserve">AllWeather view: </w:t>
      </w:r>
      <w:r>
        <w:rPr>
          <w:rFonts w:ascii="Arial" w:hAnsi="Arial"/>
          <w:b w:val="0"/>
          <w:i w:val="0"/>
          <w:sz w:val="21"/>
        </w:rPr>
        <w:t>climate ambition is sound and the renewables build genuine, but thin 2024 progress vs the 2016 baseline is the item to scrutinise; the trust structures are a tangible, differentiated positive. The open question is wage/workforce/B-BBEE data, not on disk — pull from the FY2025 IAR (logged as a coverage gap). Judgement, not sourced fact.</w:t>
      </w:r>
    </w:p>
    <w:p>
      <w:pPr>
        <w:spacing w:after="160" w:before="0"/>
      </w:pPr>
      <w:r>
        <w:rPr>
          <w:rFonts w:ascii="Arial" w:hAnsi="Arial"/>
          <w:b w:val="0"/>
          <w:i/>
          <w:sz w:val="21"/>
        </w:rPr>
        <w:t>Reminder: this assessment is informational only and does not alter the financial conclusion in Sections 1–7.</w:t>
      </w:r>
    </w:p>
    <w:p>
      <w:pPr>
        <w:pStyle w:val="Heading1"/>
      </w:pPr>
      <w:r>
        <w:t>9.  Provenance &amp; Verification appendix (key figures)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400"/>
            <w:shd w:val="clear" w:fill="1F3864"/>
          </w:tcPr>
          <w:p>
            <w:r/>
            <w:r>
              <w:rPr>
                <w:rFonts w:ascii="Arial" w:hAnsi="Arial"/>
                <w:b/>
                <w:i w:val="0"/>
                <w:color w:val="FFFFFF"/>
                <w:sz w:val="18"/>
              </w:rPr>
              <w:t>#</w:t>
            </w:r>
          </w:p>
        </w:tc>
        <w:tc>
          <w:tcPr>
            <w:tcW w:type="dxa" w:w="2700"/>
            <w:shd w:val="clear" w:fill="1F3864"/>
          </w:tcPr>
          <w:p>
            <w:r/>
            <w:r>
              <w:rPr>
                <w:rFonts w:ascii="Arial" w:hAnsi="Arial"/>
                <w:b/>
                <w:i w:val="0"/>
                <w:color w:val="FFFFFF"/>
                <w:sz w:val="18"/>
              </w:rPr>
              <w:t>Figure</w:t>
            </w:r>
          </w:p>
        </w:tc>
        <w:tc>
          <w:tcPr>
            <w:tcW w:type="dxa" w:w="1900"/>
            <w:shd w:val="clear" w:fill="1F3864"/>
          </w:tcPr>
          <w:p>
            <w:r/>
            <w:r>
              <w:rPr>
                <w:rFonts w:ascii="Arial" w:hAnsi="Arial"/>
                <w:b/>
                <w:i w:val="0"/>
                <w:color w:val="FFFFFF"/>
                <w:sz w:val="18"/>
              </w:rPr>
              <w:t>Value</w:t>
            </w:r>
          </w:p>
        </w:tc>
        <w:tc>
          <w:tcPr>
            <w:tcW w:type="dxa" w:w="2600"/>
            <w:shd w:val="clear" w:fill="1F3864"/>
          </w:tcPr>
          <w:p>
            <w:r/>
            <w:r>
              <w:rPr>
                <w:rFonts w:ascii="Arial" w:hAnsi="Arial"/>
                <w:b/>
                <w:i w:val="0"/>
                <w:color w:val="FFFFFF"/>
                <w:sz w:val="18"/>
              </w:rPr>
              <w:t>Reported / Derived</w:t>
            </w:r>
          </w:p>
        </w:tc>
        <w:tc>
          <w:tcPr>
            <w:tcW w:type="dxa" w:w="700"/>
            <w:shd w:val="clear" w:fill="1F3864"/>
          </w:tcPr>
          <w:p>
            <w:r/>
            <w:r>
              <w:rPr>
                <w:rFonts w:ascii="Arial" w:hAnsi="Arial"/>
                <w:b/>
                <w:i w:val="0"/>
                <w:color w:val="FFFFFF"/>
                <w:sz w:val="18"/>
              </w:rPr>
              <w:t>Source</w:t>
            </w:r>
          </w:p>
        </w:tc>
        <w:tc>
          <w:tcPr>
            <w:tcW w:type="dxa" w:w="2400"/>
            <w:shd w:val="clear" w:fill="1F3864"/>
          </w:tcPr>
          <w:p>
            <w:r/>
            <w:r>
              <w:rPr>
                <w:rFonts w:ascii="Arial" w:hAnsi="Arial"/>
                <w:b/>
                <w:i w:val="0"/>
                <w:color w:val="FFFFFF"/>
                <w:sz w:val="18"/>
              </w:rPr>
              <w:t>Doc / section</w:t>
            </w:r>
          </w:p>
        </w:tc>
      </w:tr>
      <w:tr>
        <w:tc>
          <w:tcPr>
            <w:tcW w:type="dxa" w:w="400"/>
            <w:shd w:val="clear" w:fill="F2F2F2"/>
          </w:tcPr>
          <w:p>
            <w:r/>
            <w:r>
              <w:rPr>
                <w:rFonts w:ascii="Arial" w:hAnsi="Arial"/>
                <w:b/>
                <w:i w:val="0"/>
                <w:sz w:val="18"/>
              </w:rPr>
              <w:t>1</w:t>
            </w:r>
          </w:p>
        </w:tc>
        <w:tc>
          <w:tcPr>
            <w:tcW w:type="dxa" w:w="2700"/>
          </w:tcPr>
          <w:p>
            <w:r/>
            <w:r>
              <w:rPr>
                <w:rFonts w:ascii="Arial" w:hAnsi="Arial"/>
                <w:b w:val="0"/>
                <w:i w:val="0"/>
                <w:sz w:val="18"/>
              </w:rPr>
              <w:t>FY2025 adjusted EBITDA</w:t>
            </w:r>
          </w:p>
        </w:tc>
        <w:tc>
          <w:tcPr>
            <w:tcW w:type="dxa" w:w="1900"/>
          </w:tcPr>
          <w:p>
            <w:r/>
            <w:r>
              <w:rPr>
                <w:rFonts w:ascii="Arial" w:hAnsi="Arial"/>
                <w:b w:val="0"/>
                <w:i w:val="0"/>
                <w:sz w:val="18"/>
              </w:rPr>
              <w:t>US$5,637m</w:t>
            </w:r>
          </w:p>
        </w:tc>
        <w:tc>
          <w:tcPr>
            <w:tcW w:type="dxa" w:w="2600"/>
          </w:tcPr>
          <w:p>
            <w:r/>
            <w:r>
              <w:rPr>
                <w:rFonts w:ascii="Arial" w:hAnsi="Arial"/>
                <w:b w:val="0"/>
                <w:i w:val="0"/>
                <w:sz w:val="18"/>
              </w:rPr>
              <w:t>Reported</w:t>
            </w:r>
          </w:p>
        </w:tc>
        <w:tc>
          <w:tcPr>
            <w:tcW w:type="dxa" w:w="700"/>
          </w:tcPr>
          <w:p>
            <w:r/>
            <w:r>
              <w:rPr>
                <w:rFonts w:ascii="Arial" w:hAnsi="Arial"/>
                <w:b w:val="0"/>
                <w:i w:val="0"/>
                <w:sz w:val="18"/>
              </w:rPr>
              <w:t>S1</w:t>
            </w:r>
          </w:p>
        </w:tc>
        <w:tc>
          <w:tcPr>
            <w:tcW w:type="dxa" w:w="2400"/>
          </w:tcPr>
          <w:p>
            <w:r/>
            <w:r>
              <w:rPr>
                <w:rFonts w:ascii="Arial" w:hAnsi="Arial"/>
                <w:b w:val="0"/>
                <w:i w:val="0"/>
                <w:sz w:val="18"/>
              </w:rPr>
              <w:t>FY2025 reviewed results / microsite</w:t>
            </w:r>
          </w:p>
        </w:tc>
      </w:tr>
      <w:tr>
        <w:tc>
          <w:tcPr>
            <w:tcW w:type="dxa" w:w="400"/>
            <w:shd w:val="clear" w:fill="F2F2F2"/>
          </w:tcPr>
          <w:p>
            <w:r/>
            <w:r>
              <w:rPr>
                <w:rFonts w:ascii="Arial" w:hAnsi="Arial"/>
                <w:b/>
                <w:i w:val="0"/>
                <w:sz w:val="18"/>
              </w:rPr>
              <w:t>2</w:t>
            </w:r>
          </w:p>
        </w:tc>
        <w:tc>
          <w:tcPr>
            <w:tcW w:type="dxa" w:w="2700"/>
            <w:shd w:val="clear" w:fill="FAFAFA"/>
          </w:tcPr>
          <w:p>
            <w:r/>
            <w:r>
              <w:rPr>
                <w:rFonts w:ascii="Arial" w:hAnsi="Arial"/>
                <w:b w:val="0"/>
                <w:i w:val="0"/>
                <w:sz w:val="18"/>
              </w:rPr>
              <w:t>FY2025 revenue (managed)</w:t>
            </w:r>
          </w:p>
        </w:tc>
        <w:tc>
          <w:tcPr>
            <w:tcW w:type="dxa" w:w="1900"/>
            <w:shd w:val="clear" w:fill="FAFAFA"/>
          </w:tcPr>
          <w:p>
            <w:r/>
            <w:r>
              <w:rPr>
                <w:rFonts w:ascii="Arial" w:hAnsi="Arial"/>
                <w:b w:val="0"/>
                <w:i w:val="0"/>
                <w:sz w:val="18"/>
              </w:rPr>
              <w:t>US$8,751m</w:t>
            </w:r>
          </w:p>
        </w:tc>
        <w:tc>
          <w:tcPr>
            <w:tcW w:type="dxa" w:w="2600"/>
            <w:shd w:val="clear" w:fill="FAFAFA"/>
          </w:tcPr>
          <w:p>
            <w:r/>
            <w:r>
              <w:rPr>
                <w:rFonts w:ascii="Arial" w:hAnsi="Arial"/>
                <w:b w:val="0"/>
                <w:i w:val="0"/>
                <w:sz w:val="18"/>
              </w:rPr>
              <w:t>Reported</w:t>
            </w:r>
          </w:p>
        </w:tc>
        <w:tc>
          <w:tcPr>
            <w:tcW w:type="dxa" w:w="700"/>
            <w:shd w:val="clear" w:fill="FAFAFA"/>
          </w:tcPr>
          <w:p>
            <w:r/>
            <w:r>
              <w:rPr>
                <w:rFonts w:ascii="Arial" w:hAnsi="Arial"/>
                <w:b w:val="0"/>
                <w:i w:val="0"/>
                <w:sz w:val="18"/>
              </w:rPr>
              <w:t>S1</w:t>
            </w:r>
          </w:p>
        </w:tc>
        <w:tc>
          <w:tcPr>
            <w:tcW w:type="dxa" w:w="2400"/>
            <w:shd w:val="clear" w:fill="FAFAFA"/>
          </w:tcPr>
          <w:p>
            <w:r/>
            <w:r>
              <w:rPr>
                <w:rFonts w:ascii="Arial" w:hAnsi="Arial"/>
                <w:b w:val="0"/>
                <w:i w:val="0"/>
                <w:sz w:val="18"/>
              </w:rPr>
              <w:t>FY2025 reviewed results</w:t>
            </w:r>
          </w:p>
        </w:tc>
      </w:tr>
      <w:tr>
        <w:tc>
          <w:tcPr>
            <w:tcW w:type="dxa" w:w="400"/>
            <w:shd w:val="clear" w:fill="F2F2F2"/>
          </w:tcPr>
          <w:p>
            <w:r/>
            <w:r>
              <w:rPr>
                <w:rFonts w:ascii="Arial" w:hAnsi="Arial"/>
                <w:b/>
                <w:i w:val="0"/>
                <w:sz w:val="18"/>
              </w:rPr>
              <w:t>3</w:t>
            </w:r>
          </w:p>
        </w:tc>
        <w:tc>
          <w:tcPr>
            <w:tcW w:type="dxa" w:w="2700"/>
          </w:tcPr>
          <w:p>
            <w:r/>
            <w:r>
              <w:rPr>
                <w:rFonts w:ascii="Arial" w:hAnsi="Arial"/>
                <w:b w:val="0"/>
                <w:i w:val="0"/>
                <w:sz w:val="18"/>
              </w:rPr>
              <w:t>FY2025 AISC</w:t>
            </w:r>
          </w:p>
        </w:tc>
        <w:tc>
          <w:tcPr>
            <w:tcW w:type="dxa" w:w="1900"/>
          </w:tcPr>
          <w:p>
            <w:r/>
            <w:r>
              <w:rPr>
                <w:rFonts w:ascii="Arial" w:hAnsi="Arial"/>
                <w:b w:val="0"/>
                <w:i w:val="0"/>
                <w:sz w:val="18"/>
              </w:rPr>
              <w:t>US$1,645/oz</w:t>
            </w:r>
          </w:p>
        </w:tc>
        <w:tc>
          <w:tcPr>
            <w:tcW w:type="dxa" w:w="2600"/>
          </w:tcPr>
          <w:p>
            <w:r/>
            <w:r>
              <w:rPr>
                <w:rFonts w:ascii="Arial" w:hAnsi="Arial"/>
                <w:b w:val="0"/>
                <w:i w:val="0"/>
                <w:sz w:val="18"/>
              </w:rPr>
              <w:t>Reported</w:t>
            </w:r>
          </w:p>
        </w:tc>
        <w:tc>
          <w:tcPr>
            <w:tcW w:type="dxa" w:w="700"/>
          </w:tcPr>
          <w:p>
            <w:r/>
            <w:r>
              <w:rPr>
                <w:rFonts w:ascii="Arial" w:hAnsi="Arial"/>
                <w:b w:val="0"/>
                <w:i w:val="0"/>
                <w:sz w:val="18"/>
              </w:rPr>
              <w:t>S1</w:t>
            </w:r>
          </w:p>
        </w:tc>
        <w:tc>
          <w:tcPr>
            <w:tcW w:type="dxa" w:w="2400"/>
          </w:tcPr>
          <w:p>
            <w:r/>
            <w:r>
              <w:rPr>
                <w:rFonts w:ascii="Arial" w:hAnsi="Arial"/>
                <w:b w:val="0"/>
                <w:i w:val="0"/>
                <w:sz w:val="18"/>
              </w:rPr>
              <w:t>FY2025 reviewed results</w:t>
            </w:r>
          </w:p>
        </w:tc>
      </w:tr>
      <w:tr>
        <w:tc>
          <w:tcPr>
            <w:tcW w:type="dxa" w:w="400"/>
            <w:shd w:val="clear" w:fill="F2F2F2"/>
          </w:tcPr>
          <w:p>
            <w:r/>
            <w:r>
              <w:rPr>
                <w:rFonts w:ascii="Arial" w:hAnsi="Arial"/>
                <w:b/>
                <w:i w:val="0"/>
                <w:sz w:val="18"/>
              </w:rPr>
              <w:t>4</w:t>
            </w:r>
          </w:p>
        </w:tc>
        <w:tc>
          <w:tcPr>
            <w:tcW w:type="dxa" w:w="2700"/>
            <w:shd w:val="clear" w:fill="FAFAFA"/>
          </w:tcPr>
          <w:p>
            <w:r/>
            <w:r>
              <w:rPr>
                <w:rFonts w:ascii="Arial" w:hAnsi="Arial"/>
                <w:b w:val="0"/>
                <w:i w:val="0"/>
                <w:sz w:val="18"/>
              </w:rPr>
              <w:t>FY2025 attributable production</w:t>
            </w:r>
          </w:p>
        </w:tc>
        <w:tc>
          <w:tcPr>
            <w:tcW w:type="dxa" w:w="1900"/>
            <w:shd w:val="clear" w:fill="FAFAFA"/>
          </w:tcPr>
          <w:p>
            <w:r/>
            <w:r>
              <w:rPr>
                <w:rFonts w:ascii="Arial" w:hAnsi="Arial"/>
                <w:b w:val="0"/>
                <w:i w:val="0"/>
                <w:sz w:val="18"/>
              </w:rPr>
              <w:t>2.438Moz</w:t>
            </w:r>
          </w:p>
        </w:tc>
        <w:tc>
          <w:tcPr>
            <w:tcW w:type="dxa" w:w="2600"/>
            <w:shd w:val="clear" w:fill="FAFAFA"/>
          </w:tcPr>
          <w:p>
            <w:r/>
            <w:r>
              <w:rPr>
                <w:rFonts w:ascii="Arial" w:hAnsi="Arial"/>
                <w:b w:val="0"/>
                <w:i w:val="0"/>
                <w:sz w:val="18"/>
              </w:rPr>
              <w:t>Reported</w:t>
            </w:r>
          </w:p>
        </w:tc>
        <w:tc>
          <w:tcPr>
            <w:tcW w:type="dxa" w:w="700"/>
            <w:shd w:val="clear" w:fill="FAFAFA"/>
          </w:tcPr>
          <w:p>
            <w:r/>
            <w:r>
              <w:rPr>
                <w:rFonts w:ascii="Arial" w:hAnsi="Arial"/>
                <w:b w:val="0"/>
                <w:i w:val="0"/>
                <w:sz w:val="18"/>
              </w:rPr>
              <w:t>S1</w:t>
            </w:r>
          </w:p>
        </w:tc>
        <w:tc>
          <w:tcPr>
            <w:tcW w:type="dxa" w:w="2400"/>
            <w:shd w:val="clear" w:fill="FAFAFA"/>
          </w:tcPr>
          <w:p>
            <w:r/>
            <w:r>
              <w:rPr>
                <w:rFonts w:ascii="Arial" w:hAnsi="Arial"/>
                <w:b w:val="0"/>
                <w:i w:val="0"/>
                <w:sz w:val="18"/>
              </w:rPr>
              <w:t>FY2025 reviewed results</w:t>
            </w:r>
          </w:p>
        </w:tc>
      </w:tr>
      <w:tr>
        <w:tc>
          <w:tcPr>
            <w:tcW w:type="dxa" w:w="400"/>
            <w:shd w:val="clear" w:fill="F2F2F2"/>
          </w:tcPr>
          <w:p>
            <w:r/>
            <w:r>
              <w:rPr>
                <w:rFonts w:ascii="Arial" w:hAnsi="Arial"/>
                <w:b/>
                <w:i w:val="0"/>
                <w:sz w:val="18"/>
              </w:rPr>
              <w:t>5</w:t>
            </w:r>
          </w:p>
        </w:tc>
        <w:tc>
          <w:tcPr>
            <w:tcW w:type="dxa" w:w="2700"/>
          </w:tcPr>
          <w:p>
            <w:r/>
            <w:r>
              <w:rPr>
                <w:rFonts w:ascii="Arial" w:hAnsi="Arial"/>
                <w:b w:val="0"/>
                <w:i w:val="0"/>
                <w:sz w:val="18"/>
              </w:rPr>
              <w:t>FY2026 guidance (prod / AISC / capex)</w:t>
            </w:r>
          </w:p>
        </w:tc>
        <w:tc>
          <w:tcPr>
            <w:tcW w:type="dxa" w:w="1900"/>
          </w:tcPr>
          <w:p>
            <w:r/>
            <w:r>
              <w:rPr>
                <w:rFonts w:ascii="Arial" w:hAnsi="Arial"/>
                <w:b w:val="0"/>
                <w:i w:val="0"/>
                <w:sz w:val="18"/>
              </w:rPr>
              <w:t>2.40–2.60Moz / $1,800–2,000 / $1.9–2.1bn</w:t>
            </w:r>
          </w:p>
        </w:tc>
        <w:tc>
          <w:tcPr>
            <w:tcW w:type="dxa" w:w="2600"/>
          </w:tcPr>
          <w:p>
            <w:r/>
            <w:r>
              <w:rPr>
                <w:rFonts w:ascii="Arial" w:hAnsi="Arial"/>
                <w:b w:val="0"/>
                <w:i w:val="0"/>
                <w:sz w:val="18"/>
              </w:rPr>
              <w:t>Reported (guidance)</w:t>
            </w:r>
          </w:p>
        </w:tc>
        <w:tc>
          <w:tcPr>
            <w:tcW w:type="dxa" w:w="700"/>
          </w:tcPr>
          <w:p>
            <w:r/>
            <w:r>
              <w:rPr>
                <w:rFonts w:ascii="Arial" w:hAnsi="Arial"/>
                <w:b w:val="0"/>
                <w:i w:val="0"/>
                <w:sz w:val="18"/>
              </w:rPr>
              <w:t>S1</w:t>
            </w:r>
          </w:p>
        </w:tc>
        <w:tc>
          <w:tcPr>
            <w:tcW w:type="dxa" w:w="2400"/>
          </w:tcPr>
          <w:p>
            <w:r/>
            <w:r>
              <w:rPr>
                <w:rFonts w:ascii="Arial" w:hAnsi="Arial"/>
                <w:b w:val="0"/>
                <w:i w:val="0"/>
                <w:sz w:val="18"/>
              </w:rPr>
              <w:t>FY2025 results / Q1 2026 update</w:t>
            </w:r>
          </w:p>
        </w:tc>
      </w:tr>
      <w:tr>
        <w:tc>
          <w:tcPr>
            <w:tcW w:type="dxa" w:w="400"/>
            <w:shd w:val="clear" w:fill="F2F2F2"/>
          </w:tcPr>
          <w:p>
            <w:r/>
            <w:r>
              <w:rPr>
                <w:rFonts w:ascii="Arial" w:hAnsi="Arial"/>
                <w:b/>
                <w:i w:val="0"/>
                <w:sz w:val="18"/>
              </w:rPr>
              <w:t>6</w:t>
            </w:r>
          </w:p>
        </w:tc>
        <w:tc>
          <w:tcPr>
            <w:tcW w:type="dxa" w:w="2700"/>
            <w:shd w:val="clear" w:fill="FAFAFA"/>
          </w:tcPr>
          <w:p>
            <w:r/>
            <w:r>
              <w:rPr>
                <w:rFonts w:ascii="Arial" w:hAnsi="Arial"/>
                <w:b w:val="0"/>
                <w:i w:val="0"/>
                <w:sz w:val="18"/>
              </w:rPr>
              <w:t>Model FY2025A EBITDA calibration</w:t>
            </w:r>
          </w:p>
        </w:tc>
        <w:tc>
          <w:tcPr>
            <w:tcW w:type="dxa" w:w="1900"/>
            <w:shd w:val="clear" w:fill="FAFAFA"/>
          </w:tcPr>
          <w:p>
            <w:r/>
            <w:r>
              <w:rPr>
                <w:rFonts w:ascii="Arial" w:hAnsi="Arial"/>
                <w:b w:val="0"/>
                <w:i w:val="0"/>
                <w:sz w:val="18"/>
              </w:rPr>
              <w:t>US$5,542m (e)</w:t>
            </w:r>
          </w:p>
        </w:tc>
        <w:tc>
          <w:tcPr>
            <w:tcW w:type="dxa" w:w="2600"/>
            <w:shd w:val="clear" w:fill="FAFAFA"/>
          </w:tcPr>
          <w:p>
            <w:r/>
            <w:r>
              <w:rPr>
                <w:rFonts w:ascii="Arial" w:hAnsi="Arial"/>
                <w:b w:val="0"/>
                <w:i w:val="0"/>
                <w:sz w:val="18"/>
              </w:rPr>
              <w:t>Derived = (3,496−1,645)×2.438 + 1,029</w:t>
            </w:r>
          </w:p>
        </w:tc>
        <w:tc>
          <w:tcPr>
            <w:tcW w:type="dxa" w:w="700"/>
            <w:shd w:val="clear" w:fill="FAFAFA"/>
          </w:tcPr>
          <w:p>
            <w:r/>
            <w:r>
              <w:rPr>
                <w:rFonts w:ascii="Arial" w:hAnsi="Arial"/>
                <w:b w:val="0"/>
                <w:i w:val="0"/>
                <w:sz w:val="18"/>
              </w:rPr>
              <w:t>S6</w:t>
            </w:r>
          </w:p>
        </w:tc>
        <w:tc>
          <w:tcPr>
            <w:tcW w:type="dxa" w:w="2400"/>
            <w:shd w:val="clear" w:fill="FAFAFA"/>
          </w:tcPr>
          <w:p>
            <w:r/>
            <w:r>
              <w:rPr>
                <w:rFonts w:ascii="Arial" w:hAnsi="Arial"/>
                <w:b w:val="0"/>
                <w:i w:val="0"/>
                <w:sz w:val="18"/>
              </w:rPr>
              <w:t>Companion model, Scenario Model tab</w:t>
            </w:r>
          </w:p>
        </w:tc>
      </w:tr>
      <w:tr>
        <w:tc>
          <w:tcPr>
            <w:tcW w:type="dxa" w:w="400"/>
            <w:shd w:val="clear" w:fill="F2F2F2"/>
          </w:tcPr>
          <w:p>
            <w:r/>
            <w:r>
              <w:rPr>
                <w:rFonts w:ascii="Arial" w:hAnsi="Arial"/>
                <w:b/>
                <w:i w:val="0"/>
                <w:sz w:val="18"/>
              </w:rPr>
              <w:t>7</w:t>
            </w:r>
          </w:p>
        </w:tc>
        <w:tc>
          <w:tcPr>
            <w:tcW w:type="dxa" w:w="2700"/>
          </w:tcPr>
          <w:p>
            <w:r/>
            <w:r>
              <w:rPr>
                <w:rFonts w:ascii="Arial" w:hAnsi="Arial"/>
                <w:b w:val="0"/>
                <w:i w:val="0"/>
                <w:sz w:val="18"/>
              </w:rPr>
              <w:t>Weak-rand EBITDA uplift</w:t>
            </w:r>
          </w:p>
        </w:tc>
        <w:tc>
          <w:tcPr>
            <w:tcW w:type="dxa" w:w="1900"/>
          </w:tcPr>
          <w:p>
            <w:r/>
            <w:r>
              <w:rPr>
                <w:rFonts w:ascii="Arial" w:hAnsi="Arial"/>
                <w:b w:val="0"/>
                <w:i w:val="0"/>
                <w:sz w:val="18"/>
              </w:rPr>
              <w:t>+US$100m 26e / +US$107m 27e (e)</w:t>
            </w:r>
          </w:p>
        </w:tc>
        <w:tc>
          <w:tcPr>
            <w:tcW w:type="dxa" w:w="2600"/>
          </w:tcPr>
          <w:p>
            <w:r/>
            <w:r>
              <w:rPr>
                <w:rFonts w:ascii="Arial" w:hAnsi="Arial"/>
                <w:b w:val="0"/>
                <w:i w:val="0"/>
                <w:sz w:val="18"/>
              </w:rPr>
              <w:t>Derived (−US$40/oz AISC × prod)</w:t>
            </w:r>
          </w:p>
        </w:tc>
        <w:tc>
          <w:tcPr>
            <w:tcW w:type="dxa" w:w="700"/>
          </w:tcPr>
          <w:p>
            <w:r/>
            <w:r>
              <w:rPr>
                <w:rFonts w:ascii="Arial" w:hAnsi="Arial"/>
                <w:b w:val="0"/>
                <w:i w:val="0"/>
                <w:sz w:val="18"/>
              </w:rPr>
              <w:t>S6</w:t>
            </w:r>
          </w:p>
        </w:tc>
        <w:tc>
          <w:tcPr>
            <w:tcW w:type="dxa" w:w="2400"/>
          </w:tcPr>
          <w:p>
            <w:r/>
            <w:r>
              <w:rPr>
                <w:rFonts w:ascii="Arial" w:hAnsi="Arial"/>
                <w:b w:val="0"/>
                <w:i w:val="0"/>
                <w:sz w:val="18"/>
              </w:rPr>
              <w:t>Companion model</w:t>
            </w:r>
          </w:p>
        </w:tc>
      </w:tr>
      <w:tr>
        <w:tc>
          <w:tcPr>
            <w:tcW w:type="dxa" w:w="400"/>
            <w:shd w:val="clear" w:fill="F2F2F2"/>
          </w:tcPr>
          <w:p>
            <w:r/>
            <w:r>
              <w:rPr>
                <w:rFonts w:ascii="Arial" w:hAnsi="Arial"/>
                <w:b/>
                <w:i w:val="0"/>
                <w:sz w:val="18"/>
              </w:rPr>
              <w:t>8</w:t>
            </w:r>
          </w:p>
        </w:tc>
        <w:tc>
          <w:tcPr>
            <w:tcW w:type="dxa" w:w="2700"/>
            <w:shd w:val="clear" w:fill="FAFAFA"/>
          </w:tcPr>
          <w:p>
            <w:r/>
            <w:r>
              <w:rPr>
                <w:rFonts w:ascii="Arial" w:hAnsi="Arial"/>
                <w:b w:val="0"/>
                <w:i w:val="0"/>
                <w:sz w:val="18"/>
              </w:rPr>
              <w:t>Load-shed EBITDA drag</w:t>
            </w:r>
          </w:p>
        </w:tc>
        <w:tc>
          <w:tcPr>
            <w:tcW w:type="dxa" w:w="1900"/>
            <w:shd w:val="clear" w:fill="FAFAFA"/>
          </w:tcPr>
          <w:p>
            <w:r/>
            <w:r>
              <w:rPr>
                <w:rFonts w:ascii="Arial" w:hAnsi="Arial"/>
                <w:b w:val="0"/>
                <w:i w:val="0"/>
                <w:sz w:val="18"/>
              </w:rPr>
              <w:t>−US$74m 26e / −US$76m 27e (e)</w:t>
            </w:r>
          </w:p>
        </w:tc>
        <w:tc>
          <w:tcPr>
            <w:tcW w:type="dxa" w:w="2600"/>
            <w:shd w:val="clear" w:fill="FAFAFA"/>
          </w:tcPr>
          <w:p>
            <w:r/>
            <w:r>
              <w:rPr>
                <w:rFonts w:ascii="Arial" w:hAnsi="Arial"/>
                <w:b w:val="0"/>
                <w:i w:val="0"/>
                <w:sz w:val="18"/>
              </w:rPr>
              <w:t>Derived (+US$20/oz AISC, −5koz)</w:t>
            </w:r>
          </w:p>
        </w:tc>
        <w:tc>
          <w:tcPr>
            <w:tcW w:type="dxa" w:w="700"/>
            <w:shd w:val="clear" w:fill="FAFAFA"/>
          </w:tcPr>
          <w:p>
            <w:r/>
            <w:r>
              <w:rPr>
                <w:rFonts w:ascii="Arial" w:hAnsi="Arial"/>
                <w:b w:val="0"/>
                <w:i w:val="0"/>
                <w:sz w:val="18"/>
              </w:rPr>
              <w:t>S6</w:t>
            </w:r>
          </w:p>
        </w:tc>
        <w:tc>
          <w:tcPr>
            <w:tcW w:type="dxa" w:w="2400"/>
            <w:shd w:val="clear" w:fill="FAFAFA"/>
          </w:tcPr>
          <w:p>
            <w:r/>
            <w:r>
              <w:rPr>
                <w:rFonts w:ascii="Arial" w:hAnsi="Arial"/>
                <w:b w:val="0"/>
                <w:i w:val="0"/>
                <w:sz w:val="18"/>
              </w:rPr>
              <w:t>Companion model</w:t>
            </w:r>
          </w:p>
        </w:tc>
      </w:tr>
      <w:tr>
        <w:tc>
          <w:tcPr>
            <w:tcW w:type="dxa" w:w="400"/>
            <w:shd w:val="clear" w:fill="F2F2F2"/>
          </w:tcPr>
          <w:p>
            <w:r/>
            <w:r>
              <w:rPr>
                <w:rFonts w:ascii="Arial" w:hAnsi="Arial"/>
                <w:b/>
                <w:i w:val="0"/>
                <w:sz w:val="18"/>
              </w:rPr>
              <w:t>9</w:t>
            </w:r>
          </w:p>
        </w:tc>
        <w:tc>
          <w:tcPr>
            <w:tcW w:type="dxa" w:w="2700"/>
          </w:tcPr>
          <w:p>
            <w:r/>
            <w:r>
              <w:rPr>
                <w:rFonts w:ascii="Arial" w:hAnsi="Arial"/>
                <w:b w:val="0"/>
                <w:i w:val="0"/>
                <w:sz w:val="18"/>
              </w:rPr>
              <w:t>Combined EBITDA vs base</w:t>
            </w:r>
          </w:p>
        </w:tc>
        <w:tc>
          <w:tcPr>
            <w:tcW w:type="dxa" w:w="1900"/>
          </w:tcPr>
          <w:p>
            <w:r/>
            <w:r>
              <w:rPr>
                <w:rFonts w:ascii="Arial" w:hAnsi="Arial"/>
                <w:b w:val="0"/>
                <w:i w:val="0"/>
                <w:sz w:val="18"/>
              </w:rPr>
              <w:t>+US$26m 26e / +US$31m 27e (e)</w:t>
            </w:r>
          </w:p>
        </w:tc>
        <w:tc>
          <w:tcPr>
            <w:tcW w:type="dxa" w:w="2600"/>
          </w:tcPr>
          <w:p>
            <w:r/>
            <w:r>
              <w:rPr>
                <w:rFonts w:ascii="Arial" w:hAnsi="Arial"/>
                <w:b w:val="0"/>
                <w:i w:val="0"/>
                <w:sz w:val="18"/>
              </w:rPr>
              <w:t>Derived (sum of channels)</w:t>
            </w:r>
          </w:p>
        </w:tc>
        <w:tc>
          <w:tcPr>
            <w:tcW w:type="dxa" w:w="700"/>
          </w:tcPr>
          <w:p>
            <w:r/>
            <w:r>
              <w:rPr>
                <w:rFonts w:ascii="Arial" w:hAnsi="Arial"/>
                <w:b w:val="0"/>
                <w:i w:val="0"/>
                <w:sz w:val="18"/>
              </w:rPr>
              <w:t>S6</w:t>
            </w:r>
          </w:p>
        </w:tc>
        <w:tc>
          <w:tcPr>
            <w:tcW w:type="dxa" w:w="2400"/>
          </w:tcPr>
          <w:p>
            <w:r/>
            <w:r>
              <w:rPr>
                <w:rFonts w:ascii="Arial" w:hAnsi="Arial"/>
                <w:b w:val="0"/>
                <w:i w:val="0"/>
                <w:sz w:val="18"/>
              </w:rPr>
              <w:t>Companion model</w:t>
            </w:r>
          </w:p>
        </w:tc>
      </w:tr>
      <w:tr>
        <w:tc>
          <w:tcPr>
            <w:tcW w:type="dxa" w:w="400"/>
            <w:shd w:val="clear" w:fill="F2F2F2"/>
          </w:tcPr>
          <w:p>
            <w:r/>
            <w:r>
              <w:rPr>
                <w:rFonts w:ascii="Arial" w:hAnsi="Arial"/>
                <w:b/>
                <w:i w:val="0"/>
                <w:sz w:val="18"/>
              </w:rPr>
              <w:t>10</w:t>
            </w:r>
          </w:p>
        </w:tc>
        <w:tc>
          <w:tcPr>
            <w:tcW w:type="dxa" w:w="2700"/>
            <w:shd w:val="clear" w:fill="FAFAFA"/>
          </w:tcPr>
          <w:p>
            <w:r/>
            <w:r>
              <w:rPr>
                <w:rFonts w:ascii="Arial" w:hAnsi="Arial"/>
                <w:b w:val="0"/>
                <w:i w:val="0"/>
                <w:sz w:val="18"/>
              </w:rPr>
              <w:t>Gold sensitivity</w:t>
            </w:r>
          </w:p>
        </w:tc>
        <w:tc>
          <w:tcPr>
            <w:tcW w:type="dxa" w:w="1900"/>
            <w:shd w:val="clear" w:fill="FAFAFA"/>
          </w:tcPr>
          <w:p>
            <w:r/>
            <w:r>
              <w:rPr>
                <w:rFonts w:ascii="Arial" w:hAnsi="Arial"/>
                <w:b w:val="0"/>
                <w:i w:val="0"/>
                <w:sz w:val="18"/>
              </w:rPr>
              <w:t>±US$100/oz → ±US$250m EBITDA (e)</w:t>
            </w:r>
          </w:p>
        </w:tc>
        <w:tc>
          <w:tcPr>
            <w:tcW w:type="dxa" w:w="2600"/>
            <w:shd w:val="clear" w:fill="FAFAFA"/>
          </w:tcPr>
          <w:p>
            <w:r/>
            <w:r>
              <w:rPr>
                <w:rFonts w:ascii="Arial" w:hAnsi="Arial"/>
                <w:b w:val="0"/>
                <w:i w:val="0"/>
                <w:sz w:val="18"/>
              </w:rPr>
              <w:t>Derived (×2.5Moz)</w:t>
            </w:r>
          </w:p>
        </w:tc>
        <w:tc>
          <w:tcPr>
            <w:tcW w:type="dxa" w:w="700"/>
            <w:shd w:val="clear" w:fill="FAFAFA"/>
          </w:tcPr>
          <w:p>
            <w:r/>
            <w:r>
              <w:rPr>
                <w:rFonts w:ascii="Arial" w:hAnsi="Arial"/>
                <w:b w:val="0"/>
                <w:i w:val="0"/>
                <w:sz w:val="18"/>
              </w:rPr>
              <w:t>S6</w:t>
            </w:r>
          </w:p>
        </w:tc>
        <w:tc>
          <w:tcPr>
            <w:tcW w:type="dxa" w:w="2400"/>
            <w:shd w:val="clear" w:fill="FAFAFA"/>
          </w:tcPr>
          <w:p>
            <w:r/>
            <w:r>
              <w:rPr>
                <w:rFonts w:ascii="Arial" w:hAnsi="Arial"/>
                <w:b w:val="0"/>
                <w:i w:val="0"/>
                <w:sz w:val="18"/>
              </w:rPr>
              <w:t>Companion model</w:t>
            </w:r>
          </w:p>
        </w:tc>
      </w:tr>
      <w:tr>
        <w:tc>
          <w:tcPr>
            <w:tcW w:type="dxa" w:w="400"/>
            <w:shd w:val="clear" w:fill="F2F2F2"/>
          </w:tcPr>
          <w:p>
            <w:r/>
            <w:r>
              <w:rPr>
                <w:rFonts w:ascii="Arial" w:hAnsi="Arial"/>
                <w:b/>
                <w:i w:val="0"/>
                <w:sz w:val="18"/>
              </w:rPr>
              <w:t>11</w:t>
            </w:r>
          </w:p>
        </w:tc>
        <w:tc>
          <w:tcPr>
            <w:tcW w:type="dxa" w:w="2700"/>
          </w:tcPr>
          <w:p>
            <w:r/>
            <w:r>
              <w:rPr>
                <w:rFonts w:ascii="Arial" w:hAnsi="Arial"/>
                <w:b w:val="0"/>
                <w:i w:val="0"/>
                <w:sz w:val="18"/>
              </w:rPr>
              <w:t>Gold spot 18 Jun 2026</w:t>
            </w:r>
          </w:p>
        </w:tc>
        <w:tc>
          <w:tcPr>
            <w:tcW w:type="dxa" w:w="1900"/>
          </w:tcPr>
          <w:p>
            <w:r/>
            <w:r>
              <w:rPr>
                <w:rFonts w:ascii="Arial" w:hAnsi="Arial"/>
                <w:b w:val="0"/>
                <w:i w:val="0"/>
                <w:sz w:val="18"/>
              </w:rPr>
              <w:t>US$4,301/oz</w:t>
            </w:r>
          </w:p>
        </w:tc>
        <w:tc>
          <w:tcPr>
            <w:tcW w:type="dxa" w:w="2600"/>
          </w:tcPr>
          <w:p>
            <w:r/>
            <w:r>
              <w:rPr>
                <w:rFonts w:ascii="Arial" w:hAnsi="Arial"/>
                <w:b w:val="0"/>
                <w:i w:val="0"/>
                <w:sz w:val="18"/>
              </w:rPr>
              <w:t>Searched (may be delayed)</w:t>
            </w:r>
          </w:p>
        </w:tc>
        <w:tc>
          <w:tcPr>
            <w:tcW w:type="dxa" w:w="700"/>
          </w:tcPr>
          <w:p>
            <w:r/>
            <w:r>
              <w:rPr>
                <w:rFonts w:ascii="Arial" w:hAnsi="Arial"/>
                <w:b w:val="0"/>
                <w:i w:val="0"/>
                <w:sz w:val="18"/>
              </w:rPr>
              <w:t>S4</w:t>
            </w:r>
          </w:p>
        </w:tc>
        <w:tc>
          <w:tcPr>
            <w:tcW w:type="dxa" w:w="2400"/>
          </w:tcPr>
          <w:p>
            <w:r/>
            <w:r>
              <w:rPr>
                <w:rFonts w:ascii="Arial" w:hAnsi="Arial"/>
                <w:b w:val="0"/>
                <w:i w:val="0"/>
                <w:sz w:val="18"/>
              </w:rPr>
              <w:t>TradingEconomics, 18 Jun 2026</w:t>
            </w:r>
          </w:p>
        </w:tc>
      </w:tr>
      <w:tr>
        <w:tc>
          <w:tcPr>
            <w:tcW w:type="dxa" w:w="400"/>
            <w:shd w:val="clear" w:fill="F2F2F2"/>
          </w:tcPr>
          <w:p>
            <w:r/>
            <w:r>
              <w:rPr>
                <w:rFonts w:ascii="Arial" w:hAnsi="Arial"/>
                <w:b/>
                <w:i w:val="0"/>
                <w:sz w:val="18"/>
              </w:rPr>
              <w:t>12</w:t>
            </w:r>
          </w:p>
        </w:tc>
        <w:tc>
          <w:tcPr>
            <w:tcW w:type="dxa" w:w="2700"/>
            <w:shd w:val="clear" w:fill="FAFAFA"/>
          </w:tcPr>
          <w:p>
            <w:r/>
            <w:r>
              <w:rPr>
                <w:rFonts w:ascii="Arial" w:hAnsi="Arial"/>
                <w:b w:val="0"/>
                <w:i w:val="0"/>
                <w:sz w:val="18"/>
              </w:rPr>
              <w:t>USD/ZAR spot 17 Jun 2026</w:t>
            </w:r>
          </w:p>
        </w:tc>
        <w:tc>
          <w:tcPr>
            <w:tcW w:type="dxa" w:w="1900"/>
            <w:shd w:val="clear" w:fill="FAFAFA"/>
          </w:tcPr>
          <w:p>
            <w:r/>
            <w:r>
              <w:rPr>
                <w:rFonts w:ascii="Arial" w:hAnsi="Arial"/>
                <w:b w:val="0"/>
                <w:i w:val="0"/>
                <w:sz w:val="18"/>
              </w:rPr>
              <w:t>~16.2</w:t>
            </w:r>
          </w:p>
        </w:tc>
        <w:tc>
          <w:tcPr>
            <w:tcW w:type="dxa" w:w="2600"/>
            <w:shd w:val="clear" w:fill="FAFAFA"/>
          </w:tcPr>
          <w:p>
            <w:r/>
            <w:r>
              <w:rPr>
                <w:rFonts w:ascii="Arial" w:hAnsi="Arial"/>
                <w:b w:val="0"/>
                <w:i w:val="0"/>
                <w:sz w:val="18"/>
              </w:rPr>
              <w:t>Searched (may be delayed)</w:t>
            </w:r>
          </w:p>
        </w:tc>
        <w:tc>
          <w:tcPr>
            <w:tcW w:type="dxa" w:w="700"/>
            <w:shd w:val="clear" w:fill="FAFAFA"/>
          </w:tcPr>
          <w:p>
            <w:r/>
            <w:r>
              <w:rPr>
                <w:rFonts w:ascii="Arial" w:hAnsi="Arial"/>
                <w:b w:val="0"/>
                <w:i w:val="0"/>
                <w:sz w:val="18"/>
              </w:rPr>
              <w:t>S4</w:t>
            </w:r>
          </w:p>
        </w:tc>
        <w:tc>
          <w:tcPr>
            <w:tcW w:type="dxa" w:w="2400"/>
            <w:shd w:val="clear" w:fill="FAFAFA"/>
          </w:tcPr>
          <w:p>
            <w:r/>
            <w:r>
              <w:rPr>
                <w:rFonts w:ascii="Arial" w:hAnsi="Arial"/>
                <w:b w:val="0"/>
                <w:i w:val="0"/>
                <w:sz w:val="18"/>
              </w:rPr>
              <w:t>TradingEconomics, 17 Jun 2026</w:t>
            </w:r>
          </w:p>
        </w:tc>
      </w:tr>
    </w:tbl>
    <w:p>
      <w:pPr>
        <w:spacing w:after="40" w:before="0"/>
      </w:pPr>
    </w:p>
    <w:p>
      <w:pPr>
        <w:pStyle w:val="ListBullet"/>
        <w:spacing w:after="80"/>
      </w:pPr>
      <w:r>
        <w:rPr>
          <w:rFonts w:ascii="Arial" w:hAnsi="Arial"/>
          <w:b w:val="0"/>
          <w:i w:val="0"/>
          <w:sz w:val="21"/>
        </w:rPr>
        <w:t xml:space="preserve">S1 — Gold Fields FY2025 reviewed results &amp; FY2026 guidance (SEC Form 6-K / results microsite, 19–20 Feb 2026). </w:t>
      </w:r>
      <w:hyperlink r:id="rId10">
        <w:r>
          <w:rPr>
            <w:rFonts w:ascii="Arial" w:hAnsi="Arial"/>
            <w:color w:val="0563C1"/>
            <w:u w:val="single"/>
            <w:sz w:val="21"/>
          </w:rPr>
          <w:t>https://www.goldfields.com/reports/q4-2026/</w:t>
        </w:r>
      </w:hyperlink>
    </w:p>
    <w:p>
      <w:pPr>
        <w:pStyle w:val="ListBullet"/>
        <w:spacing w:after="80"/>
      </w:pPr>
      <w:r>
        <w:rPr>
          <w:rFonts w:ascii="Arial" w:hAnsi="Arial"/>
          <w:b w:val="0"/>
          <w:i w:val="0"/>
          <w:sz w:val="21"/>
        </w:rPr>
        <w:t xml:space="preserve">S2 — Gold Fields Q1 2026 operational update (SEC Form 6-K, 7 May 2026) — FY2026 guidance reaffirmed; South Deep ramp. </w:t>
      </w:r>
      <w:hyperlink r:id="rId11">
        <w:r>
          <w:rPr>
            <w:rFonts w:ascii="Arial" w:hAnsi="Arial"/>
            <w:color w:val="0563C1"/>
            <w:u w:val="single"/>
            <w:sz w:val="21"/>
          </w:rPr>
          <w:t>https://www.sec.gov/cgi-bin/browse-edgar?action=getcompany&amp;CIK=0001172724&amp;type=6-K</w:t>
        </w:r>
      </w:hyperlink>
    </w:p>
    <w:p>
      <w:pPr>
        <w:pStyle w:val="ListBullet"/>
        <w:spacing w:after="80"/>
      </w:pPr>
      <w:r>
        <w:rPr>
          <w:rFonts w:ascii="Arial" w:hAnsi="Arial"/>
          <w:b w:val="0"/>
          <w:i w:val="0"/>
          <w:sz w:val="21"/>
        </w:rPr>
        <w:t xml:space="preserve">S3 — South Deep production, Khanyisa 50MW solar (~8.5% of grid cost), battery/wind extension; ESG 2030 targets; Thusano/Community trusts — Mining Weekly / Gold Fields IR. </w:t>
      </w:r>
      <w:hyperlink r:id="rId12">
        <w:r>
          <w:rPr>
            <w:rFonts w:ascii="Arial" w:hAnsi="Arial"/>
            <w:color w:val="0563C1"/>
            <w:u w:val="single"/>
            <w:sz w:val="21"/>
          </w:rPr>
          <w:t>https://www.miningweekly.com/</w:t>
        </w:r>
      </w:hyperlink>
    </w:p>
    <w:p>
      <w:pPr>
        <w:pStyle w:val="ListBullet"/>
        <w:spacing w:after="80"/>
      </w:pPr>
      <w:r>
        <w:rPr>
          <w:rFonts w:ascii="Arial" w:hAnsi="Arial"/>
          <w:b w:val="0"/>
          <w:i w:val="0"/>
          <w:sz w:val="21"/>
        </w:rPr>
        <w:t xml:space="preserve">S4 — Gold US$4,301/oz (18 Jun 2026); USD/ZAR ~16.2 (17 Jun 2026) — TradingEconomics (searched, may be delayed). </w:t>
      </w:r>
      <w:hyperlink r:id="rId13">
        <w:r>
          <w:rPr>
            <w:rFonts w:ascii="Arial" w:hAnsi="Arial"/>
            <w:color w:val="0563C1"/>
            <w:u w:val="single"/>
            <w:sz w:val="21"/>
          </w:rPr>
          <w:t>https://tradingeconomics.com/commodity/gold</w:t>
        </w:r>
      </w:hyperlink>
    </w:p>
    <w:p>
      <w:pPr>
        <w:pStyle w:val="ListBullet"/>
        <w:spacing w:after="80"/>
      </w:pPr>
      <w:r>
        <w:rPr>
          <w:rFonts w:ascii="Arial" w:hAnsi="Arial"/>
          <w:b w:val="0"/>
          <w:i w:val="0"/>
          <w:sz w:val="21"/>
        </w:rPr>
        <w:t xml:space="preserve">S5 — Load-shedding suspended 341+ days; Eskom forecasts none for winter 2026 — IOL / Eskom Winter Outlook. </w:t>
      </w:r>
      <w:hyperlink r:id="rId14">
        <w:r>
          <w:rPr>
            <w:rFonts w:ascii="Arial" w:hAnsi="Arial"/>
            <w:color w:val="0563C1"/>
            <w:u w:val="single"/>
            <w:sz w:val="21"/>
          </w:rPr>
          <w:t>https://www.iol.co.za/</w:t>
        </w:r>
      </w:hyperlink>
    </w:p>
    <w:p>
      <w:pPr>
        <w:pStyle w:val="ListBullet"/>
        <w:spacing w:after="80"/>
      </w:pPr>
      <w:r>
        <w:rPr>
          <w:rFonts w:ascii="Arial" w:hAnsi="Arial"/>
          <w:b w:val="0"/>
          <w:i w:val="0"/>
          <w:sz w:val="21"/>
        </w:rPr>
        <w:t>S6 — Internal: Gold Fields rand/load-shedding FY2026e/FY2027e scenario model. (local: companies/gold-fields/analyst-notes/Gold_Fields_GFI_Rand_LoadShedding_FY2627_Scenario_Model_Jun2026.xlsx)</w:t>
      </w:r>
    </w:p>
    <w:p>
      <w:pPr>
        <w:spacing w:after="160" w:before="0"/>
      </w:pPr>
      <w:r>
        <w:rPr>
          <w:rFonts w:ascii="Arial" w:hAnsi="Arial"/>
          <w:b/>
          <w:i w:val="0"/>
          <w:sz w:val="21"/>
        </w:rPr>
        <w:t xml:space="preserve">Coverage gap: </w:t>
      </w:r>
      <w:r>
        <w:rPr>
          <w:rFonts w:ascii="Arial" w:hAnsi="Arial"/>
          <w:b w:val="0"/>
          <w:i w:val="0"/>
          <w:sz w:val="21"/>
        </w:rPr>
        <w:t>FY2025 Annual Financial Statements PDF and FY2025 results-presentation PDF (originals) are not yet on disk — workspace egress allowlist 403s the domain and the harness blocks browser-to-disk base64 transit (re-attempted 18 Jun 2026, both failed). FY2025 headline actuals were verified against the official S1 microsite and are recorded as sacred actuals. Backfill the originals, plus the FY2025 IAR / sustainability report, from a direct-HTTP environment.</w:t>
      </w:r>
    </w:p>
    <w:p>
      <w:pPr>
        <w:spacing w:after="120" w:before="160"/>
      </w:pPr>
      <w:r>
        <w:rPr>
          <w:rFonts w:ascii="Arial" w:hAnsi="Arial"/>
          <w:b w:val="0"/>
          <w:i/>
          <w:color w:val="595959"/>
          <w:sz w:val="16"/>
        </w:rPr>
        <w:t>For informational purposes only — not investment advice; prepared by internal research from public disclosures. Figures reported in ZAR unless stated. Reviewed vs audited status is noted per company. Forward figures and scenario levels are analyst estimates (e), not company guidance. Share/commodity prices via web search may be delayed — there is no live JSE feed here. Confirm the fund's dealing-period status before acting.</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808080"/>
        <w:sz w:val="15"/>
      </w:rPr>
      <w:t xml:space="preserve">Gold Fields (GFI) — Rand &amp; Load-shedding Scenarios FY2026e/FY2027e — 18 Jun 2026 — Internal  Page </w:t>
    </w:r>
    <w:fldSimple w:instr="PAGE">
      <w:r>
        <w:rPr>
          <w:sz w:val="15"/>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ldfields.com/reports/q4-2026/" TargetMode="External"/><Relationship Id="rId11" Type="http://schemas.openxmlformats.org/officeDocument/2006/relationships/hyperlink" Target="https://www.sec.gov/cgi-bin/browse-edgar?action=getcompany&amp;CIK=0001172724&amp;type=6-K" TargetMode="External"/><Relationship Id="rId12" Type="http://schemas.openxmlformats.org/officeDocument/2006/relationships/hyperlink" Target="https://www.miningweekly.com/" TargetMode="External"/><Relationship Id="rId13" Type="http://schemas.openxmlformats.org/officeDocument/2006/relationships/hyperlink" Target="https://tradingeconomics.com/commodity/gold" TargetMode="External"/><Relationship Id="rId14" Type="http://schemas.openxmlformats.org/officeDocument/2006/relationships/hyperlink" Target="https://www.iol.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