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GOLD FIELDS LIMITED (GFI)</w:t>
      </w:r>
    </w:p>
    <w:p>
      <w:pPr>
        <w:spacing w:after="40" w:before="0"/>
      </w:pPr>
      <w:r>
        <w:rPr>
          <w:rFonts w:ascii="Arial" w:hAnsi="Arial"/>
          <w:b w:val="0"/>
          <w:i w:val="0"/>
          <w:color w:val="595959"/>
          <w:sz w:val="20"/>
        </w:rPr>
        <w:t>Basic Materials – Gold Mining  ·  JSE primary; NYSE ADR  ·  USD reporter, 31 Dec year-end</w:t>
      </w:r>
    </w:p>
    <w:p>
      <w:pPr>
        <w:spacing w:after="40" w:before="0"/>
      </w:pPr>
      <w:r>
        <w:rPr>
          <w:rFonts w:ascii="Arial" w:hAnsi="Arial"/>
          <w:b w:val="0"/>
          <w:i w:val="0"/>
          <w:color w:val="595959"/>
          <w:sz w:val="20"/>
        </w:rPr>
        <w:t>SA-Specific Scenario Outlook — prepared 18 June 2026 for internal investment-committee use</w:t>
      </w:r>
    </w:p>
    <w:p>
      <w:pPr>
        <w:spacing w:after="60" w:before="0"/>
      </w:pPr>
      <w:r>
        <w:rPr>
          <w:rFonts w:ascii="Arial" w:hAnsi="Arial"/>
          <w:b/>
          <w:i w:val="0"/>
          <w:sz w:val="26"/>
        </w:rPr>
        <w:t>How would Gold Fields perform if the rand softens substantially, or if load-shedding returns? (FY2026e–FY2027e)</w:t>
      </w:r>
    </w:p>
    <w:p>
      <w:pPr>
        <w:spacing w:after="200" w:before="0"/>
      </w:pPr>
      <w:r>
        <w:rPr>
          <w:rFonts w:ascii="Arial" w:hAnsi="Arial"/>
          <w:b w:val="0"/>
          <w:i/>
          <w:color w:val="595959"/>
          <w:sz w:val="18"/>
        </w:rPr>
        <w:t>Internal IC briefing. All FY2025 figures are reported actuals (Gold Fields FY2025 reviewed results, SEC Form 6-K, 19–20 Feb 2026). All forward figures are analyst estimates, marked (e). Numbers are sacred: where a figure is derived it is tagged (e) with the working shown.</w:t>
      </w:r>
    </w:p>
    <w:p>
      <w:pPr>
        <w:pStyle w:val="Heading1"/>
      </w:pPr>
      <w:r>
        <w:t>1. Bottom line</w:t>
      </w:r>
    </w:p>
    <w:p>
      <w:pPr>
        <w:spacing w:after="160" w:before="0"/>
      </w:pPr>
      <w:r>
        <w:rPr>
          <w:rFonts w:ascii="Arial" w:hAnsi="Arial"/>
          <w:b/>
          <w:i w:val="0"/>
          <w:sz w:val="21"/>
        </w:rPr>
        <w:t xml:space="preserve">Gold Fields is structurally insulated from both shocks. </w:t>
      </w:r>
      <w:r>
        <w:rPr>
          <w:rFonts w:ascii="Arial" w:hAnsi="Arial"/>
          <w:b w:val="0"/>
          <w:i w:val="0"/>
          <w:sz w:val="21"/>
        </w:rPr>
        <w:t xml:space="preserve">It reports in US dollars, sells gold at a US-dollar price, and runs </w:t>
      </w:r>
      <w:r>
        <w:rPr>
          <w:rFonts w:ascii="Arial" w:hAnsi="Arial"/>
          <w:b w:val="0"/>
          <w:i w:val="0"/>
          <w:sz w:val="21"/>
        </w:rPr>
        <w:t>a single South African mine — South Deep — which is only ~13–15% of group production (~320koz, ramping toward a 380koz/a run-rate, of 2.438Moz group FY2025). The other ~85% sits in Australia, Ghana, Peru, Chile and (pre-build) Canada, none of which touch the rand or Eskom. So neither a weaker rand nor renewed load-shedding moves group earnings much.</w:t>
      </w:r>
    </w:p>
    <w:p>
      <w:pPr>
        <w:spacing w:after="160" w:before="0"/>
      </w:pPr>
      <w:r>
        <w:rPr>
          <w:rFonts w:ascii="Arial" w:hAnsi="Arial"/>
          <w:b/>
          <w:i w:val="0"/>
          <w:sz w:val="21"/>
        </w:rPr>
        <w:t xml:space="preserve">A substantially weaker rand is, on balance, mildly POSITIVE for Gold Fields in US-dollar terms </w:t>
      </w:r>
      <w:r>
        <w:rPr>
          <w:rFonts w:ascii="Arial" w:hAnsi="Arial"/>
          <w:b w:val="0"/>
          <w:i w:val="0"/>
          <w:sz w:val="21"/>
        </w:rPr>
        <w:t xml:space="preserve">and clearly positive for a rand-based investor. </w:t>
      </w:r>
      <w:r>
        <w:rPr>
          <w:rFonts w:ascii="Arial" w:hAnsi="Arial"/>
          <w:b w:val="0"/>
          <w:i w:val="0"/>
          <w:sz w:val="21"/>
        </w:rPr>
        <w:t>Group revenue is in USD and does not change when the rand falls; but South Deep's cost base is in rand, so a weaker rand lowers South Deep's US-dollar cost and trims group AISC. Separately, because the JSE share price and the dividend are paid in rand, a weaker rand mechanically inflates the rand-denominated share price and dividend on unchanged US-dollar earnings.</w:t>
      </w:r>
    </w:p>
    <w:p>
      <w:pPr>
        <w:spacing w:after="160" w:before="0"/>
      </w:pPr>
      <w:r>
        <w:rPr>
          <w:rFonts w:ascii="Arial" w:hAnsi="Arial"/>
          <w:b/>
          <w:i w:val="0"/>
          <w:sz w:val="21"/>
        </w:rPr>
        <w:t xml:space="preserve">Renewed load-shedding is a contained, well-mitigated South Deep cost/production risk — not a group threat. </w:t>
      </w:r>
      <w:r>
        <w:rPr>
          <w:rFonts w:ascii="Arial" w:hAnsi="Arial"/>
          <w:b w:val="0"/>
          <w:i w:val="0"/>
          <w:sz w:val="21"/>
        </w:rPr>
        <w:t>South Deep is the only asset on the Eskom grid, and it already runs the 50MW Khanyisa solar plant (generating at ~8.5% of Eskom grid cost) with a battery/wind extension under evaluation. A return to Stage 4–6 would raise South Deep's diesel/inefficiency cost and risk a few thousand ounces, but the group impact is modest and partly self-cancelling against the rand tailwind (load-shedding and a weak rand tend to arrive together).</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Verdict.  </w:t>
            </w:r>
            <w:r>
              <w:rPr>
                <w:rFonts w:ascii="Arial" w:hAnsi="Arial"/>
                <w:b w:val="0"/>
                <w:i w:val="0"/>
                <w:sz w:val="21"/>
              </w:rPr>
              <w:t>Under a moderate-to-severe rand move (USD/ZAR ~20–22 vs ~16.2 spot / 18.3 FY2025 avg) group US-dollar EBITDA is broadly unchanged-to-slightly-higher (~+US$100m (e)), while rand-translated EBITDA and dividends rise ~25–30% (e). Under renewed Stage 4–6 load-shedding the group EBITDA drag is ~US$50–120m (e), i.e. ~1–2% of the ~US$5.6bn FY2025 base. Both are small next to the real swing factor — the US-dollar gold price (~US$4,301/oz on 18 Jun 2026 vs US$3,496 realised in FY2025). A single +US$100/oz move in gold (+US$250m EBITDA (e)) outweighs either SA shock in full.</w:t>
            </w:r>
          </w:p>
        </w:tc>
      </w:tr>
    </w:tbl>
    <w:p>
      <w:pPr>
        <w:spacing w:after="40" w:before="0"/>
      </w:pPr>
    </w:p>
    <w:p>
      <w:pPr>
        <w:pStyle w:val="Heading1"/>
      </w:pPr>
      <w:r>
        <w:t>2. FY2025 anchor — the sacred actuals</w:t>
      </w:r>
    </w:p>
    <w:p>
      <w:pPr>
        <w:spacing w:after="120" w:before="0"/>
      </w:pPr>
      <w:r>
        <w:rPr>
          <w:rFonts w:ascii="Arial" w:hAnsi="Arial"/>
          <w:b w:val="0"/>
          <w:i w:val="0"/>
          <w:sz w:val="21"/>
        </w:rPr>
        <w:t>Every scenario below is calibrated to these reported FY2025 numbers (the model reproduces FY2025 EBITDA to ~98%). Record year, driven by the gold price and the Salares Norte ramp.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0"/>
            <w:shd w:val="clear" w:fill="1F3864"/>
          </w:tcPr>
          <w:p>
            <w:r/>
            <w:r>
              <w:rPr>
                <w:rFonts w:ascii="Arial" w:hAnsi="Arial"/>
                <w:b/>
                <w:i w:val="0"/>
                <w:color w:val="FFFFFF"/>
                <w:sz w:val="18"/>
              </w:rPr>
              <w:t>Metric (US$m unless stated)</w:t>
            </w:r>
          </w:p>
        </w:tc>
        <w:tc>
          <w:tcPr>
            <w:tcW w:type="dxa" w:w="1500"/>
            <w:shd w:val="clear" w:fill="2E5496"/>
          </w:tcPr>
          <w:p>
            <w:r/>
            <w:r>
              <w:rPr>
                <w:rFonts w:ascii="Arial" w:hAnsi="Arial"/>
                <w:b/>
                <w:i w:val="0"/>
                <w:color w:val="FFFFFF"/>
                <w:sz w:val="18"/>
              </w:rPr>
              <w:t>FY2025A</w:t>
            </w:r>
          </w:p>
        </w:tc>
        <w:tc>
          <w:tcPr>
            <w:tcW w:type="dxa" w:w="1500"/>
            <w:shd w:val="clear" w:fill="2E5496"/>
          </w:tcPr>
          <w:p>
            <w:r/>
            <w:r>
              <w:rPr>
                <w:rFonts w:ascii="Arial" w:hAnsi="Arial"/>
                <w:b/>
                <w:i w:val="0"/>
                <w:color w:val="FFFFFF"/>
                <w:sz w:val="18"/>
              </w:rPr>
              <w:t>FY2024A</w:t>
            </w:r>
          </w:p>
        </w:tc>
        <w:tc>
          <w:tcPr>
            <w:tcW w:type="dxa" w:w="1300"/>
            <w:shd w:val="clear" w:fill="375623"/>
          </w:tcPr>
          <w:p>
            <w:r/>
            <w:r>
              <w:rPr>
                <w:rFonts w:ascii="Arial" w:hAnsi="Arial"/>
                <w:b/>
                <w:i w:val="0"/>
                <w:color w:val="FFFFFF"/>
                <w:sz w:val="18"/>
              </w:rPr>
              <w:t>% chg</w:t>
            </w:r>
          </w:p>
        </w:tc>
      </w:tr>
      <w:tr>
        <w:tc>
          <w:tcPr>
            <w:tcW w:type="dxa" w:w="4600"/>
            <w:shd w:val="clear" w:fill="F2F2F2"/>
          </w:tcPr>
          <w:p>
            <w:r/>
            <w:r>
              <w:rPr>
                <w:rFonts w:ascii="Arial" w:hAnsi="Arial"/>
                <w:b/>
                <w:i w:val="0"/>
                <w:sz w:val="18"/>
              </w:rPr>
              <w:t>Revenue</w:t>
            </w:r>
          </w:p>
        </w:tc>
        <w:tc>
          <w:tcPr>
            <w:tcW w:type="dxa" w:w="1500"/>
          </w:tcPr>
          <w:p>
            <w:r/>
            <w:r>
              <w:rPr>
                <w:rFonts w:ascii="Arial" w:hAnsi="Arial"/>
                <w:b w:val="0"/>
                <w:i w:val="0"/>
                <w:sz w:val="18"/>
              </w:rPr>
              <w:t>8,751</w:t>
            </w:r>
          </w:p>
        </w:tc>
        <w:tc>
          <w:tcPr>
            <w:tcW w:type="dxa" w:w="1500"/>
          </w:tcPr>
          <w:p>
            <w:r/>
            <w:r>
              <w:rPr>
                <w:rFonts w:ascii="Arial" w:hAnsi="Arial"/>
                <w:b w:val="0"/>
                <w:i w:val="0"/>
                <w:sz w:val="18"/>
              </w:rPr>
              <w:t>5,202</w:t>
            </w:r>
          </w:p>
        </w:tc>
        <w:tc>
          <w:tcPr>
            <w:tcW w:type="dxa" w:w="1300"/>
          </w:tcPr>
          <w:p>
            <w:r/>
            <w:r>
              <w:rPr>
                <w:rFonts w:ascii="Arial" w:hAnsi="Arial"/>
                <w:b w:val="0"/>
                <w:i w:val="0"/>
                <w:sz w:val="18"/>
              </w:rPr>
              <w:t>+68%</w:t>
            </w:r>
          </w:p>
        </w:tc>
      </w:tr>
      <w:tr>
        <w:tc>
          <w:tcPr>
            <w:tcW w:type="dxa" w:w="4600"/>
            <w:shd w:val="clear" w:fill="F2F2F2"/>
          </w:tcPr>
          <w:p>
            <w:r/>
            <w:r>
              <w:rPr>
                <w:rFonts w:ascii="Arial" w:hAnsi="Arial"/>
                <w:b/>
                <w:i w:val="0"/>
                <w:sz w:val="18"/>
              </w:rPr>
              <w:t>Average realised gold price (US$/oz)</w:t>
            </w:r>
          </w:p>
        </w:tc>
        <w:tc>
          <w:tcPr>
            <w:tcW w:type="dxa" w:w="1500"/>
            <w:shd w:val="clear" w:fill="FAFAFA"/>
          </w:tcPr>
          <w:p>
            <w:r/>
            <w:r>
              <w:rPr>
                <w:rFonts w:ascii="Arial" w:hAnsi="Arial"/>
                <w:b w:val="0"/>
                <w:i w:val="0"/>
                <w:sz w:val="18"/>
              </w:rPr>
              <w:t>3,496</w:t>
            </w:r>
          </w:p>
        </w:tc>
        <w:tc>
          <w:tcPr>
            <w:tcW w:type="dxa" w:w="1500"/>
            <w:shd w:val="clear" w:fill="FAFAFA"/>
          </w:tcPr>
          <w:p>
            <w:r/>
            <w:r>
              <w:rPr>
                <w:rFonts w:ascii="Arial" w:hAnsi="Arial"/>
                <w:b w:val="0"/>
                <w:i w:val="0"/>
                <w:sz w:val="18"/>
              </w:rPr>
              <w:t>2,418</w:t>
            </w:r>
          </w:p>
        </w:tc>
        <w:tc>
          <w:tcPr>
            <w:tcW w:type="dxa" w:w="1300"/>
            <w:shd w:val="clear" w:fill="FAFAFA"/>
          </w:tcPr>
          <w:p>
            <w:r/>
            <w:r>
              <w:rPr>
                <w:rFonts w:ascii="Arial" w:hAnsi="Arial"/>
                <w:b w:val="0"/>
                <w:i w:val="0"/>
                <w:sz w:val="18"/>
              </w:rPr>
              <w:t>+45%</w:t>
            </w:r>
          </w:p>
        </w:tc>
      </w:tr>
      <w:tr>
        <w:tc>
          <w:tcPr>
            <w:tcW w:type="dxa" w:w="4600"/>
            <w:shd w:val="clear" w:fill="F2F2F2"/>
          </w:tcPr>
          <w:p>
            <w:r/>
            <w:r>
              <w:rPr>
                <w:rFonts w:ascii="Arial" w:hAnsi="Arial"/>
                <w:b/>
                <w:i w:val="0"/>
                <w:sz w:val="18"/>
              </w:rPr>
              <w:t>Adjusted EBITDA</w:t>
            </w:r>
          </w:p>
        </w:tc>
        <w:tc>
          <w:tcPr>
            <w:tcW w:type="dxa" w:w="1500"/>
          </w:tcPr>
          <w:p>
            <w:r/>
            <w:r>
              <w:rPr>
                <w:rFonts w:ascii="Arial" w:hAnsi="Arial"/>
                <w:b w:val="0"/>
                <w:i w:val="0"/>
                <w:sz w:val="18"/>
              </w:rPr>
              <w:t>5,637</w:t>
            </w:r>
          </w:p>
        </w:tc>
        <w:tc>
          <w:tcPr>
            <w:tcW w:type="dxa" w:w="1500"/>
          </w:tcPr>
          <w:p>
            <w:r/>
            <w:r>
              <w:rPr>
                <w:rFonts w:ascii="Arial" w:hAnsi="Arial"/>
                <w:b w:val="0"/>
                <w:i w:val="0"/>
                <w:sz w:val="18"/>
              </w:rPr>
              <w:t>2,847</w:t>
            </w:r>
          </w:p>
        </w:tc>
        <w:tc>
          <w:tcPr>
            <w:tcW w:type="dxa" w:w="1300"/>
          </w:tcPr>
          <w:p>
            <w:r/>
            <w:r>
              <w:rPr>
                <w:rFonts w:ascii="Arial" w:hAnsi="Arial"/>
                <w:b w:val="0"/>
                <w:i w:val="0"/>
                <w:sz w:val="18"/>
              </w:rPr>
              <w:t>+98%</w:t>
            </w:r>
          </w:p>
        </w:tc>
      </w:tr>
      <w:tr>
        <w:tc>
          <w:tcPr>
            <w:tcW w:type="dxa" w:w="4600"/>
            <w:shd w:val="clear" w:fill="F2F2F2"/>
          </w:tcPr>
          <w:p>
            <w:r/>
            <w:r>
              <w:rPr>
                <w:rFonts w:ascii="Arial" w:hAnsi="Arial"/>
                <w:b/>
                <w:i w:val="0"/>
                <w:sz w:val="18"/>
              </w:rPr>
              <w:t>Attributable profit (incl. ~US$808m Gruyere one-off)</w:t>
            </w:r>
          </w:p>
        </w:tc>
        <w:tc>
          <w:tcPr>
            <w:tcW w:type="dxa" w:w="1500"/>
            <w:shd w:val="clear" w:fill="FAFAFA"/>
          </w:tcPr>
          <w:p>
            <w:r/>
            <w:r>
              <w:rPr>
                <w:rFonts w:ascii="Arial" w:hAnsi="Arial"/>
                <w:b w:val="0"/>
                <w:i w:val="0"/>
                <w:sz w:val="18"/>
              </w:rPr>
              <w:t>3,567</w:t>
            </w:r>
          </w:p>
        </w:tc>
        <w:tc>
          <w:tcPr>
            <w:tcW w:type="dxa" w:w="1500"/>
            <w:shd w:val="clear" w:fill="FAFAFA"/>
          </w:tcPr>
          <w:p>
            <w:r/>
            <w:r>
              <w:rPr>
                <w:rFonts w:ascii="Arial" w:hAnsi="Arial"/>
                <w:b w:val="0"/>
                <w:i w:val="0"/>
                <w:sz w:val="18"/>
              </w:rPr>
              <w:t>1,245</w:t>
            </w:r>
          </w:p>
        </w:tc>
        <w:tc>
          <w:tcPr>
            <w:tcW w:type="dxa" w:w="1300"/>
            <w:shd w:val="clear" w:fill="FAFAFA"/>
          </w:tcPr>
          <w:p>
            <w:r/>
            <w:r>
              <w:rPr>
                <w:rFonts w:ascii="Arial" w:hAnsi="Arial"/>
                <w:b w:val="0"/>
                <w:i w:val="0"/>
                <w:sz w:val="18"/>
              </w:rPr>
              <w:t>+187%</w:t>
            </w:r>
          </w:p>
        </w:tc>
      </w:tr>
      <w:tr>
        <w:tc>
          <w:tcPr>
            <w:tcW w:type="dxa" w:w="4600"/>
            <w:shd w:val="clear" w:fill="F2F2F2"/>
          </w:tcPr>
          <w:p>
            <w:r/>
            <w:r>
              <w:rPr>
                <w:rFonts w:ascii="Arial" w:hAnsi="Arial"/>
                <w:b/>
                <w:i w:val="0"/>
                <w:sz w:val="18"/>
              </w:rPr>
              <w:t>Normalised profit</w:t>
            </w:r>
          </w:p>
        </w:tc>
        <w:tc>
          <w:tcPr>
            <w:tcW w:type="dxa" w:w="1500"/>
          </w:tcPr>
          <w:p>
            <w:r/>
            <w:r>
              <w:rPr>
                <w:rFonts w:ascii="Arial" w:hAnsi="Arial"/>
                <w:b w:val="0"/>
                <w:i w:val="0"/>
                <w:sz w:val="18"/>
              </w:rPr>
              <w:t>2,684</w:t>
            </w:r>
          </w:p>
        </w:tc>
        <w:tc>
          <w:tcPr>
            <w:tcW w:type="dxa" w:w="1500"/>
          </w:tcPr>
          <w:p>
            <w:r/>
            <w:r>
              <w:rPr>
                <w:rFonts w:ascii="Arial" w:hAnsi="Arial"/>
                <w:b w:val="0"/>
                <w:i w:val="0"/>
                <w:sz w:val="18"/>
              </w:rPr>
              <w:t>1,227</w:t>
            </w:r>
          </w:p>
        </w:tc>
        <w:tc>
          <w:tcPr>
            <w:tcW w:type="dxa" w:w="1300"/>
          </w:tcPr>
          <w:p>
            <w:r/>
            <w:r>
              <w:rPr>
                <w:rFonts w:ascii="Arial" w:hAnsi="Arial"/>
                <w:b w:val="0"/>
                <w:i w:val="0"/>
                <w:sz w:val="18"/>
              </w:rPr>
              <w:t>+119%</w:t>
            </w:r>
          </w:p>
        </w:tc>
      </w:tr>
      <w:tr>
        <w:tc>
          <w:tcPr>
            <w:tcW w:type="dxa" w:w="4600"/>
            <w:shd w:val="clear" w:fill="F2F2F2"/>
          </w:tcPr>
          <w:p>
            <w:r/>
            <w:r>
              <w:rPr>
                <w:rFonts w:ascii="Arial" w:hAnsi="Arial"/>
                <w:b/>
                <w:i w:val="0"/>
                <w:sz w:val="18"/>
              </w:rPr>
              <w:t>Attributable production (Moz)</w:t>
            </w:r>
          </w:p>
        </w:tc>
        <w:tc>
          <w:tcPr>
            <w:tcW w:type="dxa" w:w="1500"/>
            <w:shd w:val="clear" w:fill="FAFAFA"/>
          </w:tcPr>
          <w:p>
            <w:r/>
            <w:r>
              <w:rPr>
                <w:rFonts w:ascii="Arial" w:hAnsi="Arial"/>
                <w:b w:val="0"/>
                <w:i w:val="0"/>
                <w:sz w:val="18"/>
              </w:rPr>
              <w:t>2.438</w:t>
            </w:r>
          </w:p>
        </w:tc>
        <w:tc>
          <w:tcPr>
            <w:tcW w:type="dxa" w:w="1500"/>
            <w:shd w:val="clear" w:fill="FAFAFA"/>
          </w:tcPr>
          <w:p>
            <w:r/>
            <w:r>
              <w:rPr>
                <w:rFonts w:ascii="Arial" w:hAnsi="Arial"/>
                <w:b w:val="0"/>
                <w:i w:val="0"/>
                <w:sz w:val="18"/>
              </w:rPr>
              <w:t>2.071</w:t>
            </w:r>
          </w:p>
        </w:tc>
        <w:tc>
          <w:tcPr>
            <w:tcW w:type="dxa" w:w="1300"/>
            <w:shd w:val="clear" w:fill="FAFAFA"/>
          </w:tcPr>
          <w:p>
            <w:r/>
            <w:r>
              <w:rPr>
                <w:rFonts w:ascii="Arial" w:hAnsi="Arial"/>
                <w:b w:val="0"/>
                <w:i w:val="0"/>
                <w:sz w:val="18"/>
              </w:rPr>
              <w:t>+18%</w:t>
            </w:r>
          </w:p>
        </w:tc>
      </w:tr>
      <w:tr>
        <w:tc>
          <w:tcPr>
            <w:tcW w:type="dxa" w:w="4600"/>
            <w:shd w:val="clear" w:fill="F2F2F2"/>
          </w:tcPr>
          <w:p>
            <w:r/>
            <w:r>
              <w:rPr>
                <w:rFonts w:ascii="Arial" w:hAnsi="Arial"/>
                <w:b/>
                <w:i w:val="0"/>
                <w:sz w:val="18"/>
              </w:rPr>
              <w:t>AISC (US$/oz)</w:t>
            </w:r>
          </w:p>
        </w:tc>
        <w:tc>
          <w:tcPr>
            <w:tcW w:type="dxa" w:w="1500"/>
          </w:tcPr>
          <w:p>
            <w:r/>
            <w:r>
              <w:rPr>
                <w:rFonts w:ascii="Arial" w:hAnsi="Arial"/>
                <w:b w:val="0"/>
                <w:i w:val="0"/>
                <w:sz w:val="18"/>
              </w:rPr>
              <w:t>1,645</w:t>
            </w:r>
          </w:p>
        </w:tc>
        <w:tc>
          <w:tcPr>
            <w:tcW w:type="dxa" w:w="1500"/>
          </w:tcPr>
          <w:p>
            <w:r/>
            <w:r>
              <w:rPr>
                <w:rFonts w:ascii="Arial" w:hAnsi="Arial"/>
                <w:b w:val="0"/>
                <w:i w:val="0"/>
                <w:sz w:val="18"/>
              </w:rPr>
              <w:t>1,629</w:t>
            </w:r>
          </w:p>
        </w:tc>
        <w:tc>
          <w:tcPr>
            <w:tcW w:type="dxa" w:w="1300"/>
          </w:tcPr>
          <w:p>
            <w:r/>
            <w:r>
              <w:rPr>
                <w:rFonts w:ascii="Arial" w:hAnsi="Arial"/>
                <w:b w:val="0"/>
                <w:i w:val="0"/>
                <w:sz w:val="18"/>
              </w:rPr>
              <w:t>+1%</w:t>
            </w:r>
          </w:p>
        </w:tc>
      </w:tr>
      <w:tr>
        <w:tc>
          <w:tcPr>
            <w:tcW w:type="dxa" w:w="4600"/>
            <w:shd w:val="clear" w:fill="F2F2F2"/>
          </w:tcPr>
          <w:p>
            <w:r/>
            <w:r>
              <w:rPr>
                <w:rFonts w:ascii="Arial" w:hAnsi="Arial"/>
                <w:b/>
                <w:i w:val="0"/>
                <w:sz w:val="18"/>
              </w:rPr>
              <w:t>Adjusted free cash flow</w:t>
            </w:r>
          </w:p>
        </w:tc>
        <w:tc>
          <w:tcPr>
            <w:tcW w:type="dxa" w:w="1500"/>
            <w:shd w:val="clear" w:fill="FAFAFA"/>
          </w:tcPr>
          <w:p>
            <w:r/>
            <w:r>
              <w:rPr>
                <w:rFonts w:ascii="Arial" w:hAnsi="Arial"/>
                <w:b w:val="0"/>
                <w:i w:val="0"/>
                <w:sz w:val="18"/>
              </w:rPr>
              <w:t>2,970</w:t>
            </w:r>
          </w:p>
        </w:tc>
        <w:tc>
          <w:tcPr>
            <w:tcW w:type="dxa" w:w="1500"/>
            <w:shd w:val="clear" w:fill="FAFAFA"/>
          </w:tcPr>
          <w:p>
            <w:r/>
            <w:r>
              <w:rPr>
                <w:rFonts w:ascii="Arial" w:hAnsi="Arial"/>
                <w:b w:val="0"/>
                <w:i w:val="0"/>
                <w:sz w:val="18"/>
              </w:rPr>
              <w:t>605</w:t>
            </w:r>
          </w:p>
        </w:tc>
        <w:tc>
          <w:tcPr>
            <w:tcW w:type="dxa" w:w="1300"/>
            <w:shd w:val="clear" w:fill="FAFAFA"/>
          </w:tcPr>
          <w:p>
            <w:r/>
            <w:r>
              <w:rPr>
                <w:rFonts w:ascii="Arial" w:hAnsi="Arial"/>
                <w:b w:val="0"/>
                <w:i w:val="0"/>
                <w:sz w:val="18"/>
              </w:rPr>
              <w:t>+391%</w:t>
            </w:r>
          </w:p>
        </w:tc>
      </w:tr>
      <w:tr>
        <w:tc>
          <w:tcPr>
            <w:tcW w:type="dxa" w:w="4600"/>
            <w:shd w:val="clear" w:fill="F2F2F2"/>
          </w:tcPr>
          <w:p>
            <w:r/>
            <w:r>
              <w:rPr>
                <w:rFonts w:ascii="Arial" w:hAnsi="Arial"/>
                <w:b/>
                <w:i w:val="0"/>
                <w:sz w:val="18"/>
              </w:rPr>
              <w:t>Net debt / adj. EBITDA (x)</w:t>
            </w:r>
          </w:p>
        </w:tc>
        <w:tc>
          <w:tcPr>
            <w:tcW w:type="dxa" w:w="1500"/>
          </w:tcPr>
          <w:p>
            <w:r/>
            <w:r>
              <w:rPr>
                <w:rFonts w:ascii="Arial" w:hAnsi="Arial"/>
                <w:b w:val="0"/>
                <w:i w:val="0"/>
                <w:sz w:val="18"/>
              </w:rPr>
              <w:t>0.26</w:t>
            </w:r>
          </w:p>
        </w:tc>
        <w:tc>
          <w:tcPr>
            <w:tcW w:type="dxa" w:w="1500"/>
          </w:tcPr>
          <w:p>
            <w:r/>
            <w:r>
              <w:rPr>
                <w:rFonts w:ascii="Arial" w:hAnsi="Arial"/>
                <w:b w:val="0"/>
                <w:i w:val="0"/>
                <w:sz w:val="18"/>
              </w:rPr>
              <w:t>0.73</w:t>
            </w:r>
          </w:p>
        </w:tc>
        <w:tc>
          <w:tcPr>
            <w:tcW w:type="dxa" w:w="1300"/>
          </w:tcPr>
          <w:p>
            <w:r/>
            <w:r>
              <w:rPr>
                <w:rFonts w:ascii="Arial" w:hAnsi="Arial"/>
                <w:b w:val="0"/>
                <w:i w:val="0"/>
                <w:sz w:val="18"/>
              </w:rPr>
              <w:t>−0.47x</w:t>
            </w:r>
          </w:p>
        </w:tc>
      </w:tr>
      <w:tr>
        <w:tc>
          <w:tcPr>
            <w:tcW w:type="dxa" w:w="4600"/>
            <w:shd w:val="clear" w:fill="F2F2F2"/>
          </w:tcPr>
          <w:p>
            <w:r/>
            <w:r>
              <w:rPr>
                <w:rFonts w:ascii="Arial" w:hAnsi="Arial"/>
                <w:b/>
                <w:i w:val="0"/>
                <w:sz w:val="18"/>
              </w:rPr>
              <w:t>Total ordinary dividend (ZAR/share)</w:t>
            </w:r>
          </w:p>
        </w:tc>
        <w:tc>
          <w:tcPr>
            <w:tcW w:type="dxa" w:w="1500"/>
            <w:shd w:val="clear" w:fill="FAFAFA"/>
          </w:tcPr>
          <w:p>
            <w:r/>
            <w:r>
              <w:rPr>
                <w:rFonts w:ascii="Arial" w:hAnsi="Arial"/>
                <w:b w:val="0"/>
                <w:i w:val="0"/>
                <w:sz w:val="18"/>
              </w:rPr>
              <w:t>25.50</w:t>
            </w:r>
          </w:p>
        </w:tc>
        <w:tc>
          <w:tcPr>
            <w:tcW w:type="dxa" w:w="1500"/>
            <w:shd w:val="clear" w:fill="FAFAFA"/>
          </w:tcPr>
          <w:p>
            <w:r/>
            <w:r>
              <w:rPr>
                <w:rFonts w:ascii="Arial" w:hAnsi="Arial"/>
                <w:b w:val="0"/>
                <w:i w:val="0"/>
                <w:sz w:val="18"/>
              </w:rPr>
              <w:t>11.00</w:t>
            </w:r>
          </w:p>
        </w:tc>
        <w:tc>
          <w:tcPr>
            <w:tcW w:type="dxa" w:w="1300"/>
            <w:shd w:val="clear" w:fill="FAFAFA"/>
          </w:tcPr>
          <w:p>
            <w:r/>
            <w:r>
              <w:rPr>
                <w:rFonts w:ascii="Arial" w:hAnsi="Arial"/>
                <w:b w:val="0"/>
                <w:i w:val="0"/>
                <w:sz w:val="18"/>
              </w:rPr>
              <w:t>+132%</w:t>
            </w:r>
          </w:p>
        </w:tc>
      </w:tr>
    </w:tbl>
    <w:p>
      <w:pPr>
        <w:spacing w:after="40" w:before="0"/>
      </w:pPr>
    </w:p>
    <w:p>
      <w:pPr>
        <w:spacing w:after="160" w:before="0"/>
      </w:pPr>
      <w:r>
        <w:rPr>
          <w:rFonts w:ascii="Arial" w:hAnsi="Arial"/>
          <w:b w:val="0"/>
          <w:i/>
          <w:sz w:val="21"/>
        </w:rPr>
        <w:t xml:space="preserve">FY2025 also carried a ~R4.50 special dividend (total distributions ~US$1.7bn, ~54% of adjusted FCF). FY2026 company guidance: production 2.40–2.60Moz, AISC US$1,800–2,000/oz, capex US$1.9–2.1bn. </w:t>
      </w:r>
      <w:r>
        <w:rPr>
          <w:rFonts w:ascii="Arial" w:hAnsi="Arial"/>
          <w:b w:val="0"/>
          <w:i/>
          <w:sz w:val="21"/>
        </w:rPr>
        <w:t>Source: Gold Fields FY2025 reviewed results, SEC Form 6-K, 19–20 Feb 2026.</w:t>
      </w:r>
    </w:p>
    <w:p>
      <w:pPr>
        <w:pStyle w:val="Heading1"/>
      </w:pPr>
      <w:r>
        <w:t>3. Scenario 1 — Substantial rand weakness (USD/ZAR ~20–22)</w:t>
      </w:r>
    </w:p>
    <w:p>
      <w:pPr>
        <w:spacing w:after="160" w:before="0"/>
      </w:pPr>
      <w:r>
        <w:rPr>
          <w:rFonts w:ascii="Arial" w:hAnsi="Arial"/>
          <w:b/>
          <w:i w:val="0"/>
          <w:sz w:val="21"/>
        </w:rPr>
        <w:t xml:space="preserve">The mechanism. </w:t>
      </w:r>
      <w:r>
        <w:rPr>
          <w:rFonts w:ascii="Arial" w:hAnsi="Arial"/>
          <w:b w:val="0"/>
          <w:i w:val="0"/>
          <w:sz w:val="21"/>
        </w:rPr>
        <w:t>Gold Fields is a US-dollar reporter. Group revenue is set by the US-dollar gold price × ounces sold and is unaffected by the ZAR. The rand only enters through South Deep's cost base (the sole rand-denominated cost centre; Australian costs are in AUD, the rest broadly USD-linked). When the rand weakens, South Deep's costs translate into fewer US dollars, so group AISC eases and South Deep's US-dollar margin widens.</w:t>
      </w:r>
    </w:p>
    <w:p>
      <w:pPr>
        <w:spacing w:after="160" w:before="0"/>
      </w:pPr>
      <w:r>
        <w:rPr>
          <w:rFonts w:ascii="Arial" w:hAnsi="Arial"/>
          <w:b/>
          <w:i w:val="0"/>
          <w:sz w:val="21"/>
        </w:rPr>
        <w:t xml:space="preserve">Size of the effect. </w:t>
      </w:r>
      <w:r>
        <w:rPr>
          <w:rFonts w:ascii="Arial" w:hAnsi="Arial"/>
          <w:b w:val="0"/>
          <w:i w:val="0"/>
          <w:sz w:val="21"/>
        </w:rPr>
        <w:t>South Deep is ~14% of group ounces and its rand-pure cost share is smaller still (steel, fuel and equipment are import/USD-linked even in SA). A ~25–35% rand depreciation (to ~R20–22 from ~R16.2 spot) trims group AISC by roughly US$30–60/oz (e) — we model −US$40/oz — lifting group EBITDA ~US$100m (e), about +1.5% on the FY2025 base. Real, but second-order.</w:t>
      </w:r>
    </w:p>
    <w:p>
      <w:pPr>
        <w:spacing w:after="160" w:before="0"/>
      </w:pPr>
      <w:r>
        <w:rPr>
          <w:rFonts w:ascii="Arial" w:hAnsi="Arial"/>
          <w:b/>
          <w:i w:val="0"/>
          <w:sz w:val="21"/>
        </w:rPr>
        <w:t xml:space="preserve">What actually matters for a rand investor. </w:t>
      </w:r>
      <w:r>
        <w:rPr>
          <w:rFonts w:ascii="Arial" w:hAnsi="Arial"/>
          <w:b w:val="0"/>
          <w:i w:val="0"/>
          <w:sz w:val="21"/>
        </w:rPr>
        <w:t>The JSE share price and the dividend are denominated in rand. With US-dollar earnings unchanged, a 25–30% weaker rand mechanically lifts the rand share price and the rand dividend by a similar amount. On flat US-dollar payout, the FY2025 R25.50 ordinary dividend would translate ~25–30% higher (e) purely on FX. For a rand-based holder, Gold Fields is a natural rand hedge.</w:t>
      </w:r>
    </w:p>
    <w:p>
      <w:pPr>
        <w:pStyle w:val="Heading1"/>
      </w:pPr>
      <w:r>
        <w:t>4. Scenario 2 — Load-shedding reintroduced (Stage 4–6)</w:t>
      </w:r>
    </w:p>
    <w:p>
      <w:pPr>
        <w:spacing w:after="160" w:before="0"/>
      </w:pPr>
      <w:r>
        <w:rPr>
          <w:rFonts w:ascii="Arial" w:hAnsi="Arial"/>
          <w:b/>
          <w:i w:val="0"/>
          <w:sz w:val="21"/>
        </w:rPr>
        <w:t xml:space="preserve">Starting point. </w:t>
      </w:r>
      <w:r>
        <w:rPr>
          <w:rFonts w:ascii="Arial" w:hAnsi="Arial"/>
          <w:b w:val="0"/>
          <w:i w:val="0"/>
          <w:sz w:val="21"/>
        </w:rPr>
        <w:t>Load-shedding has been suspended for 341+ consecutive days and Eskom forecasts none for the 2026 winter (1 Apr–31 Aug). This scenario is therefore a re-introduction stress, not the current base case.</w:t>
      </w:r>
    </w:p>
    <w:p>
      <w:pPr>
        <w:spacing w:after="160" w:before="0"/>
      </w:pPr>
      <w:r>
        <w:rPr>
          <w:rFonts w:ascii="Arial" w:hAnsi="Arial"/>
          <w:b/>
          <w:i w:val="0"/>
          <w:sz w:val="21"/>
        </w:rPr>
        <w:t xml:space="preserve">Exposure is ring-fenced to South Deep. </w:t>
      </w:r>
      <w:r>
        <w:rPr>
          <w:rFonts w:ascii="Arial" w:hAnsi="Arial"/>
          <w:b w:val="0"/>
          <w:i w:val="0"/>
          <w:sz w:val="21"/>
        </w:rPr>
        <w:t>It is the only Gold Fields asset on the Eskom grid. Underground hoisting, ventilation, pumping and refrigeration run 24/7, so outages force diesel-genset running (higher cost) and can stop hoisting (lost ounces). During the 2022–23 load-shedding peak this cost South Deep both production and margin.</w:t>
      </w:r>
    </w:p>
    <w:p>
      <w:pPr>
        <w:spacing w:after="160" w:before="0"/>
      </w:pPr>
      <w:r>
        <w:rPr>
          <w:rFonts w:ascii="Arial" w:hAnsi="Arial"/>
          <w:b/>
          <w:i w:val="0"/>
          <w:sz w:val="21"/>
        </w:rPr>
        <w:t xml:space="preserve">Mitigation is already built. </w:t>
      </w:r>
      <w:r>
        <w:rPr>
          <w:rFonts w:ascii="Arial" w:hAnsi="Arial"/>
          <w:b w:val="0"/>
          <w:i w:val="0"/>
          <w:sz w:val="21"/>
        </w:rPr>
        <w:t>South Deep's 50MW Khanyisa solar plant generates at ~8.5% of Eskom grid cost and at times exports surplus to the grid; a solar-extension-plus-battery and a wind study are under evaluation. Solar is daytime-only and cannot cover the 24/7 underground load, so it cushions rather than removes the risk.</w:t>
      </w:r>
    </w:p>
    <w:p>
      <w:pPr>
        <w:spacing w:after="160" w:before="0"/>
      </w:pPr>
      <w:r>
        <w:rPr>
          <w:rFonts w:ascii="Arial" w:hAnsi="Arial"/>
          <w:b/>
          <w:i w:val="0"/>
          <w:sz w:val="21"/>
        </w:rPr>
        <w:t xml:space="preserve">Size of the effect. </w:t>
      </w:r>
      <w:r>
        <w:rPr>
          <w:rFonts w:ascii="Arial" w:hAnsi="Arial"/>
          <w:b w:val="0"/>
          <w:i w:val="0"/>
          <w:sz w:val="21"/>
        </w:rPr>
        <w:t>A return to Stage 4–6 plausibly costs South Deep ~5–15koz and adds ~US$50–150/oz to its AISC; weighted to ~14% of the group that is ~US$10–25/oz on group AISC and ~5–15koz on group output — a group EBITDA drag of ~US$50–120m (e), ~1–2% of the FY2025 base. We model the mid-point (−5koz, +US$20/oz group AISC).</w:t>
      </w:r>
    </w:p>
    <w:p>
      <w:pPr>
        <w:pStyle w:val="Heading1"/>
      </w:pPr>
      <w:r>
        <w:t>5. Scenario output (US$m unless stated) — FY2026e</w:t>
      </w:r>
    </w:p>
    <w:p>
      <w:pPr>
        <w:spacing w:after="160" w:before="0"/>
      </w:pPr>
      <w:r>
        <w:rPr>
          <w:rFonts w:ascii="Arial" w:hAnsi="Arial"/>
          <w:b w:val="0"/>
          <w:i/>
          <w:sz w:val="21"/>
        </w:rPr>
        <w:t xml:space="preserve">Calibration: gold held at the 18 Jun 2026 spot of US$4,301/oz; production at guidance mid-point (2.50Moz); base AISC at guidance mid-point (US$1,900/oz). Only the two SA levers move per scenario. EBITDA built on the calibrated FY2025 model (Revenue − AISC cash cost + sustaining capex). All forward values (e). </w:t>
      </w:r>
      <w:r>
        <w:rPr>
          <w:rFonts w:ascii="Arial" w:hAnsi="Arial"/>
          <w:b w:val="0"/>
          <w:i/>
          <w:sz w:val="21"/>
        </w:rPr>
        <w:t>Revenue here is the gold-only proxy (price × ounces); reported group revenue additionally includes Cerro Corona by-products (FY2025 reported US$8,751m vs US$8,523m gold-only).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900"/>
            <w:shd w:val="clear" w:fill="1F3864"/>
          </w:tcPr>
          <w:p>
            <w:r/>
            <w:r>
              <w:rPr>
                <w:rFonts w:ascii="Arial" w:hAnsi="Arial"/>
                <w:b/>
                <w:i w:val="0"/>
                <w:color w:val="FFFFFF"/>
                <w:sz w:val="18"/>
              </w:rPr>
              <w:t>Metric</w:t>
            </w:r>
          </w:p>
        </w:tc>
        <w:tc>
          <w:tcPr>
            <w:tcW w:type="dxa" w:w="1280"/>
            <w:shd w:val="clear" w:fill="375623"/>
          </w:tcPr>
          <w:p>
            <w:r/>
            <w:r>
              <w:rPr>
                <w:rFonts w:ascii="Arial" w:hAnsi="Arial"/>
                <w:b/>
                <w:i w:val="0"/>
                <w:color w:val="FFFFFF"/>
                <w:sz w:val="18"/>
              </w:rPr>
              <w:t>FY2025A</w:t>
            </w:r>
          </w:p>
        </w:tc>
        <w:tc>
          <w:tcPr>
            <w:tcW w:type="dxa" w:w="1320"/>
            <w:shd w:val="clear" w:fill="2E5496"/>
          </w:tcPr>
          <w:p>
            <w:r/>
            <w:r>
              <w:rPr>
                <w:rFonts w:ascii="Arial" w:hAnsi="Arial"/>
                <w:b/>
                <w:i w:val="0"/>
                <w:color w:val="FFFFFF"/>
                <w:sz w:val="18"/>
              </w:rPr>
              <w:t>Base FY26e</w:t>
            </w:r>
          </w:p>
        </w:tc>
        <w:tc>
          <w:tcPr>
            <w:tcW w:type="dxa" w:w="1480"/>
            <w:shd w:val="clear" w:fill="2E5496"/>
          </w:tcPr>
          <w:p>
            <w:r/>
            <w:r>
              <w:rPr>
                <w:rFonts w:ascii="Arial" w:hAnsi="Arial"/>
                <w:b/>
                <w:i w:val="0"/>
                <w:color w:val="FFFFFF"/>
                <w:sz w:val="18"/>
              </w:rPr>
              <w:t>Weaker rand</w:t>
            </w:r>
          </w:p>
        </w:tc>
        <w:tc>
          <w:tcPr>
            <w:tcW w:type="dxa" w:w="1420"/>
            <w:shd w:val="clear" w:fill="2E5496"/>
          </w:tcPr>
          <w:p>
            <w:r/>
            <w:r>
              <w:rPr>
                <w:rFonts w:ascii="Arial" w:hAnsi="Arial"/>
                <w:b/>
                <w:i w:val="0"/>
                <w:color w:val="FFFFFF"/>
                <w:sz w:val="18"/>
              </w:rPr>
              <w:t>Load-shed</w:t>
            </w:r>
          </w:p>
        </w:tc>
        <w:tc>
          <w:tcPr>
            <w:tcW w:type="dxa" w:w="1500"/>
            <w:shd w:val="clear" w:fill="2E5496"/>
          </w:tcPr>
          <w:p>
            <w:r/>
            <w:r>
              <w:rPr>
                <w:rFonts w:ascii="Arial" w:hAnsi="Arial"/>
                <w:b/>
                <w:i w:val="0"/>
                <w:color w:val="FFFFFF"/>
                <w:sz w:val="18"/>
              </w:rPr>
              <w:t>Combined</w:t>
            </w:r>
          </w:p>
        </w:tc>
      </w:tr>
      <w:tr>
        <w:tc>
          <w:tcPr>
            <w:tcW w:type="dxa" w:w="2900"/>
            <w:shd w:val="clear" w:fill="F2F2F2"/>
          </w:tcPr>
          <w:p>
            <w:r/>
            <w:r>
              <w:rPr>
                <w:rFonts w:ascii="Arial" w:hAnsi="Arial"/>
                <w:b/>
                <w:i w:val="0"/>
                <w:sz w:val="18"/>
              </w:rPr>
              <w:t>Realised gold (US$/oz)</w:t>
            </w:r>
          </w:p>
        </w:tc>
        <w:tc>
          <w:tcPr>
            <w:tcW w:type="dxa" w:w="1280"/>
          </w:tcPr>
          <w:p>
            <w:r/>
            <w:r>
              <w:rPr>
                <w:rFonts w:ascii="Arial" w:hAnsi="Arial"/>
                <w:b w:val="0"/>
                <w:i w:val="0"/>
                <w:sz w:val="18"/>
              </w:rPr>
              <w:t>3,496</w:t>
            </w:r>
          </w:p>
        </w:tc>
        <w:tc>
          <w:tcPr>
            <w:tcW w:type="dxa" w:w="1320"/>
          </w:tcPr>
          <w:p>
            <w:r/>
            <w:r>
              <w:rPr>
                <w:rFonts w:ascii="Arial" w:hAnsi="Arial"/>
                <w:b w:val="0"/>
                <w:i w:val="0"/>
                <w:sz w:val="18"/>
              </w:rPr>
              <w:t>4,300</w:t>
            </w:r>
          </w:p>
        </w:tc>
        <w:tc>
          <w:tcPr>
            <w:tcW w:type="dxa" w:w="1480"/>
          </w:tcPr>
          <w:p>
            <w:r/>
            <w:r>
              <w:rPr>
                <w:rFonts w:ascii="Arial" w:hAnsi="Arial"/>
                <w:b w:val="0"/>
                <w:i w:val="0"/>
                <w:sz w:val="18"/>
              </w:rPr>
              <w:t>4,300</w:t>
            </w:r>
          </w:p>
        </w:tc>
        <w:tc>
          <w:tcPr>
            <w:tcW w:type="dxa" w:w="1420"/>
          </w:tcPr>
          <w:p>
            <w:r/>
            <w:r>
              <w:rPr>
                <w:rFonts w:ascii="Arial" w:hAnsi="Arial"/>
                <w:b w:val="0"/>
                <w:i w:val="0"/>
                <w:sz w:val="18"/>
              </w:rPr>
              <w:t>4,300</w:t>
            </w:r>
          </w:p>
        </w:tc>
        <w:tc>
          <w:tcPr>
            <w:tcW w:type="dxa" w:w="1500"/>
          </w:tcPr>
          <w:p>
            <w:r/>
            <w:r>
              <w:rPr>
                <w:rFonts w:ascii="Arial" w:hAnsi="Arial"/>
                <w:b w:val="0"/>
                <w:i w:val="0"/>
                <w:sz w:val="18"/>
              </w:rPr>
              <w:t>4,300</w:t>
            </w:r>
          </w:p>
        </w:tc>
      </w:tr>
      <w:tr>
        <w:tc>
          <w:tcPr>
            <w:tcW w:type="dxa" w:w="2900"/>
            <w:shd w:val="clear" w:fill="F2F2F2"/>
          </w:tcPr>
          <w:p>
            <w:r/>
            <w:r>
              <w:rPr>
                <w:rFonts w:ascii="Arial" w:hAnsi="Arial"/>
                <w:b/>
                <w:i w:val="0"/>
                <w:sz w:val="18"/>
              </w:rPr>
              <w:t>Production (Moz)</w:t>
            </w:r>
          </w:p>
        </w:tc>
        <w:tc>
          <w:tcPr>
            <w:tcW w:type="dxa" w:w="1280"/>
            <w:shd w:val="clear" w:fill="FAFAFA"/>
          </w:tcPr>
          <w:p>
            <w:r/>
            <w:r>
              <w:rPr>
                <w:rFonts w:ascii="Arial" w:hAnsi="Arial"/>
                <w:b w:val="0"/>
                <w:i w:val="0"/>
                <w:sz w:val="18"/>
              </w:rPr>
              <w:t>2.438</w:t>
            </w:r>
          </w:p>
        </w:tc>
        <w:tc>
          <w:tcPr>
            <w:tcW w:type="dxa" w:w="1320"/>
            <w:shd w:val="clear" w:fill="FAFAFA"/>
          </w:tcPr>
          <w:p>
            <w:r/>
            <w:r>
              <w:rPr>
                <w:rFonts w:ascii="Arial" w:hAnsi="Arial"/>
                <w:b w:val="0"/>
                <w:i w:val="0"/>
                <w:sz w:val="18"/>
              </w:rPr>
              <w:t>2.50</w:t>
            </w:r>
          </w:p>
        </w:tc>
        <w:tc>
          <w:tcPr>
            <w:tcW w:type="dxa" w:w="1480"/>
            <w:shd w:val="clear" w:fill="FAFAFA"/>
          </w:tcPr>
          <w:p>
            <w:r/>
            <w:r>
              <w:rPr>
                <w:rFonts w:ascii="Arial" w:hAnsi="Arial"/>
                <w:b w:val="0"/>
                <w:i w:val="0"/>
                <w:sz w:val="18"/>
              </w:rPr>
              <w:t>2.50</w:t>
            </w:r>
          </w:p>
        </w:tc>
        <w:tc>
          <w:tcPr>
            <w:tcW w:type="dxa" w:w="1420"/>
            <w:shd w:val="clear" w:fill="FAFAFA"/>
          </w:tcPr>
          <w:p>
            <w:r/>
            <w:r>
              <w:rPr>
                <w:rFonts w:ascii="Arial" w:hAnsi="Arial"/>
                <w:b w:val="0"/>
                <w:i w:val="0"/>
                <w:sz w:val="18"/>
              </w:rPr>
              <w:t>2.49</w:t>
            </w:r>
          </w:p>
        </w:tc>
        <w:tc>
          <w:tcPr>
            <w:tcW w:type="dxa" w:w="1500"/>
            <w:shd w:val="clear" w:fill="FAFAFA"/>
          </w:tcPr>
          <w:p>
            <w:r/>
            <w:r>
              <w:rPr>
                <w:rFonts w:ascii="Arial" w:hAnsi="Arial"/>
                <w:b w:val="0"/>
                <w:i w:val="0"/>
                <w:sz w:val="18"/>
              </w:rPr>
              <w:t>2.49</w:t>
            </w:r>
          </w:p>
        </w:tc>
      </w:tr>
      <w:tr>
        <w:tc>
          <w:tcPr>
            <w:tcW w:type="dxa" w:w="2900"/>
            <w:shd w:val="clear" w:fill="F2F2F2"/>
          </w:tcPr>
          <w:p>
            <w:r/>
            <w:r>
              <w:rPr>
                <w:rFonts w:ascii="Arial" w:hAnsi="Arial"/>
                <w:b/>
                <w:i w:val="0"/>
                <w:sz w:val="18"/>
              </w:rPr>
              <w:t>Group AISC (US$/oz)</w:t>
            </w:r>
          </w:p>
        </w:tc>
        <w:tc>
          <w:tcPr>
            <w:tcW w:type="dxa" w:w="1280"/>
          </w:tcPr>
          <w:p>
            <w:r/>
            <w:r>
              <w:rPr>
                <w:rFonts w:ascii="Arial" w:hAnsi="Arial"/>
                <w:b w:val="0"/>
                <w:i w:val="0"/>
                <w:sz w:val="18"/>
              </w:rPr>
              <w:t>1,645</w:t>
            </w:r>
          </w:p>
        </w:tc>
        <w:tc>
          <w:tcPr>
            <w:tcW w:type="dxa" w:w="1320"/>
          </w:tcPr>
          <w:p>
            <w:r/>
            <w:r>
              <w:rPr>
                <w:rFonts w:ascii="Arial" w:hAnsi="Arial"/>
                <w:b w:val="0"/>
                <w:i w:val="0"/>
                <w:sz w:val="18"/>
              </w:rPr>
              <w:t>1,900</w:t>
            </w:r>
          </w:p>
        </w:tc>
        <w:tc>
          <w:tcPr>
            <w:tcW w:type="dxa" w:w="1480"/>
          </w:tcPr>
          <w:p>
            <w:r/>
            <w:r>
              <w:rPr>
                <w:rFonts w:ascii="Arial" w:hAnsi="Arial"/>
                <w:b w:val="0"/>
                <w:i w:val="0"/>
                <w:sz w:val="18"/>
              </w:rPr>
              <w:t>1,860</w:t>
            </w:r>
          </w:p>
        </w:tc>
        <w:tc>
          <w:tcPr>
            <w:tcW w:type="dxa" w:w="1420"/>
          </w:tcPr>
          <w:p>
            <w:r/>
            <w:r>
              <w:rPr>
                <w:rFonts w:ascii="Arial" w:hAnsi="Arial"/>
                <w:b w:val="0"/>
                <w:i w:val="0"/>
                <w:sz w:val="18"/>
              </w:rPr>
              <w:t>1,920</w:t>
            </w:r>
          </w:p>
        </w:tc>
        <w:tc>
          <w:tcPr>
            <w:tcW w:type="dxa" w:w="1500"/>
          </w:tcPr>
          <w:p>
            <w:r/>
            <w:r>
              <w:rPr>
                <w:rFonts w:ascii="Arial" w:hAnsi="Arial"/>
                <w:b w:val="0"/>
                <w:i w:val="0"/>
                <w:sz w:val="18"/>
              </w:rPr>
              <w:t>1,880</w:t>
            </w:r>
          </w:p>
        </w:tc>
      </w:tr>
      <w:tr>
        <w:tc>
          <w:tcPr>
            <w:tcW w:type="dxa" w:w="2900"/>
            <w:shd w:val="clear" w:fill="F2F2F2"/>
          </w:tcPr>
          <w:p>
            <w:r/>
            <w:r>
              <w:rPr>
                <w:rFonts w:ascii="Arial" w:hAnsi="Arial"/>
                <w:b/>
                <w:i w:val="0"/>
                <w:sz w:val="18"/>
              </w:rPr>
              <w:t>USD/ZAR (period avg)</w:t>
            </w:r>
          </w:p>
        </w:tc>
        <w:tc>
          <w:tcPr>
            <w:tcW w:type="dxa" w:w="1280"/>
            <w:shd w:val="clear" w:fill="FAFAFA"/>
          </w:tcPr>
          <w:p>
            <w:r/>
            <w:r>
              <w:rPr>
                <w:rFonts w:ascii="Arial" w:hAnsi="Arial"/>
                <w:b w:val="0"/>
                <w:i w:val="0"/>
                <w:sz w:val="18"/>
              </w:rPr>
              <w:t>18.3</w:t>
            </w:r>
          </w:p>
        </w:tc>
        <w:tc>
          <w:tcPr>
            <w:tcW w:type="dxa" w:w="1320"/>
            <w:shd w:val="clear" w:fill="FAFAFA"/>
          </w:tcPr>
          <w:p>
            <w:r/>
            <w:r>
              <w:rPr>
                <w:rFonts w:ascii="Arial" w:hAnsi="Arial"/>
                <w:b w:val="0"/>
                <w:i w:val="0"/>
                <w:sz w:val="18"/>
              </w:rPr>
              <w:t>16.5</w:t>
            </w:r>
          </w:p>
        </w:tc>
        <w:tc>
          <w:tcPr>
            <w:tcW w:type="dxa" w:w="1480"/>
            <w:shd w:val="clear" w:fill="FAFAFA"/>
          </w:tcPr>
          <w:p>
            <w:r/>
            <w:r>
              <w:rPr>
                <w:rFonts w:ascii="Arial" w:hAnsi="Arial"/>
                <w:b w:val="0"/>
                <w:i w:val="0"/>
                <w:sz w:val="18"/>
              </w:rPr>
              <w:t>21.0</w:t>
            </w:r>
          </w:p>
        </w:tc>
        <w:tc>
          <w:tcPr>
            <w:tcW w:type="dxa" w:w="1420"/>
            <w:shd w:val="clear" w:fill="FAFAFA"/>
          </w:tcPr>
          <w:p>
            <w:r/>
            <w:r>
              <w:rPr>
                <w:rFonts w:ascii="Arial" w:hAnsi="Arial"/>
                <w:b w:val="0"/>
                <w:i w:val="0"/>
                <w:sz w:val="18"/>
              </w:rPr>
              <w:t>16.5</w:t>
            </w:r>
          </w:p>
        </w:tc>
        <w:tc>
          <w:tcPr>
            <w:tcW w:type="dxa" w:w="1500"/>
            <w:shd w:val="clear" w:fill="FAFAFA"/>
          </w:tcPr>
          <w:p>
            <w:r/>
            <w:r>
              <w:rPr>
                <w:rFonts w:ascii="Arial" w:hAnsi="Arial"/>
                <w:b w:val="0"/>
                <w:i w:val="0"/>
                <w:sz w:val="18"/>
              </w:rPr>
              <w:t>21.0</w:t>
            </w:r>
          </w:p>
        </w:tc>
      </w:tr>
      <w:tr>
        <w:tc>
          <w:tcPr>
            <w:tcW w:type="dxa" w:w="2900"/>
            <w:shd w:val="clear" w:fill="F2F2F2"/>
          </w:tcPr>
          <w:p>
            <w:r/>
            <w:r>
              <w:rPr>
                <w:rFonts w:ascii="Arial" w:hAnsi="Arial"/>
                <w:b/>
                <w:i w:val="0"/>
                <w:sz w:val="18"/>
              </w:rPr>
              <w:t>Revenue (gold-only proxy)</w:t>
            </w:r>
          </w:p>
        </w:tc>
        <w:tc>
          <w:tcPr>
            <w:tcW w:type="dxa" w:w="1280"/>
          </w:tcPr>
          <w:p>
            <w:r/>
            <w:r>
              <w:rPr>
                <w:rFonts w:ascii="Arial" w:hAnsi="Arial"/>
                <w:b w:val="0"/>
                <w:i w:val="0"/>
                <w:sz w:val="18"/>
              </w:rPr>
              <w:t>8,523</w:t>
            </w:r>
          </w:p>
        </w:tc>
        <w:tc>
          <w:tcPr>
            <w:tcW w:type="dxa" w:w="1320"/>
          </w:tcPr>
          <w:p>
            <w:r/>
            <w:r>
              <w:rPr>
                <w:rFonts w:ascii="Arial" w:hAnsi="Arial"/>
                <w:b w:val="0"/>
                <w:i w:val="0"/>
                <w:sz w:val="18"/>
              </w:rPr>
              <w:t>10,750</w:t>
            </w:r>
          </w:p>
        </w:tc>
        <w:tc>
          <w:tcPr>
            <w:tcW w:type="dxa" w:w="1480"/>
          </w:tcPr>
          <w:p>
            <w:r/>
            <w:r>
              <w:rPr>
                <w:rFonts w:ascii="Arial" w:hAnsi="Arial"/>
                <w:b w:val="0"/>
                <w:i w:val="0"/>
                <w:sz w:val="18"/>
              </w:rPr>
              <w:t>10,750</w:t>
            </w:r>
          </w:p>
        </w:tc>
        <w:tc>
          <w:tcPr>
            <w:tcW w:type="dxa" w:w="1420"/>
          </w:tcPr>
          <w:p>
            <w:r/>
            <w:r>
              <w:rPr>
                <w:rFonts w:ascii="Arial" w:hAnsi="Arial"/>
                <w:b w:val="0"/>
                <w:i w:val="0"/>
                <w:sz w:val="18"/>
              </w:rPr>
              <w:t>10,707</w:t>
            </w:r>
          </w:p>
        </w:tc>
        <w:tc>
          <w:tcPr>
            <w:tcW w:type="dxa" w:w="1500"/>
          </w:tcPr>
          <w:p>
            <w:r/>
            <w:r>
              <w:rPr>
                <w:rFonts w:ascii="Arial" w:hAnsi="Arial"/>
                <w:b w:val="0"/>
                <w:i w:val="0"/>
                <w:sz w:val="18"/>
              </w:rPr>
              <w:t>10,707</w:t>
            </w:r>
          </w:p>
        </w:tc>
      </w:tr>
      <w:tr>
        <w:tc>
          <w:tcPr>
            <w:tcW w:type="dxa" w:w="2900"/>
            <w:shd w:val="clear" w:fill="F2F2F2"/>
          </w:tcPr>
          <w:p>
            <w:r/>
            <w:r>
              <w:rPr>
                <w:rFonts w:ascii="Arial" w:hAnsi="Arial"/>
                <w:b/>
                <w:i w:val="0"/>
                <w:sz w:val="18"/>
              </w:rPr>
              <w:t>EBITDA (e)</w:t>
            </w:r>
          </w:p>
        </w:tc>
        <w:tc>
          <w:tcPr>
            <w:tcW w:type="dxa" w:w="1280"/>
            <w:shd w:val="clear" w:fill="FAFAFA"/>
          </w:tcPr>
          <w:p>
            <w:r/>
            <w:r>
              <w:rPr>
                <w:rFonts w:ascii="Arial" w:hAnsi="Arial"/>
                <w:b w:val="0"/>
                <w:i w:val="0"/>
                <w:sz w:val="18"/>
              </w:rPr>
              <w:t>5,542</w:t>
            </w:r>
          </w:p>
        </w:tc>
        <w:tc>
          <w:tcPr>
            <w:tcW w:type="dxa" w:w="1320"/>
            <w:shd w:val="clear" w:fill="FAFAFA"/>
          </w:tcPr>
          <w:p>
            <w:r/>
            <w:r>
              <w:rPr>
                <w:rFonts w:ascii="Arial" w:hAnsi="Arial"/>
                <w:b w:val="0"/>
                <w:i w:val="0"/>
                <w:sz w:val="18"/>
              </w:rPr>
              <w:t>7,350</w:t>
            </w:r>
          </w:p>
        </w:tc>
        <w:tc>
          <w:tcPr>
            <w:tcW w:type="dxa" w:w="1480"/>
            <w:shd w:val="clear" w:fill="FAFAFA"/>
          </w:tcPr>
          <w:p>
            <w:r/>
            <w:r>
              <w:rPr>
                <w:rFonts w:ascii="Arial" w:hAnsi="Arial"/>
                <w:b w:val="0"/>
                <w:i w:val="0"/>
                <w:sz w:val="18"/>
              </w:rPr>
              <w:t>7,450</w:t>
            </w:r>
          </w:p>
        </w:tc>
        <w:tc>
          <w:tcPr>
            <w:tcW w:type="dxa" w:w="1420"/>
            <w:shd w:val="clear" w:fill="FAFAFA"/>
          </w:tcPr>
          <w:p>
            <w:r/>
            <w:r>
              <w:rPr>
                <w:rFonts w:ascii="Arial" w:hAnsi="Arial"/>
                <w:b w:val="0"/>
                <w:i w:val="0"/>
                <w:sz w:val="18"/>
              </w:rPr>
              <w:t>7,276</w:t>
            </w:r>
          </w:p>
        </w:tc>
        <w:tc>
          <w:tcPr>
            <w:tcW w:type="dxa" w:w="1500"/>
            <w:shd w:val="clear" w:fill="FAFAFA"/>
          </w:tcPr>
          <w:p>
            <w:r/>
            <w:r>
              <w:rPr>
                <w:rFonts w:ascii="Arial" w:hAnsi="Arial"/>
                <w:b w:val="0"/>
                <w:i w:val="0"/>
                <w:sz w:val="18"/>
              </w:rPr>
              <w:t>7,376</w:t>
            </w:r>
          </w:p>
        </w:tc>
      </w:tr>
      <w:tr>
        <w:tc>
          <w:tcPr>
            <w:tcW w:type="dxa" w:w="2900"/>
            <w:shd w:val="clear" w:fill="F2F2F2"/>
          </w:tcPr>
          <w:p>
            <w:r/>
            <w:r>
              <w:rPr>
                <w:rFonts w:ascii="Arial" w:hAnsi="Arial"/>
                <w:b/>
                <w:i w:val="0"/>
                <w:sz w:val="18"/>
              </w:rPr>
              <w:t>EBITDA vs Base (e)</w:t>
            </w:r>
          </w:p>
        </w:tc>
        <w:tc>
          <w:tcPr>
            <w:tcW w:type="dxa" w:w="1280"/>
          </w:tcPr>
          <w:p>
            <w:r/>
            <w:r>
              <w:rPr>
                <w:rFonts w:ascii="Arial" w:hAnsi="Arial"/>
                <w:b w:val="0"/>
                <w:i w:val="0"/>
                <w:sz w:val="18"/>
              </w:rPr>
              <w:t>—</w:t>
            </w:r>
          </w:p>
        </w:tc>
        <w:tc>
          <w:tcPr>
            <w:tcW w:type="dxa" w:w="1320"/>
          </w:tcPr>
          <w:p>
            <w:r/>
            <w:r>
              <w:rPr>
                <w:rFonts w:ascii="Arial" w:hAnsi="Arial"/>
                <w:b w:val="0"/>
                <w:i w:val="0"/>
                <w:sz w:val="18"/>
              </w:rPr>
              <w:t>—</w:t>
            </w:r>
          </w:p>
        </w:tc>
        <w:tc>
          <w:tcPr>
            <w:tcW w:type="dxa" w:w="1480"/>
          </w:tcPr>
          <w:p>
            <w:r/>
            <w:r>
              <w:rPr>
                <w:rFonts w:ascii="Arial" w:hAnsi="Arial"/>
                <w:b w:val="0"/>
                <w:i w:val="0"/>
                <w:sz w:val="18"/>
              </w:rPr>
              <w:t>+100</w:t>
            </w:r>
          </w:p>
        </w:tc>
        <w:tc>
          <w:tcPr>
            <w:tcW w:type="dxa" w:w="1420"/>
          </w:tcPr>
          <w:p>
            <w:r/>
            <w:r>
              <w:rPr>
                <w:rFonts w:ascii="Arial" w:hAnsi="Arial"/>
                <w:b w:val="0"/>
                <w:i w:val="0"/>
                <w:sz w:val="18"/>
              </w:rPr>
              <w:t>−74</w:t>
            </w:r>
          </w:p>
        </w:tc>
        <w:tc>
          <w:tcPr>
            <w:tcW w:type="dxa" w:w="1500"/>
          </w:tcPr>
          <w:p>
            <w:r/>
            <w:r>
              <w:rPr>
                <w:rFonts w:ascii="Arial" w:hAnsi="Arial"/>
                <w:b w:val="0"/>
                <w:i w:val="0"/>
                <w:sz w:val="18"/>
              </w:rPr>
              <w:t>−26</w:t>
            </w:r>
          </w:p>
        </w:tc>
      </w:tr>
      <w:tr>
        <w:tc>
          <w:tcPr>
            <w:tcW w:type="dxa" w:w="2900"/>
            <w:shd w:val="clear" w:fill="F2F2F2"/>
          </w:tcPr>
          <w:p>
            <w:r/>
            <w:r>
              <w:rPr>
                <w:rFonts w:ascii="Arial" w:hAnsi="Arial"/>
                <w:b/>
                <w:i w:val="0"/>
                <w:sz w:val="18"/>
              </w:rPr>
              <w:t>EBITDA in ZAR bn (e)</w:t>
            </w:r>
          </w:p>
        </w:tc>
        <w:tc>
          <w:tcPr>
            <w:tcW w:type="dxa" w:w="1280"/>
            <w:shd w:val="clear" w:fill="FAFAFA"/>
          </w:tcPr>
          <w:p>
            <w:r/>
            <w:r>
              <w:rPr>
                <w:rFonts w:ascii="Arial" w:hAnsi="Arial"/>
                <w:b w:val="0"/>
                <w:i w:val="0"/>
                <w:sz w:val="18"/>
              </w:rPr>
              <w:t>101</w:t>
            </w:r>
          </w:p>
        </w:tc>
        <w:tc>
          <w:tcPr>
            <w:tcW w:type="dxa" w:w="1320"/>
            <w:shd w:val="clear" w:fill="FAFAFA"/>
          </w:tcPr>
          <w:p>
            <w:r/>
            <w:r>
              <w:rPr>
                <w:rFonts w:ascii="Arial" w:hAnsi="Arial"/>
                <w:b w:val="0"/>
                <w:i w:val="0"/>
                <w:sz w:val="18"/>
              </w:rPr>
              <w:t>121</w:t>
            </w:r>
          </w:p>
        </w:tc>
        <w:tc>
          <w:tcPr>
            <w:tcW w:type="dxa" w:w="1480"/>
            <w:shd w:val="clear" w:fill="FAFAFA"/>
          </w:tcPr>
          <w:p>
            <w:r/>
            <w:r>
              <w:rPr>
                <w:rFonts w:ascii="Arial" w:hAnsi="Arial"/>
                <w:b w:val="0"/>
                <w:i w:val="0"/>
                <w:sz w:val="18"/>
              </w:rPr>
              <w:t>156</w:t>
            </w:r>
          </w:p>
        </w:tc>
        <w:tc>
          <w:tcPr>
            <w:tcW w:type="dxa" w:w="1420"/>
            <w:shd w:val="clear" w:fill="FAFAFA"/>
          </w:tcPr>
          <w:p>
            <w:r/>
            <w:r>
              <w:rPr>
                <w:rFonts w:ascii="Arial" w:hAnsi="Arial"/>
                <w:b w:val="0"/>
                <w:i w:val="0"/>
                <w:sz w:val="18"/>
              </w:rPr>
              <w:t>120</w:t>
            </w:r>
          </w:p>
        </w:tc>
        <w:tc>
          <w:tcPr>
            <w:tcW w:type="dxa" w:w="1500"/>
            <w:shd w:val="clear" w:fill="FAFAFA"/>
          </w:tcPr>
          <w:p>
            <w:r/>
            <w:r>
              <w:rPr>
                <w:rFonts w:ascii="Arial" w:hAnsi="Arial"/>
                <w:b w:val="0"/>
                <w:i w:val="0"/>
                <w:sz w:val="18"/>
              </w:rPr>
              <w:t>155</w:t>
            </w:r>
          </w:p>
        </w:tc>
      </w:tr>
    </w:tbl>
    <w:p>
      <w:pPr>
        <w:spacing w:after="40" w:before="0"/>
      </w:pPr>
    </w:p>
    <w:p>
      <w:pPr>
        <w:spacing w:after="160" w:before="0"/>
      </w:pPr>
      <w:r>
        <w:rPr>
          <w:rFonts w:ascii="Arial" w:hAnsi="Arial"/>
          <w:b/>
          <w:i w:val="0"/>
          <w:sz w:val="21"/>
        </w:rPr>
        <w:t xml:space="preserve">Read-through. </w:t>
      </w:r>
      <w:r>
        <w:rPr>
          <w:rFonts w:ascii="Arial" w:hAnsi="Arial"/>
          <w:b w:val="0"/>
          <w:i w:val="0"/>
          <w:sz w:val="21"/>
        </w:rPr>
        <w:t>In US-dollar terms all three stress columns sit within ~±1.5% of the base — the weaker-rand cost benefit (+US$100m) roughly offsets the load-shedding drag (−US$74m), so the realistic combined SA-stress case is close to a wash (−US$26m). In rand terms the weaker-rand and combined cases are ~28% higher, because the same US-dollar EBITDA is translated at R21 rather than R16.5.</w:t>
      </w:r>
    </w:p>
    <w:p>
      <w:pPr>
        <w:pStyle w:val="Heading1"/>
      </w:pPr>
      <w:r>
        <w:t>6. What actually moves the needle — the gold price</w:t>
      </w:r>
    </w:p>
    <w:p>
      <w:pPr>
        <w:spacing w:after="160" w:before="0"/>
      </w:pPr>
      <w:r>
        <w:rPr>
          <w:rFonts w:ascii="Arial" w:hAnsi="Arial"/>
          <w:b/>
          <w:i w:val="0"/>
          <w:sz w:val="21"/>
        </w:rPr>
        <w:t xml:space="preserve">Both SA shocks are dwarfed by gold. </w:t>
      </w:r>
      <w:r>
        <w:rPr>
          <w:rFonts w:ascii="Arial" w:hAnsi="Arial"/>
          <w:b w:val="0"/>
          <w:i w:val="0"/>
          <w:sz w:val="21"/>
        </w:rPr>
        <w:t>At ~2.5Moz, every +US$100/oz on the gold price adds ~US$250m to EBITDA/FCF (e); every +US$100/oz on AISC removes ~US$250m (e). Gold itself swung from US$4,152 (10 Jun) to US$4,301 (18 Jun 2026) — a ~US$150/oz move in eight days, worth ~US$375m of annualised EBITDA (e), larger than the full-year impact of either the rand or load-shedding scenario.</w:t>
      </w:r>
    </w:p>
    <w:tbl>
      <w:tblPr>
        <w:tblStyle w:val="TableGrid"/>
        <w:tblW w:type="auto" w:w="0"/>
        <w:jc w:val="center"/>
        <w:tblLook w:firstColumn="1" w:firstRow="1" w:lastColumn="0" w:lastRow="0" w:noHBand="0" w:noVBand="1" w:val="04A0"/>
      </w:tblPr>
      <w:tblGrid>
        <w:gridCol w:w="4680"/>
        <w:gridCol w:w="4680"/>
      </w:tblGrid>
      <w:tr>
        <w:tc>
          <w:tcPr>
            <w:tcW w:type="dxa" w:w="5200"/>
            <w:shd w:val="clear" w:fill="1F3864"/>
          </w:tcPr>
          <w:p>
            <w:r/>
            <w:r>
              <w:rPr>
                <w:rFonts w:ascii="Arial" w:hAnsi="Arial"/>
                <w:b/>
                <w:i w:val="0"/>
                <w:color w:val="FFFFFF"/>
                <w:sz w:val="18"/>
              </w:rPr>
              <w:t>Sensitivity (at ~2.5Moz)</w:t>
            </w:r>
          </w:p>
        </w:tc>
        <w:tc>
          <w:tcPr>
            <w:tcW w:type="dxa" w:w="3200"/>
            <w:shd w:val="clear" w:fill="2E5496"/>
          </w:tcPr>
          <w:p>
            <w:r/>
            <w:r>
              <w:rPr>
                <w:rFonts w:ascii="Arial" w:hAnsi="Arial"/>
                <w:b/>
                <w:i w:val="0"/>
                <w:color w:val="FFFFFF"/>
                <w:sz w:val="18"/>
              </w:rPr>
              <w:t>EBITDA impact (e)</w:t>
            </w:r>
          </w:p>
        </w:tc>
      </w:tr>
      <w:tr>
        <w:tc>
          <w:tcPr>
            <w:tcW w:type="dxa" w:w="5200"/>
            <w:shd w:val="clear" w:fill="F2F2F2"/>
          </w:tcPr>
          <w:p>
            <w:r/>
            <w:r>
              <w:rPr>
                <w:rFonts w:ascii="Arial" w:hAnsi="Arial"/>
                <w:b/>
                <w:i w:val="0"/>
                <w:sz w:val="18"/>
              </w:rPr>
              <w:t>Gold price: ±US$100/oz</w:t>
            </w:r>
          </w:p>
        </w:tc>
        <w:tc>
          <w:tcPr>
            <w:tcW w:type="dxa" w:w="3200"/>
          </w:tcPr>
          <w:p>
            <w:r/>
            <w:r>
              <w:rPr>
                <w:rFonts w:ascii="Arial" w:hAnsi="Arial"/>
                <w:b w:val="0"/>
                <w:i w:val="0"/>
                <w:sz w:val="18"/>
              </w:rPr>
              <w:t>±US$250m</w:t>
            </w:r>
          </w:p>
        </w:tc>
      </w:tr>
      <w:tr>
        <w:tc>
          <w:tcPr>
            <w:tcW w:type="dxa" w:w="5200"/>
            <w:shd w:val="clear" w:fill="F2F2F2"/>
          </w:tcPr>
          <w:p>
            <w:r/>
            <w:r>
              <w:rPr>
                <w:rFonts w:ascii="Arial" w:hAnsi="Arial"/>
                <w:b/>
                <w:i w:val="0"/>
                <w:sz w:val="18"/>
              </w:rPr>
              <w:t>Group AISC: ±US$100/oz</w:t>
            </w:r>
          </w:p>
        </w:tc>
        <w:tc>
          <w:tcPr>
            <w:tcW w:type="dxa" w:w="3200"/>
            <w:shd w:val="clear" w:fill="FAFAFA"/>
          </w:tcPr>
          <w:p>
            <w:r/>
            <w:r>
              <w:rPr>
                <w:rFonts w:ascii="Arial" w:hAnsi="Arial"/>
                <w:b w:val="0"/>
                <w:i w:val="0"/>
                <w:sz w:val="18"/>
              </w:rPr>
              <w:t>∓US$250m</w:t>
            </w:r>
          </w:p>
        </w:tc>
      </w:tr>
      <w:tr>
        <w:tc>
          <w:tcPr>
            <w:tcW w:type="dxa" w:w="5200"/>
            <w:shd w:val="clear" w:fill="F2F2F2"/>
          </w:tcPr>
          <w:p>
            <w:r/>
            <w:r>
              <w:rPr>
                <w:rFonts w:ascii="Arial" w:hAnsi="Arial"/>
                <w:b/>
                <w:i w:val="0"/>
                <w:sz w:val="18"/>
              </w:rPr>
              <w:t>Rand: ~25–35% weaker (to R20–22)</w:t>
            </w:r>
          </w:p>
        </w:tc>
        <w:tc>
          <w:tcPr>
            <w:tcW w:type="dxa" w:w="3200"/>
          </w:tcPr>
          <w:p>
            <w:r/>
            <w:r>
              <w:rPr>
                <w:rFonts w:ascii="Arial" w:hAnsi="Arial"/>
                <w:b w:val="0"/>
                <w:i w:val="0"/>
                <w:sz w:val="18"/>
              </w:rPr>
              <w:t>+~US$100m USD EBITDA; rand EBITDA/dividend +25–30%</w:t>
            </w:r>
          </w:p>
        </w:tc>
      </w:tr>
      <w:tr>
        <w:tc>
          <w:tcPr>
            <w:tcW w:type="dxa" w:w="5200"/>
            <w:shd w:val="clear" w:fill="F2F2F2"/>
          </w:tcPr>
          <w:p>
            <w:r/>
            <w:r>
              <w:rPr>
                <w:rFonts w:ascii="Arial" w:hAnsi="Arial"/>
                <w:b/>
                <w:i w:val="0"/>
                <w:sz w:val="18"/>
              </w:rPr>
              <w:t>Load-shedding: Stage 4–6 returns</w:t>
            </w:r>
          </w:p>
        </w:tc>
        <w:tc>
          <w:tcPr>
            <w:tcW w:type="dxa" w:w="3200"/>
            <w:shd w:val="clear" w:fill="FAFAFA"/>
          </w:tcPr>
          <w:p>
            <w:r/>
            <w:r>
              <w:rPr>
                <w:rFonts w:ascii="Arial" w:hAnsi="Arial"/>
                <w:b w:val="0"/>
                <w:i w:val="0"/>
                <w:sz w:val="18"/>
              </w:rPr>
              <w:t>−~US$50–120m</w:t>
            </w:r>
          </w:p>
        </w:tc>
      </w:tr>
    </w:tbl>
    <w:p>
      <w:pPr>
        <w:spacing w:after="40" w:before="0"/>
      </w:pPr>
    </w:p>
    <w:p>
      <w:pPr>
        <w:spacing w:after="160" w:before="0"/>
      </w:pPr>
      <w:r>
        <w:rPr>
          <w:rFonts w:ascii="Arial" w:hAnsi="Arial"/>
          <w:b/>
          <w:i w:val="0"/>
          <w:sz w:val="21"/>
        </w:rPr>
        <w:t xml:space="preserve">Implication. </w:t>
      </w:r>
      <w:r>
        <w:rPr>
          <w:rFonts w:ascii="Arial" w:hAnsi="Arial"/>
          <w:b w:val="0"/>
          <w:i w:val="0"/>
          <w:sz w:val="21"/>
        </w:rPr>
        <w:t>A position in Gold Fields is a bet on the US-dollar gold price and on delivery against guidance — not on the rand or Eskom. The SA factors are a modest, mostly favourable, swing around that.</w:t>
      </w:r>
    </w:p>
    <w:p>
      <w:pPr>
        <w:pStyle w:val="Heading1"/>
      </w:pPr>
      <w:r>
        <w:t>7. Risk flags &amp; watch items</w:t>
      </w:r>
    </w:p>
    <w:p>
      <w:pPr>
        <w:pStyle w:val="ListBullet"/>
        <w:spacing w:after="80"/>
      </w:pPr>
      <w:r>
        <w:rPr>
          <w:rFonts w:ascii="Arial" w:hAnsi="Arial"/>
          <w:b/>
          <w:i w:val="0"/>
          <w:sz w:val="21"/>
        </w:rPr>
        <w:t xml:space="preserve">Gold-price reversal (the real risk). </w:t>
      </w:r>
      <w:r>
        <w:rPr>
          <w:rFonts w:ascii="Arial" w:hAnsi="Arial"/>
          <w:b w:val="0"/>
          <w:i w:val="0"/>
          <w:sz w:val="21"/>
        </w:rPr>
        <w:t>Gold is up ~28% y/y; a sharp pullback hurts far more than any SA shock. Fed signalling turned toward hikes in mid-June 2026 — a real-rate headwind to watch.</w:t>
      </w:r>
    </w:p>
    <w:p>
      <w:pPr>
        <w:pStyle w:val="ListBullet"/>
        <w:spacing w:after="80"/>
      </w:pPr>
      <w:r>
        <w:rPr>
          <w:rFonts w:ascii="Arial" w:hAnsi="Arial"/>
          <w:b/>
          <w:i w:val="0"/>
          <w:sz w:val="21"/>
        </w:rPr>
        <w:t xml:space="preserve">South Deep ramp execution. </w:t>
      </w:r>
      <w:r>
        <w:rPr>
          <w:rFonts w:ascii="Arial" w:hAnsi="Arial"/>
          <w:b w:val="0"/>
          <w:i w:val="0"/>
          <w:sz w:val="21"/>
        </w:rPr>
        <w:t>The 320→380koz/a step-up is the SA value driver; load-shedding or grid instability would slow it. Track Khanyisa output and the battery/wind FID.</w:t>
      </w:r>
    </w:p>
    <w:p>
      <w:pPr>
        <w:pStyle w:val="ListBullet"/>
        <w:spacing w:after="80"/>
      </w:pPr>
      <w:r>
        <w:rPr>
          <w:rFonts w:ascii="Arial" w:hAnsi="Arial"/>
          <w:b/>
          <w:i w:val="0"/>
          <w:sz w:val="21"/>
        </w:rPr>
        <w:t xml:space="preserve">Non-SA portfolio events. </w:t>
      </w:r>
      <w:r>
        <w:rPr>
          <w:rFonts w:ascii="Arial" w:hAnsi="Arial"/>
          <w:b w:val="0"/>
          <w:i w:val="0"/>
          <w:sz w:val="21"/>
        </w:rPr>
        <w:t>These dwarf the SA levers: Tarkwa (Ghana) mining leases expire April 2027 (renewal not automatic); Damang handed back to the State April 2026; Windfall (Canada) FID guided mid-2026. Each is a larger swing factor than load-shedding.</w:t>
      </w:r>
    </w:p>
    <w:p>
      <w:pPr>
        <w:pStyle w:val="ListBullet"/>
        <w:spacing w:after="80"/>
      </w:pPr>
      <w:r>
        <w:rPr>
          <w:rFonts w:ascii="Arial" w:hAnsi="Arial"/>
          <w:b/>
          <w:i w:val="0"/>
          <w:sz w:val="21"/>
        </w:rPr>
        <w:t xml:space="preserve">Rand strength, not weakness, is the mild negative. </w:t>
      </w:r>
      <w:r>
        <w:rPr>
          <w:rFonts w:ascii="Arial" w:hAnsi="Arial"/>
          <w:b w:val="0"/>
          <w:i w:val="0"/>
          <w:sz w:val="21"/>
        </w:rPr>
        <w:t>The scenario asked about is favourable-to-neutral; the less-discussed risk is a stronger rand lifting South Deep's US-dollar cost and deflating rand-translated returns.</w:t>
      </w:r>
    </w:p>
    <w:p>
      <w:pPr>
        <w:pStyle w:val="ListBullet"/>
        <w:spacing w:after="80"/>
      </w:pPr>
      <w:r>
        <w:rPr>
          <w:rFonts w:ascii="Arial" w:hAnsi="Arial"/>
          <w:b/>
          <w:i w:val="0"/>
          <w:sz w:val="21"/>
        </w:rPr>
        <w:t xml:space="preserve">Cost inflation. </w:t>
      </w:r>
      <w:r>
        <w:rPr>
          <w:rFonts w:ascii="Arial" w:hAnsi="Arial"/>
          <w:b w:val="0"/>
          <w:i w:val="0"/>
          <w:sz w:val="21"/>
        </w:rPr>
        <w:t>A weak rand usually rides on higher SA inflation and SARB rates (repo 7.00% after the 28 May 2026 hike), which over time lifts South Deep's rand wage and consumable costs, eroding part of the FX cost benefit.</w:t>
      </w:r>
    </w:p>
    <w:p>
      <w:pPr>
        <w:pStyle w:val="Heading1"/>
      </w:pPr>
      <w:r>
        <w:t>8. Positive Outcomes Assessment (ESG &amp; Stakeholder) — informational</w:t>
      </w:r>
    </w:p>
    <w:p>
      <w:pPr>
        <w:spacing w:after="160" w:before="0"/>
      </w:pPr>
      <w:r>
        <w:rPr>
          <w:rFonts w:ascii="Arial" w:hAnsi="Arial"/>
          <w:b/>
          <w:i w:val="0"/>
          <w:sz w:val="21"/>
        </w:rPr>
        <w:t xml:space="preserve">Per AllWeather's “Investing in positive outcomes” philosophy, every analysis carries this labelled ESG &amp; stakeholder lens. </w:t>
      </w:r>
      <w:r>
        <w:rPr>
          <w:rFonts w:ascii="Arial" w:hAnsi="Arial"/>
          <w:b w:val="0"/>
          <w:i w:val="0"/>
          <w:sz w:val="21"/>
        </w:rPr>
        <w:t>It is informational and non-financial: it does NOT change, gate or tie-break the financial verdict above, which stands on its own. Evidence below is corroborated from Gold Fields IR / public disclosure; the FY2025 Integrated Annual Report and sustainability report are not yet on disk (logged as a coverage gap), so hard ESG figures should be re-verified against the filed report on a deep run. Items marked “AllWeather view:” are our judgement, not sourced fact.</w:t>
      </w:r>
    </w:p>
    <w:p>
      <w:pPr>
        <w:pStyle w:val="Heading2"/>
      </w:pPr>
      <w:r>
        <w:t>Pillar 1 — ESG / impact</w:t>
      </w:r>
    </w:p>
    <w:p>
      <w:pPr>
        <w:pStyle w:val="ListBullet"/>
        <w:spacing w:after="80"/>
      </w:pPr>
      <w:r>
        <w:rPr>
          <w:rFonts w:ascii="Arial" w:hAnsi="Arial"/>
          <w:b/>
          <w:i w:val="0"/>
          <w:sz w:val="21"/>
        </w:rPr>
        <w:t xml:space="preserve">Decarbonisation targets are credible but back-loaded. </w:t>
      </w:r>
      <w:r>
        <w:rPr>
          <w:rFonts w:ascii="Arial" w:hAnsi="Arial"/>
          <w:b w:val="0"/>
          <w:i w:val="0"/>
          <w:sz w:val="21"/>
        </w:rPr>
        <w:t>Net-zero by 2050 (Paris-aligned); Scope 1 &amp; 2 −30% net / −50% absolute by 2030, Scope 3 −10% net by 2030. By 2024 only a 4% Scope 1 &amp; 2 cut vs the 2016 baseline had been achieved (production +5% over the same span), so most of the reduction is still to come.</w:t>
      </w:r>
    </w:p>
    <w:p>
      <w:pPr>
        <w:pStyle w:val="ListBullet"/>
        <w:spacing w:after="80"/>
      </w:pPr>
      <w:r>
        <w:rPr>
          <w:rFonts w:ascii="Arial" w:hAnsi="Arial"/>
          <w:b/>
          <w:i w:val="0"/>
          <w:sz w:val="21"/>
        </w:rPr>
        <w:t xml:space="preserve">Self-generation is the standout real-world action. </w:t>
      </w:r>
      <w:r>
        <w:rPr>
          <w:rFonts w:ascii="Arial" w:hAnsi="Arial"/>
          <w:b w:val="0"/>
          <w:i w:val="0"/>
          <w:sz w:val="21"/>
        </w:rPr>
        <w:t>South Deep's 50MW Khanyisa solar plant runs at ~8.5% of Eskom grid cost and exports surplus power; a battery + wind extension is under evaluation. This both lowers emissions and, usefully, hardens the mine against the load-shedding risk in Section 4.</w:t>
      </w:r>
    </w:p>
    <w:p>
      <w:pPr>
        <w:pStyle w:val="ListBullet"/>
        <w:spacing w:after="80"/>
      </w:pPr>
      <w:r>
        <w:rPr>
          <w:rFonts w:ascii="Arial" w:hAnsi="Arial"/>
          <w:b/>
          <w:i w:val="0"/>
          <w:sz w:val="21"/>
        </w:rPr>
        <w:t xml:space="preserve">Broader 2030 ESG targets span tailings management, water stewardship and a 30% female workforce. </w:t>
      </w:r>
      <w:r>
        <w:rPr>
          <w:rFonts w:ascii="Arial" w:hAnsi="Arial"/>
          <w:b w:val="0"/>
          <w:i w:val="0"/>
          <w:sz w:val="21"/>
        </w:rPr>
        <w:t>Decarbonisation, tailings and water are named environmental priority areas with 2030 goals.</w:t>
      </w:r>
    </w:p>
    <w:p>
      <w:pPr>
        <w:pStyle w:val="ListBullet"/>
        <w:spacing w:after="80"/>
      </w:pPr>
      <w:r>
        <w:rPr>
          <w:rFonts w:ascii="Arial" w:hAnsi="Arial"/>
          <w:b/>
          <w:i w:val="0"/>
          <w:sz w:val="21"/>
        </w:rPr>
        <w:t xml:space="preserve">AllWeather view: </w:t>
      </w:r>
      <w:r>
        <w:rPr>
          <w:rFonts w:ascii="Arial" w:hAnsi="Arial"/>
          <w:b w:val="0"/>
          <w:i w:val="0"/>
          <w:sz w:val="21"/>
        </w:rPr>
        <w:t>climate ambition is sound and the renewables build is genuine, but the thin 2024 progress against the 2016 baseline is the item to scrutinise. Project-level environmental execution (e.g. Salares Norte permitting/biodiversity history) also warrants a look once the IAR is on disk. (Judgement, not sourced fact.)</w:t>
      </w:r>
    </w:p>
    <w:p>
      <w:pPr>
        <w:pStyle w:val="Heading2"/>
      </w:pPr>
      <w:r>
        <w:t>Pillar 2 — Stakeholder outcomes</w:t>
      </w:r>
    </w:p>
    <w:p>
      <w:pPr>
        <w:pStyle w:val="ListBullet"/>
        <w:spacing w:after="80"/>
      </w:pPr>
      <w:r>
        <w:rPr>
          <w:rFonts w:ascii="Arial" w:hAnsi="Arial"/>
          <w:b/>
          <w:i w:val="0"/>
          <w:sz w:val="21"/>
        </w:rPr>
        <w:t xml:space="preserve">Safety — the primary social metric for a deep miner — is trending well but not zero-harm. </w:t>
      </w:r>
      <w:r>
        <w:rPr>
          <w:rFonts w:ascii="Arial" w:hAnsi="Arial"/>
          <w:b w:val="0"/>
          <w:i w:val="0"/>
          <w:sz w:val="21"/>
        </w:rPr>
        <w:t>Five consecutive quarters fatality-free, though three serious injuries in the most recent quarter show the journey is not complete. Stated plainly: safety is improving, not solved.</w:t>
      </w:r>
    </w:p>
    <w:p>
      <w:pPr>
        <w:pStyle w:val="ListBullet"/>
        <w:spacing w:after="80"/>
      </w:pPr>
      <w:r>
        <w:rPr>
          <w:rFonts w:ascii="Arial" w:hAnsi="Arial"/>
          <w:b/>
          <w:i w:val="0"/>
          <w:sz w:val="21"/>
        </w:rPr>
        <w:t xml:space="preserve">Employee and community ownership at South Deep is material. </w:t>
      </w:r>
      <w:r>
        <w:rPr>
          <w:rFonts w:ascii="Arial" w:hAnsi="Arial"/>
          <w:b w:val="0"/>
          <w:i w:val="0"/>
          <w:sz w:val="21"/>
        </w:rPr>
        <w:t>The Thusano employee share trust holds an effective ~10.75% of GFIMSA (the SA holding company), paying employees dividends (~R20m/yr on historical yields); the South Deep Education Trust and Community Trust receive annual mine dividends and fund jobs, adult education, infrastructure and small-enterprise development in host and labour-sending communities.</w:t>
      </w:r>
    </w:p>
    <w:p>
      <w:pPr>
        <w:pStyle w:val="ListBullet"/>
        <w:spacing w:after="80"/>
      </w:pPr>
      <w:r>
        <w:rPr>
          <w:rFonts w:ascii="Arial" w:hAnsi="Arial"/>
          <w:b/>
          <w:i w:val="0"/>
          <w:sz w:val="21"/>
        </w:rPr>
        <w:t xml:space="preserve">A weak-rand / load-shedding macro is a stakeholder stress too. </w:t>
      </w:r>
      <w:r>
        <w:rPr>
          <w:rFonts w:ascii="Arial" w:hAnsi="Arial"/>
          <w:b w:val="0"/>
          <w:i w:val="0"/>
          <w:sz w:val="21"/>
        </w:rPr>
        <w:t>The same SA shocks modelled financially also pressure host communities (inflation, power), which raises the value of these community-trust and self-generation programmes; conversely, any South Deep production curtailment would feed straight into local employment and trust dividends.</w:t>
      </w:r>
    </w:p>
    <w:p>
      <w:pPr>
        <w:pStyle w:val="ListBullet"/>
        <w:spacing w:after="80"/>
      </w:pPr>
      <w:r>
        <w:rPr>
          <w:rFonts w:ascii="Arial" w:hAnsi="Arial"/>
          <w:b/>
          <w:i w:val="0"/>
          <w:sz w:val="21"/>
        </w:rPr>
        <w:t xml:space="preserve">AllWeather view: </w:t>
      </w:r>
      <w:r>
        <w:rPr>
          <w:rFonts w:ascii="Arial" w:hAnsi="Arial"/>
          <w:b w:val="0"/>
          <w:i w:val="0"/>
          <w:sz w:val="21"/>
        </w:rPr>
        <w:t>the trust structures are a tangible, differentiated positive; the open question is wage and workforce data (headcount trends, training spend, B-BBEE level), which is not in the documents on disk and should be pulled from the FY2025 IAR. (Judgement, not sourced fact.)</w:t>
      </w:r>
    </w:p>
    <w:p>
      <w:pPr>
        <w:spacing w:after="160" w:before="0"/>
      </w:pPr>
      <w:r>
        <w:rPr>
          <w:rFonts w:ascii="Arial" w:hAnsi="Arial"/>
          <w:b w:val="0"/>
          <w:i/>
          <w:sz w:val="21"/>
        </w:rPr>
        <w:t>Reminder: this assessment is informational only and does not alter the financial conclusion in Sections 1–7.</w:t>
      </w:r>
    </w:p>
    <w:p>
      <w:pPr>
        <w:pStyle w:val="Heading1"/>
      </w:pPr>
      <w:r>
        <w:t>9. Sources</w:t>
      </w:r>
    </w:p>
    <w:p>
      <w:pPr>
        <w:pStyle w:val="ListBullet"/>
        <w:spacing w:after="80"/>
      </w:pPr>
      <w:r>
        <w:rPr>
          <w:rFonts w:ascii="Arial" w:hAnsi="Arial"/>
          <w:b w:val="0"/>
          <w:i w:val="0"/>
          <w:sz w:val="21"/>
        </w:rPr>
        <w:t xml:space="preserve">Gold Fields FY2025 reviewed results &amp; FY2026 guidance — SEC Form 6-K / results microsite (19–20 Feb 2026). </w:t>
      </w:r>
      <w:hyperlink r:id="rId10">
        <w:r>
          <w:rPr>
            <w:rFonts w:ascii="Arial" w:hAnsi="Arial"/>
            <w:color w:val="0563C1"/>
            <w:u w:val="single"/>
            <w:sz w:val="21"/>
          </w:rPr>
          <w:t>goldfields.com/reports/q4-2026</w:t>
        </w:r>
      </w:hyperlink>
    </w:p>
    <w:p>
      <w:pPr>
        <w:pStyle w:val="ListBullet"/>
        <w:spacing w:after="80"/>
      </w:pPr>
      <w:r>
        <w:rPr>
          <w:rFonts w:ascii="Arial" w:hAnsi="Arial"/>
          <w:b w:val="0"/>
          <w:i w:val="0"/>
          <w:sz w:val="21"/>
        </w:rPr>
        <w:t xml:space="preserve">South Deep production, Khanyisa solar plant (~8.5% of grid cost), battery/wind extension — Mining Weekly / Gold Fields IR. </w:t>
      </w:r>
      <w:hyperlink r:id="rId11">
        <w:r>
          <w:rPr>
            <w:rFonts w:ascii="Arial" w:hAnsi="Arial"/>
            <w:color w:val="0563C1"/>
            <w:u w:val="single"/>
            <w:sz w:val="21"/>
          </w:rPr>
          <w:t>miningweekly.com</w:t>
        </w:r>
      </w:hyperlink>
    </w:p>
    <w:p>
      <w:pPr>
        <w:pStyle w:val="ListBullet"/>
        <w:spacing w:after="80"/>
      </w:pPr>
      <w:r>
        <w:rPr>
          <w:rFonts w:ascii="Arial" w:hAnsi="Arial"/>
          <w:b w:val="0"/>
          <w:i w:val="0"/>
          <w:sz w:val="21"/>
        </w:rPr>
        <w:t xml:space="preserve">Gold price US$4,301/oz (18 Jun 2026); prior prints US$4,152 (10 Jun), US$4,195 (12 Jun) — TradingEconomics / Fortune. </w:t>
      </w:r>
      <w:hyperlink r:id="rId12">
        <w:r>
          <w:rPr>
            <w:rFonts w:ascii="Arial" w:hAnsi="Arial"/>
            <w:color w:val="0563C1"/>
            <w:u w:val="single"/>
            <w:sz w:val="21"/>
          </w:rPr>
          <w:t>tradingeconomics.com/commodity/gold</w:t>
        </w:r>
      </w:hyperlink>
    </w:p>
    <w:p>
      <w:pPr>
        <w:pStyle w:val="ListBullet"/>
        <w:spacing w:after="80"/>
      </w:pPr>
      <w:r>
        <w:rPr>
          <w:rFonts w:ascii="Arial" w:hAnsi="Arial"/>
          <w:b w:val="0"/>
          <w:i w:val="0"/>
          <w:sz w:val="21"/>
        </w:rPr>
        <w:t xml:space="preserve">USD/ZAR ~16.2 (17 Jun 2026), rand +2.1% m/m — TradingEconomics. </w:t>
      </w:r>
      <w:hyperlink r:id="rId13">
        <w:r>
          <w:rPr>
            <w:rFonts w:ascii="Arial" w:hAnsi="Arial"/>
            <w:color w:val="0563C1"/>
            <w:u w:val="single"/>
            <w:sz w:val="21"/>
          </w:rPr>
          <w:t>tradingeconomics.com/south-africa/currency</w:t>
        </w:r>
      </w:hyperlink>
    </w:p>
    <w:p>
      <w:pPr>
        <w:pStyle w:val="ListBullet"/>
        <w:spacing w:after="80"/>
      </w:pPr>
      <w:r>
        <w:rPr>
          <w:rFonts w:ascii="Arial" w:hAnsi="Arial"/>
          <w:b w:val="0"/>
          <w:i w:val="0"/>
          <w:sz w:val="21"/>
        </w:rPr>
        <w:t xml:space="preserve">Load-shedding suspended 341+ days; Eskom forecasts none for winter 2026 — IOL / Eskom Winter Outlook. </w:t>
      </w:r>
      <w:hyperlink r:id="rId14">
        <w:r>
          <w:rPr>
            <w:rFonts w:ascii="Arial" w:hAnsi="Arial"/>
            <w:color w:val="0563C1"/>
            <w:u w:val="single"/>
            <w:sz w:val="21"/>
          </w:rPr>
          <w:t>iol.co.za</w:t>
        </w:r>
      </w:hyperlink>
    </w:p>
    <w:p>
      <w:pPr>
        <w:pStyle w:val="ListBullet"/>
        <w:spacing w:after="80"/>
      </w:pPr>
      <w:r>
        <w:rPr>
          <w:rFonts w:ascii="Arial" w:hAnsi="Arial"/>
          <w:b w:val="0"/>
          <w:i w:val="0"/>
          <w:sz w:val="21"/>
        </w:rPr>
        <w:t xml:space="preserve">ESG: net-zero 2050; Scope 1&amp;2 -30% net/-50% absolute, Scope 3 -10% net by 2030; tailings/water/30% female targets — Gold Fields 2030 ESG Targets / Energy &amp; Climate Change. </w:t>
      </w:r>
      <w:hyperlink r:id="rId15">
        <w:r>
          <w:rPr>
            <w:rFonts w:ascii="Arial" w:hAnsi="Arial"/>
            <w:color w:val="0563C1"/>
            <w:u w:val="single"/>
            <w:sz w:val="21"/>
          </w:rPr>
          <w:t>goldfields.com/gold-fields-2030-esg-targets</w:t>
        </w:r>
      </w:hyperlink>
    </w:p>
    <w:p>
      <w:pPr>
        <w:pStyle w:val="ListBullet"/>
        <w:spacing w:after="80"/>
      </w:pPr>
      <w:r>
        <w:rPr>
          <w:rFonts w:ascii="Arial" w:hAnsi="Arial"/>
          <w:b w:val="0"/>
          <w:i w:val="0"/>
          <w:sz w:val="21"/>
        </w:rPr>
        <w:t xml:space="preserve">Stakeholder: Thusano employee trust (~10.75% of GFIMSA), South Deep Education &amp; Community Trusts — Gold Fields Foundations &amp; Trusts. </w:t>
      </w:r>
      <w:hyperlink r:id="rId16">
        <w:r>
          <w:rPr>
            <w:rFonts w:ascii="Arial" w:hAnsi="Arial"/>
            <w:color w:val="0563C1"/>
            <w:u w:val="single"/>
            <w:sz w:val="21"/>
          </w:rPr>
          <w:t>goldfields.com/foundations-and-trusts</w:t>
        </w:r>
      </w:hyperlink>
    </w:p>
    <w:p>
      <w:pPr>
        <w:pStyle w:val="ListBullet"/>
        <w:spacing w:after="80"/>
      </w:pPr>
      <w:r>
        <w:rPr>
          <w:rFonts w:ascii="Arial" w:hAnsi="Arial"/>
          <w:b w:val="0"/>
          <w:i w:val="0"/>
          <w:sz w:val="21"/>
        </w:rPr>
        <w:t>Internal: Gold Fields FY2025 calibrated scenario model (companies/gold-fields/analyst-notes/Gold_Fields_GFI_Scenario_Model_Jun2026.xlsx) — sensitivities and EBITDA build.</w:t>
      </w:r>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Gold Fields (GFI) — Rand-weakness &amp; load-shedding scenarios, Jun 2026 — internal, not investment advice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ldfields.com/reports/q4-2026/" TargetMode="External"/><Relationship Id="rId11" Type="http://schemas.openxmlformats.org/officeDocument/2006/relationships/hyperlink" Target="https://www.miningweekly.com/article/gold-fields-boosts-free-cash-uplifts-dividend-outlines-south-deep-renewables-outlook-2025-02-20" TargetMode="External"/><Relationship Id="rId12" Type="http://schemas.openxmlformats.org/officeDocument/2006/relationships/hyperlink" Target="https://tradingeconomics.com/commodity/gold" TargetMode="External"/><Relationship Id="rId13" Type="http://schemas.openxmlformats.org/officeDocument/2006/relationships/hyperlink" Target="https://tradingeconomics.com/south-africa/currency" TargetMode="External"/><Relationship Id="rId14" Type="http://schemas.openxmlformats.org/officeDocument/2006/relationships/hyperlink" Target="https://iol.co.za/weekend-argus/2026-04-28-eskom-forecasts-a-stable-winter-with-no-load-shedding-in-2026/" TargetMode="External"/><Relationship Id="rId15" Type="http://schemas.openxmlformats.org/officeDocument/2006/relationships/hyperlink" Target="https://www.goldfields.com/gold-fields-2030-esg-targets.php" TargetMode="External"/><Relationship Id="rId16" Type="http://schemas.openxmlformats.org/officeDocument/2006/relationships/hyperlink" Target="https://www.goldfields.com/foundations-and-trust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