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b/>
          <w:i w:val="0"/>
          <w:color w:val="1F3864"/>
          <w:sz w:val="32"/>
        </w:rPr>
        <w:t>MR PRICE GROUP LIMITED  (JSE: MRP)</w:t>
      </w:r>
    </w:p>
    <w:p>
      <w:pPr>
        <w:spacing w:after="40" w:before="0"/>
      </w:pPr>
      <w:r>
        <w:rPr>
          <w:rFonts w:ascii="Arial" w:hAnsi="Arial"/>
          <w:b w:val="0"/>
          <w:i w:val="0"/>
          <w:color w:val="595959"/>
          <w:sz w:val="20"/>
        </w:rPr>
        <w:t>Cash-based, omnichannel fashion-value retailer  -  reports in ZAR  -  FY ends late March (52/53-week calendar)</w:t>
      </w:r>
    </w:p>
    <w:p>
      <w:pPr>
        <w:spacing w:after="40" w:before="0"/>
      </w:pPr>
      <w:r>
        <w:rPr>
          <w:rFonts w:ascii="Arial" w:hAnsi="Arial"/>
          <w:b w:val="0"/>
          <w:i w:val="0"/>
          <w:color w:val="595959"/>
          <w:sz w:val="20"/>
        </w:rPr>
        <w:t>Sector lens: jse-sector-retail (General / Apparel sub-segment)</w:t>
      </w:r>
    </w:p>
    <w:p>
      <w:pPr>
        <w:spacing w:after="60" w:before="0"/>
      </w:pPr>
      <w:r>
        <w:rPr>
          <w:rFonts w:ascii="Arial" w:hAnsi="Arial"/>
          <w:b/>
          <w:i w:val="0"/>
          <w:sz w:val="26"/>
        </w:rPr>
        <w:t>12-18 Month Forward Outlook under Two Strait-of-Hormuz Scenarios</w:t>
      </w:r>
    </w:p>
    <w:p>
      <w:pPr>
        <w:spacing w:after="200" w:before="0"/>
      </w:pPr>
      <w:r>
        <w:rPr>
          <w:rFonts w:ascii="Arial" w:hAnsi="Arial"/>
          <w:b w:val="0"/>
          <w:i/>
          <w:color w:val="595959"/>
          <w:sz w:val="18"/>
        </w:rPr>
        <w:t>Deep-dive scenario / outlook note  -  18 June 2026  -  Internal research, for information only, not investment advice</w:t>
      </w:r>
    </w:p>
    <w:p>
      <w:pPr>
        <w:pStyle w:val="Heading1"/>
      </w:pPr>
      <w:r>
        <w:t>0.  Scenario definitions (read first - do not invert)</w:t>
      </w:r>
    </w:p>
    <w:p>
      <w:pPr>
        <w:spacing w:after="120" w:before="0"/>
      </w:pPr>
      <w:r>
        <w:rPr>
          <w:rFonts w:ascii="Arial" w:hAnsi="Arial"/>
          <w:b w:val="0"/>
          <w:i w:val="0"/>
          <w:sz w:val="21"/>
        </w:rPr>
        <w:t>This note answers one question: how does Mr Price Group perform over the next 12-18 months (i.e. across H1 FY2027 to end-FY2027, with a read into FY2028) under two opposite paths for the Strait of Hormuz. The scenarios use the USER's letters and definitions, which we state explicitly to avoid any confusion with the macro-deck's internal column labels:</w:t>
      </w:r>
    </w:p>
    <w:p>
      <w:pPr>
        <w:pStyle w:val="ListBullet"/>
        <w:spacing w:after="80"/>
      </w:pPr>
      <w:r>
        <w:rPr>
          <w:rFonts w:ascii="Arial" w:hAnsi="Arial"/>
          <w:b/>
          <w:i w:val="0"/>
          <w:sz w:val="21"/>
        </w:rPr>
        <w:t xml:space="preserve">Scenario A - the Strait stays CLOSED (the STRESS / closure path). </w:t>
      </w:r>
      <w:r>
        <w:rPr>
          <w:rFonts w:ascii="Arial" w:hAnsi="Arial"/>
          <w:b w:val="0"/>
          <w:i w:val="0"/>
          <w:sz w:val="21"/>
        </w:rPr>
        <w:t>Higher-for-longer oil, weaker rand, higher SARB rates and record fuel. This maps to the macro deck's 'B' column (Brent ~US$100/bbl, USD/ZAR ~17.5-18.0, SARB repo ~8.17%, inland-95 petrol ~R29.5-30.5/l). (S5)</w:t>
      </w:r>
    </w:p>
    <w:p>
      <w:pPr>
        <w:pStyle w:val="ListBullet"/>
        <w:spacing w:after="80"/>
      </w:pPr>
      <w:r>
        <w:rPr>
          <w:rFonts w:ascii="Arial" w:hAnsi="Arial"/>
          <w:b/>
          <w:i w:val="0"/>
          <w:sz w:val="21"/>
        </w:rPr>
        <w:t xml:space="preserve">Scenario b - the Strait RE-OPENS and stays open (the NORMALISATION / relief path). </w:t>
      </w:r>
      <w:r>
        <w:rPr>
          <w:rFonts w:ascii="Arial" w:hAnsi="Arial"/>
          <w:b w:val="0"/>
          <w:i w:val="0"/>
          <w:sz w:val="21"/>
        </w:rPr>
        <w:t>Oil normalises, the rand firms, the SARB has room to cut, fuel eases. This maps to the macro deck's 'A' column (Brent ~US$72/bbl, USD/ZAR ~16.0-&gt;15.8, SARB repo ~6.67%-&gt;6.25%, inland-95 petrol ~R25.5-&gt;24.5/l). (S5)</w:t>
      </w:r>
    </w:p>
    <w:tbl>
      <w:tblPr>
        <w:tblStyle w:val="TableGrid"/>
        <w:tblW w:type="auto" w:w="0"/>
        <w:tblLook w:firstColumn="1" w:firstRow="1" w:lastColumn="0" w:lastRow="0" w:noHBand="0" w:noVBand="1" w:val="04A0"/>
      </w:tblPr>
      <w:tblGrid>
        <w:gridCol w:w="9360"/>
      </w:tblGrid>
      <w:tr>
        <w:tc>
          <w:tcPr>
            <w:tcW w:type="dxa" w:w="9360"/>
            <w:shd w:val="clear" w:fill="FFF7E0"/>
          </w:tcPr>
          <w:p>
            <w:pPr>
              <w:spacing w:after="0"/>
            </w:pPr>
            <w:r/>
            <w:r>
              <w:rPr>
                <w:rFonts w:ascii="Arial" w:hAnsi="Arial"/>
                <w:b/>
                <w:i w:val="0"/>
                <w:sz w:val="21"/>
              </w:rPr>
              <w:t xml:space="preserve">Mapping, stated plainly.  </w:t>
            </w:r>
            <w:r>
              <w:rPr>
                <w:rFonts w:ascii="Arial" w:hAnsi="Arial"/>
                <w:b w:val="0"/>
                <w:i w:val="0"/>
                <w:sz w:val="21"/>
              </w:rPr>
              <w:t>USER Scenario A (Strait closed = stress) = macro-deck column 'B'.  USER Scenario b (Strait open = relief) = macro-deck column 'A'.  Throughout this note, 'A' always means the closure/stress case and 'b' always means the re-opening/relief case. Mr Price is not an oil stock: the Strait reaches it indirectly, through the SA consumer's wallet and through rand-denominated imported cost of goods and freight.</w:t>
            </w:r>
          </w:p>
        </w:tc>
      </w:tr>
    </w:tbl>
    <w:p>
      <w:pPr>
        <w:spacing w:after="40" w:before="0"/>
      </w:pPr>
    </w:p>
    <w:p>
      <w:pPr>
        <w:pStyle w:val="Heading1"/>
      </w:pPr>
      <w:r>
        <w:t>1.  The answer, up front</w:t>
      </w:r>
    </w:p>
    <w:p>
      <w:pPr>
        <w:spacing w:after="120" w:before="0"/>
      </w:pPr>
      <w:r>
        <w:rPr>
          <w:rFonts w:ascii="Arial" w:hAnsi="Arial"/>
          <w:b w:val="0"/>
          <w:i w:val="0"/>
          <w:sz w:val="21"/>
        </w:rPr>
        <w:t>Mr Price enters the next 12-18 months from a position of structural strength relative to most SA general retailers, but it is not immune to either scenario. It is a predominantly CASH retailer (89.4% of group retail sales are cash, not credit (S1)) sitting on a net-cash balance sheet, which insulates it from the finance-cost and bad-debt channels that hurt geared or credit-heavy peers. Against that, roughly its entire merchandise base is imported and rand-denominated, so a weaker rand feeds directly into cost of goods and freight, and its core customer is the price-sensitive SA value shopper whose discretionary wallet is squeezed by fuel and rates. The new variable in both scenarios is the ~R9.66bn NKD acquisition (Europe), which consolidates from FY2027 and introduces euro translation, integration risk - and, in the closure case, a partial natural hedge. (S2, S6)</w:t>
      </w:r>
    </w:p>
    <w:p>
      <w:pPr>
        <w:spacing w:after="160" w:before="0"/>
      </w:pPr>
      <w:r>
        <w:rPr>
          <w:rFonts w:ascii="Arial" w:hAnsi="Arial"/>
          <w:b/>
          <w:i w:val="0"/>
          <w:sz w:val="21"/>
        </w:rPr>
        <w:t xml:space="preserve">Scenario A (Strait CLOSED / stress). </w:t>
      </w:r>
      <w:r>
        <w:rPr>
          <w:rFonts w:ascii="Arial" w:hAnsi="Arial"/>
          <w:b w:val="0"/>
          <w:i w:val="0"/>
          <w:sz w:val="21"/>
        </w:rPr>
        <w:t>The harder path for the SA consumer. Higher fuel and an ~8.17% repo squeeze discretionary income, while a ~R17.5-18.0 rand lifts MRP's imported COGS and pressures gross margin; finance income on the debtors' book stays subdued. But this is also where MRP's relative case is strongest: as the value-end, cash-based trade-down beneficiary it tends to GAIN share when the consumer retrenches, its net-cash balance sheet carries no rate-driven interest burden, and NKD's euro earnings become a modest rand hedge. We see low-single-digit retail sales growth, gross margin under mild pressure, trading margin broadly held by operating discipline, and statutory HEPS roughly flat-to-modestly-up - with NKD consolidation the swing factor. (S1, S5, S6)</w:t>
      </w:r>
    </w:p>
    <w:p>
      <w:pPr>
        <w:spacing w:after="160" w:before="0"/>
      </w:pPr>
      <w:r>
        <w:rPr>
          <w:rFonts w:ascii="Arial" w:hAnsi="Arial"/>
          <w:b/>
          <w:i w:val="0"/>
          <w:sz w:val="21"/>
        </w:rPr>
        <w:t xml:space="preserve">Scenario b (Strait OPEN / relief). </w:t>
      </w:r>
      <w:r>
        <w:rPr>
          <w:rFonts w:ascii="Arial" w:hAnsi="Arial"/>
          <w:b w:val="0"/>
          <w:i w:val="0"/>
          <w:sz w:val="21"/>
        </w:rPr>
        <w:t>The friendlier path. Lower fuel and a rate-cutting cycle (~6.67%-&gt;6.25% repo) restore discretionary spend; a firmer ~R16.0-&gt;15.8 rand eases imported COGS and supports gross margin; lower rates do reduce debtors' interest income (a small drag on 'other revenue', as already seen in FY2026 (S1)) but the volume and margin benefit dominates. We see mid-single-digit retail sales growth re-accelerating, gross-margin stability-to-expansion, trading-margin expansion on operating leverage, and HEPS growth pushing into the high-single to low-double digits. The catch is relative: a consumer-relief rally lifts credit-exposed discretionary peers off a lower base, so MRP may compound steadily yet not screen as the highest-beta name. (S1, S5, S6)</w:t>
      </w:r>
    </w:p>
    <w:p>
      <w:pPr>
        <w:spacing w:after="160" w:before="0"/>
      </w:pPr>
      <w:r>
        <w:rPr>
          <w:rFonts w:ascii="Arial" w:hAnsi="Arial"/>
          <w:b/>
          <w:i w:val="0"/>
          <w:sz w:val="21"/>
        </w:rPr>
        <w:t xml:space="preserve">Punchline. </w:t>
      </w:r>
      <w:r>
        <w:rPr>
          <w:rFonts w:ascii="Arial" w:hAnsi="Arial"/>
          <w:b w:val="0"/>
          <w:i w:val="0"/>
          <w:sz w:val="21"/>
        </w:rPr>
        <w:t>Mr Price is a resilience name, not a recovery option: it holds up better than credit-heavy peers if the Strait stays closed, and participates - if less explosively - if it re-opens. The two genuine swing factors are (i) imported-COGS / gross-margin sensitivity to the rand, and (ii) the execution and translation effect of NKD. Informational only; not advice.</w:t>
      </w:r>
    </w:p>
    <w:p>
      <w:pPr>
        <w:pStyle w:val="Heading1"/>
      </w:pPr>
      <w:r>
        <w:t>2.  Mr Price today - FY2026 reported actuals (the anchor)</w:t>
      </w:r>
    </w:p>
    <w:p>
      <w:pPr>
        <w:spacing w:after="120" w:before="0"/>
      </w:pPr>
      <w:r>
        <w:rPr>
          <w:rFonts w:ascii="Arial" w:hAnsi="Arial"/>
          <w:b w:val="0"/>
          <w:i w:val="0"/>
          <w:sz w:val="21"/>
        </w:rPr>
        <w:t>All figures below are reported actuals for the 52 weeks ended 28 March 2026 (FY2026), with the 52 weeks ended 29 March 2025 (FY2025) as the prior corresponding period (pcp). Source: FY2026 annual results SENS announcement and official supplementary information (S1). The binary original is not yet archived locally (proxy 403); figures are taken from the validated text sidecar of the official results and cross-checked against The Citizen's report of the same release - logged as a coverage gap (see Section 11). Margins move in basis points (bps).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360"/>
            <w:shd w:val="clear" w:fill="1F3864"/>
          </w:tcPr>
          <w:p>
            <w:r/>
            <w:r>
              <w:rPr>
                <w:rFonts w:ascii="Arial" w:hAnsi="Arial"/>
                <w:b/>
                <w:i w:val="0"/>
                <w:color w:val="FFFFFF"/>
                <w:sz w:val="18"/>
              </w:rPr>
              <w:t>Metric (FY2026, 52 wks to 28 Mar 2026)</w:t>
            </w:r>
          </w:p>
        </w:tc>
        <w:tc>
          <w:tcPr>
            <w:tcW w:type="dxa" w:w="1860"/>
            <w:shd w:val="clear" w:fill="2E5496"/>
          </w:tcPr>
          <w:p>
            <w:r/>
            <w:r>
              <w:rPr>
                <w:rFonts w:ascii="Arial" w:hAnsi="Arial"/>
                <w:b/>
                <w:i w:val="0"/>
                <w:color w:val="FFFFFF"/>
                <w:sz w:val="18"/>
              </w:rPr>
              <w:t>FY2026</w:t>
            </w:r>
          </w:p>
        </w:tc>
        <w:tc>
          <w:tcPr>
            <w:tcW w:type="dxa" w:w="1860"/>
            <w:shd w:val="clear" w:fill="375623"/>
          </w:tcPr>
          <w:p>
            <w:r/>
            <w:r>
              <w:rPr>
                <w:rFonts w:ascii="Arial" w:hAnsi="Arial"/>
                <w:b/>
                <w:i w:val="0"/>
                <w:color w:val="FFFFFF"/>
                <w:sz w:val="18"/>
              </w:rPr>
              <w:t>FY2025 (pcp)</w:t>
            </w:r>
          </w:p>
        </w:tc>
        <w:tc>
          <w:tcPr>
            <w:tcW w:type="dxa" w:w="1500"/>
            <w:shd w:val="clear" w:fill="2E5496"/>
          </w:tcPr>
          <w:p>
            <w:r/>
            <w:r>
              <w:rPr>
                <w:rFonts w:ascii="Arial" w:hAnsi="Arial"/>
                <w:b/>
                <w:i w:val="0"/>
                <w:color w:val="FFFFFF"/>
                <w:sz w:val="18"/>
              </w:rPr>
              <w:t>Change</w:t>
            </w:r>
          </w:p>
        </w:tc>
        <w:tc>
          <w:tcPr>
            <w:tcW w:type="dxa" w:w="1340"/>
            <w:shd w:val="clear" w:fill="1F3864"/>
          </w:tcPr>
          <w:p>
            <w:r/>
            <w:r>
              <w:rPr>
                <w:rFonts w:ascii="Arial" w:hAnsi="Arial"/>
                <w:b/>
                <w:i w:val="0"/>
                <w:color w:val="FFFFFF"/>
                <w:sz w:val="18"/>
              </w:rPr>
              <w:t>Source</w:t>
            </w:r>
          </w:p>
        </w:tc>
      </w:tr>
      <w:tr>
        <w:tc>
          <w:tcPr>
            <w:tcW w:type="dxa" w:w="3360"/>
            <w:shd w:val="clear" w:fill="F2F2F2"/>
          </w:tcPr>
          <w:p>
            <w:r/>
            <w:r>
              <w:rPr>
                <w:rFonts w:ascii="Arial" w:hAnsi="Arial"/>
                <w:b/>
                <w:i w:val="0"/>
                <w:sz w:val="18"/>
              </w:rPr>
              <w:t>Revenue</w:t>
            </w:r>
          </w:p>
        </w:tc>
        <w:tc>
          <w:tcPr>
            <w:tcW w:type="dxa" w:w="1860"/>
          </w:tcPr>
          <w:p>
            <w:r/>
            <w:r>
              <w:rPr>
                <w:rFonts w:ascii="Arial" w:hAnsi="Arial"/>
                <w:b w:val="0"/>
                <w:i w:val="0"/>
                <w:sz w:val="18"/>
              </w:rPr>
              <w:t>R42.7bn</w:t>
            </w:r>
          </w:p>
        </w:tc>
        <w:tc>
          <w:tcPr>
            <w:tcW w:type="dxa" w:w="1860"/>
          </w:tcPr>
          <w:p>
            <w:r/>
            <w:r>
              <w:rPr>
                <w:rFonts w:ascii="Arial" w:hAnsi="Arial"/>
                <w:b w:val="0"/>
                <w:i w:val="0"/>
                <w:sz w:val="18"/>
              </w:rPr>
              <w:t>~R40.9bn (e)</w:t>
            </w:r>
          </w:p>
        </w:tc>
        <w:tc>
          <w:tcPr>
            <w:tcW w:type="dxa" w:w="1500"/>
          </w:tcPr>
          <w:p>
            <w:r/>
            <w:r>
              <w:rPr>
                <w:rFonts w:ascii="Arial" w:hAnsi="Arial"/>
                <w:b w:val="0"/>
                <w:i w:val="0"/>
                <w:sz w:val="18"/>
              </w:rPr>
              <w:t>+~4.3%</w:t>
            </w:r>
          </w:p>
        </w:tc>
        <w:tc>
          <w:tcPr>
            <w:tcW w:type="dxa" w:w="1340"/>
          </w:tcPr>
          <w:p>
            <w:r/>
            <w:r>
              <w:rPr>
                <w:rFonts w:ascii="Arial" w:hAnsi="Arial"/>
                <w:b w:val="0"/>
                <w:i w:val="0"/>
                <w:sz w:val="18"/>
              </w:rPr>
              <w:t>S1, p.1</w:t>
            </w:r>
          </w:p>
        </w:tc>
      </w:tr>
      <w:tr>
        <w:tc>
          <w:tcPr>
            <w:tcW w:type="dxa" w:w="3360"/>
            <w:shd w:val="clear" w:fill="F2F2F2"/>
          </w:tcPr>
          <w:p>
            <w:r/>
            <w:r>
              <w:rPr>
                <w:rFonts w:ascii="Arial" w:hAnsi="Arial"/>
                <w:b/>
                <w:i w:val="0"/>
                <w:sz w:val="18"/>
              </w:rPr>
              <w:t>Retail sales</w:t>
            </w:r>
          </w:p>
        </w:tc>
        <w:tc>
          <w:tcPr>
            <w:tcW w:type="dxa" w:w="1860"/>
            <w:shd w:val="clear" w:fill="FAFAFA"/>
          </w:tcPr>
          <w:p>
            <w:r/>
            <w:r>
              <w:rPr>
                <w:rFonts w:ascii="Arial" w:hAnsi="Arial"/>
                <w:b w:val="0"/>
                <w:i w:val="0"/>
                <w:sz w:val="18"/>
              </w:rPr>
              <w:t>R41.1bn</w:t>
            </w:r>
          </w:p>
        </w:tc>
        <w:tc>
          <w:tcPr>
            <w:tcW w:type="dxa" w:w="1860"/>
            <w:shd w:val="clear" w:fill="FAFAFA"/>
          </w:tcPr>
          <w:p>
            <w:r/>
            <w:r>
              <w:rPr>
                <w:rFonts w:ascii="Arial" w:hAnsi="Arial"/>
                <w:b w:val="0"/>
                <w:i w:val="0"/>
                <w:sz w:val="18"/>
              </w:rPr>
              <w:t>~R39.4bn (e)</w:t>
            </w:r>
          </w:p>
        </w:tc>
        <w:tc>
          <w:tcPr>
            <w:tcW w:type="dxa" w:w="1500"/>
            <w:shd w:val="clear" w:fill="FAFAFA"/>
          </w:tcPr>
          <w:p>
            <w:r/>
            <w:r>
              <w:rPr>
                <w:rFonts w:ascii="Arial" w:hAnsi="Arial"/>
                <w:b w:val="0"/>
                <w:i w:val="0"/>
                <w:sz w:val="18"/>
              </w:rPr>
              <w:t>+4.3%</w:t>
            </w:r>
          </w:p>
        </w:tc>
        <w:tc>
          <w:tcPr>
            <w:tcW w:type="dxa" w:w="1340"/>
            <w:shd w:val="clear" w:fill="FAFAFA"/>
          </w:tcPr>
          <w:p>
            <w:r/>
            <w:r>
              <w:rPr>
                <w:rFonts w:ascii="Arial" w:hAnsi="Arial"/>
                <w:b w:val="0"/>
                <w:i w:val="0"/>
                <w:sz w:val="18"/>
              </w:rPr>
              <w:t>S1, p.1</w:t>
            </w:r>
          </w:p>
        </w:tc>
      </w:tr>
      <w:tr>
        <w:tc>
          <w:tcPr>
            <w:tcW w:type="dxa" w:w="3360"/>
            <w:shd w:val="clear" w:fill="F2F2F2"/>
          </w:tcPr>
          <w:p>
            <w:r/>
            <w:r>
              <w:rPr>
                <w:rFonts w:ascii="Arial" w:hAnsi="Arial"/>
                <w:b/>
                <w:i w:val="0"/>
                <w:sz w:val="18"/>
              </w:rPr>
              <w:t>Other revenue</w:t>
            </w:r>
          </w:p>
        </w:tc>
        <w:tc>
          <w:tcPr>
            <w:tcW w:type="dxa" w:w="1860"/>
          </w:tcPr>
          <w:p>
            <w:r/>
            <w:r>
              <w:rPr>
                <w:rFonts w:ascii="Arial" w:hAnsi="Arial"/>
                <w:b w:val="0"/>
                <w:i w:val="0"/>
                <w:sz w:val="18"/>
              </w:rPr>
              <w:t>R1.3bn</w:t>
            </w:r>
          </w:p>
        </w:tc>
        <w:tc>
          <w:tcPr>
            <w:tcW w:type="dxa" w:w="1860"/>
          </w:tcPr>
          <w:p>
            <w:r/>
            <w:r>
              <w:rPr>
                <w:rFonts w:ascii="Arial" w:hAnsi="Arial"/>
                <w:b w:val="0"/>
                <w:i w:val="0"/>
                <w:sz w:val="18"/>
              </w:rPr>
              <w:t>~R1.33bn (e)</w:t>
            </w:r>
          </w:p>
        </w:tc>
        <w:tc>
          <w:tcPr>
            <w:tcW w:type="dxa" w:w="1500"/>
          </w:tcPr>
          <w:p>
            <w:r/>
            <w:r>
              <w:rPr>
                <w:rFonts w:ascii="Arial" w:hAnsi="Arial"/>
                <w:b w:val="0"/>
                <w:i w:val="0"/>
                <w:sz w:val="18"/>
              </w:rPr>
              <w:t>-1.9%</w:t>
            </w:r>
          </w:p>
        </w:tc>
        <w:tc>
          <w:tcPr>
            <w:tcW w:type="dxa" w:w="1340"/>
          </w:tcPr>
          <w:p>
            <w:r/>
            <w:r>
              <w:rPr>
                <w:rFonts w:ascii="Arial" w:hAnsi="Arial"/>
                <w:b w:val="0"/>
                <w:i w:val="0"/>
                <w:sz w:val="18"/>
              </w:rPr>
              <w:t>S1, p.1</w:t>
            </w:r>
          </w:p>
        </w:tc>
      </w:tr>
      <w:tr>
        <w:tc>
          <w:tcPr>
            <w:tcW w:type="dxa" w:w="3360"/>
            <w:shd w:val="clear" w:fill="F2F2F2"/>
          </w:tcPr>
          <w:p>
            <w:r/>
            <w:r>
              <w:rPr>
                <w:rFonts w:ascii="Arial" w:hAnsi="Arial"/>
                <w:b/>
                <w:i w:val="0"/>
                <w:sz w:val="18"/>
              </w:rPr>
              <w:t>Operating profit</w:t>
            </w:r>
          </w:p>
        </w:tc>
        <w:tc>
          <w:tcPr>
            <w:tcW w:type="dxa" w:w="1860"/>
            <w:shd w:val="clear" w:fill="FAFAFA"/>
          </w:tcPr>
          <w:p>
            <w:r/>
            <w:r>
              <w:rPr>
                <w:rFonts w:ascii="Arial" w:hAnsi="Arial"/>
                <w:b w:val="0"/>
                <w:i w:val="0"/>
                <w:sz w:val="18"/>
              </w:rPr>
              <w:t>R6.0bn</w:t>
            </w:r>
          </w:p>
        </w:tc>
        <w:tc>
          <w:tcPr>
            <w:tcW w:type="dxa" w:w="1860"/>
            <w:shd w:val="clear" w:fill="FAFAFA"/>
          </w:tcPr>
          <w:p>
            <w:r/>
            <w:r>
              <w:rPr>
                <w:rFonts w:ascii="Arial" w:hAnsi="Arial"/>
                <w:b w:val="0"/>
                <w:i w:val="0"/>
                <w:sz w:val="18"/>
              </w:rPr>
              <w:t>~R5.75bn (e)</w:t>
            </w:r>
          </w:p>
        </w:tc>
        <w:tc>
          <w:tcPr>
            <w:tcW w:type="dxa" w:w="1500"/>
            <w:shd w:val="clear" w:fill="FAFAFA"/>
          </w:tcPr>
          <w:p>
            <w:r/>
            <w:r>
              <w:rPr>
                <w:rFonts w:ascii="Arial" w:hAnsi="Arial"/>
                <w:b w:val="0"/>
                <w:i w:val="0"/>
                <w:sz w:val="18"/>
              </w:rPr>
              <w:t>+4.3%</w:t>
            </w:r>
          </w:p>
        </w:tc>
        <w:tc>
          <w:tcPr>
            <w:tcW w:type="dxa" w:w="1340"/>
            <w:shd w:val="clear" w:fill="FAFAFA"/>
          </w:tcPr>
          <w:p>
            <w:r/>
            <w:r>
              <w:rPr>
                <w:rFonts w:ascii="Arial" w:hAnsi="Arial"/>
                <w:b w:val="0"/>
                <w:i w:val="0"/>
                <w:sz w:val="18"/>
              </w:rPr>
              <w:t>S1, p.1</w:t>
            </w:r>
          </w:p>
        </w:tc>
      </w:tr>
      <w:tr>
        <w:tc>
          <w:tcPr>
            <w:tcW w:type="dxa" w:w="3360"/>
            <w:shd w:val="clear" w:fill="F2F2F2"/>
          </w:tcPr>
          <w:p>
            <w:r/>
            <w:r>
              <w:rPr>
                <w:rFonts w:ascii="Arial" w:hAnsi="Arial"/>
                <w:b/>
                <w:i w:val="0"/>
                <w:sz w:val="18"/>
              </w:rPr>
              <w:t>Operating margin on revenue (e)</w:t>
            </w:r>
          </w:p>
        </w:tc>
        <w:tc>
          <w:tcPr>
            <w:tcW w:type="dxa" w:w="1860"/>
          </w:tcPr>
          <w:p>
            <w:r/>
            <w:r>
              <w:rPr>
                <w:rFonts w:ascii="Arial" w:hAnsi="Arial"/>
                <w:b w:val="0"/>
                <w:i w:val="0"/>
                <w:sz w:val="18"/>
              </w:rPr>
              <w:t>14.1% (e)</w:t>
            </w:r>
          </w:p>
        </w:tc>
        <w:tc>
          <w:tcPr>
            <w:tcW w:type="dxa" w:w="1860"/>
          </w:tcPr>
          <w:p>
            <w:r/>
            <w:r>
              <w:rPr>
                <w:rFonts w:ascii="Arial" w:hAnsi="Arial"/>
                <w:b w:val="0"/>
                <w:i w:val="0"/>
                <w:sz w:val="18"/>
              </w:rPr>
              <w:t>14.1% (e)</w:t>
            </w:r>
          </w:p>
        </w:tc>
        <w:tc>
          <w:tcPr>
            <w:tcW w:type="dxa" w:w="1500"/>
          </w:tcPr>
          <w:p>
            <w:r/>
            <w:r>
              <w:rPr>
                <w:rFonts w:ascii="Arial" w:hAnsi="Arial"/>
                <w:b w:val="0"/>
                <w:i w:val="0"/>
                <w:sz w:val="18"/>
              </w:rPr>
              <w:t>~flat</w:t>
            </w:r>
          </w:p>
        </w:tc>
        <w:tc>
          <w:tcPr>
            <w:tcW w:type="dxa" w:w="1340"/>
          </w:tcPr>
          <w:p>
            <w:r/>
            <w:r>
              <w:rPr>
                <w:rFonts w:ascii="Arial" w:hAnsi="Arial"/>
                <w:b w:val="0"/>
                <w:i w:val="0"/>
                <w:sz w:val="18"/>
              </w:rPr>
              <w:t>(e) S1</w:t>
            </w:r>
          </w:p>
        </w:tc>
      </w:tr>
      <w:tr>
        <w:tc>
          <w:tcPr>
            <w:tcW w:type="dxa" w:w="3360"/>
            <w:shd w:val="clear" w:fill="F2F2F2"/>
          </w:tcPr>
          <w:p>
            <w:r/>
            <w:r>
              <w:rPr>
                <w:rFonts w:ascii="Arial" w:hAnsi="Arial"/>
                <w:b/>
                <w:i w:val="0"/>
                <w:sz w:val="18"/>
              </w:rPr>
              <w:t>HEPS (statutory)</w:t>
            </w:r>
          </w:p>
        </w:tc>
        <w:tc>
          <w:tcPr>
            <w:tcW w:type="dxa" w:w="1860"/>
            <w:shd w:val="clear" w:fill="FAFAFA"/>
          </w:tcPr>
          <w:p>
            <w:r/>
            <w:r>
              <w:rPr>
                <w:rFonts w:ascii="Arial" w:hAnsi="Arial"/>
                <w:b w:val="0"/>
                <w:i w:val="0"/>
                <w:sz w:val="18"/>
              </w:rPr>
              <w:t>1,453.9c</w:t>
            </w:r>
          </w:p>
        </w:tc>
        <w:tc>
          <w:tcPr>
            <w:tcW w:type="dxa" w:w="1860"/>
            <w:shd w:val="clear" w:fill="FAFAFA"/>
          </w:tcPr>
          <w:p>
            <w:r/>
            <w:r>
              <w:rPr>
                <w:rFonts w:ascii="Arial" w:hAnsi="Arial"/>
                <w:b w:val="0"/>
                <w:i w:val="0"/>
                <w:sz w:val="18"/>
              </w:rPr>
              <w:t>1,424.0c (e)</w:t>
            </w:r>
          </w:p>
        </w:tc>
        <w:tc>
          <w:tcPr>
            <w:tcW w:type="dxa" w:w="1500"/>
            <w:shd w:val="clear" w:fill="FAFAFA"/>
          </w:tcPr>
          <w:p>
            <w:r/>
            <w:r>
              <w:rPr>
                <w:rFonts w:ascii="Arial" w:hAnsi="Arial"/>
                <w:b w:val="0"/>
                <w:i w:val="0"/>
                <w:sz w:val="18"/>
              </w:rPr>
              <w:t>+2.1%</w:t>
            </w:r>
          </w:p>
        </w:tc>
        <w:tc>
          <w:tcPr>
            <w:tcW w:type="dxa" w:w="1340"/>
            <w:shd w:val="clear" w:fill="FAFAFA"/>
          </w:tcPr>
          <w:p>
            <w:r/>
            <w:r>
              <w:rPr>
                <w:rFonts w:ascii="Arial" w:hAnsi="Arial"/>
                <w:b w:val="0"/>
                <w:i w:val="0"/>
                <w:sz w:val="18"/>
              </w:rPr>
              <w:t>S1, p.1</w:t>
            </w:r>
          </w:p>
        </w:tc>
      </w:tr>
      <w:tr>
        <w:tc>
          <w:tcPr>
            <w:tcW w:type="dxa" w:w="3360"/>
            <w:shd w:val="clear" w:fill="F2F2F2"/>
          </w:tcPr>
          <w:p>
            <w:r/>
            <w:r>
              <w:rPr>
                <w:rFonts w:ascii="Arial" w:hAnsi="Arial"/>
                <w:b/>
                <w:i w:val="0"/>
                <w:sz w:val="18"/>
              </w:rPr>
              <w:t>Diluted HEPS (statutory)</w:t>
            </w:r>
          </w:p>
        </w:tc>
        <w:tc>
          <w:tcPr>
            <w:tcW w:type="dxa" w:w="1860"/>
          </w:tcPr>
          <w:p>
            <w:r/>
            <w:r>
              <w:rPr>
                <w:rFonts w:ascii="Arial" w:hAnsi="Arial"/>
                <w:b w:val="0"/>
                <w:i w:val="0"/>
                <w:sz w:val="18"/>
              </w:rPr>
              <w:t>1,411.8c</w:t>
            </w:r>
          </w:p>
        </w:tc>
        <w:tc>
          <w:tcPr>
            <w:tcW w:type="dxa" w:w="1860"/>
          </w:tcPr>
          <w:p>
            <w:r/>
            <w:r>
              <w:rPr>
                <w:rFonts w:ascii="Arial" w:hAnsi="Arial"/>
                <w:b w:val="0"/>
                <w:i w:val="0"/>
                <w:sz w:val="18"/>
              </w:rPr>
              <w:t>1,378.7c (e)</w:t>
            </w:r>
          </w:p>
        </w:tc>
        <w:tc>
          <w:tcPr>
            <w:tcW w:type="dxa" w:w="1500"/>
          </w:tcPr>
          <w:p>
            <w:r/>
            <w:r>
              <w:rPr>
                <w:rFonts w:ascii="Arial" w:hAnsi="Arial"/>
                <w:b w:val="0"/>
                <w:i w:val="0"/>
                <w:sz w:val="18"/>
              </w:rPr>
              <w:t>+2.4%</w:t>
            </w:r>
          </w:p>
        </w:tc>
        <w:tc>
          <w:tcPr>
            <w:tcW w:type="dxa" w:w="1340"/>
          </w:tcPr>
          <w:p>
            <w:r/>
            <w:r>
              <w:rPr>
                <w:rFonts w:ascii="Arial" w:hAnsi="Arial"/>
                <w:b w:val="0"/>
                <w:i w:val="0"/>
                <w:sz w:val="18"/>
              </w:rPr>
              <w:t>S1, p.1</w:t>
            </w:r>
          </w:p>
        </w:tc>
      </w:tr>
      <w:tr>
        <w:tc>
          <w:tcPr>
            <w:tcW w:type="dxa" w:w="3360"/>
            <w:shd w:val="clear" w:fill="F2F2F2"/>
          </w:tcPr>
          <w:p>
            <w:r/>
            <w:r>
              <w:rPr>
                <w:rFonts w:ascii="Arial" w:hAnsi="Arial"/>
                <w:b/>
                <w:i w:val="0"/>
                <w:sz w:val="18"/>
              </w:rPr>
              <w:t>HEPS - normalised (ex NKD costs)</w:t>
            </w:r>
          </w:p>
        </w:tc>
        <w:tc>
          <w:tcPr>
            <w:tcW w:type="dxa" w:w="1860"/>
            <w:shd w:val="clear" w:fill="FAFAFA"/>
          </w:tcPr>
          <w:p>
            <w:r/>
            <w:r>
              <w:rPr>
                <w:rFonts w:ascii="Arial" w:hAnsi="Arial"/>
                <w:b w:val="0"/>
                <w:i w:val="0"/>
                <w:sz w:val="18"/>
              </w:rPr>
              <w:t>+7.7% (basic +8.0%)</w:t>
            </w:r>
          </w:p>
        </w:tc>
        <w:tc>
          <w:tcPr>
            <w:tcW w:type="dxa" w:w="1860"/>
            <w:shd w:val="clear" w:fill="FAFAFA"/>
          </w:tcPr>
          <w:p>
            <w:r/>
            <w:r>
              <w:rPr>
                <w:rFonts w:ascii="Arial" w:hAnsi="Arial"/>
                <w:b w:val="0"/>
                <w:i w:val="0"/>
                <w:sz w:val="18"/>
              </w:rPr>
              <w:t>n/a</w:t>
            </w:r>
          </w:p>
        </w:tc>
        <w:tc>
          <w:tcPr>
            <w:tcW w:type="dxa" w:w="1500"/>
            <w:shd w:val="clear" w:fill="FAFAFA"/>
          </w:tcPr>
          <w:p>
            <w:r/>
            <w:r>
              <w:rPr>
                <w:rFonts w:ascii="Arial" w:hAnsi="Arial"/>
                <w:b w:val="0"/>
                <w:i w:val="0"/>
                <w:sz w:val="18"/>
              </w:rPr>
              <w:t>+7.7%</w:t>
            </w:r>
          </w:p>
        </w:tc>
        <w:tc>
          <w:tcPr>
            <w:tcW w:type="dxa" w:w="1340"/>
            <w:shd w:val="clear" w:fill="FAFAFA"/>
          </w:tcPr>
          <w:p>
            <w:r/>
            <w:r>
              <w:rPr>
                <w:rFonts w:ascii="Arial" w:hAnsi="Arial"/>
                <w:b w:val="0"/>
                <w:i w:val="0"/>
                <w:sz w:val="18"/>
              </w:rPr>
              <w:t>S1, p.1</w:t>
            </w:r>
          </w:p>
        </w:tc>
      </w:tr>
      <w:tr>
        <w:tc>
          <w:tcPr>
            <w:tcW w:type="dxa" w:w="3360"/>
            <w:shd w:val="clear" w:fill="F2F2F2"/>
          </w:tcPr>
          <w:p>
            <w:r/>
            <w:r>
              <w:rPr>
                <w:rFonts w:ascii="Arial" w:hAnsi="Arial"/>
                <w:b/>
                <w:i w:val="0"/>
                <w:sz w:val="18"/>
              </w:rPr>
              <w:t>Final dividend per share</w:t>
            </w:r>
          </w:p>
        </w:tc>
        <w:tc>
          <w:tcPr>
            <w:tcW w:type="dxa" w:w="1860"/>
          </w:tcPr>
          <w:p>
            <w:r/>
            <w:r>
              <w:rPr>
                <w:rFonts w:ascii="Arial" w:hAnsi="Arial"/>
                <w:b w:val="0"/>
                <w:i w:val="0"/>
                <w:sz w:val="18"/>
              </w:rPr>
              <w:t>592.8c</w:t>
            </w:r>
          </w:p>
        </w:tc>
        <w:tc>
          <w:tcPr>
            <w:tcW w:type="dxa" w:w="1860"/>
          </w:tcPr>
          <w:p>
            <w:r/>
            <w:r>
              <w:rPr>
                <w:rFonts w:ascii="Arial" w:hAnsi="Arial"/>
                <w:b w:val="0"/>
                <w:i w:val="0"/>
                <w:sz w:val="18"/>
              </w:rPr>
              <w:t>593.5c</w:t>
            </w:r>
          </w:p>
        </w:tc>
        <w:tc>
          <w:tcPr>
            <w:tcW w:type="dxa" w:w="1500"/>
          </w:tcPr>
          <w:p>
            <w:r/>
            <w:r>
              <w:rPr>
                <w:rFonts w:ascii="Arial" w:hAnsi="Arial"/>
                <w:b w:val="0"/>
                <w:i w:val="0"/>
                <w:sz w:val="18"/>
              </w:rPr>
              <w:t>-0.1%</w:t>
            </w:r>
          </w:p>
        </w:tc>
        <w:tc>
          <w:tcPr>
            <w:tcW w:type="dxa" w:w="1340"/>
          </w:tcPr>
          <w:p>
            <w:r/>
            <w:r>
              <w:rPr>
                <w:rFonts w:ascii="Arial" w:hAnsi="Arial"/>
                <w:b w:val="0"/>
                <w:i w:val="0"/>
                <w:sz w:val="18"/>
              </w:rPr>
              <w:t>S1, p.1</w:t>
            </w:r>
          </w:p>
        </w:tc>
      </w:tr>
      <w:tr>
        <w:tc>
          <w:tcPr>
            <w:tcW w:type="dxa" w:w="3360"/>
            <w:shd w:val="clear" w:fill="F2F2F2"/>
          </w:tcPr>
          <w:p>
            <w:r/>
            <w:r>
              <w:rPr>
                <w:rFonts w:ascii="Arial" w:hAnsi="Arial"/>
                <w:b/>
                <w:i w:val="0"/>
                <w:sz w:val="18"/>
              </w:rPr>
              <w:t>Dividend policy (target)</w:t>
            </w:r>
          </w:p>
        </w:tc>
        <w:tc>
          <w:tcPr>
            <w:tcW w:type="dxa" w:w="1860"/>
            <w:shd w:val="clear" w:fill="FAFAFA"/>
          </w:tcPr>
          <w:p>
            <w:r/>
            <w:r>
              <w:rPr>
                <w:rFonts w:ascii="Arial" w:hAnsi="Arial"/>
                <w:b w:val="0"/>
                <w:i w:val="0"/>
                <w:sz w:val="18"/>
              </w:rPr>
              <w:t>~63% of HE payout</w:t>
            </w:r>
          </w:p>
        </w:tc>
        <w:tc>
          <w:tcPr>
            <w:tcW w:type="dxa" w:w="1860"/>
            <w:shd w:val="clear" w:fill="FAFAFA"/>
          </w:tcPr>
          <w:p>
            <w:r/>
            <w:r>
              <w:rPr>
                <w:rFonts w:ascii="Arial" w:hAnsi="Arial"/>
                <w:b w:val="0"/>
                <w:i w:val="0"/>
                <w:sz w:val="18"/>
              </w:rPr>
              <w:t>~63%</w:t>
            </w:r>
          </w:p>
        </w:tc>
        <w:tc>
          <w:tcPr>
            <w:tcW w:type="dxa" w:w="1500"/>
            <w:shd w:val="clear" w:fill="FAFAFA"/>
          </w:tcPr>
          <w:p>
            <w:r/>
            <w:r>
              <w:rPr>
                <w:rFonts w:ascii="Arial" w:hAnsi="Arial"/>
                <w:b w:val="0"/>
                <w:i w:val="0"/>
                <w:sz w:val="18"/>
              </w:rPr>
              <w:t>-</w:t>
            </w:r>
          </w:p>
        </w:tc>
        <w:tc>
          <w:tcPr>
            <w:tcW w:type="dxa" w:w="1340"/>
            <w:shd w:val="clear" w:fill="FAFAFA"/>
          </w:tcPr>
          <w:p>
            <w:r/>
            <w:r>
              <w:rPr>
                <w:rFonts w:ascii="Arial" w:hAnsi="Arial"/>
                <w:b w:val="0"/>
                <w:i w:val="0"/>
                <w:sz w:val="18"/>
              </w:rPr>
              <w:t>S1, p.1</w:t>
            </w:r>
          </w:p>
        </w:tc>
      </w:tr>
    </w:tbl>
    <w:p>
      <w:pPr>
        <w:spacing w:after="40" w:before="0"/>
      </w:pPr>
    </w:p>
    <w:p>
      <w:pPr>
        <w:spacing w:after="120" w:before="0"/>
      </w:pPr>
      <w:r>
        <w:rPr>
          <w:rFonts w:ascii="Arial" w:hAnsi="Arial"/>
          <w:b w:val="0"/>
          <w:i w:val="0"/>
          <w:sz w:val="21"/>
        </w:rPr>
        <w:t>The gap between statutory HEPS (+2.1%) and normalised HEPS (+7.7%) is entirely explained by Mr Price expensing ALL once-off NKD transaction costs in FY2026, even though the deal closes post year-end and consolidates only from FY2027 (S1, S2). Normalised growth of ~+8% is the cleaner read of the underlying SA business's FY2026 performance; we use it as the base for the scenario walk.</w:t>
      </w:r>
    </w:p>
    <w:p>
      <w:pPr>
        <w:spacing w:after="120" w:before="0"/>
      </w:pPr>
      <w:r>
        <w:rPr>
          <w:rFonts w:ascii="Arial" w:hAnsi="Arial"/>
          <w:b w:val="0"/>
          <w:i w:val="0"/>
          <w:sz w:val="21"/>
        </w:rPr>
        <w:t>Operating-model and balance-sheet markers that drive the scenario read: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760"/>
            <w:shd w:val="clear" w:fill="1F3864"/>
          </w:tcPr>
          <w:p>
            <w:r/>
            <w:r>
              <w:rPr>
                <w:rFonts w:ascii="Arial" w:hAnsi="Arial"/>
                <w:b/>
                <w:i w:val="0"/>
                <w:color w:val="FFFFFF"/>
                <w:sz w:val="18"/>
              </w:rPr>
              <w:t>Operating / structural marker (FY2026)</w:t>
            </w:r>
          </w:p>
        </w:tc>
        <w:tc>
          <w:tcPr>
            <w:tcW w:type="dxa" w:w="2160"/>
            <w:shd w:val="clear" w:fill="2E5496"/>
          </w:tcPr>
          <w:p>
            <w:r/>
            <w:r>
              <w:rPr>
                <w:rFonts w:ascii="Arial" w:hAnsi="Arial"/>
                <w:b/>
                <w:i w:val="0"/>
                <w:color w:val="FFFFFF"/>
                <w:sz w:val="18"/>
              </w:rPr>
              <w:t>FY2026</w:t>
            </w:r>
          </w:p>
        </w:tc>
        <w:tc>
          <w:tcPr>
            <w:tcW w:type="dxa" w:w="2360"/>
            <w:shd w:val="clear" w:fill="375623"/>
          </w:tcPr>
          <w:p>
            <w:r/>
            <w:r>
              <w:rPr>
                <w:rFonts w:ascii="Arial" w:hAnsi="Arial"/>
                <w:b/>
                <w:i w:val="0"/>
                <w:color w:val="FFFFFF"/>
                <w:sz w:val="18"/>
              </w:rPr>
              <w:t>pcp / note</w:t>
            </w:r>
          </w:p>
        </w:tc>
        <w:tc>
          <w:tcPr>
            <w:tcW w:type="dxa" w:w="1540"/>
            <w:shd w:val="clear" w:fill="1F3864"/>
          </w:tcPr>
          <w:p>
            <w:r/>
            <w:r>
              <w:rPr>
                <w:rFonts w:ascii="Arial" w:hAnsi="Arial"/>
                <w:b/>
                <w:i w:val="0"/>
                <w:color w:val="FFFFFF"/>
                <w:sz w:val="18"/>
              </w:rPr>
              <w:t>Source</w:t>
            </w:r>
          </w:p>
        </w:tc>
      </w:tr>
      <w:tr>
        <w:tc>
          <w:tcPr>
            <w:tcW w:type="dxa" w:w="3760"/>
            <w:shd w:val="clear" w:fill="F2F2F2"/>
          </w:tcPr>
          <w:p>
            <w:r/>
            <w:r>
              <w:rPr>
                <w:rFonts w:ascii="Arial" w:hAnsi="Arial"/>
                <w:b/>
                <w:i w:val="0"/>
                <w:sz w:val="18"/>
              </w:rPr>
              <w:t>Cash sales as % of group retail sales</w:t>
            </w:r>
          </w:p>
        </w:tc>
        <w:tc>
          <w:tcPr>
            <w:tcW w:type="dxa" w:w="2160"/>
          </w:tcPr>
          <w:p>
            <w:r/>
            <w:r>
              <w:rPr>
                <w:rFonts w:ascii="Arial" w:hAnsi="Arial"/>
                <w:b w:val="0"/>
                <w:i w:val="0"/>
                <w:sz w:val="18"/>
              </w:rPr>
              <w:t>89.4%</w:t>
            </w:r>
          </w:p>
        </w:tc>
        <w:tc>
          <w:tcPr>
            <w:tcW w:type="dxa" w:w="2360"/>
          </w:tcPr>
          <w:p>
            <w:r/>
            <w:r>
              <w:rPr>
                <w:rFonts w:ascii="Arial" w:hAnsi="Arial"/>
                <w:b w:val="0"/>
                <w:i w:val="0"/>
                <w:sz w:val="18"/>
              </w:rPr>
              <w:t>Cash sales +4.4%</w:t>
            </w:r>
          </w:p>
        </w:tc>
        <w:tc>
          <w:tcPr>
            <w:tcW w:type="dxa" w:w="1540"/>
          </w:tcPr>
          <w:p>
            <w:r/>
            <w:r>
              <w:rPr>
                <w:rFonts w:ascii="Arial" w:hAnsi="Arial"/>
                <w:b w:val="0"/>
                <w:i w:val="0"/>
                <w:sz w:val="18"/>
              </w:rPr>
              <w:t>S1, p.1</w:t>
            </w:r>
          </w:p>
        </w:tc>
      </w:tr>
      <w:tr>
        <w:tc>
          <w:tcPr>
            <w:tcW w:type="dxa" w:w="3760"/>
            <w:shd w:val="clear" w:fill="F2F2F2"/>
          </w:tcPr>
          <w:p>
            <w:r/>
            <w:r>
              <w:rPr>
                <w:rFonts w:ascii="Arial" w:hAnsi="Arial"/>
                <w:b/>
                <w:i w:val="0"/>
                <w:sz w:val="18"/>
              </w:rPr>
              <w:t>Credit sales growth</w:t>
            </w:r>
          </w:p>
        </w:tc>
        <w:tc>
          <w:tcPr>
            <w:tcW w:type="dxa" w:w="2160"/>
            <w:shd w:val="clear" w:fill="FAFAFA"/>
          </w:tcPr>
          <w:p>
            <w:r/>
            <w:r>
              <w:rPr>
                <w:rFonts w:ascii="Arial" w:hAnsi="Arial"/>
                <w:b w:val="0"/>
                <w:i w:val="0"/>
                <w:sz w:val="18"/>
              </w:rPr>
              <w:t>+3.5%</w:t>
            </w:r>
          </w:p>
        </w:tc>
        <w:tc>
          <w:tcPr>
            <w:tcW w:type="dxa" w:w="2360"/>
            <w:shd w:val="clear" w:fill="FAFAFA"/>
          </w:tcPr>
          <w:p>
            <w:r/>
            <w:r>
              <w:rPr>
                <w:rFonts w:ascii="Arial" w:hAnsi="Arial"/>
                <w:b w:val="0"/>
                <w:i w:val="0"/>
                <w:sz w:val="18"/>
              </w:rPr>
              <w:t>New accounts approved +11.0%</w:t>
            </w:r>
          </w:p>
        </w:tc>
        <w:tc>
          <w:tcPr>
            <w:tcW w:type="dxa" w:w="1540"/>
            <w:shd w:val="clear" w:fill="FAFAFA"/>
          </w:tcPr>
          <w:p>
            <w:r/>
            <w:r>
              <w:rPr>
                <w:rFonts w:ascii="Arial" w:hAnsi="Arial"/>
                <w:b w:val="0"/>
                <w:i w:val="0"/>
                <w:sz w:val="18"/>
              </w:rPr>
              <w:t>S1, p.1</w:t>
            </w:r>
          </w:p>
        </w:tc>
      </w:tr>
      <w:tr>
        <w:tc>
          <w:tcPr>
            <w:tcW w:type="dxa" w:w="3760"/>
            <w:shd w:val="clear" w:fill="F2F2F2"/>
          </w:tcPr>
          <w:p>
            <w:r/>
            <w:r>
              <w:rPr>
                <w:rFonts w:ascii="Arial" w:hAnsi="Arial"/>
                <w:b/>
                <w:i w:val="0"/>
                <w:sz w:val="18"/>
              </w:rPr>
              <w:t>Online sales growth</w:t>
            </w:r>
          </w:p>
        </w:tc>
        <w:tc>
          <w:tcPr>
            <w:tcW w:type="dxa" w:w="2160"/>
          </w:tcPr>
          <w:p>
            <w:r/>
            <w:r>
              <w:rPr>
                <w:rFonts w:ascii="Arial" w:hAnsi="Arial"/>
                <w:b w:val="0"/>
                <w:i w:val="0"/>
                <w:sz w:val="18"/>
              </w:rPr>
              <w:t>+4.9%</w:t>
            </w:r>
          </w:p>
        </w:tc>
        <w:tc>
          <w:tcPr>
            <w:tcW w:type="dxa" w:w="2360"/>
          </w:tcPr>
          <w:p>
            <w:r/>
            <w:r>
              <w:rPr>
                <w:rFonts w:ascii="Arial" w:hAnsi="Arial"/>
                <w:b w:val="0"/>
                <w:i w:val="0"/>
                <w:sz w:val="18"/>
              </w:rPr>
              <w:t>&gt;55% of online orders collected in store</w:t>
            </w:r>
          </w:p>
        </w:tc>
        <w:tc>
          <w:tcPr>
            <w:tcW w:type="dxa" w:w="1540"/>
          </w:tcPr>
          <w:p>
            <w:r/>
            <w:r>
              <w:rPr>
                <w:rFonts w:ascii="Arial" w:hAnsi="Arial"/>
                <w:b w:val="0"/>
                <w:i w:val="0"/>
                <w:sz w:val="18"/>
              </w:rPr>
              <w:t>S1, p.1</w:t>
            </w:r>
          </w:p>
        </w:tc>
      </w:tr>
      <w:tr>
        <w:tc>
          <w:tcPr>
            <w:tcW w:type="dxa" w:w="3760"/>
            <w:shd w:val="clear" w:fill="F2F2F2"/>
          </w:tcPr>
          <w:p>
            <w:r/>
            <w:r>
              <w:rPr>
                <w:rFonts w:ascii="Arial" w:hAnsi="Arial"/>
                <w:b/>
                <w:i w:val="0"/>
                <w:sz w:val="18"/>
              </w:rPr>
              <w:t>Unit (volume) sales growth</w:t>
            </w:r>
          </w:p>
        </w:tc>
        <w:tc>
          <w:tcPr>
            <w:tcW w:type="dxa" w:w="2160"/>
            <w:shd w:val="clear" w:fill="FAFAFA"/>
          </w:tcPr>
          <w:p>
            <w:r/>
            <w:r>
              <w:rPr>
                <w:rFonts w:ascii="Arial" w:hAnsi="Arial"/>
                <w:b w:val="0"/>
                <w:i w:val="0"/>
                <w:sz w:val="18"/>
              </w:rPr>
              <w:t>+0.5%</w:t>
            </w:r>
          </w:p>
        </w:tc>
        <w:tc>
          <w:tcPr>
            <w:tcW w:type="dxa" w:w="2360"/>
            <w:shd w:val="clear" w:fill="FAFAFA"/>
          </w:tcPr>
          <w:p>
            <w:r/>
            <w:r>
              <w:rPr>
                <w:rFonts w:ascii="Arial" w:hAnsi="Arial"/>
                <w:b w:val="0"/>
                <w:i w:val="0"/>
                <w:sz w:val="18"/>
              </w:rPr>
              <w:t>RSP inflation 3.8%</w:t>
            </w:r>
          </w:p>
        </w:tc>
        <w:tc>
          <w:tcPr>
            <w:tcW w:type="dxa" w:w="1540"/>
            <w:shd w:val="clear" w:fill="FAFAFA"/>
          </w:tcPr>
          <w:p>
            <w:r/>
            <w:r>
              <w:rPr>
                <w:rFonts w:ascii="Arial" w:hAnsi="Arial"/>
                <w:b w:val="0"/>
                <w:i w:val="0"/>
                <w:sz w:val="18"/>
              </w:rPr>
              <w:t>S1, p.1</w:t>
            </w:r>
          </w:p>
        </w:tc>
      </w:tr>
      <w:tr>
        <w:tc>
          <w:tcPr>
            <w:tcW w:type="dxa" w:w="3760"/>
            <w:shd w:val="clear" w:fill="F2F2F2"/>
          </w:tcPr>
          <w:p>
            <w:r/>
            <w:r>
              <w:rPr>
                <w:rFonts w:ascii="Arial" w:hAnsi="Arial"/>
                <w:b/>
                <w:i w:val="0"/>
                <w:sz w:val="18"/>
              </w:rPr>
              <w:t>New stores opened (FY2026)</w:t>
            </w:r>
          </w:p>
        </w:tc>
        <w:tc>
          <w:tcPr>
            <w:tcW w:type="dxa" w:w="2160"/>
          </w:tcPr>
          <w:p>
            <w:r/>
            <w:r>
              <w:rPr>
                <w:rFonts w:ascii="Arial" w:hAnsi="Arial"/>
                <w:b w:val="0"/>
                <w:i w:val="0"/>
                <w:sz w:val="18"/>
              </w:rPr>
              <w:t>196</w:t>
            </w:r>
          </w:p>
        </w:tc>
        <w:tc>
          <w:tcPr>
            <w:tcW w:type="dxa" w:w="2360"/>
          </w:tcPr>
          <w:p>
            <w:r/>
            <w:r>
              <w:rPr>
                <w:rFonts w:ascii="Arial" w:hAnsi="Arial"/>
                <w:b w:val="0"/>
                <w:i w:val="0"/>
                <w:sz w:val="18"/>
              </w:rPr>
              <w:t>Across 15 trading chains</w:t>
            </w:r>
          </w:p>
        </w:tc>
        <w:tc>
          <w:tcPr>
            <w:tcW w:type="dxa" w:w="1540"/>
          </w:tcPr>
          <w:p>
            <w:r/>
            <w:r>
              <w:rPr>
                <w:rFonts w:ascii="Arial" w:hAnsi="Arial"/>
                <w:b w:val="0"/>
                <w:i w:val="0"/>
                <w:sz w:val="18"/>
              </w:rPr>
              <w:t>S1, p.1</w:t>
            </w:r>
          </w:p>
        </w:tc>
      </w:tr>
      <w:tr>
        <w:tc>
          <w:tcPr>
            <w:tcW w:type="dxa" w:w="3760"/>
            <w:shd w:val="clear" w:fill="F2F2F2"/>
          </w:tcPr>
          <w:p>
            <w:r/>
            <w:r>
              <w:rPr>
                <w:rFonts w:ascii="Arial" w:hAnsi="Arial"/>
                <w:b/>
                <w:i w:val="0"/>
                <w:sz w:val="18"/>
              </w:rPr>
              <w:t>Total store footprint</w:t>
            </w:r>
          </w:p>
        </w:tc>
        <w:tc>
          <w:tcPr>
            <w:tcW w:type="dxa" w:w="2160"/>
            <w:shd w:val="clear" w:fill="FAFAFA"/>
          </w:tcPr>
          <w:p>
            <w:r/>
            <w:r>
              <w:rPr>
                <w:rFonts w:ascii="Arial" w:hAnsi="Arial"/>
                <w:b w:val="0"/>
                <w:i w:val="0"/>
                <w:sz w:val="18"/>
              </w:rPr>
              <w:t>3,182 stores</w:t>
            </w:r>
          </w:p>
        </w:tc>
        <w:tc>
          <w:tcPr>
            <w:tcW w:type="dxa" w:w="2360"/>
            <w:shd w:val="clear" w:fill="FAFAFA"/>
          </w:tcPr>
          <w:p>
            <w:r/>
            <w:r>
              <w:rPr>
                <w:rFonts w:ascii="Arial" w:hAnsi="Arial"/>
                <w:b w:val="0"/>
                <w:i w:val="0"/>
                <w:sz w:val="18"/>
              </w:rPr>
              <w:t>Wtd-avg trading space +3.6%</w:t>
            </w:r>
          </w:p>
        </w:tc>
        <w:tc>
          <w:tcPr>
            <w:tcW w:type="dxa" w:w="1540"/>
            <w:shd w:val="clear" w:fill="FAFAFA"/>
          </w:tcPr>
          <w:p>
            <w:r/>
            <w:r>
              <w:rPr>
                <w:rFonts w:ascii="Arial" w:hAnsi="Arial"/>
                <w:b w:val="0"/>
                <w:i w:val="0"/>
                <w:sz w:val="18"/>
              </w:rPr>
              <w:t>S1, p.1</w:t>
            </w:r>
          </w:p>
        </w:tc>
      </w:tr>
      <w:tr>
        <w:tc>
          <w:tcPr>
            <w:tcW w:type="dxa" w:w="3760"/>
            <w:shd w:val="clear" w:fill="F2F2F2"/>
          </w:tcPr>
          <w:p>
            <w:r/>
            <w:r>
              <w:rPr>
                <w:rFonts w:ascii="Arial" w:hAnsi="Arial"/>
                <w:b/>
                <w:i w:val="0"/>
                <w:sz w:val="18"/>
              </w:rPr>
              <w:t>Balance sheet character</w:t>
            </w:r>
          </w:p>
        </w:tc>
        <w:tc>
          <w:tcPr>
            <w:tcW w:type="dxa" w:w="2160"/>
          </w:tcPr>
          <w:p>
            <w:r/>
            <w:r>
              <w:rPr>
                <w:rFonts w:ascii="Arial" w:hAnsi="Arial"/>
                <w:b w:val="0"/>
                <w:i w:val="0"/>
                <w:sz w:val="18"/>
              </w:rPr>
              <w:t>Net cash</w:t>
            </w:r>
          </w:p>
        </w:tc>
        <w:tc>
          <w:tcPr>
            <w:tcW w:type="dxa" w:w="2360"/>
          </w:tcPr>
          <w:p>
            <w:r/>
            <w:r>
              <w:rPr>
                <w:rFonts w:ascii="Arial" w:hAnsi="Arial"/>
                <w:b w:val="0"/>
                <w:i w:val="0"/>
                <w:sz w:val="18"/>
              </w:rPr>
              <w:t>No rate-driven interest burden (e)</w:t>
            </w:r>
          </w:p>
        </w:tc>
        <w:tc>
          <w:tcPr>
            <w:tcW w:type="dxa" w:w="1540"/>
          </w:tcPr>
          <w:p>
            <w:r/>
            <w:r>
              <w:rPr>
                <w:rFonts w:ascii="Arial" w:hAnsi="Arial"/>
                <w:b w:val="0"/>
                <w:i w:val="0"/>
                <w:sz w:val="18"/>
              </w:rPr>
              <w:t>(e) S1</w:t>
            </w:r>
          </w:p>
        </w:tc>
      </w:tr>
      <w:tr>
        <w:tc>
          <w:tcPr>
            <w:tcW w:type="dxa" w:w="3760"/>
            <w:shd w:val="clear" w:fill="F2F2F2"/>
          </w:tcPr>
          <w:p>
            <w:r/>
            <w:r>
              <w:rPr>
                <w:rFonts w:ascii="Arial" w:hAnsi="Arial"/>
                <w:b/>
                <w:i w:val="0"/>
                <w:sz w:val="18"/>
              </w:rPr>
              <w:t>Group structure</w:t>
            </w:r>
          </w:p>
        </w:tc>
        <w:tc>
          <w:tcPr>
            <w:tcW w:type="dxa" w:w="2160"/>
            <w:shd w:val="clear" w:fill="FAFAFA"/>
          </w:tcPr>
          <w:p>
            <w:r/>
            <w:r>
              <w:rPr>
                <w:rFonts w:ascii="Arial" w:hAnsi="Arial"/>
                <w:b w:val="0"/>
                <w:i w:val="0"/>
                <w:sz w:val="18"/>
              </w:rPr>
              <w:t>~15 chains (Apparel + Home + Telecoms + FinServ)</w:t>
            </w:r>
          </w:p>
        </w:tc>
        <w:tc>
          <w:tcPr>
            <w:tcW w:type="dxa" w:w="2360"/>
            <w:shd w:val="clear" w:fill="FAFAFA"/>
          </w:tcPr>
          <w:p>
            <w:r/>
            <w:r>
              <w:rPr>
                <w:rFonts w:ascii="Arial" w:hAnsi="Arial"/>
                <w:b w:val="0"/>
                <w:i w:val="0"/>
                <w:sz w:val="18"/>
              </w:rPr>
              <w:t>Yuppiechef digital</w:t>
            </w:r>
          </w:p>
        </w:tc>
        <w:tc>
          <w:tcPr>
            <w:tcW w:type="dxa" w:w="1540"/>
            <w:shd w:val="clear" w:fill="FAFAFA"/>
          </w:tcPr>
          <w:p>
            <w:r/>
            <w:r>
              <w:rPr>
                <w:rFonts w:ascii="Arial" w:hAnsi="Arial"/>
                <w:b w:val="0"/>
                <w:i w:val="0"/>
                <w:sz w:val="18"/>
              </w:rPr>
              <w:t>S1, p.1</w:t>
            </w:r>
          </w:p>
        </w:tc>
      </w:tr>
    </w:tbl>
    <w:p>
      <w:pPr>
        <w:spacing w:after="40" w:before="0"/>
      </w:pPr>
    </w:p>
    <w:p>
      <w:pPr>
        <w:spacing w:after="120" w:before="0"/>
      </w:pPr>
      <w:r>
        <w:rPr>
          <w:rFonts w:ascii="Arial" w:hAnsi="Arial"/>
          <w:b w:val="0"/>
          <w:i w:val="0"/>
          <w:sz w:val="21"/>
        </w:rPr>
        <w:t>Read: FY2026 was a defend-and-grind year. Unit (volume) sales rose only +0.5%, so the +4.3% retail-sales growth was carried by 3.8% retail-selling-price inflation plus +3.6% weighted-average space growth - i.e. like-for-like volume was roughly flat, against a tough H2 base inflated by FY2025's two-pot retirement withdrawals (S1). That MRP still delivered operating leverage (+8% normalised HEPS) on flat volumes in a soft discretionary market is the evidence behind management's 'agility / value-retailing DNA' claim, and the structural reason it should travel both scenarios better than higher-cost, credit-heavier peers (S1).</w:t>
      </w:r>
    </w:p>
    <w:p>
      <w:pPr>
        <w:pStyle w:val="Heading1"/>
      </w:pPr>
      <w:r>
        <w:t>3.  Sector lens - how a value-apparel retailer reads (jse-sector-retail)</w:t>
      </w:r>
    </w:p>
    <w:p>
      <w:pPr>
        <w:spacing w:after="120" w:before="0"/>
      </w:pPr>
      <w:r>
        <w:rPr>
          <w:rFonts w:ascii="Arial" w:hAnsi="Arial"/>
          <w:b w:val="0"/>
          <w:i w:val="0"/>
          <w:sz w:val="21"/>
        </w:rPr>
        <w:t>Sector lens: jse-sector-retail, General / Apparel sub-segment. For an apparel retailer the value equation is space x productivity x gross margin x markdown discipline, funded by the cash cycle; the swing factors are gross margin and markdown/full-price sell-through, and - critically here - the cash-vs-credit mix. Mr Price sits at the favourable end of every one of these axes.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60"/>
            <w:shd w:val="clear" w:fill="1F3864"/>
          </w:tcPr>
          <w:p>
            <w:r/>
            <w:r>
              <w:rPr>
                <w:rFonts w:ascii="Arial" w:hAnsi="Arial"/>
                <w:b/>
                <w:i w:val="0"/>
                <w:color w:val="FFFFFF"/>
                <w:sz w:val="18"/>
              </w:rPr>
              <w:t>Retail KPI (lens)</w:t>
            </w:r>
          </w:p>
        </w:tc>
        <w:tc>
          <w:tcPr>
            <w:tcW w:type="dxa" w:w="2660"/>
            <w:shd w:val="clear" w:fill="2E5496"/>
          </w:tcPr>
          <w:p>
            <w:r/>
            <w:r>
              <w:rPr>
                <w:rFonts w:ascii="Arial" w:hAnsi="Arial"/>
                <w:b/>
                <w:i w:val="0"/>
                <w:color w:val="FFFFFF"/>
                <w:sz w:val="18"/>
              </w:rPr>
              <w:t>MRP reading (FY2026)</w:t>
            </w:r>
          </w:p>
        </w:tc>
        <w:tc>
          <w:tcPr>
            <w:tcW w:type="dxa" w:w="3320"/>
            <w:shd w:val="clear" w:fill="375623"/>
          </w:tcPr>
          <w:p>
            <w:r/>
            <w:r>
              <w:rPr>
                <w:rFonts w:ascii="Arial" w:hAnsi="Arial"/>
                <w:b/>
                <w:i w:val="0"/>
                <w:color w:val="FFFFFF"/>
                <w:sz w:val="18"/>
              </w:rPr>
              <w:t>Why it matters in the scenarios</w:t>
            </w:r>
          </w:p>
        </w:tc>
        <w:tc>
          <w:tcPr>
            <w:tcW w:type="dxa" w:w="1140"/>
            <w:shd w:val="clear" w:fill="1F3864"/>
          </w:tcPr>
          <w:p>
            <w:r/>
            <w:r>
              <w:rPr>
                <w:rFonts w:ascii="Arial" w:hAnsi="Arial"/>
                <w:b/>
                <w:i w:val="0"/>
                <w:color w:val="FFFFFF"/>
                <w:sz w:val="18"/>
              </w:rPr>
              <w:t>Source</w:t>
            </w:r>
          </w:p>
        </w:tc>
      </w:tr>
      <w:tr>
        <w:tc>
          <w:tcPr>
            <w:tcW w:type="dxa" w:w="2360"/>
            <w:shd w:val="clear" w:fill="F2F2F2"/>
          </w:tcPr>
          <w:p>
            <w:r/>
            <w:r>
              <w:rPr>
                <w:rFonts w:ascii="Arial" w:hAnsi="Arial"/>
                <w:b/>
                <w:i w:val="0"/>
                <w:sz w:val="18"/>
              </w:rPr>
              <w:t>Cash vs credit mix</w:t>
            </w:r>
          </w:p>
        </w:tc>
        <w:tc>
          <w:tcPr>
            <w:tcW w:type="dxa" w:w="2660"/>
          </w:tcPr>
          <w:p>
            <w:r/>
            <w:r>
              <w:rPr>
                <w:rFonts w:ascii="Arial" w:hAnsi="Arial"/>
                <w:b w:val="0"/>
                <w:i w:val="0"/>
                <w:sz w:val="18"/>
              </w:rPr>
              <w:t>89.4% cash; credit +3.5%</w:t>
            </w:r>
          </w:p>
        </w:tc>
        <w:tc>
          <w:tcPr>
            <w:tcW w:type="dxa" w:w="3320"/>
          </w:tcPr>
          <w:p>
            <w:r/>
            <w:r>
              <w:rPr>
                <w:rFonts w:ascii="Arial" w:hAnsi="Arial"/>
                <w:b w:val="0"/>
                <w:i w:val="0"/>
                <w:sz w:val="18"/>
              </w:rPr>
              <w:t>Lowest exposure to NCA bad-debt and to rate-driven debtor stress; in Scenario A this is MRP's single biggest defensive edge vs credit retailers</w:t>
            </w:r>
          </w:p>
        </w:tc>
        <w:tc>
          <w:tcPr>
            <w:tcW w:type="dxa" w:w="1140"/>
          </w:tcPr>
          <w:p>
            <w:r/>
            <w:r>
              <w:rPr>
                <w:rFonts w:ascii="Arial" w:hAnsi="Arial"/>
                <w:b w:val="0"/>
                <w:i w:val="0"/>
                <w:sz w:val="18"/>
              </w:rPr>
              <w:t>S1, p.1</w:t>
            </w:r>
          </w:p>
        </w:tc>
      </w:tr>
      <w:tr>
        <w:tc>
          <w:tcPr>
            <w:tcW w:type="dxa" w:w="2360"/>
            <w:shd w:val="clear" w:fill="F2F2F2"/>
          </w:tcPr>
          <w:p>
            <w:r/>
            <w:r>
              <w:rPr>
                <w:rFonts w:ascii="Arial" w:hAnsi="Arial"/>
                <w:b/>
                <w:i w:val="0"/>
                <w:sz w:val="18"/>
              </w:rPr>
              <w:t>LFL: volume vs price</w:t>
            </w:r>
          </w:p>
        </w:tc>
        <w:tc>
          <w:tcPr>
            <w:tcW w:type="dxa" w:w="2660"/>
            <w:shd w:val="clear" w:fill="FAFAFA"/>
          </w:tcPr>
          <w:p>
            <w:r/>
            <w:r>
              <w:rPr>
                <w:rFonts w:ascii="Arial" w:hAnsi="Arial"/>
                <w:b w:val="0"/>
                <w:i w:val="0"/>
                <w:sz w:val="18"/>
              </w:rPr>
              <w:t>Units +0.5%; RSP infl 3.8%</w:t>
            </w:r>
          </w:p>
        </w:tc>
        <w:tc>
          <w:tcPr>
            <w:tcW w:type="dxa" w:w="3320"/>
            <w:shd w:val="clear" w:fill="FAFAFA"/>
          </w:tcPr>
          <w:p>
            <w:r/>
            <w:r>
              <w:rPr>
                <w:rFonts w:ascii="Arial" w:hAnsi="Arial"/>
                <w:b w:val="0"/>
                <w:i w:val="0"/>
                <w:sz w:val="18"/>
              </w:rPr>
              <w:t>Near-flat real volume signals a stressed consumer already; relief (b) is where volume re-accelerates</w:t>
            </w:r>
          </w:p>
        </w:tc>
        <w:tc>
          <w:tcPr>
            <w:tcW w:type="dxa" w:w="1140"/>
            <w:shd w:val="clear" w:fill="FAFAFA"/>
          </w:tcPr>
          <w:p>
            <w:r/>
            <w:r>
              <w:rPr>
                <w:rFonts w:ascii="Arial" w:hAnsi="Arial"/>
                <w:b w:val="0"/>
                <w:i w:val="0"/>
                <w:sz w:val="18"/>
              </w:rPr>
              <w:t>S1, p.1</w:t>
            </w:r>
          </w:p>
        </w:tc>
      </w:tr>
      <w:tr>
        <w:tc>
          <w:tcPr>
            <w:tcW w:type="dxa" w:w="2360"/>
            <w:shd w:val="clear" w:fill="F2F2F2"/>
          </w:tcPr>
          <w:p>
            <w:r/>
            <w:r>
              <w:rPr>
                <w:rFonts w:ascii="Arial" w:hAnsi="Arial"/>
                <w:b/>
                <w:i w:val="0"/>
                <w:sz w:val="18"/>
              </w:rPr>
              <w:t>Space growth &amp; footprint</w:t>
            </w:r>
          </w:p>
        </w:tc>
        <w:tc>
          <w:tcPr>
            <w:tcW w:type="dxa" w:w="2660"/>
          </w:tcPr>
          <w:p>
            <w:r/>
            <w:r>
              <w:rPr>
                <w:rFonts w:ascii="Arial" w:hAnsi="Arial"/>
                <w:b w:val="0"/>
                <w:i w:val="0"/>
                <w:sz w:val="18"/>
              </w:rPr>
              <w:t>+3.6% space; 196 new stores; 3,182 total</w:t>
            </w:r>
          </w:p>
        </w:tc>
        <w:tc>
          <w:tcPr>
            <w:tcW w:type="dxa" w:w="3320"/>
          </w:tcPr>
          <w:p>
            <w:r/>
            <w:r>
              <w:rPr>
                <w:rFonts w:ascii="Arial" w:hAnsi="Arial"/>
                <w:b w:val="0"/>
                <w:i w:val="0"/>
                <w:sz w:val="18"/>
              </w:rPr>
              <w:t>Runway intact; new space the growth lever if trading density holds</w:t>
            </w:r>
          </w:p>
        </w:tc>
        <w:tc>
          <w:tcPr>
            <w:tcW w:type="dxa" w:w="1140"/>
          </w:tcPr>
          <w:p>
            <w:r/>
            <w:r>
              <w:rPr>
                <w:rFonts w:ascii="Arial" w:hAnsi="Arial"/>
                <w:b w:val="0"/>
                <w:i w:val="0"/>
                <w:sz w:val="18"/>
              </w:rPr>
              <w:t>S1, p.1</w:t>
            </w:r>
          </w:p>
        </w:tc>
      </w:tr>
      <w:tr>
        <w:tc>
          <w:tcPr>
            <w:tcW w:type="dxa" w:w="2360"/>
            <w:shd w:val="clear" w:fill="F2F2F2"/>
          </w:tcPr>
          <w:p>
            <w:r/>
            <w:r>
              <w:rPr>
                <w:rFonts w:ascii="Arial" w:hAnsi="Arial"/>
                <w:b/>
                <w:i w:val="0"/>
                <w:sz w:val="18"/>
              </w:rPr>
              <w:t>Online / omnichannel</w:t>
            </w:r>
          </w:p>
        </w:tc>
        <w:tc>
          <w:tcPr>
            <w:tcW w:type="dxa" w:w="2660"/>
            <w:shd w:val="clear" w:fill="FAFAFA"/>
          </w:tcPr>
          <w:p>
            <w:r/>
            <w:r>
              <w:rPr>
                <w:rFonts w:ascii="Arial" w:hAnsi="Arial"/>
                <w:b w:val="0"/>
                <w:i w:val="0"/>
                <w:sz w:val="18"/>
              </w:rPr>
              <w:t>Online +4.9%; &gt;55% click-and-collect</w:t>
            </w:r>
          </w:p>
        </w:tc>
        <w:tc>
          <w:tcPr>
            <w:tcW w:type="dxa" w:w="3320"/>
            <w:shd w:val="clear" w:fill="FAFAFA"/>
          </w:tcPr>
          <w:p>
            <w:r/>
            <w:r>
              <w:rPr>
                <w:rFonts w:ascii="Arial" w:hAnsi="Arial"/>
                <w:b w:val="0"/>
                <w:i w:val="0"/>
                <w:sz w:val="18"/>
              </w:rPr>
              <w:t>Margin-accretive vs pure last-mile because of in-store collection</w:t>
            </w:r>
          </w:p>
        </w:tc>
        <w:tc>
          <w:tcPr>
            <w:tcW w:type="dxa" w:w="1140"/>
            <w:shd w:val="clear" w:fill="FAFAFA"/>
          </w:tcPr>
          <w:p>
            <w:r/>
            <w:r>
              <w:rPr>
                <w:rFonts w:ascii="Arial" w:hAnsi="Arial"/>
                <w:b w:val="0"/>
                <w:i w:val="0"/>
                <w:sz w:val="18"/>
              </w:rPr>
              <w:t>S1, p.1</w:t>
            </w:r>
          </w:p>
        </w:tc>
      </w:tr>
      <w:tr>
        <w:tc>
          <w:tcPr>
            <w:tcW w:type="dxa" w:w="2360"/>
            <w:shd w:val="clear" w:fill="F2F2F2"/>
          </w:tcPr>
          <w:p>
            <w:r/>
            <w:r>
              <w:rPr>
                <w:rFonts w:ascii="Arial" w:hAnsi="Arial"/>
                <w:b/>
                <w:i w:val="0"/>
                <w:sz w:val="18"/>
              </w:rPr>
              <w:t>Imported COGS / rand</w:t>
            </w:r>
          </w:p>
        </w:tc>
        <w:tc>
          <w:tcPr>
            <w:tcW w:type="dxa" w:w="2660"/>
          </w:tcPr>
          <w:p>
            <w:r/>
            <w:r>
              <w:rPr>
                <w:rFonts w:ascii="Arial" w:hAnsi="Arial"/>
                <w:b w:val="0"/>
                <w:i w:val="0"/>
                <w:sz w:val="18"/>
              </w:rPr>
              <w:t>Predominantly imported, ZAR-denominated</w:t>
            </w:r>
          </w:p>
        </w:tc>
        <w:tc>
          <w:tcPr>
            <w:tcW w:type="dxa" w:w="3320"/>
          </w:tcPr>
          <w:p>
            <w:r/>
            <w:r>
              <w:rPr>
                <w:rFonts w:ascii="Arial" w:hAnsi="Arial"/>
                <w:b w:val="0"/>
                <w:i w:val="0"/>
                <w:sz w:val="18"/>
              </w:rPr>
              <w:t>The key vulnerability: weak rand (A) lifts COGS and pressures gross margin even though MRP avoids the credit channel</w:t>
            </w:r>
          </w:p>
        </w:tc>
        <w:tc>
          <w:tcPr>
            <w:tcW w:type="dxa" w:w="1140"/>
          </w:tcPr>
          <w:p>
            <w:r/>
            <w:r>
              <w:rPr>
                <w:rFonts w:ascii="Arial" w:hAnsi="Arial"/>
                <w:b w:val="0"/>
                <w:i w:val="0"/>
                <w:sz w:val="18"/>
              </w:rPr>
              <w:t>S1 + lens</w:t>
            </w:r>
          </w:p>
        </w:tc>
      </w:tr>
      <w:tr>
        <w:tc>
          <w:tcPr>
            <w:tcW w:type="dxa" w:w="2360"/>
            <w:shd w:val="clear" w:fill="F2F2F2"/>
          </w:tcPr>
          <w:p>
            <w:r/>
            <w:r>
              <w:rPr>
                <w:rFonts w:ascii="Arial" w:hAnsi="Arial"/>
                <w:b/>
                <w:i w:val="0"/>
                <w:sz w:val="18"/>
              </w:rPr>
              <w:t>Balance sheet / finance cost</w:t>
            </w:r>
          </w:p>
        </w:tc>
        <w:tc>
          <w:tcPr>
            <w:tcW w:type="dxa" w:w="2660"/>
            <w:shd w:val="clear" w:fill="FAFAFA"/>
          </w:tcPr>
          <w:p>
            <w:r/>
            <w:r>
              <w:rPr>
                <w:rFonts w:ascii="Arial" w:hAnsi="Arial"/>
                <w:b w:val="0"/>
                <w:i w:val="0"/>
                <w:sz w:val="18"/>
              </w:rPr>
              <w:t>Net cash</w:t>
            </w:r>
          </w:p>
        </w:tc>
        <w:tc>
          <w:tcPr>
            <w:tcW w:type="dxa" w:w="3320"/>
            <w:shd w:val="clear" w:fill="FAFAFA"/>
          </w:tcPr>
          <w:p>
            <w:r/>
            <w:r>
              <w:rPr>
                <w:rFonts w:ascii="Arial" w:hAnsi="Arial"/>
                <w:b w:val="0"/>
                <w:i w:val="0"/>
                <w:sz w:val="18"/>
              </w:rPr>
              <w:t>No rate-channel pain in Scenario A; conversely little rate-cut benefit in (b) - the rate channel is asymmetric in MRP's favour</w:t>
            </w:r>
          </w:p>
        </w:tc>
        <w:tc>
          <w:tcPr>
            <w:tcW w:type="dxa" w:w="1140"/>
            <w:shd w:val="clear" w:fill="FAFAFA"/>
          </w:tcPr>
          <w:p>
            <w:r/>
            <w:r>
              <w:rPr>
                <w:rFonts w:ascii="Arial" w:hAnsi="Arial"/>
                <w:b w:val="0"/>
                <w:i w:val="0"/>
                <w:sz w:val="18"/>
              </w:rPr>
              <w:t>(e) S1</w:t>
            </w:r>
          </w:p>
        </w:tc>
      </w:tr>
    </w:tbl>
    <w:p>
      <w:pPr>
        <w:spacing w:after="40" w:before="0"/>
      </w:pPr>
    </w:p>
    <w:p>
      <w:pPr>
        <w:spacing w:after="120" w:before="0"/>
      </w:pPr>
      <w:r>
        <w:rPr>
          <w:rFonts w:ascii="Arial" w:hAnsi="Arial"/>
          <w:b w:val="0"/>
          <w:i w:val="0"/>
          <w:sz w:val="21"/>
        </w:rPr>
        <w:t>The lens verdict: Mr Price is the textbook structurally-resilient SA general retailer - cash-based, net-cash, value-positioned, with a defensible omnichannel model - whose one material macro vulnerability is rand-driven imported COGS, not credit or leverage. That single fact shapes both scenarios below.</w:t>
      </w:r>
    </w:p>
    <w:p>
      <w:pPr>
        <w:pStyle w:val="Heading1"/>
      </w:pPr>
      <w:r>
        <w:t>4.  How the Strait reaches a value-apparel till</w:t>
      </w:r>
    </w:p>
    <w:p>
      <w:pPr>
        <w:spacing w:after="120" w:before="0"/>
      </w:pPr>
      <w:r>
        <w:rPr>
          <w:rFonts w:ascii="Arial" w:hAnsi="Arial"/>
          <w:b w:val="0"/>
          <w:i w:val="0"/>
          <w:sz w:val="21"/>
        </w:rPr>
        <w:t>The transmission chain is identical in both scenarios; only the direction and magnitude flip. Hormuz status -&gt; Brent crude -&gt; USD/ZAR -&gt; SARB repo &amp; inflation -&gt; fuel &amp; disposable income -&gt; MRP demand, imported COGS/freight, gross margin and finance line. Five domestic channels carry it:</w:t>
      </w:r>
    </w:p>
    <w:p>
      <w:pPr>
        <w:pStyle w:val="ListBullet"/>
        <w:spacing w:after="80"/>
      </w:pPr>
      <w:r>
        <w:rPr>
          <w:rFonts w:ascii="Arial" w:hAnsi="Arial"/>
          <w:b/>
          <w:i w:val="0"/>
          <w:sz w:val="21"/>
        </w:rPr>
        <w:t xml:space="preserve">Consumer wallet (fuel + rates). </w:t>
      </w:r>
      <w:r>
        <w:rPr>
          <w:rFonts w:ascii="Arial" w:hAnsi="Arial"/>
          <w:b w:val="0"/>
          <w:i w:val="0"/>
          <w:sz w:val="21"/>
        </w:rPr>
        <w:t>Higher pump prices and a higher repo cut discretionary income - the channel that most directly hits apparel demand. In Scenario A (petrol ~R29.5-30.5/l, repo ~8.17%) this squeezes MRP's value customer but also drives TRADE-DOWN into value chains, which historically favours MRP. In Scenario b (petrol ~R24.5-25.5/l, repo cutting to ~6.25%) discretionary spend recovers. (S5)</w:t>
      </w:r>
    </w:p>
    <w:p>
      <w:pPr>
        <w:pStyle w:val="ListBullet"/>
        <w:spacing w:after="80"/>
      </w:pPr>
      <w:r>
        <w:rPr>
          <w:rFonts w:ascii="Arial" w:hAnsi="Arial"/>
          <w:b/>
          <w:i w:val="0"/>
          <w:sz w:val="21"/>
        </w:rPr>
        <w:t xml:space="preserve">Rand / imported COGS - MRP's key exposure. </w:t>
      </w:r>
      <w:r>
        <w:rPr>
          <w:rFonts w:ascii="Arial" w:hAnsi="Arial"/>
          <w:b w:val="0"/>
          <w:i w:val="0"/>
          <w:sz w:val="21"/>
        </w:rPr>
        <w:t>MRP's merchandise is overwhelmingly imported and rand-denominated, so the rand is the dominant cost channel. A weak rand in Scenario A (~17.5-18.0) lifts landed cost and freight and pressures gross margin; a firm rand in Scenario b (~16.0-&gt;15.8) eases COGS and supports margin. Unlike most peers, this - not credit or debt - is where MRP feels the oil shock. (S5 + lens)</w:t>
      </w:r>
    </w:p>
    <w:p>
      <w:pPr>
        <w:pStyle w:val="ListBullet"/>
        <w:spacing w:after="80"/>
      </w:pPr>
      <w:r>
        <w:rPr>
          <w:rFonts w:ascii="Arial" w:hAnsi="Arial"/>
          <w:b/>
          <w:i w:val="0"/>
          <w:sz w:val="21"/>
        </w:rPr>
        <w:t xml:space="preserve">Finance / debtors' interest (asymmetric, in MRP's favour). </w:t>
      </w:r>
      <w:r>
        <w:rPr>
          <w:rFonts w:ascii="Arial" w:hAnsi="Arial"/>
          <w:b w:val="0"/>
          <w:i w:val="0"/>
          <w:sz w:val="21"/>
        </w:rPr>
        <w:t>With a net-cash balance sheet, MRP carries no rate-driven interest BURDEN, so Scenario A's high repo does not raise finance costs. The mirror image: lower rates in Scenario b REDUCE debtors'-book interest income (FY2026 'other revenue' already fell 1.9% on lower rates (S1)) - a small drag, but swamped by the volume/margin upside. Net: the rate channel helps MRP relatively in A and only mildly hurts the income line in b. (S1, S5)</w:t>
      </w:r>
    </w:p>
    <w:p>
      <w:pPr>
        <w:pStyle w:val="ListBullet"/>
        <w:spacing w:after="80"/>
      </w:pPr>
      <w:r>
        <w:rPr>
          <w:rFonts w:ascii="Arial" w:hAnsi="Arial"/>
          <w:b/>
          <w:i w:val="0"/>
          <w:sz w:val="21"/>
        </w:rPr>
        <w:t xml:space="preserve">NKD / euro translation (new in both). </w:t>
      </w:r>
      <w:r>
        <w:rPr>
          <w:rFonts w:ascii="Arial" w:hAnsi="Arial"/>
          <w:b w:val="0"/>
          <w:i w:val="0"/>
          <w:sz w:val="21"/>
        </w:rPr>
        <w:t>From FY2027 NKD's euro earnings consolidate. In Scenario A a weak rand FLATTERS translated euro profit - a partial natural hedge against the imported-COGS hit; in Scenario b a firm rand trims translated euro earnings. NKD thus dampens rand sensitivity in both directions. (S2, S6)</w:t>
      </w:r>
    </w:p>
    <w:p>
      <w:pPr>
        <w:pStyle w:val="ListBullet"/>
        <w:spacing w:after="80"/>
      </w:pPr>
      <w:r>
        <w:rPr>
          <w:rFonts w:ascii="Arial" w:hAnsi="Arial"/>
          <w:b/>
          <w:i w:val="0"/>
          <w:sz w:val="21"/>
        </w:rPr>
        <w:t xml:space="preserve">Freight / shipping. </w:t>
      </w:r>
      <w:r>
        <w:rPr>
          <w:rFonts w:ascii="Arial" w:hAnsi="Arial"/>
          <w:b w:val="0"/>
          <w:i w:val="0"/>
          <w:sz w:val="21"/>
        </w:rPr>
        <w:t>A closed Strait keeps war-risk premia and shipping costs elevated (the macro deck notes ~550 ships stranded and a ~2.5% hull war-risk premium (S5)), feeding MRP's landed import cost in Scenario A on top of the rand effect; re-opening unwinds this in (b). (S5)</w:t>
      </w:r>
    </w:p>
    <w:p>
      <w:pPr>
        <w:pStyle w:val="Heading1"/>
      </w:pPr>
      <w:r>
        <w:t>5.  Scenario A - the Strait stays CLOSED (stress case)</w:t>
      </w:r>
    </w:p>
    <w:p>
      <w:pPr>
        <w:spacing w:after="160" w:before="0"/>
      </w:pPr>
      <w:r>
        <w:rPr>
          <w:rFonts w:ascii="Arial" w:hAnsi="Arial"/>
          <w:b/>
          <w:i w:val="0"/>
          <w:sz w:val="21"/>
        </w:rPr>
        <w:t xml:space="preserve">Macro (USER Scenario A = macro-deck column 'B'). </w:t>
      </w:r>
      <w:r>
        <w:rPr>
          <w:rFonts w:ascii="Arial" w:hAnsi="Arial"/>
          <w:b w:val="0"/>
          <w:i w:val="0"/>
          <w:sz w:val="21"/>
        </w:rPr>
        <w:t>The closure persists: Brent ~US$100/bbl, USD/ZAR weak at ~17.5-18.0, SARB repo restrictive at ~8.17%, inland-95 petrol at a record ~R29.5-30.5/l, food/fuel inflation ~1pp hotter and real incomes falling. (S5)</w:t>
      </w:r>
    </w:p>
    <w:p>
      <w:pPr>
        <w:spacing w:after="120" w:before="0"/>
      </w:pPr>
      <w:r>
        <w:rPr>
          <w:rFonts w:ascii="Arial" w:hAnsi="Arial"/>
          <w:b w:val="0"/>
          <w:i w:val="0"/>
          <w:sz w:val="21"/>
        </w:rPr>
        <w:t>Transmission to Mr Price over 12-18 months: the value customer is squeezed by fuel and rates, so unit volumes stay soft - but MRP captures TRADE-DOWN from stressed mid-market and credit-funded shoppers, partly offsetting the demand hit. The rand at ~17.5-18.0 is the real bite: imported COGS and freight rise, pressuring gross margin, and elevated shipping/war-risk premia compound it. MRP's net-cash balance sheet means NO finance-cost escalation (its structural advantage versus geared peers), and NKD's euro earnings, translated at a weak rand, provide a partial offset to the COGS hit from FY2027. Management has explicitly framed the model as built to 'perform across economic cycles' (CEO Mark Blair) (S1).</w:t>
      </w:r>
    </w:p>
    <w:p>
      <w:pPr>
        <w:spacing w:after="160" w:before="0"/>
      </w:pPr>
      <w:r>
        <w:rPr>
          <w:rFonts w:ascii="Arial" w:hAnsi="Arial"/>
          <w:b/>
          <w:i w:val="0"/>
          <w:sz w:val="21"/>
        </w:rPr>
        <w:t xml:space="preserve">NKD in Scenario A. </w:t>
      </w:r>
      <w:r>
        <w:rPr>
          <w:rFonts w:ascii="Arial" w:hAnsi="Arial"/>
          <w:b w:val="0"/>
          <w:i w:val="0"/>
          <w:sz w:val="21"/>
        </w:rPr>
        <w:t>NKD is a European value/discount retailer (&gt;2,000 stores) in markets also exposed to a European cost-of-living squeeze, so its own trading may be subdued - but as a value format it is relatively defensive, and the weak-rand translation flatters its reported ZAR contribution. Integration cost and EUR funding remain the risk. Net: NKD is modestly accretive to reported ZAR earnings via translation, with execution risk the offset. (S2, S6)</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660"/>
            <w:shd w:val="clear" w:fill="1F3864"/>
          </w:tcPr>
          <w:p>
            <w:r/>
            <w:r>
              <w:rPr>
                <w:rFonts w:ascii="Arial" w:hAnsi="Arial"/>
                <w:b/>
                <w:i w:val="0"/>
                <w:color w:val="FFFFFF"/>
                <w:sz w:val="18"/>
              </w:rPr>
              <w:t>12-18m direction (Scenario A: CLOSED)</w:t>
            </w:r>
          </w:p>
        </w:tc>
        <w:tc>
          <w:tcPr>
            <w:tcW w:type="dxa" w:w="2660"/>
            <w:shd w:val="clear" w:fill="2E5496"/>
          </w:tcPr>
          <w:p>
            <w:r/>
            <w:r>
              <w:rPr>
                <w:rFonts w:ascii="Arial" w:hAnsi="Arial"/>
                <w:b/>
                <w:i w:val="0"/>
                <w:color w:val="FFFFFF"/>
                <w:sz w:val="18"/>
              </w:rPr>
              <w:t>Read</w:t>
            </w:r>
          </w:p>
        </w:tc>
        <w:tc>
          <w:tcPr>
            <w:tcW w:type="dxa" w:w="2060"/>
            <w:shd w:val="clear" w:fill="375623"/>
          </w:tcPr>
          <w:p>
            <w:r/>
            <w:r>
              <w:rPr>
                <w:rFonts w:ascii="Arial" w:hAnsi="Arial"/>
                <w:b/>
                <w:i w:val="0"/>
                <w:color w:val="FFFFFF"/>
                <w:sz w:val="18"/>
              </w:rPr>
              <w:t>Driver</w:t>
            </w:r>
          </w:p>
        </w:tc>
        <w:tc>
          <w:tcPr>
            <w:tcW w:type="dxa" w:w="1140"/>
            <w:shd w:val="clear" w:fill="1F3864"/>
          </w:tcPr>
          <w:p>
            <w:r/>
            <w:r>
              <w:rPr>
                <w:rFonts w:ascii="Arial" w:hAnsi="Arial"/>
                <w:b/>
                <w:i w:val="0"/>
                <w:color w:val="FFFFFF"/>
                <w:sz w:val="18"/>
              </w:rPr>
              <w:t>Source</w:t>
            </w:r>
          </w:p>
        </w:tc>
      </w:tr>
      <w:tr>
        <w:tc>
          <w:tcPr>
            <w:tcW w:type="dxa" w:w="2660"/>
            <w:shd w:val="clear" w:fill="F2F2F2"/>
          </w:tcPr>
          <w:p>
            <w:r/>
            <w:r>
              <w:rPr>
                <w:rFonts w:ascii="Arial" w:hAnsi="Arial"/>
                <w:b/>
                <w:i w:val="0"/>
                <w:sz w:val="18"/>
              </w:rPr>
              <w:t>Retail sales growth</w:t>
            </w:r>
          </w:p>
        </w:tc>
        <w:tc>
          <w:tcPr>
            <w:tcW w:type="dxa" w:w="2660"/>
          </w:tcPr>
          <w:p>
            <w:r/>
            <w:r>
              <w:rPr>
                <w:rFonts w:ascii="Arial" w:hAnsi="Arial"/>
                <w:b w:val="0"/>
                <w:i w:val="0"/>
                <w:sz w:val="18"/>
              </w:rPr>
              <w:t>Low single digit (~+2% to +4%) (e)</w:t>
            </w:r>
          </w:p>
        </w:tc>
        <w:tc>
          <w:tcPr>
            <w:tcW w:type="dxa" w:w="2060"/>
          </w:tcPr>
          <w:p>
            <w:r/>
            <w:r>
              <w:rPr>
                <w:rFonts w:ascii="Arial" w:hAnsi="Arial"/>
                <w:b w:val="0"/>
                <w:i w:val="0"/>
                <w:sz w:val="18"/>
              </w:rPr>
              <w:t>Soft volumes + trade-down + price inflation + space</w:t>
            </w:r>
          </w:p>
        </w:tc>
        <w:tc>
          <w:tcPr>
            <w:tcW w:type="dxa" w:w="1140"/>
          </w:tcPr>
          <w:p>
            <w:r/>
            <w:r>
              <w:rPr>
                <w:rFonts w:ascii="Arial" w:hAnsi="Arial"/>
                <w:b w:val="0"/>
                <w:i w:val="0"/>
                <w:sz w:val="18"/>
              </w:rPr>
              <w:t>(e) S1+S5</w:t>
            </w:r>
          </w:p>
        </w:tc>
      </w:tr>
      <w:tr>
        <w:tc>
          <w:tcPr>
            <w:tcW w:type="dxa" w:w="2660"/>
            <w:shd w:val="clear" w:fill="F2F2F2"/>
          </w:tcPr>
          <w:p>
            <w:r/>
            <w:r>
              <w:rPr>
                <w:rFonts w:ascii="Arial" w:hAnsi="Arial"/>
                <w:b/>
                <w:i w:val="0"/>
                <w:sz w:val="18"/>
              </w:rPr>
              <w:t>Gross margin</w:t>
            </w:r>
          </w:p>
        </w:tc>
        <w:tc>
          <w:tcPr>
            <w:tcW w:type="dxa" w:w="2660"/>
            <w:shd w:val="clear" w:fill="FAFAFA"/>
          </w:tcPr>
          <w:p>
            <w:r/>
            <w:r>
              <w:rPr>
                <w:rFonts w:ascii="Arial" w:hAnsi="Arial"/>
                <w:b w:val="0"/>
                <w:i w:val="0"/>
                <w:sz w:val="18"/>
              </w:rPr>
              <w:t>Mild compression (~-30 to -80bps) (e)</w:t>
            </w:r>
          </w:p>
        </w:tc>
        <w:tc>
          <w:tcPr>
            <w:tcW w:type="dxa" w:w="2060"/>
            <w:shd w:val="clear" w:fill="FAFAFA"/>
          </w:tcPr>
          <w:p>
            <w:r/>
            <w:r>
              <w:rPr>
                <w:rFonts w:ascii="Arial" w:hAnsi="Arial"/>
                <w:b w:val="0"/>
                <w:i w:val="0"/>
                <w:sz w:val="18"/>
              </w:rPr>
              <w:t>Weak rand lifts imported COGS + freight</w:t>
            </w:r>
          </w:p>
        </w:tc>
        <w:tc>
          <w:tcPr>
            <w:tcW w:type="dxa" w:w="1140"/>
            <w:shd w:val="clear" w:fill="FAFAFA"/>
          </w:tcPr>
          <w:p>
            <w:r/>
            <w:r>
              <w:rPr>
                <w:rFonts w:ascii="Arial" w:hAnsi="Arial"/>
                <w:b w:val="0"/>
                <w:i w:val="0"/>
                <w:sz w:val="18"/>
              </w:rPr>
              <w:t>(e) S5+lens</w:t>
            </w:r>
          </w:p>
        </w:tc>
      </w:tr>
      <w:tr>
        <w:tc>
          <w:tcPr>
            <w:tcW w:type="dxa" w:w="2660"/>
            <w:shd w:val="clear" w:fill="F2F2F2"/>
          </w:tcPr>
          <w:p>
            <w:r/>
            <w:r>
              <w:rPr>
                <w:rFonts w:ascii="Arial" w:hAnsi="Arial"/>
                <w:b/>
                <w:i w:val="0"/>
                <w:sz w:val="18"/>
              </w:rPr>
              <w:t>Trading / operating margin</w:t>
            </w:r>
          </w:p>
        </w:tc>
        <w:tc>
          <w:tcPr>
            <w:tcW w:type="dxa" w:w="2660"/>
          </w:tcPr>
          <w:p>
            <w:r/>
            <w:r>
              <w:rPr>
                <w:rFonts w:ascii="Arial" w:hAnsi="Arial"/>
                <w:b w:val="0"/>
                <w:i w:val="0"/>
                <w:sz w:val="18"/>
              </w:rPr>
              <w:t>Broadly held to slightly down (e)</w:t>
            </w:r>
          </w:p>
        </w:tc>
        <w:tc>
          <w:tcPr>
            <w:tcW w:type="dxa" w:w="2060"/>
          </w:tcPr>
          <w:p>
            <w:r/>
            <w:r>
              <w:rPr>
                <w:rFonts w:ascii="Arial" w:hAnsi="Arial"/>
                <w:b w:val="0"/>
                <w:i w:val="0"/>
                <w:sz w:val="18"/>
              </w:rPr>
              <w:t>Cost discipline + no finance-cost drag; offsets GM pressure</w:t>
            </w:r>
          </w:p>
        </w:tc>
        <w:tc>
          <w:tcPr>
            <w:tcW w:type="dxa" w:w="1140"/>
          </w:tcPr>
          <w:p>
            <w:r/>
            <w:r>
              <w:rPr>
                <w:rFonts w:ascii="Arial" w:hAnsi="Arial"/>
                <w:b w:val="0"/>
                <w:i w:val="0"/>
                <w:sz w:val="18"/>
              </w:rPr>
              <w:t>(e) S1+S5</w:t>
            </w:r>
          </w:p>
        </w:tc>
      </w:tr>
      <w:tr>
        <w:tc>
          <w:tcPr>
            <w:tcW w:type="dxa" w:w="2660"/>
            <w:shd w:val="clear" w:fill="F2F2F2"/>
          </w:tcPr>
          <w:p>
            <w:r/>
            <w:r>
              <w:rPr>
                <w:rFonts w:ascii="Arial" w:hAnsi="Arial"/>
                <w:b/>
                <w:i w:val="0"/>
                <w:sz w:val="18"/>
              </w:rPr>
              <w:t>HEPS (statutory, incl. NKD)</w:t>
            </w:r>
          </w:p>
        </w:tc>
        <w:tc>
          <w:tcPr>
            <w:tcW w:type="dxa" w:w="2660"/>
            <w:shd w:val="clear" w:fill="FAFAFA"/>
          </w:tcPr>
          <w:p>
            <w:r/>
            <w:r>
              <w:rPr>
                <w:rFonts w:ascii="Arial" w:hAnsi="Arial"/>
                <w:b w:val="0"/>
                <w:i w:val="0"/>
                <w:sz w:val="18"/>
              </w:rPr>
              <w:t>~Flat to modest growth (e)</w:t>
            </w:r>
          </w:p>
        </w:tc>
        <w:tc>
          <w:tcPr>
            <w:tcW w:type="dxa" w:w="2060"/>
            <w:shd w:val="clear" w:fill="FAFAFA"/>
          </w:tcPr>
          <w:p>
            <w:r/>
            <w:r>
              <w:rPr>
                <w:rFonts w:ascii="Arial" w:hAnsi="Arial"/>
                <w:b w:val="0"/>
                <w:i w:val="0"/>
                <w:sz w:val="18"/>
              </w:rPr>
              <w:t>SA grind + NKD translation tailwind, less integration cost</w:t>
            </w:r>
          </w:p>
        </w:tc>
        <w:tc>
          <w:tcPr>
            <w:tcW w:type="dxa" w:w="1140"/>
            <w:shd w:val="clear" w:fill="FAFAFA"/>
          </w:tcPr>
          <w:p>
            <w:r/>
            <w:r>
              <w:rPr>
                <w:rFonts w:ascii="Arial" w:hAnsi="Arial"/>
                <w:b w:val="0"/>
                <w:i w:val="0"/>
                <w:sz w:val="18"/>
              </w:rPr>
              <w:t>(e) S1+S2</w:t>
            </w:r>
          </w:p>
        </w:tc>
      </w:tr>
      <w:tr>
        <w:tc>
          <w:tcPr>
            <w:tcW w:type="dxa" w:w="2660"/>
            <w:shd w:val="clear" w:fill="F2F2F2"/>
          </w:tcPr>
          <w:p>
            <w:r/>
            <w:r>
              <w:rPr>
                <w:rFonts w:ascii="Arial" w:hAnsi="Arial"/>
                <w:b/>
                <w:i w:val="0"/>
                <w:sz w:val="18"/>
              </w:rPr>
              <w:t>Dividend per share</w:t>
            </w:r>
          </w:p>
        </w:tc>
        <w:tc>
          <w:tcPr>
            <w:tcW w:type="dxa" w:w="2660"/>
          </w:tcPr>
          <w:p>
            <w:r/>
            <w:r>
              <w:rPr>
                <w:rFonts w:ascii="Arial" w:hAnsi="Arial"/>
                <w:b w:val="0"/>
                <w:i w:val="0"/>
                <w:sz w:val="18"/>
              </w:rPr>
              <w:t>Held to modest growth (e)</w:t>
            </w:r>
          </w:p>
        </w:tc>
        <w:tc>
          <w:tcPr>
            <w:tcW w:type="dxa" w:w="2060"/>
          </w:tcPr>
          <w:p>
            <w:r/>
            <w:r>
              <w:rPr>
                <w:rFonts w:ascii="Arial" w:hAnsi="Arial"/>
                <w:b w:val="0"/>
                <w:i w:val="0"/>
                <w:sz w:val="18"/>
              </w:rPr>
              <w:t>~63% payout policy on broadly flat HE; net cash supports it</w:t>
            </w:r>
          </w:p>
        </w:tc>
        <w:tc>
          <w:tcPr>
            <w:tcW w:type="dxa" w:w="1140"/>
          </w:tcPr>
          <w:p>
            <w:r/>
            <w:r>
              <w:rPr>
                <w:rFonts w:ascii="Arial" w:hAnsi="Arial"/>
                <w:b w:val="0"/>
                <w:i w:val="0"/>
                <w:sz w:val="18"/>
              </w:rPr>
              <w:t>(e) S1</w:t>
            </w:r>
          </w:p>
        </w:tc>
      </w:tr>
    </w:tbl>
    <w:p>
      <w:pPr>
        <w:spacing w:after="40" w:before="0"/>
      </w:pPr>
    </w:p>
    <w:p>
      <w:pPr>
        <w:spacing w:after="160" w:before="0"/>
      </w:pPr>
      <w:r>
        <w:rPr>
          <w:rFonts w:ascii="Arial" w:hAnsi="Arial"/>
          <w:b/>
          <w:i w:val="0"/>
          <w:sz w:val="21"/>
        </w:rPr>
        <w:t xml:space="preserve">Swing factors / what would make A worse or better: </w:t>
      </w:r>
      <w:r>
        <w:rPr>
          <w:rFonts w:ascii="Arial" w:hAnsi="Arial"/>
          <w:b w:val="0"/>
          <w:i w:val="0"/>
          <w:sz w:val="21"/>
        </w:rPr>
        <w:t>(worse) rand overshooting beyond ~R18 and a deeper-than-modelled volume collapse if real incomes fall hard; NKD integration cost or EUR funding drag larger than expected. (better) stronger-than-expected trade-down share gains; the weak-rand NKD translation hedge proving larger; MRP's cash model letting it hold price while credit peers retrench. (S1, S2, S5)</w:t>
      </w:r>
    </w:p>
    <w:p>
      <w:pPr>
        <w:pStyle w:val="Heading1"/>
      </w:pPr>
      <w:r>
        <w:t>6.  Scenario b - the Strait RE-OPENS and stays open (relief case)</w:t>
      </w:r>
    </w:p>
    <w:p>
      <w:pPr>
        <w:spacing w:after="160" w:before="0"/>
      </w:pPr>
      <w:r>
        <w:rPr>
          <w:rFonts w:ascii="Arial" w:hAnsi="Arial"/>
          <w:b/>
          <w:i w:val="0"/>
          <w:sz w:val="21"/>
        </w:rPr>
        <w:t xml:space="preserve">Macro (USER Scenario b = macro-deck column 'A'). </w:t>
      </w:r>
      <w:r>
        <w:rPr>
          <w:rFonts w:ascii="Arial" w:hAnsi="Arial"/>
          <w:b w:val="0"/>
          <w:i w:val="0"/>
          <w:sz w:val="21"/>
        </w:rPr>
        <w:t>The re-opening holds: Brent normalises to ~US$72/bbl, USD/ZAR firms to ~16.0-&gt;15.8, the SARB cuts from 7.00% toward ~6.67%-&gt;6.25%, and inland-95 petrol eases from June's record toward ~R25.5-&gt;24.5/l, with inflation subdued and real incomes recovering. (S5)</w:t>
      </w:r>
    </w:p>
    <w:p>
      <w:pPr>
        <w:spacing w:after="120" w:before="0"/>
      </w:pPr>
      <w:r>
        <w:rPr>
          <w:rFonts w:ascii="Arial" w:hAnsi="Arial"/>
          <w:b w:val="0"/>
          <w:i w:val="0"/>
          <w:sz w:val="21"/>
        </w:rPr>
        <w:t>Transmission to Mr Price over 12-18 months: lower fuel and a rate-cutting cycle restore the value customer's discretionary wallet, so unit volumes re-accelerate off FY2026's near-flat base (units +0.5% in FY2026 (S1)) - the most powerful lever for MRP, which needs volume, not just price, to drive operating leverage. A firmer rand at ~16.0-&gt;15.8 eases imported COGS and supports or expands gross margin. The one minor offset is that falling rates reduce debtors'-book interest income (the same 'other revenue' line that fell 1.9% in FY2026 on lower rates (S1)), but this is small relative to the demand and margin upside. Operating leverage on MRP's thin-but-recovering volume base lifts trading margin.</w:t>
      </w:r>
    </w:p>
    <w:p>
      <w:pPr>
        <w:spacing w:after="160" w:before="0"/>
      </w:pPr>
      <w:r>
        <w:rPr>
          <w:rFonts w:ascii="Arial" w:hAnsi="Arial"/>
          <w:b/>
          <w:i w:val="0"/>
          <w:sz w:val="21"/>
        </w:rPr>
        <w:t xml:space="preserve">NKD in Scenario b. </w:t>
      </w:r>
      <w:r>
        <w:rPr>
          <w:rFonts w:ascii="Arial" w:hAnsi="Arial"/>
          <w:b w:val="0"/>
          <w:i w:val="0"/>
          <w:sz w:val="21"/>
        </w:rPr>
        <w:t>A European recovery would help NKD's own trading, but the firmer rand TRIMS its translated ZAR contribution - the mirror of Scenario A. Net, the SA business is the engine of the relief case; NKD adds scale and optionality but its translation tailwind reverses. Integration milestones (first consolidation from H1 FY2027) become the watch-item. (S2, S6)</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660"/>
            <w:shd w:val="clear" w:fill="1F3864"/>
          </w:tcPr>
          <w:p>
            <w:r/>
            <w:r>
              <w:rPr>
                <w:rFonts w:ascii="Arial" w:hAnsi="Arial"/>
                <w:b/>
                <w:i w:val="0"/>
                <w:color w:val="FFFFFF"/>
                <w:sz w:val="18"/>
              </w:rPr>
              <w:t>12-18m direction (Scenario b: OPEN)</w:t>
            </w:r>
          </w:p>
        </w:tc>
        <w:tc>
          <w:tcPr>
            <w:tcW w:type="dxa" w:w="2660"/>
            <w:shd w:val="clear" w:fill="2E5496"/>
          </w:tcPr>
          <w:p>
            <w:r/>
            <w:r>
              <w:rPr>
                <w:rFonts w:ascii="Arial" w:hAnsi="Arial"/>
                <w:b/>
                <w:i w:val="0"/>
                <w:color w:val="FFFFFF"/>
                <w:sz w:val="18"/>
              </w:rPr>
              <w:t>Read</w:t>
            </w:r>
          </w:p>
        </w:tc>
        <w:tc>
          <w:tcPr>
            <w:tcW w:type="dxa" w:w="2060"/>
            <w:shd w:val="clear" w:fill="375623"/>
          </w:tcPr>
          <w:p>
            <w:r/>
            <w:r>
              <w:rPr>
                <w:rFonts w:ascii="Arial" w:hAnsi="Arial"/>
                <w:b/>
                <w:i w:val="0"/>
                <w:color w:val="FFFFFF"/>
                <w:sz w:val="18"/>
              </w:rPr>
              <w:t>Driver</w:t>
            </w:r>
          </w:p>
        </w:tc>
        <w:tc>
          <w:tcPr>
            <w:tcW w:type="dxa" w:w="1140"/>
            <w:shd w:val="clear" w:fill="1F3864"/>
          </w:tcPr>
          <w:p>
            <w:r/>
            <w:r>
              <w:rPr>
                <w:rFonts w:ascii="Arial" w:hAnsi="Arial"/>
                <w:b/>
                <w:i w:val="0"/>
                <w:color w:val="FFFFFF"/>
                <w:sz w:val="18"/>
              </w:rPr>
              <w:t>Source</w:t>
            </w:r>
          </w:p>
        </w:tc>
      </w:tr>
      <w:tr>
        <w:tc>
          <w:tcPr>
            <w:tcW w:type="dxa" w:w="2660"/>
            <w:shd w:val="clear" w:fill="F2F2F2"/>
          </w:tcPr>
          <w:p>
            <w:r/>
            <w:r>
              <w:rPr>
                <w:rFonts w:ascii="Arial" w:hAnsi="Arial"/>
                <w:b/>
                <w:i w:val="0"/>
                <w:sz w:val="18"/>
              </w:rPr>
              <w:t>Retail sales growth</w:t>
            </w:r>
          </w:p>
        </w:tc>
        <w:tc>
          <w:tcPr>
            <w:tcW w:type="dxa" w:w="2660"/>
          </w:tcPr>
          <w:p>
            <w:r/>
            <w:r>
              <w:rPr>
                <w:rFonts w:ascii="Arial" w:hAnsi="Arial"/>
                <w:b w:val="0"/>
                <w:i w:val="0"/>
                <w:sz w:val="18"/>
              </w:rPr>
              <w:t>Mid single digit (~+5% to +8%) (e)</w:t>
            </w:r>
          </w:p>
        </w:tc>
        <w:tc>
          <w:tcPr>
            <w:tcW w:type="dxa" w:w="2060"/>
          </w:tcPr>
          <w:p>
            <w:r/>
            <w:r>
              <w:rPr>
                <w:rFonts w:ascii="Arial" w:hAnsi="Arial"/>
                <w:b w:val="0"/>
                <w:i w:val="0"/>
                <w:sz w:val="18"/>
              </w:rPr>
              <w:t>Volume re-acceleration + space + normal price inflation</w:t>
            </w:r>
          </w:p>
        </w:tc>
        <w:tc>
          <w:tcPr>
            <w:tcW w:type="dxa" w:w="1140"/>
          </w:tcPr>
          <w:p>
            <w:r/>
            <w:r>
              <w:rPr>
                <w:rFonts w:ascii="Arial" w:hAnsi="Arial"/>
                <w:b w:val="0"/>
                <w:i w:val="0"/>
                <w:sz w:val="18"/>
              </w:rPr>
              <w:t>(e) S1+S5</w:t>
            </w:r>
          </w:p>
        </w:tc>
      </w:tr>
      <w:tr>
        <w:tc>
          <w:tcPr>
            <w:tcW w:type="dxa" w:w="2660"/>
            <w:shd w:val="clear" w:fill="F2F2F2"/>
          </w:tcPr>
          <w:p>
            <w:r/>
            <w:r>
              <w:rPr>
                <w:rFonts w:ascii="Arial" w:hAnsi="Arial"/>
                <w:b/>
                <w:i w:val="0"/>
                <w:sz w:val="18"/>
              </w:rPr>
              <w:t>Gross margin</w:t>
            </w:r>
          </w:p>
        </w:tc>
        <w:tc>
          <w:tcPr>
            <w:tcW w:type="dxa" w:w="2660"/>
            <w:shd w:val="clear" w:fill="FAFAFA"/>
          </w:tcPr>
          <w:p>
            <w:r/>
            <w:r>
              <w:rPr>
                <w:rFonts w:ascii="Arial" w:hAnsi="Arial"/>
                <w:b w:val="0"/>
                <w:i w:val="0"/>
                <w:sz w:val="18"/>
              </w:rPr>
              <w:t>Stable to modest expansion (~+20 to +60bps) (e)</w:t>
            </w:r>
          </w:p>
        </w:tc>
        <w:tc>
          <w:tcPr>
            <w:tcW w:type="dxa" w:w="2060"/>
            <w:shd w:val="clear" w:fill="FAFAFA"/>
          </w:tcPr>
          <w:p>
            <w:r/>
            <w:r>
              <w:rPr>
                <w:rFonts w:ascii="Arial" w:hAnsi="Arial"/>
                <w:b w:val="0"/>
                <w:i w:val="0"/>
                <w:sz w:val="18"/>
              </w:rPr>
              <w:t>Firmer rand eases imported COGS</w:t>
            </w:r>
          </w:p>
        </w:tc>
        <w:tc>
          <w:tcPr>
            <w:tcW w:type="dxa" w:w="1140"/>
            <w:shd w:val="clear" w:fill="FAFAFA"/>
          </w:tcPr>
          <w:p>
            <w:r/>
            <w:r>
              <w:rPr>
                <w:rFonts w:ascii="Arial" w:hAnsi="Arial"/>
                <w:b w:val="0"/>
                <w:i w:val="0"/>
                <w:sz w:val="18"/>
              </w:rPr>
              <w:t>(e) S5+lens</w:t>
            </w:r>
          </w:p>
        </w:tc>
      </w:tr>
      <w:tr>
        <w:tc>
          <w:tcPr>
            <w:tcW w:type="dxa" w:w="2660"/>
            <w:shd w:val="clear" w:fill="F2F2F2"/>
          </w:tcPr>
          <w:p>
            <w:r/>
            <w:r>
              <w:rPr>
                <w:rFonts w:ascii="Arial" w:hAnsi="Arial"/>
                <w:b/>
                <w:i w:val="0"/>
                <w:sz w:val="18"/>
              </w:rPr>
              <w:t>Trading / operating margin</w:t>
            </w:r>
          </w:p>
        </w:tc>
        <w:tc>
          <w:tcPr>
            <w:tcW w:type="dxa" w:w="2660"/>
          </w:tcPr>
          <w:p>
            <w:r/>
            <w:r>
              <w:rPr>
                <w:rFonts w:ascii="Arial" w:hAnsi="Arial"/>
                <w:b w:val="0"/>
                <w:i w:val="0"/>
                <w:sz w:val="18"/>
              </w:rPr>
              <w:t>Expansion (e)</w:t>
            </w:r>
          </w:p>
        </w:tc>
        <w:tc>
          <w:tcPr>
            <w:tcW w:type="dxa" w:w="2060"/>
          </w:tcPr>
          <w:p>
            <w:r/>
            <w:r>
              <w:rPr>
                <w:rFonts w:ascii="Arial" w:hAnsi="Arial"/>
                <w:b w:val="0"/>
                <w:i w:val="0"/>
                <w:sz w:val="18"/>
              </w:rPr>
              <w:t>Operating leverage on recovering volumes</w:t>
            </w:r>
          </w:p>
        </w:tc>
        <w:tc>
          <w:tcPr>
            <w:tcW w:type="dxa" w:w="1140"/>
          </w:tcPr>
          <w:p>
            <w:r/>
            <w:r>
              <w:rPr>
                <w:rFonts w:ascii="Arial" w:hAnsi="Arial"/>
                <w:b w:val="0"/>
                <w:i w:val="0"/>
                <w:sz w:val="18"/>
              </w:rPr>
              <w:t>(e) S1+S5</w:t>
            </w:r>
          </w:p>
        </w:tc>
      </w:tr>
      <w:tr>
        <w:tc>
          <w:tcPr>
            <w:tcW w:type="dxa" w:w="2660"/>
            <w:shd w:val="clear" w:fill="F2F2F2"/>
          </w:tcPr>
          <w:p>
            <w:r/>
            <w:r>
              <w:rPr>
                <w:rFonts w:ascii="Arial" w:hAnsi="Arial"/>
                <w:b/>
                <w:i w:val="0"/>
                <w:sz w:val="18"/>
              </w:rPr>
              <w:t>HEPS (statutory, incl. NKD)</w:t>
            </w:r>
          </w:p>
        </w:tc>
        <w:tc>
          <w:tcPr>
            <w:tcW w:type="dxa" w:w="2660"/>
            <w:shd w:val="clear" w:fill="FAFAFA"/>
          </w:tcPr>
          <w:p>
            <w:r/>
            <w:r>
              <w:rPr>
                <w:rFonts w:ascii="Arial" w:hAnsi="Arial"/>
                <w:b w:val="0"/>
                <w:i w:val="0"/>
                <w:sz w:val="18"/>
              </w:rPr>
              <w:t>High single to low double digit growth (e)</w:t>
            </w:r>
          </w:p>
        </w:tc>
        <w:tc>
          <w:tcPr>
            <w:tcW w:type="dxa" w:w="2060"/>
            <w:shd w:val="clear" w:fill="FAFAFA"/>
          </w:tcPr>
          <w:p>
            <w:r/>
            <w:r>
              <w:rPr>
                <w:rFonts w:ascii="Arial" w:hAnsi="Arial"/>
                <w:b w:val="0"/>
                <w:i w:val="0"/>
                <w:sz w:val="18"/>
              </w:rPr>
              <w:t>SA volume/margin recovery; partly offset by softer NKD translation &amp; lower debtor interest</w:t>
            </w:r>
          </w:p>
        </w:tc>
        <w:tc>
          <w:tcPr>
            <w:tcW w:type="dxa" w:w="1140"/>
            <w:shd w:val="clear" w:fill="FAFAFA"/>
          </w:tcPr>
          <w:p>
            <w:r/>
            <w:r>
              <w:rPr>
                <w:rFonts w:ascii="Arial" w:hAnsi="Arial"/>
                <w:b w:val="0"/>
                <w:i w:val="0"/>
                <w:sz w:val="18"/>
              </w:rPr>
              <w:t>(e) S1+S2</w:t>
            </w:r>
          </w:p>
        </w:tc>
      </w:tr>
      <w:tr>
        <w:tc>
          <w:tcPr>
            <w:tcW w:type="dxa" w:w="2660"/>
            <w:shd w:val="clear" w:fill="F2F2F2"/>
          </w:tcPr>
          <w:p>
            <w:r/>
            <w:r>
              <w:rPr>
                <w:rFonts w:ascii="Arial" w:hAnsi="Arial"/>
                <w:b/>
                <w:i w:val="0"/>
                <w:sz w:val="18"/>
              </w:rPr>
              <w:t>Dividend per share</w:t>
            </w:r>
          </w:p>
        </w:tc>
        <w:tc>
          <w:tcPr>
            <w:tcW w:type="dxa" w:w="2660"/>
          </w:tcPr>
          <w:p>
            <w:r/>
            <w:r>
              <w:rPr>
                <w:rFonts w:ascii="Arial" w:hAnsi="Arial"/>
                <w:b w:val="0"/>
                <w:i w:val="0"/>
                <w:sz w:val="18"/>
              </w:rPr>
              <w:t>Resumes clear growth (e)</w:t>
            </w:r>
          </w:p>
        </w:tc>
        <w:tc>
          <w:tcPr>
            <w:tcW w:type="dxa" w:w="2060"/>
          </w:tcPr>
          <w:p>
            <w:r/>
            <w:r>
              <w:rPr>
                <w:rFonts w:ascii="Arial" w:hAnsi="Arial"/>
                <w:b w:val="0"/>
                <w:i w:val="0"/>
                <w:sz w:val="18"/>
              </w:rPr>
              <w:t>~63% payout on rising HE</w:t>
            </w:r>
          </w:p>
        </w:tc>
        <w:tc>
          <w:tcPr>
            <w:tcW w:type="dxa" w:w="1140"/>
          </w:tcPr>
          <w:p>
            <w:r/>
            <w:r>
              <w:rPr>
                <w:rFonts w:ascii="Arial" w:hAnsi="Arial"/>
                <w:b w:val="0"/>
                <w:i w:val="0"/>
                <w:sz w:val="18"/>
              </w:rPr>
              <w:t>(e) S1</w:t>
            </w:r>
          </w:p>
        </w:tc>
      </w:tr>
    </w:tbl>
    <w:p>
      <w:pPr>
        <w:spacing w:after="40" w:before="0"/>
      </w:pPr>
    </w:p>
    <w:p>
      <w:pPr>
        <w:spacing w:after="160" w:before="0"/>
      </w:pPr>
      <w:r>
        <w:rPr>
          <w:rFonts w:ascii="Arial" w:hAnsi="Arial"/>
          <w:b/>
          <w:i w:val="0"/>
          <w:sz w:val="21"/>
        </w:rPr>
        <w:t xml:space="preserve">Swing factors / what would make b stronger or weaker: </w:t>
      </w:r>
      <w:r>
        <w:rPr>
          <w:rFonts w:ascii="Arial" w:hAnsi="Arial"/>
          <w:b w:val="0"/>
          <w:i w:val="0"/>
          <w:sz w:val="21"/>
        </w:rPr>
        <w:t>(stronger) a sharper consumer-confidence rebound and faster volume recovery; NKD integrating cleanly to add genuine earnings scale. (weaker) a relief rally rotating money toward higher-beta CREDIT retailers off a lower base, so MRP screens as a steady compounder rather than the cyclical winner; the debtors'-interest-income drag from rate cuts; NKD translation headwind from the firm rand. (S1, S2, S5)</w:t>
      </w:r>
    </w:p>
    <w:p>
      <w:pPr>
        <w:pStyle w:val="Heading1"/>
      </w:pPr>
      <w:r>
        <w:t>7.  The two scenarios side by side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fill="1F3864"/>
          </w:tcPr>
          <w:p>
            <w:r/>
            <w:r>
              <w:rPr>
                <w:rFonts w:ascii="Arial" w:hAnsi="Arial"/>
                <w:b/>
                <w:i w:val="0"/>
                <w:color w:val="FFFFFF"/>
                <w:sz w:val="18"/>
              </w:rPr>
              <w:t>12-18m metric</w:t>
            </w:r>
          </w:p>
        </w:tc>
        <w:tc>
          <w:tcPr>
            <w:tcW w:type="dxa" w:w="2860"/>
            <w:shd w:val="clear" w:fill="2E5496"/>
          </w:tcPr>
          <w:p>
            <w:r/>
            <w:r>
              <w:rPr>
                <w:rFonts w:ascii="Arial" w:hAnsi="Arial"/>
                <w:b/>
                <w:i w:val="0"/>
                <w:color w:val="FFFFFF"/>
                <w:sz w:val="18"/>
              </w:rPr>
              <w:t>A: Strait CLOSED (stress)</w:t>
            </w:r>
          </w:p>
        </w:tc>
        <w:tc>
          <w:tcPr>
            <w:tcW w:type="dxa" w:w="2860"/>
            <w:shd w:val="clear" w:fill="375623"/>
          </w:tcPr>
          <w:p>
            <w:r/>
            <w:r>
              <w:rPr>
                <w:rFonts w:ascii="Arial" w:hAnsi="Arial"/>
                <w:b/>
                <w:i w:val="0"/>
                <w:color w:val="FFFFFF"/>
                <w:sz w:val="18"/>
              </w:rPr>
              <w:t>b: Strait OPEN (relief)</w:t>
            </w:r>
          </w:p>
        </w:tc>
        <w:tc>
          <w:tcPr>
            <w:tcW w:type="dxa" w:w="740"/>
            <w:shd w:val="clear" w:fill="1F3864"/>
          </w:tcPr>
          <w:p>
            <w:r/>
            <w:r>
              <w:rPr>
                <w:rFonts w:ascii="Arial" w:hAnsi="Arial"/>
                <w:b/>
                <w:i w:val="0"/>
                <w:color w:val="FFFFFF"/>
                <w:sz w:val="18"/>
              </w:rPr>
              <w:t>Source</w:t>
            </w:r>
          </w:p>
        </w:tc>
      </w:tr>
      <w:tr>
        <w:tc>
          <w:tcPr>
            <w:tcW w:type="dxa" w:w="2160"/>
            <w:shd w:val="clear" w:fill="F2F2F2"/>
          </w:tcPr>
          <w:p>
            <w:r/>
            <w:r>
              <w:rPr>
                <w:rFonts w:ascii="Arial" w:hAnsi="Arial"/>
                <w:b/>
                <w:i w:val="0"/>
                <w:sz w:val="18"/>
              </w:rPr>
              <w:t>Macro anchor (deck col.)</w:t>
            </w:r>
          </w:p>
        </w:tc>
        <w:tc>
          <w:tcPr>
            <w:tcW w:type="dxa" w:w="2860"/>
          </w:tcPr>
          <w:p>
            <w:r/>
            <w:r>
              <w:rPr>
                <w:rFonts w:ascii="Arial" w:hAnsi="Arial"/>
                <w:b w:val="0"/>
                <w:i w:val="0"/>
                <w:sz w:val="18"/>
              </w:rPr>
              <w:t>B: Brent ~$100, ZAR ~17.5-18.0, repo ~8.17%, petrol ~R29.5-30.5</w:t>
            </w:r>
          </w:p>
        </w:tc>
        <w:tc>
          <w:tcPr>
            <w:tcW w:type="dxa" w:w="2860"/>
          </w:tcPr>
          <w:p>
            <w:r/>
            <w:r>
              <w:rPr>
                <w:rFonts w:ascii="Arial" w:hAnsi="Arial"/>
                <w:b w:val="0"/>
                <w:i w:val="0"/>
                <w:sz w:val="18"/>
              </w:rPr>
              <w:t>A: Brent ~$72, ZAR ~16.0-15.8, repo ~6.67-6.25%, petrol ~R25.5-24.5</w:t>
            </w:r>
          </w:p>
        </w:tc>
        <w:tc>
          <w:tcPr>
            <w:tcW w:type="dxa" w:w="740"/>
          </w:tcPr>
          <w:p>
            <w:r/>
            <w:r>
              <w:rPr>
                <w:rFonts w:ascii="Arial" w:hAnsi="Arial"/>
                <w:b w:val="0"/>
                <w:i w:val="0"/>
                <w:sz w:val="18"/>
              </w:rPr>
              <w:t>S5</w:t>
            </w:r>
          </w:p>
        </w:tc>
      </w:tr>
      <w:tr>
        <w:tc>
          <w:tcPr>
            <w:tcW w:type="dxa" w:w="2160"/>
            <w:shd w:val="clear" w:fill="F2F2F2"/>
          </w:tcPr>
          <w:p>
            <w:r/>
            <w:r>
              <w:rPr>
                <w:rFonts w:ascii="Arial" w:hAnsi="Arial"/>
                <w:b/>
                <w:i w:val="0"/>
                <w:sz w:val="18"/>
              </w:rPr>
              <w:t>Retail sales growth</w:t>
            </w:r>
          </w:p>
        </w:tc>
        <w:tc>
          <w:tcPr>
            <w:tcW w:type="dxa" w:w="2860"/>
            <w:shd w:val="clear" w:fill="FAFAFA"/>
          </w:tcPr>
          <w:p>
            <w:r/>
            <w:r>
              <w:rPr>
                <w:rFonts w:ascii="Arial" w:hAnsi="Arial"/>
                <w:b w:val="0"/>
                <w:i w:val="0"/>
                <w:sz w:val="18"/>
              </w:rPr>
              <w:t>Low single digit (~+2-4%) (e)</w:t>
            </w:r>
          </w:p>
        </w:tc>
        <w:tc>
          <w:tcPr>
            <w:tcW w:type="dxa" w:w="2860"/>
            <w:shd w:val="clear" w:fill="FAFAFA"/>
          </w:tcPr>
          <w:p>
            <w:r/>
            <w:r>
              <w:rPr>
                <w:rFonts w:ascii="Arial" w:hAnsi="Arial"/>
                <w:b w:val="0"/>
                <w:i w:val="0"/>
                <w:sz w:val="18"/>
              </w:rPr>
              <w:t>Mid single digit (~+5-8%) (e)</w:t>
            </w:r>
          </w:p>
        </w:tc>
        <w:tc>
          <w:tcPr>
            <w:tcW w:type="dxa" w:w="740"/>
            <w:shd w:val="clear" w:fill="FAFAFA"/>
          </w:tcPr>
          <w:p>
            <w:r/>
            <w:r>
              <w:rPr>
                <w:rFonts w:ascii="Arial" w:hAnsi="Arial"/>
                <w:b w:val="0"/>
                <w:i w:val="0"/>
                <w:sz w:val="18"/>
              </w:rPr>
              <w:t>(e) S1+S5</w:t>
            </w:r>
          </w:p>
        </w:tc>
      </w:tr>
      <w:tr>
        <w:tc>
          <w:tcPr>
            <w:tcW w:type="dxa" w:w="2160"/>
            <w:shd w:val="clear" w:fill="F2F2F2"/>
          </w:tcPr>
          <w:p>
            <w:r/>
            <w:r>
              <w:rPr>
                <w:rFonts w:ascii="Arial" w:hAnsi="Arial"/>
                <w:b/>
                <w:i w:val="0"/>
                <w:sz w:val="18"/>
              </w:rPr>
              <w:t>Gross margin</w:t>
            </w:r>
          </w:p>
        </w:tc>
        <w:tc>
          <w:tcPr>
            <w:tcW w:type="dxa" w:w="2860"/>
          </w:tcPr>
          <w:p>
            <w:r/>
            <w:r>
              <w:rPr>
                <w:rFonts w:ascii="Arial" w:hAnsi="Arial"/>
                <w:b w:val="0"/>
                <w:i w:val="0"/>
                <w:sz w:val="18"/>
              </w:rPr>
              <w:t>Mild compression (-30 to -80bps) (e)</w:t>
            </w:r>
          </w:p>
        </w:tc>
        <w:tc>
          <w:tcPr>
            <w:tcW w:type="dxa" w:w="2860"/>
          </w:tcPr>
          <w:p>
            <w:r/>
            <w:r>
              <w:rPr>
                <w:rFonts w:ascii="Arial" w:hAnsi="Arial"/>
                <w:b w:val="0"/>
                <w:i w:val="0"/>
                <w:sz w:val="18"/>
              </w:rPr>
              <w:t>Stable to +20-60bps (e)</w:t>
            </w:r>
          </w:p>
        </w:tc>
        <w:tc>
          <w:tcPr>
            <w:tcW w:type="dxa" w:w="740"/>
          </w:tcPr>
          <w:p>
            <w:r/>
            <w:r>
              <w:rPr>
                <w:rFonts w:ascii="Arial" w:hAnsi="Arial"/>
                <w:b w:val="0"/>
                <w:i w:val="0"/>
                <w:sz w:val="18"/>
              </w:rPr>
              <w:t>(e) S5</w:t>
            </w:r>
          </w:p>
        </w:tc>
      </w:tr>
      <w:tr>
        <w:tc>
          <w:tcPr>
            <w:tcW w:type="dxa" w:w="2160"/>
            <w:shd w:val="clear" w:fill="F2F2F2"/>
          </w:tcPr>
          <w:p>
            <w:r/>
            <w:r>
              <w:rPr>
                <w:rFonts w:ascii="Arial" w:hAnsi="Arial"/>
                <w:b/>
                <w:i w:val="0"/>
                <w:sz w:val="18"/>
              </w:rPr>
              <w:t>Trading margin</w:t>
            </w:r>
          </w:p>
        </w:tc>
        <w:tc>
          <w:tcPr>
            <w:tcW w:type="dxa" w:w="2860"/>
            <w:shd w:val="clear" w:fill="FAFAFA"/>
          </w:tcPr>
          <w:p>
            <w:r/>
            <w:r>
              <w:rPr>
                <w:rFonts w:ascii="Arial" w:hAnsi="Arial"/>
                <w:b w:val="0"/>
                <w:i w:val="0"/>
                <w:sz w:val="18"/>
              </w:rPr>
              <w:t>Broadly held / slightly down (e)</w:t>
            </w:r>
          </w:p>
        </w:tc>
        <w:tc>
          <w:tcPr>
            <w:tcW w:type="dxa" w:w="2860"/>
            <w:shd w:val="clear" w:fill="FAFAFA"/>
          </w:tcPr>
          <w:p>
            <w:r/>
            <w:r>
              <w:rPr>
                <w:rFonts w:ascii="Arial" w:hAnsi="Arial"/>
                <w:b w:val="0"/>
                <w:i w:val="0"/>
                <w:sz w:val="18"/>
              </w:rPr>
              <w:t>Expanding (e)</w:t>
            </w:r>
          </w:p>
        </w:tc>
        <w:tc>
          <w:tcPr>
            <w:tcW w:type="dxa" w:w="740"/>
            <w:shd w:val="clear" w:fill="FAFAFA"/>
          </w:tcPr>
          <w:p>
            <w:r/>
            <w:r>
              <w:rPr>
                <w:rFonts w:ascii="Arial" w:hAnsi="Arial"/>
                <w:b w:val="0"/>
                <w:i w:val="0"/>
                <w:sz w:val="18"/>
              </w:rPr>
              <w:t>(e) S1+S5</w:t>
            </w:r>
          </w:p>
        </w:tc>
      </w:tr>
      <w:tr>
        <w:tc>
          <w:tcPr>
            <w:tcW w:type="dxa" w:w="2160"/>
            <w:shd w:val="clear" w:fill="F2F2F2"/>
          </w:tcPr>
          <w:p>
            <w:r/>
            <w:r>
              <w:rPr>
                <w:rFonts w:ascii="Arial" w:hAnsi="Arial"/>
                <w:b/>
                <w:i w:val="0"/>
                <w:sz w:val="18"/>
              </w:rPr>
              <w:t>HEPS (statutory)</w:t>
            </w:r>
          </w:p>
        </w:tc>
        <w:tc>
          <w:tcPr>
            <w:tcW w:type="dxa" w:w="2860"/>
          </w:tcPr>
          <w:p>
            <w:r/>
            <w:r>
              <w:rPr>
                <w:rFonts w:ascii="Arial" w:hAnsi="Arial"/>
                <w:b w:val="0"/>
                <w:i w:val="0"/>
                <w:sz w:val="18"/>
              </w:rPr>
              <w:t>Flat to modest growth (e)</w:t>
            </w:r>
          </w:p>
        </w:tc>
        <w:tc>
          <w:tcPr>
            <w:tcW w:type="dxa" w:w="2860"/>
          </w:tcPr>
          <w:p>
            <w:r/>
            <w:r>
              <w:rPr>
                <w:rFonts w:ascii="Arial" w:hAnsi="Arial"/>
                <w:b w:val="0"/>
                <w:i w:val="0"/>
                <w:sz w:val="18"/>
              </w:rPr>
              <w:t>High-single to low-double-digit growth (e)</w:t>
            </w:r>
          </w:p>
        </w:tc>
        <w:tc>
          <w:tcPr>
            <w:tcW w:type="dxa" w:w="740"/>
          </w:tcPr>
          <w:p>
            <w:r/>
            <w:r>
              <w:rPr>
                <w:rFonts w:ascii="Arial" w:hAnsi="Arial"/>
                <w:b w:val="0"/>
                <w:i w:val="0"/>
                <w:sz w:val="18"/>
              </w:rPr>
              <w:t>(e) S1</w:t>
            </w:r>
          </w:p>
        </w:tc>
      </w:tr>
      <w:tr>
        <w:tc>
          <w:tcPr>
            <w:tcW w:type="dxa" w:w="2160"/>
            <w:shd w:val="clear" w:fill="F2F2F2"/>
          </w:tcPr>
          <w:p>
            <w:r/>
            <w:r>
              <w:rPr>
                <w:rFonts w:ascii="Arial" w:hAnsi="Arial"/>
                <w:b/>
                <w:i w:val="0"/>
                <w:sz w:val="18"/>
              </w:rPr>
              <w:t>Dividend</w:t>
            </w:r>
          </w:p>
        </w:tc>
        <w:tc>
          <w:tcPr>
            <w:tcW w:type="dxa" w:w="2860"/>
            <w:shd w:val="clear" w:fill="FAFAFA"/>
          </w:tcPr>
          <w:p>
            <w:r/>
            <w:r>
              <w:rPr>
                <w:rFonts w:ascii="Arial" w:hAnsi="Arial"/>
                <w:b w:val="0"/>
                <w:i w:val="0"/>
                <w:sz w:val="18"/>
              </w:rPr>
              <w:t>Held to modest growth (e)</w:t>
            </w:r>
          </w:p>
        </w:tc>
        <w:tc>
          <w:tcPr>
            <w:tcW w:type="dxa" w:w="2860"/>
            <w:shd w:val="clear" w:fill="FAFAFA"/>
          </w:tcPr>
          <w:p>
            <w:r/>
            <w:r>
              <w:rPr>
                <w:rFonts w:ascii="Arial" w:hAnsi="Arial"/>
                <w:b w:val="0"/>
                <w:i w:val="0"/>
                <w:sz w:val="18"/>
              </w:rPr>
              <w:t>Clear growth (e)</w:t>
            </w:r>
          </w:p>
        </w:tc>
        <w:tc>
          <w:tcPr>
            <w:tcW w:type="dxa" w:w="740"/>
            <w:shd w:val="clear" w:fill="FAFAFA"/>
          </w:tcPr>
          <w:p>
            <w:r/>
            <w:r>
              <w:rPr>
                <w:rFonts w:ascii="Arial" w:hAnsi="Arial"/>
                <w:b w:val="0"/>
                <w:i w:val="0"/>
                <w:sz w:val="18"/>
              </w:rPr>
              <w:t>(e) S1</w:t>
            </w:r>
          </w:p>
        </w:tc>
      </w:tr>
      <w:tr>
        <w:tc>
          <w:tcPr>
            <w:tcW w:type="dxa" w:w="2160"/>
            <w:shd w:val="clear" w:fill="F2F2F2"/>
          </w:tcPr>
          <w:p>
            <w:r/>
            <w:r>
              <w:rPr>
                <w:rFonts w:ascii="Arial" w:hAnsi="Arial"/>
                <w:b/>
                <w:i w:val="0"/>
                <w:sz w:val="18"/>
              </w:rPr>
              <w:t>MRP's relative edge</w:t>
            </w:r>
          </w:p>
        </w:tc>
        <w:tc>
          <w:tcPr>
            <w:tcW w:type="dxa" w:w="2860"/>
          </w:tcPr>
          <w:p>
            <w:r/>
            <w:r>
              <w:rPr>
                <w:rFonts w:ascii="Arial" w:hAnsi="Arial"/>
                <w:b w:val="0"/>
                <w:i w:val="0"/>
                <w:sz w:val="18"/>
              </w:rPr>
              <w:t>Strongest: cash model, net cash, trade-down, NKD FX hedge</w:t>
            </w:r>
          </w:p>
        </w:tc>
        <w:tc>
          <w:tcPr>
            <w:tcW w:type="dxa" w:w="2860"/>
          </w:tcPr>
          <w:p>
            <w:r/>
            <w:r>
              <w:rPr>
                <w:rFonts w:ascii="Arial" w:hAnsi="Arial"/>
                <w:b w:val="0"/>
                <w:i w:val="0"/>
                <w:sz w:val="18"/>
              </w:rPr>
              <w:t>Participates but may lag higher-beta credit peers</w:t>
            </w:r>
          </w:p>
        </w:tc>
        <w:tc>
          <w:tcPr>
            <w:tcW w:type="dxa" w:w="740"/>
          </w:tcPr>
          <w:p>
            <w:r/>
            <w:r>
              <w:rPr>
                <w:rFonts w:ascii="Arial" w:hAnsi="Arial"/>
                <w:b w:val="0"/>
                <w:i w:val="0"/>
                <w:sz w:val="18"/>
              </w:rPr>
              <w:t>lens + S1</w:t>
            </w:r>
          </w:p>
        </w:tc>
      </w:tr>
      <w:tr>
        <w:tc>
          <w:tcPr>
            <w:tcW w:type="dxa" w:w="2160"/>
            <w:shd w:val="clear" w:fill="F2F2F2"/>
          </w:tcPr>
          <w:p>
            <w:r/>
            <w:r>
              <w:rPr>
                <w:rFonts w:ascii="Arial" w:hAnsi="Arial"/>
                <w:b/>
                <w:i w:val="0"/>
                <w:sz w:val="18"/>
              </w:rPr>
              <w:t>Key risk</w:t>
            </w:r>
          </w:p>
        </w:tc>
        <w:tc>
          <w:tcPr>
            <w:tcW w:type="dxa" w:w="2860"/>
            <w:shd w:val="clear" w:fill="FAFAFA"/>
          </w:tcPr>
          <w:p>
            <w:r/>
            <w:r>
              <w:rPr>
                <w:rFonts w:ascii="Arial" w:hAnsi="Arial"/>
                <w:b w:val="0"/>
                <w:i w:val="0"/>
                <w:sz w:val="18"/>
              </w:rPr>
              <w:t>Rand-driven COGS; deep volume hit; NKD integration</w:t>
            </w:r>
          </w:p>
        </w:tc>
        <w:tc>
          <w:tcPr>
            <w:tcW w:type="dxa" w:w="2860"/>
            <w:shd w:val="clear" w:fill="FAFAFA"/>
          </w:tcPr>
          <w:p>
            <w:r/>
            <w:r>
              <w:rPr>
                <w:rFonts w:ascii="Arial" w:hAnsi="Arial"/>
                <w:b w:val="0"/>
                <w:i w:val="0"/>
                <w:sz w:val="18"/>
              </w:rPr>
              <w:t>Lower debtor interest; soft NKD translation; relative under-performance</w:t>
            </w:r>
          </w:p>
        </w:tc>
        <w:tc>
          <w:tcPr>
            <w:tcW w:type="dxa" w:w="740"/>
            <w:shd w:val="clear" w:fill="FAFAFA"/>
          </w:tcPr>
          <w:p>
            <w:r/>
            <w:r>
              <w:rPr>
                <w:rFonts w:ascii="Arial" w:hAnsi="Arial"/>
                <w:b w:val="0"/>
                <w:i w:val="0"/>
                <w:sz w:val="18"/>
              </w:rPr>
              <w:t>(e) S1+S2</w:t>
            </w:r>
          </w:p>
        </w:tc>
      </w:tr>
    </w:tbl>
    <w:p>
      <w:pPr>
        <w:spacing w:after="40" w:before="0"/>
      </w:pPr>
    </w:p>
    <w:p>
      <w:pPr>
        <w:spacing w:after="120" w:before="0"/>
      </w:pPr>
      <w:r>
        <w:rPr>
          <w:rFonts w:ascii="Arial" w:hAnsi="Arial"/>
          <w:b w:val="0"/>
          <w:i w:val="0"/>
          <w:sz w:val="21"/>
        </w:rPr>
        <w:t>All HEPS / sales / margin ranges above are analyst estimates (e), derived by applying the macro-deck scenario levels (S5) to MRP's FY2026 reported actuals (S1) and the cash-based, net-cash, import-exposed structure described by the retail lens. They are directional ranges for decision framing, not point forecasts; numbers are sacred, so every figure carried into the note from the filings (Section 2) is reported, and every forward range is explicitly tagged (e).</w:t>
      </w:r>
    </w:p>
    <w:p>
      <w:pPr>
        <w:pStyle w:val="Heading1"/>
      </w:pPr>
      <w:r>
        <w:t>8.  General risk scan</w:t>
      </w:r>
    </w:p>
    <w:p>
      <w:pPr>
        <w:pStyle w:val="ListBullet"/>
        <w:spacing w:after="80"/>
      </w:pPr>
      <w:r>
        <w:rPr>
          <w:rFonts w:ascii="Arial" w:hAnsi="Arial"/>
          <w:b/>
          <w:i w:val="0"/>
          <w:sz w:val="21"/>
        </w:rPr>
        <w:t xml:space="preserve">Going concern / audit opinion: </w:t>
      </w:r>
      <w:r>
        <w:rPr>
          <w:rFonts w:ascii="Arial" w:hAnsi="Arial"/>
          <w:b w:val="0"/>
          <w:i w:val="0"/>
          <w:sz w:val="21"/>
        </w:rPr>
        <w:t>No going-concern or qualified-opinion language in the available FY2026 results release; full AFS binary not yet archived (coverage gap). (S1)</w:t>
      </w:r>
    </w:p>
    <w:p>
      <w:pPr>
        <w:pStyle w:val="ListBullet"/>
        <w:spacing w:after="80"/>
      </w:pPr>
      <w:r>
        <w:rPr>
          <w:rFonts w:ascii="Arial" w:hAnsi="Arial"/>
          <w:b/>
          <w:i w:val="0"/>
          <w:sz w:val="21"/>
        </w:rPr>
        <w:t xml:space="preserve">Subsequent event - NKD: </w:t>
      </w:r>
      <w:r>
        <w:rPr>
          <w:rFonts w:ascii="Arial" w:hAnsi="Arial"/>
          <w:b w:val="0"/>
          <w:i w:val="0"/>
          <w:sz w:val="21"/>
        </w:rPr>
        <w:t>Material post-balance-sheet acquisition (closed ~31 Mar 2026, consolidates FY2027); ~R9.66bn / up to EUR487m; introduces first material offshore operating business, EUR translation and integration risk. Market reacted negatively on announcement (share -13.7% to R181.32, ~R6bn market value). (S2, S6)</w:t>
      </w:r>
    </w:p>
    <w:p>
      <w:pPr>
        <w:pStyle w:val="ListBullet"/>
        <w:spacing w:after="80"/>
      </w:pPr>
      <w:r>
        <w:rPr>
          <w:rFonts w:ascii="Arial" w:hAnsi="Arial"/>
          <w:b/>
          <w:i w:val="0"/>
          <w:sz w:val="21"/>
        </w:rPr>
        <w:t xml:space="preserve">Once-off items: </w:t>
      </w:r>
      <w:r>
        <w:rPr>
          <w:rFonts w:ascii="Arial" w:hAnsi="Arial"/>
          <w:b w:val="0"/>
          <w:i w:val="0"/>
          <w:sz w:val="21"/>
        </w:rPr>
        <w:t>All NKD transaction costs expensed in FY2026, depressing statutory HEPS (+2.1%) vs normalised (+7.7%); a known, disclosed, non-recurring drag. (S1, S2)</w:t>
      </w:r>
    </w:p>
    <w:p>
      <w:pPr>
        <w:pStyle w:val="ListBullet"/>
        <w:spacing w:after="80"/>
      </w:pPr>
      <w:r>
        <w:rPr>
          <w:rFonts w:ascii="Arial" w:hAnsi="Arial"/>
          <w:b/>
          <w:i w:val="0"/>
          <w:sz w:val="21"/>
        </w:rPr>
        <w:t xml:space="preserve">Consumer / demand: </w:t>
      </w:r>
      <w:r>
        <w:rPr>
          <w:rFonts w:ascii="Arial" w:hAnsi="Arial"/>
          <w:b w:val="0"/>
          <w:i w:val="0"/>
          <w:sz w:val="21"/>
        </w:rPr>
        <w:t>Near-flat unit volumes (+0.5%) and a tough two-pot-boosted prior base flag a stressed discretionary consumer - the binding macro risk in Scenario A. (S1)</w:t>
      </w:r>
    </w:p>
    <w:p>
      <w:pPr>
        <w:pStyle w:val="ListBullet"/>
        <w:spacing w:after="80"/>
      </w:pPr>
      <w:r>
        <w:rPr>
          <w:rFonts w:ascii="Arial" w:hAnsi="Arial"/>
          <w:b/>
          <w:i w:val="0"/>
          <w:sz w:val="21"/>
        </w:rPr>
        <w:t xml:space="preserve">FX / imported COGS: </w:t>
      </w:r>
      <w:r>
        <w:rPr>
          <w:rFonts w:ascii="Arial" w:hAnsi="Arial"/>
          <w:b w:val="0"/>
          <w:i w:val="0"/>
          <w:sz w:val="21"/>
        </w:rPr>
        <w:t>Predominantly imported, rand-denominated merchandise = direct gross-margin exposure to rand weakness; the principal scenario-A vulnerability. (S1 + lens)</w:t>
      </w:r>
    </w:p>
    <w:p>
      <w:pPr>
        <w:pStyle w:val="ListBullet"/>
        <w:spacing w:after="80"/>
      </w:pPr>
      <w:r>
        <w:rPr>
          <w:rFonts w:ascii="Arial" w:hAnsi="Arial"/>
          <w:b/>
          <w:i w:val="0"/>
          <w:sz w:val="21"/>
        </w:rPr>
        <w:t xml:space="preserve">Credit book: </w:t>
      </w:r>
      <w:r>
        <w:rPr>
          <w:rFonts w:ascii="Arial" w:hAnsi="Arial"/>
          <w:b w:val="0"/>
          <w:i w:val="0"/>
          <w:sz w:val="21"/>
        </w:rPr>
        <w:t>Low risk - 89.4% cash; credit +3.5% with new accounts +11.0%, managed conservatively; small relative to peers. (S1)</w:t>
      </w:r>
    </w:p>
    <w:p>
      <w:pPr>
        <w:pStyle w:val="ListBullet"/>
        <w:spacing w:after="80"/>
      </w:pPr>
      <w:r>
        <w:rPr>
          <w:rFonts w:ascii="Arial" w:hAnsi="Arial"/>
          <w:b/>
          <w:i w:val="0"/>
          <w:sz w:val="21"/>
        </w:rPr>
        <w:t xml:space="preserve">Not separately verified (coverage gaps): </w:t>
      </w:r>
      <w:r>
        <w:rPr>
          <w:rFonts w:ascii="Arial" w:hAnsi="Arial"/>
          <w:b w:val="0"/>
          <w:i w:val="0"/>
          <w:sz w:val="21"/>
        </w:rPr>
        <w:t>exact net-cash quantum ex-leases, NKD funding structure, FY2026 remuneration, and the original SENS/AFS binaries - all outstanding pending the binary backfill (Section 11). (S1, S2)</w:t>
      </w:r>
    </w:p>
    <w:p>
      <w:pPr>
        <w:pStyle w:val="Heading1"/>
      </w:pPr>
      <w:r>
        <w:t>9.  Positive Outcomes Assessment (ESG &amp; Stakeholder)</w:t>
      </w:r>
    </w:p>
    <w:p>
      <w:pPr>
        <w:spacing w:after="160" w:before="0"/>
      </w:pPr>
      <w:r>
        <w:rPr>
          <w:rFonts w:ascii="Arial" w:hAnsi="Arial"/>
          <w:b/>
          <w:i w:val="0"/>
          <w:sz w:val="21"/>
        </w:rPr>
        <w:t xml:space="preserve">Non-financial lens - informational only. </w:t>
      </w:r>
      <w:r>
        <w:rPr>
          <w:rFonts w:ascii="Arial" w:hAnsi="Arial"/>
          <w:b w:val="0"/>
          <w:i w:val="0"/>
          <w:sz w:val="21"/>
        </w:rPr>
        <w:t>This section reflects AllWeather's 'Investing in positive outcomes' philosophy. It is a distinct, clearly-labelled lens that does NOT change, gate or tie-break the financial conclusion above, which reads identically with or without it.</w:t>
      </w:r>
    </w:p>
    <w:p>
      <w:pPr>
        <w:spacing w:after="160" w:before="0"/>
      </w:pPr>
      <w:r>
        <w:rPr>
          <w:rFonts w:ascii="Arial" w:hAnsi="Arial"/>
          <w:b/>
          <w:i w:val="0"/>
          <w:sz w:val="21"/>
        </w:rPr>
        <w:t xml:space="preserve">ESG / impact. </w:t>
      </w:r>
      <w:r>
        <w:rPr>
          <w:rFonts w:ascii="Arial" w:hAnsi="Arial"/>
          <w:b w:val="0"/>
          <w:i w:val="0"/>
          <w:sz w:val="21"/>
        </w:rPr>
        <w:t>The available FY2026 results release is a short-form financial announcement and does not disclose emissions, energy/water, transition capex, governance detail or B-BBEE metrics - so these are Not disclosed in the on-disk sources and are logged as a coverage gap to backfill from the FY2026 Integrated Annual Report / sustainability report. (S1) AllWeather view: as a cash-based, asset-light value retailer, MRP's principal environmental footprint is its imported supply chain and freight, and a closed-Strait world (Scenario A) raises shipping emissions and cost simultaneously; this is judgement, not a sourced figure, pending the IAR.</w:t>
      </w:r>
    </w:p>
    <w:p>
      <w:pPr>
        <w:spacing w:after="160" w:before="0"/>
      </w:pPr>
      <w:r>
        <w:rPr>
          <w:rFonts w:ascii="Arial" w:hAnsi="Arial"/>
          <w:b/>
          <w:i w:val="0"/>
          <w:sz w:val="21"/>
        </w:rPr>
        <w:t xml:space="preserve">Stakeholder outcomes. </w:t>
      </w:r>
      <w:r>
        <w:rPr>
          <w:rFonts w:ascii="Arial" w:hAnsi="Arial"/>
          <w:b w:val="0"/>
          <w:i w:val="0"/>
          <w:sz w:val="21"/>
        </w:rPr>
        <w:t>On disclosed, sourced evidence: MRP expanded employment and access through 196 new stores across 15 chains (a footprint of 3,182), widening product access for value-seeking SA consumers, and grew an omnichannel offer with &gt;55% click-and-collect (S1). Its value-retailing positioning provides affordable apparel and homeware to a price-sensitive, lower-to-middle-income customer base - a genuine cost-of-living cushion, most valuable precisely in the Scenario-A stress case (judgement). The NKD acquisition extends employment to a combined workforce of &gt;40,000 across Europe and SA (S2). Specific wage, safety, training and supplier/community figures are Not disclosed in the on-disk results release and are logged as a coverage gap. (S1, S2)</w:t>
      </w:r>
    </w:p>
    <w:p>
      <w:pPr>
        <w:spacing w:after="120" w:before="0"/>
      </w:pPr>
      <w:r>
        <w:rPr>
          <w:rFonts w:ascii="Arial" w:hAnsi="Arial"/>
          <w:b w:val="0"/>
          <w:i w:val="0"/>
          <w:sz w:val="21"/>
        </w:rPr>
        <w:t>Net (informational): MRP's stakeholder story - affordable product access and store-level employment growth - is evidence-positive on the disclosed footprint data, while detailed ESG metrics are simply not in the on-disk short-form release and must be backfilled from the IAR. This assessment does not alter the financial conclusion.</w:t>
      </w:r>
    </w:p>
    <w:p>
      <w:pPr>
        <w:pStyle w:val="Heading1"/>
      </w:pPr>
      <w:r>
        <w:t>10.  Management commentary &amp; what to watch</w:t>
      </w:r>
    </w:p>
    <w:p>
      <w:pPr>
        <w:spacing w:after="160" w:before="0"/>
      </w:pPr>
      <w:r>
        <w:rPr>
          <w:rFonts w:ascii="Arial" w:hAnsi="Arial"/>
          <w:b/>
          <w:i w:val="0"/>
          <w:sz w:val="21"/>
        </w:rPr>
        <w:t xml:space="preserve">Outlook (attributed). </w:t>
      </w:r>
      <w:r>
        <w:rPr>
          <w:rFonts w:ascii="Arial" w:hAnsi="Arial"/>
          <w:b w:val="0"/>
          <w:i w:val="0"/>
          <w:sz w:val="21"/>
        </w:rPr>
        <w:t>CEO Mark Blair: 'The agility of our operating model and the strength of our value retailing DNA have enabled operating leverage in a challenging retail environment... confident in our ability to perform across economic cycles.' MRP flags a rate inflexion (SARB +25bps end-May 2026) and early signs of household disposable-income recovery in 2025 but still-soft discretionary demand. (S1)</w:t>
      </w:r>
    </w:p>
    <w:p>
      <w:pPr>
        <w:spacing w:after="160" w:before="0"/>
      </w:pPr>
      <w:r>
        <w:rPr>
          <w:rFonts w:ascii="Arial" w:hAnsi="Arial"/>
          <w:b/>
          <w:i w:val="0"/>
          <w:sz w:val="21"/>
        </w:rPr>
        <w:t xml:space="preserve">Capital allocation. </w:t>
      </w:r>
      <w:r>
        <w:rPr>
          <w:rFonts w:ascii="Arial" w:hAnsi="Arial"/>
          <w:b w:val="0"/>
          <w:i w:val="0"/>
          <w:sz w:val="21"/>
        </w:rPr>
        <w:t>~63% headline-earnings payout maintained (final DPS 592.8c vs 593.5c); conservative credit-book management; the major capital event is the ~R9.66bn NKD acquisition, MRP's first material offshore deal, which it publicly defended amid investor concern (17 Mar 2026). (S1, S2)</w:t>
      </w:r>
    </w:p>
    <w:p>
      <w:pPr>
        <w:pStyle w:val="ListBullet"/>
        <w:spacing w:after="80"/>
      </w:pPr>
      <w:r>
        <w:rPr>
          <w:rFonts w:ascii="Arial" w:hAnsi="Arial"/>
          <w:b w:val="0"/>
          <w:i w:val="0"/>
          <w:sz w:val="21"/>
        </w:rPr>
        <w:t>Strait-of-Hormuz status &amp; Brent crude - the master switch (closed ~108 days as at 17 Jun 2026; Brent ~$79-81 as reopening is priced in). (S5)</w:t>
      </w:r>
    </w:p>
    <w:p>
      <w:pPr>
        <w:pStyle w:val="ListBullet"/>
        <w:spacing w:after="80"/>
      </w:pPr>
      <w:r>
        <w:rPr>
          <w:rFonts w:ascii="Arial" w:hAnsi="Arial"/>
          <w:b w:val="0"/>
          <w:i w:val="0"/>
          <w:sz w:val="21"/>
        </w:rPr>
        <w:t>USD/ZAR - MRP's single most important cost variable via imported COGS; watch the path between ~16.0 (relief) and ~18.0 (stress). (S5)</w:t>
      </w:r>
    </w:p>
    <w:p>
      <w:pPr>
        <w:pStyle w:val="ListBullet"/>
        <w:spacing w:after="80"/>
      </w:pPr>
      <w:r>
        <w:rPr>
          <w:rFonts w:ascii="Arial" w:hAnsi="Arial"/>
          <w:b w:val="0"/>
          <w:i w:val="0"/>
          <w:sz w:val="21"/>
        </w:rPr>
        <w:t>SA monthly fuel prints and the SARB MPC path between the ~6.67% and ~8.17% end-2026 scenarios - the consumer-wallet channel. (S5)</w:t>
      </w:r>
    </w:p>
    <w:p>
      <w:pPr>
        <w:pStyle w:val="ListBullet"/>
        <w:spacing w:after="80"/>
      </w:pPr>
      <w:r>
        <w:rPr>
          <w:rFonts w:ascii="Arial" w:hAnsi="Arial"/>
          <w:b w:val="0"/>
          <w:i w:val="0"/>
          <w:sz w:val="21"/>
        </w:rPr>
        <w:t>MRP H1 FY2027 interim results (~1 Nov 2026) - first period to CONSOLIDATE NKD; watch gross margin, unit-volume trend, NKD contribution and integration/translation effect. (S4)</w:t>
      </w:r>
    </w:p>
    <w:p>
      <w:pPr>
        <w:pStyle w:val="ListBullet"/>
        <w:spacing w:after="80"/>
      </w:pPr>
      <w:r>
        <w:rPr>
          <w:rFonts w:ascii="Arial" w:hAnsi="Arial"/>
          <w:b w:val="0"/>
          <w:i w:val="0"/>
          <w:sz w:val="21"/>
        </w:rPr>
        <w:t>Gross-margin and unit-volume (real LFL) trend - the cleanest read of whether the consumer is recovering (b) or retrenching (A). (S1)</w:t>
      </w:r>
    </w:p>
    <w:p>
      <w:pPr>
        <w:spacing w:after="160" w:before="0"/>
      </w:pPr>
      <w:r>
        <w:rPr>
          <w:rFonts w:ascii="Arial" w:hAnsi="Arial"/>
          <w:b/>
          <w:i w:val="0"/>
          <w:sz w:val="21"/>
        </w:rPr>
        <w:t xml:space="preserve">Questions for further research / management: </w:t>
      </w:r>
      <w:r>
        <w:rPr>
          <w:rFonts w:ascii="Arial" w:hAnsi="Arial"/>
          <w:b w:val="0"/>
          <w:i w:val="0"/>
          <w:sz w:val="21"/>
        </w:rPr>
        <w:t>(1) What share of COGS is rand-denominated import, and what is the gross-margin sensitivity to a 10% rand move? (2) How is NKD funded (cash vs debt vs EUR facility) and what is the FY2027 translation and integration-cost guidance? (3) What is the exact FY2026 net-cash position ex-IFRS-16 leases? (4) What trade-down share gains is management seeing at the value end? (5) What is the medium-term group trading-margin target post-NKD? (S1, S2)</w:t>
      </w:r>
    </w:p>
    <w:p>
      <w:pPr>
        <w:pStyle w:val="Heading1"/>
      </w:pPr>
      <w:r>
        <w:t>11.  Provenance &amp; verification appendix</w:t>
      </w:r>
    </w:p>
    <w:p>
      <w:pPr>
        <w:spacing w:after="120" w:before="0"/>
      </w:pPr>
      <w:r>
        <w:rPr>
          <w:rFonts w:ascii="Arial" w:hAnsi="Arial"/>
          <w:b w:val="0"/>
          <w:i w:val="0"/>
          <w:sz w:val="21"/>
        </w:rPr>
        <w:t>Master audit trail - every key figure presented, traceable to source in one step. (e) rows show their arithmetic. Coverage gaps: the FY2026 SENS/AFS/presentation binaries and the NKD SENS originals are NOT yet archived locally (proxy 403); figures are taken from the validated text sidecar of the official results (cross-checked vs The Citizen) and the compiled NKD press summary - backfill the originals via Claude in Chrome.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420"/>
            <w:shd w:val="clear" w:fill="1F3864"/>
          </w:tcPr>
          <w:p>
            <w:r/>
            <w:r>
              <w:rPr>
                <w:rFonts w:ascii="Arial" w:hAnsi="Arial"/>
                <w:b/>
                <w:i w:val="0"/>
                <w:color w:val="FFFFFF"/>
                <w:sz w:val="18"/>
              </w:rPr>
              <w:t>#</w:t>
            </w:r>
          </w:p>
        </w:tc>
        <w:tc>
          <w:tcPr>
            <w:tcW w:type="dxa" w:w="2360"/>
            <w:shd w:val="clear" w:fill="2E5496"/>
          </w:tcPr>
          <w:p>
            <w:r/>
            <w:r>
              <w:rPr>
                <w:rFonts w:ascii="Arial" w:hAnsi="Arial"/>
                <w:b/>
                <w:i w:val="0"/>
                <w:color w:val="FFFFFF"/>
                <w:sz w:val="18"/>
              </w:rPr>
              <w:t>Figure (as presented)</w:t>
            </w:r>
          </w:p>
        </w:tc>
        <w:tc>
          <w:tcPr>
            <w:tcW w:type="dxa" w:w="1300"/>
            <w:shd w:val="clear" w:fill="375623"/>
          </w:tcPr>
          <w:p>
            <w:r/>
            <w:r>
              <w:rPr>
                <w:rFonts w:ascii="Arial" w:hAnsi="Arial"/>
                <w:b/>
                <w:i w:val="0"/>
                <w:color w:val="FFFFFF"/>
                <w:sz w:val="18"/>
              </w:rPr>
              <w:t>Value</w:t>
            </w:r>
          </w:p>
        </w:tc>
        <w:tc>
          <w:tcPr>
            <w:tcW w:type="dxa" w:w="1700"/>
            <w:shd w:val="clear" w:fill="2E5496"/>
          </w:tcPr>
          <w:p>
            <w:r/>
            <w:r>
              <w:rPr>
                <w:rFonts w:ascii="Arial" w:hAnsi="Arial"/>
                <w:b/>
                <w:i w:val="0"/>
                <w:color w:val="FFFFFF"/>
                <w:sz w:val="18"/>
              </w:rPr>
              <w:t>Reported / Derived</w:t>
            </w:r>
          </w:p>
        </w:tc>
        <w:tc>
          <w:tcPr>
            <w:tcW w:type="dxa" w:w="700"/>
            <w:shd w:val="clear" w:fill="1F3864"/>
          </w:tcPr>
          <w:p>
            <w:r/>
            <w:r>
              <w:rPr>
                <w:rFonts w:ascii="Arial" w:hAnsi="Arial"/>
                <w:b/>
                <w:i w:val="0"/>
                <w:color w:val="FFFFFF"/>
                <w:sz w:val="18"/>
              </w:rPr>
              <w:t>Source</w:t>
            </w:r>
          </w:p>
        </w:tc>
        <w:tc>
          <w:tcPr>
            <w:tcW w:type="dxa" w:w="1640"/>
            <w:shd w:val="clear" w:fill="375623"/>
          </w:tcPr>
          <w:p>
            <w:r/>
            <w:r>
              <w:rPr>
                <w:rFonts w:ascii="Arial" w:hAnsi="Arial"/>
                <w:b/>
                <w:i w:val="0"/>
                <w:color w:val="FFFFFF"/>
                <w:sz w:val="18"/>
              </w:rPr>
              <w:t>Doc &amp; section</w:t>
            </w:r>
          </w:p>
        </w:tc>
        <w:tc>
          <w:tcPr>
            <w:tcW w:type="dxa" w:w="1140"/>
            <w:shd w:val="clear" w:fill="1F3864"/>
          </w:tcPr>
          <w:p>
            <w:r/>
            <w:r>
              <w:rPr>
                <w:rFonts w:ascii="Arial" w:hAnsi="Arial"/>
                <w:b/>
                <w:i w:val="0"/>
                <w:color w:val="FFFFFF"/>
                <w:sz w:val="18"/>
              </w:rPr>
              <w:t>Retrieved</w:t>
            </w:r>
          </w:p>
        </w:tc>
      </w:tr>
      <w:tr>
        <w:tc>
          <w:tcPr>
            <w:tcW w:type="dxa" w:w="420"/>
            <w:shd w:val="clear" w:fill="F2F2F2"/>
          </w:tcPr>
          <w:p>
            <w:r/>
            <w:r>
              <w:rPr>
                <w:rFonts w:ascii="Arial" w:hAnsi="Arial"/>
                <w:b/>
                <w:i w:val="0"/>
                <w:sz w:val="18"/>
              </w:rPr>
              <w:t>1</w:t>
            </w:r>
          </w:p>
        </w:tc>
        <w:tc>
          <w:tcPr>
            <w:tcW w:type="dxa" w:w="2360"/>
          </w:tcPr>
          <w:p>
            <w:r/>
            <w:r>
              <w:rPr>
                <w:rFonts w:ascii="Arial" w:hAnsi="Arial"/>
                <w:b w:val="0"/>
                <w:i w:val="0"/>
                <w:sz w:val="18"/>
              </w:rPr>
              <w:t>FY2026 revenue</w:t>
            </w:r>
          </w:p>
        </w:tc>
        <w:tc>
          <w:tcPr>
            <w:tcW w:type="dxa" w:w="1300"/>
          </w:tcPr>
          <w:p>
            <w:r/>
            <w:r>
              <w:rPr>
                <w:rFonts w:ascii="Arial" w:hAnsi="Arial"/>
                <w:b w:val="0"/>
                <w:i w:val="0"/>
                <w:sz w:val="18"/>
              </w:rPr>
              <w:t>R42.7bn</w:t>
            </w:r>
          </w:p>
        </w:tc>
        <w:tc>
          <w:tcPr>
            <w:tcW w:type="dxa" w:w="1700"/>
          </w:tcPr>
          <w:p>
            <w:r/>
            <w:r>
              <w:rPr>
                <w:rFonts w:ascii="Arial" w:hAnsi="Arial"/>
                <w:b w:val="0"/>
                <w:i w:val="0"/>
                <w:sz w:val="18"/>
              </w:rPr>
              <w:t>Reported</w:t>
            </w:r>
          </w:p>
        </w:tc>
        <w:tc>
          <w:tcPr>
            <w:tcW w:type="dxa" w:w="700"/>
          </w:tcPr>
          <w:p>
            <w:r/>
            <w:r>
              <w:rPr>
                <w:rFonts w:ascii="Arial" w:hAnsi="Arial"/>
                <w:b w:val="0"/>
                <w:i w:val="0"/>
                <w:sz w:val="18"/>
              </w:rPr>
              <w:t>S1</w:t>
            </w:r>
          </w:p>
        </w:tc>
        <w:tc>
          <w:tcPr>
            <w:tcW w:type="dxa" w:w="1640"/>
          </w:tcPr>
          <w:p>
            <w:r/>
            <w:r>
              <w:rPr>
                <w:rFonts w:ascii="Arial" w:hAnsi="Arial"/>
                <w:b w:val="0"/>
                <w:i w:val="0"/>
                <w:sz w:val="18"/>
              </w:rPr>
              <w:t>FY2026 results, headline (p.1)</w:t>
            </w:r>
          </w:p>
        </w:tc>
        <w:tc>
          <w:tcPr>
            <w:tcW w:type="dxa" w:w="1140"/>
          </w:tcPr>
          <w:p>
            <w:r/>
            <w:r>
              <w:rPr>
                <w:rFonts w:ascii="Arial" w:hAnsi="Arial"/>
                <w:b w:val="0"/>
                <w:i w:val="0"/>
                <w:sz w:val="18"/>
              </w:rPr>
              <w:t>2026-06-05</w:t>
            </w:r>
          </w:p>
        </w:tc>
      </w:tr>
      <w:tr>
        <w:tc>
          <w:tcPr>
            <w:tcW w:type="dxa" w:w="420"/>
            <w:shd w:val="clear" w:fill="F2F2F2"/>
          </w:tcPr>
          <w:p>
            <w:r/>
            <w:r>
              <w:rPr>
                <w:rFonts w:ascii="Arial" w:hAnsi="Arial"/>
                <w:b/>
                <w:i w:val="0"/>
                <w:sz w:val="18"/>
              </w:rPr>
              <w:t>2</w:t>
            </w:r>
          </w:p>
        </w:tc>
        <w:tc>
          <w:tcPr>
            <w:tcW w:type="dxa" w:w="2360"/>
            <w:shd w:val="clear" w:fill="FAFAFA"/>
          </w:tcPr>
          <w:p>
            <w:r/>
            <w:r>
              <w:rPr>
                <w:rFonts w:ascii="Arial" w:hAnsi="Arial"/>
                <w:b w:val="0"/>
                <w:i w:val="0"/>
                <w:sz w:val="18"/>
              </w:rPr>
              <w:t>FY2026 retail sales (+4.3%)</w:t>
            </w:r>
          </w:p>
        </w:tc>
        <w:tc>
          <w:tcPr>
            <w:tcW w:type="dxa" w:w="1300"/>
            <w:shd w:val="clear" w:fill="FAFAFA"/>
          </w:tcPr>
          <w:p>
            <w:r/>
            <w:r>
              <w:rPr>
                <w:rFonts w:ascii="Arial" w:hAnsi="Arial"/>
                <w:b w:val="0"/>
                <w:i w:val="0"/>
                <w:sz w:val="18"/>
              </w:rPr>
              <w:t>R41.1bn</w:t>
            </w:r>
          </w:p>
        </w:tc>
        <w:tc>
          <w:tcPr>
            <w:tcW w:type="dxa" w:w="1700"/>
            <w:shd w:val="clear" w:fill="FAFAFA"/>
          </w:tcPr>
          <w:p>
            <w:r/>
            <w:r>
              <w:rPr>
                <w:rFonts w:ascii="Arial" w:hAnsi="Arial"/>
                <w:b w:val="0"/>
                <w:i w:val="0"/>
                <w:sz w:val="18"/>
              </w:rPr>
              <w:t>Reported</w:t>
            </w:r>
          </w:p>
        </w:tc>
        <w:tc>
          <w:tcPr>
            <w:tcW w:type="dxa" w:w="700"/>
            <w:shd w:val="clear" w:fill="FAFAFA"/>
          </w:tcPr>
          <w:p>
            <w:r/>
            <w:r>
              <w:rPr>
                <w:rFonts w:ascii="Arial" w:hAnsi="Arial"/>
                <w:b w:val="0"/>
                <w:i w:val="0"/>
                <w:sz w:val="18"/>
              </w:rPr>
              <w:t>S1</w:t>
            </w:r>
          </w:p>
        </w:tc>
        <w:tc>
          <w:tcPr>
            <w:tcW w:type="dxa" w:w="1640"/>
            <w:shd w:val="clear" w:fill="FAFAFA"/>
          </w:tcPr>
          <w:p>
            <w:r/>
            <w:r>
              <w:rPr>
                <w:rFonts w:ascii="Arial" w:hAnsi="Arial"/>
                <w:b w:val="0"/>
                <w:i w:val="0"/>
                <w:sz w:val="18"/>
              </w:rPr>
              <w:t>FY2026 results, headline (p.1)</w:t>
            </w:r>
          </w:p>
        </w:tc>
        <w:tc>
          <w:tcPr>
            <w:tcW w:type="dxa" w:w="1140"/>
            <w:shd w:val="clear" w:fill="FAFAFA"/>
          </w:tcPr>
          <w:p>
            <w:r/>
            <w:r>
              <w:rPr>
                <w:rFonts w:ascii="Arial" w:hAnsi="Arial"/>
                <w:b w:val="0"/>
                <w:i w:val="0"/>
                <w:sz w:val="18"/>
              </w:rPr>
              <w:t>2026-06-05</w:t>
            </w:r>
          </w:p>
        </w:tc>
      </w:tr>
      <w:tr>
        <w:tc>
          <w:tcPr>
            <w:tcW w:type="dxa" w:w="420"/>
            <w:shd w:val="clear" w:fill="F2F2F2"/>
          </w:tcPr>
          <w:p>
            <w:r/>
            <w:r>
              <w:rPr>
                <w:rFonts w:ascii="Arial" w:hAnsi="Arial"/>
                <w:b/>
                <w:i w:val="0"/>
                <w:sz w:val="18"/>
              </w:rPr>
              <w:t>3</w:t>
            </w:r>
          </w:p>
        </w:tc>
        <w:tc>
          <w:tcPr>
            <w:tcW w:type="dxa" w:w="2360"/>
          </w:tcPr>
          <w:p>
            <w:r/>
            <w:r>
              <w:rPr>
                <w:rFonts w:ascii="Arial" w:hAnsi="Arial"/>
                <w:b w:val="0"/>
                <w:i w:val="0"/>
                <w:sz w:val="18"/>
              </w:rPr>
              <w:t>FY2026 operating profit (+4.3%)</w:t>
            </w:r>
          </w:p>
        </w:tc>
        <w:tc>
          <w:tcPr>
            <w:tcW w:type="dxa" w:w="1300"/>
          </w:tcPr>
          <w:p>
            <w:r/>
            <w:r>
              <w:rPr>
                <w:rFonts w:ascii="Arial" w:hAnsi="Arial"/>
                <w:b w:val="0"/>
                <w:i w:val="0"/>
                <w:sz w:val="18"/>
              </w:rPr>
              <w:t>R6.0bn</w:t>
            </w:r>
          </w:p>
        </w:tc>
        <w:tc>
          <w:tcPr>
            <w:tcW w:type="dxa" w:w="1700"/>
          </w:tcPr>
          <w:p>
            <w:r/>
            <w:r>
              <w:rPr>
                <w:rFonts w:ascii="Arial" w:hAnsi="Arial"/>
                <w:b w:val="0"/>
                <w:i w:val="0"/>
                <w:sz w:val="18"/>
              </w:rPr>
              <w:t>Reported</w:t>
            </w:r>
          </w:p>
        </w:tc>
        <w:tc>
          <w:tcPr>
            <w:tcW w:type="dxa" w:w="700"/>
          </w:tcPr>
          <w:p>
            <w:r/>
            <w:r>
              <w:rPr>
                <w:rFonts w:ascii="Arial" w:hAnsi="Arial"/>
                <w:b w:val="0"/>
                <w:i w:val="0"/>
                <w:sz w:val="18"/>
              </w:rPr>
              <w:t>S1</w:t>
            </w:r>
          </w:p>
        </w:tc>
        <w:tc>
          <w:tcPr>
            <w:tcW w:type="dxa" w:w="1640"/>
          </w:tcPr>
          <w:p>
            <w:r/>
            <w:r>
              <w:rPr>
                <w:rFonts w:ascii="Arial" w:hAnsi="Arial"/>
                <w:b w:val="0"/>
                <w:i w:val="0"/>
                <w:sz w:val="18"/>
              </w:rPr>
              <w:t>FY2026 results, headline (p.1)</w:t>
            </w:r>
          </w:p>
        </w:tc>
        <w:tc>
          <w:tcPr>
            <w:tcW w:type="dxa" w:w="1140"/>
          </w:tcPr>
          <w:p>
            <w:r/>
            <w:r>
              <w:rPr>
                <w:rFonts w:ascii="Arial" w:hAnsi="Arial"/>
                <w:b w:val="0"/>
                <w:i w:val="0"/>
                <w:sz w:val="18"/>
              </w:rPr>
              <w:t>2026-06-05</w:t>
            </w:r>
          </w:p>
        </w:tc>
      </w:tr>
      <w:tr>
        <w:tc>
          <w:tcPr>
            <w:tcW w:type="dxa" w:w="420"/>
            <w:shd w:val="clear" w:fill="F2F2F2"/>
          </w:tcPr>
          <w:p>
            <w:r/>
            <w:r>
              <w:rPr>
                <w:rFonts w:ascii="Arial" w:hAnsi="Arial"/>
                <w:b/>
                <w:i w:val="0"/>
                <w:sz w:val="18"/>
              </w:rPr>
              <w:t>4</w:t>
            </w:r>
          </w:p>
        </w:tc>
        <w:tc>
          <w:tcPr>
            <w:tcW w:type="dxa" w:w="2360"/>
            <w:shd w:val="clear" w:fill="FAFAFA"/>
          </w:tcPr>
          <w:p>
            <w:r/>
            <w:r>
              <w:rPr>
                <w:rFonts w:ascii="Arial" w:hAnsi="Arial"/>
                <w:b w:val="0"/>
                <w:i w:val="0"/>
                <w:sz w:val="18"/>
              </w:rPr>
              <w:t>FY2026 HEPS (statutory, +2.1%)</w:t>
            </w:r>
          </w:p>
        </w:tc>
        <w:tc>
          <w:tcPr>
            <w:tcW w:type="dxa" w:w="1300"/>
            <w:shd w:val="clear" w:fill="FAFAFA"/>
          </w:tcPr>
          <w:p>
            <w:r/>
            <w:r>
              <w:rPr>
                <w:rFonts w:ascii="Arial" w:hAnsi="Arial"/>
                <w:b w:val="0"/>
                <w:i w:val="0"/>
                <w:sz w:val="18"/>
              </w:rPr>
              <w:t>1,453.9c</w:t>
            </w:r>
          </w:p>
        </w:tc>
        <w:tc>
          <w:tcPr>
            <w:tcW w:type="dxa" w:w="1700"/>
            <w:shd w:val="clear" w:fill="FAFAFA"/>
          </w:tcPr>
          <w:p>
            <w:r/>
            <w:r>
              <w:rPr>
                <w:rFonts w:ascii="Arial" w:hAnsi="Arial"/>
                <w:b w:val="0"/>
                <w:i w:val="0"/>
                <w:sz w:val="18"/>
              </w:rPr>
              <w:t>Reported</w:t>
            </w:r>
          </w:p>
        </w:tc>
        <w:tc>
          <w:tcPr>
            <w:tcW w:type="dxa" w:w="700"/>
            <w:shd w:val="clear" w:fill="FAFAFA"/>
          </w:tcPr>
          <w:p>
            <w:r/>
            <w:r>
              <w:rPr>
                <w:rFonts w:ascii="Arial" w:hAnsi="Arial"/>
                <w:b w:val="0"/>
                <w:i w:val="0"/>
                <w:sz w:val="18"/>
              </w:rPr>
              <w:t>S1</w:t>
            </w:r>
          </w:p>
        </w:tc>
        <w:tc>
          <w:tcPr>
            <w:tcW w:type="dxa" w:w="1640"/>
            <w:shd w:val="clear" w:fill="FAFAFA"/>
          </w:tcPr>
          <w:p>
            <w:r/>
            <w:r>
              <w:rPr>
                <w:rFonts w:ascii="Arial" w:hAnsi="Arial"/>
                <w:b w:val="0"/>
                <w:i w:val="0"/>
                <w:sz w:val="18"/>
              </w:rPr>
              <w:t>FY2026 results, EPS (p.1)</w:t>
            </w:r>
          </w:p>
        </w:tc>
        <w:tc>
          <w:tcPr>
            <w:tcW w:type="dxa" w:w="1140"/>
            <w:shd w:val="clear" w:fill="FAFAFA"/>
          </w:tcPr>
          <w:p>
            <w:r/>
            <w:r>
              <w:rPr>
                <w:rFonts w:ascii="Arial" w:hAnsi="Arial"/>
                <w:b w:val="0"/>
                <w:i w:val="0"/>
                <w:sz w:val="18"/>
              </w:rPr>
              <w:t>2026-06-05</w:t>
            </w:r>
          </w:p>
        </w:tc>
      </w:tr>
      <w:tr>
        <w:tc>
          <w:tcPr>
            <w:tcW w:type="dxa" w:w="420"/>
            <w:shd w:val="clear" w:fill="F2F2F2"/>
          </w:tcPr>
          <w:p>
            <w:r/>
            <w:r>
              <w:rPr>
                <w:rFonts w:ascii="Arial" w:hAnsi="Arial"/>
                <w:b/>
                <w:i w:val="0"/>
                <w:sz w:val="18"/>
              </w:rPr>
              <w:t>5</w:t>
            </w:r>
          </w:p>
        </w:tc>
        <w:tc>
          <w:tcPr>
            <w:tcW w:type="dxa" w:w="2360"/>
          </w:tcPr>
          <w:p>
            <w:r/>
            <w:r>
              <w:rPr>
                <w:rFonts w:ascii="Arial" w:hAnsi="Arial"/>
                <w:b w:val="0"/>
                <w:i w:val="0"/>
                <w:sz w:val="18"/>
              </w:rPr>
              <w:t>FY2026 normalised HEPS growth</w:t>
            </w:r>
          </w:p>
        </w:tc>
        <w:tc>
          <w:tcPr>
            <w:tcW w:type="dxa" w:w="1300"/>
          </w:tcPr>
          <w:p>
            <w:r/>
            <w:r>
              <w:rPr>
                <w:rFonts w:ascii="Arial" w:hAnsi="Arial"/>
                <w:b w:val="0"/>
                <w:i w:val="0"/>
                <w:sz w:val="18"/>
              </w:rPr>
              <w:t>+7.7%</w:t>
            </w:r>
          </w:p>
        </w:tc>
        <w:tc>
          <w:tcPr>
            <w:tcW w:type="dxa" w:w="1700"/>
          </w:tcPr>
          <w:p>
            <w:r/>
            <w:r>
              <w:rPr>
                <w:rFonts w:ascii="Arial" w:hAnsi="Arial"/>
                <w:b w:val="0"/>
                <w:i w:val="0"/>
                <w:sz w:val="18"/>
              </w:rPr>
              <w:t>Reported</w:t>
            </w:r>
          </w:p>
        </w:tc>
        <w:tc>
          <w:tcPr>
            <w:tcW w:type="dxa" w:w="700"/>
          </w:tcPr>
          <w:p>
            <w:r/>
            <w:r>
              <w:rPr>
                <w:rFonts w:ascii="Arial" w:hAnsi="Arial"/>
                <w:b w:val="0"/>
                <w:i w:val="0"/>
                <w:sz w:val="18"/>
              </w:rPr>
              <w:t>S1</w:t>
            </w:r>
          </w:p>
        </w:tc>
        <w:tc>
          <w:tcPr>
            <w:tcW w:type="dxa" w:w="1640"/>
          </w:tcPr>
          <w:p>
            <w:r/>
            <w:r>
              <w:rPr>
                <w:rFonts w:ascii="Arial" w:hAnsi="Arial"/>
                <w:b w:val="0"/>
                <w:i w:val="0"/>
                <w:sz w:val="18"/>
              </w:rPr>
              <w:t>FY2026 results, EPS (p.1)</w:t>
            </w:r>
          </w:p>
        </w:tc>
        <w:tc>
          <w:tcPr>
            <w:tcW w:type="dxa" w:w="1140"/>
          </w:tcPr>
          <w:p>
            <w:r/>
            <w:r>
              <w:rPr>
                <w:rFonts w:ascii="Arial" w:hAnsi="Arial"/>
                <w:b w:val="0"/>
                <w:i w:val="0"/>
                <w:sz w:val="18"/>
              </w:rPr>
              <w:t>2026-06-05</w:t>
            </w:r>
          </w:p>
        </w:tc>
      </w:tr>
      <w:tr>
        <w:tc>
          <w:tcPr>
            <w:tcW w:type="dxa" w:w="420"/>
            <w:shd w:val="clear" w:fill="F2F2F2"/>
          </w:tcPr>
          <w:p>
            <w:r/>
            <w:r>
              <w:rPr>
                <w:rFonts w:ascii="Arial" w:hAnsi="Arial"/>
                <w:b/>
                <w:i w:val="0"/>
                <w:sz w:val="18"/>
              </w:rPr>
              <w:t>6</w:t>
            </w:r>
          </w:p>
        </w:tc>
        <w:tc>
          <w:tcPr>
            <w:tcW w:type="dxa" w:w="2360"/>
            <w:shd w:val="clear" w:fill="FAFAFA"/>
          </w:tcPr>
          <w:p>
            <w:r/>
            <w:r>
              <w:rPr>
                <w:rFonts w:ascii="Arial" w:hAnsi="Arial"/>
                <w:b w:val="0"/>
                <w:i w:val="0"/>
                <w:sz w:val="18"/>
              </w:rPr>
              <w:t>FY2026 final DPS</w:t>
            </w:r>
          </w:p>
        </w:tc>
        <w:tc>
          <w:tcPr>
            <w:tcW w:type="dxa" w:w="1300"/>
            <w:shd w:val="clear" w:fill="FAFAFA"/>
          </w:tcPr>
          <w:p>
            <w:r/>
            <w:r>
              <w:rPr>
                <w:rFonts w:ascii="Arial" w:hAnsi="Arial"/>
                <w:b w:val="0"/>
                <w:i w:val="0"/>
                <w:sz w:val="18"/>
              </w:rPr>
              <w:t>592.8c</w:t>
            </w:r>
          </w:p>
        </w:tc>
        <w:tc>
          <w:tcPr>
            <w:tcW w:type="dxa" w:w="1700"/>
            <w:shd w:val="clear" w:fill="FAFAFA"/>
          </w:tcPr>
          <w:p>
            <w:r/>
            <w:r>
              <w:rPr>
                <w:rFonts w:ascii="Arial" w:hAnsi="Arial"/>
                <w:b w:val="0"/>
                <w:i w:val="0"/>
                <w:sz w:val="18"/>
              </w:rPr>
              <w:t>Reported</w:t>
            </w:r>
          </w:p>
        </w:tc>
        <w:tc>
          <w:tcPr>
            <w:tcW w:type="dxa" w:w="700"/>
            <w:shd w:val="clear" w:fill="FAFAFA"/>
          </w:tcPr>
          <w:p>
            <w:r/>
            <w:r>
              <w:rPr>
                <w:rFonts w:ascii="Arial" w:hAnsi="Arial"/>
                <w:b w:val="0"/>
                <w:i w:val="0"/>
                <w:sz w:val="18"/>
              </w:rPr>
              <w:t>S1</w:t>
            </w:r>
          </w:p>
        </w:tc>
        <w:tc>
          <w:tcPr>
            <w:tcW w:type="dxa" w:w="1640"/>
            <w:shd w:val="clear" w:fill="FAFAFA"/>
          </w:tcPr>
          <w:p>
            <w:r/>
            <w:r>
              <w:rPr>
                <w:rFonts w:ascii="Arial" w:hAnsi="Arial"/>
                <w:b w:val="0"/>
                <w:i w:val="0"/>
                <w:sz w:val="18"/>
              </w:rPr>
              <w:t>FY2026 results, dividend (p.1)</w:t>
            </w:r>
          </w:p>
        </w:tc>
        <w:tc>
          <w:tcPr>
            <w:tcW w:type="dxa" w:w="1140"/>
            <w:shd w:val="clear" w:fill="FAFAFA"/>
          </w:tcPr>
          <w:p>
            <w:r/>
            <w:r>
              <w:rPr>
                <w:rFonts w:ascii="Arial" w:hAnsi="Arial"/>
                <w:b w:val="0"/>
                <w:i w:val="0"/>
                <w:sz w:val="18"/>
              </w:rPr>
              <w:t>2026-06-05</w:t>
            </w:r>
          </w:p>
        </w:tc>
      </w:tr>
      <w:tr>
        <w:tc>
          <w:tcPr>
            <w:tcW w:type="dxa" w:w="420"/>
            <w:shd w:val="clear" w:fill="F2F2F2"/>
          </w:tcPr>
          <w:p>
            <w:r/>
            <w:r>
              <w:rPr>
                <w:rFonts w:ascii="Arial" w:hAnsi="Arial"/>
                <w:b/>
                <w:i w:val="0"/>
                <w:sz w:val="18"/>
              </w:rPr>
              <w:t>7</w:t>
            </w:r>
          </w:p>
        </w:tc>
        <w:tc>
          <w:tcPr>
            <w:tcW w:type="dxa" w:w="2360"/>
          </w:tcPr>
          <w:p>
            <w:r/>
            <w:r>
              <w:rPr>
                <w:rFonts w:ascii="Arial" w:hAnsi="Arial"/>
                <w:b w:val="0"/>
                <w:i w:val="0"/>
                <w:sz w:val="18"/>
              </w:rPr>
              <w:t>Cash sales % of retail sales</w:t>
            </w:r>
          </w:p>
        </w:tc>
        <w:tc>
          <w:tcPr>
            <w:tcW w:type="dxa" w:w="1300"/>
          </w:tcPr>
          <w:p>
            <w:r/>
            <w:r>
              <w:rPr>
                <w:rFonts w:ascii="Arial" w:hAnsi="Arial"/>
                <w:b w:val="0"/>
                <w:i w:val="0"/>
                <w:sz w:val="18"/>
              </w:rPr>
              <w:t>89.4%</w:t>
            </w:r>
          </w:p>
        </w:tc>
        <w:tc>
          <w:tcPr>
            <w:tcW w:type="dxa" w:w="1700"/>
          </w:tcPr>
          <w:p>
            <w:r/>
            <w:r>
              <w:rPr>
                <w:rFonts w:ascii="Arial" w:hAnsi="Arial"/>
                <w:b w:val="0"/>
                <w:i w:val="0"/>
                <w:sz w:val="18"/>
              </w:rPr>
              <w:t>Reported</w:t>
            </w:r>
          </w:p>
        </w:tc>
        <w:tc>
          <w:tcPr>
            <w:tcW w:type="dxa" w:w="700"/>
          </w:tcPr>
          <w:p>
            <w:r/>
            <w:r>
              <w:rPr>
                <w:rFonts w:ascii="Arial" w:hAnsi="Arial"/>
                <w:b w:val="0"/>
                <w:i w:val="0"/>
                <w:sz w:val="18"/>
              </w:rPr>
              <w:t>S1</w:t>
            </w:r>
          </w:p>
        </w:tc>
        <w:tc>
          <w:tcPr>
            <w:tcW w:type="dxa" w:w="1640"/>
          </w:tcPr>
          <w:p>
            <w:r/>
            <w:r>
              <w:rPr>
                <w:rFonts w:ascii="Arial" w:hAnsi="Arial"/>
                <w:b w:val="0"/>
                <w:i w:val="0"/>
                <w:sz w:val="18"/>
              </w:rPr>
              <w:t>FY2026 results, key points (p.1)</w:t>
            </w:r>
          </w:p>
        </w:tc>
        <w:tc>
          <w:tcPr>
            <w:tcW w:type="dxa" w:w="1140"/>
          </w:tcPr>
          <w:p>
            <w:r/>
            <w:r>
              <w:rPr>
                <w:rFonts w:ascii="Arial" w:hAnsi="Arial"/>
                <w:b w:val="0"/>
                <w:i w:val="0"/>
                <w:sz w:val="18"/>
              </w:rPr>
              <w:t>2026-06-05</w:t>
            </w:r>
          </w:p>
        </w:tc>
      </w:tr>
      <w:tr>
        <w:tc>
          <w:tcPr>
            <w:tcW w:type="dxa" w:w="420"/>
            <w:shd w:val="clear" w:fill="F2F2F2"/>
          </w:tcPr>
          <w:p>
            <w:r/>
            <w:r>
              <w:rPr>
                <w:rFonts w:ascii="Arial" w:hAnsi="Arial"/>
                <w:b/>
                <w:i w:val="0"/>
                <w:sz w:val="18"/>
              </w:rPr>
              <w:t>8</w:t>
            </w:r>
          </w:p>
        </w:tc>
        <w:tc>
          <w:tcPr>
            <w:tcW w:type="dxa" w:w="2360"/>
            <w:shd w:val="clear" w:fill="FAFAFA"/>
          </w:tcPr>
          <w:p>
            <w:r/>
            <w:r>
              <w:rPr>
                <w:rFonts w:ascii="Arial" w:hAnsi="Arial"/>
                <w:b w:val="0"/>
                <w:i w:val="0"/>
                <w:sz w:val="18"/>
              </w:rPr>
              <w:t>Online sales growth</w:t>
            </w:r>
          </w:p>
        </w:tc>
        <w:tc>
          <w:tcPr>
            <w:tcW w:type="dxa" w:w="1300"/>
            <w:shd w:val="clear" w:fill="FAFAFA"/>
          </w:tcPr>
          <w:p>
            <w:r/>
            <w:r>
              <w:rPr>
                <w:rFonts w:ascii="Arial" w:hAnsi="Arial"/>
                <w:b w:val="0"/>
                <w:i w:val="0"/>
                <w:sz w:val="18"/>
              </w:rPr>
              <w:t>+4.9%</w:t>
            </w:r>
          </w:p>
        </w:tc>
        <w:tc>
          <w:tcPr>
            <w:tcW w:type="dxa" w:w="1700"/>
            <w:shd w:val="clear" w:fill="FAFAFA"/>
          </w:tcPr>
          <w:p>
            <w:r/>
            <w:r>
              <w:rPr>
                <w:rFonts w:ascii="Arial" w:hAnsi="Arial"/>
                <w:b w:val="0"/>
                <w:i w:val="0"/>
                <w:sz w:val="18"/>
              </w:rPr>
              <w:t>Reported</w:t>
            </w:r>
          </w:p>
        </w:tc>
        <w:tc>
          <w:tcPr>
            <w:tcW w:type="dxa" w:w="700"/>
            <w:shd w:val="clear" w:fill="FAFAFA"/>
          </w:tcPr>
          <w:p>
            <w:r/>
            <w:r>
              <w:rPr>
                <w:rFonts w:ascii="Arial" w:hAnsi="Arial"/>
                <w:b w:val="0"/>
                <w:i w:val="0"/>
                <w:sz w:val="18"/>
              </w:rPr>
              <w:t>S1</w:t>
            </w:r>
          </w:p>
        </w:tc>
        <w:tc>
          <w:tcPr>
            <w:tcW w:type="dxa" w:w="1640"/>
            <w:shd w:val="clear" w:fill="FAFAFA"/>
          </w:tcPr>
          <w:p>
            <w:r/>
            <w:r>
              <w:rPr>
                <w:rFonts w:ascii="Arial" w:hAnsi="Arial"/>
                <w:b w:val="0"/>
                <w:i w:val="0"/>
                <w:sz w:val="18"/>
              </w:rPr>
              <w:t>FY2026 results, key points (p.1)</w:t>
            </w:r>
          </w:p>
        </w:tc>
        <w:tc>
          <w:tcPr>
            <w:tcW w:type="dxa" w:w="1140"/>
            <w:shd w:val="clear" w:fill="FAFAFA"/>
          </w:tcPr>
          <w:p>
            <w:r/>
            <w:r>
              <w:rPr>
                <w:rFonts w:ascii="Arial" w:hAnsi="Arial"/>
                <w:b w:val="0"/>
                <w:i w:val="0"/>
                <w:sz w:val="18"/>
              </w:rPr>
              <w:t>2026-06-05</w:t>
            </w:r>
          </w:p>
        </w:tc>
      </w:tr>
      <w:tr>
        <w:tc>
          <w:tcPr>
            <w:tcW w:type="dxa" w:w="420"/>
            <w:shd w:val="clear" w:fill="F2F2F2"/>
          </w:tcPr>
          <w:p>
            <w:r/>
            <w:r>
              <w:rPr>
                <w:rFonts w:ascii="Arial" w:hAnsi="Arial"/>
                <w:b/>
                <w:i w:val="0"/>
                <w:sz w:val="18"/>
              </w:rPr>
              <w:t>9</w:t>
            </w:r>
          </w:p>
        </w:tc>
        <w:tc>
          <w:tcPr>
            <w:tcW w:type="dxa" w:w="2360"/>
          </w:tcPr>
          <w:p>
            <w:r/>
            <w:r>
              <w:rPr>
                <w:rFonts w:ascii="Arial" w:hAnsi="Arial"/>
                <w:b w:val="0"/>
                <w:i w:val="0"/>
                <w:sz w:val="18"/>
              </w:rPr>
              <w:t>Unit sales / RSP inflation</w:t>
            </w:r>
          </w:p>
        </w:tc>
        <w:tc>
          <w:tcPr>
            <w:tcW w:type="dxa" w:w="1300"/>
          </w:tcPr>
          <w:p>
            <w:r/>
            <w:r>
              <w:rPr>
                <w:rFonts w:ascii="Arial" w:hAnsi="Arial"/>
                <w:b w:val="0"/>
                <w:i w:val="0"/>
                <w:sz w:val="18"/>
              </w:rPr>
              <w:t>+0.5% / 3.8%</w:t>
            </w:r>
          </w:p>
        </w:tc>
        <w:tc>
          <w:tcPr>
            <w:tcW w:type="dxa" w:w="1700"/>
          </w:tcPr>
          <w:p>
            <w:r/>
            <w:r>
              <w:rPr>
                <w:rFonts w:ascii="Arial" w:hAnsi="Arial"/>
                <w:b w:val="0"/>
                <w:i w:val="0"/>
                <w:sz w:val="18"/>
              </w:rPr>
              <w:t>Reported</w:t>
            </w:r>
          </w:p>
        </w:tc>
        <w:tc>
          <w:tcPr>
            <w:tcW w:type="dxa" w:w="700"/>
          </w:tcPr>
          <w:p>
            <w:r/>
            <w:r>
              <w:rPr>
                <w:rFonts w:ascii="Arial" w:hAnsi="Arial"/>
                <w:b w:val="0"/>
                <w:i w:val="0"/>
                <w:sz w:val="18"/>
              </w:rPr>
              <w:t>S1</w:t>
            </w:r>
          </w:p>
        </w:tc>
        <w:tc>
          <w:tcPr>
            <w:tcW w:type="dxa" w:w="1640"/>
          </w:tcPr>
          <w:p>
            <w:r/>
            <w:r>
              <w:rPr>
                <w:rFonts w:ascii="Arial" w:hAnsi="Arial"/>
                <w:b w:val="0"/>
                <w:i w:val="0"/>
                <w:sz w:val="18"/>
              </w:rPr>
              <w:t>FY2026 results, headline (p.1)</w:t>
            </w:r>
          </w:p>
        </w:tc>
        <w:tc>
          <w:tcPr>
            <w:tcW w:type="dxa" w:w="1140"/>
          </w:tcPr>
          <w:p>
            <w:r/>
            <w:r>
              <w:rPr>
                <w:rFonts w:ascii="Arial" w:hAnsi="Arial"/>
                <w:b w:val="0"/>
                <w:i w:val="0"/>
                <w:sz w:val="18"/>
              </w:rPr>
              <w:t>2026-06-05</w:t>
            </w:r>
          </w:p>
        </w:tc>
      </w:tr>
      <w:tr>
        <w:tc>
          <w:tcPr>
            <w:tcW w:type="dxa" w:w="420"/>
            <w:shd w:val="clear" w:fill="F2F2F2"/>
          </w:tcPr>
          <w:p>
            <w:r/>
            <w:r>
              <w:rPr>
                <w:rFonts w:ascii="Arial" w:hAnsi="Arial"/>
                <w:b/>
                <w:i w:val="0"/>
                <w:sz w:val="18"/>
              </w:rPr>
              <w:t>10</w:t>
            </w:r>
          </w:p>
        </w:tc>
        <w:tc>
          <w:tcPr>
            <w:tcW w:type="dxa" w:w="2360"/>
            <w:shd w:val="clear" w:fill="FAFAFA"/>
          </w:tcPr>
          <w:p>
            <w:r/>
            <w:r>
              <w:rPr>
                <w:rFonts w:ascii="Arial" w:hAnsi="Arial"/>
                <w:b w:val="0"/>
                <w:i w:val="0"/>
                <w:sz w:val="18"/>
              </w:rPr>
              <w:t>New stores / footprint / space</w:t>
            </w:r>
          </w:p>
        </w:tc>
        <w:tc>
          <w:tcPr>
            <w:tcW w:type="dxa" w:w="1300"/>
            <w:shd w:val="clear" w:fill="FAFAFA"/>
          </w:tcPr>
          <w:p>
            <w:r/>
            <w:r>
              <w:rPr>
                <w:rFonts w:ascii="Arial" w:hAnsi="Arial"/>
                <w:b w:val="0"/>
                <w:i w:val="0"/>
                <w:sz w:val="18"/>
              </w:rPr>
              <w:t>196 / 3,182 / +3.6%</w:t>
            </w:r>
          </w:p>
        </w:tc>
        <w:tc>
          <w:tcPr>
            <w:tcW w:type="dxa" w:w="1700"/>
            <w:shd w:val="clear" w:fill="FAFAFA"/>
          </w:tcPr>
          <w:p>
            <w:r/>
            <w:r>
              <w:rPr>
                <w:rFonts w:ascii="Arial" w:hAnsi="Arial"/>
                <w:b w:val="0"/>
                <w:i w:val="0"/>
                <w:sz w:val="18"/>
              </w:rPr>
              <w:t>Reported</w:t>
            </w:r>
          </w:p>
        </w:tc>
        <w:tc>
          <w:tcPr>
            <w:tcW w:type="dxa" w:w="700"/>
            <w:shd w:val="clear" w:fill="FAFAFA"/>
          </w:tcPr>
          <w:p>
            <w:r/>
            <w:r>
              <w:rPr>
                <w:rFonts w:ascii="Arial" w:hAnsi="Arial"/>
                <w:b w:val="0"/>
                <w:i w:val="0"/>
                <w:sz w:val="18"/>
              </w:rPr>
              <w:t>S1</w:t>
            </w:r>
          </w:p>
        </w:tc>
        <w:tc>
          <w:tcPr>
            <w:tcW w:type="dxa" w:w="1640"/>
            <w:shd w:val="clear" w:fill="FAFAFA"/>
          </w:tcPr>
          <w:p>
            <w:r/>
            <w:r>
              <w:rPr>
                <w:rFonts w:ascii="Arial" w:hAnsi="Arial"/>
                <w:b w:val="0"/>
                <w:i w:val="0"/>
                <w:sz w:val="18"/>
              </w:rPr>
              <w:t>FY2026 results, key points (p.1)</w:t>
            </w:r>
          </w:p>
        </w:tc>
        <w:tc>
          <w:tcPr>
            <w:tcW w:type="dxa" w:w="1140"/>
            <w:shd w:val="clear" w:fill="FAFAFA"/>
          </w:tcPr>
          <w:p>
            <w:r/>
            <w:r>
              <w:rPr>
                <w:rFonts w:ascii="Arial" w:hAnsi="Arial"/>
                <w:b w:val="0"/>
                <w:i w:val="0"/>
                <w:sz w:val="18"/>
              </w:rPr>
              <w:t>2026-06-05</w:t>
            </w:r>
          </w:p>
        </w:tc>
      </w:tr>
      <w:tr>
        <w:tc>
          <w:tcPr>
            <w:tcW w:type="dxa" w:w="420"/>
            <w:shd w:val="clear" w:fill="F2F2F2"/>
          </w:tcPr>
          <w:p>
            <w:r/>
            <w:r>
              <w:rPr>
                <w:rFonts w:ascii="Arial" w:hAnsi="Arial"/>
                <w:b/>
                <w:i w:val="0"/>
                <w:sz w:val="18"/>
              </w:rPr>
              <w:t>11</w:t>
            </w:r>
          </w:p>
        </w:tc>
        <w:tc>
          <w:tcPr>
            <w:tcW w:type="dxa" w:w="2360"/>
          </w:tcPr>
          <w:p>
            <w:r/>
            <w:r>
              <w:rPr>
                <w:rFonts w:ascii="Arial" w:hAnsi="Arial"/>
                <w:b w:val="0"/>
                <w:i w:val="0"/>
                <w:sz w:val="18"/>
              </w:rPr>
              <w:t>FY2025 HEPS (pcp) (e)</w:t>
            </w:r>
          </w:p>
        </w:tc>
        <w:tc>
          <w:tcPr>
            <w:tcW w:type="dxa" w:w="1300"/>
          </w:tcPr>
          <w:p>
            <w:r/>
            <w:r>
              <w:rPr>
                <w:rFonts w:ascii="Arial" w:hAnsi="Arial"/>
                <w:b w:val="0"/>
                <w:i w:val="0"/>
                <w:sz w:val="18"/>
              </w:rPr>
              <w:t>1,424.0c (e)</w:t>
            </w:r>
          </w:p>
        </w:tc>
        <w:tc>
          <w:tcPr>
            <w:tcW w:type="dxa" w:w="1700"/>
          </w:tcPr>
          <w:p>
            <w:r/>
            <w:r>
              <w:rPr>
                <w:rFonts w:ascii="Arial" w:hAnsi="Arial"/>
                <w:b w:val="0"/>
                <w:i w:val="0"/>
                <w:sz w:val="18"/>
              </w:rPr>
              <w:t>Derived: 1,453.9 / 1.021</w:t>
            </w:r>
          </w:p>
        </w:tc>
        <w:tc>
          <w:tcPr>
            <w:tcW w:type="dxa" w:w="700"/>
          </w:tcPr>
          <w:p>
            <w:r/>
            <w:r>
              <w:rPr>
                <w:rFonts w:ascii="Arial" w:hAnsi="Arial"/>
                <w:b w:val="0"/>
                <w:i w:val="0"/>
                <w:sz w:val="18"/>
              </w:rPr>
              <w:t>S1</w:t>
            </w:r>
          </w:p>
        </w:tc>
        <w:tc>
          <w:tcPr>
            <w:tcW w:type="dxa" w:w="1640"/>
          </w:tcPr>
          <w:p>
            <w:r/>
            <w:r>
              <w:rPr>
                <w:rFonts w:ascii="Arial" w:hAnsi="Arial"/>
                <w:b w:val="0"/>
                <w:i w:val="0"/>
                <w:sz w:val="18"/>
              </w:rPr>
              <w:t>FY2026 results, +2.1% growth (p.1)</w:t>
            </w:r>
          </w:p>
        </w:tc>
        <w:tc>
          <w:tcPr>
            <w:tcW w:type="dxa" w:w="1140"/>
          </w:tcPr>
          <w:p>
            <w:r/>
            <w:r>
              <w:rPr>
                <w:rFonts w:ascii="Arial" w:hAnsi="Arial"/>
                <w:b w:val="0"/>
                <w:i w:val="0"/>
                <w:sz w:val="18"/>
              </w:rPr>
              <w:t>2026-06-05</w:t>
            </w:r>
          </w:p>
        </w:tc>
      </w:tr>
      <w:tr>
        <w:tc>
          <w:tcPr>
            <w:tcW w:type="dxa" w:w="420"/>
            <w:shd w:val="clear" w:fill="F2F2F2"/>
          </w:tcPr>
          <w:p>
            <w:r/>
            <w:r>
              <w:rPr>
                <w:rFonts w:ascii="Arial" w:hAnsi="Arial"/>
                <w:b/>
                <w:i w:val="0"/>
                <w:sz w:val="18"/>
              </w:rPr>
              <w:t>12</w:t>
            </w:r>
          </w:p>
        </w:tc>
        <w:tc>
          <w:tcPr>
            <w:tcW w:type="dxa" w:w="2360"/>
            <w:shd w:val="clear" w:fill="FAFAFA"/>
          </w:tcPr>
          <w:p>
            <w:r/>
            <w:r>
              <w:rPr>
                <w:rFonts w:ascii="Arial" w:hAnsi="Arial"/>
                <w:b w:val="0"/>
                <w:i w:val="0"/>
                <w:sz w:val="18"/>
              </w:rPr>
              <w:t>FY2025 revenue (pcp) (e)</w:t>
            </w:r>
          </w:p>
        </w:tc>
        <w:tc>
          <w:tcPr>
            <w:tcW w:type="dxa" w:w="1300"/>
            <w:shd w:val="clear" w:fill="FAFAFA"/>
          </w:tcPr>
          <w:p>
            <w:r/>
            <w:r>
              <w:rPr>
                <w:rFonts w:ascii="Arial" w:hAnsi="Arial"/>
                <w:b w:val="0"/>
                <w:i w:val="0"/>
                <w:sz w:val="18"/>
              </w:rPr>
              <w:t>~R40.9bn (e)</w:t>
            </w:r>
          </w:p>
        </w:tc>
        <w:tc>
          <w:tcPr>
            <w:tcW w:type="dxa" w:w="1700"/>
            <w:shd w:val="clear" w:fill="FAFAFA"/>
          </w:tcPr>
          <w:p>
            <w:r/>
            <w:r>
              <w:rPr>
                <w:rFonts w:ascii="Arial" w:hAnsi="Arial"/>
                <w:b w:val="0"/>
                <w:i w:val="0"/>
                <w:sz w:val="18"/>
              </w:rPr>
              <w:t>Derived: 42.7 / 1.043</w:t>
            </w:r>
          </w:p>
        </w:tc>
        <w:tc>
          <w:tcPr>
            <w:tcW w:type="dxa" w:w="700"/>
            <w:shd w:val="clear" w:fill="FAFAFA"/>
          </w:tcPr>
          <w:p>
            <w:r/>
            <w:r>
              <w:rPr>
                <w:rFonts w:ascii="Arial" w:hAnsi="Arial"/>
                <w:b w:val="0"/>
                <w:i w:val="0"/>
                <w:sz w:val="18"/>
              </w:rPr>
              <w:t>S1</w:t>
            </w:r>
          </w:p>
        </w:tc>
        <w:tc>
          <w:tcPr>
            <w:tcW w:type="dxa" w:w="1640"/>
            <w:shd w:val="clear" w:fill="FAFAFA"/>
          </w:tcPr>
          <w:p>
            <w:r/>
            <w:r>
              <w:rPr>
                <w:rFonts w:ascii="Arial" w:hAnsi="Arial"/>
                <w:b w:val="0"/>
                <w:i w:val="0"/>
                <w:sz w:val="18"/>
              </w:rPr>
              <w:t>FY2026 results, +4.3% (p.1)</w:t>
            </w:r>
          </w:p>
        </w:tc>
        <w:tc>
          <w:tcPr>
            <w:tcW w:type="dxa" w:w="1140"/>
            <w:shd w:val="clear" w:fill="FAFAFA"/>
          </w:tcPr>
          <w:p>
            <w:r/>
            <w:r>
              <w:rPr>
                <w:rFonts w:ascii="Arial" w:hAnsi="Arial"/>
                <w:b w:val="0"/>
                <w:i w:val="0"/>
                <w:sz w:val="18"/>
              </w:rPr>
              <w:t>2026-06-05</w:t>
            </w:r>
          </w:p>
        </w:tc>
      </w:tr>
      <w:tr>
        <w:tc>
          <w:tcPr>
            <w:tcW w:type="dxa" w:w="420"/>
            <w:shd w:val="clear" w:fill="F2F2F2"/>
          </w:tcPr>
          <w:p>
            <w:r/>
            <w:r>
              <w:rPr>
                <w:rFonts w:ascii="Arial" w:hAnsi="Arial"/>
                <w:b/>
                <w:i w:val="0"/>
                <w:sz w:val="18"/>
              </w:rPr>
              <w:t>13</w:t>
            </w:r>
          </w:p>
        </w:tc>
        <w:tc>
          <w:tcPr>
            <w:tcW w:type="dxa" w:w="2360"/>
          </w:tcPr>
          <w:p>
            <w:r/>
            <w:r>
              <w:rPr>
                <w:rFonts w:ascii="Arial" w:hAnsi="Arial"/>
                <w:b w:val="0"/>
                <w:i w:val="0"/>
                <w:sz w:val="18"/>
              </w:rPr>
              <w:t>NKD consideration</w:t>
            </w:r>
          </w:p>
        </w:tc>
        <w:tc>
          <w:tcPr>
            <w:tcW w:type="dxa" w:w="1300"/>
          </w:tcPr>
          <w:p>
            <w:r/>
            <w:r>
              <w:rPr>
                <w:rFonts w:ascii="Arial" w:hAnsi="Arial"/>
                <w:b w:val="0"/>
                <w:i w:val="0"/>
                <w:sz w:val="18"/>
              </w:rPr>
              <w:t>up to EUR487m (~R9.66bn)</w:t>
            </w:r>
          </w:p>
        </w:tc>
        <w:tc>
          <w:tcPr>
            <w:tcW w:type="dxa" w:w="1700"/>
          </w:tcPr>
          <w:p>
            <w:r/>
            <w:r>
              <w:rPr>
                <w:rFonts w:ascii="Arial" w:hAnsi="Arial"/>
                <w:b w:val="0"/>
                <w:i w:val="0"/>
                <w:sz w:val="18"/>
              </w:rPr>
              <w:t>Reported</w:t>
            </w:r>
          </w:p>
        </w:tc>
        <w:tc>
          <w:tcPr>
            <w:tcW w:type="dxa" w:w="700"/>
          </w:tcPr>
          <w:p>
            <w:r/>
            <w:r>
              <w:rPr>
                <w:rFonts w:ascii="Arial" w:hAnsi="Arial"/>
                <w:b w:val="0"/>
                <w:i w:val="0"/>
                <w:sz w:val="18"/>
              </w:rPr>
              <w:t>S2</w:t>
            </w:r>
          </w:p>
        </w:tc>
        <w:tc>
          <w:tcPr>
            <w:tcW w:type="dxa" w:w="1640"/>
          </w:tcPr>
          <w:p>
            <w:r/>
            <w:r>
              <w:rPr>
                <w:rFonts w:ascii="Arial" w:hAnsi="Arial"/>
                <w:b w:val="0"/>
                <w:i w:val="0"/>
                <w:sz w:val="18"/>
              </w:rPr>
              <w:t>NKD acquisition summary</w:t>
            </w:r>
          </w:p>
        </w:tc>
        <w:tc>
          <w:tcPr>
            <w:tcW w:type="dxa" w:w="1140"/>
          </w:tcPr>
          <w:p>
            <w:r/>
            <w:r>
              <w:rPr>
                <w:rFonts w:ascii="Arial" w:hAnsi="Arial"/>
                <w:b w:val="0"/>
                <w:i w:val="0"/>
                <w:sz w:val="18"/>
              </w:rPr>
              <w:t>2026-06-05</w:t>
            </w:r>
          </w:p>
        </w:tc>
      </w:tr>
      <w:tr>
        <w:tc>
          <w:tcPr>
            <w:tcW w:type="dxa" w:w="420"/>
            <w:shd w:val="clear" w:fill="F2F2F2"/>
          </w:tcPr>
          <w:p>
            <w:r/>
            <w:r>
              <w:rPr>
                <w:rFonts w:ascii="Arial" w:hAnsi="Arial"/>
                <w:b/>
                <w:i w:val="0"/>
                <w:sz w:val="18"/>
              </w:rPr>
              <w:t>14</w:t>
            </w:r>
          </w:p>
        </w:tc>
        <w:tc>
          <w:tcPr>
            <w:tcW w:type="dxa" w:w="2360"/>
            <w:shd w:val="clear" w:fill="FAFAFA"/>
          </w:tcPr>
          <w:p>
            <w:r/>
            <w:r>
              <w:rPr>
                <w:rFonts w:ascii="Arial" w:hAnsi="Arial"/>
                <w:b w:val="0"/>
                <w:i w:val="0"/>
                <w:sz w:val="18"/>
              </w:rPr>
              <w:t>Combined footprint / workforce</w:t>
            </w:r>
          </w:p>
        </w:tc>
        <w:tc>
          <w:tcPr>
            <w:tcW w:type="dxa" w:w="1300"/>
            <w:shd w:val="clear" w:fill="FAFAFA"/>
          </w:tcPr>
          <w:p>
            <w:r/>
            <w:r>
              <w:rPr>
                <w:rFonts w:ascii="Arial" w:hAnsi="Arial"/>
                <w:b w:val="0"/>
                <w:i w:val="0"/>
                <w:sz w:val="18"/>
              </w:rPr>
              <w:t>&gt;5,000 stores / &gt;40,000</w:t>
            </w:r>
          </w:p>
        </w:tc>
        <w:tc>
          <w:tcPr>
            <w:tcW w:type="dxa" w:w="1700"/>
            <w:shd w:val="clear" w:fill="FAFAFA"/>
          </w:tcPr>
          <w:p>
            <w:r/>
            <w:r>
              <w:rPr>
                <w:rFonts w:ascii="Arial" w:hAnsi="Arial"/>
                <w:b w:val="0"/>
                <w:i w:val="0"/>
                <w:sz w:val="18"/>
              </w:rPr>
              <w:t>Reported</w:t>
            </w:r>
          </w:p>
        </w:tc>
        <w:tc>
          <w:tcPr>
            <w:tcW w:type="dxa" w:w="700"/>
            <w:shd w:val="clear" w:fill="FAFAFA"/>
          </w:tcPr>
          <w:p>
            <w:r/>
            <w:r>
              <w:rPr>
                <w:rFonts w:ascii="Arial" w:hAnsi="Arial"/>
                <w:b w:val="0"/>
                <w:i w:val="0"/>
                <w:sz w:val="18"/>
              </w:rPr>
              <w:t>S2</w:t>
            </w:r>
          </w:p>
        </w:tc>
        <w:tc>
          <w:tcPr>
            <w:tcW w:type="dxa" w:w="1640"/>
            <w:shd w:val="clear" w:fill="FAFAFA"/>
          </w:tcPr>
          <w:p>
            <w:r/>
            <w:r>
              <w:rPr>
                <w:rFonts w:ascii="Arial" w:hAnsi="Arial"/>
                <w:b w:val="0"/>
                <w:i w:val="0"/>
                <w:sz w:val="18"/>
              </w:rPr>
              <w:t>NKD acquisition summary</w:t>
            </w:r>
          </w:p>
        </w:tc>
        <w:tc>
          <w:tcPr>
            <w:tcW w:type="dxa" w:w="1140"/>
            <w:shd w:val="clear" w:fill="FAFAFA"/>
          </w:tcPr>
          <w:p>
            <w:r/>
            <w:r>
              <w:rPr>
                <w:rFonts w:ascii="Arial" w:hAnsi="Arial"/>
                <w:b w:val="0"/>
                <w:i w:val="0"/>
                <w:sz w:val="18"/>
              </w:rPr>
              <w:t>2026-06-05</w:t>
            </w:r>
          </w:p>
        </w:tc>
      </w:tr>
      <w:tr>
        <w:tc>
          <w:tcPr>
            <w:tcW w:type="dxa" w:w="420"/>
            <w:shd w:val="clear" w:fill="F2F2F2"/>
          </w:tcPr>
          <w:p>
            <w:r/>
            <w:r>
              <w:rPr>
                <w:rFonts w:ascii="Arial" w:hAnsi="Arial"/>
                <w:b/>
                <w:i w:val="0"/>
                <w:sz w:val="18"/>
              </w:rPr>
              <w:t>15</w:t>
            </w:r>
          </w:p>
        </w:tc>
        <w:tc>
          <w:tcPr>
            <w:tcW w:type="dxa" w:w="2360"/>
          </w:tcPr>
          <w:p>
            <w:r/>
            <w:r>
              <w:rPr>
                <w:rFonts w:ascii="Arial" w:hAnsi="Arial"/>
                <w:b w:val="0"/>
                <w:i w:val="0"/>
                <w:sz w:val="18"/>
              </w:rPr>
              <w:t>MRP share reaction on announcement</w:t>
            </w:r>
          </w:p>
        </w:tc>
        <w:tc>
          <w:tcPr>
            <w:tcW w:type="dxa" w:w="1300"/>
          </w:tcPr>
          <w:p>
            <w:r/>
            <w:r>
              <w:rPr>
                <w:rFonts w:ascii="Arial" w:hAnsi="Arial"/>
                <w:b w:val="0"/>
                <w:i w:val="0"/>
                <w:sz w:val="18"/>
              </w:rPr>
              <w:t>-13.7% to R181.32</w:t>
            </w:r>
          </w:p>
        </w:tc>
        <w:tc>
          <w:tcPr>
            <w:tcW w:type="dxa" w:w="1700"/>
          </w:tcPr>
          <w:p>
            <w:r/>
            <w:r>
              <w:rPr>
                <w:rFonts w:ascii="Arial" w:hAnsi="Arial"/>
                <w:b w:val="0"/>
                <w:i w:val="0"/>
                <w:sz w:val="18"/>
              </w:rPr>
              <w:t>Reported</w:t>
            </w:r>
          </w:p>
        </w:tc>
        <w:tc>
          <w:tcPr>
            <w:tcW w:type="dxa" w:w="700"/>
          </w:tcPr>
          <w:p>
            <w:r/>
            <w:r>
              <w:rPr>
                <w:rFonts w:ascii="Arial" w:hAnsi="Arial"/>
                <w:b w:val="0"/>
                <w:i w:val="0"/>
                <w:sz w:val="18"/>
              </w:rPr>
              <w:t>S2</w:t>
            </w:r>
          </w:p>
        </w:tc>
        <w:tc>
          <w:tcPr>
            <w:tcW w:type="dxa" w:w="1640"/>
          </w:tcPr>
          <w:p>
            <w:r/>
            <w:r>
              <w:rPr>
                <w:rFonts w:ascii="Arial" w:hAnsi="Arial"/>
                <w:b w:val="0"/>
                <w:i w:val="0"/>
                <w:sz w:val="18"/>
              </w:rPr>
              <w:t>NKD acquisition summary</w:t>
            </w:r>
          </w:p>
        </w:tc>
        <w:tc>
          <w:tcPr>
            <w:tcW w:type="dxa" w:w="1140"/>
          </w:tcPr>
          <w:p>
            <w:r/>
            <w:r>
              <w:rPr>
                <w:rFonts w:ascii="Arial" w:hAnsi="Arial"/>
                <w:b w:val="0"/>
                <w:i w:val="0"/>
                <w:sz w:val="18"/>
              </w:rPr>
              <w:t>2026-06-05</w:t>
            </w:r>
          </w:p>
        </w:tc>
      </w:tr>
      <w:tr>
        <w:tc>
          <w:tcPr>
            <w:tcW w:type="dxa" w:w="420"/>
            <w:shd w:val="clear" w:fill="F2F2F2"/>
          </w:tcPr>
          <w:p>
            <w:r/>
            <w:r>
              <w:rPr>
                <w:rFonts w:ascii="Arial" w:hAnsi="Arial"/>
                <w:b/>
                <w:i w:val="0"/>
                <w:sz w:val="18"/>
              </w:rPr>
              <w:t>16</w:t>
            </w:r>
          </w:p>
        </w:tc>
        <w:tc>
          <w:tcPr>
            <w:tcW w:type="dxa" w:w="2360"/>
            <w:shd w:val="clear" w:fill="FAFAFA"/>
          </w:tcPr>
          <w:p>
            <w:r/>
            <w:r>
              <w:rPr>
                <w:rFonts w:ascii="Arial" w:hAnsi="Arial"/>
                <w:b w:val="0"/>
                <w:i w:val="0"/>
                <w:sz w:val="18"/>
              </w:rPr>
              <w:t>Scenario A macro (closed = deck B)</w:t>
            </w:r>
          </w:p>
        </w:tc>
        <w:tc>
          <w:tcPr>
            <w:tcW w:type="dxa" w:w="1300"/>
            <w:shd w:val="clear" w:fill="FAFAFA"/>
          </w:tcPr>
          <w:p>
            <w:r/>
            <w:r>
              <w:rPr>
                <w:rFonts w:ascii="Arial" w:hAnsi="Arial"/>
                <w:b w:val="0"/>
                <w:i w:val="0"/>
                <w:sz w:val="18"/>
              </w:rPr>
              <w:t>Brent $100 / ZAR 17.5-18.0 / repo 8.17% / petrol 29.5-30.5</w:t>
            </w:r>
          </w:p>
        </w:tc>
        <w:tc>
          <w:tcPr>
            <w:tcW w:type="dxa" w:w="1700"/>
            <w:shd w:val="clear" w:fill="FAFAFA"/>
          </w:tcPr>
          <w:p>
            <w:r/>
            <w:r>
              <w:rPr>
                <w:rFonts w:ascii="Arial" w:hAnsi="Arial"/>
                <w:b w:val="0"/>
                <w:i w:val="0"/>
                <w:sz w:val="18"/>
              </w:rPr>
              <w:t>Reported (deck)</w:t>
            </w:r>
          </w:p>
        </w:tc>
        <w:tc>
          <w:tcPr>
            <w:tcW w:type="dxa" w:w="700"/>
            <w:shd w:val="clear" w:fill="FAFAFA"/>
          </w:tcPr>
          <w:p>
            <w:r/>
            <w:r>
              <w:rPr>
                <w:rFonts w:ascii="Arial" w:hAnsi="Arial"/>
                <w:b w:val="0"/>
                <w:i w:val="0"/>
                <w:sz w:val="18"/>
              </w:rPr>
              <w:t>S5</w:t>
            </w:r>
          </w:p>
        </w:tc>
        <w:tc>
          <w:tcPr>
            <w:tcW w:type="dxa" w:w="1640"/>
            <w:shd w:val="clear" w:fill="FAFAFA"/>
          </w:tcPr>
          <w:p>
            <w:r/>
            <w:r>
              <w:rPr>
                <w:rFonts w:ascii="Arial" w:hAnsi="Arial"/>
                <w:b w:val="0"/>
                <w:i w:val="0"/>
                <w:sz w:val="18"/>
              </w:rPr>
              <w:t>macro/latest.json scenario_levels</w:t>
            </w:r>
          </w:p>
        </w:tc>
        <w:tc>
          <w:tcPr>
            <w:tcW w:type="dxa" w:w="1140"/>
            <w:shd w:val="clear" w:fill="FAFAFA"/>
          </w:tcPr>
          <w:p>
            <w:r/>
            <w:r>
              <w:rPr>
                <w:rFonts w:ascii="Arial" w:hAnsi="Arial"/>
                <w:b w:val="0"/>
                <w:i w:val="0"/>
                <w:sz w:val="18"/>
              </w:rPr>
              <w:t>2026-06-17</w:t>
            </w:r>
          </w:p>
        </w:tc>
      </w:tr>
      <w:tr>
        <w:tc>
          <w:tcPr>
            <w:tcW w:type="dxa" w:w="420"/>
            <w:shd w:val="clear" w:fill="F2F2F2"/>
          </w:tcPr>
          <w:p>
            <w:r/>
            <w:r>
              <w:rPr>
                <w:rFonts w:ascii="Arial" w:hAnsi="Arial"/>
                <w:b/>
                <w:i w:val="0"/>
                <w:sz w:val="18"/>
              </w:rPr>
              <w:t>17</w:t>
            </w:r>
          </w:p>
        </w:tc>
        <w:tc>
          <w:tcPr>
            <w:tcW w:type="dxa" w:w="2360"/>
          </w:tcPr>
          <w:p>
            <w:r/>
            <w:r>
              <w:rPr>
                <w:rFonts w:ascii="Arial" w:hAnsi="Arial"/>
                <w:b w:val="0"/>
                <w:i w:val="0"/>
                <w:sz w:val="18"/>
              </w:rPr>
              <w:t>Scenario b macro (open = deck A)</w:t>
            </w:r>
          </w:p>
        </w:tc>
        <w:tc>
          <w:tcPr>
            <w:tcW w:type="dxa" w:w="1300"/>
          </w:tcPr>
          <w:p>
            <w:r/>
            <w:r>
              <w:rPr>
                <w:rFonts w:ascii="Arial" w:hAnsi="Arial"/>
                <w:b w:val="0"/>
                <w:i w:val="0"/>
                <w:sz w:val="18"/>
              </w:rPr>
              <w:t>Brent $72 / ZAR 16.0-15.8 / repo 6.67-6.25% / petrol 25.5-24.5</w:t>
            </w:r>
          </w:p>
        </w:tc>
        <w:tc>
          <w:tcPr>
            <w:tcW w:type="dxa" w:w="1700"/>
          </w:tcPr>
          <w:p>
            <w:r/>
            <w:r>
              <w:rPr>
                <w:rFonts w:ascii="Arial" w:hAnsi="Arial"/>
                <w:b w:val="0"/>
                <w:i w:val="0"/>
                <w:sz w:val="18"/>
              </w:rPr>
              <w:t>Reported (deck)</w:t>
            </w:r>
          </w:p>
        </w:tc>
        <w:tc>
          <w:tcPr>
            <w:tcW w:type="dxa" w:w="700"/>
          </w:tcPr>
          <w:p>
            <w:r/>
            <w:r>
              <w:rPr>
                <w:rFonts w:ascii="Arial" w:hAnsi="Arial"/>
                <w:b w:val="0"/>
                <w:i w:val="0"/>
                <w:sz w:val="18"/>
              </w:rPr>
              <w:t>S5</w:t>
            </w:r>
          </w:p>
        </w:tc>
        <w:tc>
          <w:tcPr>
            <w:tcW w:type="dxa" w:w="1640"/>
          </w:tcPr>
          <w:p>
            <w:r/>
            <w:r>
              <w:rPr>
                <w:rFonts w:ascii="Arial" w:hAnsi="Arial"/>
                <w:b w:val="0"/>
                <w:i w:val="0"/>
                <w:sz w:val="18"/>
              </w:rPr>
              <w:t>macro/latest.json scenario_levels</w:t>
            </w:r>
          </w:p>
        </w:tc>
        <w:tc>
          <w:tcPr>
            <w:tcW w:type="dxa" w:w="1140"/>
          </w:tcPr>
          <w:p>
            <w:r/>
            <w:r>
              <w:rPr>
                <w:rFonts w:ascii="Arial" w:hAnsi="Arial"/>
                <w:b w:val="0"/>
                <w:i w:val="0"/>
                <w:sz w:val="18"/>
              </w:rPr>
              <w:t>2026-06-17</w:t>
            </w:r>
          </w:p>
        </w:tc>
      </w:tr>
      <w:tr>
        <w:tc>
          <w:tcPr>
            <w:tcW w:type="dxa" w:w="420"/>
            <w:shd w:val="clear" w:fill="F2F2F2"/>
          </w:tcPr>
          <w:p>
            <w:r/>
            <w:r>
              <w:rPr>
                <w:rFonts w:ascii="Arial" w:hAnsi="Arial"/>
                <w:b/>
                <w:i w:val="0"/>
                <w:sz w:val="18"/>
              </w:rPr>
              <w:t>18</w:t>
            </w:r>
          </w:p>
        </w:tc>
        <w:tc>
          <w:tcPr>
            <w:tcW w:type="dxa" w:w="2360"/>
            <w:shd w:val="clear" w:fill="FAFAFA"/>
          </w:tcPr>
          <w:p>
            <w:r/>
            <w:r>
              <w:rPr>
                <w:rFonts w:ascii="Arial" w:hAnsi="Arial"/>
                <w:b w:val="0"/>
                <w:i w:val="0"/>
                <w:sz w:val="18"/>
              </w:rPr>
              <w:t>All 12-18m sales/margin/HEPS ranges</w:t>
            </w:r>
          </w:p>
        </w:tc>
        <w:tc>
          <w:tcPr>
            <w:tcW w:type="dxa" w:w="1300"/>
            <w:shd w:val="clear" w:fill="FAFAFA"/>
          </w:tcPr>
          <w:p>
            <w:r/>
            <w:r>
              <w:rPr>
                <w:rFonts w:ascii="Arial" w:hAnsi="Arial"/>
                <w:b w:val="0"/>
                <w:i w:val="0"/>
                <w:sz w:val="18"/>
              </w:rPr>
              <w:t>see Sections 5-7</w:t>
            </w:r>
          </w:p>
        </w:tc>
        <w:tc>
          <w:tcPr>
            <w:tcW w:type="dxa" w:w="1700"/>
            <w:shd w:val="clear" w:fill="FAFAFA"/>
          </w:tcPr>
          <w:p>
            <w:r/>
            <w:r>
              <w:rPr>
                <w:rFonts w:ascii="Arial" w:hAnsi="Arial"/>
                <w:b w:val="0"/>
                <w:i w:val="0"/>
                <w:sz w:val="18"/>
              </w:rPr>
              <w:t>Derived (e): macro deck applied to FY2026 actuals</w:t>
            </w:r>
          </w:p>
        </w:tc>
        <w:tc>
          <w:tcPr>
            <w:tcW w:type="dxa" w:w="700"/>
            <w:shd w:val="clear" w:fill="FAFAFA"/>
          </w:tcPr>
          <w:p>
            <w:r/>
            <w:r>
              <w:rPr>
                <w:rFonts w:ascii="Arial" w:hAnsi="Arial"/>
                <w:b w:val="0"/>
                <w:i w:val="0"/>
                <w:sz w:val="18"/>
              </w:rPr>
              <w:t>S1+S5</w:t>
            </w:r>
          </w:p>
        </w:tc>
        <w:tc>
          <w:tcPr>
            <w:tcW w:type="dxa" w:w="1640"/>
            <w:shd w:val="clear" w:fill="FAFAFA"/>
          </w:tcPr>
          <w:p>
            <w:r/>
            <w:r>
              <w:rPr>
                <w:rFonts w:ascii="Arial" w:hAnsi="Arial"/>
                <w:b w:val="0"/>
                <w:i w:val="0"/>
                <w:sz w:val="18"/>
              </w:rPr>
              <w:t>analyst estimate</w:t>
            </w:r>
          </w:p>
        </w:tc>
        <w:tc>
          <w:tcPr>
            <w:tcW w:type="dxa" w:w="1140"/>
            <w:shd w:val="clear" w:fill="FAFAFA"/>
          </w:tcPr>
          <w:p>
            <w:r/>
            <w:r>
              <w:rPr>
                <w:rFonts w:ascii="Arial" w:hAnsi="Arial"/>
                <w:b w:val="0"/>
                <w:i w:val="0"/>
                <w:sz w:val="18"/>
              </w:rPr>
              <w:t>2026-06-18</w:t>
            </w:r>
          </w:p>
        </w:tc>
      </w:tr>
    </w:tbl>
    <w:p>
      <w:pPr>
        <w:spacing w:after="40" w:before="0"/>
      </w:pPr>
    </w:p>
    <w:p>
      <w:pPr>
        <w:pStyle w:val="Heading1"/>
      </w:pPr>
      <w:r>
        <w:t>12.  Sources</w:t>
      </w:r>
    </w:p>
    <w:p>
      <w:pPr>
        <w:spacing w:after="120" w:before="0"/>
      </w:pPr>
      <w:r>
        <w:rPr>
          <w:rFonts w:ascii="Arial" w:hAnsi="Arial"/>
          <w:b w:val="0"/>
          <w:i w:val="0"/>
          <w:sz w:val="21"/>
        </w:rPr>
        <w:t>Company filings &amp; inputs (held locally):</w:t>
      </w:r>
    </w:p>
    <w:p>
      <w:pPr>
        <w:pStyle w:val="ListBullet"/>
        <w:spacing w:after="80"/>
      </w:pPr>
      <w:r>
        <w:rPr>
          <w:rFonts w:ascii="Arial" w:hAnsi="Arial"/>
          <w:b w:val="0"/>
          <w:i w:val="0"/>
          <w:sz w:val="21"/>
        </w:rPr>
        <w:t>S1 - Mr Price Group FY2026 annual results SENS / official supplementary information, 52 weeks ended 28 March 2026 (released 5 Jun 2026). Local: companies/mr-price/annual-reports/mrprice-annual-results-fy2026-20260605.txt. Binary original NOT yet archived (proxy 403) - coverage gap.</w:t>
      </w:r>
    </w:p>
    <w:p>
      <w:pPr>
        <w:pStyle w:val="ListBullet"/>
        <w:spacing w:after="80"/>
      </w:pPr>
      <w:r>
        <w:rPr>
          <w:rFonts w:ascii="Arial" w:hAnsi="Arial"/>
          <w:b w:val="0"/>
          <w:i w:val="0"/>
          <w:sz w:val="21"/>
        </w:rPr>
        <w:t>S2 - Mr Price / NKD (Pegasus Group Holding GmbH) acquisition summary, announced 9 Dec 2025, conditions fulfilled 23 Feb 2026. Local: companies/mr-price/press-releases/mrprice-nkd-acquisition-summary-2025-2026.txt. Original SENS binaries NOT yet archived - coverage gap.</w:t>
      </w:r>
    </w:p>
    <w:p>
      <w:pPr>
        <w:pStyle w:val="ListBullet"/>
        <w:spacing w:after="80"/>
      </w:pPr>
      <w:r>
        <w:rPr>
          <w:rFonts w:ascii="Arial" w:hAnsi="Arial"/>
          <w:b w:val="0"/>
          <w:i w:val="0"/>
          <w:sz w:val="21"/>
        </w:rPr>
        <w:t>S4 - MRP next results: H1 FY2027 interim, expected ~1 Nov 2026 (first NKD consolidation). Per company.json next_expected_results.</w:t>
      </w:r>
    </w:p>
    <w:p>
      <w:pPr>
        <w:pStyle w:val="ListBullet"/>
        <w:spacing w:after="80"/>
      </w:pPr>
      <w:r>
        <w:rPr>
          <w:rFonts w:ascii="Arial" w:hAnsi="Arial"/>
          <w:b w:val="0"/>
          <w:i w:val="0"/>
          <w:sz w:val="21"/>
        </w:rPr>
        <w:t>S5 - Macro deck: Strait of Hormuz / oil / rand / rates / fuel, as at 17 Jun 2026, with A/Base/B scenario levels. Local: macro/latest.json. Levels via web search 17 Jun 2026 - may be delayed/secondary.</w:t>
      </w:r>
    </w:p>
    <w:p>
      <w:pPr>
        <w:spacing w:after="120" w:before="0"/>
      </w:pPr>
      <w:r>
        <w:rPr>
          <w:rFonts w:ascii="Arial" w:hAnsi="Arial"/>
          <w:b w:val="0"/>
          <w:i w:val="0"/>
          <w:sz w:val="21"/>
        </w:rPr>
        <w:t>External (web search / press - may be delayed/secondary):</w:t>
      </w:r>
    </w:p>
    <w:p>
      <w:pPr>
        <w:pStyle w:val="ListBullet"/>
        <w:spacing w:after="80"/>
      </w:pPr>
      <w:r>
        <w:rPr>
          <w:rFonts w:ascii="Arial" w:hAnsi="Arial"/>
          <w:b w:val="0"/>
          <w:i w:val="0"/>
          <w:sz w:val="21"/>
        </w:rPr>
        <w:t xml:space="preserve">S1 cross-check - The Citizen report of MRP FY2026 results (5 Jun 2026) - </w:t>
      </w:r>
      <w:hyperlink r:id="rId10">
        <w:r>
          <w:rPr>
            <w:rFonts w:ascii="Arial" w:hAnsi="Arial"/>
            <w:color w:val="0563C1"/>
            <w:u w:val="single"/>
            <w:sz w:val="21"/>
          </w:rPr>
          <w:t>The Citizen</w:t>
        </w:r>
      </w:hyperlink>
    </w:p>
    <w:p>
      <w:pPr>
        <w:pStyle w:val="ListBullet"/>
        <w:spacing w:after="80"/>
      </w:pPr>
      <w:r>
        <w:rPr>
          <w:rFonts w:ascii="Arial" w:hAnsi="Arial"/>
          <w:b w:val="0"/>
          <w:i w:val="0"/>
          <w:sz w:val="21"/>
        </w:rPr>
        <w:t xml:space="preserve">S1 official supplementary information PDF (to backfill) - </w:t>
      </w:r>
      <w:hyperlink r:id="rId11">
        <w:r>
          <w:rPr>
            <w:rFonts w:ascii="Arial" w:hAnsi="Arial"/>
            <w:color w:val="0563C1"/>
            <w:u w:val="single"/>
            <w:sz w:val="21"/>
          </w:rPr>
          <w:t>mrpricegroup.com supplementary info FY2026</w:t>
        </w:r>
      </w:hyperlink>
    </w:p>
    <w:p>
      <w:pPr>
        <w:pStyle w:val="ListBullet"/>
        <w:spacing w:after="80"/>
      </w:pPr>
      <w:r>
        <w:rPr>
          <w:rFonts w:ascii="Arial" w:hAnsi="Arial"/>
          <w:b w:val="0"/>
          <w:i w:val="0"/>
          <w:sz w:val="21"/>
        </w:rPr>
        <w:t xml:space="preserve">S2 - NKD R9.7bn acquisition (Daily Investor) - </w:t>
      </w:r>
      <w:hyperlink r:id="rId12">
        <w:r>
          <w:rPr>
            <w:rFonts w:ascii="Arial" w:hAnsi="Arial"/>
            <w:color w:val="0563C1"/>
            <w:u w:val="single"/>
            <w:sz w:val="21"/>
          </w:rPr>
          <w:t>Daily Investor</w:t>
        </w:r>
      </w:hyperlink>
    </w:p>
    <w:p>
      <w:pPr>
        <w:pStyle w:val="ListBullet"/>
        <w:spacing w:after="80"/>
      </w:pPr>
      <w:r>
        <w:rPr>
          <w:rFonts w:ascii="Arial" w:hAnsi="Arial"/>
          <w:b w:val="0"/>
          <w:i w:val="0"/>
          <w:sz w:val="21"/>
        </w:rPr>
        <w:t xml:space="preserve">S2 - Mr Price defends NKD acquisition (IOL, 17 Mar 2026) - </w:t>
      </w:r>
      <w:hyperlink r:id="rId13">
        <w:r>
          <w:rPr>
            <w:rFonts w:ascii="Arial" w:hAnsi="Arial"/>
            <w:color w:val="0563C1"/>
            <w:u w:val="single"/>
            <w:sz w:val="21"/>
          </w:rPr>
          <w:t>IOL</w:t>
        </w:r>
      </w:hyperlink>
    </w:p>
    <w:p>
      <w:pPr>
        <w:pStyle w:val="ListBullet"/>
        <w:spacing w:after="80"/>
      </w:pPr>
      <w:r>
        <w:rPr>
          <w:rFonts w:ascii="Arial" w:hAnsi="Arial"/>
          <w:b w:val="0"/>
          <w:i w:val="0"/>
          <w:sz w:val="21"/>
        </w:rPr>
        <w:t xml:space="preserve">S6 - Mr Price European debut / NKD deal (Cape Town Etc) - </w:t>
      </w:r>
      <w:hyperlink r:id="rId14">
        <w:r>
          <w:rPr>
            <w:rFonts w:ascii="Arial" w:hAnsi="Arial"/>
            <w:color w:val="0563C1"/>
            <w:u w:val="single"/>
            <w:sz w:val="21"/>
          </w:rPr>
          <w:t>Cape Town Etc</w:t>
        </w:r>
      </w:hyperlink>
    </w:p>
    <w:p>
      <w:pPr>
        <w:spacing w:after="120" w:before="160"/>
      </w:pPr>
      <w:r>
        <w:rPr>
          <w:rFonts w:ascii="Arial" w:hAnsi="Arial"/>
          <w:b w:val="0"/>
          <w:i/>
          <w:color w:val="595959"/>
          <w:sz w:val="16"/>
        </w:rPr>
        <w:t>For informational purposes only — not investment advice; prepared by internal research from public disclosures. Figures reported in ZAR unless stated. Reviewed vs audited status is noted per company. Forward figures and scenario levels are analyst estimates (e), not company guidance. Share/commodity prices via web search may be delayed — there is no live JSE feed here. Confirm the fund's dealing-period status before acting.</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808080"/>
        <w:sz w:val="15"/>
      </w:rPr>
      <w:t xml:space="preserve">Mr Price Group (MRP) - Hormuz Scenario Outlook - 18 June 2026 - Internal research, not investment advice  Page </w:t>
    </w:r>
    <w:fldSimple w:instr="PAGE">
      <w:r>
        <w:rPr>
          <w:sz w:val="15"/>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citizen.co.za/business/mr-price-generates-roughly-r16-4-million-a-day-in-operating-profit/" TargetMode="External"/><Relationship Id="rId11" Type="http://schemas.openxmlformats.org/officeDocument/2006/relationships/hyperlink" Target="https://mrpricegroup.com/wp-content/uploads/2026/06/Supplementary-information-FY2026.pdf" TargetMode="External"/><Relationship Id="rId12" Type="http://schemas.openxmlformats.org/officeDocument/2006/relationships/hyperlink" Target="https://dailyinvestor.com/retail/121204/mr-price-ploughs-ahead-with-controversial-r9-7-billion-purchase/" TargetMode="External"/><Relationship Id="rId13" Type="http://schemas.openxmlformats.org/officeDocument/2006/relationships/hyperlink" Target="https://iol.co.za/business-report/companies/2026-03-17-mr-price-defends-acquisition-of-europe-based-nkd-amid-investor-concerns/" TargetMode="External"/><Relationship Id="rId14" Type="http://schemas.openxmlformats.org/officeDocument/2006/relationships/hyperlink" Target="https://www.capetownetc.com/news/mr-price-european-debut-nkd-de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