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Arial" w:hAnsi="Arial"/>
          <w:b/>
          <w:i w:val="0"/>
          <w:color w:val="1F3864"/>
          <w:sz w:val="32"/>
        </w:rPr>
        <w:t>OLD MUTUAL LIMITED  -  FY2026 / FY2027 SCENARIO &amp; OUTLOOK NOTE</w:t>
      </w:r>
    </w:p>
    <w:p>
      <w:pPr>
        <w:spacing w:after="40" w:before="0"/>
      </w:pPr>
      <w:r>
        <w:rPr>
          <w:rFonts w:ascii="Arial" w:hAnsi="Arial"/>
          <w:b w:val="0"/>
          <w:i w:val="0"/>
          <w:color w:val="595959"/>
          <w:sz w:val="20"/>
        </w:rPr>
        <w:t>JSE: OMU   -   Insurance (life &amp; savings, asset management, P&amp;C, banking)   -   Reports in ZAR   -   Dec year-end</w:t>
      </w:r>
    </w:p>
    <w:p>
      <w:pPr>
        <w:spacing w:after="40" w:before="0"/>
      </w:pPr>
      <w:r>
        <w:rPr>
          <w:rFonts w:ascii="Arial" w:hAnsi="Arial"/>
          <w:b w:val="0"/>
          <w:i w:val="0"/>
          <w:color w:val="595959"/>
          <w:sz w:val="20"/>
        </w:rPr>
        <w:t>Sector lens: jse-sector-insurance (life / composite engine)   -   Anchored to FY2025 audited actuals (released 17 Mar 2026)</w:t>
      </w:r>
    </w:p>
    <w:p>
      <w:pPr>
        <w:spacing w:after="60" w:before="0"/>
      </w:pPr>
      <w:r>
        <w:rPr>
          <w:rFonts w:ascii="Arial" w:hAnsi="Arial"/>
          <w:b/>
          <w:i w:val="0"/>
          <w:sz w:val="26"/>
        </w:rPr>
        <w:t>Forward Scenario Note: Bull / Bear / Neutral Regimes, Management Sentiment &amp; Competitive Positioning</w:t>
      </w:r>
    </w:p>
    <w:p>
      <w:pPr>
        <w:spacing w:after="200" w:before="0"/>
      </w:pPr>
      <w:r>
        <w:rPr>
          <w:rFonts w:ascii="Arial" w:hAnsi="Arial"/>
          <w:b w:val="0"/>
          <w:i/>
          <w:color w:val="595959"/>
          <w:sz w:val="18"/>
        </w:rPr>
        <w:t>jse-analyst  -  18 June 2026  -  Internal research, for information only, not investment advice</w:t>
      </w:r>
    </w:p>
    <w:p>
      <w:pPr>
        <w:pStyle w:val="Heading1"/>
      </w:pPr>
      <w:r>
        <w:t>1.  Executive summary</w:t>
      </w:r>
    </w:p>
    <w:p>
      <w:pPr>
        <w:spacing w:after="160" w:before="0"/>
      </w:pPr>
      <w:r>
        <w:rPr>
          <w:rFonts w:ascii="Arial" w:hAnsi="Arial"/>
          <w:b/>
          <w:i w:val="0"/>
          <w:sz w:val="21"/>
        </w:rPr>
        <w:t xml:space="preserve">The answer, up front. </w:t>
      </w:r>
      <w:r>
        <w:rPr>
          <w:rFonts w:ascii="Arial" w:hAnsi="Arial"/>
          <w:b w:val="0"/>
          <w:i w:val="0"/>
          <w:sz w:val="21"/>
        </w:rPr>
        <w:t>Old Mutual enters FY2026 mid-reset: FY2025 was a 'steady operational' year of strategic re-tooling, not a growth year (S1, p.4, p.32). Headline operating momentum looks strong on paper - Results from Operations (RFO) +13% to R9,821m and adjusted headline earnings (AHE) +24% to R8,263m (S1, p.36) - but both were materially flattered by elevated Malawi returns and buoyant SA investment markets; management itself states that, normalising for a 30-50% Malawian kwacha devaluation, RFO growth would have been only 7-9% and AHE growth 11-16% (S1, p.33). The value engine actually went backwards: value of new business (VNB) fell 52% to R850m and the VNB margin dropped 130bps to 1.2%, BELOW the 2-3% medium-term target, after the Group strengthened persistency assumptions (S1, p.36-37). RoNAV of 15.2% just scraped into the 15-17% target band (14.0-14.5% ex-Malawi) (S1, p.36).</w:t>
      </w:r>
    </w:p>
    <w:p>
      <w:pPr>
        <w:spacing w:after="160" w:before="0"/>
      </w:pPr>
      <w:r>
        <w:rPr>
          <w:rFonts w:ascii="Arial" w:hAnsi="Arial"/>
          <w:b/>
          <w:i w:val="0"/>
          <w:sz w:val="21"/>
        </w:rPr>
        <w:t xml:space="preserve">What it means for 2026/27. </w:t>
      </w:r>
      <w:r>
        <w:rPr>
          <w:rFonts w:ascii="Arial" w:hAnsi="Arial"/>
          <w:b w:val="0"/>
          <w:i w:val="0"/>
          <w:sz w:val="21"/>
        </w:rPr>
        <w:t>The investable story is a self-help value reset, not a market-driven earnings ramp. Three levers carry the next two years: (i) restoring the VNB margin toward 2-3% via better business mix, retention and collections (S1, p.34, p.45); (ii) executing the R2.5bn cost-savings programme (R450m delivered in 2025) (S1, p.32); and (iii) ramping OM Bank toward FY2028 breakeven while the R3bn buyback (R1.3bn done) supports per-share metrics (S1, p.4, p.32). The macro backdrop is mildly constructive but not a tailwind: the SARB has just hiked to 7.00% (28 May 2026) with CPI projected at 4.4% (2026e) and GDP only 1.2% (2026e) (E2). Net: directionally flat-to-modestly-up earnings with high sensitivity to equity markets and the Malawi base unwinding.</w:t>
      </w:r>
    </w:p>
    <w:p>
      <w:pPr>
        <w:spacing w:after="160" w:before="0"/>
      </w:pPr>
      <w:r>
        <w:rPr>
          <w:rFonts w:ascii="Arial" w:hAnsi="Arial"/>
          <w:b/>
          <w:i w:val="0"/>
          <w:sz w:val="21"/>
        </w:rPr>
        <w:t xml:space="preserve">Management sentiment &amp; peer read. </w:t>
      </w:r>
      <w:r>
        <w:rPr>
          <w:rFonts w:ascii="Arial" w:hAnsi="Arial"/>
          <w:b w:val="0"/>
          <w:i w:val="0"/>
          <w:sz w:val="21"/>
        </w:rPr>
        <w:t>Net management tone is cautiously confident / execution-focused - heavy on 'on track', 'tracking well' and 'disciplined execution', but candid about a sub-target VNB margin and 'uncertain' global conditions (S1, p.32, p.34, p.41). The disclosed trajectory implies a modest UPGRADE to value-creation KPIs over the 3-year window but NO near-term earnings upgrade for 2026 (the Malawi/market base unwinds). Versus peers, OMU's reported earnings momentum lags cleaner compounders - Momentum normalised HEPS +41%, ROE 21.2%; Sanlam adjusted RoGEV ~15.4% annualised above hurdle (E3, E4) - but OMU offers more reset optionality (bank ramp, cost programme, active buyback). Relative verdict: HOLD share in Neutral, GAIN in Bull (self-help + market lift compound), LOSE in Bear (the VNB-margin gap and market-flattered base bite hardest).</w:t>
      </w:r>
    </w:p>
    <w:tbl>
      <w:tblPr>
        <w:tblStyle w:val="TableGrid"/>
        <w:tblW w:type="auto" w:w="0"/>
        <w:tblLook w:firstColumn="1" w:firstRow="1" w:lastColumn="0" w:lastRow="0" w:noHBand="0" w:noVBand="1" w:val="04A0"/>
      </w:tblPr>
      <w:tblGrid>
        <w:gridCol w:w="9360"/>
      </w:tblGrid>
      <w:tr>
        <w:tc>
          <w:tcPr>
            <w:tcW w:type="dxa" w:w="9360"/>
            <w:shd w:val="clear" w:fill="FFF7E0"/>
          </w:tcPr>
          <w:p>
            <w:pPr>
              <w:spacing w:after="0"/>
            </w:pPr>
            <w:r/>
            <w:r>
              <w:rPr>
                <w:rFonts w:ascii="Arial" w:hAnsi="Arial"/>
                <w:b/>
                <w:i w:val="0"/>
                <w:sz w:val="21"/>
              </w:rPr>
              <w:t xml:space="preserve">Coverage gap.  </w:t>
            </w:r>
            <w:r>
              <w:rPr>
                <w:rFonts w:ascii="Arial" w:hAnsi="Arial"/>
                <w:b w:val="0"/>
                <w:i w:val="0"/>
                <w:sz w:val="21"/>
              </w:rPr>
              <w:t>The validated ORIGINAL binary PDF of the FY2025 Annual Results booklet is NOT yet on disk - oldmutual.com returned HTTP 403 to the sandbox, so analysis runs off the full extracted text sidecar (109k chars), original_saved:false. A deep re-download via browser is logged to backfill the binary and the standalone Embedded Value report / SFCR (the primary value documents for a life insurer).</w:t>
            </w:r>
          </w:p>
        </w:tc>
      </w:tr>
    </w:tbl>
    <w:p>
      <w:pPr>
        <w:spacing w:after="40" w:before="0"/>
      </w:pPr>
    </w:p>
    <w:p>
      <w:pPr>
        <w:pStyle w:val="Heading1"/>
      </w:pPr>
      <w:r>
        <w:t>2.  FY2025 actuals - the sacred anchor</w:t>
      </w:r>
    </w:p>
    <w:p>
      <w:pPr>
        <w:spacing w:after="120" w:before="0"/>
      </w:pPr>
      <w:r>
        <w:rPr>
          <w:rFonts w:ascii="Arial" w:hAnsi="Arial"/>
          <w:b w:val="0"/>
          <w:i w:val="0"/>
          <w:sz w:val="21"/>
        </w:rPr>
        <w:t>Every forward figure in Sections 4-6 is anchored to these audited FY2025 actuals (joint auditors Deloitte &amp; EY, unmodified opinion). All forward numbers are tagged (e) and show their working. Source S1 = Old Mutual Group Annual Results for the year ended 31 December 2025.</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200"/>
            <w:shd w:val="clear" w:fill="1F3864"/>
          </w:tcPr>
          <w:p>
            <w:r/>
            <w:r>
              <w:rPr>
                <w:rFonts w:ascii="Arial" w:hAnsi="Arial"/>
                <w:b/>
                <w:i w:val="0"/>
                <w:color w:val="FFFFFF"/>
                <w:sz w:val="18"/>
              </w:rPr>
              <w:t>Metric (FY2025)</w:t>
            </w:r>
          </w:p>
        </w:tc>
        <w:tc>
          <w:tcPr>
            <w:tcW w:type="dxa" w:w="1500"/>
            <w:shd w:val="clear" w:fill="2E5496"/>
          </w:tcPr>
          <w:p>
            <w:r/>
            <w:r>
              <w:rPr>
                <w:rFonts w:ascii="Arial" w:hAnsi="Arial"/>
                <w:b/>
                <w:i w:val="0"/>
                <w:color w:val="FFFFFF"/>
                <w:sz w:val="18"/>
              </w:rPr>
              <w:t>FY2025</w:t>
            </w:r>
          </w:p>
        </w:tc>
        <w:tc>
          <w:tcPr>
            <w:tcW w:type="dxa" w:w="1500"/>
            <w:shd w:val="clear" w:fill="2E5496"/>
          </w:tcPr>
          <w:p>
            <w:r/>
            <w:r>
              <w:rPr>
                <w:rFonts w:ascii="Arial" w:hAnsi="Arial"/>
                <w:b/>
                <w:i w:val="0"/>
                <w:color w:val="FFFFFF"/>
                <w:sz w:val="18"/>
              </w:rPr>
              <w:t>FY2024</w:t>
            </w:r>
          </w:p>
        </w:tc>
        <w:tc>
          <w:tcPr>
            <w:tcW w:type="dxa" w:w="1100"/>
            <w:shd w:val="clear" w:fill="2E5496"/>
          </w:tcPr>
          <w:p>
            <w:r/>
            <w:r>
              <w:rPr>
                <w:rFonts w:ascii="Arial" w:hAnsi="Arial"/>
                <w:b/>
                <w:i w:val="0"/>
                <w:color w:val="FFFFFF"/>
                <w:sz w:val="18"/>
              </w:rPr>
              <w:t>Change</w:t>
            </w:r>
          </w:p>
        </w:tc>
        <w:tc>
          <w:tcPr>
            <w:tcW w:type="dxa" w:w="1060"/>
            <w:shd w:val="clear" w:fill="1F3864"/>
          </w:tcPr>
          <w:p>
            <w:r/>
            <w:r>
              <w:rPr>
                <w:rFonts w:ascii="Arial" w:hAnsi="Arial"/>
                <w:b/>
                <w:i w:val="0"/>
                <w:color w:val="FFFFFF"/>
                <w:sz w:val="18"/>
              </w:rPr>
              <w:t>Source</w:t>
            </w:r>
          </w:p>
        </w:tc>
      </w:tr>
      <w:tr>
        <w:tc>
          <w:tcPr>
            <w:tcW w:type="dxa" w:w="3200"/>
            <w:shd w:val="clear" w:fill="F2F2F2"/>
          </w:tcPr>
          <w:p>
            <w:r/>
            <w:r>
              <w:rPr>
                <w:rFonts w:ascii="Arial" w:hAnsi="Arial"/>
                <w:b/>
                <w:i w:val="0"/>
                <w:sz w:val="18"/>
              </w:rPr>
              <w:t>Results from operations (RFO), Rm</w:t>
            </w:r>
          </w:p>
        </w:tc>
        <w:tc>
          <w:tcPr>
            <w:tcW w:type="dxa" w:w="1500"/>
          </w:tcPr>
          <w:p>
            <w:r/>
            <w:r>
              <w:rPr>
                <w:rFonts w:ascii="Arial" w:hAnsi="Arial"/>
                <w:b w:val="0"/>
                <w:i w:val="0"/>
                <w:sz w:val="18"/>
              </w:rPr>
              <w:t>9,821</w:t>
            </w:r>
          </w:p>
        </w:tc>
        <w:tc>
          <w:tcPr>
            <w:tcW w:type="dxa" w:w="1500"/>
          </w:tcPr>
          <w:p>
            <w:r/>
            <w:r>
              <w:rPr>
                <w:rFonts w:ascii="Arial" w:hAnsi="Arial"/>
                <w:b w:val="0"/>
                <w:i w:val="0"/>
                <w:sz w:val="18"/>
              </w:rPr>
              <w:t>8,709</w:t>
            </w:r>
          </w:p>
        </w:tc>
        <w:tc>
          <w:tcPr>
            <w:tcW w:type="dxa" w:w="1100"/>
          </w:tcPr>
          <w:p>
            <w:r/>
            <w:r>
              <w:rPr>
                <w:rFonts w:ascii="Arial" w:hAnsi="Arial"/>
                <w:b w:val="0"/>
                <w:i w:val="0"/>
                <w:sz w:val="18"/>
              </w:rPr>
              <w:t>+13%</w:t>
            </w:r>
          </w:p>
        </w:tc>
        <w:tc>
          <w:tcPr>
            <w:tcW w:type="dxa" w:w="1060"/>
          </w:tcPr>
          <w:p>
            <w:r/>
            <w:r>
              <w:rPr>
                <w:rFonts w:ascii="Arial" w:hAnsi="Arial"/>
                <w:b w:val="0"/>
                <w:i w:val="0"/>
                <w:sz w:val="18"/>
              </w:rPr>
              <w:t>S1, p.36</w:t>
            </w:r>
          </w:p>
        </w:tc>
      </w:tr>
      <w:tr>
        <w:tc>
          <w:tcPr>
            <w:tcW w:type="dxa" w:w="3200"/>
            <w:shd w:val="clear" w:fill="F2F2F2"/>
          </w:tcPr>
          <w:p>
            <w:r/>
            <w:r>
              <w:rPr>
                <w:rFonts w:ascii="Arial" w:hAnsi="Arial"/>
                <w:b/>
                <w:i w:val="0"/>
                <w:sz w:val="18"/>
              </w:rPr>
              <w:t>Adjusted headline earnings (AHE), Rm</w:t>
            </w:r>
          </w:p>
        </w:tc>
        <w:tc>
          <w:tcPr>
            <w:tcW w:type="dxa" w:w="1500"/>
            <w:shd w:val="clear" w:fill="FAFAFA"/>
          </w:tcPr>
          <w:p>
            <w:r/>
            <w:r>
              <w:rPr>
                <w:rFonts w:ascii="Arial" w:hAnsi="Arial"/>
                <w:b w:val="0"/>
                <w:i w:val="0"/>
                <w:sz w:val="18"/>
              </w:rPr>
              <w:t>8,263</w:t>
            </w:r>
          </w:p>
        </w:tc>
        <w:tc>
          <w:tcPr>
            <w:tcW w:type="dxa" w:w="1500"/>
            <w:shd w:val="clear" w:fill="FAFAFA"/>
          </w:tcPr>
          <w:p>
            <w:r/>
            <w:r>
              <w:rPr>
                <w:rFonts w:ascii="Arial" w:hAnsi="Arial"/>
                <w:b w:val="0"/>
                <w:i w:val="0"/>
                <w:sz w:val="18"/>
              </w:rPr>
              <w:t>6,685</w:t>
            </w:r>
          </w:p>
        </w:tc>
        <w:tc>
          <w:tcPr>
            <w:tcW w:type="dxa" w:w="1100"/>
            <w:shd w:val="clear" w:fill="FAFAFA"/>
          </w:tcPr>
          <w:p>
            <w:r/>
            <w:r>
              <w:rPr>
                <w:rFonts w:ascii="Arial" w:hAnsi="Arial"/>
                <w:b w:val="0"/>
                <w:i w:val="0"/>
                <w:sz w:val="18"/>
              </w:rPr>
              <w:t>+24%</w:t>
            </w:r>
          </w:p>
        </w:tc>
        <w:tc>
          <w:tcPr>
            <w:tcW w:type="dxa" w:w="1060"/>
            <w:shd w:val="clear" w:fill="FAFAFA"/>
          </w:tcPr>
          <w:p>
            <w:r/>
            <w:r>
              <w:rPr>
                <w:rFonts w:ascii="Arial" w:hAnsi="Arial"/>
                <w:b w:val="0"/>
                <w:i w:val="0"/>
                <w:sz w:val="18"/>
              </w:rPr>
              <w:t>S1, p.36</w:t>
            </w:r>
          </w:p>
        </w:tc>
      </w:tr>
      <w:tr>
        <w:tc>
          <w:tcPr>
            <w:tcW w:type="dxa" w:w="3200"/>
            <w:shd w:val="clear" w:fill="F2F2F2"/>
          </w:tcPr>
          <w:p>
            <w:r/>
            <w:r>
              <w:rPr>
                <w:rFonts w:ascii="Arial" w:hAnsi="Arial"/>
                <w:b/>
                <w:i w:val="0"/>
                <w:sz w:val="18"/>
              </w:rPr>
              <w:t>AHE per share (cents)</w:t>
            </w:r>
          </w:p>
        </w:tc>
        <w:tc>
          <w:tcPr>
            <w:tcW w:type="dxa" w:w="1500"/>
          </w:tcPr>
          <w:p>
            <w:r/>
            <w:r>
              <w:rPr>
                <w:rFonts w:ascii="Arial" w:hAnsi="Arial"/>
                <w:b w:val="0"/>
                <w:i w:val="0"/>
                <w:sz w:val="18"/>
              </w:rPr>
              <w:t>189.8</w:t>
            </w:r>
          </w:p>
        </w:tc>
        <w:tc>
          <w:tcPr>
            <w:tcW w:type="dxa" w:w="1500"/>
          </w:tcPr>
          <w:p>
            <w:r/>
            <w:r>
              <w:rPr>
                <w:rFonts w:ascii="Arial" w:hAnsi="Arial"/>
                <w:b w:val="0"/>
                <w:i w:val="0"/>
                <w:sz w:val="18"/>
              </w:rPr>
              <w:t>150.6</w:t>
            </w:r>
          </w:p>
        </w:tc>
        <w:tc>
          <w:tcPr>
            <w:tcW w:type="dxa" w:w="1100"/>
          </w:tcPr>
          <w:p>
            <w:r/>
            <w:r>
              <w:rPr>
                <w:rFonts w:ascii="Arial" w:hAnsi="Arial"/>
                <w:b w:val="0"/>
                <w:i w:val="0"/>
                <w:sz w:val="18"/>
              </w:rPr>
              <w:t>+26%</w:t>
            </w:r>
          </w:p>
        </w:tc>
        <w:tc>
          <w:tcPr>
            <w:tcW w:type="dxa" w:w="1060"/>
          </w:tcPr>
          <w:p>
            <w:r/>
            <w:r>
              <w:rPr>
                <w:rFonts w:ascii="Arial" w:hAnsi="Arial"/>
                <w:b w:val="0"/>
                <w:i w:val="0"/>
                <w:sz w:val="18"/>
              </w:rPr>
              <w:t>S1, p.36</w:t>
            </w:r>
          </w:p>
        </w:tc>
      </w:tr>
      <w:tr>
        <w:tc>
          <w:tcPr>
            <w:tcW w:type="dxa" w:w="3200"/>
            <w:shd w:val="clear" w:fill="F2F2F2"/>
          </w:tcPr>
          <w:p>
            <w:r/>
            <w:r>
              <w:rPr>
                <w:rFonts w:ascii="Arial" w:hAnsi="Arial"/>
                <w:b/>
                <w:i w:val="0"/>
                <w:sz w:val="18"/>
              </w:rPr>
              <w:t>Headline earnings, Rm (incl. Zimbabwe)</w:t>
            </w:r>
          </w:p>
        </w:tc>
        <w:tc>
          <w:tcPr>
            <w:tcW w:type="dxa" w:w="1500"/>
            <w:shd w:val="clear" w:fill="FAFAFA"/>
          </w:tcPr>
          <w:p>
            <w:r/>
            <w:r>
              <w:rPr>
                <w:rFonts w:ascii="Arial" w:hAnsi="Arial"/>
                <w:b w:val="0"/>
                <w:i w:val="0"/>
                <w:sz w:val="18"/>
              </w:rPr>
              <w:t>8,606</w:t>
            </w:r>
          </w:p>
        </w:tc>
        <w:tc>
          <w:tcPr>
            <w:tcW w:type="dxa" w:w="1500"/>
            <w:shd w:val="clear" w:fill="FAFAFA"/>
          </w:tcPr>
          <w:p>
            <w:r/>
            <w:r>
              <w:rPr>
                <w:rFonts w:ascii="Arial" w:hAnsi="Arial"/>
                <w:b w:val="0"/>
                <w:i w:val="0"/>
                <w:sz w:val="18"/>
              </w:rPr>
              <w:t>8,826</w:t>
            </w:r>
          </w:p>
        </w:tc>
        <w:tc>
          <w:tcPr>
            <w:tcW w:type="dxa" w:w="1100"/>
            <w:shd w:val="clear" w:fill="FAFAFA"/>
          </w:tcPr>
          <w:p>
            <w:r/>
            <w:r>
              <w:rPr>
                <w:rFonts w:ascii="Arial" w:hAnsi="Arial"/>
                <w:b w:val="0"/>
                <w:i w:val="0"/>
                <w:sz w:val="18"/>
              </w:rPr>
              <w:t>(2%)</w:t>
            </w:r>
          </w:p>
        </w:tc>
        <w:tc>
          <w:tcPr>
            <w:tcW w:type="dxa" w:w="1060"/>
            <w:shd w:val="clear" w:fill="FAFAFA"/>
          </w:tcPr>
          <w:p>
            <w:r/>
            <w:r>
              <w:rPr>
                <w:rFonts w:ascii="Arial" w:hAnsi="Arial"/>
                <w:b w:val="0"/>
                <w:i w:val="0"/>
                <w:sz w:val="18"/>
              </w:rPr>
              <w:t>S1, p.36</w:t>
            </w:r>
          </w:p>
        </w:tc>
      </w:tr>
      <w:tr>
        <w:tc>
          <w:tcPr>
            <w:tcW w:type="dxa" w:w="3200"/>
            <w:shd w:val="clear" w:fill="F2F2F2"/>
          </w:tcPr>
          <w:p>
            <w:r/>
            <w:r>
              <w:rPr>
                <w:rFonts w:ascii="Arial" w:hAnsi="Arial"/>
                <w:b/>
                <w:i w:val="0"/>
                <w:sz w:val="18"/>
              </w:rPr>
              <w:t>HEPS (cents, incl. Zimbabwe)</w:t>
            </w:r>
          </w:p>
        </w:tc>
        <w:tc>
          <w:tcPr>
            <w:tcW w:type="dxa" w:w="1500"/>
          </w:tcPr>
          <w:p>
            <w:r/>
            <w:r>
              <w:rPr>
                <w:rFonts w:ascii="Arial" w:hAnsi="Arial"/>
                <w:b w:val="0"/>
                <w:i w:val="0"/>
                <w:sz w:val="18"/>
              </w:rPr>
              <w:t>201.6</w:t>
            </w:r>
          </w:p>
        </w:tc>
        <w:tc>
          <w:tcPr>
            <w:tcW w:type="dxa" w:w="1500"/>
          </w:tcPr>
          <w:p>
            <w:r/>
            <w:r>
              <w:rPr>
                <w:rFonts w:ascii="Arial" w:hAnsi="Arial"/>
                <w:b w:val="0"/>
                <w:i w:val="0"/>
                <w:sz w:val="18"/>
              </w:rPr>
              <w:t>202.7</w:t>
            </w:r>
          </w:p>
        </w:tc>
        <w:tc>
          <w:tcPr>
            <w:tcW w:type="dxa" w:w="1100"/>
          </w:tcPr>
          <w:p>
            <w:r/>
            <w:r>
              <w:rPr>
                <w:rFonts w:ascii="Arial" w:hAnsi="Arial"/>
                <w:b w:val="0"/>
                <w:i w:val="0"/>
                <w:sz w:val="18"/>
              </w:rPr>
              <w:t>(1%)</w:t>
            </w:r>
          </w:p>
        </w:tc>
        <w:tc>
          <w:tcPr>
            <w:tcW w:type="dxa" w:w="1060"/>
          </w:tcPr>
          <w:p>
            <w:r/>
            <w:r>
              <w:rPr>
                <w:rFonts w:ascii="Arial" w:hAnsi="Arial"/>
                <w:b w:val="0"/>
                <w:i w:val="0"/>
                <w:sz w:val="18"/>
              </w:rPr>
              <w:t>S1, p.36</w:t>
            </w:r>
          </w:p>
        </w:tc>
      </w:tr>
      <w:tr>
        <w:tc>
          <w:tcPr>
            <w:tcW w:type="dxa" w:w="3200"/>
            <w:shd w:val="clear" w:fill="F2F2F2"/>
          </w:tcPr>
          <w:p>
            <w:r/>
            <w:r>
              <w:rPr>
                <w:rFonts w:ascii="Arial" w:hAnsi="Arial"/>
                <w:b/>
                <w:i w:val="0"/>
                <w:sz w:val="18"/>
              </w:rPr>
              <w:t>IFRS profit after tax, Rm</w:t>
            </w:r>
          </w:p>
        </w:tc>
        <w:tc>
          <w:tcPr>
            <w:tcW w:type="dxa" w:w="1500"/>
            <w:shd w:val="clear" w:fill="FAFAFA"/>
          </w:tcPr>
          <w:p>
            <w:r/>
            <w:r>
              <w:rPr>
                <w:rFonts w:ascii="Arial" w:hAnsi="Arial"/>
                <w:b w:val="0"/>
                <w:i w:val="0"/>
                <w:sz w:val="18"/>
              </w:rPr>
              <w:t>8,408</w:t>
            </w:r>
          </w:p>
        </w:tc>
        <w:tc>
          <w:tcPr>
            <w:tcW w:type="dxa" w:w="1500"/>
            <w:shd w:val="clear" w:fill="FAFAFA"/>
          </w:tcPr>
          <w:p>
            <w:r/>
            <w:r>
              <w:rPr>
                <w:rFonts w:ascii="Arial" w:hAnsi="Arial"/>
                <w:b w:val="0"/>
                <w:i w:val="0"/>
                <w:sz w:val="18"/>
              </w:rPr>
              <w:t>7,669</w:t>
            </w:r>
          </w:p>
        </w:tc>
        <w:tc>
          <w:tcPr>
            <w:tcW w:type="dxa" w:w="1100"/>
            <w:shd w:val="clear" w:fill="FAFAFA"/>
          </w:tcPr>
          <w:p>
            <w:r/>
            <w:r>
              <w:rPr>
                <w:rFonts w:ascii="Arial" w:hAnsi="Arial"/>
                <w:b w:val="0"/>
                <w:i w:val="0"/>
                <w:sz w:val="18"/>
              </w:rPr>
              <w:t>+10%</w:t>
            </w:r>
          </w:p>
        </w:tc>
        <w:tc>
          <w:tcPr>
            <w:tcW w:type="dxa" w:w="1060"/>
            <w:shd w:val="clear" w:fill="FAFAFA"/>
          </w:tcPr>
          <w:p>
            <w:r/>
            <w:r>
              <w:rPr>
                <w:rFonts w:ascii="Arial" w:hAnsi="Arial"/>
                <w:b w:val="0"/>
                <w:i w:val="0"/>
                <w:sz w:val="18"/>
              </w:rPr>
              <w:t>S1, p.36</w:t>
            </w:r>
          </w:p>
        </w:tc>
      </w:tr>
      <w:tr>
        <w:tc>
          <w:tcPr>
            <w:tcW w:type="dxa" w:w="3200"/>
            <w:shd w:val="clear" w:fill="F2F2F2"/>
          </w:tcPr>
          <w:p>
            <w:r/>
            <w:r>
              <w:rPr>
                <w:rFonts w:ascii="Arial" w:hAnsi="Arial"/>
                <w:b/>
                <w:i w:val="0"/>
                <w:sz w:val="18"/>
              </w:rPr>
              <w:t>Value of new business (VNB), Rm</w:t>
            </w:r>
          </w:p>
        </w:tc>
        <w:tc>
          <w:tcPr>
            <w:tcW w:type="dxa" w:w="1500"/>
          </w:tcPr>
          <w:p>
            <w:r/>
            <w:r>
              <w:rPr>
                <w:rFonts w:ascii="Arial" w:hAnsi="Arial"/>
                <w:b w:val="0"/>
                <w:i w:val="0"/>
                <w:sz w:val="18"/>
              </w:rPr>
              <w:t>850</w:t>
            </w:r>
          </w:p>
        </w:tc>
        <w:tc>
          <w:tcPr>
            <w:tcW w:type="dxa" w:w="1500"/>
          </w:tcPr>
          <w:p>
            <w:r/>
            <w:r>
              <w:rPr>
                <w:rFonts w:ascii="Arial" w:hAnsi="Arial"/>
                <w:b w:val="0"/>
                <w:i w:val="0"/>
                <w:sz w:val="18"/>
              </w:rPr>
              <w:t>1,758</w:t>
            </w:r>
          </w:p>
        </w:tc>
        <w:tc>
          <w:tcPr>
            <w:tcW w:type="dxa" w:w="1100"/>
          </w:tcPr>
          <w:p>
            <w:r/>
            <w:r>
              <w:rPr>
                <w:rFonts w:ascii="Arial" w:hAnsi="Arial"/>
                <w:b w:val="0"/>
                <w:i w:val="0"/>
                <w:sz w:val="18"/>
              </w:rPr>
              <w:t>(52%)</w:t>
            </w:r>
          </w:p>
        </w:tc>
        <w:tc>
          <w:tcPr>
            <w:tcW w:type="dxa" w:w="1060"/>
          </w:tcPr>
          <w:p>
            <w:r/>
            <w:r>
              <w:rPr>
                <w:rFonts w:ascii="Arial" w:hAnsi="Arial"/>
                <w:b w:val="0"/>
                <w:i w:val="0"/>
                <w:sz w:val="18"/>
              </w:rPr>
              <w:t>S1, p.37</w:t>
            </w:r>
          </w:p>
        </w:tc>
      </w:tr>
      <w:tr>
        <w:tc>
          <w:tcPr>
            <w:tcW w:type="dxa" w:w="3200"/>
            <w:shd w:val="clear" w:fill="F2F2F2"/>
          </w:tcPr>
          <w:p>
            <w:r/>
            <w:r>
              <w:rPr>
                <w:rFonts w:ascii="Arial" w:hAnsi="Arial"/>
                <w:b/>
                <w:i w:val="0"/>
                <w:sz w:val="18"/>
              </w:rPr>
              <w:t>VNB margin (%)</w:t>
            </w:r>
          </w:p>
        </w:tc>
        <w:tc>
          <w:tcPr>
            <w:tcW w:type="dxa" w:w="1500"/>
            <w:shd w:val="clear" w:fill="FAFAFA"/>
          </w:tcPr>
          <w:p>
            <w:r/>
            <w:r>
              <w:rPr>
                <w:rFonts w:ascii="Arial" w:hAnsi="Arial"/>
                <w:b w:val="0"/>
                <w:i w:val="0"/>
                <w:sz w:val="18"/>
              </w:rPr>
              <w:t>1.2%</w:t>
            </w:r>
          </w:p>
        </w:tc>
        <w:tc>
          <w:tcPr>
            <w:tcW w:type="dxa" w:w="1500"/>
            <w:shd w:val="clear" w:fill="FAFAFA"/>
          </w:tcPr>
          <w:p>
            <w:r/>
            <w:r>
              <w:rPr>
                <w:rFonts w:ascii="Arial" w:hAnsi="Arial"/>
                <w:b w:val="0"/>
                <w:i w:val="0"/>
                <w:sz w:val="18"/>
              </w:rPr>
              <w:t>2.5%</w:t>
            </w:r>
          </w:p>
        </w:tc>
        <w:tc>
          <w:tcPr>
            <w:tcW w:type="dxa" w:w="1100"/>
            <w:shd w:val="clear" w:fill="FAFAFA"/>
          </w:tcPr>
          <w:p>
            <w:r/>
            <w:r>
              <w:rPr>
                <w:rFonts w:ascii="Arial" w:hAnsi="Arial"/>
                <w:b w:val="0"/>
                <w:i w:val="0"/>
                <w:sz w:val="18"/>
              </w:rPr>
              <w:t>(130 bps)</w:t>
            </w:r>
          </w:p>
        </w:tc>
        <w:tc>
          <w:tcPr>
            <w:tcW w:type="dxa" w:w="1060"/>
            <w:shd w:val="clear" w:fill="FAFAFA"/>
          </w:tcPr>
          <w:p>
            <w:r/>
            <w:r>
              <w:rPr>
                <w:rFonts w:ascii="Arial" w:hAnsi="Arial"/>
                <w:b w:val="0"/>
                <w:i w:val="0"/>
                <w:sz w:val="18"/>
              </w:rPr>
              <w:t>S1, p.37</w:t>
            </w:r>
          </w:p>
        </w:tc>
      </w:tr>
      <w:tr>
        <w:tc>
          <w:tcPr>
            <w:tcW w:type="dxa" w:w="3200"/>
            <w:shd w:val="clear" w:fill="F2F2F2"/>
          </w:tcPr>
          <w:p>
            <w:r/>
            <w:r>
              <w:rPr>
                <w:rFonts w:ascii="Arial" w:hAnsi="Arial"/>
                <w:b/>
                <w:i w:val="0"/>
                <w:sz w:val="18"/>
              </w:rPr>
              <w:t>RoNAV (%)</w:t>
            </w:r>
          </w:p>
        </w:tc>
        <w:tc>
          <w:tcPr>
            <w:tcW w:type="dxa" w:w="1500"/>
          </w:tcPr>
          <w:p>
            <w:r/>
            <w:r>
              <w:rPr>
                <w:rFonts w:ascii="Arial" w:hAnsi="Arial"/>
                <w:b w:val="0"/>
                <w:i w:val="0"/>
                <w:sz w:val="18"/>
              </w:rPr>
              <w:t>15.2%</w:t>
            </w:r>
          </w:p>
        </w:tc>
        <w:tc>
          <w:tcPr>
            <w:tcW w:type="dxa" w:w="1500"/>
          </w:tcPr>
          <w:p>
            <w:r/>
            <w:r>
              <w:rPr>
                <w:rFonts w:ascii="Arial" w:hAnsi="Arial"/>
                <w:b w:val="0"/>
                <w:i w:val="0"/>
                <w:sz w:val="18"/>
              </w:rPr>
              <w:t>12.7%</w:t>
            </w:r>
          </w:p>
        </w:tc>
        <w:tc>
          <w:tcPr>
            <w:tcW w:type="dxa" w:w="1100"/>
          </w:tcPr>
          <w:p>
            <w:r/>
            <w:r>
              <w:rPr>
                <w:rFonts w:ascii="Arial" w:hAnsi="Arial"/>
                <w:b w:val="0"/>
                <w:i w:val="0"/>
                <w:sz w:val="18"/>
              </w:rPr>
              <w:t>+250 bps</w:t>
            </w:r>
          </w:p>
        </w:tc>
        <w:tc>
          <w:tcPr>
            <w:tcW w:type="dxa" w:w="1060"/>
          </w:tcPr>
          <w:p>
            <w:r/>
            <w:r>
              <w:rPr>
                <w:rFonts w:ascii="Arial" w:hAnsi="Arial"/>
                <w:b w:val="0"/>
                <w:i w:val="0"/>
                <w:sz w:val="18"/>
              </w:rPr>
              <w:t>S1, p.36</w:t>
            </w:r>
          </w:p>
        </w:tc>
      </w:tr>
      <w:tr>
        <w:tc>
          <w:tcPr>
            <w:tcW w:type="dxa" w:w="3200"/>
            <w:shd w:val="clear" w:fill="F2F2F2"/>
          </w:tcPr>
          <w:p>
            <w:r/>
            <w:r>
              <w:rPr>
                <w:rFonts w:ascii="Arial" w:hAnsi="Arial"/>
                <w:b/>
                <w:i w:val="0"/>
                <w:sz w:val="18"/>
              </w:rPr>
              <w:t>RoNAV excl. OM Bank (%)</w:t>
            </w:r>
          </w:p>
        </w:tc>
        <w:tc>
          <w:tcPr>
            <w:tcW w:type="dxa" w:w="1500"/>
            <w:shd w:val="clear" w:fill="FAFAFA"/>
          </w:tcPr>
          <w:p>
            <w:r/>
            <w:r>
              <w:rPr>
                <w:rFonts w:ascii="Arial" w:hAnsi="Arial"/>
                <w:b w:val="0"/>
                <w:i w:val="0"/>
                <w:sz w:val="18"/>
              </w:rPr>
              <w:t>18.8%</w:t>
            </w:r>
          </w:p>
        </w:tc>
        <w:tc>
          <w:tcPr>
            <w:tcW w:type="dxa" w:w="1500"/>
            <w:shd w:val="clear" w:fill="FAFAFA"/>
          </w:tcPr>
          <w:p>
            <w:r/>
            <w:r>
              <w:rPr>
                <w:rFonts w:ascii="Arial" w:hAnsi="Arial"/>
                <w:b w:val="0"/>
                <w:i w:val="0"/>
                <w:sz w:val="18"/>
              </w:rPr>
              <w:t>15.2%</w:t>
            </w:r>
          </w:p>
        </w:tc>
        <w:tc>
          <w:tcPr>
            <w:tcW w:type="dxa" w:w="1100"/>
            <w:shd w:val="clear" w:fill="FAFAFA"/>
          </w:tcPr>
          <w:p>
            <w:r/>
            <w:r>
              <w:rPr>
                <w:rFonts w:ascii="Arial" w:hAnsi="Arial"/>
                <w:b w:val="0"/>
                <w:i w:val="0"/>
                <w:sz w:val="18"/>
              </w:rPr>
              <w:t>+360 bps</w:t>
            </w:r>
          </w:p>
        </w:tc>
        <w:tc>
          <w:tcPr>
            <w:tcW w:type="dxa" w:w="1060"/>
            <w:shd w:val="clear" w:fill="FAFAFA"/>
          </w:tcPr>
          <w:p>
            <w:r/>
            <w:r>
              <w:rPr>
                <w:rFonts w:ascii="Arial" w:hAnsi="Arial"/>
                <w:b w:val="0"/>
                <w:i w:val="0"/>
                <w:sz w:val="18"/>
              </w:rPr>
              <w:t>S1, p.36</w:t>
            </w:r>
          </w:p>
        </w:tc>
      </w:tr>
      <w:tr>
        <w:tc>
          <w:tcPr>
            <w:tcW w:type="dxa" w:w="3200"/>
            <w:shd w:val="clear" w:fill="F2F2F2"/>
          </w:tcPr>
          <w:p>
            <w:r/>
            <w:r>
              <w:rPr>
                <w:rFonts w:ascii="Arial" w:hAnsi="Arial"/>
                <w:b/>
                <w:i w:val="0"/>
                <w:sz w:val="18"/>
              </w:rPr>
              <w:t>Return on group equity value, RoGEV (%)</w:t>
            </w:r>
          </w:p>
        </w:tc>
        <w:tc>
          <w:tcPr>
            <w:tcW w:type="dxa" w:w="1500"/>
          </w:tcPr>
          <w:p>
            <w:r/>
            <w:r>
              <w:rPr>
                <w:rFonts w:ascii="Arial" w:hAnsi="Arial"/>
                <w:b w:val="0"/>
                <w:i w:val="0"/>
                <w:sz w:val="18"/>
              </w:rPr>
              <w:t>4.1%</w:t>
            </w:r>
          </w:p>
        </w:tc>
        <w:tc>
          <w:tcPr>
            <w:tcW w:type="dxa" w:w="1500"/>
          </w:tcPr>
          <w:p>
            <w:r/>
            <w:r>
              <w:rPr>
                <w:rFonts w:ascii="Arial" w:hAnsi="Arial"/>
                <w:b w:val="0"/>
                <w:i w:val="0"/>
                <w:sz w:val="18"/>
              </w:rPr>
              <w:t>n/d</w:t>
            </w:r>
          </w:p>
        </w:tc>
        <w:tc>
          <w:tcPr>
            <w:tcW w:type="dxa" w:w="1100"/>
          </w:tcPr>
          <w:p>
            <w:r/>
            <w:r>
              <w:rPr>
                <w:rFonts w:ascii="Arial" w:hAnsi="Arial"/>
                <w:b w:val="0"/>
                <w:i w:val="0"/>
                <w:sz w:val="18"/>
              </w:rPr>
              <w:t>n/d</w:t>
            </w:r>
          </w:p>
        </w:tc>
        <w:tc>
          <w:tcPr>
            <w:tcW w:type="dxa" w:w="1060"/>
          </w:tcPr>
          <w:p>
            <w:r/>
            <w:r>
              <w:rPr>
                <w:rFonts w:ascii="Arial" w:hAnsi="Arial"/>
                <w:b w:val="0"/>
                <w:i w:val="0"/>
                <w:sz w:val="18"/>
              </w:rPr>
              <w:t>S1, p.33</w:t>
            </w:r>
          </w:p>
        </w:tc>
      </w:tr>
      <w:tr>
        <w:tc>
          <w:tcPr>
            <w:tcW w:type="dxa" w:w="3200"/>
            <w:shd w:val="clear" w:fill="F2F2F2"/>
          </w:tcPr>
          <w:p>
            <w:r/>
            <w:r>
              <w:rPr>
                <w:rFonts w:ascii="Arial" w:hAnsi="Arial"/>
                <w:b/>
                <w:i w:val="0"/>
                <w:sz w:val="18"/>
              </w:rPr>
              <w:t>Return on embedded value (covered) (%)</w:t>
            </w:r>
          </w:p>
        </w:tc>
        <w:tc>
          <w:tcPr>
            <w:tcW w:type="dxa" w:w="1500"/>
            <w:shd w:val="clear" w:fill="FAFAFA"/>
          </w:tcPr>
          <w:p>
            <w:r/>
            <w:r>
              <w:rPr>
                <w:rFonts w:ascii="Arial" w:hAnsi="Arial"/>
                <w:b w:val="0"/>
                <w:i w:val="0"/>
                <w:sz w:val="18"/>
              </w:rPr>
              <w:t>7.8%</w:t>
            </w:r>
          </w:p>
        </w:tc>
        <w:tc>
          <w:tcPr>
            <w:tcW w:type="dxa" w:w="1500"/>
            <w:shd w:val="clear" w:fill="FAFAFA"/>
          </w:tcPr>
          <w:p>
            <w:r/>
            <w:r>
              <w:rPr>
                <w:rFonts w:ascii="Arial" w:hAnsi="Arial"/>
                <w:b w:val="0"/>
                <w:i w:val="0"/>
                <w:sz w:val="18"/>
              </w:rPr>
              <w:t>n/d</w:t>
            </w:r>
          </w:p>
        </w:tc>
        <w:tc>
          <w:tcPr>
            <w:tcW w:type="dxa" w:w="1100"/>
            <w:shd w:val="clear" w:fill="FAFAFA"/>
          </w:tcPr>
          <w:p>
            <w:r/>
            <w:r>
              <w:rPr>
                <w:rFonts w:ascii="Arial" w:hAnsi="Arial"/>
                <w:b w:val="0"/>
                <w:i w:val="0"/>
                <w:sz w:val="18"/>
              </w:rPr>
              <w:t>n/d</w:t>
            </w:r>
          </w:p>
        </w:tc>
        <w:tc>
          <w:tcPr>
            <w:tcW w:type="dxa" w:w="1060"/>
            <w:shd w:val="clear" w:fill="FAFAFA"/>
          </w:tcPr>
          <w:p>
            <w:r/>
            <w:r>
              <w:rPr>
                <w:rFonts w:ascii="Arial" w:hAnsi="Arial"/>
                <w:b w:val="0"/>
                <w:i w:val="0"/>
                <w:sz w:val="18"/>
              </w:rPr>
              <w:t>S1, p.33</w:t>
            </w:r>
          </w:p>
        </w:tc>
      </w:tr>
      <w:tr>
        <w:tc>
          <w:tcPr>
            <w:tcW w:type="dxa" w:w="3200"/>
            <w:shd w:val="clear" w:fill="F2F2F2"/>
          </w:tcPr>
          <w:p>
            <w:r/>
            <w:r>
              <w:rPr>
                <w:rFonts w:ascii="Arial" w:hAnsi="Arial"/>
                <w:b/>
                <w:i w:val="0"/>
                <w:sz w:val="18"/>
              </w:rPr>
              <w:t>Group equity value per share (R)</w:t>
            </w:r>
          </w:p>
        </w:tc>
        <w:tc>
          <w:tcPr>
            <w:tcW w:type="dxa" w:w="1500"/>
          </w:tcPr>
          <w:p>
            <w:r/>
            <w:r>
              <w:rPr>
                <w:rFonts w:ascii="Arial" w:hAnsi="Arial"/>
                <w:b w:val="0"/>
                <w:i w:val="0"/>
                <w:sz w:val="18"/>
              </w:rPr>
              <w:t>19.80</w:t>
            </w:r>
          </w:p>
        </w:tc>
        <w:tc>
          <w:tcPr>
            <w:tcW w:type="dxa" w:w="1500"/>
          </w:tcPr>
          <w:p>
            <w:r/>
            <w:r>
              <w:rPr>
                <w:rFonts w:ascii="Arial" w:hAnsi="Arial"/>
                <w:b w:val="0"/>
                <w:i w:val="0"/>
                <w:sz w:val="18"/>
              </w:rPr>
              <w:t>19.51</w:t>
            </w:r>
          </w:p>
        </w:tc>
        <w:tc>
          <w:tcPr>
            <w:tcW w:type="dxa" w:w="1100"/>
          </w:tcPr>
          <w:p>
            <w:r/>
            <w:r>
              <w:rPr>
                <w:rFonts w:ascii="Arial" w:hAnsi="Arial"/>
                <w:b w:val="0"/>
                <w:i w:val="0"/>
                <w:sz w:val="18"/>
              </w:rPr>
              <w:t>+2%</w:t>
            </w:r>
          </w:p>
        </w:tc>
        <w:tc>
          <w:tcPr>
            <w:tcW w:type="dxa" w:w="1060"/>
          </w:tcPr>
          <w:p>
            <w:r/>
            <w:r>
              <w:rPr>
                <w:rFonts w:ascii="Arial" w:hAnsi="Arial"/>
                <w:b w:val="0"/>
                <w:i w:val="0"/>
                <w:sz w:val="18"/>
              </w:rPr>
              <w:t>S1, p.36</w:t>
            </w:r>
          </w:p>
        </w:tc>
      </w:tr>
      <w:tr>
        <w:tc>
          <w:tcPr>
            <w:tcW w:type="dxa" w:w="3200"/>
            <w:shd w:val="clear" w:fill="F2F2F2"/>
          </w:tcPr>
          <w:p>
            <w:r/>
            <w:r>
              <w:rPr>
                <w:rFonts w:ascii="Arial" w:hAnsi="Arial"/>
                <w:b/>
                <w:i w:val="0"/>
                <w:sz w:val="18"/>
              </w:rPr>
              <w:t>Total dividend per share (cents)</w:t>
            </w:r>
          </w:p>
        </w:tc>
        <w:tc>
          <w:tcPr>
            <w:tcW w:type="dxa" w:w="1500"/>
            <w:shd w:val="clear" w:fill="FAFAFA"/>
          </w:tcPr>
          <w:p>
            <w:r/>
            <w:r>
              <w:rPr>
                <w:rFonts w:ascii="Arial" w:hAnsi="Arial"/>
                <w:b w:val="0"/>
                <w:i w:val="0"/>
                <w:sz w:val="18"/>
              </w:rPr>
              <w:t>93</w:t>
            </w:r>
          </w:p>
        </w:tc>
        <w:tc>
          <w:tcPr>
            <w:tcW w:type="dxa" w:w="1500"/>
            <w:shd w:val="clear" w:fill="FAFAFA"/>
          </w:tcPr>
          <w:p>
            <w:r/>
            <w:r>
              <w:rPr>
                <w:rFonts w:ascii="Arial" w:hAnsi="Arial"/>
                <w:b w:val="0"/>
                <w:i w:val="0"/>
                <w:sz w:val="18"/>
              </w:rPr>
              <w:t>86</w:t>
            </w:r>
          </w:p>
        </w:tc>
        <w:tc>
          <w:tcPr>
            <w:tcW w:type="dxa" w:w="1100"/>
            <w:shd w:val="clear" w:fill="FAFAFA"/>
          </w:tcPr>
          <w:p>
            <w:r/>
            <w:r>
              <w:rPr>
                <w:rFonts w:ascii="Arial" w:hAnsi="Arial"/>
                <w:b w:val="0"/>
                <w:i w:val="0"/>
                <w:sz w:val="18"/>
              </w:rPr>
              <w:t>+8%</w:t>
            </w:r>
          </w:p>
        </w:tc>
        <w:tc>
          <w:tcPr>
            <w:tcW w:type="dxa" w:w="1060"/>
            <w:shd w:val="clear" w:fill="FAFAFA"/>
          </w:tcPr>
          <w:p>
            <w:r/>
            <w:r>
              <w:rPr>
                <w:rFonts w:ascii="Arial" w:hAnsi="Arial"/>
                <w:b w:val="0"/>
                <w:i w:val="0"/>
                <w:sz w:val="18"/>
              </w:rPr>
              <w:t>S1, p.36</w:t>
            </w:r>
          </w:p>
        </w:tc>
      </w:tr>
      <w:tr>
        <w:tc>
          <w:tcPr>
            <w:tcW w:type="dxa" w:w="3200"/>
            <w:shd w:val="clear" w:fill="F2F2F2"/>
          </w:tcPr>
          <w:p>
            <w:r/>
            <w:r>
              <w:rPr>
                <w:rFonts w:ascii="Arial" w:hAnsi="Arial"/>
                <w:b/>
                <w:i w:val="0"/>
                <w:sz w:val="18"/>
              </w:rPr>
              <w:t>Gross flows, Rm</w:t>
            </w:r>
          </w:p>
        </w:tc>
        <w:tc>
          <w:tcPr>
            <w:tcW w:type="dxa" w:w="1500"/>
          </w:tcPr>
          <w:p>
            <w:r/>
            <w:r>
              <w:rPr>
                <w:rFonts w:ascii="Arial" w:hAnsi="Arial"/>
                <w:b w:val="0"/>
                <w:i w:val="0"/>
                <w:sz w:val="18"/>
              </w:rPr>
              <w:t>228,788</w:t>
            </w:r>
          </w:p>
        </w:tc>
        <w:tc>
          <w:tcPr>
            <w:tcW w:type="dxa" w:w="1500"/>
          </w:tcPr>
          <w:p>
            <w:r/>
            <w:r>
              <w:rPr>
                <w:rFonts w:ascii="Arial" w:hAnsi="Arial"/>
                <w:b w:val="0"/>
                <w:i w:val="0"/>
                <w:sz w:val="18"/>
              </w:rPr>
              <w:t>213,620</w:t>
            </w:r>
          </w:p>
        </w:tc>
        <w:tc>
          <w:tcPr>
            <w:tcW w:type="dxa" w:w="1100"/>
          </w:tcPr>
          <w:p>
            <w:r/>
            <w:r>
              <w:rPr>
                <w:rFonts w:ascii="Arial" w:hAnsi="Arial"/>
                <w:b w:val="0"/>
                <w:i w:val="0"/>
                <w:sz w:val="18"/>
              </w:rPr>
              <w:t>+7%</w:t>
            </w:r>
          </w:p>
        </w:tc>
        <w:tc>
          <w:tcPr>
            <w:tcW w:type="dxa" w:w="1060"/>
          </w:tcPr>
          <w:p>
            <w:r/>
            <w:r>
              <w:rPr>
                <w:rFonts w:ascii="Arial" w:hAnsi="Arial"/>
                <w:b w:val="0"/>
                <w:i w:val="0"/>
                <w:sz w:val="18"/>
              </w:rPr>
              <w:t>S1, p.36</w:t>
            </w:r>
          </w:p>
        </w:tc>
      </w:tr>
      <w:tr>
        <w:tc>
          <w:tcPr>
            <w:tcW w:type="dxa" w:w="3200"/>
            <w:shd w:val="clear" w:fill="F2F2F2"/>
          </w:tcPr>
          <w:p>
            <w:r/>
            <w:r>
              <w:rPr>
                <w:rFonts w:ascii="Arial" w:hAnsi="Arial"/>
                <w:b/>
                <w:i w:val="0"/>
                <w:sz w:val="18"/>
              </w:rPr>
              <w:t>Net client cash flow (NCCF), Rm</w:t>
            </w:r>
          </w:p>
        </w:tc>
        <w:tc>
          <w:tcPr>
            <w:tcW w:type="dxa" w:w="1500"/>
            <w:shd w:val="clear" w:fill="FAFAFA"/>
          </w:tcPr>
          <w:p>
            <w:r/>
            <w:r>
              <w:rPr>
                <w:rFonts w:ascii="Arial" w:hAnsi="Arial"/>
                <w:b w:val="0"/>
                <w:i w:val="0"/>
                <w:sz w:val="18"/>
              </w:rPr>
              <w:t>(10,398)</w:t>
            </w:r>
          </w:p>
        </w:tc>
        <w:tc>
          <w:tcPr>
            <w:tcW w:type="dxa" w:w="1500"/>
            <w:shd w:val="clear" w:fill="FAFAFA"/>
          </w:tcPr>
          <w:p>
            <w:r/>
            <w:r>
              <w:rPr>
                <w:rFonts w:ascii="Arial" w:hAnsi="Arial"/>
                <w:b w:val="0"/>
                <w:i w:val="0"/>
                <w:sz w:val="18"/>
              </w:rPr>
              <w:t>(23,227)</w:t>
            </w:r>
          </w:p>
        </w:tc>
        <w:tc>
          <w:tcPr>
            <w:tcW w:type="dxa" w:w="1100"/>
            <w:shd w:val="clear" w:fill="FAFAFA"/>
          </w:tcPr>
          <w:p>
            <w:r/>
            <w:r>
              <w:rPr>
                <w:rFonts w:ascii="Arial" w:hAnsi="Arial"/>
                <w:b w:val="0"/>
                <w:i w:val="0"/>
                <w:sz w:val="18"/>
              </w:rPr>
              <w:t>+55% (outflow narrowed)</w:t>
            </w:r>
          </w:p>
        </w:tc>
        <w:tc>
          <w:tcPr>
            <w:tcW w:type="dxa" w:w="1060"/>
            <w:shd w:val="clear" w:fill="FAFAFA"/>
          </w:tcPr>
          <w:p>
            <w:r/>
            <w:r>
              <w:rPr>
                <w:rFonts w:ascii="Arial" w:hAnsi="Arial"/>
                <w:b w:val="0"/>
                <w:i w:val="0"/>
                <w:sz w:val="18"/>
              </w:rPr>
              <w:t>S1, p.36</w:t>
            </w:r>
          </w:p>
        </w:tc>
      </w:tr>
      <w:tr>
        <w:tc>
          <w:tcPr>
            <w:tcW w:type="dxa" w:w="3200"/>
            <w:shd w:val="clear" w:fill="F2F2F2"/>
          </w:tcPr>
          <w:p>
            <w:r/>
            <w:r>
              <w:rPr>
                <w:rFonts w:ascii="Arial" w:hAnsi="Arial"/>
                <w:b/>
                <w:i w:val="0"/>
                <w:sz w:val="18"/>
              </w:rPr>
              <w:t>Funds under management (Rbn)</w:t>
            </w:r>
          </w:p>
        </w:tc>
        <w:tc>
          <w:tcPr>
            <w:tcW w:type="dxa" w:w="1500"/>
          </w:tcPr>
          <w:p>
            <w:r/>
            <w:r>
              <w:rPr>
                <w:rFonts w:ascii="Arial" w:hAnsi="Arial"/>
                <w:b w:val="0"/>
                <w:i w:val="0"/>
                <w:sz w:val="18"/>
              </w:rPr>
              <w:t>1,639.0</w:t>
            </w:r>
          </w:p>
        </w:tc>
        <w:tc>
          <w:tcPr>
            <w:tcW w:type="dxa" w:w="1500"/>
          </w:tcPr>
          <w:p>
            <w:r/>
            <w:r>
              <w:rPr>
                <w:rFonts w:ascii="Arial" w:hAnsi="Arial"/>
                <w:b w:val="0"/>
                <w:i w:val="0"/>
                <w:sz w:val="18"/>
              </w:rPr>
              <w:t>1,446.9</w:t>
            </w:r>
          </w:p>
        </w:tc>
        <w:tc>
          <w:tcPr>
            <w:tcW w:type="dxa" w:w="1100"/>
          </w:tcPr>
          <w:p>
            <w:r/>
            <w:r>
              <w:rPr>
                <w:rFonts w:ascii="Arial" w:hAnsi="Arial"/>
                <w:b w:val="0"/>
                <w:i w:val="0"/>
                <w:sz w:val="18"/>
              </w:rPr>
              <w:t>+13%</w:t>
            </w:r>
          </w:p>
        </w:tc>
        <w:tc>
          <w:tcPr>
            <w:tcW w:type="dxa" w:w="1060"/>
          </w:tcPr>
          <w:p>
            <w:r/>
            <w:r>
              <w:rPr>
                <w:rFonts w:ascii="Arial" w:hAnsi="Arial"/>
                <w:b w:val="0"/>
                <w:i w:val="0"/>
                <w:sz w:val="18"/>
              </w:rPr>
              <w:t>S1, p.36</w:t>
            </w:r>
          </w:p>
        </w:tc>
      </w:tr>
      <w:tr>
        <w:tc>
          <w:tcPr>
            <w:tcW w:type="dxa" w:w="3200"/>
            <w:shd w:val="clear" w:fill="F2F2F2"/>
          </w:tcPr>
          <w:p>
            <w:r/>
            <w:r>
              <w:rPr>
                <w:rFonts w:ascii="Arial" w:hAnsi="Arial"/>
                <w:b/>
                <w:i w:val="0"/>
                <w:sz w:val="18"/>
              </w:rPr>
              <w:t>OM Insure net underwriting margin (%)</w:t>
            </w:r>
          </w:p>
        </w:tc>
        <w:tc>
          <w:tcPr>
            <w:tcW w:type="dxa" w:w="1500"/>
            <w:shd w:val="clear" w:fill="FAFAFA"/>
          </w:tcPr>
          <w:p>
            <w:r/>
            <w:r>
              <w:rPr>
                <w:rFonts w:ascii="Arial" w:hAnsi="Arial"/>
                <w:b w:val="0"/>
                <w:i w:val="0"/>
                <w:sz w:val="18"/>
              </w:rPr>
              <w:t>6.8%</w:t>
            </w:r>
          </w:p>
        </w:tc>
        <w:tc>
          <w:tcPr>
            <w:tcW w:type="dxa" w:w="1500"/>
            <w:shd w:val="clear" w:fill="FAFAFA"/>
          </w:tcPr>
          <w:p>
            <w:r/>
            <w:r>
              <w:rPr>
                <w:rFonts w:ascii="Arial" w:hAnsi="Arial"/>
                <w:b w:val="0"/>
                <w:i w:val="0"/>
                <w:sz w:val="18"/>
              </w:rPr>
              <w:t>6.2%</w:t>
            </w:r>
          </w:p>
        </w:tc>
        <w:tc>
          <w:tcPr>
            <w:tcW w:type="dxa" w:w="1100"/>
            <w:shd w:val="clear" w:fill="FAFAFA"/>
          </w:tcPr>
          <w:p>
            <w:r/>
            <w:r>
              <w:rPr>
                <w:rFonts w:ascii="Arial" w:hAnsi="Arial"/>
                <w:b w:val="0"/>
                <w:i w:val="0"/>
                <w:sz w:val="18"/>
              </w:rPr>
              <w:t>+60 bps</w:t>
            </w:r>
          </w:p>
        </w:tc>
        <w:tc>
          <w:tcPr>
            <w:tcW w:type="dxa" w:w="1060"/>
            <w:shd w:val="clear" w:fill="FAFAFA"/>
          </w:tcPr>
          <w:p>
            <w:r/>
            <w:r>
              <w:rPr>
                <w:rFonts w:ascii="Arial" w:hAnsi="Arial"/>
                <w:b w:val="0"/>
                <w:i w:val="0"/>
                <w:sz w:val="18"/>
              </w:rPr>
              <w:t>S1, p.36</w:t>
            </w:r>
          </w:p>
        </w:tc>
      </w:tr>
      <w:tr>
        <w:tc>
          <w:tcPr>
            <w:tcW w:type="dxa" w:w="3200"/>
            <w:shd w:val="clear" w:fill="F2F2F2"/>
          </w:tcPr>
          <w:p>
            <w:r/>
            <w:r>
              <w:rPr>
                <w:rFonts w:ascii="Arial" w:hAnsi="Arial"/>
                <w:b/>
                <w:i w:val="0"/>
                <w:sz w:val="18"/>
              </w:rPr>
              <w:t>Shareholder solvency ratio (%)</w:t>
            </w:r>
          </w:p>
        </w:tc>
        <w:tc>
          <w:tcPr>
            <w:tcW w:type="dxa" w:w="1500"/>
          </w:tcPr>
          <w:p>
            <w:r/>
            <w:r>
              <w:rPr>
                <w:rFonts w:ascii="Arial" w:hAnsi="Arial"/>
                <w:b w:val="0"/>
                <w:i w:val="0"/>
                <w:sz w:val="18"/>
              </w:rPr>
              <w:t>162%</w:t>
            </w:r>
          </w:p>
        </w:tc>
        <w:tc>
          <w:tcPr>
            <w:tcW w:type="dxa" w:w="1500"/>
          </w:tcPr>
          <w:p>
            <w:r/>
            <w:r>
              <w:rPr>
                <w:rFonts w:ascii="Arial" w:hAnsi="Arial"/>
                <w:b w:val="0"/>
                <w:i w:val="0"/>
                <w:sz w:val="18"/>
              </w:rPr>
              <w:t>182%</w:t>
            </w:r>
          </w:p>
        </w:tc>
        <w:tc>
          <w:tcPr>
            <w:tcW w:type="dxa" w:w="1100"/>
          </w:tcPr>
          <w:p>
            <w:r/>
            <w:r>
              <w:rPr>
                <w:rFonts w:ascii="Arial" w:hAnsi="Arial"/>
                <w:b w:val="0"/>
                <w:i w:val="0"/>
                <w:sz w:val="18"/>
              </w:rPr>
              <w:t>(2,000 bps)</w:t>
            </w:r>
          </w:p>
        </w:tc>
        <w:tc>
          <w:tcPr>
            <w:tcW w:type="dxa" w:w="1060"/>
          </w:tcPr>
          <w:p>
            <w:r/>
            <w:r>
              <w:rPr>
                <w:rFonts w:ascii="Arial" w:hAnsi="Arial"/>
                <w:b w:val="0"/>
                <w:i w:val="0"/>
                <w:sz w:val="18"/>
              </w:rPr>
              <w:t>S1, p.36</w:t>
            </w:r>
          </w:p>
        </w:tc>
      </w:tr>
      <w:tr>
        <w:tc>
          <w:tcPr>
            <w:tcW w:type="dxa" w:w="3200"/>
            <w:shd w:val="clear" w:fill="F2F2F2"/>
          </w:tcPr>
          <w:p>
            <w:r/>
            <w:r>
              <w:rPr>
                <w:rFonts w:ascii="Arial" w:hAnsi="Arial"/>
                <w:b/>
                <w:i w:val="0"/>
                <w:sz w:val="18"/>
              </w:rPr>
              <w:t>Discretionary capital (Rbn)</w:t>
            </w:r>
          </w:p>
        </w:tc>
        <w:tc>
          <w:tcPr>
            <w:tcW w:type="dxa" w:w="1500"/>
            <w:shd w:val="clear" w:fill="FAFAFA"/>
          </w:tcPr>
          <w:p>
            <w:r/>
            <w:r>
              <w:rPr>
                <w:rFonts w:ascii="Arial" w:hAnsi="Arial"/>
                <w:b w:val="0"/>
                <w:i w:val="0"/>
                <w:sz w:val="18"/>
              </w:rPr>
              <w:t>6.1</w:t>
            </w:r>
          </w:p>
        </w:tc>
        <w:tc>
          <w:tcPr>
            <w:tcW w:type="dxa" w:w="1500"/>
            <w:shd w:val="clear" w:fill="FAFAFA"/>
          </w:tcPr>
          <w:p>
            <w:r/>
            <w:r>
              <w:rPr>
                <w:rFonts w:ascii="Arial" w:hAnsi="Arial"/>
                <w:b w:val="0"/>
                <w:i w:val="0"/>
                <w:sz w:val="18"/>
              </w:rPr>
              <w:t>3.1</w:t>
            </w:r>
          </w:p>
        </w:tc>
        <w:tc>
          <w:tcPr>
            <w:tcW w:type="dxa" w:w="1100"/>
            <w:shd w:val="clear" w:fill="FAFAFA"/>
          </w:tcPr>
          <w:p>
            <w:r/>
            <w:r>
              <w:rPr>
                <w:rFonts w:ascii="Arial" w:hAnsi="Arial"/>
                <w:b w:val="0"/>
                <w:i w:val="0"/>
                <w:sz w:val="18"/>
              </w:rPr>
              <w:t>+97%</w:t>
            </w:r>
          </w:p>
        </w:tc>
        <w:tc>
          <w:tcPr>
            <w:tcW w:type="dxa" w:w="1060"/>
            <w:shd w:val="clear" w:fill="FAFAFA"/>
          </w:tcPr>
          <w:p>
            <w:r/>
            <w:r>
              <w:rPr>
                <w:rFonts w:ascii="Arial" w:hAnsi="Arial"/>
                <w:b w:val="0"/>
                <w:i w:val="0"/>
                <w:sz w:val="18"/>
              </w:rPr>
              <w:t>S1, p.36</w:t>
            </w:r>
          </w:p>
        </w:tc>
      </w:tr>
    </w:tbl>
    <w:p>
      <w:pPr>
        <w:spacing w:after="40" w:before="0"/>
      </w:pPr>
    </w:p>
    <w:p>
      <w:pPr>
        <w:spacing w:after="160" w:before="0"/>
      </w:pPr>
      <w:r>
        <w:rPr>
          <w:rFonts w:ascii="Arial" w:hAnsi="Arial"/>
          <w:b/>
          <w:i w:val="0"/>
          <w:sz w:val="21"/>
        </w:rPr>
        <w:t xml:space="preserve">Quality flag. </w:t>
      </w:r>
      <w:r>
        <w:rPr>
          <w:rFonts w:ascii="Arial" w:hAnsi="Arial"/>
          <w:b w:val="0"/>
          <w:i w:val="0"/>
          <w:sz w:val="21"/>
        </w:rPr>
        <w:t>AHE +24% is low-quality growth: it leans on elevated Malawi returns (hyperinflationary economy) and strong SA shareholder investment returns, not on the value engine. Ex-Malawi, AHE growth was 11-16% and RFO 7-9% (S1, p.33). Headline earnings (which include Zimbabwe) actually fell 2% (S1, p.36). The Group's own value metric, RoGEV, was just 4.1% (S1, p.33) - well below the 14-16% medium-term target, signalling that 2025 created little embedded value despite the headline AHE jump.</w:t>
      </w:r>
    </w:p>
    <w:p>
      <w:pPr>
        <w:pStyle w:val="Heading1"/>
      </w:pPr>
      <w:r>
        <w:t>3.  Sector lens &amp; medium-term targets (the 2026/27 yardstick)</w:t>
      </w:r>
    </w:p>
    <w:p>
      <w:pPr>
        <w:spacing w:after="160" w:before="0"/>
      </w:pPr>
      <w:r>
        <w:rPr>
          <w:rFonts w:ascii="Arial" w:hAnsi="Arial"/>
          <w:b/>
          <w:i w:val="0"/>
          <w:sz w:val="21"/>
        </w:rPr>
        <w:t xml:space="preserve">Sector lens: </w:t>
      </w:r>
      <w:r>
        <w:rPr>
          <w:rFonts w:ascii="Arial" w:hAnsi="Arial"/>
          <w:b/>
          <w:i w:val="0"/>
          <w:sz w:val="21"/>
        </w:rPr>
        <w:t xml:space="preserve">jse-sector-insurance (life / composite engine). </w:t>
      </w:r>
      <w:r>
        <w:rPr>
          <w:rFonts w:ascii="Arial" w:hAnsi="Arial"/>
          <w:b w:val="0"/>
          <w:i w:val="0"/>
          <w:sz w:val="21"/>
        </w:rPr>
        <w:t>OMU is read as a sum-of-the-parts composite: Life &amp; Savings on embedded value + VNB; OM Insure on the net underwriting / combined ratio; Old Mutual Investments on AUM x fee margin; OM Bank on its path to profitability. The general-template metrics EBITDA, enterprise-value, net-debt/EBITDA and FCF are suppressed as meaningless for an insurer; 'EV' here means Embedded Value, never enterprise value. Earnings are read as 'experience vs assumptions' - and the FY2025 VNB collapse is precisely an assumption (persistency-basis) effect, not a volume collapse (S1, p.37, p.45).</w:t>
      </w:r>
    </w:p>
    <w:p>
      <w:pPr>
        <w:spacing w:after="120" w:before="0"/>
      </w:pPr>
      <w:r>
        <w:rPr>
          <w:rFonts w:ascii="Arial" w:hAnsi="Arial"/>
          <w:b w:val="0"/>
          <w:i w:val="0"/>
          <w:sz w:val="21"/>
        </w:rPr>
        <w:t>Medium-term targets set at the October 2025 Capital Markets Day are the explicit yardstick management will report against from 2026 (S1, p.7, p.34, p.44):</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000"/>
            <w:shd w:val="clear" w:fill="1F3864"/>
          </w:tcPr>
          <w:p>
            <w:r/>
            <w:r>
              <w:rPr>
                <w:rFonts w:ascii="Arial" w:hAnsi="Arial"/>
                <w:b/>
                <w:i w:val="0"/>
                <w:color w:val="FFFFFF"/>
                <w:sz w:val="18"/>
              </w:rPr>
              <w:t>Target (medium-term)</w:t>
            </w:r>
          </w:p>
        </w:tc>
        <w:tc>
          <w:tcPr>
            <w:tcW w:type="dxa" w:w="1700"/>
            <w:shd w:val="clear" w:fill="2E5496"/>
          </w:tcPr>
          <w:p>
            <w:r/>
            <w:r>
              <w:rPr>
                <w:rFonts w:ascii="Arial" w:hAnsi="Arial"/>
                <w:b/>
                <w:i w:val="0"/>
                <w:color w:val="FFFFFF"/>
                <w:sz w:val="18"/>
              </w:rPr>
              <w:t>Target range</w:t>
            </w:r>
          </w:p>
        </w:tc>
        <w:tc>
          <w:tcPr>
            <w:tcW w:type="dxa" w:w="1700"/>
            <w:shd w:val="clear" w:fill="2E5496"/>
          </w:tcPr>
          <w:p>
            <w:r/>
            <w:r>
              <w:rPr>
                <w:rFonts w:ascii="Arial" w:hAnsi="Arial"/>
                <w:b/>
                <w:i w:val="0"/>
                <w:color w:val="FFFFFF"/>
                <w:sz w:val="18"/>
              </w:rPr>
              <w:t>FY2025 actual</w:t>
            </w:r>
          </w:p>
        </w:tc>
        <w:tc>
          <w:tcPr>
            <w:tcW w:type="dxa" w:w="1300"/>
            <w:shd w:val="clear" w:fill="2E5496"/>
          </w:tcPr>
          <w:p>
            <w:r/>
            <w:r>
              <w:rPr>
                <w:rFonts w:ascii="Arial" w:hAnsi="Arial"/>
                <w:b/>
                <w:i w:val="0"/>
                <w:color w:val="FFFFFF"/>
                <w:sz w:val="18"/>
              </w:rPr>
              <w:t>Status</w:t>
            </w:r>
          </w:p>
        </w:tc>
        <w:tc>
          <w:tcPr>
            <w:tcW w:type="dxa" w:w="660"/>
            <w:shd w:val="clear" w:fill="1F3864"/>
          </w:tcPr>
          <w:p>
            <w:r/>
            <w:r>
              <w:rPr>
                <w:rFonts w:ascii="Arial" w:hAnsi="Arial"/>
                <w:b/>
                <w:i w:val="0"/>
                <w:color w:val="FFFFFF"/>
                <w:sz w:val="18"/>
              </w:rPr>
              <w:t>Source</w:t>
            </w:r>
          </w:p>
        </w:tc>
      </w:tr>
      <w:tr>
        <w:tc>
          <w:tcPr>
            <w:tcW w:type="dxa" w:w="3000"/>
            <w:shd w:val="clear" w:fill="F2F2F2"/>
          </w:tcPr>
          <w:p>
            <w:r/>
            <w:r>
              <w:rPr>
                <w:rFonts w:ascii="Arial" w:hAnsi="Arial"/>
                <w:b/>
                <w:i w:val="0"/>
                <w:sz w:val="18"/>
              </w:rPr>
              <w:t>RoNAV</w:t>
            </w:r>
          </w:p>
        </w:tc>
        <w:tc>
          <w:tcPr>
            <w:tcW w:type="dxa" w:w="1700"/>
          </w:tcPr>
          <w:p>
            <w:r/>
            <w:r>
              <w:rPr>
                <w:rFonts w:ascii="Arial" w:hAnsi="Arial"/>
                <w:b w:val="0"/>
                <w:i w:val="0"/>
                <w:sz w:val="18"/>
              </w:rPr>
              <w:t>15% to 17%</w:t>
            </w:r>
          </w:p>
        </w:tc>
        <w:tc>
          <w:tcPr>
            <w:tcW w:type="dxa" w:w="1700"/>
          </w:tcPr>
          <w:p>
            <w:r/>
            <w:r>
              <w:rPr>
                <w:rFonts w:ascii="Arial" w:hAnsi="Arial"/>
                <w:b w:val="0"/>
                <w:i w:val="0"/>
                <w:sz w:val="18"/>
              </w:rPr>
              <w:t>15.2%</w:t>
            </w:r>
          </w:p>
        </w:tc>
        <w:tc>
          <w:tcPr>
            <w:tcW w:type="dxa" w:w="1300"/>
          </w:tcPr>
          <w:p>
            <w:r/>
            <w:r>
              <w:rPr>
                <w:rFonts w:ascii="Arial" w:hAnsi="Arial"/>
                <w:b w:val="0"/>
                <w:i w:val="0"/>
                <w:sz w:val="18"/>
              </w:rPr>
              <w:t>Just in range</w:t>
            </w:r>
          </w:p>
        </w:tc>
        <w:tc>
          <w:tcPr>
            <w:tcW w:type="dxa" w:w="660"/>
          </w:tcPr>
          <w:p>
            <w:r/>
            <w:r>
              <w:rPr>
                <w:rFonts w:ascii="Arial" w:hAnsi="Arial"/>
                <w:b w:val="0"/>
                <w:i w:val="0"/>
                <w:sz w:val="18"/>
              </w:rPr>
              <w:t>S1, p.7</w:t>
            </w:r>
          </w:p>
        </w:tc>
      </w:tr>
      <w:tr>
        <w:tc>
          <w:tcPr>
            <w:tcW w:type="dxa" w:w="3000"/>
            <w:shd w:val="clear" w:fill="F2F2F2"/>
          </w:tcPr>
          <w:p>
            <w:r/>
            <w:r>
              <w:rPr>
                <w:rFonts w:ascii="Arial" w:hAnsi="Arial"/>
                <w:b/>
                <w:i w:val="0"/>
                <w:sz w:val="18"/>
              </w:rPr>
              <w:t>RoGEV</w:t>
            </w:r>
          </w:p>
        </w:tc>
        <w:tc>
          <w:tcPr>
            <w:tcW w:type="dxa" w:w="1700"/>
            <w:shd w:val="clear" w:fill="FAFAFA"/>
          </w:tcPr>
          <w:p>
            <w:r/>
            <w:r>
              <w:rPr>
                <w:rFonts w:ascii="Arial" w:hAnsi="Arial"/>
                <w:b w:val="0"/>
                <w:i w:val="0"/>
                <w:sz w:val="18"/>
              </w:rPr>
              <w:t>14% to 16%</w:t>
            </w:r>
          </w:p>
        </w:tc>
        <w:tc>
          <w:tcPr>
            <w:tcW w:type="dxa" w:w="1700"/>
            <w:shd w:val="clear" w:fill="FAFAFA"/>
          </w:tcPr>
          <w:p>
            <w:r/>
            <w:r>
              <w:rPr>
                <w:rFonts w:ascii="Arial" w:hAnsi="Arial"/>
                <w:b w:val="0"/>
                <w:i w:val="0"/>
                <w:sz w:val="18"/>
              </w:rPr>
              <w:t>4.1%</w:t>
            </w:r>
          </w:p>
        </w:tc>
        <w:tc>
          <w:tcPr>
            <w:tcW w:type="dxa" w:w="1300"/>
            <w:shd w:val="clear" w:fill="FAFAFA"/>
          </w:tcPr>
          <w:p>
            <w:r/>
            <w:r>
              <w:rPr>
                <w:rFonts w:ascii="Arial" w:hAnsi="Arial"/>
                <w:b w:val="0"/>
                <w:i w:val="0"/>
                <w:sz w:val="18"/>
              </w:rPr>
              <w:t>Below</w:t>
            </w:r>
          </w:p>
        </w:tc>
        <w:tc>
          <w:tcPr>
            <w:tcW w:type="dxa" w:w="660"/>
            <w:shd w:val="clear" w:fill="FAFAFA"/>
          </w:tcPr>
          <w:p>
            <w:r/>
            <w:r>
              <w:rPr>
                <w:rFonts w:ascii="Arial" w:hAnsi="Arial"/>
                <w:b w:val="0"/>
                <w:i w:val="0"/>
                <w:sz w:val="18"/>
              </w:rPr>
              <w:t>S1, p.7</w:t>
            </w:r>
          </w:p>
        </w:tc>
      </w:tr>
      <w:tr>
        <w:tc>
          <w:tcPr>
            <w:tcW w:type="dxa" w:w="3000"/>
            <w:shd w:val="clear" w:fill="F2F2F2"/>
          </w:tcPr>
          <w:p>
            <w:r/>
            <w:r>
              <w:rPr>
                <w:rFonts w:ascii="Arial" w:hAnsi="Arial"/>
                <w:b/>
                <w:i w:val="0"/>
                <w:sz w:val="18"/>
              </w:rPr>
              <w:t>VNB margin</w:t>
            </w:r>
          </w:p>
        </w:tc>
        <w:tc>
          <w:tcPr>
            <w:tcW w:type="dxa" w:w="1700"/>
          </w:tcPr>
          <w:p>
            <w:r/>
            <w:r>
              <w:rPr>
                <w:rFonts w:ascii="Arial" w:hAnsi="Arial"/>
                <w:b w:val="0"/>
                <w:i w:val="0"/>
                <w:sz w:val="18"/>
              </w:rPr>
              <w:t>2% to 3%</w:t>
            </w:r>
          </w:p>
        </w:tc>
        <w:tc>
          <w:tcPr>
            <w:tcW w:type="dxa" w:w="1700"/>
          </w:tcPr>
          <w:p>
            <w:r/>
            <w:r>
              <w:rPr>
                <w:rFonts w:ascii="Arial" w:hAnsi="Arial"/>
                <w:b w:val="0"/>
                <w:i w:val="0"/>
                <w:sz w:val="18"/>
              </w:rPr>
              <w:t>1.2%</w:t>
            </w:r>
          </w:p>
        </w:tc>
        <w:tc>
          <w:tcPr>
            <w:tcW w:type="dxa" w:w="1300"/>
          </w:tcPr>
          <w:p>
            <w:r/>
            <w:r>
              <w:rPr>
                <w:rFonts w:ascii="Arial" w:hAnsi="Arial"/>
                <w:b w:val="0"/>
                <w:i w:val="0"/>
                <w:sz w:val="18"/>
              </w:rPr>
              <w:t>Below</w:t>
            </w:r>
          </w:p>
        </w:tc>
        <w:tc>
          <w:tcPr>
            <w:tcW w:type="dxa" w:w="660"/>
          </w:tcPr>
          <w:p>
            <w:r/>
            <w:r>
              <w:rPr>
                <w:rFonts w:ascii="Arial" w:hAnsi="Arial"/>
                <w:b w:val="0"/>
                <w:i w:val="0"/>
                <w:sz w:val="18"/>
              </w:rPr>
              <w:t>S1, p.7</w:t>
            </w:r>
          </w:p>
        </w:tc>
      </w:tr>
      <w:tr>
        <w:tc>
          <w:tcPr>
            <w:tcW w:type="dxa" w:w="3000"/>
            <w:shd w:val="clear" w:fill="F2F2F2"/>
          </w:tcPr>
          <w:p>
            <w:r/>
            <w:r>
              <w:rPr>
                <w:rFonts w:ascii="Arial" w:hAnsi="Arial"/>
                <w:b/>
                <w:i w:val="0"/>
                <w:sz w:val="18"/>
              </w:rPr>
              <w:t>OM Insure net underwriting margin</w:t>
            </w:r>
          </w:p>
        </w:tc>
        <w:tc>
          <w:tcPr>
            <w:tcW w:type="dxa" w:w="1700"/>
            <w:shd w:val="clear" w:fill="FAFAFA"/>
          </w:tcPr>
          <w:p>
            <w:r/>
            <w:r>
              <w:rPr>
                <w:rFonts w:ascii="Arial" w:hAnsi="Arial"/>
                <w:b w:val="0"/>
                <w:i w:val="0"/>
                <w:sz w:val="18"/>
              </w:rPr>
              <w:t>5% to 8%</w:t>
            </w:r>
          </w:p>
        </w:tc>
        <w:tc>
          <w:tcPr>
            <w:tcW w:type="dxa" w:w="1700"/>
            <w:shd w:val="clear" w:fill="FAFAFA"/>
          </w:tcPr>
          <w:p>
            <w:r/>
            <w:r>
              <w:rPr>
                <w:rFonts w:ascii="Arial" w:hAnsi="Arial"/>
                <w:b w:val="0"/>
                <w:i w:val="0"/>
                <w:sz w:val="18"/>
              </w:rPr>
              <w:t>6.8%</w:t>
            </w:r>
          </w:p>
        </w:tc>
        <w:tc>
          <w:tcPr>
            <w:tcW w:type="dxa" w:w="1300"/>
            <w:shd w:val="clear" w:fill="FAFAFA"/>
          </w:tcPr>
          <w:p>
            <w:r/>
            <w:r>
              <w:rPr>
                <w:rFonts w:ascii="Arial" w:hAnsi="Arial"/>
                <w:b w:val="0"/>
                <w:i w:val="0"/>
                <w:sz w:val="18"/>
              </w:rPr>
              <w:t>In range</w:t>
            </w:r>
          </w:p>
        </w:tc>
        <w:tc>
          <w:tcPr>
            <w:tcW w:type="dxa" w:w="660"/>
            <w:shd w:val="clear" w:fill="FAFAFA"/>
          </w:tcPr>
          <w:p>
            <w:r/>
            <w:r>
              <w:rPr>
                <w:rFonts w:ascii="Arial" w:hAnsi="Arial"/>
                <w:b w:val="0"/>
                <w:i w:val="0"/>
                <w:sz w:val="18"/>
              </w:rPr>
              <w:t>S1, p.4</w:t>
            </w:r>
          </w:p>
        </w:tc>
      </w:tr>
      <w:tr>
        <w:tc>
          <w:tcPr>
            <w:tcW w:type="dxa" w:w="3000"/>
            <w:shd w:val="clear" w:fill="F2F2F2"/>
          </w:tcPr>
          <w:p>
            <w:r/>
            <w:r>
              <w:rPr>
                <w:rFonts w:ascii="Arial" w:hAnsi="Arial"/>
                <w:b/>
                <w:i w:val="0"/>
                <w:sz w:val="18"/>
              </w:rPr>
              <w:t>DPS growth (3-yr rolling)</w:t>
            </w:r>
          </w:p>
        </w:tc>
        <w:tc>
          <w:tcPr>
            <w:tcW w:type="dxa" w:w="1700"/>
          </w:tcPr>
          <w:p>
            <w:r/>
            <w:r>
              <w:rPr>
                <w:rFonts w:ascii="Arial" w:hAnsi="Arial"/>
                <w:b w:val="0"/>
                <w:i w:val="0"/>
                <w:sz w:val="18"/>
              </w:rPr>
              <w:t>6% to 9%</w:t>
            </w:r>
          </w:p>
        </w:tc>
        <w:tc>
          <w:tcPr>
            <w:tcW w:type="dxa" w:w="1700"/>
          </w:tcPr>
          <w:p>
            <w:r/>
            <w:r>
              <w:rPr>
                <w:rFonts w:ascii="Arial" w:hAnsi="Arial"/>
                <w:b w:val="0"/>
                <w:i w:val="0"/>
                <w:sz w:val="18"/>
              </w:rPr>
              <w:t>8%</w:t>
            </w:r>
          </w:p>
        </w:tc>
        <w:tc>
          <w:tcPr>
            <w:tcW w:type="dxa" w:w="1300"/>
          </w:tcPr>
          <w:p>
            <w:r/>
            <w:r>
              <w:rPr>
                <w:rFonts w:ascii="Arial" w:hAnsi="Arial"/>
                <w:b w:val="0"/>
                <w:i w:val="0"/>
                <w:sz w:val="18"/>
              </w:rPr>
              <w:t>In range</w:t>
            </w:r>
          </w:p>
        </w:tc>
        <w:tc>
          <w:tcPr>
            <w:tcW w:type="dxa" w:w="660"/>
          </w:tcPr>
          <w:p>
            <w:r/>
            <w:r>
              <w:rPr>
                <w:rFonts w:ascii="Arial" w:hAnsi="Arial"/>
                <w:b w:val="0"/>
                <w:i w:val="0"/>
                <w:sz w:val="18"/>
              </w:rPr>
              <w:t>S1, p.4</w:t>
            </w:r>
          </w:p>
        </w:tc>
      </w:tr>
      <w:tr>
        <w:tc>
          <w:tcPr>
            <w:tcW w:type="dxa" w:w="3000"/>
            <w:shd w:val="clear" w:fill="F2F2F2"/>
          </w:tcPr>
          <w:p>
            <w:r/>
            <w:r>
              <w:rPr>
                <w:rFonts w:ascii="Arial" w:hAnsi="Arial"/>
                <w:b/>
                <w:i w:val="0"/>
                <w:sz w:val="18"/>
              </w:rPr>
              <w:t>Gross flows / GWP growth</w:t>
            </w:r>
          </w:p>
        </w:tc>
        <w:tc>
          <w:tcPr>
            <w:tcW w:type="dxa" w:w="1700"/>
            <w:shd w:val="clear" w:fill="FAFAFA"/>
          </w:tcPr>
          <w:p>
            <w:r/>
            <w:r>
              <w:rPr>
                <w:rFonts w:ascii="Arial" w:hAnsi="Arial"/>
                <w:b w:val="0"/>
                <w:i w:val="0"/>
                <w:sz w:val="18"/>
              </w:rPr>
              <w:t>Nominal GDP +1%</w:t>
            </w:r>
          </w:p>
        </w:tc>
        <w:tc>
          <w:tcPr>
            <w:tcW w:type="dxa" w:w="1700"/>
            <w:shd w:val="clear" w:fill="FAFAFA"/>
          </w:tcPr>
          <w:p>
            <w:r/>
            <w:r>
              <w:rPr>
                <w:rFonts w:ascii="Arial" w:hAnsi="Arial"/>
                <w:b w:val="0"/>
                <w:i w:val="0"/>
                <w:sz w:val="18"/>
              </w:rPr>
              <w:t>Achieved</w:t>
            </w:r>
          </w:p>
        </w:tc>
        <w:tc>
          <w:tcPr>
            <w:tcW w:type="dxa" w:w="1300"/>
            <w:shd w:val="clear" w:fill="FAFAFA"/>
          </w:tcPr>
          <w:p>
            <w:r/>
            <w:r>
              <w:rPr>
                <w:rFonts w:ascii="Arial" w:hAnsi="Arial"/>
                <w:b w:val="0"/>
                <w:i w:val="0"/>
                <w:sz w:val="18"/>
              </w:rPr>
              <w:t>In range</w:t>
            </w:r>
          </w:p>
        </w:tc>
        <w:tc>
          <w:tcPr>
            <w:tcW w:type="dxa" w:w="660"/>
            <w:shd w:val="clear" w:fill="FAFAFA"/>
          </w:tcPr>
          <w:p>
            <w:r/>
            <w:r>
              <w:rPr>
                <w:rFonts w:ascii="Arial" w:hAnsi="Arial"/>
                <w:b w:val="0"/>
                <w:i w:val="0"/>
                <w:sz w:val="18"/>
              </w:rPr>
              <w:t>S1, p.34</w:t>
            </w:r>
          </w:p>
        </w:tc>
      </w:tr>
      <w:tr>
        <w:tc>
          <w:tcPr>
            <w:tcW w:type="dxa" w:w="3000"/>
            <w:shd w:val="clear" w:fill="F2F2F2"/>
          </w:tcPr>
          <w:p>
            <w:r/>
            <w:r>
              <w:rPr>
                <w:rFonts w:ascii="Arial" w:hAnsi="Arial"/>
                <w:b/>
                <w:i w:val="0"/>
                <w:sz w:val="18"/>
              </w:rPr>
              <w:t>Shareholder solvency</w:t>
            </w:r>
          </w:p>
        </w:tc>
        <w:tc>
          <w:tcPr>
            <w:tcW w:type="dxa" w:w="1700"/>
          </w:tcPr>
          <w:p>
            <w:r/>
            <w:r>
              <w:rPr>
                <w:rFonts w:ascii="Arial" w:hAnsi="Arial"/>
                <w:b w:val="0"/>
                <w:i w:val="0"/>
                <w:sz w:val="18"/>
              </w:rPr>
              <w:t>155% to 185%</w:t>
            </w:r>
          </w:p>
        </w:tc>
        <w:tc>
          <w:tcPr>
            <w:tcW w:type="dxa" w:w="1700"/>
          </w:tcPr>
          <w:p>
            <w:r/>
            <w:r>
              <w:rPr>
                <w:rFonts w:ascii="Arial" w:hAnsi="Arial"/>
                <w:b w:val="0"/>
                <w:i w:val="0"/>
                <w:sz w:val="18"/>
              </w:rPr>
              <w:t>162%</w:t>
            </w:r>
          </w:p>
        </w:tc>
        <w:tc>
          <w:tcPr>
            <w:tcW w:type="dxa" w:w="1300"/>
          </w:tcPr>
          <w:p>
            <w:r/>
            <w:r>
              <w:rPr>
                <w:rFonts w:ascii="Arial" w:hAnsi="Arial"/>
                <w:b w:val="0"/>
                <w:i w:val="0"/>
                <w:sz w:val="18"/>
              </w:rPr>
              <w:t>In range</w:t>
            </w:r>
          </w:p>
        </w:tc>
        <w:tc>
          <w:tcPr>
            <w:tcW w:type="dxa" w:w="660"/>
          </w:tcPr>
          <w:p>
            <w:r/>
            <w:r>
              <w:rPr>
                <w:rFonts w:ascii="Arial" w:hAnsi="Arial"/>
                <w:b w:val="0"/>
                <w:i w:val="0"/>
                <w:sz w:val="18"/>
              </w:rPr>
              <w:t>S1, p.36</w:t>
            </w:r>
          </w:p>
        </w:tc>
      </w:tr>
      <w:tr>
        <w:tc>
          <w:tcPr>
            <w:tcW w:type="dxa" w:w="3000"/>
            <w:shd w:val="clear" w:fill="F2F2F2"/>
          </w:tcPr>
          <w:p>
            <w:r/>
            <w:r>
              <w:rPr>
                <w:rFonts w:ascii="Arial" w:hAnsi="Arial"/>
                <w:b/>
                <w:i w:val="0"/>
                <w:sz w:val="18"/>
              </w:rPr>
              <w:t>OM Bank cluster profitability</w:t>
            </w:r>
          </w:p>
        </w:tc>
        <w:tc>
          <w:tcPr>
            <w:tcW w:type="dxa" w:w="1700"/>
            <w:shd w:val="clear" w:fill="FAFAFA"/>
          </w:tcPr>
          <w:p>
            <w:r/>
            <w:r>
              <w:rPr>
                <w:rFonts w:ascii="Arial" w:hAnsi="Arial"/>
                <w:b w:val="0"/>
                <w:i w:val="0"/>
                <w:sz w:val="18"/>
              </w:rPr>
              <w:t>By FY2028</w:t>
            </w:r>
          </w:p>
        </w:tc>
        <w:tc>
          <w:tcPr>
            <w:tcW w:type="dxa" w:w="1700"/>
            <w:shd w:val="clear" w:fill="FAFAFA"/>
          </w:tcPr>
          <w:p>
            <w:r/>
            <w:r>
              <w:rPr>
                <w:rFonts w:ascii="Arial" w:hAnsi="Arial"/>
                <w:b w:val="0"/>
                <w:i w:val="0"/>
                <w:sz w:val="18"/>
              </w:rPr>
              <w:t>Net loss R701m (e)</w:t>
            </w:r>
          </w:p>
        </w:tc>
        <w:tc>
          <w:tcPr>
            <w:tcW w:type="dxa" w:w="1300"/>
            <w:shd w:val="clear" w:fill="FAFAFA"/>
          </w:tcPr>
          <w:p>
            <w:r/>
            <w:r>
              <w:rPr>
                <w:rFonts w:ascii="Arial" w:hAnsi="Arial"/>
                <w:b w:val="0"/>
                <w:i w:val="0"/>
                <w:sz w:val="18"/>
              </w:rPr>
              <w:t>On track</w:t>
            </w:r>
          </w:p>
        </w:tc>
        <w:tc>
          <w:tcPr>
            <w:tcW w:type="dxa" w:w="660"/>
            <w:shd w:val="clear" w:fill="FAFAFA"/>
          </w:tcPr>
          <w:p>
            <w:r/>
            <w:r>
              <w:rPr>
                <w:rFonts w:ascii="Arial" w:hAnsi="Arial"/>
                <w:b w:val="0"/>
                <w:i w:val="0"/>
                <w:sz w:val="18"/>
              </w:rPr>
              <w:t>S1, p.36, p.16</w:t>
            </w:r>
          </w:p>
        </w:tc>
      </w:tr>
      <w:tr>
        <w:tc>
          <w:tcPr>
            <w:tcW w:type="dxa" w:w="3000"/>
            <w:shd w:val="clear" w:fill="F2F2F2"/>
          </w:tcPr>
          <w:p>
            <w:r/>
            <w:r>
              <w:rPr>
                <w:rFonts w:ascii="Arial" w:hAnsi="Arial"/>
                <w:b/>
                <w:i w:val="0"/>
                <w:sz w:val="18"/>
              </w:rPr>
              <w:t>Cost savings programme</w:t>
            </w:r>
          </w:p>
        </w:tc>
        <w:tc>
          <w:tcPr>
            <w:tcW w:type="dxa" w:w="1700"/>
          </w:tcPr>
          <w:p>
            <w:r/>
            <w:r>
              <w:rPr>
                <w:rFonts w:ascii="Arial" w:hAnsi="Arial"/>
                <w:b w:val="0"/>
                <w:i w:val="0"/>
                <w:sz w:val="18"/>
              </w:rPr>
              <w:t>R2.5bn</w:t>
            </w:r>
          </w:p>
        </w:tc>
        <w:tc>
          <w:tcPr>
            <w:tcW w:type="dxa" w:w="1700"/>
          </w:tcPr>
          <w:p>
            <w:r/>
            <w:r>
              <w:rPr>
                <w:rFonts w:ascii="Arial" w:hAnsi="Arial"/>
                <w:b w:val="0"/>
                <w:i w:val="0"/>
                <w:sz w:val="18"/>
              </w:rPr>
              <w:t>R450m delivered</w:t>
            </w:r>
          </w:p>
        </w:tc>
        <w:tc>
          <w:tcPr>
            <w:tcW w:type="dxa" w:w="1300"/>
          </w:tcPr>
          <w:p>
            <w:r/>
            <w:r>
              <w:rPr>
                <w:rFonts w:ascii="Arial" w:hAnsi="Arial"/>
                <w:b w:val="0"/>
                <w:i w:val="0"/>
                <w:sz w:val="18"/>
              </w:rPr>
              <w:t>Started</w:t>
            </w:r>
          </w:p>
        </w:tc>
        <w:tc>
          <w:tcPr>
            <w:tcW w:type="dxa" w:w="660"/>
          </w:tcPr>
          <w:p>
            <w:r/>
            <w:r>
              <w:rPr>
                <w:rFonts w:ascii="Arial" w:hAnsi="Arial"/>
                <w:b w:val="0"/>
                <w:i w:val="0"/>
                <w:sz w:val="18"/>
              </w:rPr>
              <w:t>S1, p.32</w:t>
            </w:r>
          </w:p>
        </w:tc>
      </w:tr>
      <w:tr>
        <w:tc>
          <w:tcPr>
            <w:tcW w:type="dxa" w:w="3000"/>
            <w:shd w:val="clear" w:fill="F2F2F2"/>
          </w:tcPr>
          <w:p>
            <w:r/>
            <w:r>
              <w:rPr>
                <w:rFonts w:ascii="Arial" w:hAnsi="Arial"/>
                <w:b/>
                <w:i w:val="0"/>
                <w:sz w:val="18"/>
              </w:rPr>
              <w:t>Share buyback</w:t>
            </w:r>
          </w:p>
        </w:tc>
        <w:tc>
          <w:tcPr>
            <w:tcW w:type="dxa" w:w="1700"/>
            <w:shd w:val="clear" w:fill="FAFAFA"/>
          </w:tcPr>
          <w:p>
            <w:r/>
            <w:r>
              <w:rPr>
                <w:rFonts w:ascii="Arial" w:hAnsi="Arial"/>
                <w:b w:val="0"/>
                <w:i w:val="0"/>
                <w:sz w:val="18"/>
              </w:rPr>
              <w:t>R3.0bn</w:t>
            </w:r>
          </w:p>
        </w:tc>
        <w:tc>
          <w:tcPr>
            <w:tcW w:type="dxa" w:w="1700"/>
            <w:shd w:val="clear" w:fill="FAFAFA"/>
          </w:tcPr>
          <w:p>
            <w:r/>
            <w:r>
              <w:rPr>
                <w:rFonts w:ascii="Arial" w:hAnsi="Arial"/>
                <w:b w:val="0"/>
                <w:i w:val="0"/>
                <w:sz w:val="18"/>
              </w:rPr>
              <w:t>R1.3bn done</w:t>
            </w:r>
          </w:p>
        </w:tc>
        <w:tc>
          <w:tcPr>
            <w:tcW w:type="dxa" w:w="1300"/>
            <w:shd w:val="clear" w:fill="FAFAFA"/>
          </w:tcPr>
          <w:p>
            <w:r/>
            <w:r>
              <w:rPr>
                <w:rFonts w:ascii="Arial" w:hAnsi="Arial"/>
                <w:b w:val="0"/>
                <w:i w:val="0"/>
                <w:sz w:val="18"/>
              </w:rPr>
              <w:t>In progress</w:t>
            </w:r>
          </w:p>
        </w:tc>
        <w:tc>
          <w:tcPr>
            <w:tcW w:type="dxa" w:w="660"/>
            <w:shd w:val="clear" w:fill="FAFAFA"/>
          </w:tcPr>
          <w:p>
            <w:r/>
            <w:r>
              <w:rPr>
                <w:rFonts w:ascii="Arial" w:hAnsi="Arial"/>
                <w:b w:val="0"/>
                <w:i w:val="0"/>
                <w:sz w:val="18"/>
              </w:rPr>
              <w:t>S1, p.4</w:t>
            </w:r>
          </w:p>
        </w:tc>
      </w:tr>
    </w:tbl>
    <w:p>
      <w:pPr>
        <w:spacing w:after="40" w:before="0"/>
      </w:pPr>
    </w:p>
    <w:p>
      <w:pPr>
        <w:spacing w:after="160" w:before="0"/>
      </w:pPr>
      <w:r>
        <w:rPr>
          <w:rFonts w:ascii="Arial" w:hAnsi="Arial"/>
          <w:b/>
          <w:i w:val="0"/>
          <w:sz w:val="21"/>
        </w:rPr>
        <w:t xml:space="preserve">Read. </w:t>
      </w:r>
      <w:r>
        <w:rPr>
          <w:rFonts w:ascii="Arial" w:hAnsi="Arial"/>
          <w:b w:val="0"/>
          <w:i w:val="0"/>
          <w:sz w:val="21"/>
        </w:rPr>
        <w:t>Two of the eight value KPIs (RoGEV, VNB margin) sit below range entering 2026 - these are exactly the metrics the reset is designed to fix, so closing them is the bull case and failing to is the bear case. RoNAV is in range only on a Malawi-flattered basis (14.0-14.5% ex-Malawi), so it is fragile. The OM Bank net loss of R701m (e) is the cluster figure read from the RFO trend chart (FY2023 -R271m, FY2024 -R951m, FY2025 -R701m); management reports the net loss improved 26% yoy with FY2028 breakeven targeted (S1, p.16).</w:t>
      </w:r>
    </w:p>
    <w:p>
      <w:pPr>
        <w:pStyle w:val="Heading1"/>
      </w:pPr>
      <w:r>
        <w:t>4.  Scenario projections - FY2026 &amp; FY2027 under three regimes</w:t>
      </w:r>
    </w:p>
    <w:p>
      <w:pPr>
        <w:spacing w:after="160" w:before="0"/>
      </w:pPr>
      <w:r>
        <w:rPr>
          <w:rFonts w:ascii="Arial" w:hAnsi="Arial"/>
          <w:b/>
          <w:i w:val="0"/>
          <w:sz w:val="21"/>
        </w:rPr>
        <w:t xml:space="preserve">Method. </w:t>
      </w:r>
      <w:r>
        <w:rPr>
          <w:rFonts w:ascii="Arial" w:hAnsi="Arial"/>
          <w:b w:val="0"/>
          <w:i w:val="0"/>
          <w:sz w:val="21"/>
        </w:rPr>
        <w:t>FY2025 actuals are the anchor (sacred). Each regime defines macro drivers, then translates them to directional + ranged implications for OMU's earnings levers. ALL forward figures are estimates (e) with working shown; where a number cannot be responsibly pinned, direction is given instead. AHE/RFO ranges flex around the FY2025 base (RFO R9,821m; AHE R8,263m; AHE/share 189.8c) and explicitly assume the elevated Malawi/market base partially unwinds, per management's own 7-9% RFO / 11-16% AHE ex-Malawi disclosure (S1, p.33).</w:t>
      </w:r>
    </w:p>
    <w:p>
      <w:pPr>
        <w:pStyle w:val="Heading2"/>
      </w:pPr>
      <w:r>
        <w:t>Neutral regime (base case) - the muddle-through reset</w:t>
      </w:r>
    </w:p>
    <w:p>
      <w:pPr>
        <w:spacing w:after="160" w:before="0"/>
      </w:pPr>
      <w:r>
        <w:rPr>
          <w:rFonts w:ascii="Arial" w:hAnsi="Arial"/>
          <w:b/>
          <w:i w:val="0"/>
          <w:sz w:val="21"/>
        </w:rPr>
        <w:t xml:space="preserve">Macro (e). </w:t>
      </w:r>
      <w:r>
        <w:rPr>
          <w:rFonts w:ascii="Arial" w:hAnsi="Arial"/>
          <w:b w:val="0"/>
          <w:i w:val="0"/>
          <w:sz w:val="21"/>
        </w:rPr>
        <w:t>SA GDP ~1.2% 2026e / 1.7% 2027e; SARB repo held near 7.00% then easing modestly into 2027; CPI ~4.4% then ~3.7%; ZAR broadly stable ~R18-19/USD; JSE equity markets flat-to-up mid-single-digit; benign credit &amp; mortality experience continuing (E2). This is broadly the SARB's central path (E2).</w:t>
      </w:r>
    </w:p>
    <w:p>
      <w:pPr>
        <w:pStyle w:val="ListBullet"/>
        <w:spacing w:after="80"/>
      </w:pPr>
      <w:r>
        <w:rPr>
          <w:rFonts w:ascii="Arial" w:hAnsi="Arial"/>
          <w:b/>
          <w:i w:val="0"/>
          <w:sz w:val="21"/>
        </w:rPr>
        <w:t xml:space="preserve">RFO: </w:t>
      </w:r>
      <w:r>
        <w:rPr>
          <w:rFonts w:ascii="Arial" w:hAnsi="Arial"/>
          <w:b w:val="0"/>
          <w:i w:val="0"/>
          <w:sz w:val="21"/>
        </w:rPr>
        <w:t>~R10.0-10.6bn (e) - roughly flat-to-+8% on R9,821m FY2025 (S1, p.36). Underlying SA operating gains (~7-9%, S1 p.33) are partly offset by the Malawi base normalising. Working: 9,821 x (1.02 to 1.08).</w:t>
      </w:r>
    </w:p>
    <w:p>
      <w:pPr>
        <w:pStyle w:val="ListBullet"/>
        <w:spacing w:after="80"/>
      </w:pPr>
      <w:r>
        <w:rPr>
          <w:rFonts w:ascii="Arial" w:hAnsi="Arial"/>
          <w:b/>
          <w:i w:val="0"/>
          <w:sz w:val="21"/>
        </w:rPr>
        <w:t xml:space="preserve">AHE / AHE-per-share: </w:t>
      </w:r>
      <w:r>
        <w:rPr>
          <w:rFonts w:ascii="Arial" w:hAnsi="Arial"/>
          <w:b w:val="0"/>
          <w:i w:val="0"/>
          <w:sz w:val="21"/>
        </w:rPr>
        <w:t>AHE ~R8.0-8.7bn (e); AHE/share ~184-200c (e) vs 189.8c FY2025 - flat, as cost savings and bank-loss narrowing offset a lower investment-return tailwind. Working: 8,263 x (0.97 to 1.05); per share aided by buyback share-count reduction (4,353m WANOS FY2025, S1 p.37).</w:t>
      </w:r>
    </w:p>
    <w:p>
      <w:pPr>
        <w:pStyle w:val="ListBullet"/>
        <w:spacing w:after="80"/>
      </w:pPr>
      <w:r>
        <w:rPr>
          <w:rFonts w:ascii="Arial" w:hAnsi="Arial"/>
          <w:b/>
          <w:i w:val="0"/>
          <w:sz w:val="21"/>
        </w:rPr>
        <w:t xml:space="preserve">RoNAV vs 15-17% target: </w:t>
      </w:r>
      <w:r>
        <w:rPr>
          <w:rFonts w:ascii="Arial" w:hAnsi="Arial"/>
          <w:b w:val="0"/>
          <w:i w:val="0"/>
          <w:sz w:val="21"/>
        </w:rPr>
        <w:t>~14.5-15.5% (e) - in/around the bottom of range as the Malawi flatter fades; below range risk if markets soften (S1, p.36).</w:t>
      </w:r>
    </w:p>
    <w:p>
      <w:pPr>
        <w:pStyle w:val="ListBullet"/>
        <w:spacing w:after="80"/>
      </w:pPr>
      <w:r>
        <w:rPr>
          <w:rFonts w:ascii="Arial" w:hAnsi="Arial"/>
          <w:b/>
          <w:i w:val="0"/>
          <w:sz w:val="21"/>
        </w:rPr>
        <w:t xml:space="preserve">VNB &amp; margin: </w:t>
      </w:r>
      <w:r>
        <w:rPr>
          <w:rFonts w:ascii="Arial" w:hAnsi="Arial"/>
          <w:b w:val="0"/>
          <w:i w:val="0"/>
          <w:sz w:val="21"/>
        </w:rPr>
        <w:t>VNB ~R1.0-1.3bn (e); margin ~1.4-1.8% (e) - recovering off the R850m / 1.2% trough as persistency actions land, but still BELOW the 2-3% target (S1, p.37, p.45).</w:t>
      </w:r>
    </w:p>
    <w:p>
      <w:pPr>
        <w:pStyle w:val="ListBullet"/>
        <w:spacing w:after="80"/>
      </w:pPr>
      <w:r>
        <w:rPr>
          <w:rFonts w:ascii="Arial" w:hAnsi="Arial"/>
          <w:b/>
          <w:i w:val="0"/>
          <w:sz w:val="21"/>
        </w:rPr>
        <w:t xml:space="preserve">Gross flows / NCCF: </w:t>
      </w:r>
      <w:r>
        <w:rPr>
          <w:rFonts w:ascii="Arial" w:hAnsi="Arial"/>
          <w:b w:val="0"/>
          <w:i w:val="0"/>
          <w:sz w:val="21"/>
        </w:rPr>
        <w:t>Gross flows ~+5-7% (e, ~nominal GDP+1%); NCCF still a modest net outflow narrowing toward neutral from -R10.4bn (S1, p.36).</w:t>
      </w:r>
    </w:p>
    <w:p>
      <w:pPr>
        <w:pStyle w:val="ListBullet"/>
        <w:spacing w:after="80"/>
      </w:pPr>
      <w:r>
        <w:rPr>
          <w:rFonts w:ascii="Arial" w:hAnsi="Arial"/>
          <w:b/>
          <w:i w:val="0"/>
          <w:sz w:val="21"/>
        </w:rPr>
        <w:t xml:space="preserve">OM Bank: </w:t>
      </w:r>
      <w:r>
        <w:rPr>
          <w:rFonts w:ascii="Arial" w:hAnsi="Arial"/>
          <w:b w:val="0"/>
          <w:i w:val="0"/>
          <w:sz w:val="21"/>
        </w:rPr>
        <w:t>Net loss narrows to ~ -R450m to -R600m (e) from -R701m as the loan book and deposits scale, consistent with FY2028 breakeven (S1, p.16).</w:t>
      </w:r>
    </w:p>
    <w:p>
      <w:pPr>
        <w:pStyle w:val="ListBullet"/>
        <w:spacing w:after="80"/>
      </w:pPr>
      <w:r>
        <w:rPr>
          <w:rFonts w:ascii="Arial" w:hAnsi="Arial"/>
          <w:b/>
          <w:i w:val="0"/>
          <w:sz w:val="21"/>
        </w:rPr>
        <w:t xml:space="preserve">Dividend / buyback: </w:t>
      </w:r>
      <w:r>
        <w:rPr>
          <w:rFonts w:ascii="Arial" w:hAnsi="Arial"/>
          <w:b w:val="0"/>
          <w:i w:val="0"/>
          <w:sz w:val="21"/>
        </w:rPr>
        <w:t>DPS growth ~6-8% (e), in the 6-9% band; R3bn buyback completed through 2026 (R1.7bn remaining) (S1, p.4, p.32).</w:t>
      </w:r>
    </w:p>
    <w:p>
      <w:pPr>
        <w:pStyle w:val="Heading2"/>
      </w:pPr>
      <w:r>
        <w:t>Bull regime - self-help lands into a market tailwind</w:t>
      </w:r>
    </w:p>
    <w:p>
      <w:pPr>
        <w:spacing w:after="160" w:before="0"/>
      </w:pPr>
      <w:r>
        <w:rPr>
          <w:rFonts w:ascii="Arial" w:hAnsi="Arial"/>
          <w:b/>
          <w:i w:val="0"/>
          <w:sz w:val="21"/>
        </w:rPr>
        <w:t xml:space="preserve">Macro (e). </w:t>
      </w:r>
      <w:r>
        <w:rPr>
          <w:rFonts w:ascii="Arial" w:hAnsi="Arial"/>
          <w:b w:val="0"/>
          <w:i w:val="0"/>
          <w:sz w:val="21"/>
        </w:rPr>
        <w:t>SA GDP surprises to ~2%+; SARB cuts the repo toward ~6% as CPI settles at target; ZAR firms toward ~R17/USD; JSE equity markets rally double-digit; credit losses benign and persistency improves as consumer stress eases (two-pot withdrawals slow). A 'constructive SA' outcome management flags as plausible (S1, p.45).</w:t>
      </w:r>
    </w:p>
    <w:p>
      <w:pPr>
        <w:pStyle w:val="ListBullet"/>
        <w:spacing w:after="80"/>
      </w:pPr>
      <w:r>
        <w:rPr>
          <w:rFonts w:ascii="Arial" w:hAnsi="Arial"/>
          <w:b/>
          <w:i w:val="0"/>
          <w:sz w:val="21"/>
        </w:rPr>
        <w:t xml:space="preserve">RFO: </w:t>
      </w:r>
      <w:r>
        <w:rPr>
          <w:rFonts w:ascii="Arial" w:hAnsi="Arial"/>
          <w:b w:val="0"/>
          <w:i w:val="0"/>
          <w:sz w:val="21"/>
        </w:rPr>
        <w:t>~R10.8-11.5bn (e), ~+10-17% - cost savings (toward R2.5bn run-rate), stronger flows-driven asset-management fees and lower bank losses compound a market lift. Working: 9,821 x (1.10 to 1.17).</w:t>
      </w:r>
    </w:p>
    <w:p>
      <w:pPr>
        <w:pStyle w:val="ListBullet"/>
        <w:spacing w:after="80"/>
      </w:pPr>
      <w:r>
        <w:rPr>
          <w:rFonts w:ascii="Arial" w:hAnsi="Arial"/>
          <w:b/>
          <w:i w:val="0"/>
          <w:sz w:val="21"/>
        </w:rPr>
        <w:t xml:space="preserve">AHE / per share: </w:t>
      </w:r>
      <w:r>
        <w:rPr>
          <w:rFonts w:ascii="Arial" w:hAnsi="Arial"/>
          <w:b w:val="0"/>
          <w:i w:val="0"/>
          <w:sz w:val="21"/>
        </w:rPr>
        <w:t>AHE ~R9.0-9.8bn (e); AHE/share ~210-230c (e), helped by buyback share-count reduction. Working: 8,263 x (1.09 to 1.19).</w:t>
      </w:r>
    </w:p>
    <w:p>
      <w:pPr>
        <w:pStyle w:val="ListBullet"/>
        <w:spacing w:after="80"/>
      </w:pPr>
      <w:r>
        <w:rPr>
          <w:rFonts w:ascii="Arial" w:hAnsi="Arial"/>
          <w:b/>
          <w:i w:val="0"/>
          <w:sz w:val="21"/>
        </w:rPr>
        <w:t xml:space="preserve">RoNAV: </w:t>
      </w:r>
      <w:r>
        <w:rPr>
          <w:rFonts w:ascii="Arial" w:hAnsi="Arial"/>
          <w:b w:val="0"/>
          <w:i w:val="0"/>
          <w:sz w:val="21"/>
        </w:rPr>
        <w:t>~16-18% (e) - comfortably within / above the 15-17% target as equity markets lift shareholder returns (S1, p.36).</w:t>
      </w:r>
    </w:p>
    <w:p>
      <w:pPr>
        <w:pStyle w:val="ListBullet"/>
        <w:spacing w:after="80"/>
      </w:pPr>
      <w:r>
        <w:rPr>
          <w:rFonts w:ascii="Arial" w:hAnsi="Arial"/>
          <w:b/>
          <w:i w:val="0"/>
          <w:sz w:val="21"/>
        </w:rPr>
        <w:t xml:space="preserve">VNB &amp; margin: </w:t>
      </w:r>
      <w:r>
        <w:rPr>
          <w:rFonts w:ascii="Arial" w:hAnsi="Arial"/>
          <w:b w:val="0"/>
          <w:i w:val="0"/>
          <w:sz w:val="21"/>
        </w:rPr>
        <w:t>VNB ~R1.5-2.0bn (e); margin recovers to ~2.0-2.5% (e) - back INTO the 2-3% target band as mix/retention/collections deliver (S1, p.45).</w:t>
      </w:r>
    </w:p>
    <w:p>
      <w:pPr>
        <w:pStyle w:val="ListBullet"/>
        <w:spacing w:after="80"/>
      </w:pPr>
      <w:r>
        <w:rPr>
          <w:rFonts w:ascii="Arial" w:hAnsi="Arial"/>
          <w:b/>
          <w:i w:val="0"/>
          <w:sz w:val="21"/>
        </w:rPr>
        <w:t xml:space="preserve">OM Bank: </w:t>
      </w:r>
      <w:r>
        <w:rPr>
          <w:rFonts w:ascii="Arial" w:hAnsi="Arial"/>
          <w:b w:val="0"/>
          <w:i w:val="0"/>
          <w:sz w:val="21"/>
        </w:rPr>
        <w:t>Loss narrows faster to ~ -R350m to -R500m (e); breakeven pulled toward FY2027/28 if deposit traction continues (S1, p.16).</w:t>
      </w:r>
    </w:p>
    <w:p>
      <w:pPr>
        <w:pStyle w:val="ListBullet"/>
        <w:spacing w:after="80"/>
      </w:pPr>
      <w:r>
        <w:rPr>
          <w:rFonts w:ascii="Arial" w:hAnsi="Arial"/>
          <w:b/>
          <w:i w:val="0"/>
          <w:sz w:val="21"/>
        </w:rPr>
        <w:t xml:space="preserve">Dividend / buyback: </w:t>
      </w:r>
      <w:r>
        <w:rPr>
          <w:rFonts w:ascii="Arial" w:hAnsi="Arial"/>
          <w:b w:val="0"/>
          <w:i w:val="0"/>
          <w:sz w:val="21"/>
        </w:rPr>
        <w:t>DPS growth at the top of the 6-9% band (~9%, e); scope for a further buyback tranche given discretionary capital of R6.1bn (S1, p.36).</w:t>
      </w:r>
    </w:p>
    <w:p>
      <w:pPr>
        <w:pStyle w:val="Heading2"/>
      </w:pPr>
      <w:r>
        <w:t>Bear regime - market reversal meets the unfinished reset</w:t>
      </w:r>
    </w:p>
    <w:p>
      <w:pPr>
        <w:spacing w:after="160" w:before="0"/>
      </w:pPr>
      <w:r>
        <w:rPr>
          <w:rFonts w:ascii="Arial" w:hAnsi="Arial"/>
          <w:b/>
          <w:i w:val="0"/>
          <w:sz w:val="21"/>
        </w:rPr>
        <w:t xml:space="preserve">Macro (e). </w:t>
      </w:r>
      <w:r>
        <w:rPr>
          <w:rFonts w:ascii="Arial" w:hAnsi="Arial"/>
          <w:b w:val="0"/>
          <w:i w:val="0"/>
          <w:sz w:val="21"/>
        </w:rPr>
        <w:t>Global shock (oil / geopolitics) keeps the SARB restrictive or forces a further hike toward ~8%+ (its severe scenario); CPI second-round effects push toward ~5-6%; ZAR weakens past ~R20/USD; JSE equities fall double-digit; consumer stress lifts lapses/persistency strain and credit losses; a Malawi kwacha devaluation crystallises (management's 30-50% sensitivity) (S1, p.33; E2).</w:t>
      </w:r>
    </w:p>
    <w:p>
      <w:pPr>
        <w:pStyle w:val="ListBullet"/>
        <w:spacing w:after="80"/>
      </w:pPr>
      <w:r>
        <w:rPr>
          <w:rFonts w:ascii="Arial" w:hAnsi="Arial"/>
          <w:b/>
          <w:i w:val="0"/>
          <w:sz w:val="21"/>
        </w:rPr>
        <w:t xml:space="preserve">RFO: </w:t>
      </w:r>
      <w:r>
        <w:rPr>
          <w:rFonts w:ascii="Arial" w:hAnsi="Arial"/>
          <w:b w:val="0"/>
          <w:i w:val="0"/>
          <w:sz w:val="21"/>
        </w:rPr>
        <w:t>~R8.8-9.6bn (e), -2% to -10% - the Malawi base reverses (the 30-50% devaluation alone removes ~4-6pts of the reported growth, S1 p.33) and weaker markets cut shareholder returns. Working: 9,821 x (0.90 to 0.98).</w:t>
      </w:r>
    </w:p>
    <w:p>
      <w:pPr>
        <w:pStyle w:val="ListBullet"/>
        <w:spacing w:after="80"/>
      </w:pPr>
      <w:r>
        <w:rPr>
          <w:rFonts w:ascii="Arial" w:hAnsi="Arial"/>
          <w:b/>
          <w:i w:val="0"/>
          <w:sz w:val="21"/>
        </w:rPr>
        <w:t xml:space="preserve">AHE / per share: </w:t>
      </w:r>
      <w:r>
        <w:rPr>
          <w:rFonts w:ascii="Arial" w:hAnsi="Arial"/>
          <w:b w:val="0"/>
          <w:i w:val="0"/>
          <w:sz w:val="21"/>
        </w:rPr>
        <w:t>AHE ~R6.8-7.8bn (e); AHE/share ~156-179c (e), down on FY2025's 189.8c as investment returns reverse. Working: 8,263 x (0.82 to 0.94).</w:t>
      </w:r>
    </w:p>
    <w:p>
      <w:pPr>
        <w:pStyle w:val="ListBullet"/>
        <w:spacing w:after="80"/>
      </w:pPr>
      <w:r>
        <w:rPr>
          <w:rFonts w:ascii="Arial" w:hAnsi="Arial"/>
          <w:b/>
          <w:i w:val="0"/>
          <w:sz w:val="21"/>
        </w:rPr>
        <w:t xml:space="preserve">RoNAV: </w:t>
      </w:r>
      <w:r>
        <w:rPr>
          <w:rFonts w:ascii="Arial" w:hAnsi="Arial"/>
          <w:b w:val="0"/>
          <w:i w:val="0"/>
          <w:sz w:val="21"/>
        </w:rPr>
        <w:t>~12-14% (e) - BELOW the 15-17% target, exposing how Malawi-dependent the FY2025 15.2% was (14.0-14.5% ex-Malawi) (S1, p.33, p.36).</w:t>
      </w:r>
    </w:p>
    <w:p>
      <w:pPr>
        <w:pStyle w:val="ListBullet"/>
        <w:spacing w:after="80"/>
      </w:pPr>
      <w:r>
        <w:rPr>
          <w:rFonts w:ascii="Arial" w:hAnsi="Arial"/>
          <w:b/>
          <w:i w:val="0"/>
          <w:sz w:val="21"/>
        </w:rPr>
        <w:t xml:space="preserve">VNB &amp; margin: </w:t>
      </w:r>
      <w:r>
        <w:rPr>
          <w:rFonts w:ascii="Arial" w:hAnsi="Arial"/>
          <w:b w:val="0"/>
          <w:i w:val="0"/>
          <w:sz w:val="21"/>
        </w:rPr>
        <w:t>VNB stalls ~R0.7-1.0bn (e); margin stuck ~1.0-1.4% (e) as affordability-driven lapses re-strengthen persistency assumptions - the reset stalls (S1, p.37).</w:t>
      </w:r>
    </w:p>
    <w:p>
      <w:pPr>
        <w:pStyle w:val="ListBullet"/>
        <w:spacing w:after="80"/>
      </w:pPr>
      <w:r>
        <w:rPr>
          <w:rFonts w:ascii="Arial" w:hAnsi="Arial"/>
          <w:b/>
          <w:i w:val="0"/>
          <w:sz w:val="21"/>
        </w:rPr>
        <w:t xml:space="preserve">OM Bank: </w:t>
      </w:r>
      <w:r>
        <w:rPr>
          <w:rFonts w:ascii="Arial" w:hAnsi="Arial"/>
          <w:b w:val="0"/>
          <w:i w:val="0"/>
          <w:sz w:val="21"/>
        </w:rPr>
        <w:t>Loss narrowing slows; breakeven risk slips beyond FY2028 if growth investment is sustained into a weak book (S1, p.16).</w:t>
      </w:r>
    </w:p>
    <w:p>
      <w:pPr>
        <w:pStyle w:val="ListBullet"/>
        <w:spacing w:after="80"/>
      </w:pPr>
      <w:r>
        <w:rPr>
          <w:rFonts w:ascii="Arial" w:hAnsi="Arial"/>
          <w:b/>
          <w:i w:val="0"/>
          <w:sz w:val="21"/>
        </w:rPr>
        <w:t xml:space="preserve">Dividend / buyback: </w:t>
      </w:r>
      <w:r>
        <w:rPr>
          <w:rFonts w:ascii="Arial" w:hAnsi="Arial"/>
          <w:b w:val="0"/>
          <w:i w:val="0"/>
          <w:sz w:val="21"/>
        </w:rPr>
        <w:t>DPS growth at/below the 6% floor (e); buyback likely paused once 'no longer value accretive' per the stated condition (S1, p.32); solvency (162%, S1 p.36) cushions but drifts toward the 155% floor on market shocks.</w:t>
      </w:r>
    </w:p>
    <w:p>
      <w:pPr>
        <w:spacing w:after="120" w:before="0"/>
      </w:pPr>
      <w:r>
        <w:rPr>
          <w:rFonts w:ascii="Arial" w:hAnsi="Arial"/>
          <w:b w:val="0"/>
          <w:i w:val="0"/>
          <w:sz w:val="21"/>
        </w:rPr>
        <w:t>Scenario summary (all FY2026 figures are estimates (e), anchored to FY2025 actuals S1, p.36-37):</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300"/>
            <w:shd w:val="clear" w:fill="1F3864"/>
          </w:tcPr>
          <w:p>
            <w:r/>
            <w:r>
              <w:rPr>
                <w:rFonts w:ascii="Arial" w:hAnsi="Arial"/>
                <w:b/>
                <w:i w:val="0"/>
                <w:color w:val="FFFFFF"/>
                <w:sz w:val="18"/>
              </w:rPr>
              <w:t>Lever (FY2026e)</w:t>
            </w:r>
          </w:p>
        </w:tc>
        <w:tc>
          <w:tcPr>
            <w:tcW w:type="dxa" w:w="1700"/>
            <w:shd w:val="clear" w:fill="C00000"/>
          </w:tcPr>
          <w:p>
            <w:r/>
            <w:r>
              <w:rPr>
                <w:rFonts w:ascii="Arial" w:hAnsi="Arial"/>
                <w:b/>
                <w:i w:val="0"/>
                <w:color w:val="FFFFFF"/>
                <w:sz w:val="18"/>
              </w:rPr>
              <w:t>Bear</w:t>
            </w:r>
          </w:p>
        </w:tc>
        <w:tc>
          <w:tcPr>
            <w:tcW w:type="dxa" w:w="1700"/>
            <w:shd w:val="clear" w:fill="375623"/>
          </w:tcPr>
          <w:p>
            <w:r/>
            <w:r>
              <w:rPr>
                <w:rFonts w:ascii="Arial" w:hAnsi="Arial"/>
                <w:b/>
                <w:i w:val="0"/>
                <w:color w:val="FFFFFF"/>
                <w:sz w:val="18"/>
              </w:rPr>
              <w:t>Neutral</w:t>
            </w:r>
          </w:p>
        </w:tc>
        <w:tc>
          <w:tcPr>
            <w:tcW w:type="dxa" w:w="1700"/>
            <w:shd w:val="clear" w:fill="2E5496"/>
          </w:tcPr>
          <w:p>
            <w:r/>
            <w:r>
              <w:rPr>
                <w:rFonts w:ascii="Arial" w:hAnsi="Arial"/>
                <w:b/>
                <w:i w:val="0"/>
                <w:color w:val="FFFFFF"/>
                <w:sz w:val="18"/>
              </w:rPr>
              <w:t>Bull</w:t>
            </w:r>
          </w:p>
        </w:tc>
        <w:tc>
          <w:tcPr>
            <w:tcW w:type="dxa" w:w="960"/>
            <w:shd w:val="clear" w:fill="1F3864"/>
          </w:tcPr>
          <w:p>
            <w:r/>
            <w:r>
              <w:rPr>
                <w:rFonts w:ascii="Arial" w:hAnsi="Arial"/>
                <w:b/>
                <w:i w:val="0"/>
                <w:color w:val="FFFFFF"/>
                <w:sz w:val="18"/>
              </w:rPr>
              <w:t>Source / base</w:t>
            </w:r>
          </w:p>
        </w:tc>
      </w:tr>
      <w:tr>
        <w:tc>
          <w:tcPr>
            <w:tcW w:type="dxa" w:w="2300"/>
            <w:shd w:val="clear" w:fill="F2F2F2"/>
          </w:tcPr>
          <w:p>
            <w:r/>
            <w:r>
              <w:rPr>
                <w:rFonts w:ascii="Arial" w:hAnsi="Arial"/>
                <w:b/>
                <w:i w:val="0"/>
                <w:sz w:val="18"/>
              </w:rPr>
              <w:t>RFO (Rm)</w:t>
            </w:r>
          </w:p>
        </w:tc>
        <w:tc>
          <w:tcPr>
            <w:tcW w:type="dxa" w:w="1700"/>
          </w:tcPr>
          <w:p>
            <w:r/>
            <w:r>
              <w:rPr>
                <w:rFonts w:ascii="Arial" w:hAnsi="Arial"/>
                <w:b w:val="0"/>
                <w:i w:val="0"/>
                <w:sz w:val="18"/>
              </w:rPr>
              <w:t>8,800-9,600</w:t>
            </w:r>
          </w:p>
        </w:tc>
        <w:tc>
          <w:tcPr>
            <w:tcW w:type="dxa" w:w="1700"/>
          </w:tcPr>
          <w:p>
            <w:r/>
            <w:r>
              <w:rPr>
                <w:rFonts w:ascii="Arial" w:hAnsi="Arial"/>
                <w:b w:val="0"/>
                <w:i w:val="0"/>
                <w:sz w:val="18"/>
              </w:rPr>
              <w:t>10,000-10,600</w:t>
            </w:r>
          </w:p>
        </w:tc>
        <w:tc>
          <w:tcPr>
            <w:tcW w:type="dxa" w:w="1700"/>
          </w:tcPr>
          <w:p>
            <w:r/>
            <w:r>
              <w:rPr>
                <w:rFonts w:ascii="Arial" w:hAnsi="Arial"/>
                <w:b w:val="0"/>
                <w:i w:val="0"/>
                <w:sz w:val="18"/>
              </w:rPr>
              <w:t>10,800-11,500</w:t>
            </w:r>
          </w:p>
        </w:tc>
        <w:tc>
          <w:tcPr>
            <w:tcW w:type="dxa" w:w="960"/>
          </w:tcPr>
          <w:p>
            <w:r/>
            <w:r>
              <w:rPr>
                <w:rFonts w:ascii="Arial" w:hAnsi="Arial"/>
                <w:b w:val="0"/>
                <w:i w:val="0"/>
                <w:sz w:val="18"/>
              </w:rPr>
              <w:t>(e) base 9,821 S1 p.36</w:t>
            </w:r>
          </w:p>
        </w:tc>
      </w:tr>
      <w:tr>
        <w:tc>
          <w:tcPr>
            <w:tcW w:type="dxa" w:w="2300"/>
            <w:shd w:val="clear" w:fill="F2F2F2"/>
          </w:tcPr>
          <w:p>
            <w:r/>
            <w:r>
              <w:rPr>
                <w:rFonts w:ascii="Arial" w:hAnsi="Arial"/>
                <w:b/>
                <w:i w:val="0"/>
                <w:sz w:val="18"/>
              </w:rPr>
              <w:t>AHE/share (c)</w:t>
            </w:r>
          </w:p>
        </w:tc>
        <w:tc>
          <w:tcPr>
            <w:tcW w:type="dxa" w:w="1700"/>
            <w:shd w:val="clear" w:fill="FAFAFA"/>
          </w:tcPr>
          <w:p>
            <w:r/>
            <w:r>
              <w:rPr>
                <w:rFonts w:ascii="Arial" w:hAnsi="Arial"/>
                <w:b w:val="0"/>
                <w:i w:val="0"/>
                <w:sz w:val="18"/>
              </w:rPr>
              <w:t>156-179</w:t>
            </w:r>
          </w:p>
        </w:tc>
        <w:tc>
          <w:tcPr>
            <w:tcW w:type="dxa" w:w="1700"/>
            <w:shd w:val="clear" w:fill="FAFAFA"/>
          </w:tcPr>
          <w:p>
            <w:r/>
            <w:r>
              <w:rPr>
                <w:rFonts w:ascii="Arial" w:hAnsi="Arial"/>
                <w:b w:val="0"/>
                <w:i w:val="0"/>
                <w:sz w:val="18"/>
              </w:rPr>
              <w:t>184-200</w:t>
            </w:r>
          </w:p>
        </w:tc>
        <w:tc>
          <w:tcPr>
            <w:tcW w:type="dxa" w:w="1700"/>
            <w:shd w:val="clear" w:fill="FAFAFA"/>
          </w:tcPr>
          <w:p>
            <w:r/>
            <w:r>
              <w:rPr>
                <w:rFonts w:ascii="Arial" w:hAnsi="Arial"/>
                <w:b w:val="0"/>
                <w:i w:val="0"/>
                <w:sz w:val="18"/>
              </w:rPr>
              <w:t>210-230</w:t>
            </w:r>
          </w:p>
        </w:tc>
        <w:tc>
          <w:tcPr>
            <w:tcW w:type="dxa" w:w="960"/>
            <w:shd w:val="clear" w:fill="FAFAFA"/>
          </w:tcPr>
          <w:p>
            <w:r/>
            <w:r>
              <w:rPr>
                <w:rFonts w:ascii="Arial" w:hAnsi="Arial"/>
                <w:b w:val="0"/>
                <w:i w:val="0"/>
                <w:sz w:val="18"/>
              </w:rPr>
              <w:t>(e) base 189.8 S1 p.36</w:t>
            </w:r>
          </w:p>
        </w:tc>
      </w:tr>
      <w:tr>
        <w:tc>
          <w:tcPr>
            <w:tcW w:type="dxa" w:w="2300"/>
            <w:shd w:val="clear" w:fill="F2F2F2"/>
          </w:tcPr>
          <w:p>
            <w:r/>
            <w:r>
              <w:rPr>
                <w:rFonts w:ascii="Arial" w:hAnsi="Arial"/>
                <w:b/>
                <w:i w:val="0"/>
                <w:sz w:val="18"/>
              </w:rPr>
              <w:t>RoNAV (%) vs 15-17%</w:t>
            </w:r>
          </w:p>
        </w:tc>
        <w:tc>
          <w:tcPr>
            <w:tcW w:type="dxa" w:w="1700"/>
          </w:tcPr>
          <w:p>
            <w:r/>
            <w:r>
              <w:rPr>
                <w:rFonts w:ascii="Arial" w:hAnsi="Arial"/>
                <w:b w:val="0"/>
                <w:i w:val="0"/>
                <w:sz w:val="18"/>
              </w:rPr>
              <w:t>12-14 (below)</w:t>
            </w:r>
          </w:p>
        </w:tc>
        <w:tc>
          <w:tcPr>
            <w:tcW w:type="dxa" w:w="1700"/>
          </w:tcPr>
          <w:p>
            <w:r/>
            <w:r>
              <w:rPr>
                <w:rFonts w:ascii="Arial" w:hAnsi="Arial"/>
                <w:b w:val="0"/>
                <w:i w:val="0"/>
                <w:sz w:val="18"/>
              </w:rPr>
              <w:t>14.5-15.5 (low)</w:t>
            </w:r>
          </w:p>
        </w:tc>
        <w:tc>
          <w:tcPr>
            <w:tcW w:type="dxa" w:w="1700"/>
          </w:tcPr>
          <w:p>
            <w:r/>
            <w:r>
              <w:rPr>
                <w:rFonts w:ascii="Arial" w:hAnsi="Arial"/>
                <w:b w:val="0"/>
                <w:i w:val="0"/>
                <w:sz w:val="18"/>
              </w:rPr>
              <w:t>16-18 (in/above)</w:t>
            </w:r>
          </w:p>
        </w:tc>
        <w:tc>
          <w:tcPr>
            <w:tcW w:type="dxa" w:w="960"/>
          </w:tcPr>
          <w:p>
            <w:r/>
            <w:r>
              <w:rPr>
                <w:rFonts w:ascii="Arial" w:hAnsi="Arial"/>
                <w:b w:val="0"/>
                <w:i w:val="0"/>
                <w:sz w:val="18"/>
              </w:rPr>
              <w:t>(e) base 15.2 S1 p.36</w:t>
            </w:r>
          </w:p>
        </w:tc>
      </w:tr>
      <w:tr>
        <w:tc>
          <w:tcPr>
            <w:tcW w:type="dxa" w:w="2300"/>
            <w:shd w:val="clear" w:fill="F2F2F2"/>
          </w:tcPr>
          <w:p>
            <w:r/>
            <w:r>
              <w:rPr>
                <w:rFonts w:ascii="Arial" w:hAnsi="Arial"/>
                <w:b/>
                <w:i w:val="0"/>
                <w:sz w:val="18"/>
              </w:rPr>
              <w:t>VNB margin (%) vs 2-3%</w:t>
            </w:r>
          </w:p>
        </w:tc>
        <w:tc>
          <w:tcPr>
            <w:tcW w:type="dxa" w:w="1700"/>
            <w:shd w:val="clear" w:fill="FAFAFA"/>
          </w:tcPr>
          <w:p>
            <w:r/>
            <w:r>
              <w:rPr>
                <w:rFonts w:ascii="Arial" w:hAnsi="Arial"/>
                <w:b w:val="0"/>
                <w:i w:val="0"/>
                <w:sz w:val="18"/>
              </w:rPr>
              <w:t>1.0-1.4</w:t>
            </w:r>
          </w:p>
        </w:tc>
        <w:tc>
          <w:tcPr>
            <w:tcW w:type="dxa" w:w="1700"/>
            <w:shd w:val="clear" w:fill="FAFAFA"/>
          </w:tcPr>
          <w:p>
            <w:r/>
            <w:r>
              <w:rPr>
                <w:rFonts w:ascii="Arial" w:hAnsi="Arial"/>
                <w:b w:val="0"/>
                <w:i w:val="0"/>
                <w:sz w:val="18"/>
              </w:rPr>
              <w:t>1.4-1.8</w:t>
            </w:r>
          </w:p>
        </w:tc>
        <w:tc>
          <w:tcPr>
            <w:tcW w:type="dxa" w:w="1700"/>
            <w:shd w:val="clear" w:fill="FAFAFA"/>
          </w:tcPr>
          <w:p>
            <w:r/>
            <w:r>
              <w:rPr>
                <w:rFonts w:ascii="Arial" w:hAnsi="Arial"/>
                <w:b w:val="0"/>
                <w:i w:val="0"/>
                <w:sz w:val="18"/>
              </w:rPr>
              <w:t>2.0-2.5</w:t>
            </w:r>
          </w:p>
        </w:tc>
        <w:tc>
          <w:tcPr>
            <w:tcW w:type="dxa" w:w="960"/>
            <w:shd w:val="clear" w:fill="FAFAFA"/>
          </w:tcPr>
          <w:p>
            <w:r/>
            <w:r>
              <w:rPr>
                <w:rFonts w:ascii="Arial" w:hAnsi="Arial"/>
                <w:b w:val="0"/>
                <w:i w:val="0"/>
                <w:sz w:val="18"/>
              </w:rPr>
              <w:t>(e) base 1.2 S1 p.37</w:t>
            </w:r>
          </w:p>
        </w:tc>
      </w:tr>
      <w:tr>
        <w:tc>
          <w:tcPr>
            <w:tcW w:type="dxa" w:w="2300"/>
            <w:shd w:val="clear" w:fill="F2F2F2"/>
          </w:tcPr>
          <w:p>
            <w:r/>
            <w:r>
              <w:rPr>
                <w:rFonts w:ascii="Arial" w:hAnsi="Arial"/>
                <w:b/>
                <w:i w:val="0"/>
                <w:sz w:val="18"/>
              </w:rPr>
              <w:t>OM Bank net loss (Rm)</w:t>
            </w:r>
          </w:p>
        </w:tc>
        <w:tc>
          <w:tcPr>
            <w:tcW w:type="dxa" w:w="1700"/>
          </w:tcPr>
          <w:p>
            <w:r/>
            <w:r>
              <w:rPr>
                <w:rFonts w:ascii="Arial" w:hAnsi="Arial"/>
                <w:b w:val="0"/>
                <w:i w:val="0"/>
                <w:sz w:val="18"/>
              </w:rPr>
              <w:t>~ -700 (stalls)</w:t>
            </w:r>
          </w:p>
        </w:tc>
        <w:tc>
          <w:tcPr>
            <w:tcW w:type="dxa" w:w="1700"/>
          </w:tcPr>
          <w:p>
            <w:r/>
            <w:r>
              <w:rPr>
                <w:rFonts w:ascii="Arial" w:hAnsi="Arial"/>
                <w:b w:val="0"/>
                <w:i w:val="0"/>
                <w:sz w:val="18"/>
              </w:rPr>
              <w:t>-450 to -600</w:t>
            </w:r>
          </w:p>
        </w:tc>
        <w:tc>
          <w:tcPr>
            <w:tcW w:type="dxa" w:w="1700"/>
          </w:tcPr>
          <w:p>
            <w:r/>
            <w:r>
              <w:rPr>
                <w:rFonts w:ascii="Arial" w:hAnsi="Arial"/>
                <w:b w:val="0"/>
                <w:i w:val="0"/>
                <w:sz w:val="18"/>
              </w:rPr>
              <w:t>-350 to -500</w:t>
            </w:r>
          </w:p>
        </w:tc>
        <w:tc>
          <w:tcPr>
            <w:tcW w:type="dxa" w:w="960"/>
          </w:tcPr>
          <w:p>
            <w:r/>
            <w:r>
              <w:rPr>
                <w:rFonts w:ascii="Arial" w:hAnsi="Arial"/>
                <w:b w:val="0"/>
                <w:i w:val="0"/>
                <w:sz w:val="18"/>
              </w:rPr>
              <w:t>(e) base -701 S1 p.16</w:t>
            </w:r>
          </w:p>
        </w:tc>
      </w:tr>
      <w:tr>
        <w:tc>
          <w:tcPr>
            <w:tcW w:type="dxa" w:w="2300"/>
            <w:shd w:val="clear" w:fill="F2F2F2"/>
          </w:tcPr>
          <w:p>
            <w:r/>
            <w:r>
              <w:rPr>
                <w:rFonts w:ascii="Arial" w:hAnsi="Arial"/>
                <w:b/>
                <w:i w:val="0"/>
                <w:sz w:val="18"/>
              </w:rPr>
              <w:t>DPS growth (%) vs 6-9%</w:t>
            </w:r>
          </w:p>
        </w:tc>
        <w:tc>
          <w:tcPr>
            <w:tcW w:type="dxa" w:w="1700"/>
            <w:shd w:val="clear" w:fill="FAFAFA"/>
          </w:tcPr>
          <w:p>
            <w:r/>
            <w:r>
              <w:rPr>
                <w:rFonts w:ascii="Arial" w:hAnsi="Arial"/>
                <w:b w:val="0"/>
                <w:i w:val="0"/>
                <w:sz w:val="18"/>
              </w:rPr>
              <w:t>&lt;=6</w:t>
            </w:r>
          </w:p>
        </w:tc>
        <w:tc>
          <w:tcPr>
            <w:tcW w:type="dxa" w:w="1700"/>
            <w:shd w:val="clear" w:fill="FAFAFA"/>
          </w:tcPr>
          <w:p>
            <w:r/>
            <w:r>
              <w:rPr>
                <w:rFonts w:ascii="Arial" w:hAnsi="Arial"/>
                <w:b w:val="0"/>
                <w:i w:val="0"/>
                <w:sz w:val="18"/>
              </w:rPr>
              <w:t>6-8</w:t>
            </w:r>
          </w:p>
        </w:tc>
        <w:tc>
          <w:tcPr>
            <w:tcW w:type="dxa" w:w="1700"/>
            <w:shd w:val="clear" w:fill="FAFAFA"/>
          </w:tcPr>
          <w:p>
            <w:r/>
            <w:r>
              <w:rPr>
                <w:rFonts w:ascii="Arial" w:hAnsi="Arial"/>
                <w:b w:val="0"/>
                <w:i w:val="0"/>
                <w:sz w:val="18"/>
              </w:rPr>
              <w:t>~9</w:t>
            </w:r>
          </w:p>
        </w:tc>
        <w:tc>
          <w:tcPr>
            <w:tcW w:type="dxa" w:w="960"/>
            <w:shd w:val="clear" w:fill="FAFAFA"/>
          </w:tcPr>
          <w:p>
            <w:r/>
            <w:r>
              <w:rPr>
                <w:rFonts w:ascii="Arial" w:hAnsi="Arial"/>
                <w:b w:val="0"/>
                <w:i w:val="0"/>
                <w:sz w:val="18"/>
              </w:rPr>
              <w:t>(e) base +8 S1 p.36</w:t>
            </w:r>
          </w:p>
        </w:tc>
      </w:tr>
    </w:tbl>
    <w:p>
      <w:pPr>
        <w:spacing w:after="40" w:before="0"/>
      </w:pPr>
    </w:p>
    <w:p>
      <w:pPr>
        <w:pStyle w:val="Heading1"/>
      </w:pPr>
      <w:r>
        <w:t>5.  Sentiment analysis - management tone &amp; implied trajectory</w:t>
      </w:r>
    </w:p>
    <w:p>
      <w:pPr>
        <w:spacing w:after="160" w:before="0"/>
      </w:pPr>
      <w:r>
        <w:rPr>
          <w:rFonts w:ascii="Arial" w:hAnsi="Arial"/>
          <w:b/>
          <w:i w:val="0"/>
          <w:sz w:val="21"/>
        </w:rPr>
        <w:t xml:space="preserve">Net tone: cautiously confident / execution-focused. </w:t>
      </w:r>
      <w:r>
        <w:rPr>
          <w:rFonts w:ascii="Arial" w:hAnsi="Arial"/>
          <w:b w:val="0"/>
          <w:i w:val="0"/>
          <w:sz w:val="21"/>
        </w:rPr>
        <w:t>FY2025 commentary is dominated by control-and-deliver language rather than bullish growth language - consistent with a 'strategic reset' year (S1, p.4, p.32). Positive markers cluster around execution and capital; cautionary markers cluster around the macro and the sub-target value KPIs.</w:t>
      </w:r>
    </w:p>
    <w:tbl>
      <w:tblPr>
        <w:tblStyle w:val="TableGrid"/>
        <w:tblW w:type="auto" w:w="0"/>
        <w:jc w:val="center"/>
        <w:tblLook w:firstColumn="1" w:firstRow="1" w:lastColumn="0" w:lastRow="0" w:noHBand="0" w:noVBand="1" w:val="04A0"/>
      </w:tblPr>
      <w:tblGrid>
        <w:gridCol w:w="3120"/>
        <w:gridCol w:w="3120"/>
        <w:gridCol w:w="3120"/>
      </w:tblGrid>
      <w:tr>
        <w:tc>
          <w:tcPr>
            <w:tcW w:type="dxa" w:w="1500"/>
            <w:shd w:val="clear" w:fill="1F3864"/>
          </w:tcPr>
          <w:p>
            <w:r/>
            <w:r>
              <w:rPr>
                <w:rFonts w:ascii="Arial" w:hAnsi="Arial"/>
                <w:b/>
                <w:i w:val="0"/>
                <w:color w:val="FFFFFF"/>
                <w:sz w:val="18"/>
              </w:rPr>
              <w:t>Tone</w:t>
            </w:r>
          </w:p>
        </w:tc>
        <w:tc>
          <w:tcPr>
            <w:tcW w:type="dxa" w:w="5200"/>
            <w:shd w:val="clear" w:fill="2E5496"/>
          </w:tcPr>
          <w:p>
            <w:r/>
            <w:r>
              <w:rPr>
                <w:rFonts w:ascii="Arial" w:hAnsi="Arial"/>
                <w:b/>
                <w:i w:val="0"/>
                <w:color w:val="FFFFFF"/>
                <w:sz w:val="18"/>
              </w:rPr>
              <w:t>Verbatim / paraphrased evidence</w:t>
            </w:r>
          </w:p>
        </w:tc>
        <w:tc>
          <w:tcPr>
            <w:tcW w:type="dxa" w:w="1660"/>
            <w:shd w:val="clear" w:fill="1F3864"/>
          </w:tcPr>
          <w:p>
            <w:r/>
            <w:r>
              <w:rPr>
                <w:rFonts w:ascii="Arial" w:hAnsi="Arial"/>
                <w:b/>
                <w:i w:val="0"/>
                <w:color w:val="FFFFFF"/>
                <w:sz w:val="18"/>
              </w:rPr>
              <w:t>Ref</w:t>
            </w:r>
          </w:p>
        </w:tc>
      </w:tr>
      <w:tr>
        <w:tc>
          <w:tcPr>
            <w:tcW w:type="dxa" w:w="1500"/>
            <w:shd w:val="clear" w:fill="F2F2F2"/>
          </w:tcPr>
          <w:p>
            <w:r/>
            <w:r>
              <w:rPr>
                <w:rFonts w:ascii="Arial" w:hAnsi="Arial"/>
                <w:b/>
                <w:i w:val="0"/>
                <w:sz w:val="18"/>
              </w:rPr>
              <w:t>Positive</w:t>
            </w:r>
          </w:p>
        </w:tc>
        <w:tc>
          <w:tcPr>
            <w:tcW w:type="dxa" w:w="5200"/>
          </w:tcPr>
          <w:p>
            <w:r/>
            <w:r>
              <w:rPr>
                <w:rFonts w:ascii="Arial" w:hAnsi="Arial"/>
                <w:b w:val="0"/>
                <w:i w:val="0"/>
                <w:sz w:val="18"/>
              </w:rPr>
              <w:t>"Steady operational results in the year of strategic reset and focused execution"</w:t>
            </w:r>
          </w:p>
        </w:tc>
        <w:tc>
          <w:tcPr>
            <w:tcW w:type="dxa" w:w="1660"/>
          </w:tcPr>
          <w:p>
            <w:r/>
            <w:r>
              <w:rPr>
                <w:rFonts w:ascii="Arial" w:hAnsi="Arial"/>
                <w:b w:val="0"/>
                <w:i w:val="0"/>
                <w:sz w:val="18"/>
              </w:rPr>
              <w:t>S1, p.4</w:t>
            </w:r>
          </w:p>
        </w:tc>
      </w:tr>
      <w:tr>
        <w:tc>
          <w:tcPr>
            <w:tcW w:type="dxa" w:w="1500"/>
            <w:shd w:val="clear" w:fill="F2F2F2"/>
          </w:tcPr>
          <w:p>
            <w:r/>
            <w:r>
              <w:rPr>
                <w:rFonts w:ascii="Arial" w:hAnsi="Arial"/>
                <w:b/>
                <w:i w:val="0"/>
                <w:sz w:val="18"/>
              </w:rPr>
              <w:t>Positive</w:t>
            </w:r>
          </w:p>
        </w:tc>
        <w:tc>
          <w:tcPr>
            <w:tcW w:type="dxa" w:w="5200"/>
            <w:shd w:val="clear" w:fill="FAFAFA"/>
          </w:tcPr>
          <w:p>
            <w:r/>
            <w:r>
              <w:rPr>
                <w:rFonts w:ascii="Arial" w:hAnsi="Arial"/>
                <w:b w:val="0"/>
                <w:i w:val="0"/>
                <w:sz w:val="18"/>
              </w:rPr>
              <w:t>"Management actions are on track relating to new business quality, collections and system implementations"</w:t>
            </w:r>
          </w:p>
        </w:tc>
        <w:tc>
          <w:tcPr>
            <w:tcW w:type="dxa" w:w="1660"/>
            <w:shd w:val="clear" w:fill="FAFAFA"/>
          </w:tcPr>
          <w:p>
            <w:r/>
            <w:r>
              <w:rPr>
                <w:rFonts w:ascii="Arial" w:hAnsi="Arial"/>
                <w:b w:val="0"/>
                <w:i w:val="0"/>
                <w:sz w:val="18"/>
              </w:rPr>
              <w:t>S1, p.32</w:t>
            </w:r>
          </w:p>
        </w:tc>
      </w:tr>
      <w:tr>
        <w:tc>
          <w:tcPr>
            <w:tcW w:type="dxa" w:w="1500"/>
            <w:shd w:val="clear" w:fill="F2F2F2"/>
          </w:tcPr>
          <w:p>
            <w:r/>
            <w:r>
              <w:rPr>
                <w:rFonts w:ascii="Arial" w:hAnsi="Arial"/>
                <w:b/>
                <w:i w:val="0"/>
                <w:sz w:val="18"/>
              </w:rPr>
              <w:t>Positive</w:t>
            </w:r>
          </w:p>
        </w:tc>
        <w:tc>
          <w:tcPr>
            <w:tcW w:type="dxa" w:w="5200"/>
          </w:tcPr>
          <w:p>
            <w:r/>
            <w:r>
              <w:rPr>
                <w:rFonts w:ascii="Arial" w:hAnsi="Arial"/>
                <w:b w:val="0"/>
                <w:i w:val="0"/>
                <w:sz w:val="18"/>
              </w:rPr>
              <w:t>"Customer and deposit trends in OM Bank are tracking well, ahead of public marketing campaigns"</w:t>
            </w:r>
          </w:p>
        </w:tc>
        <w:tc>
          <w:tcPr>
            <w:tcW w:type="dxa" w:w="1660"/>
          </w:tcPr>
          <w:p>
            <w:r/>
            <w:r>
              <w:rPr>
                <w:rFonts w:ascii="Arial" w:hAnsi="Arial"/>
                <w:b w:val="0"/>
                <w:i w:val="0"/>
                <w:sz w:val="18"/>
              </w:rPr>
              <w:t>S1, p.32</w:t>
            </w:r>
          </w:p>
        </w:tc>
      </w:tr>
      <w:tr>
        <w:tc>
          <w:tcPr>
            <w:tcW w:type="dxa" w:w="1500"/>
            <w:shd w:val="clear" w:fill="F2F2F2"/>
          </w:tcPr>
          <w:p>
            <w:r/>
            <w:r>
              <w:rPr>
                <w:rFonts w:ascii="Arial" w:hAnsi="Arial"/>
                <w:b/>
                <w:i w:val="0"/>
                <w:sz w:val="18"/>
              </w:rPr>
              <w:t>Positive</w:t>
            </w:r>
          </w:p>
        </w:tc>
        <w:tc>
          <w:tcPr>
            <w:tcW w:type="dxa" w:w="5200"/>
            <w:shd w:val="clear" w:fill="FAFAFA"/>
          </w:tcPr>
          <w:p>
            <w:r/>
            <w:r>
              <w:rPr>
                <w:rFonts w:ascii="Arial" w:hAnsi="Arial"/>
                <w:b w:val="0"/>
                <w:i w:val="0"/>
                <w:sz w:val="18"/>
              </w:rPr>
              <w:t>Cost programme "cascaded to cluster scorecards and incentives"; R450m already delivered</w:t>
            </w:r>
          </w:p>
        </w:tc>
        <w:tc>
          <w:tcPr>
            <w:tcW w:type="dxa" w:w="1660"/>
            <w:shd w:val="clear" w:fill="FAFAFA"/>
          </w:tcPr>
          <w:p>
            <w:r/>
            <w:r>
              <w:rPr>
                <w:rFonts w:ascii="Arial" w:hAnsi="Arial"/>
                <w:b w:val="0"/>
                <w:i w:val="0"/>
                <w:sz w:val="18"/>
              </w:rPr>
              <w:t>S1, p.32</w:t>
            </w:r>
          </w:p>
        </w:tc>
      </w:tr>
      <w:tr>
        <w:tc>
          <w:tcPr>
            <w:tcW w:type="dxa" w:w="1500"/>
            <w:shd w:val="clear" w:fill="F2F2F2"/>
          </w:tcPr>
          <w:p>
            <w:r/>
            <w:r>
              <w:rPr>
                <w:rFonts w:ascii="Arial" w:hAnsi="Arial"/>
                <w:b/>
                <w:i w:val="0"/>
                <w:sz w:val="18"/>
              </w:rPr>
              <w:t>Positive</w:t>
            </w:r>
          </w:p>
        </w:tc>
        <w:tc>
          <w:tcPr>
            <w:tcW w:type="dxa" w:w="5200"/>
          </w:tcPr>
          <w:p>
            <w:r/>
            <w:r>
              <w:rPr>
                <w:rFonts w:ascii="Arial" w:hAnsi="Arial"/>
                <w:b w:val="0"/>
                <w:i w:val="0"/>
                <w:sz w:val="18"/>
              </w:rPr>
              <w:t>"the South African outlook has become more constructive" (2026 Budget, fiscal discipline)</w:t>
            </w:r>
          </w:p>
        </w:tc>
        <w:tc>
          <w:tcPr>
            <w:tcW w:type="dxa" w:w="1660"/>
          </w:tcPr>
          <w:p>
            <w:r/>
            <w:r>
              <w:rPr>
                <w:rFonts w:ascii="Arial" w:hAnsi="Arial"/>
                <w:b w:val="0"/>
                <w:i w:val="0"/>
                <w:sz w:val="18"/>
              </w:rPr>
              <w:t>S1, p.45</w:t>
            </w:r>
          </w:p>
        </w:tc>
      </w:tr>
      <w:tr>
        <w:tc>
          <w:tcPr>
            <w:tcW w:type="dxa" w:w="1500"/>
            <w:shd w:val="clear" w:fill="F2F2F2"/>
          </w:tcPr>
          <w:p>
            <w:r/>
            <w:r>
              <w:rPr>
                <w:rFonts w:ascii="Arial" w:hAnsi="Arial"/>
                <w:b/>
                <w:i w:val="0"/>
                <w:sz w:val="18"/>
              </w:rPr>
              <w:t>Cautionary</w:t>
            </w:r>
          </w:p>
        </w:tc>
        <w:tc>
          <w:tcPr>
            <w:tcW w:type="dxa" w:w="5200"/>
            <w:shd w:val="clear" w:fill="FAFAFA"/>
          </w:tcPr>
          <w:p>
            <w:r/>
            <w:r>
              <w:rPr>
                <w:rFonts w:ascii="Arial" w:hAnsi="Arial"/>
                <w:b w:val="0"/>
                <w:i w:val="0"/>
                <w:sz w:val="18"/>
              </w:rPr>
              <w:t>"The global environment is likely to remain uncertain, shaped by uneven growth and ongoing heightened geopolitical risks"</w:t>
            </w:r>
          </w:p>
        </w:tc>
        <w:tc>
          <w:tcPr>
            <w:tcW w:type="dxa" w:w="1660"/>
            <w:shd w:val="clear" w:fill="FAFAFA"/>
          </w:tcPr>
          <w:p>
            <w:r/>
            <w:r>
              <w:rPr>
                <w:rFonts w:ascii="Arial" w:hAnsi="Arial"/>
                <w:b w:val="0"/>
                <w:i w:val="0"/>
                <w:sz w:val="18"/>
              </w:rPr>
              <w:t>S1, p.45</w:t>
            </w:r>
          </w:p>
        </w:tc>
      </w:tr>
      <w:tr>
        <w:tc>
          <w:tcPr>
            <w:tcW w:type="dxa" w:w="1500"/>
            <w:shd w:val="clear" w:fill="F2F2F2"/>
          </w:tcPr>
          <w:p>
            <w:r/>
            <w:r>
              <w:rPr>
                <w:rFonts w:ascii="Arial" w:hAnsi="Arial"/>
                <w:b/>
                <w:i w:val="0"/>
                <w:sz w:val="18"/>
              </w:rPr>
              <w:t>Cautionary</w:t>
            </w:r>
          </w:p>
        </w:tc>
        <w:tc>
          <w:tcPr>
            <w:tcW w:type="dxa" w:w="5200"/>
          </w:tcPr>
          <w:p>
            <w:r/>
            <w:r>
              <w:rPr>
                <w:rFonts w:ascii="Arial" w:hAnsi="Arial"/>
                <w:b w:val="0"/>
                <w:i w:val="0"/>
                <w:sz w:val="18"/>
              </w:rPr>
              <w:t>VNB margin fell to 1.2%, "below our target range" - candidly disclosed</w:t>
            </w:r>
          </w:p>
        </w:tc>
        <w:tc>
          <w:tcPr>
            <w:tcW w:type="dxa" w:w="1660"/>
          </w:tcPr>
          <w:p>
            <w:r/>
            <w:r>
              <w:rPr>
                <w:rFonts w:ascii="Arial" w:hAnsi="Arial"/>
                <w:b w:val="0"/>
                <w:i w:val="0"/>
                <w:sz w:val="18"/>
              </w:rPr>
              <w:t>S1, p.32</w:t>
            </w:r>
          </w:p>
        </w:tc>
      </w:tr>
      <w:tr>
        <w:tc>
          <w:tcPr>
            <w:tcW w:type="dxa" w:w="1500"/>
            <w:shd w:val="clear" w:fill="F2F2F2"/>
          </w:tcPr>
          <w:p>
            <w:r/>
            <w:r>
              <w:rPr>
                <w:rFonts w:ascii="Arial" w:hAnsi="Arial"/>
                <w:b/>
                <w:i w:val="0"/>
                <w:sz w:val="18"/>
              </w:rPr>
              <w:t>Cautionary</w:t>
            </w:r>
          </w:p>
        </w:tc>
        <w:tc>
          <w:tcPr>
            <w:tcW w:type="dxa" w:w="5200"/>
            <w:shd w:val="clear" w:fill="FAFAFA"/>
          </w:tcPr>
          <w:p>
            <w:r/>
            <w:r>
              <w:rPr>
                <w:rFonts w:ascii="Arial" w:hAnsi="Arial"/>
                <w:b w:val="0"/>
                <w:i w:val="0"/>
                <w:sz w:val="18"/>
              </w:rPr>
              <w:t>"We remain committed to restoring our value of new business margin" - an admission it is not yet restored</w:t>
            </w:r>
          </w:p>
        </w:tc>
        <w:tc>
          <w:tcPr>
            <w:tcW w:type="dxa" w:w="1660"/>
            <w:shd w:val="clear" w:fill="FAFAFA"/>
          </w:tcPr>
          <w:p>
            <w:r/>
            <w:r>
              <w:rPr>
                <w:rFonts w:ascii="Arial" w:hAnsi="Arial"/>
                <w:b w:val="0"/>
                <w:i w:val="0"/>
                <w:sz w:val="18"/>
              </w:rPr>
              <w:t>S1, p.45</w:t>
            </w:r>
          </w:p>
        </w:tc>
      </w:tr>
      <w:tr>
        <w:tc>
          <w:tcPr>
            <w:tcW w:type="dxa" w:w="1500"/>
            <w:shd w:val="clear" w:fill="F2F2F2"/>
          </w:tcPr>
          <w:p>
            <w:r/>
            <w:r>
              <w:rPr>
                <w:rFonts w:ascii="Arial" w:hAnsi="Arial"/>
                <w:b/>
                <w:i w:val="0"/>
                <w:sz w:val="18"/>
              </w:rPr>
              <w:t>Cautionary</w:t>
            </w:r>
          </w:p>
        </w:tc>
        <w:tc>
          <w:tcPr>
            <w:tcW w:type="dxa" w:w="5200"/>
          </w:tcPr>
          <w:p>
            <w:r/>
            <w:r>
              <w:rPr>
                <w:rFonts w:ascii="Arial" w:hAnsi="Arial"/>
                <w:b w:val="0"/>
                <w:i w:val="0"/>
                <w:sz w:val="18"/>
              </w:rPr>
              <w:t>Earnings "significantly impacted by elevated returns... in Malawi" - flags the low quality of the AHE beat</w:t>
            </w:r>
          </w:p>
        </w:tc>
        <w:tc>
          <w:tcPr>
            <w:tcW w:type="dxa" w:w="1660"/>
          </w:tcPr>
          <w:p>
            <w:r/>
            <w:r>
              <w:rPr>
                <w:rFonts w:ascii="Arial" w:hAnsi="Arial"/>
                <w:b w:val="0"/>
                <w:i w:val="0"/>
                <w:sz w:val="18"/>
              </w:rPr>
              <w:t>S1, p.33</w:t>
            </w:r>
          </w:p>
        </w:tc>
      </w:tr>
    </w:tbl>
    <w:p>
      <w:pPr>
        <w:spacing w:after="40" w:before="0"/>
      </w:pPr>
    </w:p>
    <w:p>
      <w:pPr>
        <w:spacing w:after="160" w:before="0"/>
      </w:pPr>
      <w:r>
        <w:rPr>
          <w:rFonts w:ascii="Arial" w:hAnsi="Arial"/>
          <w:b/>
          <w:i w:val="0"/>
          <w:sz w:val="21"/>
        </w:rPr>
        <w:t xml:space="preserve">Implied trajectory. </w:t>
      </w:r>
      <w:r>
        <w:rPr>
          <w:rFonts w:ascii="Arial" w:hAnsi="Arial"/>
          <w:b w:val="0"/>
          <w:i w:val="0"/>
          <w:sz w:val="21"/>
        </w:rPr>
        <w:t>The disclosed trajectory implies a modest UPGRADE to value-creation KPIs (VNB margin, RoGEV) over the 3-year reset window - management explicitly frames targets as ones that 'may be revised upwards' in the later 'generating growth' phase (S1, p.7) - but it implies NO near-term earnings upgrade for FY2026: the reset is about quality and embedded value, not headline EPS, and the FY2025 AHE base is market/Malawi-flattered (S1, p.33). On market share, the language ('deepen market leadership in Southern Africa', OM Bank traction) points to a hold-to-modest-gain in core SA, gated on execution rather than promised (S1, p.6, p.32). Net: tone supports a re-rating on delivery, not an immediate earnings upgrade.</w:t>
      </w:r>
    </w:p>
    <w:p>
      <w:pPr>
        <w:pStyle w:val="Heading1"/>
      </w:pPr>
      <w:r>
        <w:t>6.  Competitive positioning vs SA life / diversified insurers</w:t>
      </w:r>
    </w:p>
    <w:p>
      <w:pPr>
        <w:spacing w:after="160" w:before="0"/>
      </w:pPr>
      <w:r>
        <w:rPr>
          <w:rFonts w:ascii="Arial" w:hAnsi="Arial"/>
          <w:b/>
          <w:i w:val="0"/>
          <w:sz w:val="21"/>
        </w:rPr>
        <w:t xml:space="preserve">Peer set: </w:t>
      </w:r>
      <w:r>
        <w:rPr>
          <w:rFonts w:ascii="Arial" w:hAnsi="Arial"/>
          <w:b w:val="0"/>
          <w:i w:val="0"/>
          <w:sz w:val="21"/>
        </w:rPr>
        <w:t>Sanlam (SLM), Discovery (DSY), Momentum Group (MTM/MMH), and the Liberty / Standard Bank Group insurance operations. OMU's own figures are FY2025 actuals from the filing on disk (S1); peer figures are from public results via web search (E3, E4, dated 18 Jun 2026, secondary/may be delayed).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000"/>
            <w:shd w:val="clear" w:fill="1F3864"/>
          </w:tcPr>
          <w:p>
            <w:r/>
            <w:r>
              <w:rPr>
                <w:rFonts w:ascii="Arial" w:hAnsi="Arial"/>
                <w:b/>
                <w:i w:val="0"/>
                <w:color w:val="FFFFFF"/>
                <w:sz w:val="18"/>
              </w:rPr>
              <w:t>Dimension</w:t>
            </w:r>
          </w:p>
        </w:tc>
        <w:tc>
          <w:tcPr>
            <w:tcW w:type="dxa" w:w="2800"/>
            <w:shd w:val="clear" w:fill="2E5496"/>
          </w:tcPr>
          <w:p>
            <w:r/>
            <w:r>
              <w:rPr>
                <w:rFonts w:ascii="Arial" w:hAnsi="Arial"/>
                <w:b/>
                <w:i w:val="0"/>
                <w:color w:val="FFFFFF"/>
                <w:sz w:val="18"/>
              </w:rPr>
              <w:t>Old Mutual (OMU)</w:t>
            </w:r>
          </w:p>
        </w:tc>
        <w:tc>
          <w:tcPr>
            <w:tcW w:type="dxa" w:w="3000"/>
            <w:shd w:val="clear" w:fill="375623"/>
          </w:tcPr>
          <w:p>
            <w:r/>
            <w:r>
              <w:rPr>
                <w:rFonts w:ascii="Arial" w:hAnsi="Arial"/>
                <w:b/>
                <w:i w:val="0"/>
                <w:color w:val="FFFFFF"/>
                <w:sz w:val="18"/>
              </w:rPr>
              <w:t>Peers (SLM / DSY / Momentum / SBG-Liberty)</w:t>
            </w:r>
          </w:p>
        </w:tc>
        <w:tc>
          <w:tcPr>
            <w:tcW w:type="dxa" w:w="760"/>
            <w:shd w:val="clear" w:fill="1F3864"/>
          </w:tcPr>
          <w:p>
            <w:r/>
            <w:r>
              <w:rPr>
                <w:rFonts w:ascii="Arial" w:hAnsi="Arial"/>
                <w:b/>
                <w:i w:val="0"/>
                <w:color w:val="FFFFFF"/>
                <w:sz w:val="18"/>
              </w:rPr>
              <w:t>Source</w:t>
            </w:r>
          </w:p>
        </w:tc>
      </w:tr>
      <w:tr>
        <w:tc>
          <w:tcPr>
            <w:tcW w:type="dxa" w:w="2000"/>
            <w:shd w:val="clear" w:fill="F2F2F2"/>
          </w:tcPr>
          <w:p>
            <w:r/>
            <w:r>
              <w:rPr>
                <w:rFonts w:ascii="Arial" w:hAnsi="Arial"/>
                <w:b/>
                <w:i w:val="0"/>
                <w:sz w:val="18"/>
              </w:rPr>
              <w:t>Earnings momentum</w:t>
            </w:r>
          </w:p>
        </w:tc>
        <w:tc>
          <w:tcPr>
            <w:tcW w:type="dxa" w:w="2800"/>
          </w:tcPr>
          <w:p>
            <w:r/>
            <w:r>
              <w:rPr>
                <w:rFonts w:ascii="Arial" w:hAnsi="Arial"/>
                <w:b w:val="0"/>
                <w:i w:val="0"/>
                <w:sz w:val="18"/>
              </w:rPr>
              <w:t>RFO +13% / AHE +24% but market &amp; Malawi-flattered (7-9% / 11-16% ex-Malawi)</w:t>
            </w:r>
          </w:p>
        </w:tc>
        <w:tc>
          <w:tcPr>
            <w:tcW w:type="dxa" w:w="3000"/>
          </w:tcPr>
          <w:p>
            <w:r/>
            <w:r>
              <w:rPr>
                <w:rFonts w:ascii="Arial" w:hAnsi="Arial"/>
                <w:b w:val="0"/>
                <w:i w:val="0"/>
                <w:sz w:val="18"/>
              </w:rPr>
              <w:t>Momentum NHE +41%, ROE 21.2%; Sanlam, Discovery double-digit operating-profit growth on cleaner drivers</w:t>
            </w:r>
          </w:p>
        </w:tc>
        <w:tc>
          <w:tcPr>
            <w:tcW w:type="dxa" w:w="760"/>
          </w:tcPr>
          <w:p>
            <w:r/>
            <w:r>
              <w:rPr>
                <w:rFonts w:ascii="Arial" w:hAnsi="Arial"/>
                <w:b w:val="0"/>
                <w:i w:val="0"/>
                <w:sz w:val="18"/>
              </w:rPr>
              <w:t>S1 p.33-36; E3,E4</w:t>
            </w:r>
          </w:p>
        </w:tc>
      </w:tr>
      <w:tr>
        <w:tc>
          <w:tcPr>
            <w:tcW w:type="dxa" w:w="2000"/>
            <w:shd w:val="clear" w:fill="F2F2F2"/>
          </w:tcPr>
          <w:p>
            <w:r/>
            <w:r>
              <w:rPr>
                <w:rFonts w:ascii="Arial" w:hAnsi="Arial"/>
                <w:b/>
                <w:i w:val="0"/>
                <w:sz w:val="18"/>
              </w:rPr>
              <w:t>New-business value</w:t>
            </w:r>
          </w:p>
        </w:tc>
        <w:tc>
          <w:tcPr>
            <w:tcW w:type="dxa" w:w="2800"/>
            <w:shd w:val="clear" w:fill="FAFAFA"/>
          </w:tcPr>
          <w:p>
            <w:r/>
            <w:r>
              <w:rPr>
                <w:rFonts w:ascii="Arial" w:hAnsi="Arial"/>
                <w:b w:val="0"/>
                <w:i w:val="0"/>
                <w:sz w:val="18"/>
              </w:rPr>
              <w:t>VNB -52%, margin 1.2% - BELOW own 2-3% target</w:t>
            </w:r>
          </w:p>
        </w:tc>
        <w:tc>
          <w:tcPr>
            <w:tcW w:type="dxa" w:w="3000"/>
            <w:shd w:val="clear" w:fill="FAFAFA"/>
          </w:tcPr>
          <w:p>
            <w:r/>
            <w:r>
              <w:rPr>
                <w:rFonts w:ascii="Arial" w:hAnsi="Arial"/>
                <w:b w:val="0"/>
                <w:i w:val="0"/>
                <w:sz w:val="18"/>
              </w:rPr>
              <w:t>Sanlam VNB -18%, margin 2.22% (H1); peers nearer/above their ranges</w:t>
            </w:r>
          </w:p>
        </w:tc>
        <w:tc>
          <w:tcPr>
            <w:tcW w:type="dxa" w:w="760"/>
            <w:shd w:val="clear" w:fill="FAFAFA"/>
          </w:tcPr>
          <w:p>
            <w:r/>
            <w:r>
              <w:rPr>
                <w:rFonts w:ascii="Arial" w:hAnsi="Arial"/>
                <w:b w:val="0"/>
                <w:i w:val="0"/>
                <w:sz w:val="18"/>
              </w:rPr>
              <w:t>S1 p.37; E3</w:t>
            </w:r>
          </w:p>
        </w:tc>
      </w:tr>
      <w:tr>
        <w:tc>
          <w:tcPr>
            <w:tcW w:type="dxa" w:w="2000"/>
            <w:shd w:val="clear" w:fill="F2F2F2"/>
          </w:tcPr>
          <w:p>
            <w:r/>
            <w:r>
              <w:rPr>
                <w:rFonts w:ascii="Arial" w:hAnsi="Arial"/>
                <w:b/>
                <w:i w:val="0"/>
                <w:sz w:val="18"/>
              </w:rPr>
              <w:t>Returns vs target</w:t>
            </w:r>
          </w:p>
        </w:tc>
        <w:tc>
          <w:tcPr>
            <w:tcW w:type="dxa" w:w="2800"/>
          </w:tcPr>
          <w:p>
            <w:r/>
            <w:r>
              <w:rPr>
                <w:rFonts w:ascii="Arial" w:hAnsi="Arial"/>
                <w:b w:val="0"/>
                <w:i w:val="0"/>
                <w:sz w:val="18"/>
              </w:rPr>
              <w:t>RoNAV 15.2% (low end); RoGEV 4.1%; ROEV 7.8%</w:t>
            </w:r>
          </w:p>
        </w:tc>
        <w:tc>
          <w:tcPr>
            <w:tcW w:type="dxa" w:w="3000"/>
          </w:tcPr>
          <w:p>
            <w:r/>
            <w:r>
              <w:rPr>
                <w:rFonts w:ascii="Arial" w:hAnsi="Arial"/>
                <w:b w:val="0"/>
                <w:i w:val="0"/>
                <w:sz w:val="18"/>
              </w:rPr>
              <w:t>Momentum ROE 21.2%; Sanlam adj RoGEV ~15.4% annualised, above hurdle</w:t>
            </w:r>
          </w:p>
        </w:tc>
        <w:tc>
          <w:tcPr>
            <w:tcW w:type="dxa" w:w="760"/>
          </w:tcPr>
          <w:p>
            <w:r/>
            <w:r>
              <w:rPr>
                <w:rFonts w:ascii="Arial" w:hAnsi="Arial"/>
                <w:b w:val="0"/>
                <w:i w:val="0"/>
                <w:sz w:val="18"/>
              </w:rPr>
              <w:t>S1 p.33-36; E3,E4</w:t>
            </w:r>
          </w:p>
        </w:tc>
      </w:tr>
      <w:tr>
        <w:tc>
          <w:tcPr>
            <w:tcW w:type="dxa" w:w="2000"/>
            <w:shd w:val="clear" w:fill="F2F2F2"/>
          </w:tcPr>
          <w:p>
            <w:r/>
            <w:r>
              <w:rPr>
                <w:rFonts w:ascii="Arial" w:hAnsi="Arial"/>
                <w:b/>
                <w:i w:val="0"/>
                <w:sz w:val="18"/>
              </w:rPr>
              <w:t>Capital return</w:t>
            </w:r>
          </w:p>
        </w:tc>
        <w:tc>
          <w:tcPr>
            <w:tcW w:type="dxa" w:w="2800"/>
            <w:shd w:val="clear" w:fill="FAFAFA"/>
          </w:tcPr>
          <w:p>
            <w:r/>
            <w:r>
              <w:rPr>
                <w:rFonts w:ascii="Arial" w:hAnsi="Arial"/>
                <w:b w:val="0"/>
                <w:i w:val="0"/>
                <w:sz w:val="18"/>
              </w:rPr>
              <w:t>DPS +8%; R3bn buyback (R1.3bn done); discretionary capital R6.1bn</w:t>
            </w:r>
          </w:p>
        </w:tc>
        <w:tc>
          <w:tcPr>
            <w:tcW w:type="dxa" w:w="3000"/>
            <w:shd w:val="clear" w:fill="FAFAFA"/>
          </w:tcPr>
          <w:p>
            <w:r/>
            <w:r>
              <w:rPr>
                <w:rFonts w:ascii="Arial" w:hAnsi="Arial"/>
                <w:b w:val="0"/>
                <w:i w:val="0"/>
                <w:sz w:val="18"/>
              </w:rPr>
              <w:t>Peers progressive dividends; OMU's active buyback a relative differentiator</w:t>
            </w:r>
          </w:p>
        </w:tc>
        <w:tc>
          <w:tcPr>
            <w:tcW w:type="dxa" w:w="760"/>
            <w:shd w:val="clear" w:fill="FAFAFA"/>
          </w:tcPr>
          <w:p>
            <w:r/>
            <w:r>
              <w:rPr>
                <w:rFonts w:ascii="Arial" w:hAnsi="Arial"/>
                <w:b w:val="0"/>
                <w:i w:val="0"/>
                <w:sz w:val="18"/>
              </w:rPr>
              <w:t>S1 p.4,p.36; E3,E4</w:t>
            </w:r>
          </w:p>
        </w:tc>
      </w:tr>
      <w:tr>
        <w:tc>
          <w:tcPr>
            <w:tcW w:type="dxa" w:w="2000"/>
            <w:shd w:val="clear" w:fill="F2F2F2"/>
          </w:tcPr>
          <w:p>
            <w:r/>
            <w:r>
              <w:rPr>
                <w:rFonts w:ascii="Arial" w:hAnsi="Arial"/>
                <w:b/>
                <w:i w:val="0"/>
                <w:sz w:val="18"/>
              </w:rPr>
              <w:t>Strategic momentum</w:t>
            </w:r>
          </w:p>
        </w:tc>
        <w:tc>
          <w:tcPr>
            <w:tcW w:type="dxa" w:w="2800"/>
          </w:tcPr>
          <w:p>
            <w:r/>
            <w:r>
              <w:rPr>
                <w:rFonts w:ascii="Arial" w:hAnsi="Arial"/>
                <w:b w:val="0"/>
                <w:i w:val="0"/>
                <w:sz w:val="18"/>
              </w:rPr>
              <w:t>OM Bank ramping (FY2028 breakeven); R2.5bn cost programme; reset upside</w:t>
            </w:r>
          </w:p>
        </w:tc>
        <w:tc>
          <w:tcPr>
            <w:tcW w:type="dxa" w:w="3000"/>
          </w:tcPr>
          <w:p>
            <w:r/>
            <w:r>
              <w:rPr>
                <w:rFonts w:ascii="Arial" w:hAnsi="Arial"/>
                <w:b w:val="0"/>
                <w:i w:val="0"/>
                <w:sz w:val="18"/>
              </w:rPr>
              <w:t>Discovery Bank &amp; SanlamAllianz more mature; Momentum record earnings, ahead on delivery</w:t>
            </w:r>
          </w:p>
        </w:tc>
        <w:tc>
          <w:tcPr>
            <w:tcW w:type="dxa" w:w="760"/>
          </w:tcPr>
          <w:p>
            <w:r/>
            <w:r>
              <w:rPr>
                <w:rFonts w:ascii="Arial" w:hAnsi="Arial"/>
                <w:b w:val="0"/>
                <w:i w:val="0"/>
                <w:sz w:val="18"/>
              </w:rPr>
              <w:t>S1 p.16,p.32; E3,E4</w:t>
            </w:r>
          </w:p>
        </w:tc>
      </w:tr>
    </w:tbl>
    <w:p>
      <w:pPr>
        <w:spacing w:after="40" w:before="0"/>
      </w:pPr>
    </w:p>
    <w:p>
      <w:pPr>
        <w:spacing w:after="160" w:before="0"/>
      </w:pPr>
      <w:r>
        <w:rPr>
          <w:rFonts w:ascii="Arial" w:hAnsi="Arial"/>
          <w:b/>
          <w:i w:val="0"/>
          <w:sz w:val="21"/>
        </w:rPr>
        <w:t xml:space="preserve">Read. </w:t>
      </w:r>
      <w:r>
        <w:rPr>
          <w:rFonts w:ascii="Arial" w:hAnsi="Arial"/>
          <w:b w:val="0"/>
          <w:i w:val="0"/>
          <w:sz w:val="21"/>
        </w:rPr>
        <w:t>On today's numbers OMU is the laggard of the SA diversified-life peer set on earnings quality and new-business value - Momentum and Sanlam are compounding cleaner, higher returns, and OMU is the only one with its VNB margin below its own target. OMU's offsetting edges are an active buyback (peers mostly run progressive dividends), a large untapped cost-savings pool, and OM Bank optionality. So the competitive verdict is regime-dependent.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60"/>
            <w:shd w:val="clear" w:fill="1F3864"/>
          </w:tcPr>
          <w:p>
            <w:r/>
            <w:r>
              <w:rPr>
                <w:rFonts w:ascii="Arial" w:hAnsi="Arial"/>
                <w:b/>
                <w:i w:val="0"/>
                <w:color w:val="FFFFFF"/>
                <w:sz w:val="17"/>
              </w:rPr>
              <w:t>Resilience dimension</w:t>
            </w:r>
          </w:p>
        </w:tc>
        <w:tc>
          <w:tcPr>
            <w:tcW w:type="dxa" w:w="760"/>
            <w:shd w:val="clear" w:fill="2E5496"/>
          </w:tcPr>
          <w:p>
            <w:r/>
            <w:r>
              <w:rPr>
                <w:rFonts w:ascii="Arial" w:hAnsi="Arial"/>
                <w:b/>
                <w:i w:val="0"/>
                <w:color w:val="FFFFFF"/>
                <w:sz w:val="17"/>
              </w:rPr>
              <w:t>OMU</w:t>
            </w:r>
          </w:p>
        </w:tc>
        <w:tc>
          <w:tcPr>
            <w:tcW w:type="dxa" w:w="760"/>
            <w:shd w:val="clear" w:fill="375623"/>
          </w:tcPr>
          <w:p>
            <w:r/>
            <w:r>
              <w:rPr>
                <w:rFonts w:ascii="Arial" w:hAnsi="Arial"/>
                <w:b/>
                <w:i w:val="0"/>
                <w:color w:val="FFFFFF"/>
                <w:sz w:val="17"/>
              </w:rPr>
              <w:t>Peers</w:t>
            </w:r>
          </w:p>
        </w:tc>
        <w:tc>
          <w:tcPr>
            <w:tcW w:type="dxa" w:w="4980"/>
            <w:shd w:val="clear" w:fill="1F3864"/>
          </w:tcPr>
          <w:p>
            <w:r/>
            <w:r>
              <w:rPr>
                <w:rFonts w:ascii="Arial" w:hAnsi="Arial"/>
                <w:b/>
                <w:i w:val="0"/>
                <w:color w:val="FFFFFF"/>
                <w:sz w:val="17"/>
              </w:rPr>
              <w:t>Read (scored for Scenario B, the stress case)</w:t>
            </w:r>
          </w:p>
        </w:tc>
      </w:tr>
      <w:tr>
        <w:tc>
          <w:tcPr>
            <w:tcW w:type="dxa" w:w="2860"/>
            <w:shd w:val="clear" w:fill="F2F2F2"/>
          </w:tcPr>
          <w:p>
            <w:r/>
            <w:r>
              <w:rPr>
                <w:rFonts w:ascii="Arial" w:hAnsi="Arial"/>
                <w:b/>
                <w:i w:val="0"/>
                <w:sz w:val="17"/>
              </w:rPr>
              <w:t>Earnings momentum (RFO / NHE growth)</w:t>
            </w:r>
          </w:p>
        </w:tc>
        <w:tc>
          <w:tcPr>
            <w:tcW w:type="dxa" w:w="760"/>
            <w:shd w:val="clear" w:fill="BF8F00"/>
          </w:tcPr>
          <w:p>
            <w:pPr>
              <w:jc w:val="center"/>
            </w:pPr>
            <w:r>
              <w:rPr>
                <w:b/>
                <w:color w:val="FFFFFF"/>
              </w:rPr>
            </w:r>
            <w:r>
              <w:rPr>
                <w:rFonts w:ascii="Arial" w:hAnsi="Arial"/>
                <w:b/>
                <w:i w:val="0"/>
                <w:color w:val="FFFFFF"/>
                <w:sz w:val="17"/>
              </w:rPr>
              <w:t>3</w:t>
            </w:r>
          </w:p>
        </w:tc>
        <w:tc>
          <w:tcPr>
            <w:tcW w:type="dxa" w:w="760"/>
            <w:shd w:val="clear" w:fill="375623"/>
          </w:tcPr>
          <w:p>
            <w:pPr>
              <w:jc w:val="center"/>
            </w:pPr>
            <w:r>
              <w:rPr>
                <w:b/>
                <w:color w:val="FFFFFF"/>
              </w:rPr>
            </w:r>
            <w:r>
              <w:rPr>
                <w:rFonts w:ascii="Arial" w:hAnsi="Arial"/>
                <w:b/>
                <w:i w:val="0"/>
                <w:color w:val="FFFFFF"/>
                <w:sz w:val="17"/>
              </w:rPr>
              <w:t>4</w:t>
            </w:r>
          </w:p>
        </w:tc>
        <w:tc>
          <w:tcPr>
            <w:tcW w:type="dxa" w:w="4980"/>
          </w:tcPr>
          <w:p>
            <w:r/>
            <w:r>
              <w:rPr>
                <w:rFonts w:ascii="Arial" w:hAnsi="Arial"/>
                <w:b w:val="0"/>
                <w:i w:val="0"/>
                <w:sz w:val="17"/>
              </w:rPr>
              <w:t>OMU: RFO +13%, AHE +24% but flattered by Malawi &amp; market returns; underlying ~7-9% ex-Malawi.  /  Peers: Momentum NHE +41%, Sanlam/Discovery double-digit operating-profit growth on cleaner drivers.</w:t>
            </w:r>
          </w:p>
        </w:tc>
      </w:tr>
      <w:tr>
        <w:tc>
          <w:tcPr>
            <w:tcW w:type="dxa" w:w="2860"/>
            <w:shd w:val="clear" w:fill="F2F2F2"/>
          </w:tcPr>
          <w:p>
            <w:r/>
            <w:r>
              <w:rPr>
                <w:rFonts w:ascii="Arial" w:hAnsi="Arial"/>
                <w:b/>
                <w:i w:val="0"/>
                <w:sz w:val="17"/>
              </w:rPr>
              <w:t>New-business value (VNB &amp; margin)</w:t>
            </w:r>
          </w:p>
        </w:tc>
        <w:tc>
          <w:tcPr>
            <w:tcW w:type="dxa" w:w="760"/>
            <w:shd w:val="clear" w:fill="C00000"/>
          </w:tcPr>
          <w:p>
            <w:pPr>
              <w:jc w:val="center"/>
            </w:pPr>
            <w:r>
              <w:rPr>
                <w:b/>
                <w:color w:val="FFFFFF"/>
              </w:rPr>
            </w:r>
            <w:r>
              <w:rPr>
                <w:rFonts w:ascii="Arial" w:hAnsi="Arial"/>
                <w:b/>
                <w:i w:val="0"/>
                <w:color w:val="FFFFFF"/>
                <w:sz w:val="17"/>
              </w:rPr>
              <w:t>2</w:t>
            </w:r>
          </w:p>
        </w:tc>
        <w:tc>
          <w:tcPr>
            <w:tcW w:type="dxa" w:w="760"/>
            <w:shd w:val="clear" w:fill="375623"/>
          </w:tcPr>
          <w:p>
            <w:pPr>
              <w:jc w:val="center"/>
            </w:pPr>
            <w:r>
              <w:rPr>
                <w:b/>
                <w:color w:val="FFFFFF"/>
              </w:rPr>
            </w:r>
            <w:r>
              <w:rPr>
                <w:rFonts w:ascii="Arial" w:hAnsi="Arial"/>
                <w:b/>
                <w:i w:val="0"/>
                <w:color w:val="FFFFFF"/>
                <w:sz w:val="17"/>
              </w:rPr>
              <w:t>4</w:t>
            </w:r>
          </w:p>
        </w:tc>
        <w:tc>
          <w:tcPr>
            <w:tcW w:type="dxa" w:w="4980"/>
          </w:tcPr>
          <w:p>
            <w:r/>
            <w:r>
              <w:rPr>
                <w:rFonts w:ascii="Arial" w:hAnsi="Arial"/>
                <w:b w:val="0"/>
                <w:i w:val="0"/>
                <w:sz w:val="17"/>
              </w:rPr>
              <w:t>OMU: VNB -52% to R850m; margin 1.2%, BELOW the 2-3% target after persistency-basis strengthening.  /  Peers: Sanlam margin 2.22% (VNB -18%); OMU starts furthest below its own range.</w:t>
            </w:r>
          </w:p>
        </w:tc>
      </w:tr>
      <w:tr>
        <w:tc>
          <w:tcPr>
            <w:tcW w:type="dxa" w:w="2860"/>
            <w:shd w:val="clear" w:fill="F2F2F2"/>
          </w:tcPr>
          <w:p>
            <w:r/>
            <w:r>
              <w:rPr>
                <w:rFonts w:ascii="Arial" w:hAnsi="Arial"/>
                <w:b/>
                <w:i w:val="0"/>
                <w:sz w:val="17"/>
              </w:rPr>
              <w:t>Returns vs target (RoNAV / ROE / ROEV)</w:t>
            </w:r>
          </w:p>
        </w:tc>
        <w:tc>
          <w:tcPr>
            <w:tcW w:type="dxa" w:w="760"/>
            <w:shd w:val="clear" w:fill="BF8F00"/>
          </w:tcPr>
          <w:p>
            <w:pPr>
              <w:jc w:val="center"/>
            </w:pPr>
            <w:r>
              <w:rPr>
                <w:b/>
                <w:color w:val="FFFFFF"/>
              </w:rPr>
            </w:r>
            <w:r>
              <w:rPr>
                <w:rFonts w:ascii="Arial" w:hAnsi="Arial"/>
                <w:b/>
                <w:i w:val="0"/>
                <w:color w:val="FFFFFF"/>
                <w:sz w:val="17"/>
              </w:rPr>
              <w:t>3</w:t>
            </w:r>
          </w:p>
        </w:tc>
        <w:tc>
          <w:tcPr>
            <w:tcW w:type="dxa" w:w="760"/>
            <w:shd w:val="clear" w:fill="375623"/>
          </w:tcPr>
          <w:p>
            <w:pPr>
              <w:jc w:val="center"/>
            </w:pPr>
            <w:r>
              <w:rPr>
                <w:b/>
                <w:color w:val="FFFFFF"/>
              </w:rPr>
            </w:r>
            <w:r>
              <w:rPr>
                <w:rFonts w:ascii="Arial" w:hAnsi="Arial"/>
                <w:b/>
                <w:i w:val="0"/>
                <w:color w:val="FFFFFF"/>
                <w:sz w:val="17"/>
              </w:rPr>
              <w:t>4</w:t>
            </w:r>
          </w:p>
        </w:tc>
        <w:tc>
          <w:tcPr>
            <w:tcW w:type="dxa" w:w="4980"/>
          </w:tcPr>
          <w:p>
            <w:r/>
            <w:r>
              <w:rPr>
                <w:rFonts w:ascii="Arial" w:hAnsi="Arial"/>
                <w:b w:val="0"/>
                <w:i w:val="0"/>
                <w:sz w:val="17"/>
              </w:rPr>
              <w:t>OMU: RoNAV 15.2% just into 15-17% (14.0-14.5% ex-Malawi); ROEV 7.8%; RoGEV 4.1%.  /  Peers: Momentum ROE 21.2%; Sanlam adj RoGEV ~15.4% annualised above hurdle - cleaner, higher returns.</w:t>
            </w:r>
          </w:p>
        </w:tc>
      </w:tr>
      <w:tr>
        <w:tc>
          <w:tcPr>
            <w:tcW w:type="dxa" w:w="2860"/>
            <w:shd w:val="clear" w:fill="F2F2F2"/>
          </w:tcPr>
          <w:p>
            <w:r/>
            <w:r>
              <w:rPr>
                <w:rFonts w:ascii="Arial" w:hAnsi="Arial"/>
                <w:b/>
                <w:i w:val="0"/>
                <w:sz w:val="17"/>
              </w:rPr>
              <w:t>Capital return (dividend + buyback)</w:t>
            </w:r>
          </w:p>
        </w:tc>
        <w:tc>
          <w:tcPr>
            <w:tcW w:type="dxa" w:w="760"/>
            <w:shd w:val="clear" w:fill="375623"/>
          </w:tcPr>
          <w:p>
            <w:pPr>
              <w:jc w:val="center"/>
            </w:pPr>
            <w:r>
              <w:rPr>
                <w:b/>
                <w:color w:val="FFFFFF"/>
              </w:rPr>
            </w:r>
            <w:r>
              <w:rPr>
                <w:rFonts w:ascii="Arial" w:hAnsi="Arial"/>
                <w:b/>
                <w:i w:val="0"/>
                <w:color w:val="FFFFFF"/>
                <w:sz w:val="17"/>
              </w:rPr>
              <w:t>4</w:t>
            </w:r>
          </w:p>
        </w:tc>
        <w:tc>
          <w:tcPr>
            <w:tcW w:type="dxa" w:w="760"/>
            <w:shd w:val="clear" w:fill="BF8F00"/>
          </w:tcPr>
          <w:p>
            <w:pPr>
              <w:jc w:val="center"/>
            </w:pPr>
            <w:r>
              <w:rPr>
                <w:b/>
                <w:color w:val="FFFFFF"/>
              </w:rPr>
            </w:r>
            <w:r>
              <w:rPr>
                <w:rFonts w:ascii="Arial" w:hAnsi="Arial"/>
                <w:b/>
                <w:i w:val="0"/>
                <w:color w:val="FFFFFF"/>
                <w:sz w:val="17"/>
              </w:rPr>
              <w:t>3</w:t>
            </w:r>
          </w:p>
        </w:tc>
        <w:tc>
          <w:tcPr>
            <w:tcW w:type="dxa" w:w="4980"/>
          </w:tcPr>
          <w:p>
            <w:r/>
            <w:r>
              <w:rPr>
                <w:rFonts w:ascii="Arial" w:hAnsi="Arial"/>
                <w:b w:val="0"/>
                <w:i w:val="0"/>
                <w:sz w:val="17"/>
              </w:rPr>
              <w:t>OMU: DPS +8% (in 6-9% range); R3bn buyback live (R1.3bn done); discretionary capital ~doubled to R6.1bn.  /  Peers: Peers progressive dividends; OMU active buyback + strong remittances a genuine relative strength.</w:t>
            </w:r>
          </w:p>
        </w:tc>
      </w:tr>
      <w:tr>
        <w:tc>
          <w:tcPr>
            <w:tcW w:type="dxa" w:w="2860"/>
            <w:shd w:val="clear" w:fill="F2F2F2"/>
          </w:tcPr>
          <w:p>
            <w:r/>
            <w:r>
              <w:rPr>
                <w:rFonts w:ascii="Arial" w:hAnsi="Arial"/>
                <w:b/>
                <w:i w:val="0"/>
                <w:sz w:val="17"/>
              </w:rPr>
              <w:t>Strategic / growth optionality (bank ramp, cost programme)</w:t>
            </w:r>
          </w:p>
        </w:tc>
        <w:tc>
          <w:tcPr>
            <w:tcW w:type="dxa" w:w="760"/>
            <w:shd w:val="clear" w:fill="375623"/>
          </w:tcPr>
          <w:p>
            <w:pPr>
              <w:jc w:val="center"/>
            </w:pPr>
            <w:r>
              <w:rPr>
                <w:b/>
                <w:color w:val="FFFFFF"/>
              </w:rPr>
            </w:r>
            <w:r>
              <w:rPr>
                <w:rFonts w:ascii="Arial" w:hAnsi="Arial"/>
                <w:b/>
                <w:i w:val="0"/>
                <w:color w:val="FFFFFF"/>
                <w:sz w:val="17"/>
              </w:rPr>
              <w:t>4</w:t>
            </w:r>
          </w:p>
        </w:tc>
        <w:tc>
          <w:tcPr>
            <w:tcW w:type="dxa" w:w="760"/>
            <w:shd w:val="clear" w:fill="BF8F00"/>
          </w:tcPr>
          <w:p>
            <w:pPr>
              <w:jc w:val="center"/>
            </w:pPr>
            <w:r>
              <w:rPr>
                <w:b/>
                <w:color w:val="FFFFFF"/>
              </w:rPr>
            </w:r>
            <w:r>
              <w:rPr>
                <w:rFonts w:ascii="Arial" w:hAnsi="Arial"/>
                <w:b/>
                <w:i w:val="0"/>
                <w:color w:val="FFFFFF"/>
                <w:sz w:val="17"/>
              </w:rPr>
              <w:t>3</w:t>
            </w:r>
          </w:p>
        </w:tc>
        <w:tc>
          <w:tcPr>
            <w:tcW w:type="dxa" w:w="4980"/>
          </w:tcPr>
          <w:p>
            <w:r/>
            <w:r>
              <w:rPr>
                <w:rFonts w:ascii="Arial" w:hAnsi="Arial"/>
                <w:b w:val="0"/>
                <w:i w:val="0"/>
                <w:sz w:val="17"/>
              </w:rPr>
              <w:t>OMU: OM Bank live, deposits/customers ahead of plan, breakeven FY2028; R2.5bn cost programme started.  /  Peers: Peers (Discovery Bank, SanlamAllianz) more advanced but OMU's self-help has larger reset upside.</w:t>
            </w:r>
          </w:p>
        </w:tc>
      </w:tr>
      <w:tr>
        <w:tc>
          <w:tcPr>
            <w:tcW w:type="dxa" w:w="2860"/>
            <w:shd w:val="clear" w:fill="F2F2F2"/>
          </w:tcPr>
          <w:p>
            <w:r/>
            <w:r>
              <w:rPr>
                <w:rFonts w:ascii="Arial" w:hAnsi="Arial"/>
                <w:b/>
                <w:i w:val="0"/>
                <w:sz w:val="17"/>
              </w:rPr>
              <w:t>Balance-sheet / solvency resilience</w:t>
            </w:r>
          </w:p>
        </w:tc>
        <w:tc>
          <w:tcPr>
            <w:tcW w:type="dxa" w:w="760"/>
            <w:shd w:val="clear" w:fill="375623"/>
          </w:tcPr>
          <w:p>
            <w:pPr>
              <w:jc w:val="center"/>
            </w:pPr>
            <w:r>
              <w:rPr>
                <w:b/>
                <w:color w:val="FFFFFF"/>
              </w:rPr>
            </w:r>
            <w:r>
              <w:rPr>
                <w:rFonts w:ascii="Arial" w:hAnsi="Arial"/>
                <w:b/>
                <w:i w:val="0"/>
                <w:color w:val="FFFFFF"/>
                <w:sz w:val="17"/>
              </w:rPr>
              <w:t>4</w:t>
            </w:r>
          </w:p>
        </w:tc>
        <w:tc>
          <w:tcPr>
            <w:tcW w:type="dxa" w:w="760"/>
            <w:shd w:val="clear" w:fill="375623"/>
          </w:tcPr>
          <w:p>
            <w:pPr>
              <w:jc w:val="center"/>
            </w:pPr>
            <w:r>
              <w:rPr>
                <w:b/>
                <w:color w:val="FFFFFF"/>
              </w:rPr>
            </w:r>
            <w:r>
              <w:rPr>
                <w:rFonts w:ascii="Arial" w:hAnsi="Arial"/>
                <w:b/>
                <w:i w:val="0"/>
                <w:color w:val="FFFFFF"/>
                <w:sz w:val="17"/>
              </w:rPr>
              <w:t>4</w:t>
            </w:r>
          </w:p>
        </w:tc>
        <w:tc>
          <w:tcPr>
            <w:tcW w:type="dxa" w:w="4980"/>
          </w:tcPr>
          <w:p>
            <w:r/>
            <w:r>
              <w:rPr>
                <w:rFonts w:ascii="Arial" w:hAnsi="Arial"/>
                <w:b w:val="0"/>
                <w:i w:val="0"/>
                <w:sz w:val="17"/>
              </w:rPr>
              <w:t>OMU: Shareholder solvency 162% (155-185% target) though -2,000bps yoy on market moves; Level-1 B-BBEE.  /  Peers: SA composites broadly well-capitalised; OMU sits comfortably mid-range, on par with peers.</w:t>
            </w:r>
          </w:p>
        </w:tc>
      </w:tr>
      <w:tr>
        <w:tc>
          <w:tcPr>
            <w:tcW w:type="dxa" w:w="2860"/>
            <w:shd w:val="clear" w:fill="1F3864"/>
          </w:tcPr>
          <w:p>
            <w:r>
              <w:rPr>
                <w:b/>
                <w:color w:val="FFFFFF"/>
              </w:rPr>
            </w:r>
            <w:r>
              <w:rPr>
                <w:rFonts w:ascii="Arial" w:hAnsi="Arial"/>
                <w:b/>
                <w:i w:val="0"/>
                <w:color w:val="FFFFFF"/>
                <w:sz w:val="17"/>
              </w:rPr>
              <w:t>AVERAGE</w:t>
            </w:r>
          </w:p>
        </w:tc>
        <w:tc>
          <w:tcPr>
            <w:tcW w:type="dxa" w:w="760"/>
            <w:shd w:val="clear" w:fill="2E5496"/>
          </w:tcPr>
          <w:p>
            <w:pPr>
              <w:jc w:val="center"/>
            </w:pPr>
            <w:r>
              <w:rPr>
                <w:b/>
                <w:color w:val="FFFFFF"/>
              </w:rPr>
            </w:r>
            <w:r>
              <w:rPr>
                <w:rFonts w:ascii="Arial" w:hAnsi="Arial"/>
                <w:b/>
                <w:i w:val="0"/>
                <w:color w:val="FFFFFF"/>
                <w:sz w:val="17"/>
              </w:rPr>
              <w:t>3.3</w:t>
            </w:r>
          </w:p>
        </w:tc>
        <w:tc>
          <w:tcPr>
            <w:tcW w:type="dxa" w:w="760"/>
            <w:shd w:val="clear" w:fill="375623"/>
          </w:tcPr>
          <w:p>
            <w:pPr>
              <w:jc w:val="center"/>
            </w:pPr>
            <w:r>
              <w:rPr>
                <w:b/>
                <w:color w:val="FFFFFF"/>
              </w:rPr>
            </w:r>
            <w:r>
              <w:rPr>
                <w:rFonts w:ascii="Arial" w:hAnsi="Arial"/>
                <w:b/>
                <w:i w:val="0"/>
                <w:color w:val="FFFFFF"/>
                <w:sz w:val="17"/>
              </w:rPr>
              <w:t>3.7</w:t>
            </w:r>
          </w:p>
        </w:tc>
        <w:tc>
          <w:tcPr>
            <w:tcW w:type="dxa" w:w="4980"/>
          </w:tcPr>
          <w:p>
            <w:r/>
            <w:r>
              <w:rPr>
                <w:rFonts w:ascii="Arial" w:hAnsi="Arial"/>
                <w:b w:val="0"/>
                <w:i w:val="0"/>
                <w:sz w:val="17"/>
              </w:rPr>
              <w:t>OMU: a value-reset story - capital return and bank optionality offset weak VNB and market-flattered earnings.  Peers: cleaner, higher-quality earnings momentum today, especially Momentum and Sanlam.</w:t>
            </w:r>
          </w:p>
        </w:tc>
      </w:tr>
    </w:tbl>
    <w:p>
      <w:pPr>
        <w:spacing w:after="40" w:before="0"/>
      </w:pPr>
    </w:p>
    <w:tbl>
      <w:tblPr>
        <w:tblStyle w:val="TableGrid"/>
        <w:tblW w:type="auto" w:w="0"/>
        <w:tblLook w:firstColumn="1" w:firstRow="1" w:lastColumn="0" w:lastRow="0" w:noHBand="0" w:noVBand="1" w:val="04A0"/>
      </w:tblPr>
      <w:tblGrid>
        <w:gridCol w:w="9360"/>
      </w:tblGrid>
      <w:tr>
        <w:tc>
          <w:tcPr>
            <w:tcW w:type="dxa" w:w="9360"/>
            <w:shd w:val="clear" w:fill="FFF7E0"/>
          </w:tcPr>
          <w:p>
            <w:pPr>
              <w:spacing w:after="0"/>
            </w:pPr>
            <w:r/>
            <w:r>
              <w:rPr>
                <w:rFonts w:ascii="Arial" w:hAnsi="Arial"/>
                <w:b/>
                <w:i w:val="0"/>
                <w:sz w:val="21"/>
              </w:rPr>
              <w:t xml:space="preserve">Relative verdict (share &amp; earnings momentum vs peers).  </w:t>
            </w:r>
            <w:r>
              <w:rPr>
                <w:rFonts w:ascii="Arial" w:hAnsi="Arial"/>
                <w:b w:val="0"/>
                <w:i w:val="0"/>
                <w:sz w:val="21"/>
              </w:rPr>
              <w:t>NEUTRAL regime: HOLD - OMU keeps pace on capital return and bank traction but its value KPIs still trail Momentum/Sanlam; no relative re-rating without VNB-margin proof. BULL regime: GAIN - self-help (cost savings, VNB recovery, buyback) compounds with a market lift and the bank inflects, closing the quality gap fastest from the lowest base. BEAR regime: LOSE - the market-flattered FY2025 base reverses hardest for OMU, the sub-target VNB margin and Malawi dependence are exposed, and the buyback (its key differentiator) is the first thing paused. OMU is the highest-beta reset story in the peer set: most to gain if execution + macro align, most to lose if they do not.</w:t>
            </w:r>
          </w:p>
        </w:tc>
      </w:tr>
    </w:tbl>
    <w:p>
      <w:pPr>
        <w:spacing w:after="40" w:before="0"/>
      </w:pPr>
    </w:p>
    <w:p>
      <w:pPr>
        <w:pStyle w:val="Heading1"/>
      </w:pPr>
      <w:r>
        <w:t>7.  Risk flags</w:t>
      </w:r>
    </w:p>
    <w:p>
      <w:pPr>
        <w:pStyle w:val="ListBullet"/>
        <w:spacing w:after="80"/>
      </w:pPr>
      <w:r>
        <w:rPr>
          <w:rFonts w:ascii="Arial" w:hAnsi="Arial"/>
          <w:b/>
          <w:i w:val="0"/>
          <w:sz w:val="21"/>
        </w:rPr>
        <w:t xml:space="preserve">Audit opinion - CLEAN (low). </w:t>
      </w:r>
      <w:r>
        <w:rPr>
          <w:rFonts w:ascii="Arial" w:hAnsi="Arial"/>
          <w:b w:val="0"/>
          <w:i w:val="0"/>
          <w:sz w:val="21"/>
        </w:rPr>
        <w:t>Joint auditors Deloitte &amp; Touche and Ernst &amp; Young Inc. expressed an UNMODIFIED opinion on the FY2025 AFS (S1, p.45). No going-concern flag found.</w:t>
      </w:r>
    </w:p>
    <w:p>
      <w:pPr>
        <w:pStyle w:val="ListBullet"/>
        <w:spacing w:after="80"/>
      </w:pPr>
      <w:r>
        <w:rPr>
          <w:rFonts w:ascii="Arial" w:hAnsi="Arial"/>
          <w:b/>
          <w:i w:val="0"/>
          <w:sz w:val="21"/>
        </w:rPr>
        <w:t xml:space="preserve">Earnings quality - MEDIUM. </w:t>
      </w:r>
      <w:r>
        <w:rPr>
          <w:rFonts w:ascii="Arial" w:hAnsi="Arial"/>
          <w:b w:val="0"/>
          <w:i w:val="0"/>
          <w:sz w:val="21"/>
        </w:rPr>
        <w:t>AHE +24% is materially inflated by elevated Malawi (hyperinflationary) returns and SA investment markets; ex-Malawi growth was 11-16% and headline earnings (incl. Zimbabwe) actually fell 2% (S1, p.33, p.36). RoGEV of just 4.1% confirms thin real value creation (S1, p.33).</w:t>
      </w:r>
    </w:p>
    <w:p>
      <w:pPr>
        <w:pStyle w:val="ListBullet"/>
        <w:spacing w:after="80"/>
      </w:pPr>
      <w:r>
        <w:rPr>
          <w:rFonts w:ascii="Arial" w:hAnsi="Arial"/>
          <w:b/>
          <w:i w:val="0"/>
          <w:sz w:val="21"/>
        </w:rPr>
        <w:t xml:space="preserve">Assumption / basis change - MEDIUM-HIGH. </w:t>
      </w:r>
      <w:r>
        <w:rPr>
          <w:rFonts w:ascii="Arial" w:hAnsi="Arial"/>
          <w:b w:val="0"/>
          <w:i w:val="0"/>
          <w:sz w:val="21"/>
        </w:rPr>
        <w:t>VNB -52% and margin -130bps driven by STRENGTHENED persistency assumptions plus a rise in the cost-of-non-hedgeable-risk charge from 2% to 3.5% (S1, p.33, p.37) - a quality/credibility flag exactly of the kind the insurance lens prizes spotting; it depressed return on embedded value to 7.8% (S1, p.33).</w:t>
      </w:r>
    </w:p>
    <w:p>
      <w:pPr>
        <w:pStyle w:val="ListBullet"/>
        <w:spacing w:after="80"/>
      </w:pPr>
      <w:r>
        <w:rPr>
          <w:rFonts w:ascii="Arial" w:hAnsi="Arial"/>
          <w:b/>
          <w:i w:val="0"/>
          <w:sz w:val="21"/>
        </w:rPr>
        <w:t xml:space="preserve">Persistency / affordability - MEDIUM. </w:t>
      </w:r>
      <w:r>
        <w:rPr>
          <w:rFonts w:ascii="Arial" w:hAnsi="Arial"/>
          <w:b w:val="0"/>
          <w:i w:val="0"/>
          <w:sz w:val="21"/>
        </w:rPr>
        <w:t>The basis strengthening reflects real consumer-stress lapse risk (amplified by two-pot withdrawals); a further deterioration is the central bear-case lever (S1, p.32, p.37).</w:t>
      </w:r>
    </w:p>
    <w:p>
      <w:pPr>
        <w:pStyle w:val="ListBullet"/>
        <w:spacing w:after="80"/>
      </w:pPr>
      <w:r>
        <w:rPr>
          <w:rFonts w:ascii="Arial" w:hAnsi="Arial"/>
          <w:b/>
          <w:i w:val="0"/>
          <w:sz w:val="21"/>
        </w:rPr>
        <w:t xml:space="preserve">Solvency drift - LOW-MEDIUM. </w:t>
      </w:r>
      <w:r>
        <w:rPr>
          <w:rFonts w:ascii="Arial" w:hAnsi="Arial"/>
          <w:b w:val="0"/>
          <w:i w:val="0"/>
          <w:sz w:val="21"/>
        </w:rPr>
        <w:t>Shareholder solvency fell 2,000bps to 162% (regulatory 153%, -2,500bps) on market movements (lower yields, higher equity shocks); still mid-range (155-185%) but the yoy drop is large and market-sensitive (S1, p.33, p.36).</w:t>
      </w:r>
    </w:p>
    <w:p>
      <w:pPr>
        <w:pStyle w:val="ListBullet"/>
        <w:spacing w:after="80"/>
      </w:pPr>
      <w:r>
        <w:rPr>
          <w:rFonts w:ascii="Arial" w:hAnsi="Arial"/>
          <w:b/>
          <w:i w:val="0"/>
          <w:sz w:val="21"/>
        </w:rPr>
        <w:t xml:space="preserve">NCCF still negative - MEDIUM. </w:t>
      </w:r>
      <w:r>
        <w:rPr>
          <w:rFonts w:ascii="Arial" w:hAnsi="Arial"/>
          <w:b w:val="0"/>
          <w:i w:val="0"/>
          <w:sz w:val="21"/>
        </w:rPr>
        <w:t>Net client cash flow remained a R10.4bn OUTFLOW (improved 55% from -R23.2bn) - flows are recovering but not yet net-positive (S1, p.36).</w:t>
      </w:r>
    </w:p>
    <w:p>
      <w:pPr>
        <w:pStyle w:val="ListBullet"/>
        <w:spacing w:after="80"/>
      </w:pPr>
      <w:r>
        <w:rPr>
          <w:rFonts w:ascii="Arial" w:hAnsi="Arial"/>
          <w:b/>
          <w:i w:val="0"/>
          <w:sz w:val="21"/>
        </w:rPr>
        <w:t xml:space="preserve">New-venture losses - MEDIUM. </w:t>
      </w:r>
      <w:r>
        <w:rPr>
          <w:rFonts w:ascii="Arial" w:hAnsi="Arial"/>
          <w:b w:val="0"/>
          <w:i w:val="0"/>
          <w:sz w:val="21"/>
        </w:rPr>
        <w:t>OM Bank still loss-making (~ -R701m (e) cluster), breakeven not until FY2028; R2bn committed investment into the bank across 2026-2027 (S1, p.16, p.36).</w:t>
      </w:r>
    </w:p>
    <w:p>
      <w:pPr>
        <w:pStyle w:val="ListBullet"/>
        <w:spacing w:after="80"/>
      </w:pPr>
      <w:r>
        <w:rPr>
          <w:rFonts w:ascii="Arial" w:hAnsi="Arial"/>
          <w:b/>
          <w:i w:val="0"/>
          <w:sz w:val="21"/>
        </w:rPr>
        <w:t xml:space="preserve">Restatement / re-presentation - LOW. </w:t>
      </w:r>
      <w:r>
        <w:rPr>
          <w:rFonts w:ascii="Arial" w:hAnsi="Arial"/>
          <w:b w:val="0"/>
          <w:i w:val="0"/>
          <w:sz w:val="21"/>
        </w:rPr>
        <w:t>Prior year re-presented to exclude China and re-segment OM Bank into its own cluster; comparability noted but routine (S1, p.32, p.37).</w:t>
      </w:r>
    </w:p>
    <w:p>
      <w:pPr>
        <w:pStyle w:val="ListBullet"/>
        <w:spacing w:after="80"/>
      </w:pPr>
      <w:r>
        <w:rPr>
          <w:rFonts w:ascii="Arial" w:hAnsi="Arial"/>
          <w:b/>
          <w:i w:val="0"/>
          <w:sz w:val="21"/>
        </w:rPr>
        <w:t xml:space="preserve">Restructuring charge - LOW. </w:t>
      </w:r>
      <w:r>
        <w:rPr>
          <w:rFonts w:ascii="Arial" w:hAnsi="Arial"/>
          <w:b w:val="0"/>
          <w:i w:val="0"/>
          <w:sz w:val="21"/>
        </w:rPr>
        <w:t>R440m restructuring cost in FY2025 lifted shareholder operational costs +11%; ex-this, costs fell 15% - so it is invest-to-save, not deterioration (S1, p.33).</w:t>
      </w:r>
    </w:p>
    <w:p>
      <w:pPr>
        <w:pStyle w:val="ListBullet"/>
        <w:spacing w:after="80"/>
      </w:pPr>
      <w:r>
        <w:rPr>
          <w:rFonts w:ascii="Arial" w:hAnsi="Arial"/>
          <w:b/>
          <w:i w:val="0"/>
          <w:sz w:val="21"/>
        </w:rPr>
        <w:t xml:space="preserve">Coverage gap - PROCESS. </w:t>
      </w:r>
      <w:r>
        <w:rPr>
          <w:rFonts w:ascii="Arial" w:hAnsi="Arial"/>
          <w:b w:val="0"/>
          <w:i w:val="0"/>
          <w:sz w:val="21"/>
        </w:rPr>
        <w:t>Original binary PDF + standalone Embedded Value report / SFCR not yet on disk (oldmutual.com 403); analysis runs off the text sidecar. Backfill logged.</w:t>
      </w:r>
    </w:p>
    <w:p>
      <w:pPr>
        <w:pStyle w:val="Heading1"/>
      </w:pPr>
      <w:r>
        <w:t>8.  Positive Outcomes Assessment (ESG &amp; Stakeholder) - non-financial lens</w:t>
      </w:r>
    </w:p>
    <w:p>
      <w:pPr>
        <w:spacing w:after="160" w:before="0"/>
      </w:pPr>
      <w:r>
        <w:rPr>
          <w:rFonts w:ascii="Arial" w:hAnsi="Arial"/>
          <w:b w:val="0"/>
          <w:i/>
          <w:sz w:val="21"/>
        </w:rPr>
        <w:t>This section reflects AllWeather's 'Investing in positive outcomes' philosophy. It is informational only: it does NOT change, gate or tie-break the financial verdict above, and is reported on its own terms.</w:t>
      </w:r>
    </w:p>
    <w:p>
      <w:pPr>
        <w:pStyle w:val="Heading2"/>
      </w:pPr>
      <w:r>
        <w:t>ESG / impact</w:t>
      </w:r>
    </w:p>
    <w:p>
      <w:pPr>
        <w:pStyle w:val="ListBullet"/>
        <w:spacing w:after="80"/>
      </w:pPr>
      <w:r>
        <w:rPr>
          <w:rFonts w:ascii="Arial" w:hAnsi="Arial"/>
          <w:b/>
          <w:i w:val="0"/>
          <w:sz w:val="21"/>
        </w:rPr>
        <w:t xml:space="preserve">Governance / transformation - strong, disclosed. </w:t>
      </w:r>
      <w:r>
        <w:rPr>
          <w:rFonts w:ascii="Arial" w:hAnsi="Arial"/>
          <w:b w:val="0"/>
          <w:i w:val="0"/>
          <w:sz w:val="21"/>
        </w:rPr>
        <w:t>Level-1 B-BBEE rating held since 2019; 57% black senior managers (2024: 56%) and 43% female senior managers (2024: 42%) (S1, p.1). Unmodified joint audit (Deloitte &amp; EY) supports governance quality (S1, p.45).</w:t>
      </w:r>
    </w:p>
    <w:p>
      <w:pPr>
        <w:pStyle w:val="ListBullet"/>
        <w:spacing w:after="80"/>
      </w:pPr>
      <w:r>
        <w:rPr>
          <w:rFonts w:ascii="Arial" w:hAnsi="Arial"/>
          <w:b/>
          <w:i w:val="0"/>
          <w:sz w:val="21"/>
        </w:rPr>
        <w:t xml:space="preserve">Green / impact investing - meaningful and growing. </w:t>
      </w:r>
      <w:r>
        <w:rPr>
          <w:rFonts w:ascii="Arial" w:hAnsi="Arial"/>
          <w:b w:val="0"/>
          <w:i w:val="0"/>
          <w:sz w:val="21"/>
        </w:rPr>
        <w:t>R221bn of funds under management invested in the Green Economy (2024: R179bn, +23%) (S1, p.1). As an asset owner/manager this is OMU's largest real-world ESG lever.</w:t>
      </w:r>
    </w:p>
    <w:p>
      <w:pPr>
        <w:pStyle w:val="ListBullet"/>
        <w:spacing w:after="80"/>
      </w:pPr>
      <w:r>
        <w:rPr>
          <w:rFonts w:ascii="Arial" w:hAnsi="Arial"/>
          <w:b/>
          <w:i w:val="0"/>
          <w:sz w:val="21"/>
        </w:rPr>
        <w:t xml:space="preserve">Climate / emissions targets - NOT in this booklet. </w:t>
      </w:r>
      <w:r>
        <w:rPr>
          <w:rFonts w:ascii="Arial" w:hAnsi="Arial"/>
          <w:b w:val="0"/>
          <w:i w:val="0"/>
          <w:sz w:val="21"/>
        </w:rPr>
        <w:t>The results booklet carries impact-investment figures but not Scope 1/2/3 emissions or intensity targets; these sit in the separate sustainability/climate report. Not disclosed here - logged as a coverage gap.</w:t>
      </w:r>
    </w:p>
    <w:p>
      <w:pPr>
        <w:pStyle w:val="Heading2"/>
      </w:pPr>
      <w:r>
        <w:t>Stakeholder outcomes</w:t>
      </w:r>
    </w:p>
    <w:p>
      <w:pPr>
        <w:pStyle w:val="ListBullet"/>
        <w:spacing w:after="80"/>
      </w:pPr>
      <w:r>
        <w:rPr>
          <w:rFonts w:ascii="Arial" w:hAnsi="Arial"/>
          <w:b/>
          <w:i w:val="0"/>
          <w:sz w:val="21"/>
        </w:rPr>
        <w:t xml:space="preserve">Customers - access &amp; resilience. </w:t>
      </w:r>
      <w:r>
        <w:rPr>
          <w:rFonts w:ascii="Arial" w:hAnsi="Arial"/>
          <w:b w:val="0"/>
          <w:i w:val="0"/>
          <w:sz w:val="21"/>
        </w:rPr>
        <w:t>Serves ~15 million customers for 180+ years; R1.5 trillion FUM (S1, p.1). OM Bank is explicitly framed as broadening affordable financial-services access via the branch network (95% of bank customers enrolled; deposits building) (S1, p.16). Stated purpose: 'supporting our customers' financial resilience' (S1, p.45).</w:t>
      </w:r>
    </w:p>
    <w:p>
      <w:pPr>
        <w:pStyle w:val="ListBullet"/>
        <w:spacing w:after="80"/>
      </w:pPr>
      <w:r>
        <w:rPr>
          <w:rFonts w:ascii="Arial" w:hAnsi="Arial"/>
          <w:b/>
          <w:i w:val="0"/>
          <w:sz w:val="21"/>
        </w:rPr>
        <w:t xml:space="preserve">Communities - education &amp; affordable housing. </w:t>
      </w:r>
      <w:r>
        <w:rPr>
          <w:rFonts w:ascii="Arial" w:hAnsi="Arial"/>
          <w:b w:val="0"/>
          <w:i w:val="0"/>
          <w:sz w:val="21"/>
        </w:rPr>
        <w:t>R0.9bn invested in education (2024: R1.2bn - DOWN) and R2.6bn in low-income / affordable housing (2024: R1.3bn - UP, doubled) (S1, p.1).</w:t>
      </w:r>
    </w:p>
    <w:p>
      <w:pPr>
        <w:pStyle w:val="ListBullet"/>
        <w:spacing w:after="80"/>
      </w:pPr>
      <w:r>
        <w:rPr>
          <w:rFonts w:ascii="Arial" w:hAnsi="Arial"/>
          <w:b/>
          <w:i w:val="0"/>
          <w:sz w:val="21"/>
        </w:rPr>
        <w:t xml:space="preserve">Employees. </w:t>
      </w:r>
      <w:r>
        <w:rPr>
          <w:rFonts w:ascii="Arial" w:hAnsi="Arial"/>
          <w:b w:val="0"/>
          <w:i w:val="0"/>
          <w:sz w:val="21"/>
        </w:rPr>
        <w:t>27,832 employees (2024: 27,777) - broadly stable despite a R440m restructuring; ex-restructuring costs fell 15%, so the workforce was largely protected through the reset (S1, p.1, p.33).</w:t>
      </w:r>
    </w:p>
    <w:p>
      <w:pPr>
        <w:spacing w:after="160" w:before="0"/>
      </w:pPr>
      <w:r>
        <w:rPr>
          <w:rFonts w:ascii="Arial" w:hAnsi="Arial"/>
          <w:b/>
          <w:i w:val="0"/>
          <w:sz w:val="21"/>
        </w:rPr>
        <w:t xml:space="preserve">AllWeather view: </w:t>
      </w:r>
      <w:r>
        <w:rPr>
          <w:rFonts w:ascii="Arial" w:hAnsi="Arial"/>
          <w:b w:val="0"/>
          <w:i w:val="0"/>
          <w:sz w:val="21"/>
        </w:rPr>
        <w:t>On disclosed evidence OMU screens well on transformation (Level-1 B-BBEE, diverse senior management), impact investing (R221bn Green Economy, +23%) and financial-inclusion intent (OM Bank). The notable thin spot is the ABSENCE of emissions/climate targets in this results booklet (they live in a separate report not on disk), and a step-down in education spend. These are non-financial observations and do not alter the HOLD/GAIN/LOSE financial verdict.</w:t>
      </w:r>
    </w:p>
    <w:p>
      <w:pPr>
        <w:pStyle w:val="Heading1"/>
      </w:pPr>
      <w:r>
        <w:t>9.  Management commentary - outlook &amp; strategy</w:t>
      </w:r>
    </w:p>
    <w:p>
      <w:pPr>
        <w:pStyle w:val="ListBullet"/>
        <w:spacing w:after="80"/>
      </w:pPr>
      <w:r>
        <w:rPr>
          <w:rFonts w:ascii="Arial" w:hAnsi="Arial"/>
          <w:b/>
          <w:i w:val="0"/>
          <w:sz w:val="21"/>
        </w:rPr>
        <w:t xml:space="preserve">Outlook (verbatim). </w:t>
      </w:r>
      <w:r>
        <w:rPr>
          <w:rFonts w:ascii="Arial" w:hAnsi="Arial"/>
          <w:b w:val="0"/>
          <w:i w:val="0"/>
          <w:sz w:val="21"/>
        </w:rPr>
        <w:t>"the South African outlook has become more constructive... We remain committed to restoring our value of new business margin by focusing on enhancing business mix, retention and collections, supported by cost savings... We will focus on disciplined execution of our reset strategic priorities" (S1, p.45).</w:t>
      </w:r>
    </w:p>
    <w:p>
      <w:pPr>
        <w:pStyle w:val="ListBullet"/>
        <w:spacing w:after="80"/>
      </w:pPr>
      <w:r>
        <w:rPr>
          <w:rFonts w:ascii="Arial" w:hAnsi="Arial"/>
          <w:b/>
          <w:i w:val="0"/>
          <w:sz w:val="21"/>
        </w:rPr>
        <w:t xml:space="preserve">Capital allocation. </w:t>
      </w:r>
      <w:r>
        <w:rPr>
          <w:rFonts w:ascii="Arial" w:hAnsi="Arial"/>
          <w:b w:val="0"/>
          <w:i w:val="0"/>
          <w:sz w:val="21"/>
        </w:rPr>
        <w:t>Progressive dividend guided by underlying cash generation (DPS +8%, 6-9% target); R3bn buyback (R1.3bn done) continuing 'while it remains value accretive'; R6.1bn discretionary capital (incl. R2.3bn ring-fenced for the buyback); R2bn committed to OM Bank over 2026-27 (S1, p.4, p.32, p.36).</w:t>
      </w:r>
    </w:p>
    <w:p>
      <w:pPr>
        <w:pStyle w:val="ListBullet"/>
        <w:spacing w:after="80"/>
      </w:pPr>
      <w:r>
        <w:rPr>
          <w:rFonts w:ascii="Arial" w:hAnsi="Arial"/>
          <w:b/>
          <w:i w:val="0"/>
          <w:sz w:val="21"/>
        </w:rPr>
        <w:t xml:space="preserve">Strategic initiatives. </w:t>
      </w:r>
      <w:r>
        <w:rPr>
          <w:rFonts w:ascii="Arial" w:hAnsi="Arial"/>
          <w:b w:val="0"/>
          <w:i w:val="0"/>
          <w:sz w:val="21"/>
        </w:rPr>
        <w:t>Two-phase framework (Unlock Value -&gt; Generate Growth); four priorities - SA competitiveness, Southern Africa leadership, OM Bank 'right to win', selective growth-market pivots; devolved cluster operating model; R2.5bn cost programme (S1, p.6, p.32).</w:t>
      </w:r>
    </w:p>
    <w:p>
      <w:pPr>
        <w:pStyle w:val="ListBullet"/>
        <w:spacing w:after="80"/>
      </w:pPr>
      <w:r>
        <w:rPr>
          <w:rFonts w:ascii="Arial" w:hAnsi="Arial"/>
          <w:b/>
          <w:i w:val="0"/>
          <w:sz w:val="21"/>
        </w:rPr>
        <w:t xml:space="preserve">Guidance for 2026. </w:t>
      </w:r>
      <w:r>
        <w:rPr>
          <w:rFonts w:ascii="Arial" w:hAnsi="Arial"/>
          <w:b w:val="0"/>
          <w:i w:val="0"/>
          <w:sz w:val="21"/>
        </w:rPr>
        <w:t>From 2026, value-creation metrics will be reported against the medium-term targets (RoNAV 15-17%, RoGEV 14-16%, VNB margin 2-3%, OM Insure underwriting 5-8%, DPS growth 6-9%); OM Bank breakeven targeted FY2028 (S1, p.7, p.45).</w:t>
      </w:r>
    </w:p>
    <w:p>
      <w:pPr>
        <w:pStyle w:val="Heading1"/>
      </w:pPr>
      <w:r>
        <w:t>10.  Questions for further research / management</w:t>
      </w:r>
    </w:p>
    <w:p>
      <w:pPr>
        <w:pStyle w:val="ListBullet"/>
        <w:spacing w:after="80"/>
      </w:pPr>
      <w:r>
        <w:rPr>
          <w:rFonts w:ascii="Arial" w:hAnsi="Arial"/>
          <w:b w:val="0"/>
          <w:i w:val="0"/>
          <w:sz w:val="21"/>
        </w:rPr>
        <w:t>VNB bridge: how much of the 52% VNB fall is the persistency-basis change vs genuine volume/mix, and what is the credible glide-path back into the 2-3% margin band by when?</w:t>
      </w:r>
    </w:p>
    <w:p>
      <w:pPr>
        <w:pStyle w:val="ListBullet"/>
        <w:spacing w:after="80"/>
      </w:pPr>
      <w:r>
        <w:rPr>
          <w:rFonts w:ascii="Arial" w:hAnsi="Arial"/>
          <w:b w:val="0"/>
          <w:i w:val="0"/>
          <w:sz w:val="21"/>
        </w:rPr>
        <w:t>Malawi dependence: quantify the FY2025 RFO and AHE contribution from Malawi and the hedging / repatriation plan, so 2026 can be modelled ex-Malawi.</w:t>
      </w:r>
    </w:p>
    <w:p>
      <w:pPr>
        <w:pStyle w:val="ListBullet"/>
        <w:spacing w:after="80"/>
      </w:pPr>
      <w:r>
        <w:rPr>
          <w:rFonts w:ascii="Arial" w:hAnsi="Arial"/>
          <w:b w:val="0"/>
          <w:i w:val="0"/>
          <w:sz w:val="21"/>
        </w:rPr>
        <w:t>OM Bank: capital and loss trajectory to FY2028 breakeven, and sensitivity of the R2bn 2026-27 investment to a weak-consumer (bear) scenario.</w:t>
      </w:r>
    </w:p>
    <w:p>
      <w:pPr>
        <w:pStyle w:val="ListBullet"/>
        <w:spacing w:after="80"/>
      </w:pPr>
      <w:r>
        <w:rPr>
          <w:rFonts w:ascii="Arial" w:hAnsi="Arial"/>
          <w:b w:val="0"/>
          <w:i w:val="0"/>
          <w:sz w:val="21"/>
        </w:rPr>
        <w:t>Solvency: drivers of the 2,000bps shareholder-solvency drop and the market-shock sensitivity of the 162% ratio toward the 155% floor.</w:t>
      </w:r>
    </w:p>
    <w:p>
      <w:pPr>
        <w:pStyle w:val="ListBullet"/>
        <w:spacing w:after="80"/>
      </w:pPr>
      <w:r>
        <w:rPr>
          <w:rFonts w:ascii="Arial" w:hAnsi="Arial"/>
          <w:b w:val="0"/>
          <w:i w:val="0"/>
          <w:sz w:val="21"/>
        </w:rPr>
        <w:t>Buyback: the explicit 'value-accretive' threshold (share price / embedded value) at which the remaining ~R1.7bn would be paused.</w:t>
      </w:r>
    </w:p>
    <w:p>
      <w:pPr>
        <w:pStyle w:val="Heading1"/>
      </w:pPr>
      <w:r>
        <w:t>11.  Provenance &amp; verification appendix</w:t>
      </w:r>
    </w:p>
    <w:p>
      <w:pPr>
        <w:spacing w:after="120" w:before="0"/>
      </w:pPr>
      <w:r>
        <w:rPr>
          <w:rFonts w:ascii="Arial" w:hAnsi="Arial"/>
          <w:b w:val="0"/>
          <w:i w:val="0"/>
          <w:sz w:val="21"/>
        </w:rPr>
        <w:t>Master audit trail. Every key figure presented, its value, whether reported or derived (with working), source key, document location, URL and retrieval date. All OMU figures are from the FY2025 Annual Results booklet on disk (text sidecar; original-binary backfill pending).</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400"/>
            <w:shd w:val="clear" w:fill="1F3864"/>
          </w:tcPr>
          <w:p>
            <w:r/>
            <w:r>
              <w:rPr>
                <w:rFonts w:ascii="Arial" w:hAnsi="Arial"/>
                <w:b/>
                <w:i w:val="0"/>
                <w:color w:val="FFFFFF"/>
                <w:sz w:val="18"/>
              </w:rPr>
              <w:t>#</w:t>
            </w:r>
          </w:p>
        </w:tc>
        <w:tc>
          <w:tcPr>
            <w:tcW w:type="dxa" w:w="2100"/>
            <w:shd w:val="clear" w:fill="1F3864"/>
          </w:tcPr>
          <w:p>
            <w:r/>
            <w:r>
              <w:rPr>
                <w:rFonts w:ascii="Arial" w:hAnsi="Arial"/>
                <w:b/>
                <w:i w:val="0"/>
                <w:color w:val="FFFFFF"/>
                <w:sz w:val="18"/>
              </w:rPr>
              <w:t>Figure</w:t>
            </w:r>
          </w:p>
        </w:tc>
        <w:tc>
          <w:tcPr>
            <w:tcW w:type="dxa" w:w="1200"/>
            <w:shd w:val="clear" w:fill="1F3864"/>
          </w:tcPr>
          <w:p>
            <w:r/>
            <w:r>
              <w:rPr>
                <w:rFonts w:ascii="Arial" w:hAnsi="Arial"/>
                <w:b/>
                <w:i w:val="0"/>
                <w:color w:val="FFFFFF"/>
                <w:sz w:val="18"/>
              </w:rPr>
              <w:t>Value</w:t>
            </w:r>
          </w:p>
        </w:tc>
        <w:tc>
          <w:tcPr>
            <w:tcW w:type="dxa" w:w="1900"/>
            <w:shd w:val="clear" w:fill="1F3864"/>
          </w:tcPr>
          <w:p>
            <w:r/>
            <w:r>
              <w:rPr>
                <w:rFonts w:ascii="Arial" w:hAnsi="Arial"/>
                <w:b/>
                <w:i w:val="0"/>
                <w:color w:val="FFFFFF"/>
                <w:sz w:val="18"/>
              </w:rPr>
              <w:t>Reported / Derived</w:t>
            </w:r>
          </w:p>
        </w:tc>
        <w:tc>
          <w:tcPr>
            <w:tcW w:type="dxa" w:w="600"/>
            <w:shd w:val="clear" w:fill="1F3864"/>
          </w:tcPr>
          <w:p>
            <w:r/>
            <w:r>
              <w:rPr>
                <w:rFonts w:ascii="Arial" w:hAnsi="Arial"/>
                <w:b/>
                <w:i w:val="0"/>
                <w:color w:val="FFFFFF"/>
                <w:sz w:val="18"/>
              </w:rPr>
              <w:t>Src</w:t>
            </w:r>
          </w:p>
        </w:tc>
        <w:tc>
          <w:tcPr>
            <w:tcW w:type="dxa" w:w="1900"/>
            <w:shd w:val="clear" w:fill="1F3864"/>
          </w:tcPr>
          <w:p>
            <w:r/>
            <w:r>
              <w:rPr>
                <w:rFonts w:ascii="Arial" w:hAnsi="Arial"/>
                <w:b/>
                <w:i w:val="0"/>
                <w:color w:val="FFFFFF"/>
                <w:sz w:val="18"/>
              </w:rPr>
              <w:t>Doc &amp; page</w:t>
            </w:r>
          </w:p>
        </w:tc>
        <w:tc>
          <w:tcPr>
            <w:tcW w:type="dxa" w:w="1060"/>
            <w:shd w:val="clear" w:fill="1F3864"/>
          </w:tcPr>
          <w:p>
            <w:r/>
            <w:r>
              <w:rPr>
                <w:rFonts w:ascii="Arial" w:hAnsi="Arial"/>
                <w:b/>
                <w:i w:val="0"/>
                <w:color w:val="FFFFFF"/>
                <w:sz w:val="18"/>
              </w:rPr>
              <w:t>Retrieved</w:t>
            </w:r>
          </w:p>
        </w:tc>
      </w:tr>
      <w:tr>
        <w:tc>
          <w:tcPr>
            <w:tcW w:type="dxa" w:w="400"/>
            <w:shd w:val="clear" w:fill="F2F2F2"/>
          </w:tcPr>
          <w:p>
            <w:r/>
            <w:r>
              <w:rPr>
                <w:rFonts w:ascii="Arial" w:hAnsi="Arial"/>
                <w:b/>
                <w:i w:val="0"/>
                <w:sz w:val="18"/>
              </w:rPr>
              <w:t>1</w:t>
            </w:r>
          </w:p>
        </w:tc>
        <w:tc>
          <w:tcPr>
            <w:tcW w:type="dxa" w:w="2100"/>
          </w:tcPr>
          <w:p>
            <w:r/>
            <w:r>
              <w:rPr>
                <w:rFonts w:ascii="Arial" w:hAnsi="Arial"/>
                <w:b w:val="0"/>
                <w:i w:val="0"/>
                <w:sz w:val="18"/>
              </w:rPr>
              <w:t>RFO FY2025</w:t>
            </w:r>
          </w:p>
        </w:tc>
        <w:tc>
          <w:tcPr>
            <w:tcW w:type="dxa" w:w="1200"/>
          </w:tcPr>
          <w:p>
            <w:r/>
            <w:r>
              <w:rPr>
                <w:rFonts w:ascii="Arial" w:hAnsi="Arial"/>
                <w:b w:val="0"/>
                <w:i w:val="0"/>
                <w:sz w:val="18"/>
              </w:rPr>
              <w:t>R9,821m</w:t>
            </w:r>
          </w:p>
        </w:tc>
        <w:tc>
          <w:tcPr>
            <w:tcW w:type="dxa" w:w="1900"/>
          </w:tcPr>
          <w:p>
            <w:r/>
            <w:r>
              <w:rPr>
                <w:rFonts w:ascii="Arial" w:hAnsi="Arial"/>
                <w:b w:val="0"/>
                <w:i w:val="0"/>
                <w:sz w:val="18"/>
              </w:rPr>
              <w:t>Reported (+13%)</w:t>
            </w:r>
          </w:p>
        </w:tc>
        <w:tc>
          <w:tcPr>
            <w:tcW w:type="dxa" w:w="600"/>
          </w:tcPr>
          <w:p>
            <w:r/>
            <w:r>
              <w:rPr>
                <w:rFonts w:ascii="Arial" w:hAnsi="Arial"/>
                <w:b w:val="0"/>
                <w:i w:val="0"/>
                <w:sz w:val="18"/>
              </w:rPr>
              <w:t>S1</w:t>
            </w:r>
          </w:p>
        </w:tc>
        <w:tc>
          <w:tcPr>
            <w:tcW w:type="dxa" w:w="1900"/>
          </w:tcPr>
          <w:p>
            <w:r/>
            <w:r>
              <w:rPr>
                <w:rFonts w:ascii="Arial" w:hAnsi="Arial"/>
                <w:b w:val="0"/>
                <w:i w:val="0"/>
                <w:sz w:val="18"/>
              </w:rPr>
              <w:t>Group KPIs, p.36</w:t>
            </w:r>
          </w:p>
        </w:tc>
        <w:tc>
          <w:tcPr>
            <w:tcW w:type="dxa" w:w="1060"/>
          </w:tcPr>
          <w:p>
            <w:r/>
            <w:r>
              <w:rPr>
                <w:rFonts w:ascii="Arial" w:hAnsi="Arial"/>
                <w:b w:val="0"/>
                <w:i w:val="0"/>
                <w:sz w:val="18"/>
              </w:rPr>
              <w:t>2026-06-18</w:t>
            </w:r>
          </w:p>
        </w:tc>
      </w:tr>
      <w:tr>
        <w:tc>
          <w:tcPr>
            <w:tcW w:type="dxa" w:w="400"/>
            <w:shd w:val="clear" w:fill="F2F2F2"/>
          </w:tcPr>
          <w:p>
            <w:r/>
            <w:r>
              <w:rPr>
                <w:rFonts w:ascii="Arial" w:hAnsi="Arial"/>
                <w:b/>
                <w:i w:val="0"/>
                <w:sz w:val="18"/>
              </w:rPr>
              <w:t>2</w:t>
            </w:r>
          </w:p>
        </w:tc>
        <w:tc>
          <w:tcPr>
            <w:tcW w:type="dxa" w:w="2100"/>
            <w:shd w:val="clear" w:fill="FAFAFA"/>
          </w:tcPr>
          <w:p>
            <w:r/>
            <w:r>
              <w:rPr>
                <w:rFonts w:ascii="Arial" w:hAnsi="Arial"/>
                <w:b w:val="0"/>
                <w:i w:val="0"/>
                <w:sz w:val="18"/>
              </w:rPr>
              <w:t>AHE FY2025</w:t>
            </w:r>
          </w:p>
        </w:tc>
        <w:tc>
          <w:tcPr>
            <w:tcW w:type="dxa" w:w="1200"/>
            <w:shd w:val="clear" w:fill="FAFAFA"/>
          </w:tcPr>
          <w:p>
            <w:r/>
            <w:r>
              <w:rPr>
                <w:rFonts w:ascii="Arial" w:hAnsi="Arial"/>
                <w:b w:val="0"/>
                <w:i w:val="0"/>
                <w:sz w:val="18"/>
              </w:rPr>
              <w:t>R8,263m</w:t>
            </w:r>
          </w:p>
        </w:tc>
        <w:tc>
          <w:tcPr>
            <w:tcW w:type="dxa" w:w="1900"/>
            <w:shd w:val="clear" w:fill="FAFAFA"/>
          </w:tcPr>
          <w:p>
            <w:r/>
            <w:r>
              <w:rPr>
                <w:rFonts w:ascii="Arial" w:hAnsi="Arial"/>
                <w:b w:val="0"/>
                <w:i w:val="0"/>
                <w:sz w:val="18"/>
              </w:rPr>
              <w:t>Reported (+24%)</w:t>
            </w:r>
          </w:p>
        </w:tc>
        <w:tc>
          <w:tcPr>
            <w:tcW w:type="dxa" w:w="600"/>
            <w:shd w:val="clear" w:fill="FAFAFA"/>
          </w:tcPr>
          <w:p>
            <w:r/>
            <w:r>
              <w:rPr>
                <w:rFonts w:ascii="Arial" w:hAnsi="Arial"/>
                <w:b w:val="0"/>
                <w:i w:val="0"/>
                <w:sz w:val="18"/>
              </w:rPr>
              <w:t>S1</w:t>
            </w:r>
          </w:p>
        </w:tc>
        <w:tc>
          <w:tcPr>
            <w:tcW w:type="dxa" w:w="1900"/>
            <w:shd w:val="clear" w:fill="FAFAFA"/>
          </w:tcPr>
          <w:p>
            <w:r/>
            <w:r>
              <w:rPr>
                <w:rFonts w:ascii="Arial" w:hAnsi="Arial"/>
                <w:b w:val="0"/>
                <w:i w:val="0"/>
                <w:sz w:val="18"/>
              </w:rPr>
              <w:t>Group KPIs, p.36</w:t>
            </w:r>
          </w:p>
        </w:tc>
        <w:tc>
          <w:tcPr>
            <w:tcW w:type="dxa" w:w="1060"/>
            <w:shd w:val="clear" w:fill="FAFAFA"/>
          </w:tcPr>
          <w:p>
            <w:r/>
            <w:r>
              <w:rPr>
                <w:rFonts w:ascii="Arial" w:hAnsi="Arial"/>
                <w:b w:val="0"/>
                <w:i w:val="0"/>
                <w:sz w:val="18"/>
              </w:rPr>
              <w:t>2026-06-18</w:t>
            </w:r>
          </w:p>
        </w:tc>
      </w:tr>
      <w:tr>
        <w:tc>
          <w:tcPr>
            <w:tcW w:type="dxa" w:w="400"/>
            <w:shd w:val="clear" w:fill="F2F2F2"/>
          </w:tcPr>
          <w:p>
            <w:r/>
            <w:r>
              <w:rPr>
                <w:rFonts w:ascii="Arial" w:hAnsi="Arial"/>
                <w:b/>
                <w:i w:val="0"/>
                <w:sz w:val="18"/>
              </w:rPr>
              <w:t>3</w:t>
            </w:r>
          </w:p>
        </w:tc>
        <w:tc>
          <w:tcPr>
            <w:tcW w:type="dxa" w:w="2100"/>
          </w:tcPr>
          <w:p>
            <w:r/>
            <w:r>
              <w:rPr>
                <w:rFonts w:ascii="Arial" w:hAnsi="Arial"/>
                <w:b w:val="0"/>
                <w:i w:val="0"/>
                <w:sz w:val="18"/>
              </w:rPr>
              <w:t>AHE/share FY2025</w:t>
            </w:r>
          </w:p>
        </w:tc>
        <w:tc>
          <w:tcPr>
            <w:tcW w:type="dxa" w:w="1200"/>
          </w:tcPr>
          <w:p>
            <w:r/>
            <w:r>
              <w:rPr>
                <w:rFonts w:ascii="Arial" w:hAnsi="Arial"/>
                <w:b w:val="0"/>
                <w:i w:val="0"/>
                <w:sz w:val="18"/>
              </w:rPr>
              <w:t>189.8c</w:t>
            </w:r>
          </w:p>
        </w:tc>
        <w:tc>
          <w:tcPr>
            <w:tcW w:type="dxa" w:w="1900"/>
          </w:tcPr>
          <w:p>
            <w:r/>
            <w:r>
              <w:rPr>
                <w:rFonts w:ascii="Arial" w:hAnsi="Arial"/>
                <w:b w:val="0"/>
                <w:i w:val="0"/>
                <w:sz w:val="18"/>
              </w:rPr>
              <w:t>Reported (+26%)</w:t>
            </w:r>
          </w:p>
        </w:tc>
        <w:tc>
          <w:tcPr>
            <w:tcW w:type="dxa" w:w="600"/>
          </w:tcPr>
          <w:p>
            <w:r/>
            <w:r>
              <w:rPr>
                <w:rFonts w:ascii="Arial" w:hAnsi="Arial"/>
                <w:b w:val="0"/>
                <w:i w:val="0"/>
                <w:sz w:val="18"/>
              </w:rPr>
              <w:t>S1</w:t>
            </w:r>
          </w:p>
        </w:tc>
        <w:tc>
          <w:tcPr>
            <w:tcW w:type="dxa" w:w="1900"/>
          </w:tcPr>
          <w:p>
            <w:r/>
            <w:r>
              <w:rPr>
                <w:rFonts w:ascii="Arial" w:hAnsi="Arial"/>
                <w:b w:val="0"/>
                <w:i w:val="0"/>
                <w:sz w:val="18"/>
              </w:rPr>
              <w:t>Per-share, p.36</w:t>
            </w:r>
          </w:p>
        </w:tc>
        <w:tc>
          <w:tcPr>
            <w:tcW w:type="dxa" w:w="1060"/>
          </w:tcPr>
          <w:p>
            <w:r/>
            <w:r>
              <w:rPr>
                <w:rFonts w:ascii="Arial" w:hAnsi="Arial"/>
                <w:b w:val="0"/>
                <w:i w:val="0"/>
                <w:sz w:val="18"/>
              </w:rPr>
              <w:t>2026-06-18</w:t>
            </w:r>
          </w:p>
        </w:tc>
      </w:tr>
      <w:tr>
        <w:tc>
          <w:tcPr>
            <w:tcW w:type="dxa" w:w="400"/>
            <w:shd w:val="clear" w:fill="F2F2F2"/>
          </w:tcPr>
          <w:p>
            <w:r/>
            <w:r>
              <w:rPr>
                <w:rFonts w:ascii="Arial" w:hAnsi="Arial"/>
                <w:b/>
                <w:i w:val="0"/>
                <w:sz w:val="18"/>
              </w:rPr>
              <w:t>4</w:t>
            </w:r>
          </w:p>
        </w:tc>
        <w:tc>
          <w:tcPr>
            <w:tcW w:type="dxa" w:w="2100"/>
            <w:shd w:val="clear" w:fill="FAFAFA"/>
          </w:tcPr>
          <w:p>
            <w:r/>
            <w:r>
              <w:rPr>
                <w:rFonts w:ascii="Arial" w:hAnsi="Arial"/>
                <w:b w:val="0"/>
                <w:i w:val="0"/>
                <w:sz w:val="18"/>
              </w:rPr>
              <w:t>RFO ex-Malawi growth</w:t>
            </w:r>
          </w:p>
        </w:tc>
        <w:tc>
          <w:tcPr>
            <w:tcW w:type="dxa" w:w="1200"/>
            <w:shd w:val="clear" w:fill="FAFAFA"/>
          </w:tcPr>
          <w:p>
            <w:r/>
            <w:r>
              <w:rPr>
                <w:rFonts w:ascii="Arial" w:hAnsi="Arial"/>
                <w:b w:val="0"/>
                <w:i w:val="0"/>
                <w:sz w:val="18"/>
              </w:rPr>
              <w:t>7-9%</w:t>
            </w:r>
          </w:p>
        </w:tc>
        <w:tc>
          <w:tcPr>
            <w:tcW w:type="dxa" w:w="1900"/>
            <w:shd w:val="clear" w:fill="FAFAFA"/>
          </w:tcPr>
          <w:p>
            <w:r/>
            <w:r>
              <w:rPr>
                <w:rFonts w:ascii="Arial" w:hAnsi="Arial"/>
                <w:b w:val="0"/>
                <w:i w:val="0"/>
                <w:sz w:val="18"/>
              </w:rPr>
              <w:t>Reported sensitivity</w:t>
            </w:r>
          </w:p>
        </w:tc>
        <w:tc>
          <w:tcPr>
            <w:tcW w:type="dxa" w:w="600"/>
            <w:shd w:val="clear" w:fill="FAFAFA"/>
          </w:tcPr>
          <w:p>
            <w:r/>
            <w:r>
              <w:rPr>
                <w:rFonts w:ascii="Arial" w:hAnsi="Arial"/>
                <w:b w:val="0"/>
                <w:i w:val="0"/>
                <w:sz w:val="18"/>
              </w:rPr>
              <w:t>S1</w:t>
            </w:r>
          </w:p>
        </w:tc>
        <w:tc>
          <w:tcPr>
            <w:tcW w:type="dxa" w:w="1900"/>
            <w:shd w:val="clear" w:fill="FAFAFA"/>
          </w:tcPr>
          <w:p>
            <w:r/>
            <w:r>
              <w:rPr>
                <w:rFonts w:ascii="Arial" w:hAnsi="Arial"/>
                <w:b w:val="0"/>
                <w:i w:val="0"/>
                <w:sz w:val="18"/>
              </w:rPr>
              <w:t>Overview, p.33</w:t>
            </w:r>
          </w:p>
        </w:tc>
        <w:tc>
          <w:tcPr>
            <w:tcW w:type="dxa" w:w="1060"/>
            <w:shd w:val="clear" w:fill="FAFAFA"/>
          </w:tcPr>
          <w:p>
            <w:r/>
            <w:r>
              <w:rPr>
                <w:rFonts w:ascii="Arial" w:hAnsi="Arial"/>
                <w:b w:val="0"/>
                <w:i w:val="0"/>
                <w:sz w:val="18"/>
              </w:rPr>
              <w:t>2026-06-18</w:t>
            </w:r>
          </w:p>
        </w:tc>
      </w:tr>
      <w:tr>
        <w:tc>
          <w:tcPr>
            <w:tcW w:type="dxa" w:w="400"/>
            <w:shd w:val="clear" w:fill="F2F2F2"/>
          </w:tcPr>
          <w:p>
            <w:r/>
            <w:r>
              <w:rPr>
                <w:rFonts w:ascii="Arial" w:hAnsi="Arial"/>
                <w:b/>
                <w:i w:val="0"/>
                <w:sz w:val="18"/>
              </w:rPr>
              <w:t>5</w:t>
            </w:r>
          </w:p>
        </w:tc>
        <w:tc>
          <w:tcPr>
            <w:tcW w:type="dxa" w:w="2100"/>
          </w:tcPr>
          <w:p>
            <w:r/>
            <w:r>
              <w:rPr>
                <w:rFonts w:ascii="Arial" w:hAnsi="Arial"/>
                <w:b w:val="0"/>
                <w:i w:val="0"/>
                <w:sz w:val="18"/>
              </w:rPr>
              <w:t>AHE ex-Malawi growth</w:t>
            </w:r>
          </w:p>
        </w:tc>
        <w:tc>
          <w:tcPr>
            <w:tcW w:type="dxa" w:w="1200"/>
          </w:tcPr>
          <w:p>
            <w:r/>
            <w:r>
              <w:rPr>
                <w:rFonts w:ascii="Arial" w:hAnsi="Arial"/>
                <w:b w:val="0"/>
                <w:i w:val="0"/>
                <w:sz w:val="18"/>
              </w:rPr>
              <w:t>11-16%</w:t>
            </w:r>
          </w:p>
        </w:tc>
        <w:tc>
          <w:tcPr>
            <w:tcW w:type="dxa" w:w="1900"/>
          </w:tcPr>
          <w:p>
            <w:r/>
            <w:r>
              <w:rPr>
                <w:rFonts w:ascii="Arial" w:hAnsi="Arial"/>
                <w:b w:val="0"/>
                <w:i w:val="0"/>
                <w:sz w:val="18"/>
              </w:rPr>
              <w:t>Reported sensitivity</w:t>
            </w:r>
          </w:p>
        </w:tc>
        <w:tc>
          <w:tcPr>
            <w:tcW w:type="dxa" w:w="600"/>
          </w:tcPr>
          <w:p>
            <w:r/>
            <w:r>
              <w:rPr>
                <w:rFonts w:ascii="Arial" w:hAnsi="Arial"/>
                <w:b w:val="0"/>
                <w:i w:val="0"/>
                <w:sz w:val="18"/>
              </w:rPr>
              <w:t>S1</w:t>
            </w:r>
          </w:p>
        </w:tc>
        <w:tc>
          <w:tcPr>
            <w:tcW w:type="dxa" w:w="1900"/>
          </w:tcPr>
          <w:p>
            <w:r/>
            <w:r>
              <w:rPr>
                <w:rFonts w:ascii="Arial" w:hAnsi="Arial"/>
                <w:b w:val="0"/>
                <w:i w:val="0"/>
                <w:sz w:val="18"/>
              </w:rPr>
              <w:t>Overview, p.33</w:t>
            </w:r>
          </w:p>
        </w:tc>
        <w:tc>
          <w:tcPr>
            <w:tcW w:type="dxa" w:w="1060"/>
          </w:tcPr>
          <w:p>
            <w:r/>
            <w:r>
              <w:rPr>
                <w:rFonts w:ascii="Arial" w:hAnsi="Arial"/>
                <w:b w:val="0"/>
                <w:i w:val="0"/>
                <w:sz w:val="18"/>
              </w:rPr>
              <w:t>2026-06-18</w:t>
            </w:r>
          </w:p>
        </w:tc>
      </w:tr>
      <w:tr>
        <w:tc>
          <w:tcPr>
            <w:tcW w:type="dxa" w:w="400"/>
            <w:shd w:val="clear" w:fill="F2F2F2"/>
          </w:tcPr>
          <w:p>
            <w:r/>
            <w:r>
              <w:rPr>
                <w:rFonts w:ascii="Arial" w:hAnsi="Arial"/>
                <w:b/>
                <w:i w:val="0"/>
                <w:sz w:val="18"/>
              </w:rPr>
              <w:t>6</w:t>
            </w:r>
          </w:p>
        </w:tc>
        <w:tc>
          <w:tcPr>
            <w:tcW w:type="dxa" w:w="2100"/>
            <w:shd w:val="clear" w:fill="FAFAFA"/>
          </w:tcPr>
          <w:p>
            <w:r/>
            <w:r>
              <w:rPr>
                <w:rFonts w:ascii="Arial" w:hAnsi="Arial"/>
                <w:b w:val="0"/>
                <w:i w:val="0"/>
                <w:sz w:val="18"/>
              </w:rPr>
              <w:t>VNB FY2025</w:t>
            </w:r>
          </w:p>
        </w:tc>
        <w:tc>
          <w:tcPr>
            <w:tcW w:type="dxa" w:w="1200"/>
            <w:shd w:val="clear" w:fill="FAFAFA"/>
          </w:tcPr>
          <w:p>
            <w:r/>
            <w:r>
              <w:rPr>
                <w:rFonts w:ascii="Arial" w:hAnsi="Arial"/>
                <w:b w:val="0"/>
                <w:i w:val="0"/>
                <w:sz w:val="18"/>
              </w:rPr>
              <w:t>R850m</w:t>
            </w:r>
          </w:p>
        </w:tc>
        <w:tc>
          <w:tcPr>
            <w:tcW w:type="dxa" w:w="1900"/>
            <w:shd w:val="clear" w:fill="FAFAFA"/>
          </w:tcPr>
          <w:p>
            <w:r/>
            <w:r>
              <w:rPr>
                <w:rFonts w:ascii="Arial" w:hAnsi="Arial"/>
                <w:b w:val="0"/>
                <w:i w:val="0"/>
                <w:sz w:val="18"/>
              </w:rPr>
              <w:t>Reported (-52%)</w:t>
            </w:r>
          </w:p>
        </w:tc>
        <w:tc>
          <w:tcPr>
            <w:tcW w:type="dxa" w:w="600"/>
            <w:shd w:val="clear" w:fill="FAFAFA"/>
          </w:tcPr>
          <w:p>
            <w:r/>
            <w:r>
              <w:rPr>
                <w:rFonts w:ascii="Arial" w:hAnsi="Arial"/>
                <w:b w:val="0"/>
                <w:i w:val="0"/>
                <w:sz w:val="18"/>
              </w:rPr>
              <w:t>S1</w:t>
            </w:r>
          </w:p>
        </w:tc>
        <w:tc>
          <w:tcPr>
            <w:tcW w:type="dxa" w:w="1900"/>
            <w:shd w:val="clear" w:fill="FAFAFA"/>
          </w:tcPr>
          <w:p>
            <w:r/>
            <w:r>
              <w:rPr>
                <w:rFonts w:ascii="Arial" w:hAnsi="Arial"/>
                <w:b w:val="0"/>
                <w:i w:val="0"/>
                <w:sz w:val="18"/>
              </w:rPr>
              <w:t>LoB KPIs, p.37</w:t>
            </w:r>
          </w:p>
        </w:tc>
        <w:tc>
          <w:tcPr>
            <w:tcW w:type="dxa" w:w="1060"/>
            <w:shd w:val="clear" w:fill="FAFAFA"/>
          </w:tcPr>
          <w:p>
            <w:r/>
            <w:r>
              <w:rPr>
                <w:rFonts w:ascii="Arial" w:hAnsi="Arial"/>
                <w:b w:val="0"/>
                <w:i w:val="0"/>
                <w:sz w:val="18"/>
              </w:rPr>
              <w:t>2026-06-18</w:t>
            </w:r>
          </w:p>
        </w:tc>
      </w:tr>
      <w:tr>
        <w:tc>
          <w:tcPr>
            <w:tcW w:type="dxa" w:w="400"/>
            <w:shd w:val="clear" w:fill="F2F2F2"/>
          </w:tcPr>
          <w:p>
            <w:r/>
            <w:r>
              <w:rPr>
                <w:rFonts w:ascii="Arial" w:hAnsi="Arial"/>
                <w:b/>
                <w:i w:val="0"/>
                <w:sz w:val="18"/>
              </w:rPr>
              <w:t>7</w:t>
            </w:r>
          </w:p>
        </w:tc>
        <w:tc>
          <w:tcPr>
            <w:tcW w:type="dxa" w:w="2100"/>
          </w:tcPr>
          <w:p>
            <w:r/>
            <w:r>
              <w:rPr>
                <w:rFonts w:ascii="Arial" w:hAnsi="Arial"/>
                <w:b w:val="0"/>
                <w:i w:val="0"/>
                <w:sz w:val="18"/>
              </w:rPr>
              <w:t>VNB margin FY2025</w:t>
            </w:r>
          </w:p>
        </w:tc>
        <w:tc>
          <w:tcPr>
            <w:tcW w:type="dxa" w:w="1200"/>
          </w:tcPr>
          <w:p>
            <w:r/>
            <w:r>
              <w:rPr>
                <w:rFonts w:ascii="Arial" w:hAnsi="Arial"/>
                <w:b w:val="0"/>
                <w:i w:val="0"/>
                <w:sz w:val="18"/>
              </w:rPr>
              <w:t>1.2%</w:t>
            </w:r>
          </w:p>
        </w:tc>
        <w:tc>
          <w:tcPr>
            <w:tcW w:type="dxa" w:w="1900"/>
          </w:tcPr>
          <w:p>
            <w:r/>
            <w:r>
              <w:rPr>
                <w:rFonts w:ascii="Arial" w:hAnsi="Arial"/>
                <w:b w:val="0"/>
                <w:i w:val="0"/>
                <w:sz w:val="18"/>
              </w:rPr>
              <w:t>Reported (-130bps)</w:t>
            </w:r>
          </w:p>
        </w:tc>
        <w:tc>
          <w:tcPr>
            <w:tcW w:type="dxa" w:w="600"/>
          </w:tcPr>
          <w:p>
            <w:r/>
            <w:r>
              <w:rPr>
                <w:rFonts w:ascii="Arial" w:hAnsi="Arial"/>
                <w:b w:val="0"/>
                <w:i w:val="0"/>
                <w:sz w:val="18"/>
              </w:rPr>
              <w:t>S1</w:t>
            </w:r>
          </w:p>
        </w:tc>
        <w:tc>
          <w:tcPr>
            <w:tcW w:type="dxa" w:w="1900"/>
          </w:tcPr>
          <w:p>
            <w:r/>
            <w:r>
              <w:rPr>
                <w:rFonts w:ascii="Arial" w:hAnsi="Arial"/>
                <w:b w:val="0"/>
                <w:i w:val="0"/>
                <w:sz w:val="18"/>
              </w:rPr>
              <w:t>LoB KPIs, p.37</w:t>
            </w:r>
          </w:p>
        </w:tc>
        <w:tc>
          <w:tcPr>
            <w:tcW w:type="dxa" w:w="1060"/>
          </w:tcPr>
          <w:p>
            <w:r/>
            <w:r>
              <w:rPr>
                <w:rFonts w:ascii="Arial" w:hAnsi="Arial"/>
                <w:b w:val="0"/>
                <w:i w:val="0"/>
                <w:sz w:val="18"/>
              </w:rPr>
              <w:t>2026-06-18</w:t>
            </w:r>
          </w:p>
        </w:tc>
      </w:tr>
      <w:tr>
        <w:tc>
          <w:tcPr>
            <w:tcW w:type="dxa" w:w="400"/>
            <w:shd w:val="clear" w:fill="F2F2F2"/>
          </w:tcPr>
          <w:p>
            <w:r/>
            <w:r>
              <w:rPr>
                <w:rFonts w:ascii="Arial" w:hAnsi="Arial"/>
                <w:b/>
                <w:i w:val="0"/>
                <w:sz w:val="18"/>
              </w:rPr>
              <w:t>8</w:t>
            </w:r>
          </w:p>
        </w:tc>
        <w:tc>
          <w:tcPr>
            <w:tcW w:type="dxa" w:w="2100"/>
            <w:shd w:val="clear" w:fill="FAFAFA"/>
          </w:tcPr>
          <w:p>
            <w:r/>
            <w:r>
              <w:rPr>
                <w:rFonts w:ascii="Arial" w:hAnsi="Arial"/>
                <w:b w:val="0"/>
                <w:i w:val="0"/>
                <w:sz w:val="18"/>
              </w:rPr>
              <w:t>RoNAV FY2025</w:t>
            </w:r>
          </w:p>
        </w:tc>
        <w:tc>
          <w:tcPr>
            <w:tcW w:type="dxa" w:w="1200"/>
            <w:shd w:val="clear" w:fill="FAFAFA"/>
          </w:tcPr>
          <w:p>
            <w:r/>
            <w:r>
              <w:rPr>
                <w:rFonts w:ascii="Arial" w:hAnsi="Arial"/>
                <w:b w:val="0"/>
                <w:i w:val="0"/>
                <w:sz w:val="18"/>
              </w:rPr>
              <w:t>15.2%</w:t>
            </w:r>
          </w:p>
        </w:tc>
        <w:tc>
          <w:tcPr>
            <w:tcW w:type="dxa" w:w="1900"/>
            <w:shd w:val="clear" w:fill="FAFAFA"/>
          </w:tcPr>
          <w:p>
            <w:r/>
            <w:r>
              <w:rPr>
                <w:rFonts w:ascii="Arial" w:hAnsi="Arial"/>
                <w:b w:val="0"/>
                <w:i w:val="0"/>
                <w:sz w:val="18"/>
              </w:rPr>
              <w:t>Reported (+250bps)</w:t>
            </w:r>
          </w:p>
        </w:tc>
        <w:tc>
          <w:tcPr>
            <w:tcW w:type="dxa" w:w="600"/>
            <w:shd w:val="clear" w:fill="FAFAFA"/>
          </w:tcPr>
          <w:p>
            <w:r/>
            <w:r>
              <w:rPr>
                <w:rFonts w:ascii="Arial" w:hAnsi="Arial"/>
                <w:b w:val="0"/>
                <w:i w:val="0"/>
                <w:sz w:val="18"/>
              </w:rPr>
              <w:t>S1</w:t>
            </w:r>
          </w:p>
        </w:tc>
        <w:tc>
          <w:tcPr>
            <w:tcW w:type="dxa" w:w="1900"/>
            <w:shd w:val="clear" w:fill="FAFAFA"/>
          </w:tcPr>
          <w:p>
            <w:r/>
            <w:r>
              <w:rPr>
                <w:rFonts w:ascii="Arial" w:hAnsi="Arial"/>
                <w:b w:val="0"/>
                <w:i w:val="0"/>
                <w:sz w:val="18"/>
              </w:rPr>
              <w:t>Group KPIs, p.36</w:t>
            </w:r>
          </w:p>
        </w:tc>
        <w:tc>
          <w:tcPr>
            <w:tcW w:type="dxa" w:w="1060"/>
            <w:shd w:val="clear" w:fill="FAFAFA"/>
          </w:tcPr>
          <w:p>
            <w:r/>
            <w:r>
              <w:rPr>
                <w:rFonts w:ascii="Arial" w:hAnsi="Arial"/>
                <w:b w:val="0"/>
                <w:i w:val="0"/>
                <w:sz w:val="18"/>
              </w:rPr>
              <w:t>2026-06-18</w:t>
            </w:r>
          </w:p>
        </w:tc>
      </w:tr>
      <w:tr>
        <w:tc>
          <w:tcPr>
            <w:tcW w:type="dxa" w:w="400"/>
            <w:shd w:val="clear" w:fill="F2F2F2"/>
          </w:tcPr>
          <w:p>
            <w:r/>
            <w:r>
              <w:rPr>
                <w:rFonts w:ascii="Arial" w:hAnsi="Arial"/>
                <w:b/>
                <w:i w:val="0"/>
                <w:sz w:val="18"/>
              </w:rPr>
              <w:t>9</w:t>
            </w:r>
          </w:p>
        </w:tc>
        <w:tc>
          <w:tcPr>
            <w:tcW w:type="dxa" w:w="2100"/>
          </w:tcPr>
          <w:p>
            <w:r/>
            <w:r>
              <w:rPr>
                <w:rFonts w:ascii="Arial" w:hAnsi="Arial"/>
                <w:b w:val="0"/>
                <w:i w:val="0"/>
                <w:sz w:val="18"/>
              </w:rPr>
              <w:t>RoNAV ex-Malawi</w:t>
            </w:r>
          </w:p>
        </w:tc>
        <w:tc>
          <w:tcPr>
            <w:tcW w:type="dxa" w:w="1200"/>
          </w:tcPr>
          <w:p>
            <w:r/>
            <w:r>
              <w:rPr>
                <w:rFonts w:ascii="Arial" w:hAnsi="Arial"/>
                <w:b w:val="0"/>
                <w:i w:val="0"/>
                <w:sz w:val="18"/>
              </w:rPr>
              <w:t>14.0-14.5%</w:t>
            </w:r>
          </w:p>
        </w:tc>
        <w:tc>
          <w:tcPr>
            <w:tcW w:type="dxa" w:w="1900"/>
          </w:tcPr>
          <w:p>
            <w:r/>
            <w:r>
              <w:rPr>
                <w:rFonts w:ascii="Arial" w:hAnsi="Arial"/>
                <w:b w:val="0"/>
                <w:i w:val="0"/>
                <w:sz w:val="18"/>
              </w:rPr>
              <w:t>Reported sensitivity</w:t>
            </w:r>
          </w:p>
        </w:tc>
        <w:tc>
          <w:tcPr>
            <w:tcW w:type="dxa" w:w="600"/>
          </w:tcPr>
          <w:p>
            <w:r/>
            <w:r>
              <w:rPr>
                <w:rFonts w:ascii="Arial" w:hAnsi="Arial"/>
                <w:b w:val="0"/>
                <w:i w:val="0"/>
                <w:sz w:val="18"/>
              </w:rPr>
              <w:t>S1</w:t>
            </w:r>
          </w:p>
        </w:tc>
        <w:tc>
          <w:tcPr>
            <w:tcW w:type="dxa" w:w="1900"/>
          </w:tcPr>
          <w:p>
            <w:r/>
            <w:r>
              <w:rPr>
                <w:rFonts w:ascii="Arial" w:hAnsi="Arial"/>
                <w:b w:val="0"/>
                <w:i w:val="0"/>
                <w:sz w:val="18"/>
              </w:rPr>
              <w:t>Overview, p.33</w:t>
            </w:r>
          </w:p>
        </w:tc>
        <w:tc>
          <w:tcPr>
            <w:tcW w:type="dxa" w:w="1060"/>
          </w:tcPr>
          <w:p>
            <w:r/>
            <w:r>
              <w:rPr>
                <w:rFonts w:ascii="Arial" w:hAnsi="Arial"/>
                <w:b w:val="0"/>
                <w:i w:val="0"/>
                <w:sz w:val="18"/>
              </w:rPr>
              <w:t>2026-06-18</w:t>
            </w:r>
          </w:p>
        </w:tc>
      </w:tr>
      <w:tr>
        <w:tc>
          <w:tcPr>
            <w:tcW w:type="dxa" w:w="400"/>
            <w:shd w:val="clear" w:fill="F2F2F2"/>
          </w:tcPr>
          <w:p>
            <w:r/>
            <w:r>
              <w:rPr>
                <w:rFonts w:ascii="Arial" w:hAnsi="Arial"/>
                <w:b/>
                <w:i w:val="0"/>
                <w:sz w:val="18"/>
              </w:rPr>
              <w:t>10</w:t>
            </w:r>
          </w:p>
        </w:tc>
        <w:tc>
          <w:tcPr>
            <w:tcW w:type="dxa" w:w="2100"/>
            <w:shd w:val="clear" w:fill="FAFAFA"/>
          </w:tcPr>
          <w:p>
            <w:r/>
            <w:r>
              <w:rPr>
                <w:rFonts w:ascii="Arial" w:hAnsi="Arial"/>
                <w:b w:val="0"/>
                <w:i w:val="0"/>
                <w:sz w:val="18"/>
              </w:rPr>
              <w:t>RoGEV FY2025</w:t>
            </w:r>
          </w:p>
        </w:tc>
        <w:tc>
          <w:tcPr>
            <w:tcW w:type="dxa" w:w="1200"/>
            <w:shd w:val="clear" w:fill="FAFAFA"/>
          </w:tcPr>
          <w:p>
            <w:r/>
            <w:r>
              <w:rPr>
                <w:rFonts w:ascii="Arial" w:hAnsi="Arial"/>
                <w:b w:val="0"/>
                <w:i w:val="0"/>
                <w:sz w:val="18"/>
              </w:rPr>
              <w:t>4.1%</w:t>
            </w:r>
          </w:p>
        </w:tc>
        <w:tc>
          <w:tcPr>
            <w:tcW w:type="dxa" w:w="1900"/>
            <w:shd w:val="clear" w:fill="FAFAFA"/>
          </w:tcPr>
          <w:p>
            <w:r/>
            <w:r>
              <w:rPr>
                <w:rFonts w:ascii="Arial" w:hAnsi="Arial"/>
                <w:b w:val="0"/>
                <w:i w:val="0"/>
                <w:sz w:val="18"/>
              </w:rPr>
              <w:t>Reported</w:t>
            </w:r>
          </w:p>
        </w:tc>
        <w:tc>
          <w:tcPr>
            <w:tcW w:type="dxa" w:w="600"/>
            <w:shd w:val="clear" w:fill="FAFAFA"/>
          </w:tcPr>
          <w:p>
            <w:r/>
            <w:r>
              <w:rPr>
                <w:rFonts w:ascii="Arial" w:hAnsi="Arial"/>
                <w:b w:val="0"/>
                <w:i w:val="0"/>
                <w:sz w:val="18"/>
              </w:rPr>
              <w:t>S1</w:t>
            </w:r>
          </w:p>
        </w:tc>
        <w:tc>
          <w:tcPr>
            <w:tcW w:type="dxa" w:w="1900"/>
            <w:shd w:val="clear" w:fill="FAFAFA"/>
          </w:tcPr>
          <w:p>
            <w:r/>
            <w:r>
              <w:rPr>
                <w:rFonts w:ascii="Arial" w:hAnsi="Arial"/>
                <w:b w:val="0"/>
                <w:i w:val="0"/>
                <w:sz w:val="18"/>
              </w:rPr>
              <w:t>Overview, p.33</w:t>
            </w:r>
          </w:p>
        </w:tc>
        <w:tc>
          <w:tcPr>
            <w:tcW w:type="dxa" w:w="1060"/>
            <w:shd w:val="clear" w:fill="FAFAFA"/>
          </w:tcPr>
          <w:p>
            <w:r/>
            <w:r>
              <w:rPr>
                <w:rFonts w:ascii="Arial" w:hAnsi="Arial"/>
                <w:b w:val="0"/>
                <w:i w:val="0"/>
                <w:sz w:val="18"/>
              </w:rPr>
              <w:t>2026-06-18</w:t>
            </w:r>
          </w:p>
        </w:tc>
      </w:tr>
      <w:tr>
        <w:tc>
          <w:tcPr>
            <w:tcW w:type="dxa" w:w="400"/>
            <w:shd w:val="clear" w:fill="F2F2F2"/>
          </w:tcPr>
          <w:p>
            <w:r/>
            <w:r>
              <w:rPr>
                <w:rFonts w:ascii="Arial" w:hAnsi="Arial"/>
                <w:b/>
                <w:i w:val="0"/>
                <w:sz w:val="18"/>
              </w:rPr>
              <w:t>11</w:t>
            </w:r>
          </w:p>
        </w:tc>
        <w:tc>
          <w:tcPr>
            <w:tcW w:type="dxa" w:w="2100"/>
          </w:tcPr>
          <w:p>
            <w:r/>
            <w:r>
              <w:rPr>
                <w:rFonts w:ascii="Arial" w:hAnsi="Arial"/>
                <w:b w:val="0"/>
                <w:i w:val="0"/>
                <w:sz w:val="18"/>
              </w:rPr>
              <w:t>ROEV (covered) FY2025</w:t>
            </w:r>
          </w:p>
        </w:tc>
        <w:tc>
          <w:tcPr>
            <w:tcW w:type="dxa" w:w="1200"/>
          </w:tcPr>
          <w:p>
            <w:r/>
            <w:r>
              <w:rPr>
                <w:rFonts w:ascii="Arial" w:hAnsi="Arial"/>
                <w:b w:val="0"/>
                <w:i w:val="0"/>
                <w:sz w:val="18"/>
              </w:rPr>
              <w:t>7.8%</w:t>
            </w:r>
          </w:p>
        </w:tc>
        <w:tc>
          <w:tcPr>
            <w:tcW w:type="dxa" w:w="1900"/>
          </w:tcPr>
          <w:p>
            <w:r/>
            <w:r>
              <w:rPr>
                <w:rFonts w:ascii="Arial" w:hAnsi="Arial"/>
                <w:b w:val="0"/>
                <w:i w:val="0"/>
                <w:sz w:val="18"/>
              </w:rPr>
              <w:t>Reported</w:t>
            </w:r>
          </w:p>
        </w:tc>
        <w:tc>
          <w:tcPr>
            <w:tcW w:type="dxa" w:w="600"/>
          </w:tcPr>
          <w:p>
            <w:r/>
            <w:r>
              <w:rPr>
                <w:rFonts w:ascii="Arial" w:hAnsi="Arial"/>
                <w:b w:val="0"/>
                <w:i w:val="0"/>
                <w:sz w:val="18"/>
              </w:rPr>
              <w:t>S1</w:t>
            </w:r>
          </w:p>
        </w:tc>
        <w:tc>
          <w:tcPr>
            <w:tcW w:type="dxa" w:w="1900"/>
          </w:tcPr>
          <w:p>
            <w:r/>
            <w:r>
              <w:rPr>
                <w:rFonts w:ascii="Arial" w:hAnsi="Arial"/>
                <w:b w:val="0"/>
                <w:i w:val="0"/>
                <w:sz w:val="18"/>
              </w:rPr>
              <w:t>Overview, p.33</w:t>
            </w:r>
          </w:p>
        </w:tc>
        <w:tc>
          <w:tcPr>
            <w:tcW w:type="dxa" w:w="1060"/>
          </w:tcPr>
          <w:p>
            <w:r/>
            <w:r>
              <w:rPr>
                <w:rFonts w:ascii="Arial" w:hAnsi="Arial"/>
                <w:b w:val="0"/>
                <w:i w:val="0"/>
                <w:sz w:val="18"/>
              </w:rPr>
              <w:t>2026-06-18</w:t>
            </w:r>
          </w:p>
        </w:tc>
      </w:tr>
      <w:tr>
        <w:tc>
          <w:tcPr>
            <w:tcW w:type="dxa" w:w="400"/>
            <w:shd w:val="clear" w:fill="F2F2F2"/>
          </w:tcPr>
          <w:p>
            <w:r/>
            <w:r>
              <w:rPr>
                <w:rFonts w:ascii="Arial" w:hAnsi="Arial"/>
                <w:b/>
                <w:i w:val="0"/>
                <w:sz w:val="18"/>
              </w:rPr>
              <w:t>12</w:t>
            </w:r>
          </w:p>
        </w:tc>
        <w:tc>
          <w:tcPr>
            <w:tcW w:type="dxa" w:w="2100"/>
            <w:shd w:val="clear" w:fill="FAFAFA"/>
          </w:tcPr>
          <w:p>
            <w:r/>
            <w:r>
              <w:rPr>
                <w:rFonts w:ascii="Arial" w:hAnsi="Arial"/>
                <w:b w:val="0"/>
                <w:i w:val="0"/>
                <w:sz w:val="18"/>
              </w:rPr>
              <w:t>Total DPS FY2025</w:t>
            </w:r>
          </w:p>
        </w:tc>
        <w:tc>
          <w:tcPr>
            <w:tcW w:type="dxa" w:w="1200"/>
            <w:shd w:val="clear" w:fill="FAFAFA"/>
          </w:tcPr>
          <w:p>
            <w:r/>
            <w:r>
              <w:rPr>
                <w:rFonts w:ascii="Arial" w:hAnsi="Arial"/>
                <w:b w:val="0"/>
                <w:i w:val="0"/>
                <w:sz w:val="18"/>
              </w:rPr>
              <w:t>93c</w:t>
            </w:r>
          </w:p>
        </w:tc>
        <w:tc>
          <w:tcPr>
            <w:tcW w:type="dxa" w:w="1900"/>
            <w:shd w:val="clear" w:fill="FAFAFA"/>
          </w:tcPr>
          <w:p>
            <w:r/>
            <w:r>
              <w:rPr>
                <w:rFonts w:ascii="Arial" w:hAnsi="Arial"/>
                <w:b w:val="0"/>
                <w:i w:val="0"/>
                <w:sz w:val="18"/>
              </w:rPr>
              <w:t>Reported (+8%)</w:t>
            </w:r>
          </w:p>
        </w:tc>
        <w:tc>
          <w:tcPr>
            <w:tcW w:type="dxa" w:w="600"/>
            <w:shd w:val="clear" w:fill="FAFAFA"/>
          </w:tcPr>
          <w:p>
            <w:r/>
            <w:r>
              <w:rPr>
                <w:rFonts w:ascii="Arial" w:hAnsi="Arial"/>
                <w:b w:val="0"/>
                <w:i w:val="0"/>
                <w:sz w:val="18"/>
              </w:rPr>
              <w:t>S1</w:t>
            </w:r>
          </w:p>
        </w:tc>
        <w:tc>
          <w:tcPr>
            <w:tcW w:type="dxa" w:w="1900"/>
            <w:shd w:val="clear" w:fill="FAFAFA"/>
          </w:tcPr>
          <w:p>
            <w:r/>
            <w:r>
              <w:rPr>
                <w:rFonts w:ascii="Arial" w:hAnsi="Arial"/>
                <w:b w:val="0"/>
                <w:i w:val="0"/>
                <w:sz w:val="18"/>
              </w:rPr>
              <w:t>Per-share, p.36</w:t>
            </w:r>
          </w:p>
        </w:tc>
        <w:tc>
          <w:tcPr>
            <w:tcW w:type="dxa" w:w="1060"/>
            <w:shd w:val="clear" w:fill="FAFAFA"/>
          </w:tcPr>
          <w:p>
            <w:r/>
            <w:r>
              <w:rPr>
                <w:rFonts w:ascii="Arial" w:hAnsi="Arial"/>
                <w:b w:val="0"/>
                <w:i w:val="0"/>
                <w:sz w:val="18"/>
              </w:rPr>
              <w:t>2026-06-18</w:t>
            </w:r>
          </w:p>
        </w:tc>
      </w:tr>
      <w:tr>
        <w:tc>
          <w:tcPr>
            <w:tcW w:type="dxa" w:w="400"/>
            <w:shd w:val="clear" w:fill="F2F2F2"/>
          </w:tcPr>
          <w:p>
            <w:r/>
            <w:r>
              <w:rPr>
                <w:rFonts w:ascii="Arial" w:hAnsi="Arial"/>
                <w:b/>
                <w:i w:val="0"/>
                <w:sz w:val="18"/>
              </w:rPr>
              <w:t>13</w:t>
            </w:r>
          </w:p>
        </w:tc>
        <w:tc>
          <w:tcPr>
            <w:tcW w:type="dxa" w:w="2100"/>
          </w:tcPr>
          <w:p>
            <w:r/>
            <w:r>
              <w:rPr>
                <w:rFonts w:ascii="Arial" w:hAnsi="Arial"/>
                <w:b w:val="0"/>
                <w:i w:val="0"/>
                <w:sz w:val="18"/>
              </w:rPr>
              <w:t>NCCF FY2025</w:t>
            </w:r>
          </w:p>
        </w:tc>
        <w:tc>
          <w:tcPr>
            <w:tcW w:type="dxa" w:w="1200"/>
          </w:tcPr>
          <w:p>
            <w:r/>
            <w:r>
              <w:rPr>
                <w:rFonts w:ascii="Arial" w:hAnsi="Arial"/>
                <w:b w:val="0"/>
                <w:i w:val="0"/>
                <w:sz w:val="18"/>
              </w:rPr>
              <w:t>(R10,398m)</w:t>
            </w:r>
          </w:p>
        </w:tc>
        <w:tc>
          <w:tcPr>
            <w:tcW w:type="dxa" w:w="1900"/>
          </w:tcPr>
          <w:p>
            <w:r/>
            <w:r>
              <w:rPr>
                <w:rFonts w:ascii="Arial" w:hAnsi="Arial"/>
                <w:b w:val="0"/>
                <w:i w:val="0"/>
                <w:sz w:val="18"/>
              </w:rPr>
              <w:t>Reported (+55% narrowed)</w:t>
            </w:r>
          </w:p>
        </w:tc>
        <w:tc>
          <w:tcPr>
            <w:tcW w:type="dxa" w:w="600"/>
          </w:tcPr>
          <w:p>
            <w:r/>
            <w:r>
              <w:rPr>
                <w:rFonts w:ascii="Arial" w:hAnsi="Arial"/>
                <w:b w:val="0"/>
                <w:i w:val="0"/>
                <w:sz w:val="18"/>
              </w:rPr>
              <w:t>S1</w:t>
            </w:r>
          </w:p>
        </w:tc>
        <w:tc>
          <w:tcPr>
            <w:tcW w:type="dxa" w:w="1900"/>
          </w:tcPr>
          <w:p>
            <w:r/>
            <w:r>
              <w:rPr>
                <w:rFonts w:ascii="Arial" w:hAnsi="Arial"/>
                <w:b w:val="0"/>
                <w:i w:val="0"/>
                <w:sz w:val="18"/>
              </w:rPr>
              <w:t>LoB KPIs, p.36</w:t>
            </w:r>
          </w:p>
        </w:tc>
        <w:tc>
          <w:tcPr>
            <w:tcW w:type="dxa" w:w="1060"/>
          </w:tcPr>
          <w:p>
            <w:r/>
            <w:r>
              <w:rPr>
                <w:rFonts w:ascii="Arial" w:hAnsi="Arial"/>
                <w:b w:val="0"/>
                <w:i w:val="0"/>
                <w:sz w:val="18"/>
              </w:rPr>
              <w:t>2026-06-18</w:t>
            </w:r>
          </w:p>
        </w:tc>
      </w:tr>
      <w:tr>
        <w:tc>
          <w:tcPr>
            <w:tcW w:type="dxa" w:w="400"/>
            <w:shd w:val="clear" w:fill="F2F2F2"/>
          </w:tcPr>
          <w:p>
            <w:r/>
            <w:r>
              <w:rPr>
                <w:rFonts w:ascii="Arial" w:hAnsi="Arial"/>
                <w:b/>
                <w:i w:val="0"/>
                <w:sz w:val="18"/>
              </w:rPr>
              <w:t>14</w:t>
            </w:r>
          </w:p>
        </w:tc>
        <w:tc>
          <w:tcPr>
            <w:tcW w:type="dxa" w:w="2100"/>
            <w:shd w:val="clear" w:fill="FAFAFA"/>
          </w:tcPr>
          <w:p>
            <w:r/>
            <w:r>
              <w:rPr>
                <w:rFonts w:ascii="Arial" w:hAnsi="Arial"/>
                <w:b w:val="0"/>
                <w:i w:val="0"/>
                <w:sz w:val="18"/>
              </w:rPr>
              <w:t>Solvency (shareholder)</w:t>
            </w:r>
          </w:p>
        </w:tc>
        <w:tc>
          <w:tcPr>
            <w:tcW w:type="dxa" w:w="1200"/>
            <w:shd w:val="clear" w:fill="FAFAFA"/>
          </w:tcPr>
          <w:p>
            <w:r/>
            <w:r>
              <w:rPr>
                <w:rFonts w:ascii="Arial" w:hAnsi="Arial"/>
                <w:b w:val="0"/>
                <w:i w:val="0"/>
                <w:sz w:val="18"/>
              </w:rPr>
              <w:t>162%</w:t>
            </w:r>
          </w:p>
        </w:tc>
        <w:tc>
          <w:tcPr>
            <w:tcW w:type="dxa" w:w="1900"/>
            <w:shd w:val="clear" w:fill="FAFAFA"/>
          </w:tcPr>
          <w:p>
            <w:r/>
            <w:r>
              <w:rPr>
                <w:rFonts w:ascii="Arial" w:hAnsi="Arial"/>
                <w:b w:val="0"/>
                <w:i w:val="0"/>
                <w:sz w:val="18"/>
              </w:rPr>
              <w:t>Reported (-2,000bps)</w:t>
            </w:r>
          </w:p>
        </w:tc>
        <w:tc>
          <w:tcPr>
            <w:tcW w:type="dxa" w:w="600"/>
            <w:shd w:val="clear" w:fill="FAFAFA"/>
          </w:tcPr>
          <w:p>
            <w:r/>
            <w:r>
              <w:rPr>
                <w:rFonts w:ascii="Arial" w:hAnsi="Arial"/>
                <w:b w:val="0"/>
                <w:i w:val="0"/>
                <w:sz w:val="18"/>
              </w:rPr>
              <w:t>S1</w:t>
            </w:r>
          </w:p>
        </w:tc>
        <w:tc>
          <w:tcPr>
            <w:tcW w:type="dxa" w:w="1900"/>
            <w:shd w:val="clear" w:fill="FAFAFA"/>
          </w:tcPr>
          <w:p>
            <w:r/>
            <w:r>
              <w:rPr>
                <w:rFonts w:ascii="Arial" w:hAnsi="Arial"/>
                <w:b w:val="0"/>
                <w:i w:val="0"/>
                <w:sz w:val="18"/>
              </w:rPr>
              <w:t>Group KPIs, p.36</w:t>
            </w:r>
          </w:p>
        </w:tc>
        <w:tc>
          <w:tcPr>
            <w:tcW w:type="dxa" w:w="1060"/>
            <w:shd w:val="clear" w:fill="FAFAFA"/>
          </w:tcPr>
          <w:p>
            <w:r/>
            <w:r>
              <w:rPr>
                <w:rFonts w:ascii="Arial" w:hAnsi="Arial"/>
                <w:b w:val="0"/>
                <w:i w:val="0"/>
                <w:sz w:val="18"/>
              </w:rPr>
              <w:t>2026-06-18</w:t>
            </w:r>
          </w:p>
        </w:tc>
      </w:tr>
      <w:tr>
        <w:tc>
          <w:tcPr>
            <w:tcW w:type="dxa" w:w="400"/>
            <w:shd w:val="clear" w:fill="F2F2F2"/>
          </w:tcPr>
          <w:p>
            <w:r/>
            <w:r>
              <w:rPr>
                <w:rFonts w:ascii="Arial" w:hAnsi="Arial"/>
                <w:b/>
                <w:i w:val="0"/>
                <w:sz w:val="18"/>
              </w:rPr>
              <w:t>15</w:t>
            </w:r>
          </w:p>
        </w:tc>
        <w:tc>
          <w:tcPr>
            <w:tcW w:type="dxa" w:w="2100"/>
          </w:tcPr>
          <w:p>
            <w:r/>
            <w:r>
              <w:rPr>
                <w:rFonts w:ascii="Arial" w:hAnsi="Arial"/>
                <w:b w:val="0"/>
                <w:i w:val="0"/>
                <w:sz w:val="18"/>
              </w:rPr>
              <w:t>Discretionary capital</w:t>
            </w:r>
          </w:p>
        </w:tc>
        <w:tc>
          <w:tcPr>
            <w:tcW w:type="dxa" w:w="1200"/>
          </w:tcPr>
          <w:p>
            <w:r/>
            <w:r>
              <w:rPr>
                <w:rFonts w:ascii="Arial" w:hAnsi="Arial"/>
                <w:b w:val="0"/>
                <w:i w:val="0"/>
                <w:sz w:val="18"/>
              </w:rPr>
              <w:t>R6.1bn</w:t>
            </w:r>
          </w:p>
        </w:tc>
        <w:tc>
          <w:tcPr>
            <w:tcW w:type="dxa" w:w="1900"/>
          </w:tcPr>
          <w:p>
            <w:r/>
            <w:r>
              <w:rPr>
                <w:rFonts w:ascii="Arial" w:hAnsi="Arial"/>
                <w:b w:val="0"/>
                <w:i w:val="0"/>
                <w:sz w:val="18"/>
              </w:rPr>
              <w:t>Reported (+97%)</w:t>
            </w:r>
          </w:p>
        </w:tc>
        <w:tc>
          <w:tcPr>
            <w:tcW w:type="dxa" w:w="600"/>
          </w:tcPr>
          <w:p>
            <w:r/>
            <w:r>
              <w:rPr>
                <w:rFonts w:ascii="Arial" w:hAnsi="Arial"/>
                <w:b w:val="0"/>
                <w:i w:val="0"/>
                <w:sz w:val="18"/>
              </w:rPr>
              <w:t>S1</w:t>
            </w:r>
          </w:p>
        </w:tc>
        <w:tc>
          <w:tcPr>
            <w:tcW w:type="dxa" w:w="1900"/>
          </w:tcPr>
          <w:p>
            <w:r/>
            <w:r>
              <w:rPr>
                <w:rFonts w:ascii="Arial" w:hAnsi="Arial"/>
                <w:b w:val="0"/>
                <w:i w:val="0"/>
                <w:sz w:val="18"/>
              </w:rPr>
              <w:t>Group KPIs, p.36</w:t>
            </w:r>
          </w:p>
        </w:tc>
        <w:tc>
          <w:tcPr>
            <w:tcW w:type="dxa" w:w="1060"/>
          </w:tcPr>
          <w:p>
            <w:r/>
            <w:r>
              <w:rPr>
                <w:rFonts w:ascii="Arial" w:hAnsi="Arial"/>
                <w:b w:val="0"/>
                <w:i w:val="0"/>
                <w:sz w:val="18"/>
              </w:rPr>
              <w:t>2026-06-18</w:t>
            </w:r>
          </w:p>
        </w:tc>
      </w:tr>
      <w:tr>
        <w:tc>
          <w:tcPr>
            <w:tcW w:type="dxa" w:w="400"/>
            <w:shd w:val="clear" w:fill="F2F2F2"/>
          </w:tcPr>
          <w:p>
            <w:r/>
            <w:r>
              <w:rPr>
                <w:rFonts w:ascii="Arial" w:hAnsi="Arial"/>
                <w:b/>
                <w:i w:val="0"/>
                <w:sz w:val="18"/>
              </w:rPr>
              <w:t>16</w:t>
            </w:r>
          </w:p>
        </w:tc>
        <w:tc>
          <w:tcPr>
            <w:tcW w:type="dxa" w:w="2100"/>
            <w:shd w:val="clear" w:fill="FAFAFA"/>
          </w:tcPr>
          <w:p>
            <w:r/>
            <w:r>
              <w:rPr>
                <w:rFonts w:ascii="Arial" w:hAnsi="Arial"/>
                <w:b w:val="0"/>
                <w:i w:val="0"/>
                <w:sz w:val="18"/>
              </w:rPr>
              <w:t>OM Bank net loss FY2025</w:t>
            </w:r>
          </w:p>
        </w:tc>
        <w:tc>
          <w:tcPr>
            <w:tcW w:type="dxa" w:w="1200"/>
            <w:shd w:val="clear" w:fill="FAFAFA"/>
          </w:tcPr>
          <w:p>
            <w:r/>
            <w:r>
              <w:rPr>
                <w:rFonts w:ascii="Arial" w:hAnsi="Arial"/>
                <w:b w:val="0"/>
                <w:i w:val="0"/>
                <w:sz w:val="18"/>
              </w:rPr>
              <w:t>~ -R701m</w:t>
            </w:r>
          </w:p>
        </w:tc>
        <w:tc>
          <w:tcPr>
            <w:tcW w:type="dxa" w:w="1900"/>
            <w:shd w:val="clear" w:fill="FAFAFA"/>
          </w:tcPr>
          <w:p>
            <w:r/>
            <w:r>
              <w:rPr>
                <w:rFonts w:ascii="Arial" w:hAnsi="Arial"/>
                <w:b w:val="0"/>
                <w:i w:val="0"/>
                <w:sz w:val="18"/>
              </w:rPr>
              <w:t>Derived (read off RFO chart: FY23 -271, FY24 -951, FY25 -701)</w:t>
            </w:r>
          </w:p>
        </w:tc>
        <w:tc>
          <w:tcPr>
            <w:tcW w:type="dxa" w:w="600"/>
            <w:shd w:val="clear" w:fill="FAFAFA"/>
          </w:tcPr>
          <w:p>
            <w:r/>
            <w:r>
              <w:rPr>
                <w:rFonts w:ascii="Arial" w:hAnsi="Arial"/>
                <w:b w:val="0"/>
                <w:i w:val="0"/>
                <w:sz w:val="18"/>
              </w:rPr>
              <w:t>S1</w:t>
            </w:r>
          </w:p>
        </w:tc>
        <w:tc>
          <w:tcPr>
            <w:tcW w:type="dxa" w:w="1900"/>
            <w:shd w:val="clear" w:fill="FAFAFA"/>
          </w:tcPr>
          <w:p>
            <w:r/>
            <w:r>
              <w:rPr>
                <w:rFonts w:ascii="Arial" w:hAnsi="Arial"/>
                <w:b w:val="0"/>
                <w:i w:val="0"/>
                <w:sz w:val="18"/>
              </w:rPr>
              <w:t>OM Banking, p.16</w:t>
            </w:r>
          </w:p>
        </w:tc>
        <w:tc>
          <w:tcPr>
            <w:tcW w:type="dxa" w:w="1060"/>
            <w:shd w:val="clear" w:fill="FAFAFA"/>
          </w:tcPr>
          <w:p>
            <w:r/>
            <w:r>
              <w:rPr>
                <w:rFonts w:ascii="Arial" w:hAnsi="Arial"/>
                <w:b w:val="0"/>
                <w:i w:val="0"/>
                <w:sz w:val="18"/>
              </w:rPr>
              <w:t>2026-06-18</w:t>
            </w:r>
          </w:p>
        </w:tc>
      </w:tr>
      <w:tr>
        <w:tc>
          <w:tcPr>
            <w:tcW w:type="dxa" w:w="400"/>
            <w:shd w:val="clear" w:fill="F2F2F2"/>
          </w:tcPr>
          <w:p>
            <w:r/>
            <w:r>
              <w:rPr>
                <w:rFonts w:ascii="Arial" w:hAnsi="Arial"/>
                <w:b/>
                <w:i w:val="0"/>
                <w:sz w:val="18"/>
              </w:rPr>
              <w:t>17</w:t>
            </w:r>
          </w:p>
        </w:tc>
        <w:tc>
          <w:tcPr>
            <w:tcW w:type="dxa" w:w="2100"/>
          </w:tcPr>
          <w:p>
            <w:r/>
            <w:r>
              <w:rPr>
                <w:rFonts w:ascii="Arial" w:hAnsi="Arial"/>
                <w:b w:val="0"/>
                <w:i w:val="0"/>
                <w:sz w:val="18"/>
              </w:rPr>
              <w:t>Buyback completed</w:t>
            </w:r>
          </w:p>
        </w:tc>
        <w:tc>
          <w:tcPr>
            <w:tcW w:type="dxa" w:w="1200"/>
          </w:tcPr>
          <w:p>
            <w:r/>
            <w:r>
              <w:rPr>
                <w:rFonts w:ascii="Arial" w:hAnsi="Arial"/>
                <w:b w:val="0"/>
                <w:i w:val="0"/>
                <w:sz w:val="18"/>
              </w:rPr>
              <w:t>R1.3bn of R3bn</w:t>
            </w:r>
          </w:p>
        </w:tc>
        <w:tc>
          <w:tcPr>
            <w:tcW w:type="dxa" w:w="1900"/>
          </w:tcPr>
          <w:p>
            <w:r/>
            <w:r>
              <w:rPr>
                <w:rFonts w:ascii="Arial" w:hAnsi="Arial"/>
                <w:b w:val="0"/>
                <w:i w:val="0"/>
                <w:sz w:val="18"/>
              </w:rPr>
              <w:t>Reported</w:t>
            </w:r>
          </w:p>
        </w:tc>
        <w:tc>
          <w:tcPr>
            <w:tcW w:type="dxa" w:w="600"/>
          </w:tcPr>
          <w:p>
            <w:r/>
            <w:r>
              <w:rPr>
                <w:rFonts w:ascii="Arial" w:hAnsi="Arial"/>
                <w:b w:val="0"/>
                <w:i w:val="0"/>
                <w:sz w:val="18"/>
              </w:rPr>
              <w:t>S1</w:t>
            </w:r>
          </w:p>
        </w:tc>
        <w:tc>
          <w:tcPr>
            <w:tcW w:type="dxa" w:w="1900"/>
          </w:tcPr>
          <w:p>
            <w:r/>
            <w:r>
              <w:rPr>
                <w:rFonts w:ascii="Arial" w:hAnsi="Arial"/>
                <w:b w:val="0"/>
                <w:i w:val="0"/>
                <w:sz w:val="18"/>
              </w:rPr>
              <w:t>Overview, p.32</w:t>
            </w:r>
          </w:p>
        </w:tc>
        <w:tc>
          <w:tcPr>
            <w:tcW w:type="dxa" w:w="1060"/>
          </w:tcPr>
          <w:p>
            <w:r/>
            <w:r>
              <w:rPr>
                <w:rFonts w:ascii="Arial" w:hAnsi="Arial"/>
                <w:b w:val="0"/>
                <w:i w:val="0"/>
                <w:sz w:val="18"/>
              </w:rPr>
              <w:t>2026-06-18</w:t>
            </w:r>
          </w:p>
        </w:tc>
      </w:tr>
      <w:tr>
        <w:tc>
          <w:tcPr>
            <w:tcW w:type="dxa" w:w="400"/>
            <w:shd w:val="clear" w:fill="F2F2F2"/>
          </w:tcPr>
          <w:p>
            <w:r/>
            <w:r>
              <w:rPr>
                <w:rFonts w:ascii="Arial" w:hAnsi="Arial"/>
                <w:b/>
                <w:i w:val="0"/>
                <w:sz w:val="18"/>
              </w:rPr>
              <w:t>18</w:t>
            </w:r>
          </w:p>
        </w:tc>
        <w:tc>
          <w:tcPr>
            <w:tcW w:type="dxa" w:w="2100"/>
            <w:shd w:val="clear" w:fill="FAFAFA"/>
          </w:tcPr>
          <w:p>
            <w:r/>
            <w:r>
              <w:rPr>
                <w:rFonts w:ascii="Arial" w:hAnsi="Arial"/>
                <w:b w:val="0"/>
                <w:i w:val="0"/>
                <w:sz w:val="18"/>
              </w:rPr>
              <w:t>FY2026e RFO (Neutral)</w:t>
            </w:r>
          </w:p>
        </w:tc>
        <w:tc>
          <w:tcPr>
            <w:tcW w:type="dxa" w:w="1200"/>
            <w:shd w:val="clear" w:fill="FAFAFA"/>
          </w:tcPr>
          <w:p>
            <w:r/>
            <w:r>
              <w:rPr>
                <w:rFonts w:ascii="Arial" w:hAnsi="Arial"/>
                <w:b w:val="0"/>
                <w:i w:val="0"/>
                <w:sz w:val="18"/>
              </w:rPr>
              <w:t>R10.0-10.6bn (e)</w:t>
            </w:r>
          </w:p>
        </w:tc>
        <w:tc>
          <w:tcPr>
            <w:tcW w:type="dxa" w:w="1900"/>
            <w:shd w:val="clear" w:fill="FAFAFA"/>
          </w:tcPr>
          <w:p>
            <w:r/>
            <w:r>
              <w:rPr>
                <w:rFonts w:ascii="Arial" w:hAnsi="Arial"/>
                <w:b w:val="0"/>
                <w:i w:val="0"/>
                <w:sz w:val="18"/>
              </w:rPr>
              <w:t>Derived = 9,821 x (1.02-1.08)</w:t>
            </w:r>
          </w:p>
        </w:tc>
        <w:tc>
          <w:tcPr>
            <w:tcW w:type="dxa" w:w="600"/>
            <w:shd w:val="clear" w:fill="FAFAFA"/>
          </w:tcPr>
          <w:p>
            <w:r/>
            <w:r>
              <w:rPr>
                <w:rFonts w:ascii="Arial" w:hAnsi="Arial"/>
                <w:b w:val="0"/>
                <w:i w:val="0"/>
                <w:sz w:val="18"/>
              </w:rPr>
              <w:t>S1</w:t>
            </w:r>
          </w:p>
        </w:tc>
        <w:tc>
          <w:tcPr>
            <w:tcW w:type="dxa" w:w="1900"/>
            <w:shd w:val="clear" w:fill="FAFAFA"/>
          </w:tcPr>
          <w:p>
            <w:r/>
            <w:r>
              <w:rPr>
                <w:rFonts w:ascii="Arial" w:hAnsi="Arial"/>
                <w:b w:val="0"/>
                <w:i w:val="0"/>
                <w:sz w:val="18"/>
              </w:rPr>
              <w:t>base p.36 + analyst</w:t>
            </w:r>
          </w:p>
        </w:tc>
        <w:tc>
          <w:tcPr>
            <w:tcW w:type="dxa" w:w="1060"/>
            <w:shd w:val="clear" w:fill="FAFAFA"/>
          </w:tcPr>
          <w:p>
            <w:r/>
            <w:r>
              <w:rPr>
                <w:rFonts w:ascii="Arial" w:hAnsi="Arial"/>
                <w:b w:val="0"/>
                <w:i w:val="0"/>
                <w:sz w:val="18"/>
              </w:rPr>
              <w:t>2026-06-18</w:t>
            </w:r>
          </w:p>
        </w:tc>
      </w:tr>
      <w:tr>
        <w:tc>
          <w:tcPr>
            <w:tcW w:type="dxa" w:w="400"/>
            <w:shd w:val="clear" w:fill="F2F2F2"/>
          </w:tcPr>
          <w:p>
            <w:r/>
            <w:r>
              <w:rPr>
                <w:rFonts w:ascii="Arial" w:hAnsi="Arial"/>
                <w:b/>
                <w:i w:val="0"/>
                <w:sz w:val="18"/>
              </w:rPr>
              <w:t>19</w:t>
            </w:r>
          </w:p>
        </w:tc>
        <w:tc>
          <w:tcPr>
            <w:tcW w:type="dxa" w:w="2100"/>
          </w:tcPr>
          <w:p>
            <w:r/>
            <w:r>
              <w:rPr>
                <w:rFonts w:ascii="Arial" w:hAnsi="Arial"/>
                <w:b w:val="0"/>
                <w:i w:val="0"/>
                <w:sz w:val="18"/>
              </w:rPr>
              <w:t>FY2026e AHE/share (Bear)</w:t>
            </w:r>
          </w:p>
        </w:tc>
        <w:tc>
          <w:tcPr>
            <w:tcW w:type="dxa" w:w="1200"/>
          </w:tcPr>
          <w:p>
            <w:r/>
            <w:r>
              <w:rPr>
                <w:rFonts w:ascii="Arial" w:hAnsi="Arial"/>
                <w:b w:val="0"/>
                <w:i w:val="0"/>
                <w:sz w:val="18"/>
              </w:rPr>
              <w:t>156-179c (e)</w:t>
            </w:r>
          </w:p>
        </w:tc>
        <w:tc>
          <w:tcPr>
            <w:tcW w:type="dxa" w:w="1900"/>
          </w:tcPr>
          <w:p>
            <w:r/>
            <w:r>
              <w:rPr>
                <w:rFonts w:ascii="Arial" w:hAnsi="Arial"/>
                <w:b w:val="0"/>
                <w:i w:val="0"/>
                <w:sz w:val="18"/>
              </w:rPr>
              <w:t>Derived = 189.8 x (0.82-0.94)</w:t>
            </w:r>
          </w:p>
        </w:tc>
        <w:tc>
          <w:tcPr>
            <w:tcW w:type="dxa" w:w="600"/>
          </w:tcPr>
          <w:p>
            <w:r/>
            <w:r>
              <w:rPr>
                <w:rFonts w:ascii="Arial" w:hAnsi="Arial"/>
                <w:b w:val="0"/>
                <w:i w:val="0"/>
                <w:sz w:val="18"/>
              </w:rPr>
              <w:t>S1</w:t>
            </w:r>
          </w:p>
        </w:tc>
        <w:tc>
          <w:tcPr>
            <w:tcW w:type="dxa" w:w="1900"/>
          </w:tcPr>
          <w:p>
            <w:r/>
            <w:r>
              <w:rPr>
                <w:rFonts w:ascii="Arial" w:hAnsi="Arial"/>
                <w:b w:val="0"/>
                <w:i w:val="0"/>
                <w:sz w:val="18"/>
              </w:rPr>
              <w:t>base p.36 + analyst</w:t>
            </w:r>
          </w:p>
        </w:tc>
        <w:tc>
          <w:tcPr>
            <w:tcW w:type="dxa" w:w="1060"/>
          </w:tcPr>
          <w:p>
            <w:r/>
            <w:r>
              <w:rPr>
                <w:rFonts w:ascii="Arial" w:hAnsi="Arial"/>
                <w:b w:val="0"/>
                <w:i w:val="0"/>
                <w:sz w:val="18"/>
              </w:rPr>
              <w:t>2026-06-18</w:t>
            </w:r>
          </w:p>
        </w:tc>
      </w:tr>
      <w:tr>
        <w:tc>
          <w:tcPr>
            <w:tcW w:type="dxa" w:w="400"/>
            <w:shd w:val="clear" w:fill="F2F2F2"/>
          </w:tcPr>
          <w:p>
            <w:r/>
            <w:r>
              <w:rPr>
                <w:rFonts w:ascii="Arial" w:hAnsi="Arial"/>
                <w:b/>
                <w:i w:val="0"/>
                <w:sz w:val="18"/>
              </w:rPr>
              <w:t>20</w:t>
            </w:r>
          </w:p>
        </w:tc>
        <w:tc>
          <w:tcPr>
            <w:tcW w:type="dxa" w:w="2100"/>
            <w:shd w:val="clear" w:fill="FAFAFA"/>
          </w:tcPr>
          <w:p>
            <w:r/>
            <w:r>
              <w:rPr>
                <w:rFonts w:ascii="Arial" w:hAnsi="Arial"/>
                <w:b w:val="0"/>
                <w:i w:val="0"/>
                <w:sz w:val="18"/>
              </w:rPr>
              <w:t>FY2026e AHE/share (Bull)</w:t>
            </w:r>
          </w:p>
        </w:tc>
        <w:tc>
          <w:tcPr>
            <w:tcW w:type="dxa" w:w="1200"/>
            <w:shd w:val="clear" w:fill="FAFAFA"/>
          </w:tcPr>
          <w:p>
            <w:r/>
            <w:r>
              <w:rPr>
                <w:rFonts w:ascii="Arial" w:hAnsi="Arial"/>
                <w:b w:val="0"/>
                <w:i w:val="0"/>
                <w:sz w:val="18"/>
              </w:rPr>
              <w:t>210-230c (e)</w:t>
            </w:r>
          </w:p>
        </w:tc>
        <w:tc>
          <w:tcPr>
            <w:tcW w:type="dxa" w:w="1900"/>
            <w:shd w:val="clear" w:fill="FAFAFA"/>
          </w:tcPr>
          <w:p>
            <w:r/>
            <w:r>
              <w:rPr>
                <w:rFonts w:ascii="Arial" w:hAnsi="Arial"/>
                <w:b w:val="0"/>
                <w:i w:val="0"/>
                <w:sz w:val="18"/>
              </w:rPr>
              <w:t>Derived = 189.8 x (1.09-1.19) + buyback</w:t>
            </w:r>
          </w:p>
        </w:tc>
        <w:tc>
          <w:tcPr>
            <w:tcW w:type="dxa" w:w="600"/>
            <w:shd w:val="clear" w:fill="FAFAFA"/>
          </w:tcPr>
          <w:p>
            <w:r/>
            <w:r>
              <w:rPr>
                <w:rFonts w:ascii="Arial" w:hAnsi="Arial"/>
                <w:b w:val="0"/>
                <w:i w:val="0"/>
                <w:sz w:val="18"/>
              </w:rPr>
              <w:t>S1</w:t>
            </w:r>
          </w:p>
        </w:tc>
        <w:tc>
          <w:tcPr>
            <w:tcW w:type="dxa" w:w="1900"/>
            <w:shd w:val="clear" w:fill="FAFAFA"/>
          </w:tcPr>
          <w:p>
            <w:r/>
            <w:r>
              <w:rPr>
                <w:rFonts w:ascii="Arial" w:hAnsi="Arial"/>
                <w:b w:val="0"/>
                <w:i w:val="0"/>
                <w:sz w:val="18"/>
              </w:rPr>
              <w:t>base p.36 + analyst</w:t>
            </w:r>
          </w:p>
        </w:tc>
        <w:tc>
          <w:tcPr>
            <w:tcW w:type="dxa" w:w="1060"/>
            <w:shd w:val="clear" w:fill="FAFAFA"/>
          </w:tcPr>
          <w:p>
            <w:r/>
            <w:r>
              <w:rPr>
                <w:rFonts w:ascii="Arial" w:hAnsi="Arial"/>
                <w:b w:val="0"/>
                <w:i w:val="0"/>
                <w:sz w:val="18"/>
              </w:rPr>
              <w:t>2026-06-18</w:t>
            </w:r>
          </w:p>
        </w:tc>
      </w:tr>
      <w:tr>
        <w:tc>
          <w:tcPr>
            <w:tcW w:type="dxa" w:w="400"/>
            <w:shd w:val="clear" w:fill="F2F2F2"/>
          </w:tcPr>
          <w:p>
            <w:r/>
            <w:r>
              <w:rPr>
                <w:rFonts w:ascii="Arial" w:hAnsi="Arial"/>
                <w:b/>
                <w:i w:val="0"/>
                <w:sz w:val="18"/>
              </w:rPr>
              <w:t>21</w:t>
            </w:r>
          </w:p>
        </w:tc>
        <w:tc>
          <w:tcPr>
            <w:tcW w:type="dxa" w:w="2100"/>
          </w:tcPr>
          <w:p>
            <w:r/>
            <w:r>
              <w:rPr>
                <w:rFonts w:ascii="Arial" w:hAnsi="Arial"/>
                <w:b w:val="0"/>
                <w:i w:val="0"/>
                <w:sz w:val="18"/>
              </w:rPr>
              <w:t>SARB repo rate</w:t>
            </w:r>
          </w:p>
        </w:tc>
        <w:tc>
          <w:tcPr>
            <w:tcW w:type="dxa" w:w="1200"/>
          </w:tcPr>
          <w:p>
            <w:r/>
            <w:r>
              <w:rPr>
                <w:rFonts w:ascii="Arial" w:hAnsi="Arial"/>
                <w:b w:val="0"/>
                <w:i w:val="0"/>
                <w:sz w:val="18"/>
              </w:rPr>
              <w:t>7.00% (28 May 2026)</w:t>
            </w:r>
          </w:p>
        </w:tc>
        <w:tc>
          <w:tcPr>
            <w:tcW w:type="dxa" w:w="1900"/>
          </w:tcPr>
          <w:p>
            <w:r/>
            <w:r>
              <w:rPr>
                <w:rFonts w:ascii="Arial" w:hAnsi="Arial"/>
                <w:b w:val="0"/>
                <w:i w:val="0"/>
                <w:sz w:val="18"/>
              </w:rPr>
              <w:t>Reported (web, may lag)</w:t>
            </w:r>
          </w:p>
        </w:tc>
        <w:tc>
          <w:tcPr>
            <w:tcW w:type="dxa" w:w="600"/>
          </w:tcPr>
          <w:p>
            <w:r/>
            <w:r>
              <w:rPr>
                <w:rFonts w:ascii="Arial" w:hAnsi="Arial"/>
                <w:b w:val="0"/>
                <w:i w:val="0"/>
                <w:sz w:val="18"/>
              </w:rPr>
              <w:t>E2</w:t>
            </w:r>
          </w:p>
        </w:tc>
        <w:tc>
          <w:tcPr>
            <w:tcW w:type="dxa" w:w="1900"/>
          </w:tcPr>
          <w:p>
            <w:r/>
            <w:r>
              <w:rPr>
                <w:rFonts w:ascii="Arial" w:hAnsi="Arial"/>
                <w:b w:val="0"/>
                <w:i w:val="0"/>
                <w:sz w:val="18"/>
              </w:rPr>
              <w:t>TradingEconomics / SARB MPC</w:t>
            </w:r>
          </w:p>
        </w:tc>
        <w:tc>
          <w:tcPr>
            <w:tcW w:type="dxa" w:w="1060"/>
          </w:tcPr>
          <w:p>
            <w:r/>
            <w:r>
              <w:rPr>
                <w:rFonts w:ascii="Arial" w:hAnsi="Arial"/>
                <w:b w:val="0"/>
                <w:i w:val="0"/>
                <w:sz w:val="18"/>
              </w:rPr>
              <w:t>2026-06-18</w:t>
            </w:r>
          </w:p>
        </w:tc>
      </w:tr>
      <w:tr>
        <w:tc>
          <w:tcPr>
            <w:tcW w:type="dxa" w:w="400"/>
            <w:shd w:val="clear" w:fill="F2F2F2"/>
          </w:tcPr>
          <w:p>
            <w:r/>
            <w:r>
              <w:rPr>
                <w:rFonts w:ascii="Arial" w:hAnsi="Arial"/>
                <w:b/>
                <w:i w:val="0"/>
                <w:sz w:val="18"/>
              </w:rPr>
              <w:t>22</w:t>
            </w:r>
          </w:p>
        </w:tc>
        <w:tc>
          <w:tcPr>
            <w:tcW w:type="dxa" w:w="2100"/>
            <w:shd w:val="clear" w:fill="FAFAFA"/>
          </w:tcPr>
          <w:p>
            <w:r/>
            <w:r>
              <w:rPr>
                <w:rFonts w:ascii="Arial" w:hAnsi="Arial"/>
                <w:b w:val="0"/>
                <w:i w:val="0"/>
                <w:sz w:val="18"/>
              </w:rPr>
              <w:t>SA CPI 2026e / 2027e</w:t>
            </w:r>
          </w:p>
        </w:tc>
        <w:tc>
          <w:tcPr>
            <w:tcW w:type="dxa" w:w="1200"/>
            <w:shd w:val="clear" w:fill="FAFAFA"/>
          </w:tcPr>
          <w:p>
            <w:r/>
            <w:r>
              <w:rPr>
                <w:rFonts w:ascii="Arial" w:hAnsi="Arial"/>
                <w:b w:val="0"/>
                <w:i w:val="0"/>
                <w:sz w:val="18"/>
              </w:rPr>
              <w:t>4.4% / 3.7%</w:t>
            </w:r>
          </w:p>
        </w:tc>
        <w:tc>
          <w:tcPr>
            <w:tcW w:type="dxa" w:w="1900"/>
            <w:shd w:val="clear" w:fill="FAFAFA"/>
          </w:tcPr>
          <w:p>
            <w:r/>
            <w:r>
              <w:rPr>
                <w:rFonts w:ascii="Arial" w:hAnsi="Arial"/>
                <w:b w:val="0"/>
                <w:i w:val="0"/>
                <w:sz w:val="18"/>
              </w:rPr>
              <w:t>Reported (web, may lag)</w:t>
            </w:r>
          </w:p>
        </w:tc>
        <w:tc>
          <w:tcPr>
            <w:tcW w:type="dxa" w:w="600"/>
            <w:shd w:val="clear" w:fill="FAFAFA"/>
          </w:tcPr>
          <w:p>
            <w:r/>
            <w:r>
              <w:rPr>
                <w:rFonts w:ascii="Arial" w:hAnsi="Arial"/>
                <w:b w:val="0"/>
                <w:i w:val="0"/>
                <w:sz w:val="18"/>
              </w:rPr>
              <w:t>E2</w:t>
            </w:r>
          </w:p>
        </w:tc>
        <w:tc>
          <w:tcPr>
            <w:tcW w:type="dxa" w:w="1900"/>
            <w:shd w:val="clear" w:fill="FAFAFA"/>
          </w:tcPr>
          <w:p>
            <w:r/>
            <w:r>
              <w:rPr>
                <w:rFonts w:ascii="Arial" w:hAnsi="Arial"/>
                <w:b w:val="0"/>
                <w:i w:val="0"/>
                <w:sz w:val="18"/>
              </w:rPr>
              <w:t>SARB MPC, May 2026</w:t>
            </w:r>
          </w:p>
        </w:tc>
        <w:tc>
          <w:tcPr>
            <w:tcW w:type="dxa" w:w="1060"/>
            <w:shd w:val="clear" w:fill="FAFAFA"/>
          </w:tcPr>
          <w:p>
            <w:r/>
            <w:r>
              <w:rPr>
                <w:rFonts w:ascii="Arial" w:hAnsi="Arial"/>
                <w:b w:val="0"/>
                <w:i w:val="0"/>
                <w:sz w:val="18"/>
              </w:rPr>
              <w:t>2026-06-18</w:t>
            </w:r>
          </w:p>
        </w:tc>
      </w:tr>
      <w:tr>
        <w:tc>
          <w:tcPr>
            <w:tcW w:type="dxa" w:w="400"/>
            <w:shd w:val="clear" w:fill="F2F2F2"/>
          </w:tcPr>
          <w:p>
            <w:r/>
            <w:r>
              <w:rPr>
                <w:rFonts w:ascii="Arial" w:hAnsi="Arial"/>
                <w:b/>
                <w:i w:val="0"/>
                <w:sz w:val="18"/>
              </w:rPr>
              <w:t>23</w:t>
            </w:r>
          </w:p>
        </w:tc>
        <w:tc>
          <w:tcPr>
            <w:tcW w:type="dxa" w:w="2100"/>
          </w:tcPr>
          <w:p>
            <w:r/>
            <w:r>
              <w:rPr>
                <w:rFonts w:ascii="Arial" w:hAnsi="Arial"/>
                <w:b w:val="0"/>
                <w:i w:val="0"/>
                <w:sz w:val="18"/>
              </w:rPr>
              <w:t>SA GDP 2026e / 2027e</w:t>
            </w:r>
          </w:p>
        </w:tc>
        <w:tc>
          <w:tcPr>
            <w:tcW w:type="dxa" w:w="1200"/>
          </w:tcPr>
          <w:p>
            <w:r/>
            <w:r>
              <w:rPr>
                <w:rFonts w:ascii="Arial" w:hAnsi="Arial"/>
                <w:b w:val="0"/>
                <w:i w:val="0"/>
                <w:sz w:val="18"/>
              </w:rPr>
              <w:t>1.2% / 1.7%</w:t>
            </w:r>
          </w:p>
        </w:tc>
        <w:tc>
          <w:tcPr>
            <w:tcW w:type="dxa" w:w="1900"/>
          </w:tcPr>
          <w:p>
            <w:r/>
            <w:r>
              <w:rPr>
                <w:rFonts w:ascii="Arial" w:hAnsi="Arial"/>
                <w:b w:val="0"/>
                <w:i w:val="0"/>
                <w:sz w:val="18"/>
              </w:rPr>
              <w:t>Reported (web, may lag)</w:t>
            </w:r>
          </w:p>
        </w:tc>
        <w:tc>
          <w:tcPr>
            <w:tcW w:type="dxa" w:w="600"/>
          </w:tcPr>
          <w:p>
            <w:r/>
            <w:r>
              <w:rPr>
                <w:rFonts w:ascii="Arial" w:hAnsi="Arial"/>
                <w:b w:val="0"/>
                <w:i w:val="0"/>
                <w:sz w:val="18"/>
              </w:rPr>
              <w:t>E2</w:t>
            </w:r>
          </w:p>
        </w:tc>
        <w:tc>
          <w:tcPr>
            <w:tcW w:type="dxa" w:w="1900"/>
          </w:tcPr>
          <w:p>
            <w:r/>
            <w:r>
              <w:rPr>
                <w:rFonts w:ascii="Arial" w:hAnsi="Arial"/>
                <w:b w:val="0"/>
                <w:i w:val="0"/>
                <w:sz w:val="18"/>
              </w:rPr>
              <w:t>SARB MPC, May 2026</w:t>
            </w:r>
          </w:p>
        </w:tc>
        <w:tc>
          <w:tcPr>
            <w:tcW w:type="dxa" w:w="1060"/>
          </w:tcPr>
          <w:p>
            <w:r/>
            <w:r>
              <w:rPr>
                <w:rFonts w:ascii="Arial" w:hAnsi="Arial"/>
                <w:b w:val="0"/>
                <w:i w:val="0"/>
                <w:sz w:val="18"/>
              </w:rPr>
              <w:t>2026-06-18</w:t>
            </w:r>
          </w:p>
        </w:tc>
      </w:tr>
      <w:tr>
        <w:tc>
          <w:tcPr>
            <w:tcW w:type="dxa" w:w="400"/>
            <w:shd w:val="clear" w:fill="F2F2F2"/>
          </w:tcPr>
          <w:p>
            <w:r/>
            <w:r>
              <w:rPr>
                <w:rFonts w:ascii="Arial" w:hAnsi="Arial"/>
                <w:b/>
                <w:i w:val="0"/>
                <w:sz w:val="18"/>
              </w:rPr>
              <w:t>24</w:t>
            </w:r>
          </w:p>
        </w:tc>
        <w:tc>
          <w:tcPr>
            <w:tcW w:type="dxa" w:w="2100"/>
            <w:shd w:val="clear" w:fill="FAFAFA"/>
          </w:tcPr>
          <w:p>
            <w:r/>
            <w:r>
              <w:rPr>
                <w:rFonts w:ascii="Arial" w:hAnsi="Arial"/>
                <w:b w:val="0"/>
                <w:i w:val="0"/>
                <w:sz w:val="18"/>
              </w:rPr>
              <w:t>OMU consensus target</w:t>
            </w:r>
          </w:p>
        </w:tc>
        <w:tc>
          <w:tcPr>
            <w:tcW w:type="dxa" w:w="1200"/>
            <w:shd w:val="clear" w:fill="FAFAFA"/>
          </w:tcPr>
          <w:p>
            <w:r/>
            <w:r>
              <w:rPr>
                <w:rFonts w:ascii="Arial" w:hAnsi="Arial"/>
                <w:b w:val="0"/>
                <w:i w:val="0"/>
                <w:sz w:val="18"/>
              </w:rPr>
              <w:t>~R15.22 (R11.07-18.22)</w:t>
            </w:r>
          </w:p>
        </w:tc>
        <w:tc>
          <w:tcPr>
            <w:tcW w:type="dxa" w:w="1900"/>
            <w:shd w:val="clear" w:fill="FAFAFA"/>
          </w:tcPr>
          <w:p>
            <w:r/>
            <w:r>
              <w:rPr>
                <w:rFonts w:ascii="Arial" w:hAnsi="Arial"/>
                <w:b w:val="0"/>
                <w:i w:val="0"/>
                <w:sz w:val="18"/>
              </w:rPr>
              <w:t>Reported (web, may lag)</w:t>
            </w:r>
          </w:p>
        </w:tc>
        <w:tc>
          <w:tcPr>
            <w:tcW w:type="dxa" w:w="600"/>
            <w:shd w:val="clear" w:fill="FAFAFA"/>
          </w:tcPr>
          <w:p>
            <w:r/>
            <w:r>
              <w:rPr>
                <w:rFonts w:ascii="Arial" w:hAnsi="Arial"/>
                <w:b w:val="0"/>
                <w:i w:val="0"/>
                <w:sz w:val="18"/>
              </w:rPr>
              <w:t>E1</w:t>
            </w:r>
          </w:p>
        </w:tc>
        <w:tc>
          <w:tcPr>
            <w:tcW w:type="dxa" w:w="1900"/>
            <w:shd w:val="clear" w:fill="FAFAFA"/>
          </w:tcPr>
          <w:p>
            <w:r/>
            <w:r>
              <w:rPr>
                <w:rFonts w:ascii="Arial" w:hAnsi="Arial"/>
                <w:b w:val="0"/>
                <w:i w:val="0"/>
                <w:sz w:val="18"/>
              </w:rPr>
              <w:t>Investing.com consensus</w:t>
            </w:r>
          </w:p>
        </w:tc>
        <w:tc>
          <w:tcPr>
            <w:tcW w:type="dxa" w:w="1060"/>
            <w:shd w:val="clear" w:fill="FAFAFA"/>
          </w:tcPr>
          <w:p>
            <w:r/>
            <w:r>
              <w:rPr>
                <w:rFonts w:ascii="Arial" w:hAnsi="Arial"/>
                <w:b w:val="0"/>
                <w:i w:val="0"/>
                <w:sz w:val="18"/>
              </w:rPr>
              <w:t>2026-06-18</w:t>
            </w:r>
          </w:p>
        </w:tc>
      </w:tr>
      <w:tr>
        <w:tc>
          <w:tcPr>
            <w:tcW w:type="dxa" w:w="400"/>
            <w:shd w:val="clear" w:fill="F2F2F2"/>
          </w:tcPr>
          <w:p>
            <w:r/>
            <w:r>
              <w:rPr>
                <w:rFonts w:ascii="Arial" w:hAnsi="Arial"/>
                <w:b/>
                <w:i w:val="0"/>
                <w:sz w:val="18"/>
              </w:rPr>
              <w:t>25</w:t>
            </w:r>
          </w:p>
        </w:tc>
        <w:tc>
          <w:tcPr>
            <w:tcW w:type="dxa" w:w="2100"/>
          </w:tcPr>
          <w:p>
            <w:r/>
            <w:r>
              <w:rPr>
                <w:rFonts w:ascii="Arial" w:hAnsi="Arial"/>
                <w:b w:val="0"/>
                <w:i w:val="0"/>
                <w:sz w:val="18"/>
              </w:rPr>
              <w:t>Sanlam VNB margin H1'25</w:t>
            </w:r>
          </w:p>
        </w:tc>
        <w:tc>
          <w:tcPr>
            <w:tcW w:type="dxa" w:w="1200"/>
          </w:tcPr>
          <w:p>
            <w:r/>
            <w:r>
              <w:rPr>
                <w:rFonts w:ascii="Arial" w:hAnsi="Arial"/>
                <w:b w:val="0"/>
                <w:i w:val="0"/>
                <w:sz w:val="18"/>
              </w:rPr>
              <w:t>2.22% (VNB -18%)</w:t>
            </w:r>
          </w:p>
        </w:tc>
        <w:tc>
          <w:tcPr>
            <w:tcW w:type="dxa" w:w="1900"/>
          </w:tcPr>
          <w:p>
            <w:r/>
            <w:r>
              <w:rPr>
                <w:rFonts w:ascii="Arial" w:hAnsi="Arial"/>
                <w:b w:val="0"/>
                <w:i w:val="0"/>
                <w:sz w:val="18"/>
              </w:rPr>
              <w:t>Reported (web, may lag)</w:t>
            </w:r>
          </w:p>
        </w:tc>
        <w:tc>
          <w:tcPr>
            <w:tcW w:type="dxa" w:w="600"/>
          </w:tcPr>
          <w:p>
            <w:r/>
            <w:r>
              <w:rPr>
                <w:rFonts w:ascii="Arial" w:hAnsi="Arial"/>
                <w:b w:val="0"/>
                <w:i w:val="0"/>
                <w:sz w:val="18"/>
              </w:rPr>
              <w:t>E3</w:t>
            </w:r>
          </w:p>
        </w:tc>
        <w:tc>
          <w:tcPr>
            <w:tcW w:type="dxa" w:w="1900"/>
          </w:tcPr>
          <w:p>
            <w:r/>
            <w:r>
              <w:rPr>
                <w:rFonts w:ascii="Arial" w:hAnsi="Arial"/>
                <w:b w:val="0"/>
                <w:i w:val="0"/>
                <w:sz w:val="18"/>
              </w:rPr>
              <w:t>Sanlam interim 2025</w:t>
            </w:r>
          </w:p>
        </w:tc>
        <w:tc>
          <w:tcPr>
            <w:tcW w:type="dxa" w:w="1060"/>
          </w:tcPr>
          <w:p>
            <w:r/>
            <w:r>
              <w:rPr>
                <w:rFonts w:ascii="Arial" w:hAnsi="Arial"/>
                <w:b w:val="0"/>
                <w:i w:val="0"/>
                <w:sz w:val="18"/>
              </w:rPr>
              <w:t>2026-06-18</w:t>
            </w:r>
          </w:p>
        </w:tc>
      </w:tr>
      <w:tr>
        <w:tc>
          <w:tcPr>
            <w:tcW w:type="dxa" w:w="400"/>
            <w:shd w:val="clear" w:fill="F2F2F2"/>
          </w:tcPr>
          <w:p>
            <w:r/>
            <w:r>
              <w:rPr>
                <w:rFonts w:ascii="Arial" w:hAnsi="Arial"/>
                <w:b/>
                <w:i w:val="0"/>
                <w:sz w:val="18"/>
              </w:rPr>
              <w:t>26</w:t>
            </w:r>
          </w:p>
        </w:tc>
        <w:tc>
          <w:tcPr>
            <w:tcW w:type="dxa" w:w="2100"/>
            <w:shd w:val="clear" w:fill="FAFAFA"/>
          </w:tcPr>
          <w:p>
            <w:r/>
            <w:r>
              <w:rPr>
                <w:rFonts w:ascii="Arial" w:hAnsi="Arial"/>
                <w:b w:val="0"/>
                <w:i w:val="0"/>
                <w:sz w:val="18"/>
              </w:rPr>
              <w:t>Momentum NHE / ROE F2025</w:t>
            </w:r>
          </w:p>
        </w:tc>
        <w:tc>
          <w:tcPr>
            <w:tcW w:type="dxa" w:w="1200"/>
            <w:shd w:val="clear" w:fill="FAFAFA"/>
          </w:tcPr>
          <w:p>
            <w:r/>
            <w:r>
              <w:rPr>
                <w:rFonts w:ascii="Arial" w:hAnsi="Arial"/>
                <w:b w:val="0"/>
                <w:i w:val="0"/>
                <w:sz w:val="18"/>
              </w:rPr>
              <w:t>+41% to R6,260m / 21.2%</w:t>
            </w:r>
          </w:p>
        </w:tc>
        <w:tc>
          <w:tcPr>
            <w:tcW w:type="dxa" w:w="1900"/>
            <w:shd w:val="clear" w:fill="FAFAFA"/>
          </w:tcPr>
          <w:p>
            <w:r/>
            <w:r>
              <w:rPr>
                <w:rFonts w:ascii="Arial" w:hAnsi="Arial"/>
                <w:b w:val="0"/>
                <w:i w:val="0"/>
                <w:sz w:val="18"/>
              </w:rPr>
              <w:t>Reported (web, may lag)</w:t>
            </w:r>
          </w:p>
        </w:tc>
        <w:tc>
          <w:tcPr>
            <w:tcW w:type="dxa" w:w="600"/>
            <w:shd w:val="clear" w:fill="FAFAFA"/>
          </w:tcPr>
          <w:p>
            <w:r/>
            <w:r>
              <w:rPr>
                <w:rFonts w:ascii="Arial" w:hAnsi="Arial"/>
                <w:b w:val="0"/>
                <w:i w:val="0"/>
                <w:sz w:val="18"/>
              </w:rPr>
              <w:t>E4</w:t>
            </w:r>
          </w:p>
        </w:tc>
        <w:tc>
          <w:tcPr>
            <w:tcW w:type="dxa" w:w="1900"/>
            <w:shd w:val="clear" w:fill="FAFAFA"/>
          </w:tcPr>
          <w:p>
            <w:r/>
            <w:r>
              <w:rPr>
                <w:rFonts w:ascii="Arial" w:hAnsi="Arial"/>
                <w:b w:val="0"/>
                <w:i w:val="0"/>
                <w:sz w:val="18"/>
              </w:rPr>
              <w:t>Momentum FY2025 results</w:t>
            </w:r>
          </w:p>
        </w:tc>
        <w:tc>
          <w:tcPr>
            <w:tcW w:type="dxa" w:w="1060"/>
            <w:shd w:val="clear" w:fill="FAFAFA"/>
          </w:tcPr>
          <w:p>
            <w:r/>
            <w:r>
              <w:rPr>
                <w:rFonts w:ascii="Arial" w:hAnsi="Arial"/>
                <w:b w:val="0"/>
                <w:i w:val="0"/>
                <w:sz w:val="18"/>
              </w:rPr>
              <w:t>2026-06-18</w:t>
            </w:r>
          </w:p>
        </w:tc>
      </w:tr>
    </w:tbl>
    <w:p>
      <w:pPr>
        <w:spacing w:after="40" w:before="0"/>
      </w:pPr>
    </w:p>
    <w:p>
      <w:pPr>
        <w:pStyle w:val="Heading1"/>
      </w:pPr>
      <w:r>
        <w:t>12.  Sources</w:t>
      </w:r>
    </w:p>
    <w:p>
      <w:pPr>
        <w:spacing w:after="120" w:before="0"/>
      </w:pPr>
      <w:r>
        <w:rPr>
          <w:rFonts w:ascii="Arial" w:hAnsi="Arial"/>
          <w:b w:val="0"/>
          <w:i w:val="0"/>
          <w:sz w:val="21"/>
        </w:rPr>
        <w:t>Company filings (held locally on disk):</w:t>
      </w:r>
    </w:p>
    <w:p>
      <w:pPr>
        <w:pStyle w:val="ListBullet"/>
        <w:spacing w:after="80"/>
      </w:pPr>
      <w:r>
        <w:rPr>
          <w:rFonts w:ascii="Arial" w:hAnsi="Arial"/>
          <w:b w:val="0"/>
          <w:i w:val="0"/>
          <w:sz w:val="21"/>
        </w:rPr>
        <w:t xml:space="preserve">S1 - Old Mutual Limited, Group Annual Results for the year ended 31 December 2025 (audited, unmodified; released 17 Mar 2026). Local: companies/old-mutual/annual-reports/Old_Mutual_FY2025_Annual_Results_Booklet.txt (text sidecar; original binary backfill pending - 403). </w:t>
      </w:r>
      <w:hyperlink r:id="rId10">
        <w:r>
          <w:rPr>
            <w:rFonts w:ascii="Arial" w:hAnsi="Arial"/>
            <w:color w:val="0563C1"/>
            <w:u w:val="single"/>
            <w:sz w:val="21"/>
          </w:rPr>
          <w:t>FY2025 Annual Results booklet</w:t>
        </w:r>
      </w:hyperlink>
    </w:p>
    <w:p>
      <w:pPr>
        <w:spacing w:after="120" w:before="0"/>
      </w:pPr>
      <w:r>
        <w:rPr>
          <w:rFonts w:ascii="Arial" w:hAnsi="Arial"/>
          <w:b w:val="0"/>
          <w:i w:val="0"/>
          <w:sz w:val="21"/>
        </w:rPr>
        <w:t>External (web search, accessed 18 June 2026 - secondary, may be delayed):</w:t>
      </w:r>
    </w:p>
    <w:p>
      <w:pPr>
        <w:pStyle w:val="ListBullet"/>
        <w:spacing w:after="80"/>
      </w:pPr>
      <w:r>
        <w:rPr>
          <w:rFonts w:ascii="Arial" w:hAnsi="Arial"/>
          <w:b w:val="0"/>
          <w:i w:val="0"/>
          <w:sz w:val="21"/>
        </w:rPr>
        <w:t xml:space="preserve">E1 - Old Mutual (JSE:OMU) analyst consensus target ~R15.22 (range R11.07-R18.22), neutral rating: </w:t>
      </w:r>
      <w:hyperlink r:id="rId11">
        <w:r>
          <w:rPr>
            <w:rFonts w:ascii="Arial" w:hAnsi="Arial"/>
            <w:color w:val="0563C1"/>
            <w:u w:val="single"/>
            <w:sz w:val="21"/>
          </w:rPr>
          <w:t>Investing.com consensus</w:t>
        </w:r>
      </w:hyperlink>
    </w:p>
    <w:p>
      <w:pPr>
        <w:pStyle w:val="ListBullet"/>
        <w:spacing w:after="80"/>
      </w:pPr>
      <w:r>
        <w:rPr>
          <w:rFonts w:ascii="Arial" w:hAnsi="Arial"/>
          <w:b w:val="0"/>
          <w:i w:val="0"/>
          <w:sz w:val="21"/>
        </w:rPr>
        <w:t xml:space="preserve">E2 - SARB repo 7.00% (28 May 2026 hike); CPI 4.4% 2026e / 3.7% 2027e; GDP 1.2% 2026e / 1.7% 2027e: </w:t>
      </w:r>
      <w:hyperlink r:id="rId12">
        <w:r>
          <w:rPr>
            <w:rFonts w:ascii="Arial" w:hAnsi="Arial"/>
            <w:color w:val="0563C1"/>
            <w:u w:val="single"/>
            <w:sz w:val="21"/>
          </w:rPr>
          <w:t>TradingEconomics / SARB MPC</w:t>
        </w:r>
      </w:hyperlink>
    </w:p>
    <w:p>
      <w:pPr>
        <w:pStyle w:val="ListBullet"/>
        <w:spacing w:after="80"/>
      </w:pPr>
      <w:r>
        <w:rPr>
          <w:rFonts w:ascii="Arial" w:hAnsi="Arial"/>
          <w:b w:val="0"/>
          <w:i w:val="0"/>
          <w:sz w:val="21"/>
        </w:rPr>
        <w:t xml:space="preserve">E3 - Sanlam interim results 2025 (RoGEV, VNB margin 2.22%, VNB -18%): </w:t>
      </w:r>
      <w:hyperlink r:id="rId13">
        <w:r>
          <w:rPr>
            <w:rFonts w:ascii="Arial" w:hAnsi="Arial"/>
            <w:color w:val="0563C1"/>
            <w:u w:val="single"/>
            <w:sz w:val="21"/>
          </w:rPr>
          <w:t>Sanlam interim results 2025</w:t>
        </w:r>
      </w:hyperlink>
    </w:p>
    <w:p>
      <w:pPr>
        <w:pStyle w:val="ListBullet"/>
        <w:spacing w:after="80"/>
      </w:pPr>
      <w:r>
        <w:rPr>
          <w:rFonts w:ascii="Arial" w:hAnsi="Arial"/>
          <w:b w:val="0"/>
          <w:i w:val="0"/>
          <w:sz w:val="21"/>
        </w:rPr>
        <w:t xml:space="preserve">E4 - Momentum Group FY2025 results (NHE +41% to R6,260m, ROE 21.2%): </w:t>
      </w:r>
      <w:hyperlink r:id="rId14">
        <w:r>
          <w:rPr>
            <w:rFonts w:ascii="Arial" w:hAnsi="Arial"/>
            <w:color w:val="0563C1"/>
            <w:u w:val="single"/>
            <w:sz w:val="21"/>
          </w:rPr>
          <w:t>Momentum Group FY2025 results</w:t>
        </w:r>
      </w:hyperlink>
    </w:p>
    <w:p>
      <w:pPr>
        <w:spacing w:after="120" w:before="0"/>
      </w:pPr>
      <w:r>
        <w:rPr>
          <w:rFonts w:ascii="Arial" w:hAnsi="Arial"/>
          <w:b w:val="0"/>
          <w:i w:val="0"/>
          <w:sz w:val="21"/>
        </w:rPr>
        <w:t>Sector lens applied: jse-sector-insurance (life / composite engine). Prepared for information only; not investment advice. Share-price and macro figures sourced via web search may be delayed; all OMU financials are from the FY2025 filing on disk.</w:t>
      </w:r>
    </w:p>
    <w:p>
      <w:pPr>
        <w:spacing w:after="120" w:before="160"/>
      </w:pPr>
      <w:r>
        <w:rPr>
          <w:rFonts w:ascii="Arial" w:hAnsi="Arial"/>
          <w:b w:val="0"/>
          <w:i/>
          <w:color w:val="595959"/>
          <w:sz w:val="16"/>
        </w:rPr>
        <w:t>For informational purposes only — not investment advice; prepared by internal research from public disclosures. Figures reported in ZAR unless stated. Reviewed vs audited status is noted per company. Forward figures and scenario levels are analyst estimates (e), not company guidance. Share/commodity prices via web search may be delayed — there is no live JSE feed here. Confirm the fund's dealing-period status before acting.</w:t>
      </w:r>
    </w:p>
    <w:sectPr w:rsidR="00FC693F" w:rsidRPr="0006063C" w:rsidSect="00034616">
      <w:footerReference w:type="default" r:id="rId9"/>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808080"/>
        <w:sz w:val="15"/>
      </w:rPr>
      <w:t xml:space="preserve">Old Mutual FY2026/27 Scenario &amp; Outlook  -  18 June 2026  -  Internal research, not investment advice  Page </w:t>
    </w:r>
    <w:fldSimple w:instr="PAGE">
      <w:r>
        <w:rPr>
          <w:sz w:val="15"/>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4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oldmutual.com/v3/assets/bltdd392fd32dda3ce8/blt16240806b39581ed/69b8ccfaccf6a3727ac58f77/2025_Annual_Results_booklet_Double.pdf" TargetMode="External"/><Relationship Id="rId11" Type="http://schemas.openxmlformats.org/officeDocument/2006/relationships/hyperlink" Target="https://uk.investing.com/equities/old-mutual-consensus-estimates" TargetMode="External"/><Relationship Id="rId12" Type="http://schemas.openxmlformats.org/officeDocument/2006/relationships/hyperlink" Target="https://tradingeconomics.com/south-africa/interest-rate" TargetMode="External"/><Relationship Id="rId13" Type="http://schemas.openxmlformats.org/officeDocument/2006/relationships/hyperlink" Target="https://www.sanlam.com/interim-results-2025" TargetMode="External"/><Relationship Id="rId14" Type="http://schemas.openxmlformats.org/officeDocument/2006/relationships/hyperlink" Target="https://www.momentumgroupltd.co.za/remote-assets/s3/clt_mmh_s3/docs/annual-res-2025/results-presentation-f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