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Old Mutual Limited (JSE: OMU)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Projected performance FY2026–FY2027 under Bull / Neutral / Bear market conditions — with a management-sentiment read</w:t>
      </w:r>
    </w:p>
    <w:p>
      <w:pPr>
        <w:pBdr>
          <w:bottom w:val="single" w:color="2E5496" w:sz="6" w:space="1"/>
        </w:pBdr>
        <w:spacing w:after="16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Internal research note · 18 June 2026 · Base: FY2025 audited results (year ended 31 Dec 2025, released 17 Mar 2026)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Summary &amp;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Verdict.  Net positive sentiment, but a low-quality FY2025 base. Old Mutual delivered a clean operating year — results from operations +13% to R9.8bn, adjusted headline earnings +24% to R8.3bn, RoNAV back inside its 15–17% target at 15.2% — yet management itself flags that the headline was flattered: normalised RoNAV is only 12.4%, and roughly R1.9bn of the AHE uplift came from elevated shareholder investment returns plus an unsustainable Malawi contribution. Base case (Neutral): RFO +9% in FY2026 to ~R10.7bn (e) but AHE only ~+3% to ~R8.5bn (e) as the FY25 market tailwind normalises, with AHEPS +5% (e) on the buyback. Bull case: AHE ~+14% (e), RoNAV ~16% — an upgrade trajectory. Bear case: AHE ~−12% (e) in FY2026 as equities/Malawi reverse, RoNAV ~10.5%, below target — the genuine downgrade scenario. Market share: stable-to-gaining in P&amp;C (OM Insure) and Africa Regions; the swing factor for the whole story is restoring the value-of-new-business margin (1.2% vs a 2–3% target) in Life &amp; Savings.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Why the bull and bear cases diverge so sharply: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Old Mutual is unusually geared to market levels. Adjusted headline earnings carry a shareholder-investment-return line that added ~R1.9bn in FY2025; a strong equity year repeats it, a weak one reverses much of it. Layer on the Malawi kwacha (management quantifies a 30–50% devaluation as cutting AHE growth to 11–16%) and you get a wide FY2026 earnings cone around a fundamentally improving operating core.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Sentiment scorecard — management language to earnings / share read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Scanning the CEO statement, results commentary and 2026 outlook for directional words, classifying tone, and mapping each to an earnings / market-share implication. Net tally: 7 positive, 4 negative, 1 mixed — net positive, but the negatives (earnings quality, Malawi, VNB) are precisely what the Bear case crystallises.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4400"/>
        <w:gridCol w:w="1120"/>
        <w:gridCol w:w="2000"/>
      </w:tblGrid>
      <w:tr>
        <w:trPr>
          <w:tblHeader/>
        </w:trP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 language (verbatim cues)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Earnings / share read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Overall framing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“Steady operational results in the year of strategic reset and focused execution”; “the focus has now firmly shifted to execution”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Reset behind it; execution-led growth the new narrative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SA macro outlook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“The South African outlook has become more constructive”; 2026 Budget “reaffirmed a commitment to fiscal discipline”; a “more supportive foundation for confidence and investment”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Tailwind for flows, equity levels and VNB recovery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Global / risk caveat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“The global environment is likely to remain uncertain, shaped by uneven growth and ongoing heightened geopolitical risks”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Caps the bull case; keeps investment-return volatility live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Earnings quality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AHE “further benefitting from elevated shareholder investment returns”; normalised RoNAV 12.4% vs 15.2% reported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~R1.9bn of FY25 AHE growth was market-driven — high reversal risk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Malawi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“Significantly impacted by elevated returns…in Malawi”; a 30–50% kwacha devaluation would cut AHE growth to 11–16% (from 24%)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Management hands you the explicit downside lever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Value of new business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VNB “declined by 52%…strengthened persistency assumptions”; margin 1.2%, “below our target range”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Negative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The clear weak spot; its recovery is the swing factor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VNB recovery intent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“We remain committed to restoring our value of new business margin…business mix, retention and collections”; “Management actions are on track”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Credible path back toward the 2–3% target by FY27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Cost programme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“R2.5 billion commitment…cascaded to cluster scorecards”; “R450 million…already delivered in 2025”; costs ex-restructuring −15%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Structural earnings support in every scenario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OM Insure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“Continued momentum with margin growth”; net underwriting margin 6.8% (8.3% ex once-off), inside the 5–8% target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Dependable RFO engine (+14% in FY25)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OM Bank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Customer/deposit trends “tracking well, ahead of public marketing campaigns”; profitability targeted for FY2028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Loss of −R1.25bn narrows but does not disappear near-term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Capital / buyback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“R3 billion share buyback…continuing while it remains value accretive”; discretionary capital “almost doubled to R6.1 billion”; gearing below target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Buyback underpins AHEPS and DPS even in the Bear case</w:t>
            </w:r>
          </w:p>
        </w:tc>
      </w:tr>
      <w:tr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Dividend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Total DPS +8%, “within the medium-term target range”; cover 1.5–2.0x; 3-year rolling growth 6–9%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Resilient, cycle-smoothed dividend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The base — FY2025 reported actuals (sacred)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Taken verbatim from the FY2025 Group Annual Results booklet (audited by Deloitte &amp; Touche and EY, unmodified opinion). Headline earnings declined 2% (Zimbabwe USD-transition effect), while adjusted headline earnings — the group’s preferred measure — rose 24%.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680"/>
        <w:gridCol w:w="1680"/>
        <w:gridCol w:w="164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from operations (Rm)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9 821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8 709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+13%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Adjusted headline earnings (Rm)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8 263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6 685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+24%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Adjusted HEPS (cents)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189.8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150.6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+26%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Headline earnings (Rm)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~8 600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~8 800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−2%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HEPS (cents)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201.6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202.7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−1%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RoNAV – reported (%)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15.2%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+250 bps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RoNAV – normalised (%)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12.4%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on group equity value (%)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4.1%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of new business (Rm)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1 758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−52%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VNB margin (%)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−130 bps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equity value / share (cents)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1 980.2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1 950.6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+2%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dividend / share (cents)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93.0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+8%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Shareholder solvency ratio (%)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within 155–185%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Gearing ratio (%)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16.9%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below 15–20%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Funds under management (Rbn)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1 639.0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1 446.9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+13%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client cash flow (Rm)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(10 398)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(23 227)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+55%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Cluster results from operations (Rm, FY2025 vs FY2024):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Life &amp; Savings 7 268 (+13%); OM Insure 2 062 (+14%); OM Africa Regions 1 675 (+64%, Malawi-led); OM Investments 1 544 (−8%); OM Bank (1 249) loss; net group activities (1 479).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Scenario design — what separates Bull, Neutral and Bear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scenarios are defined by the variables that actually move an insurer-plus-asset-manager’s earnings: equity-market direction (investment return, AUM fees, GEV, RoNAV), the rand and Malawi kwacha (translation), interest rates (annuity demand and bond values), the pace of VNB-margin recovery, and delivery of the R2.5bn cost programme. All scenario levels are analyst estimates (e), not company guidance.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760"/>
        <w:gridCol w:w="1760"/>
        <w:gridCol w:w="1760"/>
        <w:gridCol w:w="72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Neutral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JSE equity — total return p.a.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+18%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+9%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−6%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USD/ZAR (period-avg)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16.0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17.5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19.5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SARB repo (period-end)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6.25%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7.00%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8.50%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Malawi kwacha devaluation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−15%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−40%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VNB margin achieved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1.9%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1.6%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1.1%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savings delivered (Rbn)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1.2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0.6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Bull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 strong JSE, firmer rand, faster SARB cuts, a stable Malawi and an accelerating VNB recovery; the FY25 investment-return tailwind persists. </w:t>
      </w:r>
      <w:r>
        <w:rPr>
          <w:rFonts w:ascii="Arial" w:cs="Arial" w:eastAsia="Arial" w:hAnsi="Arial"/>
          <w:b/>
          <w:bCs/>
          <w:i w:val="false"/>
          <w:iCs w:val="false"/>
          <w:color w:val="808080"/>
          <w:sz w:val="20"/>
          <w:szCs w:val="20"/>
        </w:rPr>
        <w:t xml:space="preserve">Neutral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the “more constructive” SA backdrop management describes: modest GDP, gentle rate cuts, mid-single-digit equity returns; operating momentum is real but the FY25 market kicker normalises.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Bear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an equity drawdown, a weaker rand and a Malawi devaluation, higher-for-longer rates and persistency strain; the tailwind reverses and RoNAV falls below target.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Projected performance — FY2026e (year to 31 Dec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Results from operations (Rm)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11 098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10 705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10 017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RFO growth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Adjusted headline earnings (Rm)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9 420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8 511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7 271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AHE growth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−12%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Adjusted HEPS (cents)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198.4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167.9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AHEPS growth vs FY25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−12%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dividend / share (cents)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99.5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95.8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RoNAV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VNB margin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1.1%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Read.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Neutral case is the counter-intuitive one: operations grow ~9% yet AHE only ~3%, because FY2025’s ~R1.9bn investment-return boost does not repeat at the same scale — a flat-to-up earnings year that screens as “disappointing” only if one anchors naively on the +24% FY25 print. The buyback lifts AHEPS ahead of AHE in every column. The Bear case is where the market gearing bites: a ~12% AHE decline and RoNAV down to ~10.5%, below target — the scenario that would drive consensus downgrades.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Projected performance — FY2027e (year to 31 Dec 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Bear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Results from operations (Rm)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12 429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11 668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10 518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RFO growth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Adjusted headline earnings (Rm)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10 644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9 192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7 562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AHE growth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Adjusted HEPS (cents)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217.3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175.5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AHEPS growth vs FY25 (cum.)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−8%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dividend / share (cents)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107.5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99.6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RoNAV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11.5%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7"/>
                <w:szCs w:val="17"/>
              </w:rPr>
              <w:t xml:space="preserve">VNB margin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Read.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FY2027 is the payoff year for the strategic reset: the full R2.5bn cost programme is banked, OM Bank’s loss narrows toward its FY2028 break-even, and the VNB margin recovers toward the 2–3% target. Neutral RoNAV reaches ~14.5% (just shy of target) with AHE back above R9bn; Bull pushes AHE past R10.6bn and RoNAV to ~16.8% (mid-target) — a clear re-rating case. Even Bear recovers off the FY26 low, though RoNAV (~11.5%) stays below target, leaving it a turnaround-in-progress rather than a value trap.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 Market-share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Property &amp; Casualty (OM Insure): gaining.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RFO +14% and a net underwriting margin of 6.8% (8.3% ex a once-off cell provision), with “strong growth in ONE Financial Services” — deliberately ceding low-quality retail premium to improve book quality. Share-of-profit gain, not just top-line.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Africa Regions: gaining, but flattered.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RFO +64% is real operational improvement in East &amp; West Africa plus an outsized Malawi contribution that management explicitly warns is unsustainable.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Life &amp; Savings: holding, mix under repair.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Life APE +3% and gross flows +7%, but the 52% VNB collapse signals that new-business value — not volume — is the share metric that matters. Restoring margin is the stated priority.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Asset Management (OM Investments): slipping slightly.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RFO −8% despite AUM growth — fee pressure / mix; the one cluster losing profit share.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Banking (OM Bank): building, sub-scale.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Deposit and customer trends “tracking well” ahead of marketing, but still loss-making (−R1.25bn) and years from share relevance; profitability targeted FY2028.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 Risk flags &amp; what would change the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Earnings quality (highest priority).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Normalised RoNAV 12.4% vs 15.2% reported; ~R1.9bn of FY25 AHE was investment-return driven. From 2026 the group reports against normalised RoNAV — watch for the headline-to-normalised gap narrowing or widening.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Malawi.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Management quantifies a 30–50% kwacha devaluation as reducing AHE growth to 11–16% and RoNAV to 14.0–14.5%. A hard devaluation is the single cleanest trigger for the Bear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VNB margin at 1.2%.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Below the 2–3% target on strengthened persistency assumptions and weak annuity/umbrella sales. The recovery path is the central upside lever; failure to restore it caps the bull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Solvency drift.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Shareholder solvency fell to 162% (from 182%) on market moves — still comfortably within the 155–185% target, but the trend bears watching if equity shocks recur.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OM Bank cash burn.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−R1.25bn drag with ~R2bn further investment earmarked for 2026/27; break-even not until FY2028. Execution slippage would weigh on group RFO.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What would change the call: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 upgrade if VNB margin re-enters the 2–3% band and normalised RoNAV pushes toward 15%; a downgrade on a Malawi devaluation, a JSE drawdown, or stalled cost-savings delivery.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 Sources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 </w:t>
      </w:r>
      <w:hyperlink w:history="1" r:id="rId9w7_mflpyxvrdm1_bbq03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Old Mutual Limited — Group Annual Results for the year ended 31 December 2025 (results booklet)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 </w:t>
      </w:r>
      <w:hyperlink w:history="1" r:id="rIduny6fcbv7vk1xogbdg0b1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Old Mutual — Investor Relations / Reporting Centre / Results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•  </w:t>
      </w:r>
      <w:hyperlink w:history="1" r:id="rIduq0tosu5kplkvqwllkoz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Moneyweb SENS — OML group annual results &amp; final dividend, year ended 31 December 2025</w:t>
        </w:r>
      </w:hyperlink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All reported figures are from the FY2025 results booklet (audited, unmodified). FY2026e/FY2027e figures, scenario levels and the sentiment classification are internal analyst estimates (e). Macro reference points (SARB repo 7.00% after the 28 May 2026 hike; USD/ZAR ~16.3–17) via web search, June 2026, and may be delayed/secondary. Companion file: Old_Mutual_OMU_Bull_Bear_Neutral_FY2026-27_Scenario_Model_Jun2026.xlsx.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Old Mutual (OMU) — Bull/Bear/Neutral FY2026–27 · internal research · page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w7_mflpyxvrdm1_bbq03" Type="http://schemas.openxmlformats.org/officeDocument/2006/relationships/hyperlink" Target="https://www.oldmutual.com/v3/assets/bltdd392fd32dda3ce8/blt16240806b39581ed/69b8ccfaccf6a3727ac58f77/2025_Annual_Results_booklet_Double.pdf" TargetMode="External"/><Relationship Id="rIduny6fcbv7vk1xogbdg0b1" Type="http://schemas.openxmlformats.org/officeDocument/2006/relationships/hyperlink" Target="https://www.oldmutual.com/investor-relations/reporting-centre/results/" TargetMode="External"/><Relationship Id="rIduq0tosu5kplkvqwllkozl" Type="http://schemas.openxmlformats.org/officeDocument/2006/relationships/hyperlink" Target="https://www.moneyweb.co.za/mny_sens/old-mutual-limited-group-annual-results-and-final-dividend-declaration-for-the-year-ended-31-december-2025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2026-06-18T07:14:31.213Z</dcterms:created>
  <dcterms:modified xsi:type="dcterms:W3CDTF">2026-06-18T07:14:31.213Z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