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b/>
          <w:bCs/>
          <w:color w:val="1F3864"/>
          <w:sz w:val="48"/>
          <w:szCs w:val="48"/>
        </w:rPr>
        <w:t xml:space="preserve">ANGLO AMERICAN plc</w:t>
      </w:r>
    </w:p>
    <w:p>
      <w:pPr>
        <w:spacing w:after="0"/>
      </w:pPr>
      <w:r>
        <w:rPr>
          <w:color w:val="595959"/>
          <w:sz w:val="22"/>
          <w:szCs w:val="22"/>
        </w:rPr>
        <w:t xml:space="preserve">LSE: AAL  •  JSE: AGL  •  Diversified mining (copper-led)</w:t>
      </w:r>
    </w:p>
    <w:p>
      <w:pPr>
        <w:spacing w:after="0" w:before="160"/>
      </w:pPr>
      <w:r>
        <w:rPr>
          <w:b/>
          <w:bCs/>
          <w:color w:val="1F4E79"/>
          <w:sz w:val="26"/>
          <w:szCs w:val="26"/>
        </w:rPr>
        <w:t xml:space="preserve">Two-Year Outlook — Bull vs Bear, the Iran War, Key Risks &amp; Indicators to Watch</w:t>
      </w:r>
    </w:p>
    <w:p>
      <w:pPr>
        <w:spacing w:after="160" w:before="60"/>
      </w:pPr>
      <w:r>
        <w:rPr>
          <w:i/>
          <w:iCs/>
          <w:color w:val="595959"/>
          <w:sz w:val="18"/>
          <w:szCs w:val="18"/>
        </w:rPr>
        <w:t xml:space="preserve">Investment Committee briefing with 3-year (FY2026e–FY2028e) growth projections  •  14 June 2026</w:t>
      </w:r>
    </w:p>
    <w:p>
      <w:pPr>
        <w:pBdr>
          <w:bottom w:val="single" w:color="2E75B6" w:sz="8" w:space="2"/>
        </w:pBdr>
        <w:spacing w:after="200"/>
      </w:pPr>
      <w:r>
        <w:t xml:space="preserve"/>
      </w:r>
    </w:p>
    <w:p>
      <w:pPr>
        <w:pStyle w:val="Heading1"/>
      </w:pPr>
      <w:r>
        <w:t xml:space="preserve">1.  Executive summary</w:t>
      </w:r>
    </w:p>
    <w:p>
      <w:pPr>
        <w:spacing w:after="120" w:line="264"/>
      </w:pPr>
      <w:r>
        <w:rPr>
          <w:b/>
          <w:bCs/>
        </w:rPr>
        <w:t xml:space="preserve">The short answer. </w:t>
      </w:r>
      <w:r>
        <w:t xml:space="preserve">Anglo American is now a copper-and-premium-iron-ore company that has shed (or is exiting) diamonds, PGMs, coal and nickel, and is merging with Canada’s Teck to become </w:t>
      </w:r>
      <w:r>
        <w:rPr>
          <w:b/>
          <w:bCs/>
        </w:rPr>
        <w:t xml:space="preserve">Anglo Teck</w:t>
      </w:r>
      <w:r>
        <w:t xml:space="preserve"> — a top-five global copper producer with &gt;70% copper exposure. Over the next two years the equity is, to first order, a leveraged call on the copper price, with premium iron ore as the swing factor and a balance sheet that transforms as disposals complete.</w:t>
      </w:r>
    </w:p>
    <w:p>
      <w:pPr>
        <w:spacing w:after="120" w:line="264"/>
      </w:pPr>
      <w:r>
        <w:rPr>
          <w:b/>
          <w:bCs/>
          <w:color w:val="375623"/>
        </w:rPr>
        <w:t xml:space="preserve">Bull case (FY2026e–FY2028e). </w:t>
      </w:r>
      <w:r>
        <w:t xml:space="preserve">Sustained copper tightness (energy-transition demand, supply disruption, war-driven inflation) lifts group underlying EBITDA from </w:t>
      </w:r>
      <w:r>
        <w:rPr>
          <w:b/>
          <w:bCs/>
        </w:rPr>
        <w:t xml:space="preserve">$6.4bn (FY2025A) to ~$9.5bn → $10.6bn → $11.4bn</w:t>
      </w:r>
      <w:r>
        <w:t xml:space="preserve">. Disposals plus copper cash flow swing the group to a net cash position by FY2027e; underlying EPS roughly triples to ~214c. Anglo Teck synergies (~$800m/yr) layer on top.</w:t>
      </w:r>
    </w:p>
    <w:p>
      <w:pPr>
        <w:spacing w:after="120" w:line="264"/>
      </w:pPr>
      <w:r>
        <w:rPr>
          <w:b/>
          <w:bCs/>
          <w:color w:val="843C0C"/>
        </w:rPr>
        <w:t xml:space="preserve">Bear case. </w:t>
      </w:r>
      <w:r>
        <w:t xml:space="preserve">The oil shock tips global growth lower, copper falls toward ~$8,000/t and iron ore toward ~$55/t on the China-steel/Simandou surplus. EBITDA falls to </w:t>
      </w:r>
      <w:r>
        <w:rPr>
          <w:b/>
          <w:bCs/>
        </w:rPr>
        <w:t xml:space="preserve">~$4.8bn → $3.6bn → $3.4bn</w:t>
      </w:r>
      <w:r>
        <w:t xml:space="preserve">; free cash flow turns modestly negative; net debt stays ~$4–5bn (net debt/EBITDA ~1.2x) and the dividend is cut. No solvency stress, but a sharp de-rating.</w:t>
      </w:r>
    </w:p>
    <w:p>
      <w:pPr>
        <w:spacing w:after="120" w:line="264"/>
      </w:pPr>
      <w:r>
        <w:rPr>
          <w:b/>
          <w:bCs/>
        </w:rPr>
        <w:t xml:space="preserve">The Iran war, if it runs into H2 2026. </w:t>
      </w:r>
      <w:r>
        <w:t xml:space="preserve">The direct hit to Anglo is modest — we estimate a sustained Brent-$120 environment adds ~$240m (e) to group cash costs in 2026e (diesel, power, freight/insurance), roughly 3–5% of EBITDA. The </w:t>
      </w:r>
      <w:r>
        <w:rPr>
          <w:i/>
          <w:iCs/>
        </w:rPr>
        <w:t xml:space="preserve">larger</w:t>
      </w:r>
      <w:r>
        <w:t xml:space="preserve"> effect is indirect and two-sided: war-driven inflation and supply fear support copper (and lift Woodsmith’s future potash economics), while an oil-shock slowdown threatens industrial-metals demand — especially iron ore. That demand channel is exactly what separates our bull and bear cases.</w:t>
      </w:r>
    </w:p>
    <w:p>
      <w:pPr>
        <w:spacing w:after="120" w:line="264"/>
      </w:pPr>
      <w:r>
        <w:rPr>
          <w:b/>
          <w:bCs/>
        </w:rPr>
        <w:t xml:space="preserve">Biggest risks: </w:t>
      </w:r>
      <w:r>
        <w:t xml:space="preserve">(1) the copper price itself (~$730m EBITDA per $1,000/t); (2) a structural iron-ore downtrend; (3) the Iran/energy and demand shock; (4) Anglo Teck completion (China antitrust is the last major clearance) and the $4.5bn special dividend; (5) De Beers disposal execution into a weak diamond market; (6) South African rail/power/logistics and rand volatility.</w:t>
      </w:r>
    </w:p>
    <w:p>
      <w:pPr>
        <w:spacing w:after="120" w:line="264"/>
      </w:pPr>
      <w:r>
        <w:rPr>
          <w:b/>
          <w:bCs/>
        </w:rPr>
        <w:t xml:space="preserve">What to watch: </w:t>
      </w:r>
      <w:r>
        <w:t xml:space="preserve">the LME copper price and inventories, 62% Fe iron ore and China steel data, Brent/Strait-of-Hormuz status, USD/ZAR, China stimulus, the China SAMR merger decision, De Beers completion, and Anglo’s quarterly copper delivery (Quellaveco grades, Chile throughput).</w:t>
      </w:r>
    </w:p>
    <w:p>
      <w:pPr>
        <w:spacing w:after="120" w:line="264"/>
      </w:pPr>
      <w:r>
        <w:rPr>
          <w:i/>
          <w:iCs/>
          <w:color w:val="595959"/>
          <w:sz w:val="16"/>
          <w:szCs w:val="16"/>
        </w:rPr>
        <w:t xml:space="preserve">For informational purposes only; not investment advice. Anglo American reports in USD. Scenario figures are analyst estimates (marked (e)); prices obtained via search may be delayed.</w:t>
      </w:r>
    </w:p>
    <w:p>
      <w:pPr>
        <w:pStyle w:val="Heading2"/>
      </w:pPr>
      <w:r>
        <w:t xml:space="preserve">Headline: group underlying EBITDA by scenario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Scenario</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FY2025A</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FY2026e</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FY2027e</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FY2028e</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color w:val="375623"/>
                <w:sz w:val="18"/>
                <w:szCs w:val="18"/>
              </w:rPr>
              <w:t xml:space="preserve">Bull</w:t>
            </w:r>
          </w:p>
        </w:tc>
        <w:tc>
          <w:tcPr>
            <w:tcW w:type="dxa" w:w="1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6,421</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9,491</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10,637</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11,386</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color w:val="1F4E79"/>
                <w:sz w:val="18"/>
                <w:szCs w:val="18"/>
              </w:rPr>
              <w:t xml:space="preserve">Base</w:t>
            </w:r>
          </w:p>
        </w:tc>
        <w:tc>
          <w:tcPr>
            <w:tcW w:type="dxa" w:w="1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6,421</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7,009</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6,360</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6,735</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color w:val="843C0C"/>
                <w:sz w:val="18"/>
                <w:szCs w:val="18"/>
              </w:rPr>
              <w:t xml:space="preserve">Bear</w:t>
            </w:r>
          </w:p>
        </w:tc>
        <w:tc>
          <w:tcPr>
            <w:tcW w:type="dxa" w:w="1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6,421</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4,804</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3,552</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3,419</w:t>
            </w:r>
          </w:p>
        </w:tc>
      </w:tr>
    </w:tbl>
    <w:p>
      <w:pPr>
        <w:spacing w:after="120" w:line="264"/>
      </w:pPr>
      <w:r>
        <w:rPr>
          <w:i/>
          <w:iCs/>
          <w:color w:val="595959"/>
          <w:sz w:val="15"/>
          <w:szCs w:val="15"/>
        </w:rPr>
        <w:t xml:space="preserve">FY2025A per Anglo American FY2025 results (reported 20 February 2026); reported group underlying EBITDA was $6,417m (model calibration baseline $6,421m). Forecasts are scenario estimates (e).</w:t>
      </w:r>
    </w:p>
    <w:p>
      <w:r>
        <w:br w:type="page"/>
      </w:r>
    </w:p>
    <w:p>
      <w:pPr>
        <w:pStyle w:val="Heading1"/>
      </w:pPr>
      <w:r>
        <w:t xml:space="preserve">2.  What Anglo American is today (FY2025 snapshot)</w:t>
      </w:r>
    </w:p>
    <w:p>
      <w:pPr>
        <w:spacing w:after="120" w:line="264"/>
      </w:pPr>
      <w:r>
        <w:t xml:space="preserve">Anglo delivered a resilient FY2025 against a heavy strategic re-shaping. Underlying EBITDA edged up to $6,417m on firm copper and premium iron-ore prices and $1.8bn of run-rate cost savings, even as copper </w:t>
      </w:r>
      <w:r>
        <w:rPr>
          <w:i/>
          <w:iCs/>
        </w:rPr>
        <w:t xml:space="preserve">volumes</w:t>
      </w:r>
      <w:r>
        <w:t xml:space="preserve"> fell ~10% (planned lower grades at Los Bronces/Quellaveco). The headline attributable result was a ~$3.7bn loss, driven by a $2.3bn impairment of De Beers — a non-cash mark on an asset being sold, not an operating deterioration. Net debt fell 19% to $8.6bn and free cash flow turned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FY2025 vs FY2024 (continuing ops, $m)</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FY2024</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Change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 chg</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Revenue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18,546</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17,745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+801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+4.5%</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Underlying EBITDA</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6,417</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6,322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+1.5%</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Underlying EPS, continuing (cents)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–27.9%</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Attributable profit/(loss), total group</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(3,700)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(3,100)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wider</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Capital expenditure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3,322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3,935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(613)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–15.6%</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Attributable free cash flow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790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(209)</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+999</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n/m</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Net debt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8,571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10,623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(2,052)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–19.3%</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EBITDA (x)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1.7x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Total dividend per share (cents)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64</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–64.1%</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ROCE (%)</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0 bps</w:t>
            </w:r>
          </w:p>
        </w:tc>
      </w:tr>
    </w:tbl>
    <w:p>
      <w:pPr>
        <w:spacing w:after="120" w:line="264"/>
      </w:pPr>
      <w:r>
        <w:rPr>
          <w:i/>
          <w:iCs/>
          <w:color w:val="595959"/>
          <w:sz w:val="15"/>
          <w:szCs w:val="15"/>
        </w:rPr>
        <w:t xml:space="preserve">Source: Anglo American FY2025 results (RNS / preliminary results, 20 February 2026).</w:t>
      </w:r>
    </w:p>
    <w:p>
      <w:pPr>
        <w:pStyle w:val="Heading2"/>
      </w:pPr>
      <w:r>
        <w:t xml:space="preserve">Where the money is made</w:t>
      </w:r>
    </w:p>
    <w:p>
      <w:pPr>
        <w:spacing w:after="120" w:line="264"/>
      </w:pPr>
      <w:r>
        <w:t xml:space="preserve">Two segments generate essentially all of group EBITDA. The portfolio is being narrowed to these plus a copper-heavy growth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50"/>
        <w:gridCol w:w="1650"/>
        <w:gridCol w:w="27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Segment underlying EBITDA, FY2025 ($m)</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w:t>
            </w:r>
          </w:p>
        </w:tc>
        <w:tc>
          <w:tcPr>
            <w:tcW w:type="dxa" w:w="16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FY2024</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 production</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Copper (Chile + Peru)</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3,983</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3,805</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695 kt (–10%)</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Premium Iron Ore (Kumba + Minas-Rio)</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2,873</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2,655</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60.8 Mt (flat)</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Manganese (40% Samancor JV)</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127</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116</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3.0 Mt</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Crop Nutrients (Woodsmith, pre-prod.)</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(66)</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(34)</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De Beers (in disposal)</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(511)</w:t>
            </w:r>
          </w:p>
        </w:tc>
        <w:tc>
          <w:tcPr>
            <w:tcW w:type="dxa" w:w="1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(25)</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incl. $2.3bn impairment</w:t>
            </w:r>
          </w:p>
        </w:tc>
      </w:tr>
      <w:tr>
        <w:trPr>
          <w:tblHeader w:val="false"/>
        </w:trPr>
        <w:tc>
          <w:tcPr>
            <w:tcW w:type="dxa" w:w="336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tcPr>
          <w:p>
            <w:pPr>
              <w:jc w:val="left"/>
            </w:pPr>
            <w:r>
              <w:rPr>
                <w:b/>
                <w:bCs/>
                <w:i w:val="false"/>
                <w:iCs w:val="false"/>
                <w:sz w:val="18"/>
                <w:szCs w:val="18"/>
              </w:rPr>
              <w:t xml:space="preserve">Group underlying EBITDA</w:t>
            </w:r>
          </w:p>
        </w:tc>
        <w:tc>
          <w:tcPr>
            <w:tcW w:type="dxa" w:w="165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tcPr>
          <w:p>
            <w:pPr>
              <w:jc w:val="right"/>
            </w:pPr>
            <w:r>
              <w:rPr>
                <w:b/>
                <w:bCs/>
                <w:i w:val="false"/>
                <w:iCs w:val="false"/>
                <w:sz w:val="18"/>
                <w:szCs w:val="18"/>
              </w:rPr>
              <w:t xml:space="preserve">6,417</w:t>
            </w:r>
          </w:p>
        </w:tc>
        <w:tc>
          <w:tcPr>
            <w:tcW w:type="dxa" w:w="165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tcPr>
          <w:p>
            <w:pPr>
              <w:jc w:val="right"/>
            </w:pPr>
            <w:r>
              <w:rPr>
                <w:b/>
                <w:bCs/>
                <w:i w:val="false"/>
                <w:iCs w:val="false"/>
                <w:sz w:val="18"/>
                <w:szCs w:val="18"/>
              </w:rPr>
              <w:t xml:space="preserve">6,322</w:t>
            </w:r>
          </w:p>
        </w:tc>
        <w:tc>
          <w:tcPr>
            <w:tcW w:type="dxa" w:w="2700"/>
            <w:tcBorders>
              <w:top w:val="single" w:color="BFBFBF" w:sz="1"/>
              <w:left w:val="single" w:color="BFBFBF" w:sz="1"/>
              <w:bottom w:val="single" w:color="BFBFBF" w:sz="1"/>
              <w:right w:val="single" w:color="BFBFBF" w:sz="1"/>
            </w:tcBorders>
            <w:shd w:fill="FCE4D6" w:val="clear"/>
            <w:tcMar>
              <w:top w:type="dxa" w:w="60"/>
              <w:left w:type="dxa" w:w="110"/>
              <w:bottom w:type="dxa" w:w="60"/>
              <w:right w:type="dxa" w:w="110"/>
            </w:tcMar>
          </w:tcPr>
          <w:p>
            <w:pPr>
              <w:jc w:val="left"/>
            </w:pPr>
            <w:r>
              <w:rPr>
                <w:b w:val="false"/>
                <w:bCs w:val="false"/>
                <w:i w:val="false"/>
                <w:iCs w:val="false"/>
                <w:sz w:val="18"/>
                <w:szCs w:val="18"/>
              </w:rPr>
              <w:t xml:space="preserve"/>
            </w:r>
          </w:p>
        </w:tc>
      </w:tr>
    </w:tbl>
    <w:p>
      <w:pPr>
        <w:spacing w:after="120" w:line="264"/>
      </w:pPr>
      <w:r>
        <w:rPr>
          <w:b/>
          <w:bCs/>
        </w:rPr>
        <w:t xml:space="preserve">Portfolio in motion (mid-2026): </w:t>
      </w:r>
      <w:r>
        <w:t xml:space="preserve">PGMs were demerged as Valterra Platinum (May 2025); the residual stake was sold (Sept 2025). The steelmaking-coal sale to Peabody collapsed after the Moranbah North fire (now in arbitration); Anglo agreed on 18 May 2026 to sell the coal mines to Dhilmar for up to $3.88bn. Nickel is being sold to MMG (up to $500m). De Beers (~85% stake) is in a formal sale process, targeted to complete around H2 2026. Woodsmith (crop nutrients) is slowed to ~$0.25bn/yr with Mitsubishi taking up to a 25% stake; a final investment decision is not expected before 2028.</w:t>
      </w:r>
    </w:p>
    <w:p>
      <w:pPr>
        <w:pStyle w:val="Heading1"/>
      </w:pPr>
      <w:r>
        <w:t xml:space="preserve">3.  The dominant strategic event: the Anglo Teck merger</w:t>
      </w:r>
    </w:p>
    <w:p>
      <w:pPr>
        <w:spacing w:after="120" w:line="264"/>
      </w:pPr>
      <w:r>
        <w:t xml:space="preserve">Announced as a “merger of equals” on 9 September 2025, the all-share combination with Teck Resources creates </w:t>
      </w:r>
      <w:r>
        <w:rPr>
          <w:b/>
          <w:bCs/>
        </w:rPr>
        <w:t xml:space="preserve">Anglo Teck</w:t>
      </w:r>
      <w:r>
        <w:t xml:space="preserve"> — headquartered in Vancouver, primary-listed in London, and one of the world’s largest copper producers. It is expected to complete within the outlook window (final regulatory clearance guided to September 2026–March 2027), so the IC should treat it as a base-case reality, not an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6100"/>
      </w:tblGrid>
      <w:tr>
        <w:trPr>
          <w:tblHeader/>
        </w:trPr>
        <w:tc>
          <w:tcPr>
            <w:tcW w:type="dxa" w:w="3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Term</w:t>
            </w:r>
          </w:p>
        </w:tc>
        <w:tc>
          <w:tcPr>
            <w:tcW w:type="dxa" w:w="6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Detail</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Structure / exchange ratio</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All-share merger of equals; 1.3301 Anglo shares per Teck share</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Ownership split</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Anglo holders ~62.4% / Teck holders ~37.6%</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Special dividend to Anglo holders</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US$4.5bn total (~$4.19/share), ahead of completion</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Synergies</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~$800m/yr pre-tax run-rate (full by yr4; ~80% by yr2); ~$700m one-off cost to achieve</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Copper scale</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~1.2Mt combined copper now → ~1.35Mt by 2027; copper &gt;70% of group</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Approvals</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Shareholders, BC Supreme Court, Investment Canada Act and South Korea cleared; China antitrust outstanding</w:t>
            </w:r>
          </w:p>
        </w:tc>
      </w:tr>
      <w:tr>
        <w:trPr>
          <w:tblHeader w:val="false"/>
        </w:trPr>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Expected completion</w:t>
            </w:r>
          </w:p>
        </w:tc>
        <w:tc>
          <w:tcPr>
            <w:tcW w:type="dxa" w:w="6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~September 2026 – March 2027</w:t>
            </w:r>
          </w:p>
        </w:tc>
      </w:tr>
    </w:tbl>
    <w:p>
      <w:pPr>
        <w:spacing w:after="120" w:line="264"/>
      </w:pPr>
      <w:r>
        <w:rPr>
          <w:b/>
          <w:bCs/>
        </w:rPr>
        <w:t xml:space="preserve">Illustrative overlay (see Excel ‘Teck overlay’ tab): </w:t>
      </w:r>
      <w:r>
        <w:t xml:space="preserve">adding Teck’s EBITDA (~$2.2bn) and phased synergies to standalone Anglo lifts </w:t>
      </w:r>
      <w:r>
        <w:rPr>
          <w:i/>
          <w:iCs/>
        </w:rPr>
        <w:t xml:space="preserve">pro-forma</w:t>
      </w:r>
      <w:r>
        <w:t xml:space="preserve"> group EBITDA to ~$8.7bn (FY2027e) and ~$9.4bn (FY2028e) on our base case. The $4.5bn special dividend is a one-off cash return (funded partly by disposals) that raises pro-forma net debt at completion, partly offset by Teck’s own low-levered balance sheet. We keep this separate from the standalone projections at the IC’s request.</w:t>
      </w:r>
    </w:p>
    <w:p>
      <w:r>
        <w:br w:type="page"/>
      </w:r>
    </w:p>
    <w:p>
      <w:pPr>
        <w:pStyle w:val="Heading1"/>
      </w:pPr>
      <w:r>
        <w:t xml:space="preserve">4.  Two-year outlook: bull vs bear</w:t>
      </w:r>
    </w:p>
    <w:p>
      <w:pPr>
        <w:spacing w:after="120" w:line="264"/>
      </w:pPr>
      <w:r>
        <w:t xml:space="preserve">“Bull” and “bear” here are commodity-cycle scenarios, not equity-market sentiment. The dominant lever is the copper price; premium iron ore is the secondary swing; volumes track company guidance (top of range in the bull, bottom in the bear). The commodity deck below drives the model.</w:t>
      </w:r>
    </w:p>
    <w:p>
      <w:pPr>
        <w:pStyle w:val="Heading2"/>
      </w:pPr>
      <w:r>
        <w:t xml:space="preserve">Commodity price deck (realised, model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Assumption</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Bull</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Base</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Bear</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Copper ($/t), 2026 / 2028</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13,500 / 14,500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11,500 / 10,500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10,000 / 8,000</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Iron ore 62% Fe ($/t), 2026 / 2028</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95 / 88</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85 / 72</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72 / 55</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Brent oil (avg $/bbl), 2026</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75</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120</w:t>
            </w:r>
          </w:p>
        </w:tc>
      </w:tr>
      <w:tr>
        <w:trPr>
          <w:tblHeader w:val="false"/>
        </w:trP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Copper volume vs guidance</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top</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mid</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low</w:t>
            </w:r>
          </w:p>
        </w:tc>
      </w:tr>
    </w:tbl>
    <w:p>
      <w:pPr>
        <w:spacing w:after="120" w:line="264"/>
      </w:pPr>
      <w:r>
        <w:rPr>
          <w:i/>
          <w:iCs/>
          <w:color w:val="595959"/>
          <w:sz w:val="15"/>
          <w:szCs w:val="15"/>
        </w:rPr>
        <w:t xml:space="preserve">Anchored to: company 2026–28 production guidance; World Bank CMO (Apr 2026), Goldman Sachs, Fitch and BofA commodity forecasts. Copper spot was ~$14,150/t in mid-June 2026 (war-elevated); forecasters expect normalisation. All marked (e).</w:t>
      </w:r>
    </w:p>
    <w:p>
      <w:pPr>
        <w:pStyle w:val="Heading2"/>
      </w:pPr>
      <w:r>
        <w:t xml:space="preserve">Scenario financials (standalone, $m unless noted)</w:t>
      </w:r>
    </w:p>
    <w:p>
      <w:pPr>
        <w:spacing w:after="40" w:before="80"/>
      </w:pPr>
      <w:r>
        <w:rPr>
          <w:b/>
          <w:bCs/>
          <w:color w:val="375623"/>
          <w:sz w:val="21"/>
          <w:szCs w:val="21"/>
        </w:rPr>
        <w:t xml:space="preserve">Bull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Bull case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FY2025A</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FY2026e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FY2027e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FY2028e</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Group underlying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bCs/>
                <w:i w:val="false"/>
                <w:iCs w:val="false"/>
                <w:sz w:val="18"/>
                <w:szCs w:val="18"/>
              </w:rPr>
              <w:t xml:space="preserve">6,421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9,491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10,637</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11,386</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Attributable free cash flow</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2,438</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3,863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4,935</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(net cash)</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8,571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2,841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(3,656)</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(7,625)</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1.3x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(0.7x)</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Underlying EPS (cents)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157</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192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214</w:t>
            </w:r>
          </w:p>
        </w:tc>
      </w:tr>
    </w:tbl>
    <w:p>
      <w:pPr>
        <w:spacing w:after="40" w:before="80"/>
      </w:pPr>
      <w:r>
        <w:rPr>
          <w:b/>
          <w:bCs/>
          <w:color w:val="1F4E79"/>
          <w:sz w:val="21"/>
          <w:szCs w:val="21"/>
        </w:rPr>
        <w:t xml:space="preserve">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Base case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FY2025A</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FY2026e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FY2027e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FY2028e</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Group underlying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bCs/>
                <w:i w:val="false"/>
                <w:iCs w:val="false"/>
                <w:sz w:val="18"/>
                <w:szCs w:val="18"/>
              </w:rPr>
              <w:t xml:space="preserve">6,421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7,009</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6,360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6,735</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Attributable free cash flow</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899</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1,164</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2,031</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(net cash)</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8,571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4,103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523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(1,062)</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1.3x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0.6x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0.1x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(0.2x)</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Underlying EPS (cents)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96</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85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99</w:t>
            </w:r>
          </w:p>
        </w:tc>
      </w:tr>
    </w:tbl>
    <w:p>
      <w:pPr>
        <w:spacing w:after="40" w:before="80"/>
      </w:pPr>
      <w:r>
        <w:rPr>
          <w:b/>
          <w:bCs/>
          <w:color w:val="843C0C"/>
          <w:sz w:val="21"/>
          <w:szCs w:val="21"/>
        </w:rPr>
        <w:t xml:space="preserve">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Bear case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FY2025A</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FY2026e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FY2027e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right"/>
            </w:pPr>
            <w:r>
              <w:rPr>
                <w:b/>
                <w:bCs/>
                <w:i w:val="false"/>
                <w:iCs w:val="false"/>
                <w:color w:val="FFFFFF"/>
                <w:sz w:val="18"/>
                <w:szCs w:val="18"/>
              </w:rPr>
              <w:t xml:space="preserve">FY2028e</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Group underlying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bCs/>
                <w:i w:val="false"/>
                <w:iCs w:val="false"/>
                <w:sz w:val="18"/>
                <w:szCs w:val="18"/>
              </w:rPr>
              <w:t xml:space="preserve">6,421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4,804</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3,552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bCs/>
                <w:i w:val="false"/>
                <w:iCs w:val="false"/>
                <w:sz w:val="18"/>
                <w:szCs w:val="18"/>
              </w:rPr>
              <w:t xml:space="preserve">3,419</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Attributable free cash flow</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(468)</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(618)</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(152)</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(net cash)</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8,571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5,225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3,910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4,119</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Net debt / EBITDA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1.3x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1.1x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1.2x</w:t>
            </w:r>
          </w:p>
        </w:tc>
      </w:tr>
      <w:tr>
        <w:trPr>
          <w:tblHeader w:val="false"/>
        </w:trP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Underlying EPS (cents) (e)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right"/>
            </w:pPr>
            <w:r>
              <w:rPr>
                <w:b w:val="false"/>
                <w:bCs w:val="false"/>
                <w:i w:val="false"/>
                <w:iCs w:val="false"/>
                <w:sz w:val="18"/>
                <w:szCs w:val="18"/>
              </w:rPr>
              <w:t xml:space="preserve">81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41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b w:val="false"/>
                <w:bCs w:val="false"/>
                <w:i w:val="false"/>
                <w:iCs w:val="false"/>
                <w:sz w:val="18"/>
                <w:szCs w:val="18"/>
              </w:rPr>
              <w:t xml:space="preserve">13</w:t>
            </w:r>
          </w:p>
        </w:tc>
      </w:tr>
    </w:tbl>
    <w:p>
      <w:pPr>
        <w:spacing w:after="120" w:line="264"/>
      </w:pPr>
      <w:r>
        <w:rPr>
          <w:i/>
          <w:iCs/>
          <w:color w:val="595959"/>
          <w:sz w:val="15"/>
          <w:szCs w:val="15"/>
        </w:rPr>
        <w:t xml:space="preserve">Net debt shown as “(net cash)” in parentheses where negative. Standalone Anglo American plc, before the Teck special dividend. FCF after capex, cash tax, net interest and minorities; all estimates (e).</w:t>
      </w:r>
    </w:p>
    <w:p>
      <w:pPr>
        <w:pStyle w:val="Heading2"/>
      </w:pPr>
      <w:r>
        <w:t xml:space="preserve">Reading the cases</w:t>
      </w:r>
    </w:p>
    <w:p>
      <w:pPr>
        <w:spacing w:after="120" w:line="264"/>
      </w:pPr>
      <w:r>
        <w:rPr>
          <w:b/>
          <w:bCs/>
          <w:color w:val="375623"/>
        </w:rPr>
        <w:t xml:space="preserve">Bull. </w:t>
      </w:r>
      <w:r>
        <w:t xml:space="preserve">Copper holds its war-/transition-driven bid while Anglo delivers the guided +125kt copper growth to 2028. EBITDA compounds to ~$11.4bn, free cash flow reaches ~$4.9bn, and disposal proceeds push the group to net cash by FY2027e — ample room for buybacks and to absorb the Teck special dividend. This is the scenario the current share price (EV/EBITDA ~7x on 2026e bull EBITDA) is partly discounting.</w:t>
      </w:r>
    </w:p>
    <w:p>
      <w:pPr>
        <w:spacing w:after="120" w:line="264"/>
      </w:pPr>
      <w:r>
        <w:rPr>
          <w:b/>
          <w:bCs/>
          <w:color w:val="1F4E79"/>
        </w:rPr>
        <w:t xml:space="preserve">Base. </w:t>
      </w:r>
      <w:r>
        <w:t xml:space="preserve">Copper eases from the war spike but stays historically firm (~$10,500–11,500/t); iron ore drifts lower on rising global supply. EBITDA is ~$6.4–7.0bn across the three years, free cash flow is positive and rising, and the balance sheet still reaches roughly net cash by FY2028e on disposals. A “keep-compounding-and-deleveraging” outcome.</w:t>
      </w:r>
    </w:p>
    <w:p>
      <w:pPr>
        <w:spacing w:after="120" w:line="264"/>
      </w:pPr>
      <w:r>
        <w:rPr>
          <w:b/>
          <w:bCs/>
          <w:color w:val="843C0C"/>
        </w:rPr>
        <w:t xml:space="preserve">Bear. </w:t>
      </w:r>
      <w:r>
        <w:t xml:space="preserve">A prolonged oil shock tips growth lower; copper falls to ~$8,000/t and iron ore to the mid-$50s/t. EBITDA more than halves to ~$3.4bn by FY2028e, free cash flow is modestly negative, the dividend is cut, and net debt sits ~$4–5bn. Net debt/EBITDA of ~1.2x is uncomfortable but not distressed — disposals are the balance-sheet shock-absorber. The main damage is to the equity multiple and dividend, not to solvency.</w:t>
      </w:r>
    </w:p>
    <w:p>
      <w:r>
        <w:br w:type="page"/>
      </w:r>
    </w:p>
    <w:p>
      <w:pPr>
        <w:pStyle w:val="Heading1"/>
      </w:pPr>
      <w:r>
        <w:t xml:space="preserve">5.  The Iran war: impact if it continues into H2 2026</w:t>
      </w:r>
    </w:p>
    <w:p>
      <w:pPr>
        <w:spacing w:after="120" w:line="264"/>
      </w:pPr>
      <w:r>
        <w:rPr>
          <w:b/>
          <w:bCs/>
        </w:rPr>
        <w:t xml:space="preserve">Context. </w:t>
      </w:r>
      <w:r>
        <w:t xml:space="preserve">The war began on 28 February 2026 with US/Israeli strikes on Iran; Iran disrupted the Strait of Hormuz (~20% of seaborne oil). Brent rose from ~$72 pre-war to a ~$120 peak (intraday ~$126 on 30 April), easing to &lt;$87 by mid-June on a fragile, repeatedly-violated ceasefire. If the conflict re-escalates and Hormuz is disrupted through H2, analysts have flagged $150 (Citi) and up to $200 oil; BlackRock sees $150 “even with a ceasefire.” The World Bank already lifted its 2026 energy forecast +24% and its metals index +17% (copper-led).</w:t>
      </w:r>
    </w:p>
    <w:p>
      <w:pPr>
        <w:spacing w:after="120" w:line="264"/>
      </w:pPr>
      <w:r>
        <w:rPr>
          <w:b/>
          <w:bCs/>
        </w:rPr>
        <w:t xml:space="preserve">How it reaches Anglo. </w:t>
      </w:r>
      <w:r>
        <w:t xml:space="preserve">The transmission is several channels, of very different magnitudes: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Channel</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Mechanism</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Read for Anglo</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Energy &amp; diesel cost</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Diesel + power are a large slice of open-pit cash cost. Read-across (Rio): +$10/bbl ≈ +$0.15/t iron-ore cost; copper haulage is more diesel-intensive.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Negative, modest. ~$240m (e) group cost drag at Brent $120 (2026e) — ~3–5% of EBITDA.</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Freight &amp; insurance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Gulf war-risk premiums spiked from ~0.25% to 3–8% of hull value; bulk routing/insurance costs rise.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Negative, small for Anglo’s trade lanes (Chile/Brazil/SA).</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Global growth / demand</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An oil shock cuts industrial activity; sustained ~$110 Brent could trim 2026 copper-demand growth ~1.4ppts. Iron ore is most China-demand sensitive.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Negative, large — this is the bear case. Iron ore most exposed; copper more resilient.</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Inflation → rates → USD</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Oil-driven inflation keeps rates higher and the USD firmer; a headwind for $-priced metals.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Negative at the margin for copper/iron-ore prices.</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ZAR weakness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Risk-off pushed USD/ZAR from ~16.1 to ~17.1 (+6%). A weaker rand lowers $-translated SA costs.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Partial offset for Kumba/SA cost base (Anglo reports in USD).</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Copper &amp; potash bid</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Supply fear + inflation hedge support copper; Hormuz disruption is spiking potash/fertilizer prices.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Positive — supports copper thesis and Woodsmith’s long-run economics.</w:t>
            </w:r>
          </w:p>
        </w:tc>
      </w:tr>
    </w:tbl>
    <w:p>
      <w:pPr>
        <w:spacing w:after="120" w:line="264"/>
      </w:pPr>
      <w:r>
        <w:rPr>
          <w:b/>
          <w:bCs/>
        </w:rPr>
        <w:t xml:space="preserve">Bottom line. </w:t>
      </w:r>
      <w:r>
        <w:t xml:space="preserve">The war’s </w:t>
      </w:r>
      <w:r>
        <w:rPr>
          <w:i/>
          <w:iCs/>
        </w:rPr>
        <w:t xml:space="preserve">direct</w:t>
      </w:r>
      <w:r>
        <w:t xml:space="preserve"> cost to Anglo is real but contained (~3–5% of EBITDA at $120 Brent). Its </w:t>
      </w:r>
      <w:r>
        <w:rPr>
          <w:i/>
          <w:iCs/>
        </w:rPr>
        <w:t xml:space="preserve">indirect</w:t>
      </w:r>
      <w:r>
        <w:t xml:space="preserve"> effect dominates and cuts both ways: it is simultaneously a tail-risk to demand (the bear case) and a support to copper and future potash prices (part of the bull case). For a company about to be &gt;70% copper, a war that keeps copper bid while only modestly raising costs is, perversely, closer to neutral-to-positive at the EBITDA line than the headlines imply — provided it does not trigger a global recession. Management maintained full-year guidance at the Q1 2026 update (28 April 2026).</w:t>
      </w:r>
    </w:p>
    <w:p>
      <w:pPr>
        <w:pStyle w:val="Heading1"/>
      </w:pPr>
      <w:r>
        <w:t xml:space="preserve">6.  Biggest risks to the business</w:t>
      </w:r>
    </w:p>
    <w:p>
      <w:pPr>
        <w:spacing w:after="120" w:line="264"/>
      </w:pPr>
      <w:r>
        <w:t xml:space="preserve">Ranked by potential impact on group value over the next 24 months.</w:t>
      </w:r>
    </w:p>
    <w:p>
      <w:pPr>
        <w:pStyle w:val="ListParagraph"/>
        <w:numPr>
          <w:ilvl w:val="0"/>
          <w:numId w:val="2"/>
        </w:numPr>
        <w:spacing w:after="80" w:line="260"/>
      </w:pPr>
      <w:r>
        <w:rPr>
          <w:b/>
          <w:bCs/>
        </w:rPr>
        <w:t xml:space="preserve">Copper price. </w:t>
      </w:r>
      <w:r>
        <w:t xml:space="preserve">The single largest sensitivity — ~$730m of group EBITDA per $1,000/t move (2026e). Concentration rises further post-Teck (&gt;70% copper), so diversification no longer cushions a copper downcycle.</w:t>
      </w:r>
    </w:p>
    <w:p>
      <w:pPr>
        <w:pStyle w:val="ListParagraph"/>
        <w:numPr>
          <w:ilvl w:val="0"/>
          <w:numId w:val="2"/>
        </w:numPr>
        <w:spacing w:after="80" w:line="260"/>
      </w:pPr>
      <w:r>
        <w:rPr>
          <w:b/>
          <w:bCs/>
        </w:rPr>
        <w:t xml:space="preserve">Iron-ore structural downtrend. </w:t>
      </w:r>
      <w:r>
        <w:t xml:space="preserve">All major forecasters see 62% Fe falling on the Simandou supply ramp and soft Chinese steel/property demand. ~$570m EBITDA per $10/t. Kumba also carries SA logistics risk (below).</w:t>
      </w:r>
    </w:p>
    <w:p>
      <w:pPr>
        <w:pStyle w:val="ListParagraph"/>
        <w:numPr>
          <w:ilvl w:val="0"/>
          <w:numId w:val="2"/>
        </w:numPr>
        <w:spacing w:after="80" w:line="260"/>
      </w:pPr>
      <w:r>
        <w:rPr>
          <w:b/>
          <w:bCs/>
        </w:rPr>
        <w:t xml:space="preserve">Iran war / energy &amp; demand shock. </w:t>
      </w:r>
      <w:r>
        <w:t xml:space="preserve">A prolonged conflict raises diesel, power and freight costs and — more importantly — threatens a growth slowdown that would hit volumes and prices (the bear case).</w:t>
      </w:r>
    </w:p>
    <w:p>
      <w:pPr>
        <w:pStyle w:val="ListParagraph"/>
        <w:numPr>
          <w:ilvl w:val="0"/>
          <w:numId w:val="2"/>
        </w:numPr>
        <w:spacing w:after="80" w:line="260"/>
      </w:pPr>
      <w:r>
        <w:rPr>
          <w:b/>
          <w:bCs/>
        </w:rPr>
        <w:t xml:space="preserve">Anglo Teck completion &amp; integration. </w:t>
      </w:r>
      <w:r>
        <w:t xml:space="preserve">China antitrust is the last major clearance; a block/remedy or delay would be a material setback. Integration risk, the $4.5bn special-dividend cash outflow, and delivery of ~$800m synergies all sit here.</w:t>
      </w:r>
    </w:p>
    <w:p>
      <w:pPr>
        <w:pStyle w:val="ListParagraph"/>
        <w:numPr>
          <w:ilvl w:val="0"/>
          <w:numId w:val="2"/>
        </w:numPr>
        <w:spacing w:after="80" w:line="260"/>
      </w:pPr>
      <w:r>
        <w:rPr>
          <w:b/>
          <w:bCs/>
        </w:rPr>
        <w:t xml:space="preserve">De Beers disposal &amp; diamond market. </w:t>
      </w:r>
      <w:r>
        <w:t xml:space="preserve">Rough prices fell ~19% YoY in Q1 2026 with lab-grown share rising; realising fair value on the ~85% stake (carried ~$2.3bn after impairment) is uncertain, as is timing.</w:t>
      </w:r>
    </w:p>
    <w:p>
      <w:pPr>
        <w:pStyle w:val="ListParagraph"/>
        <w:numPr>
          <w:ilvl w:val="0"/>
          <w:numId w:val="2"/>
        </w:numPr>
        <w:spacing w:after="80" w:line="260"/>
      </w:pPr>
      <w:r>
        <w:rPr>
          <w:b/>
          <w:bCs/>
        </w:rPr>
        <w:t xml:space="preserve">South African logistics &amp; power. </w:t>
      </w:r>
      <w:r>
        <w:t xml:space="preserve">Transnet rail/port constraints cap Kumba export volumes; Eskom reliability, water, community and regulatory (Mining Charter / BEE) factors persist. Rand volatility cuts both ways.</w:t>
      </w:r>
    </w:p>
    <w:p>
      <w:pPr>
        <w:pStyle w:val="ListParagraph"/>
        <w:numPr>
          <w:ilvl w:val="0"/>
          <w:numId w:val="2"/>
        </w:numPr>
        <w:spacing w:after="80" w:line="260"/>
      </w:pPr>
      <w:r>
        <w:rPr>
          <w:b/>
          <w:bCs/>
        </w:rPr>
        <w:t xml:space="preserve">Coal-exit execution. </w:t>
      </w:r>
      <w:r>
        <w:t xml:space="preserve">Completion of the Dhilmar sale, the Peabody arbitration outcome, and the Moranbah North restart all carry residual risk and potential proceeds variance.</w:t>
      </w:r>
    </w:p>
    <w:p>
      <w:pPr>
        <w:pStyle w:val="ListParagraph"/>
        <w:numPr>
          <w:ilvl w:val="0"/>
          <w:numId w:val="2"/>
        </w:numPr>
        <w:spacing w:after="80" w:line="260"/>
      </w:pPr>
      <w:r>
        <w:rPr>
          <w:b/>
          <w:bCs/>
        </w:rPr>
        <w:t xml:space="preserve">Capital allocation / Woodsmith. </w:t>
      </w:r>
      <w:r>
        <w:t xml:space="preserve">~$0.25bn/yr is being spent pre-FID (2028); scope for capex creep or a value-destructive go-decision if potash economics disappoint.</w:t>
      </w:r>
    </w:p>
    <w:p>
      <w:pPr>
        <w:pStyle w:val="ListParagraph"/>
        <w:numPr>
          <w:ilvl w:val="0"/>
          <w:numId w:val="2"/>
        </w:numPr>
        <w:spacing w:after="80" w:line="260"/>
      </w:pPr>
      <w:r>
        <w:rPr>
          <w:b/>
          <w:bCs/>
        </w:rPr>
        <w:t xml:space="preserve">Balance sheet &amp; dividend. </w:t>
      </w:r>
      <w:r>
        <w:t xml:space="preserve">Net debt $8.6bn today; the bear case keeps net debt/EBITDA ~1.2x and forces a dividend cut. Disposal proceeds are the key de-risking lever — slippage in timing or price matters.</w:t>
      </w:r>
    </w:p>
    <w:p>
      <w:r>
        <w:br w:type="page"/>
      </w:r>
    </w:p>
    <w:p>
      <w:pPr>
        <w:pStyle w:val="Heading1"/>
      </w:pPr>
      <w:r>
        <w:t xml:space="preserve">7.  Indicators to watch over the next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60"/>
        <w:gridCol w:w="310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Indicator</w:t>
            </w:r>
          </w:p>
        </w:tc>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Why it matters</w:t>
            </w:r>
          </w:p>
        </w:tc>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jc w:val="left"/>
            </w:pPr>
            <w:r>
              <w:rPr>
                <w:b/>
                <w:bCs/>
                <w:i w:val="false"/>
                <w:iCs w:val="false"/>
                <w:color w:val="FFFFFF"/>
                <w:sz w:val="18"/>
                <w:szCs w:val="18"/>
              </w:rPr>
              <w:t xml:space="preserve">Bull ▲ / Bear ▼ signal</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LME copper price &amp; inventories</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The dominant EBITDA driver; exchange stocks signal physical tightness.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&gt;$12,000/t &amp; falling stocks  /  ▼ &lt;$9,000/t &amp; rising stocks</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62% Fe iron ore + China steel/property</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Second-largest earner; China is ~the entire marginal demand.</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&gt;$95/t, stimulus  /  ▼ &lt;$75/t, weak steel PMIs</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Brent oil &amp; Strait of Hormuz status</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Drives the energy cost overlay and the global-demand tail risk.</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Brent &lt;$80, Hormuz open  /  ▼ &gt;$110, disruption</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USD/ZAR</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Weaker rand lowers $-translated SA (Kumba) costs.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~17–18 (cost relief)  /  ▼ &lt;16 plus weak prices</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China stimulus / global PMIs</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Sets the demand backdrop for both key commodities.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easing &amp; PMIs &gt;50  /  ▼ tightening &amp; PMIs &lt;48</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China SAMR merger decision</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Last major Anglo Teck clearance; binary catalyst.</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clean approval  /  ▼ block, remedy or delay</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De Beers sale completion &amp; rough price index</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Removes an EBITDA drag and cuts net debt; tests asset value.</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completes at/above carrying value  /  ▼ slips or marked down</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Quarterly production reports</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Tests delivery of guided copper growth (Quellaveco grades, Chile throughput) and unit costs.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guidance met/raised, C1 in line  /  ▼ downgrades, cost creep</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Net debt trajectory &amp; dividend</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Confirms the deleveraging / capital-return thesis.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disposals land, buyback  /  ▼ dividend cut, debt sticky</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bCs/>
                <w:i w:val="false"/>
                <w:iCs w:val="false"/>
                <w:sz w:val="18"/>
                <w:szCs w:val="18"/>
              </w:rPr>
              <w:t xml:space="preserve">US Fed path / USD (DXY)</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USD strength is a structural headwind for $-priced metals.</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i w:val="false"/>
                <w:iCs w:val="false"/>
                <w:sz w:val="18"/>
                <w:szCs w:val="18"/>
              </w:rPr>
              <w:t xml:space="preserve">▲ cuts, softer USD  /  ▼ higher-for-longer, strong USD</w:t>
            </w:r>
          </w:p>
        </w:tc>
      </w:tr>
    </w:tbl>
    <w:p>
      <w:pPr>
        <w:pStyle w:val="Heading1"/>
      </w:pPr>
      <w:r>
        <w:t xml:space="preserve">8.  Valuation context</w:t>
      </w:r>
    </w:p>
    <w:p>
      <w:pPr>
        <w:spacing w:after="120" w:line="264"/>
      </w:pPr>
      <w:r>
        <w:t xml:space="preserve">At the LSE close of 3,804p on 12 June 2026 (market cap ~£42.9bn; JSE R875.14), Anglo screens on our model at an enterprise value of ~$66bn. Against scenario EBITDA that implies ~7.0x EV/EBITDA on the 2026e </w:t>
      </w:r>
      <w:r>
        <w:rPr>
          <w:i/>
          <w:iCs/>
        </w:rPr>
        <w:t xml:space="preserve">bull</w:t>
      </w:r>
      <w:r>
        <w:t xml:space="preserve"> case, ~9.5x on </w:t>
      </w:r>
      <w:r>
        <w:rPr>
          <w:i/>
          <w:iCs/>
        </w:rPr>
        <w:t xml:space="preserve">base</w:t>
      </w:r>
      <w:r>
        <w:t xml:space="preserve">, and ~14x on </w:t>
      </w:r>
      <w:r>
        <w:rPr>
          <w:i/>
          <w:iCs/>
        </w:rPr>
        <w:t xml:space="preserve">bear</w:t>
      </w:r>
      <w:r>
        <w:t xml:space="preserve">. In other words, the shares already embed a constructive copper view plus Teck optionality. Trailing P/E is not meaningful (the De Beers impairment produced a headline loss); the stock is best framed on EV/EBITDA and copper-price scenarios rather than near-term earnings. Sell-side targets span a wide ~3,160p (JPMorgan, UW) to ~4,500p (Deutsche Bank, Buy), underscoring how much rests on the copper and merger calls.</w:t>
      </w:r>
    </w:p>
    <w:p>
      <w:pPr>
        <w:spacing w:after="120" w:line="264"/>
      </w:pPr>
      <w:r>
        <w:rPr>
          <w:i/>
          <w:iCs/>
          <w:color w:val="595959"/>
          <w:sz w:val="15"/>
          <w:szCs w:val="15"/>
        </w:rPr>
        <w:t xml:space="preserve">Equity value uses 3,804p × ~1,127m shares × an assumed GBP/USD of 1.35 (e); EV holds current net debt of $8.6bn. Prices may be delayed; no live JSE/LME feed.</w:t>
      </w:r>
    </w:p>
    <w:p>
      <w:pPr>
        <w:pStyle w:val="Heading1"/>
      </w:pPr>
      <w:r>
        <w:t xml:space="preserve">9.  Compliance &amp; basis of preparation</w:t>
      </w:r>
    </w:p>
    <w:p>
      <w:pPr>
        <w:spacing w:after="120" w:line="264"/>
      </w:pPr>
      <w:r>
        <w:t xml:space="preserve">This briefing is for informational purposes only and is not investment advice; the author is not a registered financial adviser. Figures attributed to Anglo American are from its published FY2025 results and subsequent announcements; scenario projections are the analyst’s own estimates (marked (e)) and are not forecasts of actual results. Anglo American reports in US dollars. Share prices and commodity prices obtained via web search may be delayed and should be re-verified before any dealing. Confirm whether the fund is in a closed or prohibited dealing period before acting. The accompanying Excel model is fully formula-driven — changing the blue input cells on the ‘Assumptions’ tab re-runs every scenario.</w:t>
      </w:r>
    </w:p>
    <w:p>
      <w:pPr>
        <w:pStyle w:val="Heading1"/>
      </w:pPr>
      <w:r>
        <w:t xml:space="preserve">Key sources</w:t>
      </w:r>
    </w:p>
    <w:p>
      <w:pPr>
        <w:spacing w:after="40"/>
      </w:pPr>
      <w:hyperlink w:history="1" r:id="rIdbo3zwk8oqjde_mul_k0n3">
        <w:r>
          <w:rPr>
            <w:rStyle w:val="Hyperlink"/>
            <w:sz w:val="16"/>
            <w:szCs w:val="16"/>
          </w:rPr>
          <w:t xml:space="preserve">Anglo American FY2025 results (RNS, 20 Feb 2026)</w:t>
        </w:r>
      </w:hyperlink>
    </w:p>
    <w:p>
      <w:pPr>
        <w:spacing w:after="40"/>
      </w:pPr>
      <w:hyperlink w:history="1" r:id="rIdizgbnc326_upld5cypggz">
        <w:r>
          <w:rPr>
            <w:rStyle w:val="Hyperlink"/>
            <w:sz w:val="16"/>
            <w:szCs w:val="16"/>
          </w:rPr>
          <w:t xml:space="preserve">Anglo American FY2025 preliminary results (PDF)</w:t>
        </w:r>
      </w:hyperlink>
    </w:p>
    <w:p>
      <w:pPr>
        <w:spacing w:after="40"/>
      </w:pPr>
      <w:hyperlink w:history="1" r:id="rIdtmcqjyye3pzmwjjrjntcz">
        <w:r>
          <w:rPr>
            <w:rStyle w:val="Hyperlink"/>
            <w:sz w:val="16"/>
            <w:szCs w:val="16"/>
          </w:rPr>
          <w:t xml:space="preserve">Anglo American 2026–28 guidance (Q4 2025 production report; Mining Weekly)</w:t>
        </w:r>
      </w:hyperlink>
    </w:p>
    <w:p>
      <w:pPr>
        <w:spacing w:after="40"/>
      </w:pPr>
      <w:hyperlink w:history="1" r:id="rIdjbi33c11mzeqycotbhrvf">
        <w:r>
          <w:rPr>
            <w:rStyle w:val="Hyperlink"/>
            <w:sz w:val="16"/>
            <w:szCs w:val="16"/>
          </w:rPr>
          <w:t xml:space="preserve">Anglo Teck merger of equals (9 Sep 2025)</w:t>
        </w:r>
      </w:hyperlink>
    </w:p>
    <w:p>
      <w:pPr>
        <w:spacing w:after="40"/>
      </w:pPr>
      <w:hyperlink w:history="1" r:id="rIdjg4fs-zhq4gxgf9k0r5dx">
        <w:r>
          <w:rPr>
            <w:rStyle w:val="Hyperlink"/>
            <w:sz w:val="16"/>
            <w:szCs w:val="16"/>
          </w:rPr>
          <w:t xml:space="preserve">Anglo Teck — SEC Exhibit 99.1 (synergies / cost to achieve)</w:t>
        </w:r>
      </w:hyperlink>
    </w:p>
    <w:p>
      <w:pPr>
        <w:spacing w:after="40"/>
      </w:pPr>
      <w:hyperlink w:history="1" r:id="rId7ucf-e1falhmkmpehjxvj">
        <w:r>
          <w:rPr>
            <w:rStyle w:val="Hyperlink"/>
            <w:sz w:val="16"/>
            <w:szCs w:val="16"/>
          </w:rPr>
          <w:t xml:space="preserve">Anglo Teck merger — completion timing (Mining.com)</w:t>
        </w:r>
      </w:hyperlink>
    </w:p>
    <w:p>
      <w:pPr>
        <w:spacing w:after="40"/>
      </w:pPr>
      <w:hyperlink w:history="1" r:id="rIdgobc5kxpfql133kdnldat">
        <w:r>
          <w:rPr>
            <w:rStyle w:val="Hyperlink"/>
            <w:sz w:val="16"/>
            <w:szCs w:val="16"/>
          </w:rPr>
          <w:t xml:space="preserve">Anglo to sell coal to Dhilmar up to $3.88bn (Reuters, 18 May 2026)</w:t>
        </w:r>
      </w:hyperlink>
    </w:p>
    <w:p>
      <w:pPr>
        <w:spacing w:after="40"/>
      </w:pPr>
      <w:hyperlink w:history="1" r:id="rIdnbm5nhx_ef-ah6pa30uru">
        <w:r>
          <w:rPr>
            <w:rStyle w:val="Hyperlink"/>
            <w:sz w:val="16"/>
            <w:szCs w:val="16"/>
          </w:rPr>
          <w:t xml:space="preserve">De Beers sale process (Mining.com, 5 Jun 2026)</w:t>
        </w:r>
      </w:hyperlink>
    </w:p>
    <w:p>
      <w:pPr>
        <w:spacing w:after="40"/>
      </w:pPr>
      <w:hyperlink w:history="1" r:id="rIdidlivfuh8pqn_cvme-i4e">
        <w:r>
          <w:rPr>
            <w:rStyle w:val="Hyperlink"/>
            <w:sz w:val="16"/>
            <w:szCs w:val="16"/>
          </w:rPr>
          <w:t xml:space="preserve">World Bank Commodity Markets Outlook (April 2026)</w:t>
        </w:r>
      </w:hyperlink>
    </w:p>
    <w:p>
      <w:pPr>
        <w:spacing w:after="40"/>
      </w:pPr>
      <w:hyperlink w:history="1" r:id="rIdaxmap3cfa8ml4ppj4gurc">
        <w:r>
          <w:rPr>
            <w:rStyle w:val="Hyperlink"/>
            <w:sz w:val="16"/>
            <w:szCs w:val="16"/>
          </w:rPr>
          <w:t xml:space="preserve">World Bank — metals/copper outlook</w:t>
        </w:r>
      </w:hyperlink>
    </w:p>
    <w:p>
      <w:pPr>
        <w:spacing w:after="40"/>
      </w:pPr>
      <w:hyperlink w:history="1" r:id="rIdw6rirdnoxpo0rky-scs4j">
        <w:r>
          <w:rPr>
            <w:rStyle w:val="Hyperlink"/>
            <w:sz w:val="16"/>
            <w:szCs w:val="16"/>
          </w:rPr>
          <w:t xml:space="preserve">Goldman Sachs — copper outlook 2026</w:t>
        </w:r>
      </w:hyperlink>
    </w:p>
    <w:p>
      <w:pPr>
        <w:spacing w:after="40"/>
      </w:pPr>
      <w:hyperlink w:history="1" r:id="rIdx0bqxujymomqqltnfmogr">
        <w:r>
          <w:rPr>
            <w:rStyle w:val="Hyperlink"/>
            <w:sz w:val="16"/>
            <w:szCs w:val="16"/>
          </w:rPr>
          <w:t xml:space="preserve">Fitch — iron ore &amp; coking coal forecasts</w:t>
        </w:r>
      </w:hyperlink>
    </w:p>
    <w:p>
      <w:pPr>
        <w:spacing w:after="40"/>
      </w:pPr>
      <w:hyperlink w:history="1" r:id="rIdg_mh0lf_vfgh6xpy87jyz">
        <w:r>
          <w:rPr>
            <w:rStyle w:val="Hyperlink"/>
            <w:sz w:val="16"/>
            <w:szCs w:val="16"/>
          </w:rPr>
          <w:t xml:space="preserve">2026 Strait of Hormuz crisis (timeline)</w:t>
        </w:r>
      </w:hyperlink>
    </w:p>
    <w:p>
      <w:pPr>
        <w:spacing w:after="40"/>
      </w:pPr>
      <w:hyperlink w:history="1" r:id="rIdhkqfjrc5ipn7dahvrnobo">
        <w:r>
          <w:rPr>
            <w:rStyle w:val="Hyperlink"/>
            <w:sz w:val="16"/>
            <w:szCs w:val="16"/>
          </w:rPr>
          <w:t xml:space="preserve">Oil prices / ceasefire (CNBC, 29 May 2026)</w:t>
        </w:r>
      </w:hyperlink>
    </w:p>
    <w:p>
      <w:pPr>
        <w:spacing w:after="40"/>
      </w:pPr>
      <w:hyperlink w:history="1" r:id="rIdv_-6poimwplcphz5_xzud">
        <w:r>
          <w:rPr>
            <w:rStyle w:val="Hyperlink"/>
            <w:sz w:val="16"/>
            <w:szCs w:val="16"/>
          </w:rPr>
          <w:t xml:space="preserve">Rio Tinto diesel cost sensitivity read-across (Mining.com)</w:t>
        </w:r>
      </w:hyperlink>
    </w:p>
    <w:p>
      <w:pPr>
        <w:spacing w:after="40"/>
      </w:pPr>
      <w:hyperlink w:history="1" r:id="rIdwfarisfvbc6dielyopno_">
        <w:r>
          <w:rPr>
            <w:rStyle w:val="Hyperlink"/>
            <w:sz w:val="16"/>
            <w:szCs w:val="16"/>
          </w:rPr>
          <w:t xml:space="preserve">Anglo American Q1 2026 production (guidance maintained, 28 Apr 2026)</w:t>
        </w:r>
      </w:hyperlink>
    </w:p>
    <w:p>
      <w:pPr>
        <w:spacing w:after="40"/>
      </w:pPr>
      <w:hyperlink w:history="1" r:id="rId1xs_lidareeyl3z58fdcn">
        <w:r>
          <w:rPr>
            <w:rStyle w:val="Hyperlink"/>
            <w:sz w:val="16"/>
            <w:szCs w:val="16"/>
          </w:rPr>
          <w:t xml:space="preserve">LSE AAL share price (12 Jun 2026)</w:t>
        </w:r>
      </w:hyperlink>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4"/>
        <w:szCs w:val="14"/>
      </w:rPr>
      <w:t xml:space="preserve">Prepared 14 June 2026   |   Source: JSE Equity Research model &amp; cited primary sources</w:t>
    </w:r>
    <w:r>
      <w:rPr>
        <w:color w:val="59595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595959"/>
        <w:sz w:val="15"/>
        <w:szCs w:val="15"/>
      </w:rPr>
      <w:t xml:space="preserve">Anglo American plc (AAL / AGL) — Investment Committee Briefing</w:t>
    </w:r>
    <w:r>
      <w:rPr>
        <w:color w:val="595959"/>
        <w:sz w:val="15"/>
        <w:szCs w:val="15"/>
      </w:rPr>
      <w:t xml:space="preserve">	Informational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o3zwk8oqjde_mul_k0n3" Type="http://schemas.openxmlformats.org/officeDocument/2006/relationships/hyperlink" Target="https://www.investegate.co.uk/announcement/rns/anglo-american--aal/anglo-american-full-year-2025-results/9439268" TargetMode="External"/><Relationship Id="rIdizgbnc326_upld5cypggz" Type="http://schemas.openxmlformats.org/officeDocument/2006/relationships/hyperlink" Target="https://www.angloamerican.com/~/media/Files/A/Anglo-American-Group-v9/PLC/media/press-release/releases/2026pr/anglo-american-preliminary-results-for-the-year-ended-31-december-2025.pdf" TargetMode="External"/><Relationship Id="rIdtmcqjyye3pzmwjjrjntcz" Type="http://schemas.openxmlformats.org/officeDocument/2006/relationships/hyperlink" Target="https://www.miningweekly.com/article/anglo-lowers-2026-copper-production-guidance-following-lower-2025-output-2026-02-05" TargetMode="External"/><Relationship Id="rIdjbi33c11mzeqycotbhrvf" Type="http://schemas.openxmlformats.org/officeDocument/2006/relationships/hyperlink" Target="https://www.angloamerican.com/media/press-releases/2025/09-09-2025" TargetMode="External"/><Relationship Id="rIdjg4fs-zhq4gxgf9k0r5dx" Type="http://schemas.openxmlformats.org/officeDocument/2006/relationships/hyperlink" Target="https://www.sec.gov/Archives/edgar/data/886986/000095014225002410/eh250676348_ex9901.htm" TargetMode="External"/><Relationship Id="rId7ucf-e1falhmkmpehjxvj" Type="http://schemas.openxmlformats.org/officeDocument/2006/relationships/hyperlink" Target="https://www.mining.com/web/anglo-american-expects-final-approval-for-teck-merger-around-q3/" TargetMode="External"/><Relationship Id="rIdgobc5kxpfql133kdnldat" Type="http://schemas.openxmlformats.org/officeDocument/2006/relationships/hyperlink" Target="https://www.reuters.com/business/energy/anglo-american-sell-australian-coal-mines-up-388-billion-2026-05-18/" TargetMode="External"/><Relationship Id="rIdnbm5nhx_ef-ah6pa30uru" Type="http://schemas.openxmlformats.org/officeDocument/2006/relationships/hyperlink" Target="https://www.mining.com/anglo-american-draws-botswana-into-5b-de-beers-sale-talks/" TargetMode="External"/><Relationship Id="rIdidlivfuh8pqn_cvme-i4e" Type="http://schemas.openxmlformats.org/officeDocument/2006/relationships/hyperlink" Target="https://www.worldbank.org/en/news/press-release/2026/04/28/commodity-markets-outlook-april-2026-press-release" TargetMode="External"/><Relationship Id="rIdaxmap3cfa8ml4ppj4gurc" Type="http://schemas.openxmlformats.org/officeDocument/2006/relationships/hyperlink" Target="https://blogs.worldbank.org/en/opendata/metal-prices-poised-to-strengthen-further" TargetMode="External"/><Relationship Id="rIdw6rirdnoxpo0rky-scs4j" Type="http://schemas.openxmlformats.org/officeDocument/2006/relationships/hyperlink" Target="https://www.goldmansachs.com/insights/articles/copper-prices-forecast-to-decline-from-record-highs-in-2026" TargetMode="External"/><Relationship Id="rIdx0bqxujymomqqltnfmogr" Type="http://schemas.openxmlformats.org/officeDocument/2006/relationships/hyperlink" Target="https://gmk.center/en/news/fitch-ratings-has-raised-its-price-outlook-for-iron-ore-and-coking-coal-for-2026/" TargetMode="External"/><Relationship Id="rIdg_mh0lf_vfgh6xpy87jyz" Type="http://schemas.openxmlformats.org/officeDocument/2006/relationships/hyperlink" Target="https://en.wikipedia.org/wiki/2026_Strait_of_Hormuz_crisis" TargetMode="External"/><Relationship Id="rIdhkqfjrc5ipn7dahvrnobo" Type="http://schemas.openxmlformats.org/officeDocument/2006/relationships/hyperlink" Target="https://www.cnbc.com/2026/05/29/oil-prices-iran-ceasefire-us-trump-strait-hormuz-energy-costs.html" TargetMode="External"/><Relationship Id="rIdv_-6poimwplcphz5_xzud" Type="http://schemas.openxmlformats.org/officeDocument/2006/relationships/hyperlink" Target="https://www.mining.com/web/rio-tintos-first-quarter-iron-ore-sales-rise-2/" TargetMode="External"/><Relationship Id="rIdwfarisfvbc6dielyopno_" Type="http://schemas.openxmlformats.org/officeDocument/2006/relationships/hyperlink" Target="https://www.angloamerican.com/media/press-releases/2026/28-04-2026" TargetMode="External"/><Relationship Id="rId1xs_lidareeyl3z58fdcn" Type="http://schemas.openxmlformats.org/officeDocument/2006/relationships/hyperlink" Target="https://www.lse.co.uk/SharePrice.html?shareprice=AAL&amp;share=Anglo-american"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JSE Equity Research</dc:creator>
  <cp:lastModifiedBy>Un-named</cp:lastModifiedBy>
  <cp:revision>1</cp:revision>
  <dcterms:created xsi:type="dcterms:W3CDTF">2026-06-14T13:12:56.703Z</dcterms:created>
  <dcterms:modified xsi:type="dcterms:W3CDTF">2026-06-14T13:12:56.703Z</dcterms:modified>
</cp:coreProperties>
</file>

<file path=docProps/custom.xml><?xml version="1.0" encoding="utf-8"?>
<Properties xmlns="http://schemas.openxmlformats.org/officeDocument/2006/custom-properties" xmlns:vt="http://schemas.openxmlformats.org/officeDocument/2006/docPropsVTypes"/>
</file>