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CAPITEC BANK HOLDINGS LIMITED</w:t>
      </w:r>
    </w:p>
    <w:p>
      <w:pPr>
        <w:spacing w:after="40"/>
        <w:jc w:val="center"/>
      </w:pPr>
      <w:r>
        <w:rPr>
          <w:color w:val="595959"/>
          <w:sz w:val="18"/>
          <w:szCs w:val="18"/>
        </w:rPr>
        <w:t xml:space="preserve">JSE: CPI   •   South Africa’s most valuable bank (~R498bn)   •   Diversified mass-market consumer bank   •   Reports in ZAR (FY-end 28 Feb)</w:t>
      </w:r>
    </w:p>
    <w:p>
      <w:pPr>
        <w:spacing w:after="30"/>
        <w:jc w:val="center"/>
      </w:pPr>
      <w:r>
        <w:rPr>
          <w:b/>
          <w:bCs/>
          <w:color w:val="2E75B6"/>
          <w:sz w:val="26"/>
          <w:szCs w:val="26"/>
        </w:rPr>
        <w:t xml:space="preserve">12–18 Month Outlook — The Strait of Hormuz: Scenarios A and B</w:t>
      </w:r>
    </w:p>
    <w:p>
      <w:pPr>
        <w:spacing w:after="60"/>
        <w:jc w:val="center"/>
      </w:pPr>
      <w:r>
        <w:rPr>
          <w:i/>
          <w:iCs/>
          <w:color w:val="595959"/>
          <w:sz w:val="18"/>
          <w:szCs w:val="18"/>
        </w:rPr>
        <w:t xml:space="preserve">Investment Committee briefing  •  17 June 2026  •  Internal research, for information only</w:t>
      </w:r>
    </w:p>
    <w:p>
      <w:pPr>
        <w:pBdr>
          <w:bottom w:val="single" w:color="2E75B6" w:sz="6" w:space="1"/>
        </w:pBdr>
        <w:spacing w:after="160"/>
      </w:pPr>
      <w:r>
        <w:t xml:space="preserve"/>
      </w:r>
    </w:p>
    <w:p>
      <w:pPr>
        <w:spacing w:after="120" w:before="0" w:line="264"/>
      </w:pPr>
      <w:r>
        <w:rPr>
          <w:b/>
          <w:bCs/>
          <w:color w:val="1F3864"/>
        </w:rPr>
        <w:t xml:space="preserve">Scenario convention.  </w:t>
      </w:r>
      <w:r>
        <w:t xml:space="preserve">We keep the house A/B labels used in the Shoprite and Gold Fields notes: </w:t>
      </w:r>
      <w:r>
        <w:rPr>
          <w:b/>
          <w:bCs/>
        </w:rPr>
        <w:t xml:space="preserve">Scenario A = the Strait reopens</w:t>
      </w:r>
      <w:r>
        <w:t xml:space="preserve"> (your case “b” — opens in the next few weeks); </w:t>
      </w:r>
      <w:r>
        <w:rPr>
          <w:b/>
          <w:bCs/>
        </w:rPr>
        <w:t xml:space="preserve">Scenario B = the Strait stays closed</w:t>
      </w:r>
      <w:r>
        <w:t xml:space="preserve"> (your case “a” — shut for the foreseeable future). As of 17 June 2026 the Strait has been effectively closed since 28 February 2026; a US–Iran deal was </w:t>
      </w:r>
      <w:r>
        <w:rPr>
          <w:i/>
          <w:iCs/>
        </w:rPr>
        <w:t xml:space="preserve">reached</w:t>
      </w:r>
      <w:r>
        <w:t xml:space="preserve"> on 14 June (signing 19 June), but UAE state-oil guidance is that full flows may not resume until 2027 even with a deal — so “open” is a hope, not yet a fact.</w:t>
      </w:r>
    </w:p>
    <w:p>
      <w:pPr>
        <w:pStyle w:val="Heading1"/>
        <w:spacing w:after="120" w:before="240"/>
      </w:pPr>
      <w:r>
        <w:t xml:space="preserve">1.  Executive summary</w:t>
      </w:r>
    </w:p>
    <w:p>
      <w:pPr>
        <w:spacing w:after="120" w:before="0" w:line="264"/>
      </w:pPr>
      <w:r>
        <w:rPr>
          <w:b/>
          <w:bCs/>
          <w:color w:val="1F3864"/>
        </w:rPr>
        <w:t xml:space="preserve">The short answer.  </w:t>
      </w:r>
      <w:r>
        <w:t xml:space="preserve">Capitec is not an oil stock — it is a leveraged play on the South African mass-market consumer. The Strait reaches it </w:t>
      </w:r>
      <w:r>
        <w:rPr>
          <w:i/>
          <w:iCs/>
        </w:rPr>
        <w:t xml:space="preserve">indirectly</w:t>
      </w:r>
      <w:r>
        <w:t xml:space="preserve">, through the household wallet (pump prices, food inflation, interest rates) and the SARB’s rate path — not through its own revenue line. But unlike a defensive grocer, Capitec is </w:t>
      </w:r>
      <w:r>
        <w:rPr>
          <w:b/>
          <w:bCs/>
        </w:rPr>
        <w:t xml:space="preserve">pro-cyclical</w:t>
      </w:r>
      <w:r>
        <w:t xml:space="preserve">: it lends to ~26m mostly lower-income South Africans, so a squeezed consumer means rising credit losses. Two things change the picture versus prior cycles. First, Capitec is now genuinely </w:t>
      </w:r>
      <w:r>
        <w:rPr>
          <w:b/>
          <w:bCs/>
        </w:rPr>
        <w:t xml:space="preserve">diversified</w:t>
      </w:r>
      <w:r>
        <w:t xml:space="preserve"> — 67% of income is non-interest (transactions, insurance, fintech/Connect) — so an oil shock is a growth slowdown, not a breakage. Second, rates cut </w:t>
      </w:r>
      <w:r>
        <w:rPr>
          <w:b/>
          <w:bCs/>
        </w:rPr>
        <w:t xml:space="preserve">two ways</w:t>
      </w:r>
      <w:r>
        <w:t xml:space="preserve"> for a bank: higher-for-longer rates lift endowment/NII even as they hurt credit quality.</w:t>
      </w:r>
    </w:p>
    <w:p>
      <w:pPr>
        <w:spacing w:after="120" w:before="0" w:line="264"/>
      </w:pPr>
      <w:r>
        <w:rPr>
          <w:b/>
          <w:bCs/>
          <w:color w:val="1F3864"/>
        </w:rPr>
        <w:t xml:space="preserve">What it is today.  </w:t>
      </w:r>
      <w:r>
        <w:t xml:space="preserve">A high-quality compounder and SA’s most valuable bank (~R498bn market cap). FY2026 (year to 28 Feb 2026): headline earnings </w:t>
      </w:r>
      <w:r>
        <w:rPr>
          <w:b/>
          <w:bCs/>
        </w:rPr>
        <w:t xml:space="preserve">+23% to R16.8bn</w:t>
      </w:r>
      <w:r>
        <w:t xml:space="preserve">, HEPS +23% to 14 606c, operating profit before tax +25% to R22.18bn, ROE </w:t>
      </w:r>
      <w:r>
        <w:rPr>
          <w:b/>
          <w:bCs/>
        </w:rPr>
        <w:t xml:space="preserve">31%</w:t>
      </w:r>
      <w:r>
        <w:t xml:space="preserve"> (from 29%), NAV +17% to R59.5bn, dividend +23% to 7 980c (55% payout). 26m active clients. Non-interest income is 67% of revenue. The one yellow flag is already visible: the </w:t>
      </w:r>
      <w:r>
        <w:rPr>
          <w:b/>
          <w:bCs/>
        </w:rPr>
        <w:t xml:space="preserve">credit loss ratio rose to 8.1% from 7.5%</w:t>
      </w:r>
      <w:r>
        <w:t xml:space="preserve"> on rapid lending growth (disbursements +34% to R98.3bn) and rising consumer stress. It trades on ~30x trailing / ~26x forward earnings — priced as a premium compounder.</w:t>
      </w:r>
    </w:p>
    <w:p>
      <w:pPr>
        <w:spacing w:after="120" w:before="0" w:line="264"/>
      </w:pPr>
      <w:r>
        <w:rPr>
          <w:b/>
          <w:bCs/>
          <w:color w:val="1F3864"/>
        </w:rPr>
        <w:t xml:space="preserve">Base case (next 12–18m).  </w:t>
      </w:r>
      <w:r>
        <w:t xml:space="preserve">Continued double-digit earnings growth is plausible but at a </w:t>
      </w:r>
      <w:r>
        <w:rPr>
          <w:i/>
          <w:iCs/>
        </w:rPr>
        <w:t xml:space="preserve">decelerating</w:t>
      </w:r>
      <w:r>
        <w:t xml:space="preserve"> pace from the FY2026 sprint, with the credit loss ratio the key swing variable. Management itself attributed FY2026 lending strength to “improved macroeconomic conditions” — precisely the tailwind the Hormuz scenarios put at risk. Diversification and the endowment hedge cushion the downside; the premium multiple caps the upside and creates de-rating risk if SA growth stalls.</w:t>
      </w:r>
    </w:p>
    <w:p>
      <w:pPr>
        <w:spacing w:after="120" w:before="0" w:line="264"/>
      </w:pPr>
      <w:r>
        <w:rPr>
          <w:b/>
          <w:bCs/>
          <w:color w:val="1F3864"/>
        </w:rPr>
        <w:t xml:space="preserve">Scenario A — the Strait reopens (your case b).  </w:t>
      </w:r>
      <w:r>
        <w:t xml:space="preserve">Brent normalises ~$70–80, pump-price relief, low food inflation, the SARB resumes cutting toward its ~6.67% ‘intermediate’ path, the rand firms, the consumer recovers. For Capitec this is the </w:t>
      </w:r>
      <w:r>
        <w:rPr>
          <w:b/>
          <w:bCs/>
        </w:rPr>
        <w:t xml:space="preserve">better business case</w:t>
      </w:r>
      <w:r>
        <w:t xml:space="preserve">: credit losses stabilise/improve, arrears ease, credit demand and book growth re-accelerate at lower risk, and transaction/VAS volumes stay strong. The offset is endowment — falling rates compress the NII margin on its large capital and transactional float. Market-wise it is risk-on and SA banks re-rate, but Capitec’s ~30x premium already prices a lot, so it </w:t>
      </w:r>
      <w:r>
        <w:rPr>
          <w:b/>
          <w:bCs/>
        </w:rPr>
        <w:t xml:space="preserve">participates but can lag</w:t>
      </w:r>
      <w:r>
        <w:t xml:space="preserve"> the cheaper big-four banks in a rally.</w:t>
      </w:r>
    </w:p>
    <w:p>
      <w:pPr>
        <w:spacing w:after="120" w:before="0" w:line="264"/>
      </w:pPr>
      <w:r>
        <w:rPr>
          <w:b/>
          <w:bCs/>
          <w:color w:val="1F3864"/>
        </w:rPr>
        <w:t xml:space="preserve">Scenario B — the Strait stays closed (your case a).  </w:t>
      </w:r>
      <w:r>
        <w:t xml:space="preserve">Brent holds ~$95–110+, pump prices at/above record, the rand weak, the SARB on its ~8.17% ‘severe’ path, inflation ~1pp hotter, real incomes falling. This is the </w:t>
      </w:r>
      <w:r>
        <w:rPr>
          <w:b/>
          <w:bCs/>
        </w:rPr>
        <w:t xml:space="preserve">tougher case</w:t>
      </w:r>
      <w:r>
        <w:t xml:space="preserve">: the credit loss ratio — already rising at 8.1% — climbs further as lower-income borrowers default; Capitec tightens granting (slower book growth, higher provisions); discretionary transaction/VAS spend softens; funeral/credit-life claims can tick up. But the cushions are real: (1) </w:t>
      </w:r>
      <w:r>
        <w:rPr>
          <w:b/>
          <w:bCs/>
        </w:rPr>
        <w:t xml:space="preserve">endowment</w:t>
      </w:r>
      <w:r>
        <w:t xml:space="preserve"> — higher-for-longer rates lift NII; (2) </w:t>
      </w:r>
      <w:r>
        <w:rPr>
          <w:b/>
          <w:bCs/>
        </w:rPr>
        <w:t xml:space="preserve">diversification</w:t>
      </w:r>
      <w:r>
        <w:t xml:space="preserve"> — insurance (27%), fintech/Connect (26%) and business bank (5%) annuity streams keep growing through a consumer downturn; (3) </w:t>
      </w:r>
      <w:r>
        <w:rPr>
          <w:b/>
          <w:bCs/>
        </w:rPr>
        <w:t xml:space="preserve">fortress capital</w:t>
      </w:r>
      <w:r>
        <w:t xml:space="preserve"> and a 55% payout leave room to absorb losses and keep lending while weaker rivals retrench; and (4) Capitec tends to </w:t>
      </w:r>
      <w:r>
        <w:rPr>
          <w:b/>
          <w:bCs/>
        </w:rPr>
        <w:t xml:space="preserve">gain share</w:t>
      </w:r>
      <w:r>
        <w:t xml:space="preserve"> in downturns. Net: earnings growth decelerates (towards single digits in a severe case (e)), asset quality is the risk — a slowdown, not a derailment. The bigger danger is the </w:t>
      </w:r>
      <w:r>
        <w:rPr>
          <w:b/>
          <w:bCs/>
        </w:rPr>
        <w:t xml:space="preserve">multiple</w:t>
      </w:r>
      <w:r>
        <w:t xml:space="preserve">: a ~30x consumer lender de-rates in a risk-off, recession-risk SA, so the share can fall further than the earnings.</w:t>
      </w:r>
    </w:p>
    <w:p>
      <w:pPr>
        <w:spacing w:after="120" w:before="0" w:line="264"/>
      </w:pPr>
      <w:r>
        <w:rPr>
          <w:b/>
          <w:bCs/>
          <w:color w:val="1F3864"/>
        </w:rPr>
        <w:t xml:space="preserve">The punchline.  </w:t>
      </w:r>
      <w:r>
        <w:t xml:space="preserve">Capitec is the near-mirror of Shoprite. For a defensive grocer, ‘Strait closed’ (B) is the relative-strength case; for a pro-cyclical consumer lender, ‘Strait open’ (A) is the better business case and ‘Strait closed’ (B) is the tougher one — but diversification and the endowment hedge mean B is a deceleration, not a derailment. In B the risk is the multiple more than the franchise.</w:t>
      </w:r>
    </w:p>
    <w:p>
      <w:pPr>
        <w:spacing w:after="120" w:before="0" w:line="264"/>
      </w:pPr>
      <w:r>
        <w:rPr>
          <w:b/>
          <w:bCs/>
          <w:color w:val="1F3864"/>
        </w:rPr>
        <w:t xml:space="preserve">Biggest swing factors.  </w:t>
      </w:r>
      <w:r>
        <w:t xml:space="preserve">(1) the credit loss ratio (already 8.1% and rising); (2) the SARB repo path between ~6.67% and ~8.17% (endowment vs affordability); (3) SA pump prices and food CPI (the core client’s wallet); (4) loan-book growth and arrears (demand + forward credit risk); and (5) the premium ~26x forward multiple (de-rating risk in B, relative-laggard risk in A).</w:t>
      </w:r>
    </w:p>
    <w:p>
      <w:pPr>
        <w:pStyle w:val="Heading2"/>
        <w:spacing w:after="80" w:before="160"/>
      </w:pPr>
      <w:r>
        <w:t xml:space="preserve">Headline — direction of travel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rPr>
          <w:tblHeader/>
        </w:trPr>
        <w:tc>
          <w:tcPr>
            <w:tcW w:type="dxa" w:w="248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Driver</w:t>
            </w:r>
          </w:p>
        </w:tc>
        <w:tc>
          <w:tcPr>
            <w:tcW w:type="dxa" w:w="344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Scenario A — Strait open (case b)</w:t>
            </w:r>
          </w:p>
        </w:tc>
        <w:tc>
          <w:tcPr>
            <w:tcW w:type="dxa" w:w="344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Scenario B — Strait shut (case a)</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Brent crude</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Normalises ~$70–80/bbl (e)</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Holds ~$95–110+/bbl; tail higher (e)</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SA pump prices</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Relief — ease off the record</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At/above record (inland 95 ~R28.06/l)</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SA CPI / fuel</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Low; SARB converges to 3% target</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~+1pp hotter on fuel/transport (e)</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USD/ZAR</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Firms as risk-on returns</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Weak/volatile (~R16+ )</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SARB repo path</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Resumes cutting (~6.67% intermediate)</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Tightens (~8.17% severe, end-2026)</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SA consumer</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Recovers — real incomes improve</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Squeezed — real incomes fall</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Credit loss ratio</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Stabilises / improves from 8.1%</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Rises further from 8.1% (e)</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Endowment / NII margin</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Compresses as rates fall</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Lifts as rates stay high</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Credit demand / book growth</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Re-accelerates at lower risk</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Slows; tighter granting</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Transaction / insurance / fintech</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Strong</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Resilient; growth slows</w:t>
            </w:r>
          </w:p>
        </w:tc>
      </w:tr>
      <w:tr>
        <w:tc>
          <w:tcPr>
            <w:tcW w:type="dxa" w:w="24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Capitec HEPS growth (e)</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Supported — toward mid-teens (e)</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Decelerates — toward single digits (e)</w:t>
            </w:r>
          </w:p>
        </w:tc>
      </w:tr>
      <w:tr>
        <w:tc>
          <w:tcPr>
            <w:tcW w:type="dxa" w:w="248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Relative share-price call</w:t>
            </w:r>
          </w:p>
        </w:tc>
        <w:tc>
          <w:tcPr>
            <w:tcW w:type="dxa" w:w="344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52"/>
              <w:jc w:val="left"/>
            </w:pPr>
            <w:r>
              <w:rPr>
                <w:b w:val="false"/>
                <w:bCs w:val="false"/>
              </w:rPr>
              <w:t xml:space="preserve">Participates; may lag cheaper banks</w:t>
            </w:r>
          </w:p>
        </w:tc>
        <w:tc>
          <w:tcPr>
            <w:tcW w:type="dxa" w:w="344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52"/>
              <w:jc w:val="left"/>
            </w:pPr>
            <w:r>
              <w:rPr>
                <w:b w:val="false"/>
                <w:bCs w:val="false"/>
              </w:rPr>
              <w:t xml:space="preserve">Earnings resilient; multiple de-rating risk</w:t>
            </w:r>
          </w:p>
        </w:tc>
      </w:tr>
    </w:tbl>
    <w:p>
      <w:pPr>
        <w:spacing w:after="140" w:before="0" w:line="240"/>
      </w:pPr>
      <w:r>
        <w:rPr>
          <w:i/>
          <w:iCs/>
          <w:color w:val="595959"/>
          <w:sz w:val="17"/>
          <w:szCs w:val="17"/>
        </w:rPr>
        <w:t xml:space="preserve">Directional analyst judgement marked (e); not company guidance. Actuals sourced in §2 and §9. Scenario macro levels are analyst assumptions consistent with the fund’s Shoprite/Gold Fields notes, not forecasts.</w:t>
      </w:r>
    </w:p>
    <w:p>
      <w:pPr>
        <w:pStyle w:val="Heading1"/>
        <w:spacing w:after="120" w:before="240"/>
      </w:pPr>
      <w:r>
        <w:t xml:space="preserve">2.  What Capitec is today (FY2026 snapshot)</w:t>
      </w:r>
    </w:p>
    <w:p>
      <w:pPr>
        <w:spacing w:after="120" w:before="0" w:line="264"/>
      </w:pPr>
      <w:r>
        <w:t xml:space="preserve">Capitec delivered a strong FY2026 (audited; unmodified opinion from Deloitte &amp; Touche and KPMG). Headline earnings rose </w:t>
      </w:r>
      <w:r>
        <w:rPr>
          <w:b/>
          <w:bCs/>
        </w:rPr>
        <w:t xml:space="preserve">+23% to R16.8bn</w:t>
      </w:r>
      <w:r>
        <w:t xml:space="preserve"> and ROE reached 31% (from 29%) — earnings growth running well ahead of the SA economy on client gains (26m, +7%), higher transaction volumes and a deepening product ecosystem. The standout structural feature is diversification: </w:t>
      </w:r>
      <w:r>
        <w:rPr>
          <w:b/>
          <w:bCs/>
        </w:rPr>
        <w:t xml:space="preserve">non-interest income is 67% of income from operations after impairments</w:t>
      </w:r>
      <w:r>
        <w:t xml:space="preserve">, and headline earnings now split Personal Banking 41% / Insurance 27% / Fintech (VAS + Capitec Connect) 26% / Business Banking 5% / AvaFin 1%. Operating expenses rose only 12% against income +19% — strong positive jaws. The watch-item is credit: the credit loss ratio rose to 8.1% (from 7.5%) as the book grew fast (group disbursements +34% to R98.3bn).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tblHeader/>
        </w:trPr>
        <w:tc>
          <w:tcPr>
            <w:tcW w:type="dxa" w:w="42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Metric (group, incl. AvaFin)</w:t>
            </w:r>
          </w:p>
        </w:tc>
        <w:tc>
          <w:tcPr>
            <w:tcW w:type="dxa" w:w="17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FY2026</w:t>
            </w:r>
          </w:p>
        </w:tc>
        <w:tc>
          <w:tcPr>
            <w:tcW w:type="dxa" w:w="17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FY2025</w:t>
            </w:r>
          </w:p>
        </w:tc>
        <w:tc>
          <w:tcPr>
            <w:tcW w:type="dxa" w:w="17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Change</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Headline earnings (R’m)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16 848</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13 739</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+23%</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HEPS (cents)</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14 606</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11 912</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+23%</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EPS (cents)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14 590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11 911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+22%</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Operating profit before tax (R’m)</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22 179</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17 740</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+25%</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Net interest income (R’m)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24 080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20 185</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+19%</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Credit impairment charge (R’m)</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(9 974)</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(8 258)</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+21%</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Net transaction &amp; commission income (R’m)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21 525</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18 535</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+16%</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Net insurance income (R’m)</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5 224</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3 777</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+38%</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Non-interest income (R’m)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28 328</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23 882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+19%</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Operating expenses (R’m)</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20 238</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18 061</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+12%</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Credit loss ratio (%)</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8.1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7.5</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+60 bps</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Return on equity (%)</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31</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29</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+200 bps</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Cost-to-income (%) (e)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47.7</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positive jaws</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Non-interest income / revenue (%)</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67</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67</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flat</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NAV / total equity (R’m)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59 513</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50 914</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+17%</w:t>
            </w:r>
          </w:p>
        </w:tc>
      </w:tr>
      <w:tr>
        <w:tc>
          <w:tcPr>
            <w:tcW w:type="dxa" w:w="42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Total dividend (cents)</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7 980</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6 510</w:t>
            </w:r>
          </w:p>
        </w:tc>
        <w:tc>
          <w:tcPr>
            <w:tcW w:type="dxa" w:w="17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right"/>
            </w:pPr>
            <w:r>
              <w:rPr>
                <w:b w:val="false"/>
                <w:bCs w:val="false"/>
              </w:rPr>
              <w:t xml:space="preserve">+23%</w:t>
            </w:r>
          </w:p>
        </w:tc>
      </w:tr>
      <w:tr>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Active clients (m)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26</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~24.3 (e)</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right"/>
            </w:pPr>
            <w:r>
              <w:rPr>
                <w:b w:val="false"/>
                <w:bCs w:val="false"/>
              </w:rPr>
              <w:t xml:space="preserve">+7%</w:t>
            </w:r>
          </w:p>
        </w:tc>
      </w:tr>
    </w:tbl>
    <w:p>
      <w:pPr>
        <w:spacing w:after="140" w:before="0" w:line="240"/>
      </w:pPr>
      <w:r>
        <w:rPr>
          <w:i/>
          <w:iCs/>
          <w:color w:val="595959"/>
          <w:sz w:val="17"/>
          <w:szCs w:val="17"/>
        </w:rPr>
        <w:t xml:space="preserve">Source: Capitec audited FY2026 results — SENS short-form (22 Apr 2026) and FY2026 results presentation; held locally at companies/capitec/. Cost-to-income (e) = opex ÷ income from operations after credit impairments (20 238 ÷ 42 434). Prior-year client count derived from +7% growth (e). Margins/returns shown in bps.</w:t>
      </w:r>
    </w:p>
    <w:p>
      <w:pPr>
        <w:spacing w:after="120" w:before="0" w:line="264"/>
      </w:pPr>
      <w:r>
        <w:rPr>
          <w:b/>
          <w:bCs/>
          <w:color w:val="1F3864"/>
        </w:rPr>
        <w:t xml:space="preserve">Valuation context.  </w:t>
      </w:r>
      <w:r>
        <w:t xml:space="preserve">At roughly R5 000/share (~R498bn market cap; ~116.1m shares) Capitec trades on ~30x trailing and ~26x forward earnings with a ~1.6% yield (e), up ~26% over 12 months (mid-June 2026). That is a premium even among quality compounders — protective on franchise quality but exposed to de-rating if growth stalls (B) or if risk appetite rotates to cheaper cyclicals (A). Prices via search may be delayed; there is no live JSE feed here.</w:t>
      </w:r>
    </w:p>
    <w:p>
      <w:pPr>
        <w:pStyle w:val="Heading1"/>
        <w:spacing w:after="120" w:before="240"/>
      </w:pPr>
      <w:r>
        <w:t xml:space="preserve">3.  Management incentives (and what they imply)</w:t>
      </w:r>
    </w:p>
    <w:p>
      <w:pPr>
        <w:spacing w:after="120" w:before="0" w:line="264"/>
      </w:pPr>
      <w:r>
        <w:t xml:space="preserve">FY2026 was a leadership-transition year: founder-era CEO </w:t>
      </w:r>
      <w:r>
        <w:rPr>
          <w:b/>
          <w:bCs/>
        </w:rPr>
        <w:t xml:space="preserve">Gerrie Fourie retired on 18 July 2025</w:t>
      </w:r>
      <w:r>
        <w:t xml:space="preserve"> and </w:t>
      </w:r>
      <w:r>
        <w:rPr>
          <w:b/>
          <w:bCs/>
        </w:rPr>
        <w:t xml:space="preserve">Graham Lee (50)</w:t>
      </w:r>
      <w:r>
        <w:t xml:space="preserve">, previously CEO of the core Personal Banking business, became Group CEO on 19 July 2025. Variable pay is built on three measures — </w:t>
      </w:r>
      <w:r>
        <w:rPr>
          <w:b/>
          <w:bCs/>
        </w:rPr>
        <w:t xml:space="preserve">HEPS, ROE and client-centric objectives</w:t>
      </w:r>
      <w:r>
        <w:t xml:space="preserve"> — with a 6% ‘spread’ on HEPS and an 8% ‘spread’ on ROE set at the award date (i.e. bonuses scale with HEPS/ROE achieved above or below target bands). Long-term incentives are share options and share-appreciation rights (SARs) that vest in 25% tranches in years 3, 4, 5 and 6, are worth only the share-price growth above strike, and are gated on HEPS/ROE performance; out-performance is increasingly delivered as conditional share rights (CSRs) subject to HEPS.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Executive</w:t>
            </w:r>
          </w:p>
        </w:tc>
        <w:tc>
          <w:tcPr>
            <w:tcW w:type="dxa" w:w="21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FY2026 single-figure</w:t>
            </w:r>
          </w:p>
        </w:tc>
        <w:tc>
          <w:tcPr>
            <w:tcW w:type="dxa" w:w="50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Composition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Graham Lee (CEO, from Jul 2025)</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R51.48m</w:t>
            </w:r>
          </w:p>
        </w:tc>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R11.0m guaranteed + R6.04m short-term bonus + R34.44m long-term incentives</w:t>
            </w:r>
          </w:p>
        </w:tc>
      </w:tr>
      <w:tr>
        <w:tc>
          <w:tcPr>
            <w:tcW w:type="dxa" w:w="22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Gerrie Fourie (former CEO)</w:t>
            </w:r>
          </w:p>
        </w:tc>
        <w:tc>
          <w:tcPr>
            <w:tcW w:type="dxa" w:w="21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R155m</w:t>
            </w:r>
          </w:p>
        </w:tc>
        <w:tc>
          <w:tcPr>
            <w:tcW w:type="dxa" w:w="50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~R146m from LTI vesting (share options R72.98m + equal SARs; 2021–2024 awards) on retirement</w:t>
            </w:r>
          </w:p>
        </w:tc>
      </w:tr>
    </w:tbl>
    <w:p>
      <w:pPr>
        <w:spacing w:after="140" w:before="0" w:line="240"/>
      </w:pPr>
      <w:r>
        <w:rPr>
          <w:i/>
          <w:iCs/>
          <w:color w:val="595959"/>
          <w:sz w:val="17"/>
          <w:szCs w:val="17"/>
        </w:rPr>
        <w:t xml:space="preserve">Source: Capitec FY2026 remuneration disclosures via Moneyweb / BusinessTech / Business Day (Apr 2026). Single-figure remuneration as reported.</w:t>
      </w:r>
    </w:p>
    <w:p>
      <w:pPr>
        <w:spacing w:after="120" w:before="0" w:line="264"/>
      </w:pPr>
      <w:r>
        <w:rPr>
          <w:b/>
          <w:bCs/>
          <w:color w:val="1F3864"/>
        </w:rPr>
        <w:t xml:space="preserve">Read-through for the scenarios.  </w:t>
      </w:r>
      <w:r>
        <w:t xml:space="preserve">The HEPS-plus-ROE design </w:t>
      </w:r>
      <w:r>
        <w:rPr>
          <w:b/>
          <w:bCs/>
        </w:rPr>
        <w:t xml:space="preserve">aligns</w:t>
      </w:r>
      <w:r>
        <w:t xml:space="preserve"> management with shareholders and, importantly, rewards </w:t>
      </w:r>
      <w:r>
        <w:rPr>
          <w:i/>
          <w:iCs/>
        </w:rPr>
        <w:t xml:space="preserve">defending ROE</w:t>
      </w:r>
      <w:r>
        <w:t xml:space="preserve"> — which in Scenario B means protecting credit quality rather than chasing volume into a downturn. But note the </w:t>
      </w:r>
      <w:r>
        <w:rPr>
          <w:b/>
          <w:bCs/>
        </w:rPr>
        <w:t xml:space="preserve">procyclical tension</w:t>
      </w:r>
      <w:r>
        <w:t xml:space="preserve">: the same HEPS-growth incentive coincided with FY2026’s aggressive +34% disbursement growth that is lifting the credit loss ratio, so the key governance question in a deteriorating macro is whether granting stays “within risk appetite.” The heavily share-price-linked LTI means a Scenario-B de-rating directly hits management wealth — a useful alignment that should bias them toward asset-quality discipline. Finally, a governance/ESG flag: Capitec has repeatedly drawn shareholder dissent on pay quantum (R155m and R51m single-figures) and amended its policy after past pushback — watch the next remuneration vote.</w:t>
      </w:r>
    </w:p>
    <w:p>
      <w:pPr>
        <w:pStyle w:val="Heading1"/>
        <w:spacing w:after="120" w:before="240"/>
      </w:pPr>
      <w:r>
        <w:t xml:space="preserve">4.  The transmission chain — how the Strait reaches a Capitec client</w:t>
      </w:r>
    </w:p>
    <w:p>
      <w:pPr>
        <w:spacing w:after="120" w:before="0" w:line="264"/>
      </w:pPr>
      <w:r>
        <w:t xml:space="preserve">Capitec has almost no direct exposure to the Strait: it banks South Africans in rand, funds itself locally, and has only small international credit exposure (AvaFin, ~1% of earnings). The oil price reaches it through six domestic channels — most running through the consumer and the SARB.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Channel</w:t>
            </w:r>
          </w:p>
        </w:tc>
        <w:tc>
          <w:tcPr>
            <w:tcW w:type="dxa" w:w="67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52"/>
              <w:jc w:val="left"/>
            </w:pPr>
            <w:r>
              <w:rPr>
                <w:b/>
                <w:bCs/>
                <w:color w:val="FFFFFF"/>
              </w:rPr>
              <w:t xml:space="preserve">How it reaches Capitec</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Consumer wallet / affordability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The big one. Higher pump prices and food inflation cut the disposable income of Capitec’s mostly lower-income base — raising defaults (credit losses), weakening new-credit demand, and softening discretionary transaction/VAS spend. The single largest earnings channel.</w:t>
            </w:r>
          </w:p>
        </w:tc>
      </w:tr>
      <w:tr>
        <w:tc>
          <w:tcPr>
            <w:tcW w:type="dxa" w:w="26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Interest rates / endowment</w:t>
            </w:r>
          </w:p>
        </w:tc>
        <w:tc>
          <w:tcPr>
            <w:tcW w:type="dxa" w:w="67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Two-sided. Oil-led inflation forces the SARB higher (severe ~8.17%): bad for affordability and impairments, but good for endowment income on Capitec’s R59.5bn equity and low-cost transactional deposits. Rate cuts (A) reverse both.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Credit demand &amp; book growth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In A, recovery supports demand and Capitec can grow the book at lower risk. In B, Capitec pulls back granting to protect quality — self-protective, but slows the growth engine.</w:t>
            </w:r>
          </w:p>
        </w:tc>
      </w:tr>
      <w:tr>
        <w:tc>
          <w:tcPr>
            <w:tcW w:type="dxa" w:w="26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Transaction &amp; fee income</w:t>
            </w:r>
          </w:p>
        </w:tc>
        <w:tc>
          <w:tcPr>
            <w:tcW w:type="dxa" w:w="67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The annuity cushion. Fees, VAS, Capitec Connect and insurance are driven by client growth (26m) and digitisation, not the oil price — so they keep growing even in B (though discretionary VAS spend softens).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bCs/>
              </w:rPr>
              <w:t xml:space="preserve">Rand / funding</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jc w:val="left"/>
            </w:pPr>
            <w:r>
              <w:rPr>
                <w:b w:val="false"/>
                <w:bCs w:val="false"/>
              </w:rPr>
              <w:t xml:space="preserve">Limited and second-order. Capitec is overwhelmingly rand-funded and domestic; oil-driven rand weakness mainly bites via inflation → rates. AvaFin adds small EM/FX exposure.</w:t>
            </w:r>
          </w:p>
        </w:tc>
      </w:tr>
      <w:tr>
        <w:tc>
          <w:tcPr>
            <w:tcW w:type="dxa" w:w="260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bCs/>
              </w:rPr>
              <w:t xml:space="preserve">Valuation / multiple</w:t>
            </w:r>
          </w:p>
        </w:tc>
        <w:tc>
          <w:tcPr>
            <w:tcW w:type="dxa" w:w="6760"/>
            <w:tcBorders>
              <w:top w:val="single" w:color="BFBFBF" w:sz="1"/>
              <w:left w:val="single" w:color="BFBFBF" w:sz="1"/>
              <w:bottom w:val="single" w:color="BFBFBF" w:sz="1"/>
              <w:right w:val="single" w:color="BFBFBF" w:sz="1"/>
            </w:tcBorders>
            <w:shd w:fill="F2F2F2" w:color="auto" w:val="clear"/>
            <w:tcMar>
              <w:top w:type="dxa" w:w="60"/>
              <w:left w:type="dxa" w:w="110"/>
              <w:bottom w:type="dxa" w:w="60"/>
              <w:right w:type="dxa" w:w="110"/>
            </w:tcMar>
            <w:vAlign w:val="center"/>
          </w:tcPr>
          <w:p>
            <w:pPr>
              <w:spacing w:after="0" w:line="252"/>
              <w:jc w:val="left"/>
            </w:pPr>
            <w:r>
              <w:rPr>
                <w:b w:val="false"/>
                <w:bCs w:val="false"/>
              </w:rPr>
              <w:t xml:space="preserve">Sentiment channel. On ~26x forward, Capitec is a premium, GDP-and-rate-sensitive cyclical in the market’s eyes; risk-off SA (B) compresses the multiple even if earnings hold; risk-on (A) supports it but rivals are cheaper.</w:t>
            </w:r>
          </w:p>
        </w:tc>
      </w:tr>
    </w:tbl>
    <w:p>
      <w:pPr>
        <w:pStyle w:val="Heading1"/>
        <w:spacing w:after="120" w:before="240"/>
      </w:pPr>
      <w:r>
        <w:t xml:space="preserve">5.  Scenario A — the Strait reopens (your case b: opens in the next few weeks)</w:t>
      </w:r>
    </w:p>
    <w:p>
      <w:pPr>
        <w:spacing w:after="120" w:before="0" w:line="264"/>
      </w:pPr>
      <w:r>
        <w:rPr>
          <w:b/>
          <w:bCs/>
          <w:color w:val="1F3864"/>
        </w:rPr>
        <w:t xml:space="preserve">Macro.  </w:t>
      </w:r>
      <w:r>
        <w:t xml:space="preserve">The reopening holds: Brent normalises toward ~$70–80 (it was already ~$79 on 17 June as peace hopes built), petrol and diesel ease off the record, food inflation stays subdued, the rand firms, and the SARB — having hiked to 7.00% on 29 May — can resume cutting toward its ~6.67% ‘intermediate’ path or lower. This is the consumer-recovery world.</w:t>
      </w:r>
    </w:p>
    <w:p>
      <w:pPr>
        <w:spacing w:after="120" w:before="0" w:line="264"/>
      </w:pPr>
      <w:r>
        <w:rPr>
          <w:b/>
          <w:bCs/>
          <w:color w:val="1F3864"/>
        </w:rPr>
        <w:t xml:space="preserve">Business impact — positive.  </w:t>
      </w:r>
      <w:r>
        <w:t xml:space="preserve">Asset quality is the win: with the consumer recovering, the credit loss ratio stabilises and can improve from 8.1%, arrears ease, and Capitec can grow disbursements and the book at lower risk. Transaction, VAS, Connect and insurance volumes stay strong. The offset is endowment — falling rates compress the NII margin on its capital and transactional float, a real but partial drag. Net: earnings growth supported (toward mid-teens (e)) on better credit and volume, lighter on margin.</w:t>
      </w:r>
    </w:p>
    <w:p>
      <w:pPr>
        <w:spacing w:after="120" w:before="0" w:line="264"/>
      </w:pPr>
      <w:r>
        <w:rPr>
          <w:b/>
          <w:bCs/>
          <w:color w:val="1F3864"/>
        </w:rPr>
        <w:t xml:space="preserve">Relative caveat.  </w:t>
      </w:r>
      <w:r>
        <w:t xml:space="preserve">A consumer recovery is not Capitec-specific. It lifts all SA banks and rate-sensitives, and a risk-on tape rotates money toward cheaper names. The big-four banks trade on far lower multiples and carry larger endowment books, so in a sharp relief rally Capitec can keep compounding yet still lag. The bull case here is steady compounding, not out-performance.</w:t>
      </w:r>
    </w:p>
    <w:p>
      <w:pPr>
        <w:pStyle w:val="Heading1"/>
        <w:spacing w:after="120" w:before="240"/>
      </w:pPr>
      <w:r>
        <w:t xml:space="preserve">6.  Scenario B — the Strait stays closed (your case a: shut for the foreseeable future)</w:t>
      </w:r>
    </w:p>
    <w:p>
      <w:pPr>
        <w:spacing w:after="120" w:before="0" w:line="264"/>
      </w:pPr>
      <w:r>
        <w:rPr>
          <w:b/>
          <w:bCs/>
          <w:color w:val="1F3864"/>
        </w:rPr>
        <w:t xml:space="preserve">Macro.  </w:t>
      </w:r>
      <w:r>
        <w:t xml:space="preserve">The oil shock persists: Brent holds ~$95–110+ (it breached $110 in March 2026), pump prices stay at/above the inland-95 record (~R28.06/l), the rand is weak and volatile, and the SARB stays restrictive — its published ‘severe’ scenario puts the repo at ~8.17% by end-2026, with its model already flagging up to three more hikes. Headline inflation runs perhaps ~1pp hotter, real incomes fall, and recession risk rises.</w:t>
      </w:r>
    </w:p>
    <w:p>
      <w:pPr>
        <w:spacing w:after="120" w:before="0" w:line="264"/>
      </w:pPr>
      <w:r>
        <w:rPr>
          <w:b/>
          <w:bCs/>
          <w:color w:val="1F3864"/>
        </w:rPr>
        <w:t xml:space="preserve">Business impact — headwinds, but cushioned.  </w:t>
      </w:r>
      <w:r>
        <w:t xml:space="preserve">Three pressures stack up: (1) the credit loss ratio — already rising at 8.1% — climbs further as squeezed lower-income borrowers default, and higher rates worsen affordability; (2) Capitec tightens granting, slowing book growth and lifting provisions; and (3) discretionary transaction/VAS spend softens and funeral/credit-life claims can rise. Against that sit four genuine cushions: </w:t>
      </w:r>
      <w:r>
        <w:rPr>
          <w:b/>
          <w:bCs/>
        </w:rPr>
        <w:t xml:space="preserve">endowment</w:t>
      </w:r>
      <w:r>
        <w:t xml:space="preserve"> (higher-for-longer rates lift NII), </w:t>
      </w:r>
      <w:r>
        <w:rPr>
          <w:b/>
          <w:bCs/>
        </w:rPr>
        <w:t xml:space="preserve">diversification</w:t>
      </w:r>
      <w:r>
        <w:t xml:space="preserve"> (insurance, fintech/Connect and business-bank annuity streams keep growing), </w:t>
      </w:r>
      <w:r>
        <w:rPr>
          <w:b/>
          <w:bCs/>
        </w:rPr>
        <w:t xml:space="preserve">fortress capital and a 55% payout</w:t>
      </w:r>
      <w:r>
        <w:t xml:space="preserve"> (room to absorb losses and keep lending), and a record of </w:t>
      </w:r>
      <w:r>
        <w:rPr>
          <w:b/>
          <w:bCs/>
        </w:rPr>
        <w:t xml:space="preserve">gaining share</w:t>
      </w:r>
      <w:r>
        <w:t xml:space="preserve"> as weaker, costlier lenders retrench. Net: earnings growth decelerates — toward single digits in a severe case (e) — but the franchise is resilient.</w:t>
      </w:r>
    </w:p>
    <w:p>
      <w:pPr>
        <w:spacing w:after="120" w:before="0" w:line="264"/>
      </w:pPr>
      <w:r>
        <w:rPr>
          <w:b/>
          <w:bCs/>
          <w:color w:val="1F3864"/>
        </w:rPr>
        <w:t xml:space="preserve">Relative call.  </w:t>
      </w:r>
      <w:r>
        <w:t xml:space="preserve">Capitec is not defensive — it is a high-quality cyclical-growth compounder. In a risk-off, recession-risk SA, banks de-rate, and a ~26x forward consumer lender is the most exposed to multiple compression even if its earnings prove sturdier than peers’. This is the scenario where the share price can fall further than the earnings warrant — which is also where a patient buyer of quality gets the better entry point.</w:t>
      </w:r>
    </w:p>
    <w:p>
      <w:pPr>
        <w:pStyle w:val="Heading1"/>
        <w:spacing w:after="120" w:before="240"/>
      </w:pPr>
      <w:r>
        <w:t xml:space="preserve">7.  Key indicators to watch (next 12–18 months)</w:t>
      </w:r>
    </w:p>
    <w:p>
      <w:pPr>
        <w:spacing w:after="80" w:before="0" w:line="264"/>
      </w:pPr>
      <w:r>
        <w:t xml:space="preserve">In rough order of impact on future earnings:</w:t>
      </w:r>
    </w:p>
    <w:p>
      <w:pPr>
        <w:pStyle w:val="ListParagraph"/>
        <w:numPr>
          <w:ilvl w:val="0"/>
          <w:numId w:val="2"/>
        </w:numPr>
        <w:spacing w:after="80" w:line="264"/>
      </w:pPr>
      <w:r>
        <w:rPr>
          <w:b/>
          <w:bCs/>
        </w:rPr>
        <w:t xml:space="preserve">Credit loss ratio + Stage 3 / NPLs + arrears + coverage</w:t>
      </w:r>
      <w:r>
        <w:t xml:space="preserve"> — the master earnings switch. Currently 8.1% (from 7.5%) and rising; the clearest read on the consumer and on granting discipline.</w:t>
      </w:r>
    </w:p>
    <w:p>
      <w:pPr>
        <w:pStyle w:val="ListParagraph"/>
        <w:numPr>
          <w:ilvl w:val="0"/>
          <w:numId w:val="2"/>
        </w:numPr>
        <w:spacing w:after="80" w:line="264"/>
      </w:pPr>
      <w:r>
        <w:rPr>
          <w:b/>
          <w:bCs/>
        </w:rPr>
        <w:t xml:space="preserve">SARB repo path</w:t>
      </w:r>
      <w:r>
        <w:t xml:space="preserve"> — the ~6.67% ‘intermediate’ vs ~8.17% ‘severe’ scenarios off the current 7.00%. Two-sided: endowment tailwind vs affordability drag.</w:t>
      </w:r>
    </w:p>
    <w:p>
      <w:pPr>
        <w:pStyle w:val="ListParagraph"/>
        <w:numPr>
          <w:ilvl w:val="0"/>
          <w:numId w:val="2"/>
        </w:numPr>
        <w:spacing w:after="80" w:line="264"/>
      </w:pPr>
      <w:r>
        <w:rPr>
          <w:b/>
          <w:bCs/>
        </w:rPr>
        <w:t xml:space="preserve">SA CPI and monthly fuel-price announcements</w:t>
      </w:r>
      <w:r>
        <w:t xml:space="preserve"> — the core client’s wallet (CPI 4.0% in April, driven by fuel +11%).</w:t>
      </w:r>
    </w:p>
    <w:p>
      <w:pPr>
        <w:pStyle w:val="ListParagraph"/>
        <w:numPr>
          <w:ilvl w:val="0"/>
          <w:numId w:val="2"/>
        </w:numPr>
        <w:spacing w:after="80" w:line="264"/>
      </w:pPr>
      <w:r>
        <w:rPr>
          <w:b/>
          <w:bCs/>
        </w:rPr>
        <w:t xml:space="preserve">Loan disbursements, retail book growth and application volumes</w:t>
      </w:r>
      <w:r>
        <w:t xml:space="preserve"> — demand plus forward credit risk (FY2026: group disbursements +34%, retail book +9.4%).</w:t>
      </w:r>
    </w:p>
    <w:p>
      <w:pPr>
        <w:pStyle w:val="ListParagraph"/>
        <w:numPr>
          <w:ilvl w:val="0"/>
          <w:numId w:val="2"/>
        </w:numPr>
        <w:spacing w:after="80" w:line="264"/>
      </w:pPr>
      <w:r>
        <w:rPr>
          <w:b/>
          <w:bCs/>
        </w:rPr>
        <w:t xml:space="preserve">Net transaction &amp; commission income, active/fully-banked client growth, digital volumes</w:t>
      </w:r>
      <w:r>
        <w:t xml:space="preserve"> — the annuity engine (currently +16%; half of payments now digital).</w:t>
      </w:r>
    </w:p>
    <w:p>
      <w:pPr>
        <w:pStyle w:val="ListParagraph"/>
        <w:numPr>
          <w:ilvl w:val="0"/>
          <w:numId w:val="2"/>
        </w:numPr>
        <w:spacing w:after="80" w:line="264"/>
      </w:pPr>
      <w:r>
        <w:rPr>
          <w:b/>
          <w:bCs/>
        </w:rPr>
        <w:t xml:space="preserve">Net insurance income and funeral/credit-life claims ratios</w:t>
      </w:r>
      <w:r>
        <w:t xml:space="preserve"> — claims rise in consumer stress (funeral claims ratio currently 43.5%, improving).</w:t>
      </w:r>
    </w:p>
    <w:p>
      <w:pPr>
        <w:pStyle w:val="ListParagraph"/>
        <w:numPr>
          <w:ilvl w:val="0"/>
          <w:numId w:val="2"/>
        </w:numPr>
        <w:spacing w:after="80" w:line="264"/>
      </w:pPr>
      <w:r>
        <w:rPr>
          <w:b/>
          <w:bCs/>
        </w:rPr>
        <w:t xml:space="preserve">Operating-expense growth / jaws / cost-to-income</w:t>
      </w:r>
      <w:r>
        <w:t xml:space="preserve"> — efficiency discipline (opex +12% vs income +19% = strong positive jaws).</w:t>
      </w:r>
    </w:p>
    <w:p>
      <w:pPr>
        <w:pStyle w:val="ListParagraph"/>
        <w:numPr>
          <w:ilvl w:val="0"/>
          <w:numId w:val="2"/>
        </w:numPr>
        <w:spacing w:after="80" w:line="264"/>
      </w:pPr>
      <w:r>
        <w:rPr>
          <w:b/>
          <w:bCs/>
        </w:rPr>
        <w:t xml:space="preserve">CET1 / capital adequacy and the 55% payout</w:t>
      </w:r>
      <w:r>
        <w:t xml:space="preserve"> — loss-absorption capacity (capital “well above regulatory minima”; confirm the exact CET1 % in the AFS).</w:t>
      </w:r>
    </w:p>
    <w:p>
      <w:pPr>
        <w:pStyle w:val="ListParagraph"/>
        <w:numPr>
          <w:ilvl w:val="0"/>
          <w:numId w:val="2"/>
        </w:numPr>
        <w:spacing w:after="80" w:line="264"/>
      </w:pPr>
      <w:r>
        <w:rPr>
          <w:b/>
          <w:bCs/>
        </w:rPr>
        <w:t xml:space="preserve">Capitec Connect subscribers, Business Bank scaling, AvaFin</w:t>
      </w:r>
      <w:r>
        <w:t xml:space="preserve"> — the new growth legs (Connect 1.5m active MVNO; business clients +71%).</w:t>
      </w:r>
    </w:p>
    <w:p>
      <w:pPr>
        <w:pStyle w:val="ListParagraph"/>
        <w:numPr>
          <w:ilvl w:val="0"/>
          <w:numId w:val="2"/>
        </w:numPr>
        <w:spacing w:after="80" w:line="264"/>
      </w:pPr>
      <w:r>
        <w:rPr>
          <w:b/>
          <w:bCs/>
        </w:rPr>
        <w:t xml:space="preserve">Forward multiple (~26x) vs the big-four banks</w:t>
      </w:r>
      <w:r>
        <w:t xml:space="preserve"> — de-rating risk in B; relative-laggard risk in A.</w:t>
      </w:r>
    </w:p>
    <w:p>
      <w:pPr>
        <w:pStyle w:val="ListParagraph"/>
        <w:numPr>
          <w:ilvl w:val="0"/>
          <w:numId w:val="2"/>
        </w:numPr>
        <w:spacing w:after="80" w:line="264"/>
      </w:pPr>
      <w:r>
        <w:rPr>
          <w:b/>
          <w:bCs/>
        </w:rPr>
        <w:t xml:space="preserve">SA unemployment and GDP</w:t>
      </w:r>
      <w:r>
        <w:t xml:space="preserve"> — the ultimate driver of mass-market credit demand and losses.</w:t>
      </w:r>
    </w:p>
    <w:p>
      <w:pPr>
        <w:pStyle w:val="ListParagraph"/>
        <w:numPr>
          <w:ilvl w:val="0"/>
          <w:numId w:val="2"/>
        </w:numPr>
        <w:spacing w:after="80" w:line="264"/>
      </w:pPr>
      <w:r>
        <w:rPr>
          <w:b/>
          <w:bCs/>
        </w:rPr>
        <w:t xml:space="preserve">USD/ZAR</w:t>
      </w:r>
      <w:r>
        <w:t xml:space="preserve"> — the rand’s response to oil and risk sentiment (~R16.2, mid-June 2026).</w:t>
      </w:r>
    </w:p>
    <w:p>
      <w:pPr>
        <w:pStyle w:val="Heading1"/>
        <w:spacing w:after="120" w:before="240"/>
      </w:pPr>
      <w:r>
        <w:t xml:space="preserve">8.  Risks, nuances &amp; the downside tail</w:t>
      </w:r>
    </w:p>
    <w:p>
      <w:pPr>
        <w:pStyle w:val="ListParagraph"/>
        <w:numPr>
          <w:ilvl w:val="0"/>
          <w:numId w:val="3"/>
        </w:numPr>
        <w:spacing w:after="80" w:line="264"/>
      </w:pPr>
      <w:r>
        <w:rPr>
          <w:b/>
          <w:bCs/>
        </w:rPr>
        <w:t xml:space="preserve">Procyclical credit risk. </w:t>
      </w:r>
      <w:r>
        <w:t xml:space="preserve">Fast book growth (disbursements +34%) seasons into higher losses with a lag; a Scenario-B macro would amplify a credit loss ratio that is already climbing.</w:t>
      </w:r>
    </w:p>
    <w:p>
      <w:pPr>
        <w:pStyle w:val="ListParagraph"/>
        <w:numPr>
          <w:ilvl w:val="0"/>
          <w:numId w:val="3"/>
        </w:numPr>
        <w:spacing w:after="80" w:line="264"/>
      </w:pPr>
      <w:r>
        <w:rPr>
          <w:b/>
          <w:bCs/>
        </w:rPr>
        <w:t xml:space="preserve">Multiple risk. </w:t>
      </w:r>
      <w:r>
        <w:t xml:space="preserve">~30x trailing / ~26x forward leaves little margin for error; an SA-bank de-rating in risk-off can hurt the share more than earnings.</w:t>
      </w:r>
    </w:p>
    <w:p>
      <w:pPr>
        <w:pStyle w:val="ListParagraph"/>
        <w:numPr>
          <w:ilvl w:val="0"/>
          <w:numId w:val="3"/>
        </w:numPr>
        <w:spacing w:after="80" w:line="264"/>
      </w:pPr>
      <w:r>
        <w:rPr>
          <w:b/>
          <w:bCs/>
        </w:rPr>
        <w:t xml:space="preserve">Unsecured concentration. </w:t>
      </w:r>
      <w:r>
        <w:t xml:space="preserve">Despite diversification, retail unsecured lending is still the most consumer-stress-sensitive model in SA banking.</w:t>
      </w:r>
    </w:p>
    <w:p>
      <w:pPr>
        <w:pStyle w:val="ListParagraph"/>
        <w:numPr>
          <w:ilvl w:val="0"/>
          <w:numId w:val="3"/>
        </w:numPr>
        <w:spacing w:after="80" w:line="264"/>
      </w:pPr>
      <w:r>
        <w:rPr>
          <w:b/>
          <w:bCs/>
        </w:rPr>
        <w:t xml:space="preserve">Endowment is a partial, not full, offset — </w:t>
      </w:r>
      <w:r>
        <w:t xml:space="preserve">and it works against earnings in Scenario A as rate cuts compress NII.</w:t>
      </w:r>
    </w:p>
    <w:p>
      <w:pPr>
        <w:pStyle w:val="ListParagraph"/>
        <w:numPr>
          <w:ilvl w:val="0"/>
          <w:numId w:val="3"/>
        </w:numPr>
        <w:spacing w:after="80" w:line="264"/>
      </w:pPr>
      <w:r>
        <w:rPr>
          <w:b/>
          <w:bCs/>
        </w:rPr>
        <w:t xml:space="preserve">Transition + governance. </w:t>
      </w:r>
      <w:r>
        <w:t xml:space="preserve">First full year under a new CEO; recurring shareholder dissent on pay quantum is an ESG/governance watch-item.</w:t>
      </w:r>
    </w:p>
    <w:p>
      <w:pPr>
        <w:pStyle w:val="ListParagraph"/>
        <w:numPr>
          <w:ilvl w:val="0"/>
          <w:numId w:val="3"/>
        </w:numPr>
        <w:spacing w:after="80" w:line="264"/>
      </w:pPr>
      <w:r>
        <w:rPr>
          <w:b/>
          <w:bCs/>
        </w:rPr>
        <w:t xml:space="preserve">Data caveats. </w:t>
      </w:r>
      <w:r>
        <w:t xml:space="preserve">Exact CET1 and some segment splits sit in the full AFS, not the summary; share prices via search may be delayed; confirm the fund’s dealing-period status before acting.</w:t>
      </w:r>
    </w:p>
    <w:p>
      <w:pPr>
        <w:pStyle w:val="Heading1"/>
        <w:spacing w:after="120" w:before="240"/>
      </w:pPr>
      <w:r>
        <w:t xml:space="preserve">9.  Sources &amp; provenance</w:t>
      </w:r>
    </w:p>
    <w:p>
      <w:pPr>
        <w:spacing w:after="120" w:before="0" w:line="264"/>
      </w:pPr>
      <w:r>
        <w:rPr>
          <w:b/>
          <w:bCs/>
          <w:color w:val="1F3864"/>
        </w:rPr>
        <w:t xml:space="preserve">Company (held locally).  </w:t>
      </w:r>
      <w:r>
        <w:t xml:space="preserve">Capitec audited FY2026 results — SENS short-form (22 Apr 2026): companies/capitec/annual-reports/capitec-annual-results-fy2026-20260422.txt; FY2026 results-presentation key facts: companies/capitec/investor-presentations/capitec-results-presentation-fy2026-20260422_keyfacts.txt. Full integrated report: senspdf.jse.co.za/documents/2026/JSE/ISSE/CPI/CPIFY26.pdf.</w:t>
      </w:r>
    </w:p>
    <w:p>
      <w:pPr>
        <w:spacing w:after="120" w:before="0" w:line="264"/>
      </w:pPr>
      <w:r>
        <w:rPr>
          <w:b/>
          <w:bCs/>
          <w:color w:val="1F3864"/>
        </w:rPr>
        <w:t xml:space="preserve">External (via web search — may be delayed/secondary).  </w:t>
      </w:r>
      <w:r>
        <w:t xml:space="preserve">FY2026 results &amp; commentary — Capitec / EWN / Daily Investor / BusinessTech; remuneration &amp; CEO transition — Moneyweb / BusinessTech / Business Day / IOL; SA repo to 7.00% (29 May 2026) &amp; inflation — News24 / SAnews / FocusEconomics; SARB oil-shock scenarios (intermediate ~6.67% / severe ~8.17%) — BusinessTech (consistent with the fund’s Shoprite/Gold Fields notes); Strait of Hormuz status &amp; Brent — House of Commons Library / Al Jazeera / Fortune / TradingEconomics; USD/ZAR — TradingEconomics; CPI valuation — stockanalysis.com / companiesmarketcap / Moneyweb.</w:t>
      </w:r>
    </w:p>
    <w:p>
      <w:pPr>
        <w:pBdr>
          <w:top w:val="single" w:color="BFBFBF" w:sz="4" w:space="1"/>
        </w:pBdr>
        <w:spacing w:after="60" w:before="160"/>
      </w:pPr>
      <w:r>
        <w:t xml:space="preserve"/>
      </w:r>
    </w:p>
    <w:p>
      <w:pPr>
        <w:spacing w:after="120" w:before="0" w:line="264"/>
      </w:pPr>
      <w:r>
        <w:rPr>
          <w:i/>
          <w:iCs/>
          <w:color w:val="595959"/>
          <w:sz w:val="17"/>
          <w:szCs w:val="17"/>
        </w:rPr>
        <w:t xml:space="preserve">For informational purposes only — not investment advice; prepared by internal research from public disclosures. Capitec reports IFRS in ZAR; FY2026 figures are audited (unmodified opinion, Deloitte &amp; Touche + KPMG). The outlook discussion is analyst judgement; scenario macro levels and figures marked (e) are estimates, not company guidance. Share/commodity prices via web search may be delayed — there is no live JSE feed here. Confirm the fund’s dealing-period status before acting.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5"/>
      <w:szCs w:val="25"/>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2026-06-17T16:47:08.004Z</dcterms:created>
  <dcterms:modified xsi:type="dcterms:W3CDTF">2026-06-17T16:47:08.004Z</dcterms:modified>
</cp:coreProperties>
</file>

<file path=docProps/custom.xml><?xml version="1.0" encoding="utf-8"?>
<Properties xmlns="http://schemas.openxmlformats.org/officeDocument/2006/custom-properties" xmlns:vt="http://schemas.openxmlformats.org/officeDocument/2006/docPropsVTypes"/>
</file>