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2E75B6"/>
          <w:sz w:val="18"/>
          <w:szCs w:val="18"/>
        </w:rPr>
        <w:t xml:space="preserve">EQUITY RESEARCH — INTERNAL</w:t>
      </w:r>
    </w:p>
    <w:p>
      <w:pPr>
        <w:pBdr>
          <w:bottom w:val="single" w:color="1F3864" w:sz="12" w:space="6"/>
        </w:pBdr>
        <w:spacing w:after="0" w:before="60"/>
      </w:pPr>
      <w:r>
        <w:rPr>
          <w:b/>
          <w:bCs/>
          <w:color w:val="1F3864"/>
          <w:sz w:val="40"/>
          <w:szCs w:val="40"/>
        </w:rPr>
        <w:t xml:space="preserve">Clicks Group Limited (JSE: CLS)</w:t>
      </w:r>
    </w:p>
    <w:p>
      <w:pPr>
        <w:spacing w:after="40" w:before="120"/>
      </w:pPr>
      <w:r>
        <w:rPr>
          <w:i/>
          <w:iCs/>
          <w:color w:val="404040"/>
          <w:sz w:val="24"/>
          <w:szCs w:val="24"/>
        </w:rPr>
        <w:t xml:space="preserve">The De-Rating of a Defensive Compounder: Temporary Setback or Permanent Reset?</w:t>
      </w:r>
    </w:p>
    <w:p>
      <w:pPr>
        <w:spacing w:after="200"/>
      </w:pPr>
      <w:r>
        <w:rPr>
          <w:b/>
          <w:bCs/>
          <w:sz w:val="18"/>
          <w:szCs w:val="18"/>
        </w:rPr>
        <w:t xml:space="preserve">Sector: </w:t>
      </w:r>
      <w:r>
        <w:rPr>
          <w:sz w:val="18"/>
          <w:szCs w:val="18"/>
        </w:rPr>
        <w:t xml:space="preserve">Health, Wellness &amp; Beauty Retail + Pharmaceutical Distribution (UPD)   |   </w:t>
      </w:r>
      <w:r>
        <w:rPr>
          <w:b/>
          <w:bCs/>
          <w:sz w:val="18"/>
          <w:szCs w:val="18"/>
        </w:rPr>
        <w:t xml:space="preserve">Date: </w:t>
      </w:r>
      <w:r>
        <w:rPr>
          <w:sz w:val="18"/>
          <w:szCs w:val="18"/>
        </w:rPr>
        <w:t xml:space="preserve">7 June 2026   |   </w:t>
      </w:r>
      <w:r>
        <w:rPr>
          <w:b/>
          <w:bCs/>
          <w:sz w:val="18"/>
          <w:szCs w:val="18"/>
        </w:rPr>
        <w:t xml:space="preserve">FY-end: </w:t>
      </w:r>
      <w:r>
        <w:rPr>
          <w:sz w:val="18"/>
          <w:szCs w:val="18"/>
        </w:rPr>
        <w:t xml:space="preserve">31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F3" w:sz="1"/>
              <w:left w:val="single" w:color="1F3864" w:sz="18"/>
              <w:bottom w:val="single" w:color="D9E2F3" w:sz="1"/>
              <w:right w:val="single" w:color="D9E2F3" w:sz="1"/>
            </w:tcBorders>
            <w:shd w:fill="D9E2F3" w:val="clear"/>
            <w:tcMar>
              <w:top w:type="dxa" w:w="120"/>
              <w:left w:type="dxa" w:w="180"/>
              <w:bottom w:type="dxa" w:w="120"/>
              <w:right w:type="dxa" w:w="160"/>
            </w:tcMar>
          </w:tcPr>
          <w:p>
            <w:pPr>
              <w:spacing w:after="60"/>
            </w:pPr>
            <w:r>
              <w:rPr>
                <w:b/>
                <w:bCs/>
                <w:color w:val="1F3864"/>
              </w:rPr>
              <w:t xml:space="preserve">VERDICT — A mix, weighted toward a permanent re-rating</w:t>
            </w:r>
          </w:p>
          <w:p>
            <w:pPr>
              <w:spacing w:after="40"/>
            </w:pPr>
            <w:r>
              <w:rPr>
                <w:b/>
                <w:bCs/>
              </w:rPr>
              <w:t xml:space="preserve">Operationally, the problems are mostly temporary. </w:t>
            </w:r>
            <w:r>
              <w:t xml:space="preserve">The festive systems glitch, price wars and ultra-low inflation that dented H1 are cyclical or self-correcting — pharmacy share actually </w:t>
            </w:r>
            <w:r>
              <w:rPr>
                <w:b/>
                <w:bCs/>
              </w:rPr>
              <w:t xml:space="preserve">rose</w:t>
            </w:r>
            <w:r>
              <w:t xml:space="preserve"> to 24.9%, the trading margin held at 9.1%, and ROE is still ~46%.</w:t>
            </w:r>
          </w:p>
          <w:p>
            <w:pPr>
              <w:spacing w:after="40"/>
            </w:pPr>
            <w:r>
              <w:rPr>
                <w:b/>
                <w:bCs/>
              </w:rPr>
              <w:t xml:space="preserve">The share-price problem is mostly permanent. </w:t>
            </w:r>
            <w:r>
              <w:t xml:space="preserve">A quality defensive compounder is being repriced because its growth algorithm has structurally downshifted from mid-teens to high-single-digit (FY26 guidance +4–9%), while Dis-Chem's data-led model attacks Clicks' highest-margin beauty/front-shop categories. The premium multiple for “predictability” is unlikely to fully return.</w:t>
            </w:r>
          </w:p>
          <w:p>
            <w:pPr>
              <w:spacing w:after="40"/>
            </w:pPr>
            <w:r>
              <w:rPr>
                <w:b/>
                <w:bCs/>
              </w:rPr>
              <w:t xml:space="preserve">Bottom line: </w:t>
            </w:r>
            <w:r>
              <w:t xml:space="preserve">The business is not broken; the investment case is downgraded. Expect Clicks to compound earnings at high-single-digit with a ~3.5% yield and buybacks — solid, but no longer the premium-rated structural growth story the market paid up for.</w:t>
            </w:r>
          </w:p>
        </w:tc>
      </w:tr>
    </w:tbl>
    <w:p>
      <w:pPr>
        <w:spacing w:after="120"/>
      </w:pPr>
    </w:p>
    <w:p>
      <w:pPr>
        <w:pStyle w:val="Heading1"/>
      </w:pPr>
      <w:r>
        <w:t xml:space="preserve">1.  What happened to the share price</w:t>
      </w:r>
    </w:p>
    <w:p>
      <w:pPr>
        <w:spacing w:after="140" w:line="276"/>
      </w:pPr>
      <w:r>
        <w:t xml:space="preserve">Clicks has been one of the JSE's most </w:t>
      </w:r>
      <w:r>
        <w:rPr>
          <w:b/>
          <w:bCs/>
        </w:rPr>
        <w:t xml:space="preserve">predictable defensive compounders</w:t>
      </w:r>
      <w:r>
        <w:t xml:space="preserve"> — a ~17.3% total-shareholder-return CAGR over ten years, ROE around 49%, and a near-uninterrupted record of mid-teens HEPS growth. That predictability is exactly why the recent move stands out. From its FY2025 close the share has fallen roughly </w:t>
      </w:r>
      <w:r>
        <w:rPr>
          <w:b/>
          <w:bCs/>
        </w:rPr>
        <w:t xml:space="preserve">one third</w:t>
      </w:r>
      <w:r>
        <w:t xml:space="preserve">, erasing close to </w:t>
      </w:r>
      <w:r>
        <w:rPr>
          <w:b/>
          <w:bCs/>
        </w:rPr>
        <w:t xml:space="preserve">R19.7bn of market value in five months</w:t>
      </w:r>
      <w:r>
        <w:t xml:space="preserve"> — even though the company kept growing earnings and dividends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8"/>
                <w:szCs w:val="18"/>
              </w:rPr>
              <w:t xml:space="preserve">Reference point</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Price (R)</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Mkt cap (R'bn)</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vs latest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FY2025 close (29 Aug 2025)</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373.12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88.0</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−33.5% (e)</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2 Jan 2026</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332.34</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77.7</w:t>
            </w:r>
          </w:p>
        </w:tc>
        <w:tc>
          <w:tcPr>
            <w:tcW w:type="dxa" w:w="2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−25.3%</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H1 close (28 Feb 2026)</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318.21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74.4</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−22.0% (e)</w:t>
            </w:r>
          </w:p>
        </w:tc>
      </w:tr>
      <w:tr>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jc w:val="left"/>
            </w:pPr>
            <w:r>
              <w:rPr>
                <w:b/>
                <w:bCs/>
                <w:sz w:val="18"/>
                <w:szCs w:val="18"/>
              </w:rPr>
              <w:t xml:space="preserve">Latest (25 May 2026)</w:t>
            </w:r>
          </w:p>
        </w:tc>
        <w:tc>
          <w:tcPr>
            <w:tcW w:type="dxa" w:w="20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jc w:val="right"/>
            </w:pPr>
            <w:r>
              <w:rPr>
                <w:b/>
                <w:bCs/>
                <w:sz w:val="18"/>
                <w:szCs w:val="18"/>
              </w:rPr>
              <w:t xml:space="preserve">248.11</w:t>
            </w:r>
          </w:p>
        </w:tc>
        <w:tc>
          <w:tcPr>
            <w:tcW w:type="dxa" w:w="20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jc w:val="right"/>
            </w:pPr>
            <w:r>
              <w:rPr>
                <w:b/>
                <w:bCs/>
                <w:sz w:val="18"/>
                <w:szCs w:val="18"/>
              </w:rPr>
              <w:t xml:space="preserve">~58.5</w:t>
            </w:r>
          </w:p>
        </w:tc>
        <w:tc>
          <w:tcPr>
            <w:tcW w:type="dxa" w:w="20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jc w:val="right"/>
            </w:pPr>
            <w:r>
              <w:rPr>
                <w:b/>
                <w:bCs/>
                <w:sz w:val="18"/>
                <w:szCs w:val="18"/>
              </w:rPr>
              <w:t xml:space="preserve">—</w:t>
            </w:r>
          </w:p>
        </w:tc>
      </w:tr>
    </w:tbl>
    <w:p>
      <w:pPr>
        <w:spacing w:after="120" w:before="60"/>
      </w:pPr>
      <w:r>
        <w:rPr>
          <w:i/>
          <w:iCs/>
          <w:color w:val="595959"/>
          <w:sz w:val="16"/>
          <w:szCs w:val="16"/>
        </w:rPr>
        <w:t xml:space="preserve">(e) = calculated from reported closing prices / share count. Latest price R248.11 and ~R58.5bn market cap per market data, 25 May 2026. PE compressed from 27.4x (FY2025) to ~17.6x (e) on TTM HEPS of ~1,410.6c.</w:t>
      </w:r>
    </w:p>
    <w:p>
      <w:pPr>
        <w:spacing w:after="140" w:line="276"/>
      </w:pPr>
      <w:r>
        <w:t xml:space="preserve">Crucially, </w:t>
      </w:r>
      <w:r>
        <w:rPr>
          <w:b/>
          <w:bCs/>
        </w:rPr>
        <w:t xml:space="preserve">the de-rating is not the result of an earnings miss</w:t>
      </w:r>
      <w:r>
        <w:t xml:space="preserve">. H1 FY2026 diluted HEPS still grew 8.1%. The market is repricing the </w:t>
      </w:r>
      <w:r>
        <w:rPr>
          <w:b/>
          <w:bCs/>
        </w:rPr>
        <w:t xml:space="preserve">multiple</w:t>
      </w:r>
      <w:r>
        <w:t xml:space="preserve">, not reacting to a profit warning — a tell that the concern is about future growth and competitive position rather than the latest print.</w:t>
      </w:r>
    </w:p>
    <w:p>
      <w:pPr>
        <w:pStyle w:val="Heading1"/>
      </w:pPr>
      <w:r>
        <w:t xml:space="preserve">2.  H1 FY2026 results — the standardised picture</w:t>
      </w:r>
    </w:p>
    <w:p>
      <w:pPr>
        <w:spacing w:after="140" w:line="276"/>
      </w:pPr>
      <w:r>
        <w:t xml:space="preserve">Six months to 28 February 2026 versus the prior corresponding period (pcp). Source: unaudited interim results, published 23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8"/>
                <w:szCs w:val="18"/>
              </w:rPr>
              <w:t xml:space="preserve">Metric (H1 FY2026)</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H1 2026</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H1 2025</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Change</w:t>
            </w:r>
          </w:p>
        </w:tc>
        <w:tc>
          <w:tcPr>
            <w:tcW w:type="dxa" w:w="1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color w:val="FFFFFF"/>
                <w:sz w:val="18"/>
                <w:szCs w:val="18"/>
              </w:rPr>
              <w:t xml:space="preserve">% /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Group turnover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24,872</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23,164</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+1,708</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+7.4%</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Retail turnover (R'm)</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19,373</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18,384</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+989</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+5.4%</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595959"/>
                <w:sz w:val="18"/>
                <w:szCs w:val="18"/>
              </w:rPr>
              <w:t xml:space="preserve">  Comparable retail growth</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3.1%</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4.6%</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−150 bps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Distribution turnover (R'm)</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9,908</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8,771</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+1,137</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+13.0%</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Gross profit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5,824</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5,565</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+260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+4.7%</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Gross margin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23.4%</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24.0%</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−60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Total income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7,643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7,174</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+469</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+6.5%</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Total income margin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30.7%</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31.0%</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−30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Trading profit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2,253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2,097</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+156</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+7.4%</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Trading (group) margin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9.1%</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9.1%</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0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color w:val="595959"/>
                <w:sz w:val="18"/>
                <w:szCs w:val="18"/>
              </w:rPr>
              <w:t xml:space="preserve">  Retail trading margin</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10.3%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9.8%</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color w:val="595959"/>
                <w:sz w:val="18"/>
                <w:szCs w:val="18"/>
              </w:rPr>
              <w:t xml:space="preserve">+50 bps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595959"/>
                <w:sz w:val="18"/>
                <w:szCs w:val="18"/>
              </w:rPr>
              <w:t xml:space="preserve">  UPD/distribution margin</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color w:val="595959"/>
                <w:sz w:val="18"/>
                <w:szCs w:val="18"/>
              </w:rPr>
              <w:t xml:space="preserve">2.5%</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color w:val="595959"/>
                <w:sz w:val="18"/>
                <w:szCs w:val="18"/>
              </w:rPr>
              <w:t xml:space="preserve">2.6%</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color w:val="595959"/>
                <w:sz w:val="18"/>
                <w:szCs w:val="18"/>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color w:val="595959"/>
                <w:sz w:val="18"/>
                <w:szCs w:val="18"/>
              </w:rPr>
              <w:t xml:space="preserve">−10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Headline earnings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1,530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1,438</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+92</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+6.4%</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Diluted HEPS (cents)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652.8</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603.9</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+48.9</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+8.1%</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Interim DPS (cents)</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258.0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238.0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+20.0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+8.4%</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Return on equity</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45.7%</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46.2%</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−50 bps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Cash generated by ops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1,853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1,713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+140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+8.2%</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Inventory days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89</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85</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+4</w:t>
            </w:r>
          </w:p>
        </w:tc>
        <w:tc>
          <w:tcPr>
            <w:tcW w:type="dxa" w:w="1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sz w:val="18"/>
                <w:szCs w:val="18"/>
              </w:rPr>
              <w:t xml:space="preserve">—</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Net financing cost (R'm)</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163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123</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+40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right"/>
            </w:pPr>
            <w:r>
              <w:rPr>
                <w:b w:val="false"/>
                <w:bCs w:val="false"/>
                <w:sz w:val="18"/>
                <w:szCs w:val="18"/>
              </w:rPr>
              <w:t xml:space="preserve">+32.5%</w:t>
            </w:r>
          </w:p>
        </w:tc>
      </w:tr>
    </w:tbl>
    <w:p>
      <w:pPr>
        <w:spacing w:after="120" w:before="80"/>
      </w:pPr>
      <w:r>
        <w:rPr>
          <w:i/>
          <w:iCs/>
          <w:color w:val="595959"/>
          <w:sz w:val="16"/>
          <w:szCs w:val="16"/>
        </w:rPr>
        <w:t xml:space="preserve">All figures per the H1 FY2026 SENS results announcement. Margins/returns shown as bps change per house style.</w:t>
      </w:r>
    </w:p>
    <w:p>
      <w:pPr>
        <w:spacing w:after="140" w:line="276"/>
      </w:pPr>
      <w:r>
        <w:rPr>
          <w:b/>
          <w:bCs/>
        </w:rPr>
        <w:t xml:space="preserve">Read-through: </w:t>
      </w:r>
      <w:r>
        <w:t xml:space="preserve">a resilient, not a broken, half. Group turnover +7.4% and trading profit +7.4% with the group margin held at 9.1%. But note the </w:t>
      </w:r>
      <w:r>
        <w:rPr>
          <w:b/>
          <w:bCs/>
        </w:rPr>
        <w:t xml:space="preserve">quality of the headline</w:t>
      </w:r>
      <w:r>
        <w:t xml:space="preserve">: headline </w:t>
      </w:r>
      <w:r>
        <w:rPr>
          <w:b/>
          <w:bCs/>
        </w:rPr>
        <w:t xml:space="preserve">earnings</w:t>
      </w:r>
      <w:r>
        <w:t xml:space="preserve"> grew only 6.4%; the step up to 8.1% HEPS was delivered by share buybacks (~2.1m shares cancelled in the half, ~R752m). Comparable retail growth slowed to 3.1% (from 4.6%), and gross margin gave up 60 bps.</w:t>
      </w:r>
    </w:p>
    <w:p>
      <w:pPr>
        <w:pStyle w:val="Heading1"/>
      </w:pPr>
      <w:r>
        <w:t xml:space="preserve">3.  Diagnosing the cost and margin pressure</w:t>
      </w:r>
    </w:p>
    <w:p>
      <w:pPr>
        <w:spacing w:after="140" w:line="276"/>
      </w:pPr>
      <w:r>
        <w:t xml:space="preserve">The premise — rising costs and margin pressure — is borne out, but the causes are mostly identifiable and partly self-inflicted rather than a loss of pricing power:</w:t>
      </w:r>
    </w:p>
    <w:p>
      <w:pPr>
        <w:pStyle w:val="ListParagraph"/>
        <w:numPr>
          <w:ilvl w:val="0"/>
          <w:numId w:val="2"/>
        </w:numPr>
        <w:spacing w:after="80" w:line="270"/>
      </w:pPr>
      <w:r>
        <w:rPr>
          <w:b/>
          <w:bCs/>
        </w:rPr>
        <w:t xml:space="preserve">Systems disruption (temporary). </w:t>
      </w:r>
      <w:r>
        <w:t xml:space="preserve">A delayed warehouse-management-system (WMS) rollout at the Cape Town DC cut product availability in Western and Eastern Cape stores over the festive season. Management quantifies the hit at ~R175m of retail sales (0.9%); availability was restored to target by end-February 2026.</w:t>
      </w:r>
    </w:p>
    <w:p>
      <w:pPr>
        <w:pStyle w:val="ListParagraph"/>
        <w:numPr>
          <w:ilvl w:val="0"/>
          <w:numId w:val="2"/>
        </w:numPr>
        <w:spacing w:after="80" w:line="270"/>
      </w:pPr>
      <w:r>
        <w:rPr>
          <w:b/>
          <w:bCs/>
        </w:rPr>
        <w:t xml:space="preserve">Wage and utility inflation (structural). </w:t>
      </w:r>
      <w:r>
        <w:t xml:space="preserve">A 7.0% annual wage increase drove employment costs; electricity/water/generator costs rose to R252.6m (from R211.5m). Retail costs +6.1% outpaced comparable sales of 3.1% — i.e. </w:t>
      </w:r>
      <w:r>
        <w:rPr>
          <w:b/>
          <w:bCs/>
        </w:rPr>
        <w:t xml:space="preserve">negative operating leverage</w:t>
      </w:r>
      <w:r>
        <w:t xml:space="preserve"> this half.</w:t>
      </w:r>
    </w:p>
    <w:p>
      <w:pPr>
        <w:pStyle w:val="ListParagraph"/>
        <w:numPr>
          <w:ilvl w:val="0"/>
          <w:numId w:val="2"/>
        </w:numPr>
        <w:spacing w:after="80" w:line="270"/>
      </w:pPr>
      <w:r>
        <w:rPr>
          <w:b/>
          <w:bCs/>
        </w:rPr>
        <w:t xml:space="preserve">Gross-margin mix (mostly structural). </w:t>
      </w:r>
      <w:r>
        <w:t xml:space="preserve">Gross margin fell 60 bps to 23.4%. Distribution (UPD), the lower-margin, faster-growing segment (+13.0%), is diluting group margin; the distribution margin itself fell 50 bps on a smaller single-exit-price (SEP) medicine adjustment and the loss of two bulk contracts. The retail margin actually </w:t>
      </w:r>
      <w:r>
        <w:rPr>
          <w:b/>
          <w:bCs/>
        </w:rPr>
        <w:t xml:space="preserve">expanded</w:t>
      </w:r>
      <w:r>
        <w:t xml:space="preserve"> 50 bps (private-label growth), which is encouraging.</w:t>
      </w:r>
    </w:p>
    <w:p>
      <w:pPr>
        <w:pStyle w:val="ListParagraph"/>
        <w:numPr>
          <w:ilvl w:val="0"/>
          <w:numId w:val="2"/>
        </w:numPr>
        <w:spacing w:after="80" w:line="270"/>
      </w:pPr>
      <w:r>
        <w:rPr>
          <w:b/>
          <w:bCs/>
        </w:rPr>
        <w:t xml:space="preserve">Rising financing cost (watch). </w:t>
      </w:r>
      <w:r>
        <w:t xml:space="preserve">Net financing cost jumped 32.5% as the balance sheet geared up — interest-bearing debt to equity rose to 52.1% (from 37.1%) — largely to fund dividends and buybacks while working capital absorbed cash (inventory days 89, debtor days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1"/>
              <w:left w:val="single" w:color="BF9000" w:sz="18"/>
              <w:bottom w:val="single" w:color="FFF2CC" w:sz="1"/>
              <w:right w:val="single" w:color="FFF2CC" w:sz="1"/>
            </w:tcBorders>
            <w:shd w:fill="FFF2CC" w:val="clear"/>
            <w:tcMar>
              <w:top w:type="dxa" w:w="120"/>
              <w:left w:type="dxa" w:w="180"/>
              <w:bottom w:type="dxa" w:w="120"/>
              <w:right w:type="dxa" w:w="160"/>
            </w:tcMar>
          </w:tcPr>
          <w:p>
            <w:pPr>
              <w:spacing w:after="60"/>
            </w:pPr>
            <w:r>
              <w:rPr>
                <w:b/>
                <w:bCs/>
                <w:color w:val="1F3864"/>
              </w:rPr>
              <w:t xml:space="preserve">Nuance on “losing market share”</w:t>
            </w:r>
          </w:p>
          <w:p>
            <w:pPr>
              <w:spacing w:after="40"/>
            </w:pPr>
            <w:r>
              <w:t xml:space="preserve">The headline “Clicks is losing share” needs precision. In its core </w:t>
            </w:r>
            <w:r>
              <w:rPr>
                <w:b/>
                <w:bCs/>
              </w:rPr>
              <w:t xml:space="preserve">pharmacy</w:t>
            </w:r>
            <w:r>
              <w:t xml:space="preserve"> business Clicks </w:t>
            </w:r>
            <w:r>
              <w:rPr>
                <w:b/>
                <w:bCs/>
              </w:rPr>
              <w:t xml:space="preserve">gained</w:t>
            </w:r>
            <w:r>
              <w:t xml:space="preserve"> share — retail pharmacy share rose to 24.9% (from 24.2%), pharmacy sales +8.6%. Where Dis-Chem is winning is in </w:t>
            </w:r>
            <w:r>
              <w:rPr>
                <w:b/>
                <w:bCs/>
              </w:rPr>
              <w:t xml:space="preserve">beauty, personal care and front-shop</w:t>
            </w:r>
            <w:r>
              <w:t xml:space="preserve"> — the discretionary, higher-margin categories — via its Better Rewards loyalty relaunch. That is the more dangerous front, because it targets Clicks' profit pool, not its volume base.</w:t>
            </w:r>
          </w:p>
        </w:tc>
      </w:tr>
    </w:tbl>
    <w:p>
      <w:pPr>
        <w:pStyle w:val="Heading1"/>
      </w:pPr>
      <w:r>
        <w:t xml:space="preserve">4.  The competitive threat: Dis-Chem</w:t>
      </w:r>
    </w:p>
    <w:p>
      <w:pPr>
        <w:spacing w:after="140" w:line="276"/>
      </w:pPr>
      <w:r>
        <w:t xml:space="preserve">Dis-Chem's FY2026 results (year to 28 February 2026, released 29 May 2026) are the crux of the bear case — and, paradoxically, also a partial reassurance:</w:t>
      </w:r>
    </w:p>
    <w:p>
      <w:pPr>
        <w:pStyle w:val="ListParagraph"/>
        <w:numPr>
          <w:ilvl w:val="0"/>
          <w:numId w:val="2"/>
        </w:numPr>
        <w:spacing w:after="80" w:line="270"/>
      </w:pPr>
      <w:r>
        <w:rPr>
          <w:b/>
          <w:bCs/>
        </w:rPr>
        <w:t xml:space="preserve">Share momentum is real. </w:t>
      </w:r>
      <w:r>
        <w:t xml:space="preserve">Dis-Chem grew core-category </w:t>
      </w:r>
      <w:r>
        <w:rPr>
          <w:b/>
          <w:bCs/>
        </w:rPr>
        <w:t xml:space="preserve">volume +8% against market volume of ~1.3%</w:t>
      </w:r>
      <w:r>
        <w:t xml:space="preserve">, lifting share ~0.8–1.1 ppt across core categories on the back of its Better Rewards programme. Group revenue +9.3% to R42.8bn; retail +9.0%; comparable pharmacy +5.3%.</w:t>
      </w:r>
    </w:p>
    <w:p>
      <w:pPr>
        <w:pStyle w:val="ListParagraph"/>
        <w:numPr>
          <w:ilvl w:val="0"/>
          <w:numId w:val="2"/>
        </w:numPr>
        <w:spacing w:after="80" w:line="270"/>
      </w:pPr>
      <w:r>
        <w:rPr>
          <w:b/>
          <w:bCs/>
        </w:rPr>
        <w:t xml:space="preserve">A more “modern” narrative. </w:t>
      </w:r>
      <w:r>
        <w:t xml:space="preserve">Management is positioning Dis-Chem as an “integrated healthcare provider” with a data-led, financial-services-enabled ecosystem (Dis-Chem Life, the Capitec partnership). Commentators contrast this with Clicks' steadier, continuity-led story.</w:t>
      </w:r>
    </w:p>
    <w:p>
      <w:pPr>
        <w:pStyle w:val="ListParagraph"/>
        <w:numPr>
          <w:ilvl w:val="0"/>
          <w:numId w:val="2"/>
        </w:numPr>
        <w:spacing w:after="80" w:line="270"/>
      </w:pPr>
      <w:r>
        <w:rPr>
          <w:b/>
          <w:bCs/>
        </w:rPr>
        <w:t xml:space="preserve">But Dis-Chem's own shares fell ~8% on results. </w:t>
      </w:r>
      <w:r>
        <w:t xml:space="preserve">Reported HEPS dropped 17.4% (−11.8% ex a prior-year property gain), hit by R445m of upfront “ecosystem” investment and a 17.3% dividend cut. The market is </w:t>
      </w:r>
      <w:r>
        <w:rPr>
          <w:b/>
          <w:bCs/>
        </w:rPr>
        <w:t xml:space="preserve">not</w:t>
      </w:r>
      <w:r>
        <w:t xml:space="preserve"> rewarding Dis-Chem unconditionally either — it is paying for growth with near-term earnings and being made to wait for the FY2027 payback.</w:t>
      </w:r>
    </w:p>
    <w:p>
      <w:pPr>
        <w:spacing w:after="140" w:line="276"/>
      </w:pPr>
      <w:r>
        <w:rPr>
          <w:b/>
          <w:bCs/>
        </w:rPr>
        <w:t xml:space="preserve">Framing for the IC: </w:t>
      </w:r>
      <w:r>
        <w:t xml:space="preserve">the influential “Clicks conundrum” thesis asks whether </w:t>
      </w:r>
      <w:r>
        <w:rPr>
          <w:b/>
          <w:bCs/>
        </w:rPr>
        <w:t xml:space="preserve">Dis-Chem vs Clicks becomes the next Shoprite vs Pick n Pay</w:t>
      </w:r>
      <w:r>
        <w:t xml:space="preserve"> — “gradually, then suddenly.” That is the right risk to watch, but the analogy is not yet proven: Clicks retains the dominant pharmacy position, the most valuable loyalty asset in SA retail (ClubCard, 12.9m active members, 83.7% of Clicks sales), fortress returns, and is still gaining pharmacy share. The threat is to the </w:t>
      </w:r>
      <w:r>
        <w:rPr>
          <w:b/>
          <w:bCs/>
        </w:rPr>
        <w:t xml:space="preserve">growth rate and the beauty profit pool</w:t>
      </w:r>
      <w:r>
        <w:t xml:space="preserve">, not to the franchise's survival.</w:t>
      </w:r>
    </w:p>
    <w:p>
      <w:r>
        <w:br w:type="page"/>
      </w:r>
    </w:p>
    <w:p>
      <w:pPr>
        <w:pStyle w:val="Heading1"/>
      </w:pPr>
      <w:r>
        <w:t xml:space="preserve">5.  Temporary vs permanent — the framework</w:t>
      </w:r>
    </w:p>
    <w:p>
      <w:pPr>
        <w:spacing w:after="140" w:line="276"/>
      </w:pPr>
      <w:r>
        <w:t xml:space="preserve">Decomposing each driver of the recent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8"/>
                <w:szCs w:val="18"/>
              </w:rPr>
              <w:t xml:space="preserve">Driver</w:t>
            </w:r>
          </w:p>
        </w:tc>
        <w:tc>
          <w:tcPr>
            <w:tcW w:type="dxa" w:w="3120"/>
            <w:tcBorders>
              <w:top w:val="single" w:color="BFBFBF" w:sz="1"/>
              <w:left w:val="single" w:color="BFBFBF" w:sz="1"/>
              <w:bottom w:val="single" w:color="BFBFBF" w:sz="1"/>
              <w:right w:val="single" w:color="BFBFBF" w:sz="1"/>
            </w:tcBorders>
            <w:shd w:fill="2E7D32" w:val="clear"/>
            <w:tcMar>
              <w:top w:type="dxa" w:w="60"/>
              <w:left w:type="dxa" w:w="110"/>
              <w:bottom w:type="dxa" w:w="60"/>
              <w:right w:type="dxa" w:w="110"/>
            </w:tcMar>
          </w:tcPr>
          <w:p>
            <w:pPr>
              <w:jc w:val="left"/>
            </w:pPr>
            <w:r>
              <w:rPr>
                <w:b/>
                <w:bCs/>
                <w:color w:val="FFFFFF"/>
                <w:sz w:val="18"/>
                <w:szCs w:val="18"/>
              </w:rPr>
              <w:t xml:space="preserve">Temporary / cyclical</w:t>
            </w:r>
          </w:p>
        </w:tc>
        <w:tc>
          <w:tcPr>
            <w:tcW w:type="dxa" w:w="3120"/>
            <w:tcBorders>
              <w:top w:val="single" w:color="BFBFBF" w:sz="1"/>
              <w:left w:val="single" w:color="BFBFBF" w:sz="1"/>
              <w:bottom w:val="single" w:color="BFBFBF" w:sz="1"/>
              <w:right w:val="single" w:color="BFBFBF" w:sz="1"/>
            </w:tcBorders>
            <w:shd w:fill="C00000" w:val="clear"/>
            <w:tcMar>
              <w:top w:type="dxa" w:w="60"/>
              <w:left w:type="dxa" w:w="110"/>
              <w:bottom w:type="dxa" w:w="60"/>
              <w:right w:type="dxa" w:w="110"/>
            </w:tcMar>
          </w:tcPr>
          <w:p>
            <w:pPr>
              <w:jc w:val="left"/>
            </w:pPr>
            <w:r>
              <w:rPr>
                <w:b/>
                <w:bCs/>
                <w:color w:val="FFFFFF"/>
                <w:sz w:val="18"/>
                <w:szCs w:val="18"/>
              </w:rPr>
              <w:t xml:space="preserve">Permanent / structural</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WMS systems disruption</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Yes — ~R175m lost retail sales (0.9%); availability restored to target by end-Feb 2026.</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Residual: signals execution/IT risk in a multi-year supply-chain rebuild.</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Festive price wars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Yes — competitor discounting is cyclical and intensity-dependent.</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Ultra-low inflation</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Yes — 2.3% selling-price inflation mechanically caps nominal growth; eases as the cycle turns.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Cost inflation (wages +7%, utilities, security)</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Partly — energy aided by solar/EV investment.</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Largely — SA structural cost inflation runs above CPI; a persistent margin headwind.</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Gross-margin slip (−60 bps)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Partly — SEP medicine-price timing; loss of two bulk contracts.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Partly — mix shift to lower-margin distribution &amp; price-controlled pharmacy.</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Dis-Chem share gains (beauty/front-shop)</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Some — Better Rewards is a recent loyalty relaunch.</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Yes — a data-led model encroaching on Clicks' highest-margin discretionary categories.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bCs/>
                <w:sz w:val="18"/>
                <w:szCs w:val="18"/>
              </w:rPr>
              <w:t xml:space="preserve">Growth-rate downshift</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jc w:val="left"/>
            </w:pPr>
            <w:r>
              <w:rPr>
                <w:b w:val="false"/>
                <w:bCs w:val="false"/>
                <w:sz w:val="18"/>
                <w:szCs w:val="18"/>
              </w:rPr>
              <w:t xml:space="preserve">Yes — maturing estate (1,075 → 1,200 cap); FY26 guidance +4–9% vs historical mid-teens.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bCs/>
                <w:sz w:val="18"/>
                <w:szCs w:val="18"/>
              </w:rPr>
              <w:t xml:space="preserve">Valuation de-rating</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Partly — rotation to SA-recovery cyclicals; high bond yields.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sz w:val="18"/>
                <w:szCs w:val="18"/>
              </w:rPr>
              <w:t xml:space="preserve">Partly — premium for 'predictable mid-teens compounding' no longer warranted.</w:t>
            </w:r>
          </w:p>
        </w:tc>
      </w:tr>
    </w:tbl>
    <w:p>
      <w:pPr>
        <w:spacing w:before="120"/>
      </w:pPr>
    </w:p>
    <w:p>
      <w:pPr>
        <w:spacing w:after="140" w:line="276"/>
      </w:pPr>
      <w:r>
        <w:rPr>
          <w:b/>
          <w:bCs/>
        </w:rPr>
        <w:t xml:space="preserve">Synthesis: </w:t>
      </w:r>
      <w:r>
        <w:t xml:space="preserve">the </w:t>
      </w:r>
      <w:r>
        <w:rPr>
          <w:b/>
          <w:bCs/>
        </w:rPr>
        <w:t xml:space="preserve">operational</w:t>
      </w:r>
      <w:r>
        <w:t xml:space="preserve"> issues (WMS, price wars, low inflation) are largely temporary and should fade through H2 FY2026 and FY2027. The </w:t>
      </w:r>
      <w:r>
        <w:rPr>
          <w:b/>
          <w:bCs/>
        </w:rPr>
        <w:t xml:space="preserve">valuation and growth-rate</w:t>
      </w:r>
      <w:r>
        <w:t xml:space="preserve"> reset is largely permanent — a maturing, high-quality retailer simply does not warrant a high-20s PE when guiding to high-single-digit growth in a high-bond-yield market. The </w:t>
      </w:r>
      <w:r>
        <w:rPr>
          <w:b/>
          <w:bCs/>
        </w:rPr>
        <w:t xml:space="preserve">competitive</w:t>
      </w:r>
      <w:r>
        <w:t xml:space="preserve"> threat is the swing factor that decides which way the structural story breaks.</w:t>
      </w:r>
    </w:p>
    <w:p>
      <w:pPr>
        <w:pStyle w:val="Heading1"/>
      </w:pPr>
      <w:r>
        <w:t xml:space="preserve">6.  What happens from here</w:t>
      </w:r>
    </w:p>
    <w:p>
      <w:pPr>
        <w:pStyle w:val="Heading2"/>
      </w:pPr>
      <w:r>
        <w:t xml:space="preserve">Base case — “solid, de-rated compounder” (most likely)</w:t>
      </w:r>
    </w:p>
    <w:p>
      <w:pPr>
        <w:spacing w:after="140" w:line="276"/>
      </w:pPr>
      <w:r>
        <w:t xml:space="preserve">WMS disruption annualises out; rate cuts (prime now 10.25%) and gradual disinflation support a modest consumer recovery into FY2027. Clicks delivers FY2026 diluted HEPS within its +4–9% guide, keeps gaining pharmacy share, defends beauty with private label and ClubCard data, and continues buybacks plus a ~3.5% dividend yield. The share re-rates only modestly; total return is mid-to-high single digit — respectable, but the premium “predictability” multiple does not fully return. </w:t>
      </w:r>
      <w:r>
        <w:rPr>
          <w:b/>
          <w:bCs/>
        </w:rPr>
        <w:t xml:space="preserve">Next catalyst: FY2026 results, ~23 October 2026.</w:t>
      </w:r>
    </w:p>
    <w:p>
      <w:pPr>
        <w:pStyle w:val="Heading2"/>
      </w:pPr>
      <w:r>
        <w:t xml:space="preserve">Bear case — “gradually, then suddenly”</w:t>
      </w:r>
    </w:p>
    <w:p>
      <w:pPr>
        <w:spacing w:after="140" w:line="276"/>
      </w:pPr>
      <w:r>
        <w:t xml:space="preserve">Dis-Chem's Better Rewards keeps compounding volume share in beauty/front-shop; Clicks' comparable growth stays sub-4% while costs run at 6%+, compressing the retail margin it just expanded. The multiple de-rates further toward a market multiple. This is the Pick n Pay-style structural-share-loss scenario — currently a risk, not the trend.</w:t>
      </w:r>
    </w:p>
    <w:p>
      <w:pPr>
        <w:pStyle w:val="Heading2"/>
      </w:pPr>
      <w:r>
        <w:t xml:space="preserve">Bull case — “the glitch was the bottom”</w:t>
      </w:r>
    </w:p>
    <w:p>
      <w:pPr>
        <w:spacing w:after="140" w:line="276"/>
      </w:pPr>
      <w:r>
        <w:t xml:space="preserve">The de-rating proves an over-reaction to a transient festive stumble. A recovering SA consumer, normalised availability, private-label margin gains and disciplined buybacks at depressed prices reaccelerate HEPS toward double digits, and the quality multiple partially recovers off a low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F3" w:sz="1"/>
              <w:left w:val="single" w:color="2E75B6" w:sz="18"/>
              <w:bottom w:val="single" w:color="D9E2F3" w:sz="1"/>
              <w:right w:val="single" w:color="D9E2F3" w:sz="1"/>
            </w:tcBorders>
            <w:shd w:fill="D9E2F3" w:val="clear"/>
            <w:tcMar>
              <w:top w:type="dxa" w:w="120"/>
              <w:left w:type="dxa" w:w="180"/>
              <w:bottom w:type="dxa" w:w="120"/>
              <w:right w:type="dxa" w:w="160"/>
            </w:tcMar>
          </w:tcPr>
          <w:p>
            <w:pPr>
              <w:spacing w:after="60"/>
            </w:pPr>
            <w:r>
              <w:rPr>
                <w:b/>
                <w:bCs/>
                <w:color w:val="1F3864"/>
              </w:rPr>
              <w:t xml:space="preserve">What to monitor (the tells)</w:t>
            </w:r>
          </w:p>
          <w:p>
            <w:pPr>
              <w:spacing w:after="40"/>
            </w:pPr>
            <w:r>
              <w:rPr>
                <w:b/>
                <w:bCs/>
              </w:rPr>
              <w:t xml:space="preserve">1.  Beauty / front-shop comparable growth vs Dis-Chem</w:t>
            </w:r>
            <w:r>
              <w:t xml:space="preserve"> — the single most important share metric.</w:t>
            </w:r>
          </w:p>
          <w:p>
            <w:pPr>
              <w:spacing w:after="40"/>
            </w:pPr>
            <w:r>
              <w:rPr>
                <w:b/>
                <w:bCs/>
              </w:rPr>
              <w:t xml:space="preserve">2.  Gross &amp; retail trading margin</w:t>
            </w:r>
            <w:r>
              <w:t xml:space="preserve"> — does the 50 bps retail-margin gain hold, or reverse under price competition?</w:t>
            </w:r>
          </w:p>
          <w:p>
            <w:pPr>
              <w:spacing w:after="40"/>
            </w:pPr>
            <w:r>
              <w:rPr>
                <w:b/>
                <w:bCs/>
              </w:rPr>
              <w:t xml:space="preserve">3.  Comparable retail sales re-acceleration</w:t>
            </w:r>
            <w:r>
              <w:t xml:space="preserve"> as rates fall and WMS normalises (target: back above 4%).</w:t>
            </w:r>
          </w:p>
          <w:p>
            <w:pPr>
              <w:spacing w:after="40"/>
            </w:pPr>
            <w:r>
              <w:rPr>
                <w:b/>
                <w:bCs/>
              </w:rPr>
              <w:t xml:space="preserve">4.  Financing cost / gearing</w:t>
            </w:r>
            <w:r>
              <w:t xml:space="preserve"> — buyback-funded leverage (52% debt/equity) is sensible only while returns exceed cost of capital.</w:t>
            </w:r>
          </w:p>
          <w:p>
            <w:pPr>
              <w:spacing w:after="40"/>
            </w:pPr>
            <w:r>
              <w:rPr>
                <w:b/>
                <w:bCs/>
              </w:rPr>
              <w:t xml:space="preserve">5.  FY2026 guidance delivery</w:t>
            </w:r>
            <w:r>
              <w:t xml:space="preserve"> (+4–9% diluted HEPS) at results on ~23 October 2026.</w:t>
            </w:r>
          </w:p>
        </w:tc>
      </w:tr>
    </w:tbl>
    <w:p>
      <w:pPr>
        <w:pStyle w:val="Heading1"/>
      </w:pPr>
      <w:r>
        <w:t xml:space="preserve">7.  Risk flags and questions for management</w:t>
      </w:r>
    </w:p>
    <w:p>
      <w:pPr>
        <w:spacing w:after="140" w:line="276"/>
      </w:pPr>
      <w:r>
        <w:rPr>
          <w:b/>
          <w:bCs/>
        </w:rPr>
        <w:t xml:space="preserve">Risk flags from the H1 review:</w:t>
      </w:r>
    </w:p>
    <w:p>
      <w:pPr>
        <w:pStyle w:val="ListParagraph"/>
        <w:numPr>
          <w:ilvl w:val="0"/>
          <w:numId w:val="2"/>
        </w:numPr>
        <w:spacing w:after="80" w:line="270"/>
      </w:pPr>
      <w:r>
        <w:t xml:space="preserve">Working-capital build: inventory days +4 to 89 and trade-debtor days +7 to 38; net financing cost +32.5% as gearing rose to 52.1% debt/equity (from 37.1%).</w:t>
      </w:r>
    </w:p>
    <w:p>
      <w:pPr>
        <w:pStyle w:val="ListParagraph"/>
        <w:numPr>
          <w:ilvl w:val="0"/>
          <w:numId w:val="2"/>
        </w:numPr>
        <w:spacing w:after="80" w:line="270"/>
      </w:pPr>
      <w:r>
        <w:t xml:space="preserve">Negative operating leverage in retail this half (costs +6.1% vs comparable sales +3.1%).</w:t>
      </w:r>
    </w:p>
    <w:p>
      <w:pPr>
        <w:pStyle w:val="ListParagraph"/>
        <w:numPr>
          <w:ilvl w:val="0"/>
          <w:numId w:val="2"/>
        </w:numPr>
        <w:spacing w:after="80" w:line="270"/>
      </w:pPr>
      <w:r>
        <w:t xml:space="preserve">HEPS growth flattered by buybacks (earnings +6.4% vs HEPS +8.1%); FY2026 guidance of +4–9% is below the historical mid-teens trend.</w:t>
      </w:r>
    </w:p>
    <w:p>
      <w:pPr>
        <w:pStyle w:val="ListParagraph"/>
        <w:numPr>
          <w:ilvl w:val="0"/>
          <w:numId w:val="2"/>
        </w:numPr>
        <w:spacing w:after="80" w:line="270"/>
      </w:pPr>
      <w:r>
        <w:t xml:space="preserve">Execution / IT risk: a multi-year supply-chain and systems rebuild has already cost ~R175m of sales once.</w:t>
      </w:r>
    </w:p>
    <w:p>
      <w:pPr>
        <w:spacing w:after="140" w:line="276"/>
      </w:pPr>
      <w:r>
        <w:rPr>
          <w:b/>
          <w:bCs/>
        </w:rPr>
        <w:t xml:space="preserve">Questions for management / the analyst to investigate:</w:t>
      </w:r>
    </w:p>
    <w:p>
      <w:pPr>
        <w:pStyle w:val="ListParagraph"/>
        <w:numPr>
          <w:ilvl w:val="0"/>
          <w:numId w:val="2"/>
        </w:numPr>
        <w:spacing w:after="80" w:line="270"/>
      </w:pPr>
      <w:r>
        <w:t xml:space="preserve">What is Clicks' beauty / front-shop volume-share trend versus Dis-Chem's Better Rewards, by category?</w:t>
      </w:r>
    </w:p>
    <w:p>
      <w:pPr>
        <w:pStyle w:val="ListParagraph"/>
        <w:numPr>
          <w:ilvl w:val="0"/>
          <w:numId w:val="2"/>
        </w:numPr>
        <w:spacing w:after="80" w:line="270"/>
      </w:pPr>
      <w:r>
        <w:t xml:space="preserve">Is the 50 bps retail-margin expansion sustainable, or a timing / mix artefact that reverses if price competition intensifies?</w:t>
      </w:r>
    </w:p>
    <w:p>
      <w:pPr>
        <w:pStyle w:val="ListParagraph"/>
        <w:numPr>
          <w:ilvl w:val="0"/>
          <w:numId w:val="2"/>
        </w:numPr>
        <w:spacing w:after="80" w:line="270"/>
      </w:pPr>
      <w:r>
        <w:t xml:space="preserve">How is ClubCard data being monetised competitively against Dis-Chem's data-led pitch — what is the digital / online roadmap?</w:t>
      </w:r>
    </w:p>
    <w:p>
      <w:pPr>
        <w:pStyle w:val="ListParagraph"/>
        <w:numPr>
          <w:ilvl w:val="0"/>
          <w:numId w:val="2"/>
        </w:numPr>
        <w:spacing w:after="80" w:line="270"/>
      </w:pPr>
      <w:r>
        <w:t xml:space="preserve">At what point does buyback-funded gearing become uncomfortable, and what is the through-cycle leverage ceiling?</w:t>
      </w:r>
    </w:p>
    <w:p>
      <w:pPr>
        <w:pStyle w:val="ListParagraph"/>
        <w:numPr>
          <w:ilvl w:val="0"/>
          <w:numId w:val="2"/>
        </w:numPr>
        <w:spacing w:after="80" w:line="270"/>
      </w:pPr>
      <w:r>
        <w:t xml:space="preserve">What is the realistic store-rollout runway beyond the 1,200 target, and the expected growth algorithm once the estate matures?</w:t>
      </w:r>
    </w:p>
    <w:p>
      <w:pPr>
        <w:pBdr>
          <w:top w:val="single" w:color="BFBFBF" w:sz="6" w:space="6"/>
        </w:pBdr>
        <w:spacing w:before="160"/>
      </w:pPr>
    </w:p>
    <w:p>
      <w:pPr>
        <w:spacing w:after="80"/>
      </w:pPr>
      <w:r>
        <w:rPr>
          <w:b/>
          <w:bCs/>
          <w:color w:val="1F3864"/>
          <w:sz w:val="20"/>
          <w:szCs w:val="20"/>
        </w:rPr>
        <w:t xml:space="preserve">Compliance &amp; data notes</w:t>
      </w:r>
    </w:p>
    <w:p>
      <w:pPr>
        <w:spacing w:after="140" w:line="276"/>
      </w:pPr>
      <w:r>
        <w:rPr>
          <w:i/>
          <w:iCs/>
          <w:color w:val="404040"/>
          <w:sz w:val="18"/>
          <w:szCs w:val="18"/>
        </w:rPr>
        <w:t xml:space="preserve">Prepared for internal informational purposes only; not investment advice and not a recommendation to buy, hold or sell. The author is not a registered financial adviser. Reported financials are sourced from Clicks Group and Dis-Chem SENS results announcements. Share prices and market-cap figures obtained via market-data search are indicative and may be delayed; there is no live JSE price feed in this workspace. Figures marked (e) are calculated estimates with the method noted. Clicks is in an open dealing period at the date of writing (next results ~23 October 2026); confirm fund-specific restrictions before acting.</w:t>
      </w:r>
    </w:p>
    <w:p>
      <w:pPr>
        <w:spacing w:after="60" w:before="120"/>
      </w:pPr>
      <w:r>
        <w:rPr>
          <w:b/>
          <w:bCs/>
          <w:color w:val="1F3864"/>
          <w:sz w:val="20"/>
          <w:szCs w:val="20"/>
        </w:rPr>
        <w:t xml:space="preserve">Sources</w:t>
      </w:r>
    </w:p>
    <w:p>
      <w:pPr>
        <w:pStyle w:val="ListParagraph"/>
        <w:numPr>
          <w:ilvl w:val="0"/>
          <w:numId w:val="2"/>
        </w:numPr>
        <w:spacing w:after="60"/>
      </w:pPr>
      <w:hyperlink w:history="1" r:id="rIdhonlxids1lhdftnz7lgm8">
        <w:r>
          <w:rPr>
            <w:rStyle w:val="Hyperlink"/>
            <w:sz w:val="18"/>
            <w:szCs w:val="18"/>
          </w:rPr>
          <w:t xml:space="preserve">Clicks Group — Unaudited Interim Results, H1 FY2026 (28 Feb 2026), published 23 Apr 2026</w:t>
        </w:r>
      </w:hyperlink>
    </w:p>
    <w:p>
      <w:pPr>
        <w:pStyle w:val="ListParagraph"/>
        <w:numPr>
          <w:ilvl w:val="0"/>
          <w:numId w:val="2"/>
        </w:numPr>
        <w:spacing w:after="60"/>
      </w:pPr>
      <w:hyperlink w:history="1" r:id="rIdzjlhbdepx0g3unq9l6o11">
        <w:r>
          <w:rPr>
            <w:rStyle w:val="Hyperlink"/>
            <w:sz w:val="18"/>
            <w:szCs w:val="18"/>
          </w:rPr>
          <w:t xml:space="preserve">Clicks Group — Reviewed Condensed Results FY2025 (31 Aug 2025), published 23 Oct 2025</w:t>
        </w:r>
      </w:hyperlink>
    </w:p>
    <w:p>
      <w:pPr>
        <w:pStyle w:val="ListParagraph"/>
        <w:numPr>
          <w:ilvl w:val="0"/>
          <w:numId w:val="2"/>
        </w:numPr>
        <w:spacing w:after="60"/>
      </w:pPr>
      <w:hyperlink w:history="1" r:id="rIdtug86s7gefrtb---oqqml">
        <w:r>
          <w:rPr>
            <w:rStyle w:val="Hyperlink"/>
            <w:sz w:val="18"/>
            <w:szCs w:val="18"/>
          </w:rPr>
          <w:t xml:space="preserve">Dis-Chem FY2026 results coverage — Business Explainer, 3 Jun 2026</w:t>
        </w:r>
      </w:hyperlink>
    </w:p>
    <w:p>
      <w:pPr>
        <w:pStyle w:val="ListParagraph"/>
        <w:numPr>
          <w:ilvl w:val="0"/>
          <w:numId w:val="2"/>
        </w:numPr>
        <w:spacing w:after="60"/>
      </w:pPr>
      <w:hyperlink w:history="1" r:id="rIdlis8wvu378ozk8ac6zxsd">
        <w:r>
          <w:rPr>
            <w:rStyle w:val="Hyperlink"/>
            <w:sz w:val="18"/>
            <w:szCs w:val="18"/>
          </w:rPr>
          <w:t xml:space="preserve">“The Finance Ghost: The Clicks conundrum” — Financial Mail, 30 Apr 2026</w:t>
        </w:r>
      </w:hyperlink>
    </w:p>
    <w:p>
      <w:pPr>
        <w:pStyle w:val="ListParagraph"/>
        <w:numPr>
          <w:ilvl w:val="0"/>
          <w:numId w:val="2"/>
        </w:numPr>
        <w:spacing w:after="60"/>
      </w:pPr>
      <w:hyperlink w:history="1" r:id="rIdhecl-eqru33s8cpp8ewew">
        <w:r>
          <w:rPr>
            <w:rStyle w:val="Hyperlink"/>
            <w:sz w:val="18"/>
            <w:szCs w:val="18"/>
          </w:rPr>
          <w:t xml:space="preserve">“Clicks stays the course under Bertina Engelbrecht” — Business Day, 10 Feb 2026</w:t>
        </w:r>
      </w:hyperlink>
    </w:p>
    <w:p>
      <w:pPr>
        <w:pStyle w:val="ListParagraph"/>
        <w:numPr>
          <w:ilvl w:val="0"/>
          <w:numId w:val="2"/>
        </w:numPr>
        <w:spacing w:after="60"/>
      </w:pPr>
      <w:hyperlink w:history="1" r:id="rIdt4jcdjhxec6lk5cj5oesc">
        <w:r>
          <w:rPr>
            <w:rStyle w:val="Hyperlink"/>
            <w:sz w:val="18"/>
            <w:szCs w:val="18"/>
          </w:rPr>
          <w:t xml:space="preserve">“Clicks Group loses R19.7bn in five months” — BusinessTech, Jun 2026</w:t>
        </w:r>
      </w:hyperlink>
    </w:p>
    <w:p>
      <w:pPr>
        <w:pStyle w:val="ListParagraph"/>
        <w:numPr>
          <w:ilvl w:val="0"/>
          <w:numId w:val="2"/>
        </w:numPr>
        <w:spacing w:after="60"/>
      </w:pPr>
      <w:hyperlink w:history="1" r:id="rId6g4bt9uxsp1-wz9gzvbqz">
        <w:r>
          <w:rPr>
            <w:rStyle w:val="Hyperlink"/>
            <w:sz w:val="18"/>
            <w:szCs w:val="18"/>
          </w:rPr>
          <w:t xml:space="preserve">Dis-Chem market-share growth from Better Rewards — Business Report, 20 Feb 2026</w:t>
        </w:r>
      </w:hyperlink>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7 June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pPr>
    <w:r>
      <w:rPr>
        <w:color w:val="808080"/>
        <w:sz w:val="16"/>
        <w:szCs w:val="16"/>
      </w:rPr>
      <w:t xml:space="preserve">Clicks Group (JSE: CLS)  ·  Equity Research</w:t>
    </w:r>
    <w:r>
      <w:rPr>
        <w:color w:val="808080"/>
        <w:sz w:val="16"/>
        <w:szCs w:val="16"/>
      </w:rPr>
      <w:t xml:space="preserve">	Internal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4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onlxids1lhdftnz7lgm8" Type="http://schemas.openxmlformats.org/officeDocument/2006/relationships/hyperlink" Target="https://www.clicksgroup.co.za/wp-content/uploads/2026/04/CGL-2026-Interim-results-announcement-1.pdf" TargetMode="External"/><Relationship Id="rIdzjlhbdepx0g3unq9l6o11" Type="http://schemas.openxmlformats.org/officeDocument/2006/relationships/hyperlink" Target="https://www.clicksgroup.co.za/wp-content/uploads/2025/10/CGL-2025-Annual-results-announcement.pdf" TargetMode="External"/><Relationship Id="rIdtug86s7gefrtb---oqqml" Type="http://schemas.openxmlformats.org/officeDocument/2006/relationships/hyperlink" Target="https://businessexplainer.co.za/companies/2026/06/03/dis-chem-grows-revenue-despite-consumer-pressure/" TargetMode="External"/><Relationship Id="rIdlis8wvu378ozk8ac6zxsd" Type="http://schemas.openxmlformats.org/officeDocument/2006/relationships/hyperlink" Target="https://www.financialmail.businessday.co.za/investing/2026-04-30-the-finance-ghost-the-clicks-conundrum/" TargetMode="External"/><Relationship Id="rIdhecl-eqru33s8cpp8ewew" Type="http://schemas.openxmlformats.org/officeDocument/2006/relationships/hyperlink" Target="https://www.businessday.co.za/companies/company-strategy/2026-02-10-news-analysis-clicks-stays-the-course-under-bertina-engelbrecht/" TargetMode="External"/><Relationship Id="rIdt4jcdjhxec6lk5cj5oesc" Type="http://schemas.openxmlformats.org/officeDocument/2006/relationships/hyperlink" Target="https://businesstech.co.za/news/business/861659/south-african-retail-giant-loses-r19-7-billion-in-five-months/" TargetMode="External"/><Relationship Id="rId6g4bt9uxsp1-wz9gzvbqz" Type="http://schemas.openxmlformats.org/officeDocument/2006/relationships/hyperlink" Target="https://businessreport.co.za/companies/2026-02-20-dis-chem-pharmacies-reports-market-share-growth-driven-by-new-loyalty-programm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Clicks Group (CLS) — Temporary or Permanent</dc:title>
  <dc:creator>JSE Equity Research</dc:creator>
  <cp:lastModifiedBy>Un-named</cp:lastModifiedBy>
  <cp:revision>1</cp:revision>
  <dcterms:created xsi:type="dcterms:W3CDTF">2026-06-07T15:47:43.674Z</dcterms:created>
  <dcterms:modified xsi:type="dcterms:W3CDTF">2026-06-07T15:47:43.674Z</dcterms:modified>
</cp:coreProperties>
</file>

<file path=docProps/custom.xml><?xml version="1.0" encoding="utf-8"?>
<Properties xmlns="http://schemas.openxmlformats.org/officeDocument/2006/custom-properties" xmlns:vt="http://schemas.openxmlformats.org/officeDocument/2006/docPropsVTypes"/>
</file>