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4"/>
          <w:szCs w:val="34"/>
        </w:rPr>
        <w:t xml:space="preserve">GOLD FIELDS LIMITED</w:t>
      </w:r>
    </w:p>
    <w:p>
      <w:pPr>
        <w:spacing w:after="40" w:before="0" w:line="252"/>
      </w:pPr>
      <w:r>
        <w:rPr>
          <w:color w:val="595959"/>
          <w:sz w:val="18"/>
          <w:szCs w:val="18"/>
        </w:rPr>
        <w:t xml:space="preserve">JSE: GFI   •   NYSE: GFI   •   Global gold producer (8 mines: South Africa, Ghana, Australia, Peru, Chile, Canada-build)   •   Reports in US$</w:t>
      </w:r>
    </w:p>
    <w:p>
      <w:pPr>
        <w:spacing w:after="30" w:before="0" w:line="252"/>
      </w:pPr>
      <w:r>
        <w:rPr>
          <w:b/>
          <w:bCs/>
          <w:sz w:val="25"/>
          <w:szCs w:val="25"/>
        </w:rPr>
        <w:t xml:space="preserve">12–18 Month Outlook — Management Risks, Management Incentives &amp; the Strait of Hormuz (Scenarios A and B)</w:t>
      </w:r>
    </w:p>
    <w:p>
      <w:pPr>
        <w:pBdr>
          <w:bottom w:val="single" w:color="1F3864" w:sz="6" w:space="2"/>
        </w:pBdr>
        <w:spacing w:after="60" w:before="0" w:line="252"/>
      </w:pPr>
      <w:r>
        <w:rPr>
          <w:i/>
          <w:iCs/>
          <w:color w:val="595959"/>
          <w:sz w:val="18"/>
          <w:szCs w:val="18"/>
        </w:rPr>
        <w:t xml:space="preserve">Investment Committee briefing  •  17 June 2026  •  Companion model: Gold_Fields_GFI_Scenario_Model_Jun2026.xlsx</w:t>
      </w:r>
    </w:p>
    <w:p>
      <w:pPr>
        <w:pStyle w:val="Heading1"/>
        <w:pBdr>
          <w:bottom w:val="single" w:color="1F3864" w:sz="8" w:space="3"/>
        </w:pBdr>
        <w:spacing w:after="140" w:before="280"/>
      </w:pPr>
      <w:r>
        <w:rPr>
          <w:b/>
          <w:bCs/>
          <w:color w:val="1F3864"/>
          <w:sz w:val="26"/>
          <w:szCs w:val="26"/>
        </w:rPr>
        <w:t xml:space="preserve">1.  Executive summary</w:t>
      </w:r>
    </w:p>
    <w:p>
      <w:pPr>
        <w:spacing w:after="120" w:before="0" w:line="252"/>
      </w:pPr>
      <w:r>
        <w:rPr>
          <w:b/>
          <w:bCs/>
        </w:rPr>
        <w:t xml:space="preserve">The short answer.  </w:t>
      </w:r>
      <w:r>
        <w:t xml:space="preserve">Gold Fields is a high-margin, low-debt gold producer enjoying a multi-decade-high gold price. To first order the equity is a leveraged play on the US$ gold price and on management delivering two things: the first full year of steady-state production at Salares Norte (Chile) and a disciplined build decision at Windfall (Canada) — while containing a sharp, guided step-up in 2026 unit costs and capital. FY2025 was a record: revenue +68% to US$8,751m, adjusted EBITDA +98% to US$5,637m, attributable profit US$3,567m, and adjusted free cash flow up 391% to US$2,970m, with net debt cut to just 0.26x EBITDA.</w:t>
      </w:r>
    </w:p>
    <w:p>
      <w:pPr>
        <w:spacing w:after="120" w:before="0" w:line="252"/>
      </w:pPr>
      <w:r>
        <w:rPr>
          <w:b/>
          <w:bCs/>
        </w:rPr>
        <w:t xml:space="preserve">The 12–18 month set-up.  </w:t>
      </w:r>
      <w:r>
        <w:t xml:space="preserve">Forward earnings rise in every scenario we model, because the average realised gold price across 2026 (≈US$4,400–4,900/oz) sits well above FY2025’s realised US$3,496/oz — even after gold fell ~22% from its January-2026 record of ~US$5,589/oz. Yet the GFI share price has de-rated ~45% from its early-2026 high as gold came off that spike. That gap — a de-rated equity against a still-rising forward earnings base — is the central tension of the call.</w:t>
      </w:r>
    </w:p>
    <w:p>
      <w:pPr>
        <w:spacing w:after="120" w:before="0" w:line="252"/>
      </w:pPr>
      <w:r>
        <w:rPr>
          <w:b/>
          <w:bCs/>
        </w:rPr>
        <w:t xml:space="preserve">Scenario A — the Strait of Hormuz stays open (peace holds).  </w:t>
      </w:r>
      <w:r>
        <w:t xml:space="preserve">Brent normalises toward US$70–80, energy-driven inflation fades, and the Fed can resume cutting — lower real rates re-support gold’s structural bull (central-bank buying, debasement) even as the safe-haven premium unwinds. Gold consolidates and firms (banks see US$5,400–6,000 in peace); AISC eases toward mid-guidance as diesel falls. We model EBITDA ≈US$7.7bn (2026e) → US$8.7bn (2027e). A steady, fat-margin, ‘re-rating-as-costs-ease’ outcome.</w:t>
      </w:r>
    </w:p>
    <w:p>
      <w:pPr>
        <w:spacing w:after="120" w:before="0" w:line="252"/>
      </w:pPr>
      <w:r>
        <w:rPr>
          <w:b/>
          <w:bCs/>
        </w:rPr>
        <w:t xml:space="preserve">Scenario B — Hormuz closes again and stays closed.  </w:t>
      </w:r>
      <w:r>
        <w:t xml:space="preserve">This is the mirror image of an industrial miner. The oil shock that is the bear case for copper/iron-ore names is, for a gold producer, broadly supportive: safe-haven, inflation-hedge and debasement demand push gold toward — and potentially through — its January record. Diesel lifts AISC (Jefferies: +US$20–30/bbl ≈ +US$85–160/oz) and a weaker rand/AUD cuts US$ costs (a partial offset), but the gold-price lever dominates. We model EBITDA ≈US$8.6bn (2026e) → US$9.8bn (2027e) — the highest of the three. The crucial caveat: energy-driven inflation can force the Fed to stay tight or hike, lifting real rates and capping or briefly sinking gold (exactly what happened in March 2026). So B is the higher-gold, higher-margin path, but with materially greater volatility and a genuine real-rate downside tail.</w:t>
      </w:r>
    </w:p>
    <w:p>
      <w:pPr>
        <w:spacing w:after="120" w:before="0" w:line="252"/>
      </w:pPr>
      <w:r>
        <w:rPr>
          <w:b/>
          <w:bCs/>
        </w:rPr>
        <w:t xml:space="preserve">Biggest risks (next 24 months).  </w:t>
      </w:r>
      <w:r>
        <w:t xml:space="preserve">(1) the gold price and real rates — the dominant swing (≈US$250m EBITDA per US$100/oz at 2.5Moz); (2) the 2026 cost &amp; capital step-up (AISC guided US$1,800–2,000/oz vs US$1,645 in 2025; capex up ~40%); (3) Salares Norte sustaining its run-rate and the Windfall FID/build; (4) Ghana — Tarkwa’s mining-lease renewal (expires April 2027) under a new royalty regime, after the loss of Damang; (5) operational concentration in Australia (Gruyere, Agnew wobbles); (6) safety. </w:t>
      </w:r>
    </w:p>
    <w:p>
      <w:pPr>
        <w:spacing w:after="120" w:before="0" w:line="252"/>
      </w:pPr>
      <w:r>
        <w:rPr>
          <w:b/>
          <w:bCs/>
        </w:rPr>
        <w:t xml:space="preserve">What management is incentivised to do.  </w:t>
      </w:r>
      <w:r>
        <w:t xml:space="preserve">Pay is steered toward safety, hitting production and AISC guidance, converting to free cash flow, ESG/decarbonisation, and — through a three-year relative-TSR long-term plan — out-performing a basket of global gold peers rather than merely riding the gold price. A new returns policy (35% of normalised FCF plus up to US$500m of specials/buybacks) disciplines capital toward shareholder returns over volume growth. Net: incentives are well-aligned and argue against value-destructive M&amp;A.</w:t>
      </w:r>
    </w:p>
    <w:p>
      <w:pPr>
        <w:spacing w:after="120" w:before="0" w:line="252"/>
      </w:pPr>
      <w:r>
        <w:rPr>
          <w:b/>
          <w:bCs/>
        </w:rPr>
        <w:t xml:space="preserve">What to watch.  </w:t>
      </w:r>
      <w:r>
        <w:t xml:space="preserve">Spot gold and real (TIPS) yields; the Strait-of-Hormuz status and Brent; the Fed path and inflation expectations; central-bank gold buying and ETF flows; Salares Norte quarterly run-rate; the Windfall FID (guided mid-2026); the Tarkwa lease; group AISC against guidance; and USD/ZAR and USD/AUD.</w:t>
      </w:r>
    </w:p>
    <w:p>
      <w:pPr>
        <w:spacing w:after="140" w:before="0" w:line="252"/>
      </w:pPr>
      <w:r>
        <w:rPr>
          <w:i/>
          <w:iCs/>
          <w:color w:val="595959"/>
          <w:sz w:val="17"/>
          <w:szCs w:val="17"/>
        </w:rPr>
        <w:t xml:space="preserve">For informational purposes only; not investment advice. Gold Fields reports in US dollars. Scenario figures are analyst estimates (e), not company guidance. Share and commodity prices obtained via web search may be delayed; there is no live JSE/COMEX feed. Confirm the fund’s dealing-period status before acting.</w:t>
      </w:r>
    </w:p>
    <w:p>
      <w:pPr>
        <w:pStyle w:val="Heading2"/>
        <w:spacing w:after="90" w:before="180"/>
      </w:pPr>
      <w:r>
        <w:rPr>
          <w:b/>
          <w:bCs/>
          <w:color w:val="1F3864"/>
          <w:sz w:val="23"/>
          <w:szCs w:val="23"/>
        </w:rPr>
        <w:t xml:space="preserve">Headline: modelled group EBITDA by scenario (US$bn, analyst estimates)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360"/>
        <w:gridCol w:w="2000"/>
        <w:gridCol w:w="2000"/>
        <w:gridCol w:w="2000"/>
      </w:tblGrid>
      <w:tr>
        <w:trPr>
          <w:tblHeader/>
        </w:trPr>
        <w:tc>
          <w:tcPr>
            <w:tcW w:type="dxa" w:w="3360"/>
            <w:shd w:fill="1F3864" w:val="clear"/>
            <w:tcMar>
              <w:top w:type="dxa" w:w="60"/>
              <w:left w:type="dxa" w:w="110"/>
              <w:bottom w:type="dxa" w:w="60"/>
              <w:right w:type="dxa" w:w="110"/>
            </w:tcMar>
          </w:tcPr>
          <w:p>
            <w:pPr>
              <w:spacing w:after="0" w:line="240"/>
              <w:jc w:val="left"/>
            </w:pPr>
            <w:r>
              <w:rPr>
                <w:b/>
                <w:bCs/>
                <w:color w:val="FFFFFF"/>
                <w:sz w:val="18"/>
                <w:szCs w:val="18"/>
              </w:rPr>
              <w:t xml:space="preserve">Scenario</w:t>
            </w:r>
          </w:p>
        </w:tc>
        <w:tc>
          <w:tcPr>
            <w:tcW w:type="dxa" w:w="2000"/>
            <w:shd w:fill="1F3864" w:val="clear"/>
            <w:tcMar>
              <w:top w:type="dxa" w:w="60"/>
              <w:left w:type="dxa" w:w="110"/>
              <w:bottom w:type="dxa" w:w="60"/>
              <w:right w:type="dxa" w:w="110"/>
            </w:tcMar>
          </w:tcPr>
          <w:p>
            <w:pPr>
              <w:spacing w:after="0" w:line="240"/>
              <w:jc w:val="right"/>
            </w:pPr>
            <w:r>
              <w:rPr>
                <w:b/>
                <w:bCs/>
                <w:color w:val="FFFFFF"/>
                <w:sz w:val="18"/>
                <w:szCs w:val="18"/>
              </w:rPr>
              <w:t xml:space="preserve">FY2026e EBITDA</w:t>
            </w:r>
          </w:p>
        </w:tc>
        <w:tc>
          <w:tcPr>
            <w:tcW w:type="dxa" w:w="2000"/>
            <w:shd w:fill="1F3864" w:val="clear"/>
            <w:tcMar>
              <w:top w:type="dxa" w:w="60"/>
              <w:left w:type="dxa" w:w="110"/>
              <w:bottom w:type="dxa" w:w="60"/>
              <w:right w:type="dxa" w:w="110"/>
            </w:tcMar>
          </w:tcPr>
          <w:p>
            <w:pPr>
              <w:spacing w:after="0" w:line="240"/>
              <w:jc w:val="right"/>
            </w:pPr>
            <w:r>
              <w:rPr>
                <w:b/>
                <w:bCs/>
                <w:color w:val="FFFFFF"/>
                <w:sz w:val="18"/>
                <w:szCs w:val="18"/>
              </w:rPr>
              <w:t xml:space="preserve">FY2027e EBITDA</w:t>
            </w:r>
          </w:p>
        </w:tc>
        <w:tc>
          <w:tcPr>
            <w:tcW w:type="dxa" w:w="2000"/>
            <w:shd w:fill="1F3864" w:val="clear"/>
            <w:tcMar>
              <w:top w:type="dxa" w:w="60"/>
              <w:left w:type="dxa" w:w="110"/>
              <w:bottom w:type="dxa" w:w="60"/>
              <w:right w:type="dxa" w:w="110"/>
            </w:tcMar>
          </w:tcPr>
          <w:p>
            <w:pPr>
              <w:spacing w:after="0" w:line="240"/>
              <w:jc w:val="right"/>
            </w:pPr>
            <w:r>
              <w:rPr>
                <w:b/>
                <w:bCs/>
                <w:color w:val="FFFFFF"/>
                <w:sz w:val="18"/>
                <w:szCs w:val="18"/>
              </w:rPr>
              <w:t xml:space="preserve">2026e vs FY2025</w:t>
            </w:r>
          </w:p>
        </w:tc>
      </w:tr>
      <w:tr>
        <w:tc>
          <w:tcPr>
            <w:tcW w:type="dxa" w:w="33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Scenario A — Hormuz open</w:t>
            </w:r>
          </w:p>
        </w:tc>
        <w:tc>
          <w:tcPr>
            <w:tcW w:type="dxa" w:w="2000"/>
            <w:shd w:fill="FFFFFF" w:val="clear"/>
            <w:tcMar>
              <w:top w:type="dxa" w:w="60"/>
              <w:left w:type="dxa" w:w="110"/>
              <w:bottom w:type="dxa" w:w="60"/>
              <w:right w:type="dxa" w:w="110"/>
            </w:tcMar>
          </w:tcPr>
          <w:p>
            <w:pPr>
              <w:spacing w:after="0" w:line="240"/>
              <w:jc w:val="right"/>
            </w:pPr>
            <w:r>
              <w:rPr>
                <w:sz w:val="18"/>
                <w:szCs w:val="18"/>
              </w:rPr>
              <w:t xml:space="preserve">7.7</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8.7</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+37%</w:t>
            </w:r>
          </w:p>
        </w:tc>
      </w:tr>
      <w:tr>
        <w:tc>
          <w:tcPr>
            <w:tcW w:type="dxa" w:w="3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Base case</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7.9</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9.2</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+39%</w:t>
            </w:r>
          </w:p>
        </w:tc>
      </w:tr>
      <w:tr>
        <w:tc>
          <w:tcPr>
            <w:tcW w:type="dxa" w:w="3360"/>
            <w:shd w:fill="FFFFFF" w:val="clear"/>
            <w:tcMar>
              <w:top w:type="dxa" w:w="60"/>
              <w:left w:type="dxa" w:w="110"/>
              <w:bottom w:type="dxa" w:w="60"/>
              <w:right w:type="dxa" w:w="110"/>
            </w:tcMar>
          </w:tcPr>
          <w:p>
            <w:pPr>
              <w:spacing w:after="0" w:line="240"/>
              <w:jc w:val="left"/>
            </w:pPr>
            <w:r>
              <w:rPr>
                <w:b/>
                <w:bCs/>
                <w:sz w:val="18"/>
                <w:szCs w:val="18"/>
              </w:rPr>
              <w:t xml:space="preserve">Scenario B — Hormuz closed</w:t>
            </w:r>
          </w:p>
        </w:tc>
        <w:tc>
          <w:tcPr>
            <w:tcW w:type="dxa" w:w="2000"/>
            <w:shd w:fill="FFFFFF" w:val="clear"/>
            <w:tcMar>
              <w:top w:type="dxa" w:w="60"/>
              <w:left w:type="dxa" w:w="110"/>
              <w:bottom w:type="dxa" w:w="60"/>
              <w:right w:type="dxa" w:w="110"/>
            </w:tcMar>
          </w:tcPr>
          <w:p>
            <w:pPr>
              <w:spacing w:after="0" w:line="240"/>
              <w:jc w:val="right"/>
            </w:pPr>
            <w:r>
              <w:rPr>
                <w:b/>
                <w:bCs/>
                <w:sz w:val="18"/>
                <w:szCs w:val="18"/>
              </w:rPr>
              <w:t xml:space="preserve">8.6</w:t>
            </w:r>
          </w:p>
        </w:tc>
        <w:tc>
          <w:tcPr>
            <w:tcW w:type="dxa" w:w="2000"/>
            <w:shd w:fill="FFFFFF" w:val="clear"/>
            <w:tcMar>
              <w:top w:type="dxa" w:w="60"/>
              <w:left w:type="dxa" w:w="110"/>
              <w:bottom w:type="dxa" w:w="60"/>
              <w:right w:type="dxa" w:w="110"/>
            </w:tcMar>
          </w:tcPr>
          <w:p>
            <w:pPr>
              <w:spacing w:after="0" w:line="240"/>
              <w:jc w:val="right"/>
            </w:pPr>
            <w:r>
              <w:rPr>
                <w:b/>
                <w:bCs/>
                <w:sz w:val="18"/>
                <w:szCs w:val="18"/>
              </w:rPr>
              <w:t xml:space="preserve">9.8</w:t>
            </w:r>
          </w:p>
        </w:tc>
        <w:tc>
          <w:tcPr>
            <w:tcW w:type="dxa" w:w="2000"/>
            <w:shd w:fill="FFFFFF" w:val="clear"/>
            <w:tcMar>
              <w:top w:type="dxa" w:w="60"/>
              <w:left w:type="dxa" w:w="110"/>
              <w:bottom w:type="dxa" w:w="60"/>
              <w:right w:type="dxa" w:w="110"/>
            </w:tcMar>
          </w:tcPr>
          <w:p>
            <w:pPr>
              <w:spacing w:after="0" w:line="240"/>
              <w:jc w:val="right"/>
            </w:pPr>
            <w:r>
              <w:rPr>
                <w:b/>
                <w:bCs/>
                <w:sz w:val="18"/>
                <w:szCs w:val="18"/>
              </w:rPr>
              <w:t xml:space="preserve">+52%</w:t>
            </w:r>
          </w:p>
        </w:tc>
      </w:tr>
    </w:tbl>
    <w:p>
      <w:pPr>
        <w:spacing w:after="140" w:before="0" w:line="252"/>
      </w:pPr>
      <w:r>
        <w:rPr>
          <w:i/>
          <w:iCs/>
          <w:color w:val="595959"/>
          <w:sz w:val="17"/>
          <w:szCs w:val="17"/>
        </w:rPr>
        <w:t xml:space="preserve">Calibration: model reproduces FY2025 adjusted EBITDA to 98.3% (US$5,542m modelled vs US$5,637m reported). Against FY2025 adjusted EBITDA of US$5,637m. All forward figures (e). See the companion Excel model — change the blue input cells on the ‘Assumptions’ tab to re-run every scenario.</w:t>
      </w:r>
    </w:p>
    <w:p>
      <w:r>
        <w:br w:type="page"/>
      </w:r>
    </w:p>
    <w:p>
      <w:pPr>
        <w:pStyle w:val="Heading1"/>
        <w:pBdr>
          <w:bottom w:val="single" w:color="1F3864" w:sz="8" w:space="3"/>
        </w:pBdr>
        <w:spacing w:after="140" w:before="280"/>
      </w:pPr>
      <w:r>
        <w:rPr>
          <w:b/>
          <w:bCs/>
          <w:color w:val="1F3864"/>
          <w:sz w:val="26"/>
          <w:szCs w:val="26"/>
        </w:rPr>
        <w:t xml:space="preserve">2.  What Gold Fields is today (FY2025 snapshot)</w:t>
      </w:r>
    </w:p>
    <w:p>
      <w:pPr>
        <w:spacing w:after="120" w:before="0" w:line="252"/>
      </w:pPr>
      <w:r>
        <w:t xml:space="preserve">Gold Fields delivered a record FY2025 (year-ended 31 December 2025). Attributable production rose 18% to 2.438Moz — the upper end of guidance — as </w:t>
      </w:r>
      <w:r>
        <w:rPr>
          <w:b/>
          <w:bCs/>
        </w:rPr>
        <w:t xml:space="preserve">Salares Norte</w:t>
      </w:r>
      <w:r>
        <w:t xml:space="preserve"> reached commercial production and ran through the Andean winter without interruption. A 45% jump in the realised gold price (to US$3,496/oz) did the rest. Headline earnings doubled and the balance sheet de-geared sharply. Note: attributable profit of US$3,567m includes ≈US$808m of one-off gain on the previously-held Gruyere stake (the Gold Road acquisition); </w:t>
      </w:r>
      <w:r>
        <w:rPr>
          <w:b/>
          <w:bCs/>
        </w:rPr>
        <w:t xml:space="preserve">normalised profit of US$2,684m (normalised EPS 300 US¢)</w:t>
      </w:r>
      <w:r>
        <w:t xml:space="preserve"> is the cleaner read.</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960"/>
        <w:gridCol w:w="1350"/>
        <w:gridCol w:w="1350"/>
        <w:gridCol w:w="1350"/>
        <w:gridCol w:w="1350"/>
      </w:tblGrid>
      <w:tr>
        <w:trPr>
          <w:tblHeader/>
        </w:trPr>
        <w:tc>
          <w:tcPr>
            <w:tcW w:type="dxa" w:w="3960"/>
            <w:shd w:fill="1F3864" w:val="clear"/>
            <w:tcMar>
              <w:top w:type="dxa" w:w="60"/>
              <w:left w:type="dxa" w:w="110"/>
              <w:bottom w:type="dxa" w:w="60"/>
              <w:right w:type="dxa" w:w="110"/>
            </w:tcMar>
          </w:tcPr>
          <w:p>
            <w:pPr>
              <w:spacing w:after="0" w:line="240"/>
              <w:jc w:val="left"/>
            </w:pPr>
            <w:r>
              <w:rPr>
                <w:b/>
                <w:bCs/>
                <w:color w:val="FFFFFF"/>
                <w:sz w:val="18"/>
                <w:szCs w:val="18"/>
              </w:rPr>
              <w:t xml:space="preserve">Metric (US$m unless stated)</w:t>
            </w:r>
          </w:p>
        </w:tc>
        <w:tc>
          <w:tcPr>
            <w:tcW w:type="dxa" w:w="1350"/>
            <w:shd w:fill="1F3864" w:val="clear"/>
            <w:tcMar>
              <w:top w:type="dxa" w:w="60"/>
              <w:left w:type="dxa" w:w="110"/>
              <w:bottom w:type="dxa" w:w="60"/>
              <w:right w:type="dxa" w:w="110"/>
            </w:tcMar>
          </w:tcPr>
          <w:p>
            <w:pPr>
              <w:spacing w:after="0" w:line="240"/>
              <w:jc w:val="right"/>
            </w:pPr>
            <w:r>
              <w:rPr>
                <w:b/>
                <w:bCs/>
                <w:color w:val="FFFFFF"/>
                <w:sz w:val="18"/>
                <w:szCs w:val="18"/>
              </w:rPr>
              <w:t xml:space="preserve">FY2025</w:t>
            </w:r>
          </w:p>
        </w:tc>
        <w:tc>
          <w:tcPr>
            <w:tcW w:type="dxa" w:w="1350"/>
            <w:shd w:fill="1F3864" w:val="clear"/>
            <w:tcMar>
              <w:top w:type="dxa" w:w="60"/>
              <w:left w:type="dxa" w:w="110"/>
              <w:bottom w:type="dxa" w:w="60"/>
              <w:right w:type="dxa" w:w="110"/>
            </w:tcMar>
          </w:tcPr>
          <w:p>
            <w:pPr>
              <w:spacing w:after="0" w:line="240"/>
              <w:jc w:val="right"/>
            </w:pPr>
            <w:r>
              <w:rPr>
                <w:b/>
                <w:bCs/>
                <w:color w:val="FFFFFF"/>
                <w:sz w:val="18"/>
                <w:szCs w:val="18"/>
              </w:rPr>
              <w:t xml:space="preserve">FY2024</w:t>
            </w:r>
          </w:p>
        </w:tc>
        <w:tc>
          <w:tcPr>
            <w:tcW w:type="dxa" w:w="1350"/>
            <w:shd w:fill="1F3864" w:val="clear"/>
            <w:tcMar>
              <w:top w:type="dxa" w:w="60"/>
              <w:left w:type="dxa" w:w="110"/>
              <w:bottom w:type="dxa" w:w="60"/>
              <w:right w:type="dxa" w:w="110"/>
            </w:tcMar>
          </w:tcPr>
          <w:p>
            <w:pPr>
              <w:spacing w:after="0" w:line="240"/>
              <w:jc w:val="right"/>
            </w:pPr>
            <w:r>
              <w:rPr>
                <w:b/>
                <w:bCs/>
                <w:color w:val="FFFFFF"/>
                <w:sz w:val="18"/>
                <w:szCs w:val="18"/>
              </w:rPr>
              <w:t xml:space="preserve">Change</w:t>
            </w:r>
          </w:p>
        </w:tc>
        <w:tc>
          <w:tcPr>
            <w:tcW w:type="dxa" w:w="1350"/>
            <w:shd w:fill="1F3864" w:val="clear"/>
            <w:tcMar>
              <w:top w:type="dxa" w:w="60"/>
              <w:left w:type="dxa" w:w="110"/>
              <w:bottom w:type="dxa" w:w="60"/>
              <w:right w:type="dxa" w:w="110"/>
            </w:tcMar>
          </w:tcPr>
          <w:p>
            <w:pPr>
              <w:spacing w:after="0" w:line="240"/>
              <w:jc w:val="right"/>
            </w:pPr>
            <w:r>
              <w:rPr>
                <w:b/>
                <w:bCs/>
                <w:color w:val="FFFFFF"/>
                <w:sz w:val="18"/>
                <w:szCs w:val="18"/>
              </w:rPr>
              <w:t xml:space="preserve">% chg</w:t>
            </w:r>
          </w:p>
        </w:tc>
      </w:tr>
      <w:tr>
        <w:tc>
          <w:tcPr>
            <w:tcW w:type="dxa" w:w="39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Revenue</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8,751</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5,202</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+3,549</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+68%</w:t>
            </w:r>
          </w:p>
        </w:tc>
      </w:tr>
      <w:tr>
        <w:tc>
          <w:tcPr>
            <w:tcW w:type="dxa" w:w="39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Average realised gold price (US$/oz)</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3,496</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2,418</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+1,078</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+45%</w:t>
            </w:r>
          </w:p>
        </w:tc>
      </w:tr>
      <w:tr>
        <w:tc>
          <w:tcPr>
            <w:tcW w:type="dxa" w:w="39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Adjusted EBITDA</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5,637</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2,847</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+2,790</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+98%</w:t>
            </w:r>
          </w:p>
        </w:tc>
      </w:tr>
      <w:tr>
        <w:tc>
          <w:tcPr>
            <w:tcW w:type="dxa" w:w="39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Adjusted EBITDA margin</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64.4%</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54.7%</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+970 bps</w:t>
            </w:r>
          </w:p>
        </w:tc>
      </w:tr>
      <w:tr>
        <w:tc>
          <w:tcPr>
            <w:tcW w:type="dxa" w:w="39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Attributable production (Moz)</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2.438</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2.071</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+0.367</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+18%</w:t>
            </w:r>
          </w:p>
        </w:tc>
      </w:tr>
      <w:tr>
        <w:tc>
          <w:tcPr>
            <w:tcW w:type="dxa" w:w="39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AISC (US$/oz)</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1,645</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1,629</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+16</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+1%</w:t>
            </w:r>
          </w:p>
        </w:tc>
      </w:tr>
      <w:tr>
        <w:tc>
          <w:tcPr>
            <w:tcW w:type="dxa" w:w="39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All-in cost — AIC (US$/oz)</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1,927</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1,873</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+54</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+3%</w:t>
            </w:r>
          </w:p>
        </w:tc>
      </w:tr>
      <w:tr>
        <w:tc>
          <w:tcPr>
            <w:tcW w:type="dxa" w:w="39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Attributable profit</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3,567</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1,245</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+2,322</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+186%</w:t>
            </w:r>
          </w:p>
        </w:tc>
      </w:tr>
      <w:tr>
        <w:tc>
          <w:tcPr>
            <w:tcW w:type="dxa" w:w="39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Normalised profit</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2,684</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1,227</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+1,457</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+119%</w:t>
            </w:r>
          </w:p>
        </w:tc>
      </w:tr>
      <w:tr>
        <w:tc>
          <w:tcPr>
            <w:tcW w:type="dxa" w:w="39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Headline EPS (US cents)</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288</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133</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+155</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+117%</w:t>
            </w:r>
          </w:p>
        </w:tc>
      </w:tr>
      <w:tr>
        <w:tc>
          <w:tcPr>
            <w:tcW w:type="dxa" w:w="39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Adjusted free cash flow</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2,970</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605</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+2,365</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+391%</w:t>
            </w:r>
          </w:p>
        </w:tc>
      </w:tr>
      <w:tr>
        <w:tc>
          <w:tcPr>
            <w:tcW w:type="dxa" w:w="39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Net debt (incl. leases)</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1,442</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2,086</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−644</w:t>
            </w:r>
          </w:p>
        </w:tc>
        <w:tc>
          <w:tcPr>
            <w:tcW w:type="dxa" w:w="135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−31%</w:t>
            </w:r>
          </w:p>
        </w:tc>
      </w:tr>
      <w:tr>
        <w:tc>
          <w:tcPr>
            <w:tcW w:type="dxa" w:w="39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Net debt / adj. EBITDA (x)</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0.26</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0.73</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w:t>
            </w:r>
          </w:p>
        </w:tc>
        <w:tc>
          <w:tcPr>
            <w:tcW w:type="dxa" w:w="135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w:t>
            </w:r>
          </w:p>
        </w:tc>
      </w:tr>
    </w:tbl>
    <w:p>
      <w:pPr>
        <w:spacing w:after="140" w:before="0" w:line="252"/>
      </w:pPr>
      <w:r>
        <w:rPr>
          <w:i/>
          <w:iCs/>
          <w:color w:val="595959"/>
          <w:sz w:val="17"/>
          <w:szCs w:val="17"/>
        </w:rPr>
        <w:t xml:space="preserve">Source: Gold Fields FY2025 reviewed results (SEC Form 6-K), 19–20 February 2026. Margin and AISC/AIC are group figures; production is attributable.</w:t>
      </w:r>
    </w:p>
    <w:p>
      <w:pPr>
        <w:spacing w:after="120" w:before="0" w:line="252"/>
      </w:pPr>
      <w:r>
        <w:rPr>
          <w:b/>
          <w:bCs/>
        </w:rPr>
        <w:t xml:space="preserve">Returns &amp; balance sheet.  </w:t>
      </w:r>
      <w:r>
        <w:t xml:space="preserve">Total ordinary dividend of R25.50/share (≈US$1.42), plus a ~R4.50 special; total shareholder distributions of US$1.7bn ≈ 54% of adjusted FCF (US$253m specials + US$100m buybacks on top of ordinary dividends). A new policy pays 35% of normalised FCF as the ordinary dividend (minimum US$0.50/share) with up to US$500m of additional returns over 24 months. Net debt of US$1.44bn (0.26x EBITDA) is a fortress for a gold miner.</w:t>
      </w:r>
    </w:p>
    <w:p>
      <w:pPr>
        <w:spacing w:after="120" w:before="0" w:line="252"/>
      </w:pPr>
      <w:r>
        <w:rPr>
          <w:b/>
          <w:bCs/>
        </w:rPr>
        <w:t xml:space="preserve">The asset map.  </w:t>
      </w:r>
      <w:r>
        <w:t xml:space="preserve">Australia is the production heartland (St Ives, Agnew, Granny Smith and, since the October-2025 Gold Road buy-out, 100% of Gruyere) — roughly half of group output. Ghana (Tarkwa) is a major open-pit; Damang was handed back to the State in April 2026. South Deep is the sole, long-life South African mine. Cerro Corona (Peru) is moving to stockpile/tailings processing. Salares Norte (Chile) is the new, ultra-low-cost growth engine; Windfall (Canada) is the next one, pre-build.</w:t>
      </w:r>
    </w:p>
    <w:p>
      <w:pPr>
        <w:pStyle w:val="Heading1"/>
        <w:pBdr>
          <w:bottom w:val="single" w:color="1F3864" w:sz="8" w:space="3"/>
        </w:pBdr>
        <w:spacing w:after="140" w:before="280"/>
      </w:pPr>
      <w:r>
        <w:rPr>
          <w:b/>
          <w:bCs/>
          <w:color w:val="1F3864"/>
          <w:sz w:val="26"/>
          <w:szCs w:val="26"/>
        </w:rPr>
        <w:t xml:space="preserve">3.  The 12–18 month outlook</w:t>
      </w:r>
    </w:p>
    <w:p>
      <w:pPr>
        <w:spacing w:after="120" w:before="0" w:line="252"/>
      </w:pPr>
      <w:r>
        <w:rPr>
          <w:b/>
          <w:bCs/>
        </w:rPr>
        <w:t xml:space="preserve">Volumes broadly flat; the story is costs, projects and the gold price.  </w:t>
      </w:r>
      <w:r>
        <w:t xml:space="preserve">FY2026 guidance (reaffirmed at the Q1 update on 7 May 2026) is 2.40–2.60Moz attributable. The watch-item is the guided cost and capital step-up: AISC US$1,800–2,000/oz (vs US$1,645 in 2025) and total capex US$1.9–2.1bn (vs US$1.4bn), driven by Windfall pre-build (≈C$495m), sustaining investment and currency/royalty inflation. Q1 2026 already printed AISC US$1,829/oz, with management guiding cost normalisation through the year.</w:t>
      </w:r>
    </w:p>
    <w:p>
      <w:pPr>
        <w:spacing w:after="120" w:before="0" w:line="252"/>
      </w:pPr>
      <w:r>
        <w:rPr>
          <w:b/>
          <w:bCs/>
        </w:rPr>
        <w:t xml:space="preserve">Salares Norte — the engine.  </w:t>
      </w:r>
      <w:r>
        <w:t xml:space="preserve">2026 is the first full year of steady-state: guidance 525–550koz gold-equivalent at an industry-leading AISC of roughly US$450–600/oz (FY2025: 397koz at US$1,144/oz; US$808m of free cash flow — the group’s highest). Sustaining this run-rate is the single biggest swing factor in group costs and cash.</w:t>
      </w:r>
    </w:p>
    <w:p>
      <w:pPr>
        <w:spacing w:after="120" w:before="0" w:line="252"/>
      </w:pPr>
      <w:r>
        <w:rPr>
          <w:b/>
          <w:bCs/>
        </w:rPr>
        <w:t xml:space="preserve">Windfall — the next leg.  </w:t>
      </w:r>
      <w:r>
        <w:t xml:space="preserve">Permitting advanced through H1 2026 (EIA hearings completed; an in-principle benefit agreement with the Cree Nation of Waswanipi). A final investment decision is guided to mid-2026 (with H1 results); first gold ~H1 2029; steady-state ~300koz at ~US$758/oz, hydro-powered. Capital discipline at FID is a key governance/at-risk item.</w:t>
      </w:r>
    </w:p>
    <w:p>
      <w:pPr>
        <w:spacing w:after="120" w:before="0" w:line="252"/>
      </w:pPr>
      <w:r>
        <w:rPr>
          <w:b/>
          <w:bCs/>
        </w:rPr>
        <w:t xml:space="preserve">Ghana — the jurisdictional swing.  </w:t>
      </w:r>
      <w:r>
        <w:t xml:space="preserve">Tarkwa (~470koz) carries the clearest near-term policy risk: its mining leases expire April 2027, renewal is officially ‘not automatic’, and a new royalty regime (March 2026) raises the bar (local participation, technology transfer). Damang has already been handed back. This is a binary catalyst within the outlook window.</w:t>
      </w:r>
    </w:p>
    <w:p>
      <w:pPr>
        <w:pStyle w:val="Heading2"/>
        <w:spacing w:after="90" w:before="180"/>
      </w:pPr>
      <w:r>
        <w:rPr>
          <w:b/>
          <w:bCs/>
          <w:color w:val="1F3864"/>
          <w:sz w:val="23"/>
          <w:szCs w:val="23"/>
        </w:rPr>
        <w:t xml:space="preserve">Scenario inputs (analyst estimates, editable in the model)</w:t>
      </w:r>
    </w:p>
    <w:p>
      <w:pPr>
        <w:spacing w:after="120" w:before="0" w:line="252"/>
      </w:pPr>
      <w:r>
        <w:t xml:space="preserve">Volume is held near guidance across scenarios to isolate the two channels the Hormuz outcome actually moves for a gold producer — the </w:t>
      </w:r>
      <w:r>
        <w:rPr>
          <w:b/>
          <w:bCs/>
        </w:rPr>
        <w:t xml:space="preserve">gold price</w:t>
      </w:r>
      <w:r>
        <w:t xml:space="preserve"> and </w:t>
      </w:r>
      <w:r>
        <w:rPr>
          <w:b/>
          <w:bCs/>
        </w:rPr>
        <w:t xml:space="preserve">unit costs</w:t>
      </w:r>
      <w:r>
        <w:t xml:space="preserve">. The decks below drive the model.</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360"/>
        <w:gridCol w:w="2000"/>
        <w:gridCol w:w="2000"/>
        <w:gridCol w:w="2000"/>
      </w:tblGrid>
      <w:tr>
        <w:trPr>
          <w:tblHeader/>
        </w:trPr>
        <w:tc>
          <w:tcPr>
            <w:tcW w:type="dxa" w:w="3360"/>
            <w:shd w:fill="1F3864" w:val="clear"/>
            <w:tcMar>
              <w:top w:type="dxa" w:w="60"/>
              <w:left w:type="dxa" w:w="110"/>
              <w:bottom w:type="dxa" w:w="60"/>
              <w:right w:type="dxa" w:w="110"/>
            </w:tcMar>
          </w:tcPr>
          <w:p>
            <w:pPr>
              <w:spacing w:after="0" w:line="240"/>
              <w:jc w:val="left"/>
            </w:pPr>
            <w:r>
              <w:rPr>
                <w:b/>
                <w:bCs/>
                <w:color w:val="FFFFFF"/>
                <w:sz w:val="18"/>
                <w:szCs w:val="18"/>
              </w:rPr>
              <w:t xml:space="preserve">Driver</w:t>
            </w:r>
          </w:p>
        </w:tc>
        <w:tc>
          <w:tcPr>
            <w:tcW w:type="dxa" w:w="2000"/>
            <w:shd w:fill="1F3864" w:val="clear"/>
            <w:tcMar>
              <w:top w:type="dxa" w:w="60"/>
              <w:left w:type="dxa" w:w="110"/>
              <w:bottom w:type="dxa" w:w="60"/>
              <w:right w:type="dxa" w:w="110"/>
            </w:tcMar>
          </w:tcPr>
          <w:p>
            <w:pPr>
              <w:spacing w:after="0" w:line="240"/>
              <w:jc w:val="right"/>
            </w:pPr>
            <w:r>
              <w:rPr>
                <w:b/>
                <w:bCs/>
                <w:color w:val="FFFFFF"/>
                <w:sz w:val="18"/>
                <w:szCs w:val="18"/>
              </w:rPr>
              <w:t xml:space="preserve">Scenario A</w:t>
            </w:r>
          </w:p>
        </w:tc>
        <w:tc>
          <w:tcPr>
            <w:tcW w:type="dxa" w:w="2000"/>
            <w:shd w:fill="1F3864" w:val="clear"/>
            <w:tcMar>
              <w:top w:type="dxa" w:w="60"/>
              <w:left w:type="dxa" w:w="110"/>
              <w:bottom w:type="dxa" w:w="60"/>
              <w:right w:type="dxa" w:w="110"/>
            </w:tcMar>
          </w:tcPr>
          <w:p>
            <w:pPr>
              <w:spacing w:after="0" w:line="240"/>
              <w:jc w:val="right"/>
            </w:pPr>
            <w:r>
              <w:rPr>
                <w:b/>
                <w:bCs/>
                <w:color w:val="FFFFFF"/>
                <w:sz w:val="18"/>
                <w:szCs w:val="18"/>
              </w:rPr>
              <w:t xml:space="preserve">Base</w:t>
            </w:r>
          </w:p>
        </w:tc>
        <w:tc>
          <w:tcPr>
            <w:tcW w:type="dxa" w:w="2000"/>
            <w:shd w:fill="1F3864" w:val="clear"/>
            <w:tcMar>
              <w:top w:type="dxa" w:w="60"/>
              <w:left w:type="dxa" w:w="110"/>
              <w:bottom w:type="dxa" w:w="60"/>
              <w:right w:type="dxa" w:w="110"/>
            </w:tcMar>
          </w:tcPr>
          <w:p>
            <w:pPr>
              <w:spacing w:after="0" w:line="240"/>
              <w:jc w:val="right"/>
            </w:pPr>
            <w:r>
              <w:rPr>
                <w:b/>
                <w:bCs/>
                <w:color w:val="FFFFFF"/>
                <w:sz w:val="18"/>
                <w:szCs w:val="18"/>
              </w:rPr>
              <w:t xml:space="preserve">Scenario B</w:t>
            </w:r>
          </w:p>
        </w:tc>
      </w:tr>
      <w:tr>
        <w:tc>
          <w:tcPr>
            <w:tcW w:type="dxa" w:w="3360"/>
            <w:shd w:fill="FFFFFF" w:val="clear"/>
            <w:tcMar>
              <w:top w:type="dxa" w:w="60"/>
              <w:left w:type="dxa" w:w="110"/>
              <w:bottom w:type="dxa" w:w="60"/>
              <w:right w:type="dxa" w:w="110"/>
            </w:tcMar>
          </w:tcPr>
          <w:p>
            <w:pPr>
              <w:spacing w:after="0" w:line="240"/>
              <w:jc w:val="left"/>
            </w:pPr>
            <w:r>
              <w:rPr>
                <w:b/>
                <w:bCs/>
              </w:rPr>
              <w:t xml:space="preserve">FY2026e</w:t>
            </w:r>
          </w:p>
        </w:tc>
        <w:tc>
          <w:tcPr>
            <w:tcW w:type="dxa" w:w="2000"/>
            <w:shd w:fill="FFFFFF" w:val="clear"/>
            <w:tcMar>
              <w:top w:type="dxa" w:w="60"/>
              <w:left w:type="dxa" w:w="110"/>
              <w:bottom w:type="dxa" w:w="60"/>
              <w:right w:type="dxa" w:w="110"/>
            </w:tcMar>
          </w:tcPr>
          <w:p>
            <w:pPr>
              <w:spacing w:after="0" w:line="240"/>
              <w:jc w:val="right"/>
            </w:pPr>
            <w:r>
              <w:rPr>
                <w:b/>
                <w:bCs/>
              </w:rPr>
              <w:t xml:space="preserve">Hormuz open</w:t>
            </w:r>
          </w:p>
        </w:tc>
        <w:tc>
          <w:tcPr>
            <w:tcW w:type="dxa" w:w="2000"/>
            <w:shd w:fill="FFFFFF" w:val="clear"/>
            <w:tcMar>
              <w:top w:type="dxa" w:w="60"/>
              <w:left w:type="dxa" w:w="110"/>
              <w:bottom w:type="dxa" w:w="60"/>
              <w:right w:type="dxa" w:w="110"/>
            </w:tcMar>
          </w:tcPr>
          <w:p>
            <w:pPr>
              <w:spacing w:after="0" w:line="240"/>
              <w:jc w:val="right"/>
            </w:pPr>
            <w:r>
              <w:rPr>
                <w:b/>
                <w:bCs/>
              </w:rPr>
              <w:t xml:space="preserve"/>
            </w:r>
          </w:p>
        </w:tc>
        <w:tc>
          <w:tcPr>
            <w:tcW w:type="dxa" w:w="2000"/>
            <w:shd w:fill="FFFFFF" w:val="clear"/>
            <w:tcMar>
              <w:top w:type="dxa" w:w="60"/>
              <w:left w:type="dxa" w:w="110"/>
              <w:bottom w:type="dxa" w:w="60"/>
              <w:right w:type="dxa" w:w="110"/>
            </w:tcMar>
          </w:tcPr>
          <w:p>
            <w:pPr>
              <w:spacing w:after="0" w:line="240"/>
              <w:jc w:val="right"/>
            </w:pPr>
            <w:r>
              <w:rPr>
                <w:b/>
                <w:bCs/>
              </w:rPr>
              <w:t xml:space="preserve">Hormuz closed</w:t>
            </w:r>
          </w:p>
        </w:tc>
      </w:tr>
      <w:tr>
        <w:tc>
          <w:tcPr>
            <w:tcW w:type="dxa" w:w="3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Realised gold (US$/oz)</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4,400</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4,500</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4,900</w:t>
            </w:r>
          </w:p>
        </w:tc>
      </w:tr>
      <w:tr>
        <w:tc>
          <w:tcPr>
            <w:tcW w:type="dxa" w:w="33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AISC (US$/oz)</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1,850</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1,900</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2,000</w:t>
            </w:r>
          </w:p>
        </w:tc>
      </w:tr>
      <w:tr>
        <w:tc>
          <w:tcPr>
            <w:tcW w:type="dxa" w:w="3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Attributable production (Moz)</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2.50</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2.50</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2.48</w:t>
            </w:r>
          </w:p>
        </w:tc>
      </w:tr>
      <w:tr>
        <w:tc>
          <w:tcPr>
            <w:tcW w:type="dxa" w:w="3360"/>
            <w:shd w:fill="FFFFFF" w:val="clear"/>
            <w:tcMar>
              <w:top w:type="dxa" w:w="60"/>
              <w:left w:type="dxa" w:w="110"/>
              <w:bottom w:type="dxa" w:w="60"/>
              <w:right w:type="dxa" w:w="110"/>
            </w:tcMar>
          </w:tcPr>
          <w:p>
            <w:pPr>
              <w:spacing w:after="0" w:line="240"/>
              <w:jc w:val="left"/>
            </w:pPr>
            <w:r>
              <w:rPr>
                <w:b/>
                <w:bCs/>
              </w:rPr>
              <w:t xml:space="preserve">FY2027e</w:t>
            </w:r>
          </w:p>
        </w:tc>
        <w:tc>
          <w:tcPr>
            <w:tcW w:type="dxa" w:w="2000"/>
            <w:shd w:fill="FFFFFF" w:val="clear"/>
            <w:tcMar>
              <w:top w:type="dxa" w:w="60"/>
              <w:left w:type="dxa" w:w="110"/>
              <w:bottom w:type="dxa" w:w="60"/>
              <w:right w:type="dxa" w:w="110"/>
            </w:tcMar>
          </w:tcPr>
          <w:p>
            <w:pPr>
              <w:spacing w:after="0" w:line="240"/>
              <w:jc w:val="right"/>
            </w:pPr>
            <w:r>
              <w:rPr>
                <w:b/>
                <w:bCs/>
              </w:rPr>
              <w:t xml:space="preserve"/>
            </w:r>
          </w:p>
        </w:tc>
        <w:tc>
          <w:tcPr>
            <w:tcW w:type="dxa" w:w="2000"/>
            <w:shd w:fill="FFFFFF" w:val="clear"/>
            <w:tcMar>
              <w:top w:type="dxa" w:w="60"/>
              <w:left w:type="dxa" w:w="110"/>
              <w:bottom w:type="dxa" w:w="60"/>
              <w:right w:type="dxa" w:w="110"/>
            </w:tcMar>
          </w:tcPr>
          <w:p>
            <w:pPr>
              <w:spacing w:after="0" w:line="240"/>
              <w:jc w:val="right"/>
            </w:pPr>
            <w:r>
              <w:rPr>
                <w:b/>
                <w:bCs/>
              </w:rPr>
              <w:t xml:space="preserve"/>
            </w:r>
          </w:p>
        </w:tc>
        <w:tc>
          <w:tcPr>
            <w:tcW w:type="dxa" w:w="2000"/>
            <w:shd w:fill="FFFFFF" w:val="clear"/>
            <w:tcMar>
              <w:top w:type="dxa" w:w="60"/>
              <w:left w:type="dxa" w:w="110"/>
              <w:bottom w:type="dxa" w:w="60"/>
              <w:right w:type="dxa" w:w="110"/>
            </w:tcMar>
          </w:tcPr>
          <w:p>
            <w:pPr>
              <w:spacing w:after="0" w:line="240"/>
              <w:jc w:val="right"/>
            </w:pPr>
            <w:r>
              <w:rPr>
                <w:b/>
                <w:bCs/>
              </w:rPr>
              <w:t xml:space="preserve"/>
            </w:r>
          </w:p>
        </w:tc>
      </w:tr>
      <w:tr>
        <w:tc>
          <w:tcPr>
            <w:tcW w:type="dxa" w:w="3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Realised gold (US$/oz)</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4,700</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5,000</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5,400</w:t>
            </w:r>
          </w:p>
        </w:tc>
      </w:tr>
      <w:tr>
        <w:tc>
          <w:tcPr>
            <w:tcW w:type="dxa" w:w="33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AISC (US$/oz)</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1,800</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1,900</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2,050</w:t>
            </w:r>
          </w:p>
        </w:tc>
      </w:tr>
      <w:tr>
        <w:tc>
          <w:tcPr>
            <w:tcW w:type="dxa" w:w="3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Attributable production (Moz)</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2.55</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2.55</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2.52</w:t>
            </w:r>
          </w:p>
        </w:tc>
      </w:tr>
    </w:tbl>
    <w:p>
      <w:pPr>
        <w:spacing w:after="140" w:before="0" w:line="252"/>
      </w:pPr>
      <w:r>
        <w:rPr>
          <w:i/>
          <w:iCs/>
          <w:color w:val="595959"/>
          <w:sz w:val="17"/>
          <w:szCs w:val="17"/>
        </w:rPr>
        <w:t xml:space="preserve">All values analyst estimates (e). Anchored to: company 2026 guidance; gold forecasts from JPMorgan (YE US$6,000), BofA (US$6,000), Goldman (US$5,400) and World Bank (avg US$4,700); Brent/Hormuz scenarios from Citi (US$150), Macquarie (US$200) and the World Bank CMO (Apr 2026).</w:t>
      </w:r>
    </w:p>
    <w:p>
      <w:pPr>
        <w:pStyle w:val="Heading2"/>
        <w:spacing w:after="90" w:before="180"/>
      </w:pPr>
      <w:r>
        <w:rPr>
          <w:b/>
          <w:bCs/>
          <w:color w:val="1F3864"/>
          <w:sz w:val="23"/>
          <w:szCs w:val="23"/>
        </w:rPr>
        <w:t xml:space="preserve">Scenario financials (group, US$m unless noted, analyst estimates)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360"/>
        <w:gridCol w:w="2000"/>
        <w:gridCol w:w="2000"/>
        <w:gridCol w:w="2000"/>
      </w:tblGrid>
      <w:tr>
        <w:trPr>
          <w:tblHeader/>
        </w:trPr>
        <w:tc>
          <w:tcPr>
            <w:tcW w:type="dxa" w:w="3360"/>
            <w:shd w:fill="1F3864" w:val="clear"/>
            <w:tcMar>
              <w:top w:type="dxa" w:w="60"/>
              <w:left w:type="dxa" w:w="110"/>
              <w:bottom w:type="dxa" w:w="60"/>
              <w:right w:type="dxa" w:w="110"/>
            </w:tcMar>
          </w:tcPr>
          <w:p>
            <w:pPr>
              <w:spacing w:after="0" w:line="240"/>
              <w:jc w:val="left"/>
            </w:pPr>
            <w:r>
              <w:rPr>
                <w:b/>
                <w:bCs/>
                <w:color w:val="FFFFFF"/>
                <w:sz w:val="18"/>
                <w:szCs w:val="18"/>
              </w:rPr>
              <w:t xml:space="preserve">FY2026e</w:t>
            </w:r>
          </w:p>
        </w:tc>
        <w:tc>
          <w:tcPr>
            <w:tcW w:type="dxa" w:w="2000"/>
            <w:shd w:fill="1F3864" w:val="clear"/>
            <w:tcMar>
              <w:top w:type="dxa" w:w="60"/>
              <w:left w:type="dxa" w:w="110"/>
              <w:bottom w:type="dxa" w:w="60"/>
              <w:right w:type="dxa" w:w="110"/>
            </w:tcMar>
          </w:tcPr>
          <w:p>
            <w:pPr>
              <w:spacing w:after="0" w:line="240"/>
              <w:jc w:val="right"/>
            </w:pPr>
            <w:r>
              <w:rPr>
                <w:b/>
                <w:bCs/>
                <w:color w:val="FFFFFF"/>
                <w:sz w:val="18"/>
                <w:szCs w:val="18"/>
              </w:rPr>
              <w:t xml:space="preserve">Scenario A</w:t>
            </w:r>
          </w:p>
        </w:tc>
        <w:tc>
          <w:tcPr>
            <w:tcW w:type="dxa" w:w="2000"/>
            <w:shd w:fill="1F3864" w:val="clear"/>
            <w:tcMar>
              <w:top w:type="dxa" w:w="60"/>
              <w:left w:type="dxa" w:w="110"/>
              <w:bottom w:type="dxa" w:w="60"/>
              <w:right w:type="dxa" w:w="110"/>
            </w:tcMar>
          </w:tcPr>
          <w:p>
            <w:pPr>
              <w:spacing w:after="0" w:line="240"/>
              <w:jc w:val="right"/>
            </w:pPr>
            <w:r>
              <w:rPr>
                <w:b/>
                <w:bCs/>
                <w:color w:val="FFFFFF"/>
                <w:sz w:val="18"/>
                <w:szCs w:val="18"/>
              </w:rPr>
              <w:t xml:space="preserve">Base</w:t>
            </w:r>
          </w:p>
        </w:tc>
        <w:tc>
          <w:tcPr>
            <w:tcW w:type="dxa" w:w="2000"/>
            <w:shd w:fill="1F3864" w:val="clear"/>
            <w:tcMar>
              <w:top w:type="dxa" w:w="60"/>
              <w:left w:type="dxa" w:w="110"/>
              <w:bottom w:type="dxa" w:w="60"/>
              <w:right w:type="dxa" w:w="110"/>
            </w:tcMar>
          </w:tcPr>
          <w:p>
            <w:pPr>
              <w:spacing w:after="0" w:line="240"/>
              <w:jc w:val="right"/>
            </w:pPr>
            <w:r>
              <w:rPr>
                <w:b/>
                <w:bCs/>
                <w:color w:val="FFFFFF"/>
                <w:sz w:val="18"/>
                <w:szCs w:val="18"/>
              </w:rPr>
              <w:t xml:space="preserve">Scenario B</w:t>
            </w:r>
          </w:p>
        </w:tc>
      </w:tr>
      <w:tr>
        <w:tc>
          <w:tcPr>
            <w:tcW w:type="dxa" w:w="33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Revenue</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11,000</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11,250</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12,150</w:t>
            </w:r>
          </w:p>
        </w:tc>
      </w:tr>
      <w:tr>
        <w:tc>
          <w:tcPr>
            <w:tcW w:type="dxa" w:w="3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EBITDA (e)</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7,725</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7,850</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8,570</w:t>
            </w:r>
          </w:p>
        </w:tc>
      </w:tr>
      <w:tr>
        <w:tc>
          <w:tcPr>
            <w:tcW w:type="dxa" w:w="33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EBITDA margin</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70%</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70%</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71%</w:t>
            </w:r>
          </w:p>
        </w:tc>
      </w:tr>
      <w:tr>
        <w:tc>
          <w:tcPr>
            <w:tcW w:type="dxa" w:w="3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Post-tax all-in FCF proxy (e)</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3,940</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4,025</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4,515</w:t>
            </w:r>
          </w:p>
        </w:tc>
      </w:tr>
    </w:tbl>
    <w:p>
      <w:pPr>
        <w:spacing w:after="20" w:before="0" w:line="252"/>
      </w:pPr>
      <w:r>
        <w:rPr>
          <w:sz w:val="6"/>
          <w:szCs w:val="6"/>
        </w:rPr>
        <w:t xml:space="preserve"> </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360"/>
        <w:gridCol w:w="2000"/>
        <w:gridCol w:w="2000"/>
        <w:gridCol w:w="2000"/>
      </w:tblGrid>
      <w:tr>
        <w:trPr>
          <w:tblHeader/>
        </w:trPr>
        <w:tc>
          <w:tcPr>
            <w:tcW w:type="dxa" w:w="3360"/>
            <w:shd w:fill="1F3864" w:val="clear"/>
            <w:tcMar>
              <w:top w:type="dxa" w:w="60"/>
              <w:left w:type="dxa" w:w="110"/>
              <w:bottom w:type="dxa" w:w="60"/>
              <w:right w:type="dxa" w:w="110"/>
            </w:tcMar>
          </w:tcPr>
          <w:p>
            <w:pPr>
              <w:spacing w:after="0" w:line="240"/>
              <w:jc w:val="left"/>
            </w:pPr>
            <w:r>
              <w:rPr>
                <w:b/>
                <w:bCs/>
                <w:color w:val="FFFFFF"/>
                <w:sz w:val="18"/>
                <w:szCs w:val="18"/>
              </w:rPr>
              <w:t xml:space="preserve">FY2027e</w:t>
            </w:r>
          </w:p>
        </w:tc>
        <w:tc>
          <w:tcPr>
            <w:tcW w:type="dxa" w:w="2000"/>
            <w:shd w:fill="1F3864" w:val="clear"/>
            <w:tcMar>
              <w:top w:type="dxa" w:w="60"/>
              <w:left w:type="dxa" w:w="110"/>
              <w:bottom w:type="dxa" w:w="60"/>
              <w:right w:type="dxa" w:w="110"/>
            </w:tcMar>
          </w:tcPr>
          <w:p>
            <w:pPr>
              <w:spacing w:after="0" w:line="240"/>
              <w:jc w:val="right"/>
            </w:pPr>
            <w:r>
              <w:rPr>
                <w:b/>
                <w:bCs/>
                <w:color w:val="FFFFFF"/>
                <w:sz w:val="18"/>
                <w:szCs w:val="18"/>
              </w:rPr>
              <w:t xml:space="preserve">Scenario A</w:t>
            </w:r>
          </w:p>
        </w:tc>
        <w:tc>
          <w:tcPr>
            <w:tcW w:type="dxa" w:w="2000"/>
            <w:shd w:fill="1F3864" w:val="clear"/>
            <w:tcMar>
              <w:top w:type="dxa" w:w="60"/>
              <w:left w:type="dxa" w:w="110"/>
              <w:bottom w:type="dxa" w:w="60"/>
              <w:right w:type="dxa" w:w="110"/>
            </w:tcMar>
          </w:tcPr>
          <w:p>
            <w:pPr>
              <w:spacing w:after="0" w:line="240"/>
              <w:jc w:val="right"/>
            </w:pPr>
            <w:r>
              <w:rPr>
                <w:b/>
                <w:bCs/>
                <w:color w:val="FFFFFF"/>
                <w:sz w:val="18"/>
                <w:szCs w:val="18"/>
              </w:rPr>
              <w:t xml:space="preserve">Base</w:t>
            </w:r>
          </w:p>
        </w:tc>
        <w:tc>
          <w:tcPr>
            <w:tcW w:type="dxa" w:w="2000"/>
            <w:shd w:fill="1F3864" w:val="clear"/>
            <w:tcMar>
              <w:top w:type="dxa" w:w="60"/>
              <w:left w:type="dxa" w:w="110"/>
              <w:bottom w:type="dxa" w:w="60"/>
              <w:right w:type="dxa" w:w="110"/>
            </w:tcMar>
          </w:tcPr>
          <w:p>
            <w:pPr>
              <w:spacing w:after="0" w:line="240"/>
              <w:jc w:val="right"/>
            </w:pPr>
            <w:r>
              <w:rPr>
                <w:b/>
                <w:bCs/>
                <w:color w:val="FFFFFF"/>
                <w:sz w:val="18"/>
                <w:szCs w:val="18"/>
              </w:rPr>
              <w:t xml:space="preserve">Scenario B</w:t>
            </w:r>
          </w:p>
        </w:tc>
      </w:tr>
      <w:tr>
        <w:tc>
          <w:tcPr>
            <w:tcW w:type="dxa" w:w="33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Revenue</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11,985</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12,750</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13,610</w:t>
            </w:r>
          </w:p>
        </w:tc>
      </w:tr>
      <w:tr>
        <w:tc>
          <w:tcPr>
            <w:tcW w:type="dxa" w:w="3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EBITDA (e)</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8,695</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9,205</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9,770</w:t>
            </w:r>
          </w:p>
        </w:tc>
      </w:tr>
      <w:tr>
        <w:tc>
          <w:tcPr>
            <w:tcW w:type="dxa" w:w="33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EBITDA margin</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73%</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72%</w:t>
            </w:r>
          </w:p>
        </w:tc>
        <w:tc>
          <w:tcPr>
            <w:tcW w:type="dxa" w:w="2000"/>
            <w:shd w:fill="FFFFFF" w:val="clear"/>
            <w:tcMar>
              <w:top w:type="dxa" w:w="60"/>
              <w:left w:type="dxa" w:w="110"/>
              <w:bottom w:type="dxa" w:w="60"/>
              <w:right w:type="dxa" w:w="110"/>
            </w:tcMar>
          </w:tcPr>
          <w:p>
            <w:pPr>
              <w:spacing w:after="0" w:line="240"/>
              <w:jc w:val="right"/>
            </w:pPr>
            <w:r>
              <w:rPr>
                <w:b w:val="false"/>
                <w:bCs w:val="false"/>
                <w:color w:val="000000"/>
                <w:sz w:val="18"/>
                <w:szCs w:val="18"/>
              </w:rPr>
              <w:t xml:space="preserve">72%</w:t>
            </w:r>
          </w:p>
        </w:tc>
      </w:tr>
      <w:tr>
        <w:tc>
          <w:tcPr>
            <w:tcW w:type="dxa" w:w="3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Post-tax all-in FCF proxy (e)</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4,730</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5,090</w:t>
            </w:r>
          </w:p>
        </w:tc>
        <w:tc>
          <w:tcPr>
            <w:tcW w:type="dxa" w:w="2000"/>
            <w:shd w:fill="F4F8FC" w:val="clear"/>
            <w:tcMar>
              <w:top w:type="dxa" w:w="60"/>
              <w:left w:type="dxa" w:w="110"/>
              <w:bottom w:type="dxa" w:w="60"/>
              <w:right w:type="dxa" w:w="110"/>
            </w:tcMar>
          </w:tcPr>
          <w:p>
            <w:pPr>
              <w:spacing w:after="0" w:line="240"/>
              <w:jc w:val="right"/>
            </w:pPr>
            <w:r>
              <w:rPr>
                <w:b w:val="false"/>
                <w:bCs w:val="false"/>
                <w:color w:val="000000"/>
                <w:sz w:val="18"/>
                <w:szCs w:val="18"/>
              </w:rPr>
              <w:t xml:space="preserve">5,380</w:t>
            </w:r>
          </w:p>
        </w:tc>
      </w:tr>
    </w:tbl>
    <w:p>
      <w:pPr>
        <w:spacing w:after="140" w:before="0" w:line="252"/>
      </w:pPr>
      <w:r>
        <w:rPr>
          <w:i/>
          <w:iCs/>
          <w:color w:val="595959"/>
          <w:sz w:val="17"/>
          <w:szCs w:val="17"/>
        </w:rPr>
        <w:t xml:space="preserve">EBITDA (e) = (realised price − AISC) × production + sustaining capex. FCF proxy (e) = (realised price − AIC) × production × (1 − cash tax); it runs conservative vs reported ‘adjusted FCF’. Estimates (e); see Excel model.</w:t>
      </w:r>
    </w:p>
    <w:p>
      <w:pPr>
        <w:spacing w:after="120" w:before="0" w:line="252"/>
      </w:pPr>
      <w:r>
        <w:rPr>
          <w:b/>
          <w:bCs/>
        </w:rPr>
        <w:t xml:space="preserve">Reading the cases.  </w:t>
      </w:r>
      <w:r>
        <w:t xml:space="preserve">In all three, EBITDA is materially above FY2025’s US$5.6bn — gold this far above the 2025 realised price overwhelms the cost step-up. Scenario B prints the highest EBITDA because the gold-price gain (≈+US$400–500/oz vs Base) more than offsets a ≈US$100–150/oz higher AISC. Scenario A is barely lower than Base and arguably the better risk-adjusted outcome (lower costs, lower volatility, a clearer path to a re-rating as cost fears ease). The dispersion between A and B at the EBITDA line is only ~10% — far narrower than the bull/bear gulf for an industrial miner — because gold cushions both states of the world.</w:t>
      </w:r>
    </w:p>
    <w:p>
      <w:r>
        <w:br w:type="page"/>
      </w:r>
    </w:p>
    <w:p>
      <w:pPr>
        <w:pStyle w:val="Heading1"/>
        <w:pBdr>
          <w:bottom w:val="single" w:color="1F3864" w:sz="8" w:space="3"/>
        </w:pBdr>
        <w:spacing w:after="140" w:before="280"/>
      </w:pPr>
      <w:r>
        <w:rPr>
          <w:b/>
          <w:bCs/>
          <w:color w:val="1F3864"/>
          <w:sz w:val="26"/>
          <w:szCs w:val="26"/>
        </w:rPr>
        <w:t xml:space="preserve">4.  Risks identified by management</w:t>
      </w:r>
    </w:p>
    <w:p>
      <w:pPr>
        <w:spacing w:after="120" w:before="0" w:line="252"/>
      </w:pPr>
      <w:r>
        <w:t xml:space="preserve">The items below are management’s own disclosed risk priorities, drawn from the FY2025 results commentary, the CEO statement, the Group’s risk-and-materiality disclosures and the operational updates. </w:t>
      </w:r>
      <w:r>
        <w:rPr>
          <w:b/>
          <w:bCs/>
          <w:color w:val="9C6500"/>
        </w:rPr>
        <w:t xml:space="preserve">Sourcing caveat:</w:t>
      </w:r>
      <w:r>
        <w:t xml:space="preserve"> the 2025 Integrated Annual Report and its formal enterprise-risk register were not machine-readable in preparation; the verbatim ranking/weighting of the 2025 register should be confirmed against the IAR PDF. The framing here reflects how management has publicly prioritised its risks.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6360"/>
      </w:tblGrid>
      <w:tr>
        <w:trPr>
          <w:tblHeader/>
        </w:trPr>
        <w:tc>
          <w:tcPr>
            <w:tcW w:type="dxa" w:w="3000"/>
            <w:shd w:fill="1F3864" w:val="clear"/>
            <w:tcMar>
              <w:top w:type="dxa" w:w="60"/>
              <w:left w:type="dxa" w:w="110"/>
              <w:bottom w:type="dxa" w:w="60"/>
              <w:right w:type="dxa" w:w="110"/>
            </w:tcMar>
          </w:tcPr>
          <w:p>
            <w:pPr>
              <w:spacing w:after="0" w:line="240"/>
              <w:jc w:val="left"/>
            </w:pPr>
            <w:r>
              <w:rPr>
                <w:b/>
                <w:bCs/>
                <w:color w:val="FFFFFF"/>
                <w:sz w:val="18"/>
                <w:szCs w:val="18"/>
              </w:rPr>
              <w:t xml:space="preserve">Risk (management framing)</w:t>
            </w:r>
          </w:p>
        </w:tc>
        <w:tc>
          <w:tcPr>
            <w:tcW w:type="dxa" w:w="6360"/>
            <w:shd w:fill="1F3864" w:val="clear"/>
            <w:tcMar>
              <w:top w:type="dxa" w:w="60"/>
              <w:left w:type="dxa" w:w="110"/>
              <w:bottom w:type="dxa" w:w="60"/>
              <w:right w:type="dxa" w:w="110"/>
            </w:tcMar>
          </w:tcPr>
          <w:p>
            <w:pPr>
              <w:spacing w:after="0" w:line="240"/>
              <w:jc w:val="left"/>
            </w:pPr>
            <w:r>
              <w:rPr>
                <w:b/>
                <w:bCs/>
                <w:color w:val="FFFFFF"/>
                <w:sz w:val="18"/>
                <w:szCs w:val="18"/>
              </w:rPr>
              <w:t xml:space="preserve">Status / commentary</w:t>
            </w:r>
          </w:p>
        </w:tc>
      </w:tr>
      <w:tr>
        <w:tc>
          <w:tcPr>
            <w:tcW w:type="dxa" w:w="3000"/>
            <w:shd w:fill="FFFFFF" w:val="clear"/>
            <w:tcMar>
              <w:top w:type="dxa" w:w="60"/>
              <w:left w:type="dxa" w:w="110"/>
              <w:bottom w:type="dxa" w:w="60"/>
              <w:right w:type="dxa" w:w="110"/>
            </w:tcMar>
          </w:tcPr>
          <w:p>
            <w:pPr>
              <w:spacing w:after="0" w:line="240"/>
              <w:jc w:val="left"/>
            </w:pPr>
            <w:r>
              <w:rPr>
                <w:b/>
                <w:bCs/>
              </w:rPr>
              <w:t xml:space="preserve">Safety — fatalities &amp; serious injury</w:t>
            </w:r>
          </w:p>
        </w:tc>
        <w:tc>
          <w:tcPr>
            <w:tcW w:type="dxa" w:w="63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Stated top priority. After two fatalities in H1 2024, a multi-year Safety Improvement Roadmap delivered zero fatalities and six consecutive fatality-free quarters in FY2025. Treated as a persistent catastrophic risk.</w:t>
            </w:r>
          </w:p>
        </w:tc>
      </w:tr>
      <w:tr>
        <w:tc>
          <w:tcPr>
            <w:tcW w:type="dxa" w:w="3000"/>
            <w:shd w:fill="F4F8FC" w:val="clear"/>
            <w:tcMar>
              <w:top w:type="dxa" w:w="60"/>
              <w:left w:type="dxa" w:w="110"/>
              <w:bottom w:type="dxa" w:w="60"/>
              <w:right w:type="dxa" w:w="110"/>
            </w:tcMar>
          </w:tcPr>
          <w:p>
            <w:pPr>
              <w:spacing w:after="0" w:line="240"/>
              <w:jc w:val="left"/>
            </w:pPr>
            <w:r>
              <w:rPr>
                <w:b/>
                <w:bCs/>
              </w:rPr>
              <w:t xml:space="preserve">Gold price volatility</w:t>
            </w:r>
          </w:p>
        </w:tc>
        <w:tc>
          <w:tcPr>
            <w:tcW w:type="dxa" w:w="6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Explicitly a key external risk: revenue and FCF are highly leveraged to the US$ gold price; higher prices also inflate royalties and input costs.</w:t>
            </w:r>
          </w:p>
        </w:tc>
      </w:tr>
      <w:tr>
        <w:tc>
          <w:tcPr>
            <w:tcW w:type="dxa" w:w="3000"/>
            <w:shd w:fill="FFFFFF" w:val="clear"/>
            <w:tcMar>
              <w:top w:type="dxa" w:w="60"/>
              <w:left w:type="dxa" w:w="110"/>
              <w:bottom w:type="dxa" w:w="60"/>
              <w:right w:type="dxa" w:w="110"/>
            </w:tcMar>
          </w:tcPr>
          <w:p>
            <w:pPr>
              <w:spacing w:after="0" w:line="240"/>
              <w:jc w:val="left"/>
            </w:pPr>
            <w:r>
              <w:rPr>
                <w:b/>
                <w:bCs/>
              </w:rPr>
              <w:t xml:space="preserve">Project execution / capital discipline</w:t>
            </w:r>
          </w:p>
        </w:tc>
        <w:tc>
          <w:tcPr>
            <w:tcW w:type="dxa" w:w="63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Two near-term execution risks dominate: sustaining the Salares Norte ramp (now largely de-risked) and the Windfall permitting/FID/build. Capital discipline at the Windfall decision is flagged.</w:t>
            </w:r>
          </w:p>
        </w:tc>
      </w:tr>
      <w:tr>
        <w:tc>
          <w:tcPr>
            <w:tcW w:type="dxa" w:w="3000"/>
            <w:shd w:fill="F4F8FC" w:val="clear"/>
            <w:tcMar>
              <w:top w:type="dxa" w:w="60"/>
              <w:left w:type="dxa" w:w="110"/>
              <w:bottom w:type="dxa" w:w="60"/>
              <w:right w:type="dxa" w:w="110"/>
            </w:tcMar>
          </w:tcPr>
          <w:p>
            <w:pPr>
              <w:spacing w:after="0" w:line="240"/>
              <w:jc w:val="left"/>
            </w:pPr>
            <w:r>
              <w:rPr>
                <w:b/>
                <w:bCs/>
              </w:rPr>
              <w:t xml:space="preserve">Jurisdictional — Ghana</w:t>
            </w:r>
          </w:p>
        </w:tc>
        <w:tc>
          <w:tcPr>
            <w:tcW w:type="dxa" w:w="6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Tarkwa lease renewal (expires April 2027) under a new royalty/local-participation regime; Damang already handed back (April 2026); Tarkwa–Iduapriem JV with AngloGold paused. The clearest policy risk.</w:t>
            </w:r>
          </w:p>
        </w:tc>
      </w:tr>
      <w:tr>
        <w:tc>
          <w:tcPr>
            <w:tcW w:type="dxa" w:w="3000"/>
            <w:shd w:fill="FFFFFF" w:val="clear"/>
            <w:tcMar>
              <w:top w:type="dxa" w:w="60"/>
              <w:left w:type="dxa" w:w="110"/>
              <w:bottom w:type="dxa" w:w="60"/>
              <w:right w:type="dxa" w:w="110"/>
            </w:tcMar>
          </w:tcPr>
          <w:p>
            <w:pPr>
              <w:spacing w:after="0" w:line="240"/>
              <w:jc w:val="left"/>
            </w:pPr>
            <w:r>
              <w:rPr>
                <w:b/>
                <w:bCs/>
              </w:rPr>
              <w:t xml:space="preserve">Jurisdictional — Chile / Peru / Canada</w:t>
            </w:r>
          </w:p>
        </w:tc>
        <w:tc>
          <w:tcPr>
            <w:tcW w:type="dxa" w:w="63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Chile: Salares Norte environmental scrutiny (chinchilla habitat, altitude). Peru: Cerro Corona closure phase. Canada: Windfall permitting and First-Nations agreement.</w:t>
            </w:r>
          </w:p>
        </w:tc>
      </w:tr>
      <w:tr>
        <w:tc>
          <w:tcPr>
            <w:tcW w:type="dxa" w:w="3000"/>
            <w:shd w:fill="F4F8FC" w:val="clear"/>
            <w:tcMar>
              <w:top w:type="dxa" w:w="60"/>
              <w:left w:type="dxa" w:w="110"/>
              <w:bottom w:type="dxa" w:w="60"/>
              <w:right w:type="dxa" w:w="110"/>
            </w:tcMar>
          </w:tcPr>
          <w:p>
            <w:pPr>
              <w:spacing w:after="0" w:line="240"/>
              <w:jc w:val="left"/>
            </w:pPr>
            <w:r>
              <w:rPr>
                <w:b/>
                <w:bCs/>
              </w:rPr>
              <w:t xml:space="preserve">Cost &amp; input inflation</w:t>
            </w:r>
          </w:p>
        </w:tc>
        <w:tc>
          <w:tcPr>
            <w:tcW w:type="dxa" w:w="6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Stronger AUD/ZAR producer currencies, higher royalties and rising sustaining capex — the explicit driver of the 2026 AISC/AIC guidance step-up.</w:t>
            </w:r>
          </w:p>
        </w:tc>
      </w:tr>
      <w:tr>
        <w:tc>
          <w:tcPr>
            <w:tcW w:type="dxa" w:w="3000"/>
            <w:shd w:fill="FFFFFF" w:val="clear"/>
            <w:tcMar>
              <w:top w:type="dxa" w:w="60"/>
              <w:left w:type="dxa" w:w="110"/>
              <w:bottom w:type="dxa" w:w="60"/>
              <w:right w:type="dxa" w:w="110"/>
            </w:tcMar>
          </w:tcPr>
          <w:p>
            <w:pPr>
              <w:spacing w:after="0" w:line="240"/>
              <w:jc w:val="left"/>
            </w:pPr>
            <w:r>
              <w:rPr>
                <w:b/>
                <w:bCs/>
              </w:rPr>
              <w:t xml:space="preserve">Operational concentration (Australia)</w:t>
            </w:r>
          </w:p>
        </w:tc>
        <w:tc>
          <w:tcPr>
            <w:tcW w:type="dxa" w:w="63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~half of group output; Gruyere ground-instability/weather and Agnew seismic events disrupted Q4 2025–Q1 2026.</w:t>
            </w:r>
          </w:p>
        </w:tc>
      </w:tr>
      <w:tr>
        <w:tc>
          <w:tcPr>
            <w:tcW w:type="dxa" w:w="3000"/>
            <w:shd w:fill="F4F8FC" w:val="clear"/>
            <w:tcMar>
              <w:top w:type="dxa" w:w="60"/>
              <w:left w:type="dxa" w:w="110"/>
              <w:bottom w:type="dxa" w:w="60"/>
              <w:right w:type="dxa" w:w="110"/>
            </w:tcMar>
          </w:tcPr>
          <w:p>
            <w:pPr>
              <w:spacing w:after="0" w:line="240"/>
              <w:jc w:val="left"/>
            </w:pPr>
            <w:r>
              <w:rPr>
                <w:b/>
                <w:bCs/>
              </w:rPr>
              <w:t xml:space="preserve">Water, climate &amp; decarbonisation</w:t>
            </w:r>
          </w:p>
        </w:tc>
        <w:tc>
          <w:tcPr>
            <w:tcW w:type="dxa" w:w="63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Water stewardship ranked a top material issue; St Ives renewable microgrid commissioning H1 2026; 2030 targets under review/extension. Tailings (GISTM) compliance ongoing.</w:t>
            </w:r>
          </w:p>
        </w:tc>
      </w:tr>
      <w:tr>
        <w:tc>
          <w:tcPr>
            <w:tcW w:type="dxa" w:w="3000"/>
            <w:shd w:fill="FFFFFF" w:val="clear"/>
            <w:tcMar>
              <w:top w:type="dxa" w:w="60"/>
              <w:left w:type="dxa" w:w="110"/>
              <w:bottom w:type="dxa" w:w="60"/>
              <w:right w:type="dxa" w:w="110"/>
            </w:tcMar>
          </w:tcPr>
          <w:p>
            <w:pPr>
              <w:spacing w:after="0" w:line="240"/>
              <w:jc w:val="left"/>
            </w:pPr>
            <w:r>
              <w:rPr>
                <w:b/>
                <w:bCs/>
              </w:rPr>
              <w:t xml:space="preserve">Talent / skills retention</w:t>
            </w:r>
          </w:p>
        </w:tc>
        <w:tc>
          <w:tcPr>
            <w:tcW w:type="dxa" w:w="63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Cited explicitly at Gruyere (workforce turnover → downtime); a systemic risk at remote Australian sites. Cyber and licence-to-operate/community round out the register.</w:t>
            </w:r>
          </w:p>
        </w:tc>
      </w:tr>
    </w:tbl>
    <w:p>
      <w:pPr>
        <w:pStyle w:val="Heading1"/>
        <w:pBdr>
          <w:bottom w:val="single" w:color="1F3864" w:sz="8" w:space="3"/>
        </w:pBdr>
        <w:spacing w:after="140" w:before="280"/>
      </w:pPr>
      <w:r>
        <w:rPr>
          <w:b/>
          <w:bCs/>
          <w:color w:val="1F3864"/>
          <w:sz w:val="26"/>
          <w:szCs w:val="26"/>
        </w:rPr>
        <w:t xml:space="preserve">5.  Management’s incentives</w:t>
      </w:r>
    </w:p>
    <w:p>
      <w:pPr>
        <w:spacing w:after="120" w:before="0" w:line="252"/>
      </w:pPr>
      <w:r>
        <w:t xml:space="preserve">CEO </w:t>
      </w:r>
      <w:r>
        <w:rPr>
          <w:b/>
          <w:bCs/>
        </w:rPr>
        <w:t xml:space="preserve">Mike Fraser</w:t>
      </w:r>
      <w:r>
        <w:t xml:space="preserve"> (since January 2024) and CFO </w:t>
      </w:r>
      <w:r>
        <w:rPr>
          <w:b/>
          <w:bCs/>
        </w:rPr>
        <w:t xml:space="preserve">Alex Dall</w:t>
      </w:r>
      <w:r>
        <w:t xml:space="preserve"> (permanent from March 2025) lead the executive; Yunus Suleman retired as chair at the May-2026 AGM, succeeded by John MacKenzie. Incentive design tells you what management is steered to optimise — and therefore what the next 12–18 months will be managed for. </w:t>
      </w:r>
      <w:r>
        <w:rPr>
          <w:b/>
          <w:bCs/>
          <w:color w:val="9C6500"/>
        </w:rPr>
        <w:t xml:space="preserve">Sourcing caveat:</w:t>
      </w:r>
      <w:r>
        <w:t xml:space="preserve"> the 2025 Governance &amp; Remuneration Report PDF was not machine-readable; the structure below reflects Gold Fields’ established framework and prior reports, and exact 2025 metric weightings should be confirmed against the GRR.</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400"/>
        <w:gridCol w:w="3760"/>
        <w:gridCol w:w="3200"/>
      </w:tblGrid>
      <w:tr>
        <w:trPr>
          <w:tblHeader/>
        </w:trPr>
        <w:tc>
          <w:tcPr>
            <w:tcW w:type="dxa" w:w="2400"/>
            <w:shd w:fill="1F3864" w:val="clear"/>
            <w:tcMar>
              <w:top w:type="dxa" w:w="60"/>
              <w:left w:type="dxa" w:w="110"/>
              <w:bottom w:type="dxa" w:w="60"/>
              <w:right w:type="dxa" w:w="110"/>
            </w:tcMar>
          </w:tcPr>
          <w:p>
            <w:pPr>
              <w:spacing w:after="0" w:line="240"/>
              <w:jc w:val="left"/>
            </w:pPr>
            <w:r>
              <w:rPr>
                <w:b/>
                <w:bCs/>
                <w:color w:val="FFFFFF"/>
                <w:sz w:val="18"/>
                <w:szCs w:val="18"/>
              </w:rPr>
              <w:t xml:space="preserve">Element</w:t>
            </w:r>
          </w:p>
        </w:tc>
        <w:tc>
          <w:tcPr>
            <w:tcW w:type="dxa" w:w="3760"/>
            <w:shd w:fill="1F3864" w:val="clear"/>
            <w:tcMar>
              <w:top w:type="dxa" w:w="60"/>
              <w:left w:type="dxa" w:w="110"/>
              <w:bottom w:type="dxa" w:w="60"/>
              <w:right w:type="dxa" w:w="110"/>
            </w:tcMar>
          </w:tcPr>
          <w:p>
            <w:pPr>
              <w:spacing w:after="0" w:line="240"/>
              <w:jc w:val="left"/>
            </w:pPr>
            <w:r>
              <w:rPr>
                <w:b/>
                <w:bCs/>
                <w:color w:val="FFFFFF"/>
                <w:sz w:val="18"/>
                <w:szCs w:val="18"/>
              </w:rPr>
              <w:t xml:space="preserve">Measures (design)</w:t>
            </w:r>
          </w:p>
        </w:tc>
        <w:tc>
          <w:tcPr>
            <w:tcW w:type="dxa" w:w="3200"/>
            <w:shd w:fill="1F3864" w:val="clear"/>
            <w:tcMar>
              <w:top w:type="dxa" w:w="60"/>
              <w:left w:type="dxa" w:w="110"/>
              <w:bottom w:type="dxa" w:w="60"/>
              <w:right w:type="dxa" w:w="110"/>
            </w:tcMar>
          </w:tcPr>
          <w:p>
            <w:pPr>
              <w:spacing w:after="0" w:line="240"/>
              <w:jc w:val="left"/>
            </w:pPr>
            <w:r>
              <w:rPr>
                <w:b/>
                <w:bCs/>
                <w:color w:val="FFFFFF"/>
                <w:sz w:val="18"/>
                <w:szCs w:val="18"/>
              </w:rPr>
              <w:t xml:space="preserve">What it steers management to do</w:t>
            </w:r>
          </w:p>
        </w:tc>
      </w:tr>
      <w:tr>
        <w:tc>
          <w:tcPr>
            <w:tcW w:type="dxa" w:w="2400"/>
            <w:shd w:fill="FFFFFF" w:val="clear"/>
            <w:tcMar>
              <w:top w:type="dxa" w:w="60"/>
              <w:left w:type="dxa" w:w="110"/>
              <w:bottom w:type="dxa" w:w="60"/>
              <w:right w:type="dxa" w:w="110"/>
            </w:tcMar>
          </w:tcPr>
          <w:p>
            <w:pPr>
              <w:spacing w:after="0" w:line="240"/>
              <w:jc w:val="left"/>
            </w:pPr>
            <w:r>
              <w:rPr>
                <w:b/>
                <w:bCs/>
              </w:rPr>
              <w:t xml:space="preserve">Short-term incentive (annual cash)</w:t>
            </w:r>
          </w:p>
        </w:tc>
        <w:tc>
          <w:tcPr>
            <w:tcW w:type="dxa" w:w="37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Balanced scorecard: safety (high weight / gate), production vs guidance, AISC/cost, free cash flow, ESG (decarbonisation, water, tailings, diversity), and strategic milestones (Salares Norte run-rate, Windfall FID).</w:t>
            </w:r>
          </w:p>
        </w:tc>
        <w:tc>
          <w:tcPr>
            <w:tcW w:type="dxa" w:w="320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Operate safely, hit production and cost guidance, convert to cash, advance the two growth projects on plan.</w:t>
            </w:r>
          </w:p>
        </w:tc>
      </w:tr>
      <w:tr>
        <w:tc>
          <w:tcPr>
            <w:tcW w:type="dxa" w:w="2400"/>
            <w:shd w:fill="F4F8FC" w:val="clear"/>
            <w:tcMar>
              <w:top w:type="dxa" w:w="60"/>
              <w:left w:type="dxa" w:w="110"/>
              <w:bottom w:type="dxa" w:w="60"/>
              <w:right w:type="dxa" w:w="110"/>
            </w:tcMar>
          </w:tcPr>
          <w:p>
            <w:pPr>
              <w:spacing w:after="0" w:line="240"/>
              <w:jc w:val="left"/>
            </w:pPr>
            <w:r>
              <w:rPr>
                <w:b/>
                <w:bCs/>
              </w:rPr>
              <w:t xml:space="preserve">Long-term incentive (3-yr Performance Share Rights)</w:t>
            </w:r>
          </w:p>
        </w:tc>
        <w:tc>
          <w:tcPr>
            <w:tcW w:type="dxa" w:w="376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Relative TSR vs an international gold-peer basket (historically Barrick, Newmont, AngloGold, Agnico, Kinross, Northern Star, Evolution), plus free-cash-flow / return measures and ESG/decarbonisation conditions; three-year cliff vest.</w:t>
            </w:r>
          </w:p>
        </w:tc>
        <w:tc>
          <w:tcPr>
            <w:tcW w:type="dxa" w:w="320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Out-perform gold peers — not merely ride the gold price — and grow per-share value and FCF. Discourages value-destructive, scale-for-its-own-sake M&amp;A.</w:t>
            </w:r>
          </w:p>
        </w:tc>
      </w:tr>
      <w:tr>
        <w:tc>
          <w:tcPr>
            <w:tcW w:type="dxa" w:w="2400"/>
            <w:shd w:fill="FFFFFF" w:val="clear"/>
            <w:tcMar>
              <w:top w:type="dxa" w:w="60"/>
              <w:left w:type="dxa" w:w="110"/>
              <w:bottom w:type="dxa" w:w="60"/>
              <w:right w:type="dxa" w:w="110"/>
            </w:tcMar>
          </w:tcPr>
          <w:p>
            <w:pPr>
              <w:spacing w:after="0" w:line="240"/>
              <w:jc w:val="left"/>
            </w:pPr>
            <w:r>
              <w:rPr>
                <w:b/>
                <w:bCs/>
              </w:rPr>
              <w:t xml:space="preserve">Capital-returns policy</w:t>
            </w:r>
          </w:p>
        </w:tc>
        <w:tc>
          <w:tcPr>
            <w:tcW w:type="dxa" w:w="376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35% of normalised FCF as ordinary dividend (min US$0.50/share) + up to US$500m specials/buybacks over 24 months.</w:t>
            </w:r>
          </w:p>
        </w:tc>
        <w:tc>
          <w:tcPr>
            <w:tcW w:type="dxa" w:w="320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Prioritise shareholder returns and capital discipline over empire-building.</w:t>
            </w:r>
          </w:p>
        </w:tc>
      </w:tr>
    </w:tbl>
    <w:p>
      <w:pPr>
        <w:spacing w:after="120" w:before="0" w:line="252"/>
      </w:pPr>
      <w:r>
        <w:rPr>
          <w:b/>
          <w:bCs/>
        </w:rPr>
        <w:t xml:space="preserve">Read-through to the outlook.  </w:t>
      </w:r>
      <w:r>
        <w:t xml:space="preserve">The mix is well-aligned with shareholders. The relative-TSR LTI is the key tell: in a rising-gold tide that lifts all miners, Gold Fields management is paid for beating peers, which rewards delivery (Salares Norte, Windfall, AISC control) over gold-price luck. The one tension — a production-linked STI line could, at the margin, tempt volume-chasing — is counterbalanced by the FCF and cost weightings and the new returns policy. Expect management to defend the dividend/returns framework, prosecute the Windfall FID on disciplined terms, and protect AISC against the 2026 cost step-up.</w:t>
      </w:r>
    </w:p>
    <w:p>
      <w:r>
        <w:br w:type="page"/>
      </w:r>
    </w:p>
    <w:p>
      <w:pPr>
        <w:pStyle w:val="Heading1"/>
        <w:pBdr>
          <w:bottom w:val="single" w:color="1F3864" w:sz="8" w:space="3"/>
        </w:pBdr>
        <w:spacing w:after="140" w:before="280"/>
      </w:pPr>
      <w:r>
        <w:rPr>
          <w:b/>
          <w:bCs/>
          <w:color w:val="1F3864"/>
          <w:sz w:val="26"/>
          <w:szCs w:val="26"/>
        </w:rPr>
        <w:t xml:space="preserve">6.  The Strait of Hormuz: Scenario A vs Scenario B</w:t>
      </w:r>
    </w:p>
    <w:p>
      <w:pPr>
        <w:spacing w:after="120" w:before="0" w:line="252"/>
      </w:pPr>
      <w:r>
        <w:rPr>
          <w:b/>
          <w:bCs/>
        </w:rPr>
        <w:t xml:space="preserve">Context (mid-June 2026).  </w:t>
      </w:r>
      <w:r>
        <w:t xml:space="preserve">The 2026 Iran war began on 28 February; Iran has disrupted/closed the Strait of Hormuz (≈20% of seaborne oil) more than once. Brent ran from ~US$73 pre-war to a ~US$120+ peak (intraday ~US$126 on 30 April), easing to ~US$79–82 by 17 June on a fragile, repeatedly-violated ceasefire. A US–Iran memorandum of understanding was announced on 14 June, with signing set for 19 June in Geneva — but the Strait is not yet reliably reopened and a tolling dispute is live. Gold hit an all-time ~US$5,589/oz in late January (a pre-war, central-bank/debasement-driven peak), sold off to ~US$4,170 by June as energy-inflation turned the Fed hawkish, and trades ~US$4,340 today.</w:t>
      </w:r>
    </w:p>
    <w:p>
      <w:pPr>
        <w:spacing w:after="120" w:before="0" w:line="252"/>
      </w:pPr>
      <w:r>
        <w:rPr>
          <w:b/>
          <w:bCs/>
        </w:rPr>
        <w:t xml:space="preserve">Why a gold miner is the mirror image of an industrial miner.  </w:t>
      </w:r>
      <w:r>
        <w:t xml:space="preserve">For copper/iron-ore names, an oil shock plus growth fear is the bear case. For gold, the same backdrop is broadly supportive: gold is the safe-haven, the inflation hedge and the debasement trade. The transmission, though, is genuinely two-sided — and the second channel is what makes Scenario B volatile rather than a clean win.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900"/>
        <w:gridCol w:w="3430"/>
        <w:gridCol w:w="4030"/>
      </w:tblGrid>
      <w:tr>
        <w:trPr>
          <w:tblHeader/>
        </w:trPr>
        <w:tc>
          <w:tcPr>
            <w:tcW w:type="dxa" w:w="1900"/>
            <w:shd w:fill="1F3864" w:val="clear"/>
            <w:tcMar>
              <w:top w:type="dxa" w:w="60"/>
              <w:left w:type="dxa" w:w="110"/>
              <w:bottom w:type="dxa" w:w="60"/>
              <w:right w:type="dxa" w:w="110"/>
            </w:tcMar>
          </w:tcPr>
          <w:p>
            <w:pPr>
              <w:spacing w:after="0" w:line="240"/>
              <w:jc w:val="left"/>
            </w:pPr>
            <w:r>
              <w:rPr>
                <w:b/>
                <w:bCs/>
                <w:color w:val="FFFFFF"/>
                <w:sz w:val="18"/>
                <w:szCs w:val="18"/>
              </w:rPr>
              <w:t xml:space="preserve">Channel</w:t>
            </w:r>
          </w:p>
        </w:tc>
        <w:tc>
          <w:tcPr>
            <w:tcW w:type="dxa" w:w="3430"/>
            <w:shd w:fill="1F3864" w:val="clear"/>
            <w:tcMar>
              <w:top w:type="dxa" w:w="60"/>
              <w:left w:type="dxa" w:w="110"/>
              <w:bottom w:type="dxa" w:w="60"/>
              <w:right w:type="dxa" w:w="110"/>
            </w:tcMar>
          </w:tcPr>
          <w:p>
            <w:pPr>
              <w:spacing w:after="0" w:line="240"/>
              <w:jc w:val="left"/>
            </w:pPr>
            <w:r>
              <w:rPr>
                <w:b/>
                <w:bCs/>
                <w:color w:val="FFFFFF"/>
                <w:sz w:val="18"/>
                <w:szCs w:val="18"/>
              </w:rPr>
              <w:t xml:space="preserve">Mechanism</w:t>
            </w:r>
          </w:p>
        </w:tc>
        <w:tc>
          <w:tcPr>
            <w:tcW w:type="dxa" w:w="4030"/>
            <w:shd w:fill="1F3864" w:val="clear"/>
            <w:tcMar>
              <w:top w:type="dxa" w:w="60"/>
              <w:left w:type="dxa" w:w="110"/>
              <w:bottom w:type="dxa" w:w="60"/>
              <w:right w:type="dxa" w:w="110"/>
            </w:tcMar>
          </w:tcPr>
          <w:p>
            <w:pPr>
              <w:spacing w:after="0" w:line="240"/>
              <w:jc w:val="left"/>
            </w:pPr>
            <w:r>
              <w:rPr>
                <w:b/>
                <w:bCs/>
                <w:color w:val="FFFFFF"/>
                <w:sz w:val="18"/>
                <w:szCs w:val="18"/>
              </w:rPr>
              <w:t xml:space="preserve">Read for Gold Fields</w:t>
            </w:r>
          </w:p>
        </w:tc>
      </w:tr>
      <w:tr>
        <w:tc>
          <w:tcPr>
            <w:tcW w:type="dxa" w:w="1900"/>
            <w:shd w:fill="FFFFFF" w:val="clear"/>
            <w:tcMar>
              <w:top w:type="dxa" w:w="60"/>
              <w:left w:type="dxa" w:w="110"/>
              <w:bottom w:type="dxa" w:w="60"/>
              <w:right w:type="dxa" w:w="110"/>
            </w:tcMar>
          </w:tcPr>
          <w:p>
            <w:pPr>
              <w:spacing w:after="0" w:line="240"/>
              <w:jc w:val="left"/>
            </w:pPr>
            <w:r>
              <w:rPr>
                <w:b/>
                <w:bCs/>
              </w:rPr>
              <w:t xml:space="preserve">Gold price (safe-haven)</w:t>
            </w:r>
          </w:p>
        </w:tc>
        <w:tc>
          <w:tcPr>
            <w:tcW w:type="dxa" w:w="343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Closure → oil shock, geopolitical fear, inflation-hedge &amp; debasement demand.</w:t>
            </w:r>
          </w:p>
        </w:tc>
        <w:tc>
          <w:tcPr>
            <w:tcW w:type="dxa" w:w="4030"/>
            <w:shd w:fill="FFFFFF" w:val="clear"/>
            <w:tcMar>
              <w:top w:type="dxa" w:w="60"/>
              <w:left w:type="dxa" w:w="110"/>
              <w:bottom w:type="dxa" w:w="60"/>
              <w:right w:type="dxa" w:w="110"/>
            </w:tcMar>
          </w:tcPr>
          <w:p>
            <w:pPr>
              <w:spacing w:after="0" w:line="240"/>
              <w:jc w:val="left"/>
            </w:pPr>
            <w:r>
              <w:rPr>
                <w:b/>
                <w:bCs/>
                <w:color w:val="2E7D32"/>
                <w:sz w:val="18"/>
                <w:szCs w:val="18"/>
              </w:rPr>
              <w:t xml:space="preserve">POSITIVE, large. </w:t>
            </w:r>
            <w:r>
              <w:rPr>
                <w:sz w:val="18"/>
                <w:szCs w:val="18"/>
              </w:rPr>
              <w:t xml:space="preserve">The dominant lever — ≈US$250m EBITDA per US$100/oz at 2.5Moz. Underpins Scenario B.</w:t>
            </w:r>
          </w:p>
        </w:tc>
      </w:tr>
      <w:tr>
        <w:tc>
          <w:tcPr>
            <w:tcW w:type="dxa" w:w="1900"/>
            <w:shd w:fill="F4F8FC" w:val="clear"/>
            <w:tcMar>
              <w:top w:type="dxa" w:w="60"/>
              <w:left w:type="dxa" w:w="110"/>
              <w:bottom w:type="dxa" w:w="60"/>
              <w:right w:type="dxa" w:w="110"/>
            </w:tcMar>
          </w:tcPr>
          <w:p>
            <w:pPr>
              <w:spacing w:after="0" w:line="240"/>
              <w:jc w:val="left"/>
            </w:pPr>
            <w:r>
              <w:rPr>
                <w:b/>
                <w:bCs/>
              </w:rPr>
              <w:t xml:space="preserve">Real rates / Fed</w:t>
            </w:r>
          </w:p>
        </w:tc>
        <w:tc>
          <w:tcPr>
            <w:tcW w:type="dxa" w:w="343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Energy-driven inflation can force the Fed to stay tight or hike → higher real yields.</w:t>
            </w:r>
          </w:p>
        </w:tc>
        <w:tc>
          <w:tcPr>
            <w:tcW w:type="dxa" w:w="4030"/>
            <w:shd w:fill="F4F8FC" w:val="clear"/>
            <w:tcMar>
              <w:top w:type="dxa" w:w="60"/>
              <w:left w:type="dxa" w:w="110"/>
              <w:bottom w:type="dxa" w:w="60"/>
              <w:right w:type="dxa" w:w="110"/>
            </w:tcMar>
          </w:tcPr>
          <w:p>
            <w:pPr>
              <w:spacing w:after="0" w:line="240"/>
              <w:jc w:val="left"/>
            </w:pPr>
            <w:r>
              <w:rPr>
                <w:b/>
                <w:bCs/>
                <w:color w:val="B00020"/>
                <w:sz w:val="18"/>
                <w:szCs w:val="18"/>
              </w:rPr>
              <w:t xml:space="preserve">NEGATIVE — the key caveat. </w:t>
            </w:r>
            <w:r>
              <w:rPr>
                <w:sz w:val="18"/>
                <w:szCs w:val="18"/>
              </w:rPr>
              <w:t xml:space="preserve">Drove gold from ~US$5,300 to ~US$4,170 in Mar–Jun 2026 despite the war. The downside tail in B.</w:t>
            </w:r>
          </w:p>
        </w:tc>
      </w:tr>
      <w:tr>
        <w:tc>
          <w:tcPr>
            <w:tcW w:type="dxa" w:w="1900"/>
            <w:shd w:fill="FFFFFF" w:val="clear"/>
            <w:tcMar>
              <w:top w:type="dxa" w:w="60"/>
              <w:left w:type="dxa" w:w="110"/>
              <w:bottom w:type="dxa" w:w="60"/>
              <w:right w:type="dxa" w:w="110"/>
            </w:tcMar>
          </w:tcPr>
          <w:p>
            <w:pPr>
              <w:spacing w:after="0" w:line="240"/>
              <w:jc w:val="left"/>
            </w:pPr>
            <w:r>
              <w:rPr>
                <w:b/>
                <w:bCs/>
              </w:rPr>
              <w:t xml:space="preserve">Diesel &amp; energy</w:t>
            </w:r>
          </w:p>
        </w:tc>
        <w:tc>
          <w:tcPr>
            <w:tcW w:type="dxa" w:w="343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≈16% of AISC / ≈21% of operating cost; roughly half diesel.</w:t>
            </w:r>
          </w:p>
        </w:tc>
        <w:tc>
          <w:tcPr>
            <w:tcW w:type="dxa" w:w="4030"/>
            <w:shd w:fill="FFFFFF" w:val="clear"/>
            <w:tcMar>
              <w:top w:type="dxa" w:w="60"/>
              <w:left w:type="dxa" w:w="110"/>
              <w:bottom w:type="dxa" w:w="60"/>
              <w:right w:type="dxa" w:w="110"/>
            </w:tcMar>
          </w:tcPr>
          <w:p>
            <w:pPr>
              <w:spacing w:after="0" w:line="240"/>
              <w:jc w:val="left"/>
            </w:pPr>
            <w:r>
              <w:rPr>
                <w:b/>
                <w:bCs/>
                <w:color w:val="9C6500"/>
                <w:sz w:val="18"/>
                <w:szCs w:val="18"/>
              </w:rPr>
              <w:t xml:space="preserve">NEGATIVE, modest–moderate. </w:t>
            </w:r>
            <w:r>
              <w:rPr>
                <w:sz w:val="18"/>
                <w:szCs w:val="18"/>
              </w:rPr>
              <w:t xml:space="preserve">+US$20–30/bbl ≈ +US$85–160/oz AISC (Jefferies). Hits open-pit (Ghana, Australia, Salares Norte) more than underground South Deep.</w:t>
            </w:r>
          </w:p>
        </w:tc>
      </w:tr>
      <w:tr>
        <w:tc>
          <w:tcPr>
            <w:tcW w:type="dxa" w:w="1900"/>
            <w:shd w:fill="F4F8FC" w:val="clear"/>
            <w:tcMar>
              <w:top w:type="dxa" w:w="60"/>
              <w:left w:type="dxa" w:w="110"/>
              <w:bottom w:type="dxa" w:w="60"/>
              <w:right w:type="dxa" w:w="110"/>
            </w:tcMar>
          </w:tcPr>
          <w:p>
            <w:pPr>
              <w:spacing w:after="0" w:line="240"/>
              <w:jc w:val="left"/>
            </w:pPr>
            <w:r>
              <w:rPr>
                <w:b/>
                <w:bCs/>
              </w:rPr>
              <w:t xml:space="preserve">USD / ZAR &amp; AUD</w:t>
            </w:r>
          </w:p>
        </w:tc>
        <w:tc>
          <w:tcPr>
            <w:tcW w:type="dxa" w:w="343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Risk-off → EM and commodity currencies weaken.</w:t>
            </w:r>
          </w:p>
        </w:tc>
        <w:tc>
          <w:tcPr>
            <w:tcW w:type="dxa" w:w="4030"/>
            <w:shd w:fill="F4F8FC" w:val="clear"/>
            <w:tcMar>
              <w:top w:type="dxa" w:w="60"/>
              <w:left w:type="dxa" w:w="110"/>
              <w:bottom w:type="dxa" w:w="60"/>
              <w:right w:type="dxa" w:w="110"/>
            </w:tcMar>
          </w:tcPr>
          <w:p>
            <w:pPr>
              <w:spacing w:after="0" w:line="240"/>
              <w:jc w:val="left"/>
            </w:pPr>
            <w:r>
              <w:rPr>
                <w:b/>
                <w:bCs/>
                <w:color w:val="2E7D32"/>
                <w:sz w:val="18"/>
                <w:szCs w:val="18"/>
              </w:rPr>
              <w:t xml:space="preserve">POSITIVE. </w:t>
            </w:r>
            <w:r>
              <w:rPr>
                <w:sz w:val="18"/>
                <w:szCs w:val="18"/>
              </w:rPr>
              <w:t xml:space="preserve">A US$ reporter: weaker rand/AUD lowers US$ costs (the classic rand hedge), partly offsetting diesel.</w:t>
            </w:r>
          </w:p>
        </w:tc>
      </w:tr>
      <w:tr>
        <w:tc>
          <w:tcPr>
            <w:tcW w:type="dxa" w:w="1900"/>
            <w:shd w:fill="FFFFFF" w:val="clear"/>
            <w:tcMar>
              <w:top w:type="dxa" w:w="60"/>
              <w:left w:type="dxa" w:w="110"/>
              <w:bottom w:type="dxa" w:w="60"/>
              <w:right w:type="dxa" w:w="110"/>
            </w:tcMar>
          </w:tcPr>
          <w:p>
            <w:pPr>
              <w:spacing w:after="0" w:line="240"/>
              <w:jc w:val="left"/>
            </w:pPr>
            <w:r>
              <w:rPr>
                <w:b/>
                <w:bCs/>
              </w:rPr>
              <w:t xml:space="preserve">Physical demand</w:t>
            </w:r>
          </w:p>
        </w:tc>
        <w:tc>
          <w:tcPr>
            <w:tcW w:type="dxa" w:w="343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Recession dents jewellery/discretionary demand.</w:t>
            </w:r>
          </w:p>
        </w:tc>
        <w:tc>
          <w:tcPr>
            <w:tcW w:type="dxa" w:w="4030"/>
            <w:shd w:fill="FFFFFF" w:val="clear"/>
            <w:tcMar>
              <w:top w:type="dxa" w:w="60"/>
              <w:left w:type="dxa" w:w="110"/>
              <w:bottom w:type="dxa" w:w="60"/>
              <w:right w:type="dxa" w:w="110"/>
            </w:tcMar>
          </w:tcPr>
          <w:p>
            <w:pPr>
              <w:spacing w:after="0" w:line="240"/>
              <w:jc w:val="left"/>
            </w:pPr>
            <w:r>
              <w:rPr>
                <w:sz w:val="18"/>
                <w:szCs w:val="18"/>
              </w:rPr>
              <w:t xml:space="preserve">Minor negative; </w:t>
            </w:r>
            <w:r>
              <w:rPr>
                <w:sz w:val="18"/>
                <w:szCs w:val="18"/>
              </w:rPr>
              <w:t xml:space="preserve">dwarfed by investment and central-bank demand in a stress scenario.</w:t>
            </w:r>
          </w:p>
        </w:tc>
      </w:tr>
    </w:tbl>
    <w:p>
      <w:pPr>
        <w:spacing w:after="120" w:before="0" w:line="252"/>
      </w:pPr>
      <w:r>
        <w:rPr>
          <w:b/>
          <w:bCs/>
        </w:rPr>
        <w:t xml:space="preserve">Scenario A — Hormuz open / peace holds.  </w:t>
      </w:r>
      <w:r>
        <w:t xml:space="preserve">Brent normalises (~US$70–80), inflation pressure fades, the Fed eases and real rates fall — re-supporting gold via the structural channel even as the war premium unwinds. Banks see gold holding US$5,400–6,000 in peace. For Gold Fields: realised gold consolidates ~US$4,400 then firms; AISC eases toward mid-guidance as diesel falls; margins stay ~70%. Modelled EBITDA ≈US$7.7bn (2026e) → US$8.7bn (2027e); FCF proxy ≈US$3.9–4.7bn. The investable angle is a re-rating as cost fears ease and gold stabilises — with the risk that ‘risk-on’ rotates some capital out of gold.</w:t>
      </w:r>
    </w:p>
    <w:p>
      <w:pPr>
        <w:spacing w:after="120" w:before="0" w:line="252"/>
      </w:pPr>
      <w:r>
        <w:rPr>
          <w:b/>
          <w:bCs/>
        </w:rPr>
        <w:t xml:space="preserve">Scenario B — Hormuz closes again and stays closed.  </w:t>
      </w:r>
      <w:r>
        <w:t xml:space="preserve">Brent spikes (Citi US$150; Macquarie up to US$200; BlackRock ~US$150 even with a ceasefire). Stagflation, geopolitical fear and debasement push gold to re-test/exceed its January record. Diesel lifts AISC and a weaker rand/AUD trims US$ costs; on balance the gold-price gain dominates. Modelled EBITDA ≈US$8.6bn (2026e) → US$9.8bn (2027e); FCF proxy ≈US$4.5–5.4bn — the highest of the three, and a likely sharp share re-rating given GFI’s gold-price leverage. The caveat that matters: if energy inflation forces the Fed to hike, real rates spike and gold can fall hard first (the March-2026 episode), so B is the higher-return but higher-volatility path, with a real drawdown tail and the usual SA stress overlays (rand volatility, Eskom).</w:t>
      </w:r>
    </w:p>
    <w:p>
      <w:pPr>
        <w:spacing w:after="120" w:before="0" w:line="252"/>
      </w:pPr>
      <w:r>
        <w:rPr>
          <w:b/>
          <w:bCs/>
        </w:rPr>
        <w:t xml:space="preserve">Bottom line.  </w:t>
      </w:r>
      <w:r>
        <w:t xml:space="preserve">Gold Fields does well in both states of the world — the A-vs-B EBITDA spread is only ~10%, versus the doubling-or-halving an industrial miner faces. B offers more upside (higher gold) at the cost of more volatility (the real-rate tail); A is the steadier, cleaner-margin, lower-tail outcome. Either way, the binding constraints on the next 12–18 months are company-specific — Salares Norte run-rate, the Windfall FID, the Tarkwa lease and AISC control — not the direction of the oil price.</w:t>
      </w:r>
    </w:p>
    <w:p>
      <w:r>
        <w:br w:type="page"/>
      </w:r>
    </w:p>
    <w:p>
      <w:pPr>
        <w:pStyle w:val="Heading1"/>
        <w:pBdr>
          <w:bottom w:val="single" w:color="1F3864" w:sz="8" w:space="3"/>
        </w:pBdr>
        <w:spacing w:after="140" w:before="280"/>
      </w:pPr>
      <w:r>
        <w:rPr>
          <w:b/>
          <w:bCs/>
          <w:color w:val="1F3864"/>
          <w:sz w:val="26"/>
          <w:szCs w:val="26"/>
        </w:rPr>
        <w:t xml:space="preserve">7.  Primary growth indicators (next 12–18 months)</w:t>
      </w:r>
    </w:p>
    <w:p>
      <w:pPr>
        <w:spacing w:after="120" w:before="0" w:line="252"/>
      </w:pPr>
      <w:r>
        <w:t xml:space="preserve">Distinct from the scenario indicators that follow, these are the </w:t>
      </w:r>
      <w:r>
        <w:rPr>
          <w:b/>
          <w:bCs/>
        </w:rPr>
        <w:t xml:space="preserve">company-specific catalysts that drive and signal growth</w:t>
      </w:r>
      <w:r>
        <w:t xml:space="preserve">. In this window group volume is guided roughly flat — the growth is in quality, cash and the pipeline, concentrated in a few places. A live quarterly RAG version sits on the ‘Growth Scorecard’ tab of the companion model.</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3680"/>
        <w:gridCol w:w="3080"/>
      </w:tblGrid>
      <w:tr>
        <w:trPr>
          <w:tblHeader/>
        </w:trPr>
        <w:tc>
          <w:tcPr>
            <w:tcW w:type="dxa" w:w="2600"/>
            <w:shd w:fill="1F3864" w:val="clear"/>
            <w:tcMar>
              <w:top w:type="dxa" w:w="60"/>
              <w:left w:type="dxa" w:w="110"/>
              <w:bottom w:type="dxa" w:w="60"/>
              <w:right w:type="dxa" w:w="110"/>
            </w:tcMar>
          </w:tcPr>
          <w:p>
            <w:pPr>
              <w:spacing w:after="0" w:line="240"/>
              <w:jc w:val="left"/>
            </w:pPr>
            <w:r>
              <w:rPr>
                <w:b/>
                <w:bCs/>
                <w:color w:val="FFFFFF"/>
                <w:sz w:val="18"/>
                <w:szCs w:val="18"/>
              </w:rPr>
              <w:t xml:space="preserve">Growth indicator</w:t>
            </w:r>
          </w:p>
        </w:tc>
        <w:tc>
          <w:tcPr>
            <w:tcW w:type="dxa" w:w="3680"/>
            <w:shd w:fill="1F3864" w:val="clear"/>
            <w:tcMar>
              <w:top w:type="dxa" w:w="60"/>
              <w:left w:type="dxa" w:w="110"/>
              <w:bottom w:type="dxa" w:w="60"/>
              <w:right w:type="dxa" w:w="110"/>
            </w:tcMar>
          </w:tcPr>
          <w:p>
            <w:pPr>
              <w:spacing w:after="0" w:line="240"/>
              <w:jc w:val="left"/>
            </w:pPr>
            <w:r>
              <w:rPr>
                <w:b/>
                <w:bCs/>
                <w:color w:val="FFFFFF"/>
                <w:sz w:val="18"/>
                <w:szCs w:val="18"/>
              </w:rPr>
              <w:t xml:space="preserve">On-track signal / threshold</w:t>
            </w:r>
          </w:p>
        </w:tc>
        <w:tc>
          <w:tcPr>
            <w:tcW w:type="dxa" w:w="3080"/>
            <w:shd w:fill="1F3864" w:val="clear"/>
            <w:tcMar>
              <w:top w:type="dxa" w:w="60"/>
              <w:left w:type="dxa" w:w="110"/>
              <w:bottom w:type="dxa" w:w="60"/>
              <w:right w:type="dxa" w:w="110"/>
            </w:tcMar>
          </w:tcPr>
          <w:p>
            <w:pPr>
              <w:spacing w:after="0" w:line="240"/>
              <w:jc w:val="left"/>
            </w:pPr>
            <w:r>
              <w:rPr>
                <w:b/>
                <w:bCs/>
                <w:color w:val="FFFFFF"/>
                <w:sz w:val="18"/>
                <w:szCs w:val="18"/>
              </w:rPr>
              <w:t xml:space="preserve">Latest read (Q1 2026)</w:t>
            </w:r>
          </w:p>
        </w:tc>
      </w:tr>
      <w:tr>
        <w:tc>
          <w:tcPr>
            <w:tcW w:type="dxa" w:w="2600"/>
            <w:shd w:fill="FFFFFF" w:val="clear"/>
            <w:tcMar>
              <w:top w:type="dxa" w:w="60"/>
              <w:left w:type="dxa" w:w="110"/>
              <w:bottom w:type="dxa" w:w="60"/>
              <w:right w:type="dxa" w:w="110"/>
            </w:tcMar>
          </w:tcPr>
          <w:p>
            <w:pPr>
              <w:spacing w:after="0" w:line="240"/>
              <w:jc w:val="left"/>
            </w:pPr>
            <w:r>
              <w:rPr>
                <w:b/>
                <w:bCs/>
              </w:rPr>
              <w:t xml:space="preserve">Salares Norte run-rate</w:t>
            </w:r>
          </w:p>
        </w:tc>
        <w:tc>
          <w:tcPr>
            <w:tcW w:type="dxa" w:w="36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≥525koz @ AISC &lt;US$600/oz (FY25: 397koz @ $1,144)</w:t>
            </w:r>
          </w:p>
        </w:tc>
        <w:tc>
          <w:tcPr>
            <w:tcW w:type="dxa" w:w="3080"/>
            <w:shd w:fill="FFFFFF" w:val="clear"/>
            <w:tcMar>
              <w:top w:type="dxa" w:w="60"/>
              <w:left w:type="dxa" w:w="110"/>
              <w:bottom w:type="dxa" w:w="60"/>
              <w:right w:type="dxa" w:w="110"/>
            </w:tcMar>
          </w:tcPr>
          <w:p>
            <w:pPr>
              <w:spacing w:after="0" w:line="240"/>
              <w:jc w:val="left"/>
            </w:pPr>
            <w:r>
              <w:rPr>
                <w:sz w:val="18"/>
                <w:szCs w:val="18"/>
              </w:rPr>
              <w:t xml:space="preserve">173koz, AIC ~US$165/oz — </w:t>
            </w:r>
            <w:r>
              <w:rPr>
                <w:b/>
                <w:bCs/>
                <w:color w:val="2E7D32"/>
                <w:sz w:val="18"/>
                <w:szCs w:val="18"/>
              </w:rPr>
              <w:t xml:space="preserve">ahead</w:t>
            </w:r>
          </w:p>
        </w:tc>
      </w:tr>
      <w:tr>
        <w:tc>
          <w:tcPr>
            <w:tcW w:type="dxa" w:w="2600"/>
            <w:shd w:fill="F4F8FC" w:val="clear"/>
            <w:tcMar>
              <w:top w:type="dxa" w:w="60"/>
              <w:left w:type="dxa" w:w="110"/>
              <w:bottom w:type="dxa" w:w="60"/>
              <w:right w:type="dxa" w:w="110"/>
            </w:tcMar>
          </w:tcPr>
          <w:p>
            <w:pPr>
              <w:spacing w:after="0" w:line="240"/>
              <w:jc w:val="left"/>
            </w:pPr>
            <w:r>
              <w:rPr>
                <w:b/>
                <w:bCs/>
              </w:rPr>
              <w:t xml:space="preserve">Windfall (Canada) FID</w:t>
            </w:r>
          </w:p>
        </w:tc>
        <w:tc>
          <w:tcPr>
            <w:tcW w:type="dxa" w:w="368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Sanctioned mid-2026 on-plan; reserves/feasibility updated</w:t>
            </w:r>
          </w:p>
        </w:tc>
        <w:tc>
          <w:tcPr>
            <w:tcW w:type="dxa" w:w="3080"/>
            <w:shd w:fill="F4F8FC" w:val="clear"/>
            <w:tcMar>
              <w:top w:type="dxa" w:w="60"/>
              <w:left w:type="dxa" w:w="110"/>
              <w:bottom w:type="dxa" w:w="60"/>
              <w:right w:type="dxa" w:w="110"/>
            </w:tcMar>
          </w:tcPr>
          <w:p>
            <w:pPr>
              <w:spacing w:after="0" w:line="240"/>
              <w:jc w:val="left"/>
            </w:pPr>
            <w:r>
              <w:rPr>
                <w:sz w:val="18"/>
                <w:szCs w:val="18"/>
              </w:rPr>
              <w:t xml:space="preserve">EIA hearings done; Cree IBA in principle — </w:t>
            </w:r>
            <w:r>
              <w:rPr>
                <w:b/>
                <w:bCs/>
                <w:color w:val="2E7D32"/>
                <w:sz w:val="18"/>
                <w:szCs w:val="18"/>
              </w:rPr>
              <w:t xml:space="preserve">on track</w:t>
            </w:r>
          </w:p>
        </w:tc>
      </w:tr>
      <w:tr>
        <w:tc>
          <w:tcPr>
            <w:tcW w:type="dxa" w:w="2600"/>
            <w:shd w:fill="FFFFFF" w:val="clear"/>
            <w:tcMar>
              <w:top w:type="dxa" w:w="60"/>
              <w:left w:type="dxa" w:w="110"/>
              <w:bottom w:type="dxa" w:w="60"/>
              <w:right w:type="dxa" w:w="110"/>
            </w:tcMar>
          </w:tcPr>
          <w:p>
            <w:pPr>
              <w:spacing w:after="0" w:line="240"/>
              <w:jc w:val="left"/>
            </w:pPr>
            <w:r>
              <w:rPr>
                <w:b/>
                <w:bCs/>
              </w:rPr>
              <w:t xml:space="preserve">Group attributable production</w:t>
            </w:r>
          </w:p>
        </w:tc>
        <w:tc>
          <w:tcPr>
            <w:tcW w:type="dxa" w:w="36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≥2.50Moz (mid-upper of 2.40–2.60Moz)</w:t>
            </w:r>
          </w:p>
        </w:tc>
        <w:tc>
          <w:tcPr>
            <w:tcW w:type="dxa" w:w="3080"/>
            <w:shd w:fill="FFFFFF" w:val="clear"/>
            <w:tcMar>
              <w:top w:type="dxa" w:w="60"/>
              <w:left w:type="dxa" w:w="110"/>
              <w:bottom w:type="dxa" w:w="60"/>
              <w:right w:type="dxa" w:w="110"/>
            </w:tcMar>
          </w:tcPr>
          <w:p>
            <w:pPr>
              <w:spacing w:after="0" w:line="240"/>
              <w:jc w:val="left"/>
            </w:pPr>
            <w:r>
              <w:rPr>
                <w:sz w:val="18"/>
                <w:szCs w:val="18"/>
              </w:rPr>
              <w:t xml:space="preserve">633koz (+15% YoY) — </w:t>
            </w:r>
            <w:r>
              <w:rPr>
                <w:b/>
                <w:bCs/>
                <w:color w:val="2E7D32"/>
                <w:sz w:val="18"/>
                <w:szCs w:val="18"/>
              </w:rPr>
              <w:t xml:space="preserve">on track</w:t>
            </w:r>
          </w:p>
        </w:tc>
      </w:tr>
      <w:tr>
        <w:tc>
          <w:tcPr>
            <w:tcW w:type="dxa" w:w="2600"/>
            <w:shd w:fill="F4F8FC" w:val="clear"/>
            <w:tcMar>
              <w:top w:type="dxa" w:w="60"/>
              <w:left w:type="dxa" w:w="110"/>
              <w:bottom w:type="dxa" w:w="60"/>
              <w:right w:type="dxa" w:w="110"/>
            </w:tcMar>
          </w:tcPr>
          <w:p>
            <w:pPr>
              <w:spacing w:after="0" w:line="240"/>
              <w:jc w:val="left"/>
            </w:pPr>
            <w:r>
              <w:rPr>
                <w:b/>
                <w:bCs/>
              </w:rPr>
              <w:t xml:space="preserve">Group AISC</w:t>
            </w:r>
          </w:p>
        </w:tc>
        <w:tc>
          <w:tcPr>
            <w:tcW w:type="dxa" w:w="368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≤US$1,900/oz (mid-guidance; FY25 $1,645)</w:t>
            </w:r>
          </w:p>
        </w:tc>
        <w:tc>
          <w:tcPr>
            <w:tcW w:type="dxa" w:w="3080"/>
            <w:shd w:fill="F4F8FC" w:val="clear"/>
            <w:tcMar>
              <w:top w:type="dxa" w:w="60"/>
              <w:left w:type="dxa" w:w="110"/>
              <w:bottom w:type="dxa" w:w="60"/>
              <w:right w:type="dxa" w:w="110"/>
            </w:tcMar>
          </w:tcPr>
          <w:p>
            <w:pPr>
              <w:spacing w:after="0" w:line="240"/>
              <w:jc w:val="left"/>
            </w:pPr>
            <w:r>
              <w:rPr>
                <w:sz w:val="18"/>
                <w:szCs w:val="18"/>
              </w:rPr>
              <w:t xml:space="preserve">US$1,829 (FX headwind) — </w:t>
            </w:r>
            <w:r>
              <w:rPr>
                <w:b/>
                <w:bCs/>
                <w:color w:val="9C6500"/>
                <w:sz w:val="18"/>
                <w:szCs w:val="18"/>
              </w:rPr>
              <w:t xml:space="preserve">watch</w:t>
            </w:r>
          </w:p>
        </w:tc>
      </w:tr>
      <w:tr>
        <w:tc>
          <w:tcPr>
            <w:tcW w:type="dxa" w:w="2600"/>
            <w:shd w:fill="FFFFFF" w:val="clear"/>
            <w:tcMar>
              <w:top w:type="dxa" w:w="60"/>
              <w:left w:type="dxa" w:w="110"/>
              <w:bottom w:type="dxa" w:w="60"/>
              <w:right w:type="dxa" w:w="110"/>
            </w:tcMar>
          </w:tcPr>
          <w:p>
            <w:pPr>
              <w:spacing w:after="0" w:line="240"/>
              <w:jc w:val="left"/>
            </w:pPr>
            <w:r>
              <w:rPr>
                <w:b/>
                <w:bCs/>
              </w:rPr>
              <w:t xml:space="preserve">Adjusted FCF vs capex step-up</w:t>
            </w:r>
          </w:p>
        </w:tc>
        <w:tc>
          <w:tcPr>
            <w:tcW w:type="dxa" w:w="36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Grow FCF despite US$1.9–2.1bn capex</w:t>
            </w:r>
          </w:p>
        </w:tc>
        <w:tc>
          <w:tcPr>
            <w:tcW w:type="dxa" w:w="3080"/>
            <w:shd w:fill="FFFFFF" w:val="clear"/>
            <w:tcMar>
              <w:top w:type="dxa" w:w="60"/>
              <w:left w:type="dxa" w:w="110"/>
              <w:bottom w:type="dxa" w:w="60"/>
              <w:right w:type="dxa" w:w="110"/>
            </w:tcMar>
          </w:tcPr>
          <w:p>
            <w:pPr>
              <w:spacing w:after="0" w:line="240"/>
              <w:jc w:val="left"/>
            </w:pPr>
            <w:r>
              <w:rPr>
                <w:sz w:val="18"/>
                <w:szCs w:val="18"/>
              </w:rPr>
              <w:t xml:space="preserve">Net debt down to US$1,304m post-dividend</w:t>
            </w:r>
          </w:p>
        </w:tc>
      </w:tr>
      <w:tr>
        <w:tc>
          <w:tcPr>
            <w:tcW w:type="dxa" w:w="2600"/>
            <w:shd w:fill="F4F8FC" w:val="clear"/>
            <w:tcMar>
              <w:top w:type="dxa" w:w="60"/>
              <w:left w:type="dxa" w:w="110"/>
              <w:bottom w:type="dxa" w:w="60"/>
              <w:right w:type="dxa" w:w="110"/>
            </w:tcMar>
          </w:tcPr>
          <w:p>
            <w:pPr>
              <w:spacing w:after="0" w:line="240"/>
              <w:jc w:val="left"/>
            </w:pPr>
            <w:r>
              <w:rPr>
                <w:b/>
                <w:bCs/>
              </w:rPr>
              <w:t xml:space="preserve">Reserve &amp; resource replacement</w:t>
            </w:r>
          </w:p>
        </w:tc>
        <w:tc>
          <w:tcPr>
            <w:tcW w:type="dxa" w:w="368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Replacement &gt;100%; Windfall district additions</w:t>
            </w:r>
          </w:p>
        </w:tc>
        <w:tc>
          <w:tcPr>
            <w:tcW w:type="dxa" w:w="3080"/>
            <w:shd w:fill="F4F8FC" w:val="clear"/>
            <w:tcMar>
              <w:top w:type="dxa" w:w="60"/>
              <w:left w:type="dxa" w:w="110"/>
              <w:bottom w:type="dxa" w:w="60"/>
              <w:right w:type="dxa" w:w="110"/>
            </w:tcMar>
          </w:tcPr>
          <w:p>
            <w:pPr>
              <w:spacing w:after="0" w:line="240"/>
              <w:jc w:val="left"/>
            </w:pPr>
            <w:r>
              <w:rPr>
                <w:sz w:val="18"/>
                <w:szCs w:val="18"/>
              </w:rPr>
              <w:t xml:space="preserve">Pending annual declaration</w:t>
            </w:r>
          </w:p>
        </w:tc>
      </w:tr>
      <w:tr>
        <w:tc>
          <w:tcPr>
            <w:tcW w:type="dxa" w:w="2600"/>
            <w:shd w:fill="FFFFFF" w:val="clear"/>
            <w:tcMar>
              <w:top w:type="dxa" w:w="60"/>
              <w:left w:type="dxa" w:w="110"/>
              <w:bottom w:type="dxa" w:w="60"/>
              <w:right w:type="dxa" w:w="110"/>
            </w:tcMar>
          </w:tcPr>
          <w:p>
            <w:pPr>
              <w:spacing w:after="0" w:line="240"/>
              <w:jc w:val="left"/>
            </w:pPr>
            <w:r>
              <w:rPr>
                <w:b/>
                <w:bCs/>
              </w:rPr>
              <w:t xml:space="preserve">Tarkwa lease renewal</w:t>
            </w:r>
          </w:p>
        </w:tc>
        <w:tc>
          <w:tcPr>
            <w:tcW w:type="dxa" w:w="36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Renewed on workable terms (expires Apr 2027; ~470koz)</w:t>
            </w:r>
          </w:p>
        </w:tc>
        <w:tc>
          <w:tcPr>
            <w:tcW w:type="dxa" w:w="3080"/>
            <w:shd w:fill="FFFFFF" w:val="clear"/>
            <w:tcMar>
              <w:top w:type="dxa" w:w="60"/>
              <w:left w:type="dxa" w:w="110"/>
              <w:bottom w:type="dxa" w:w="60"/>
              <w:right w:type="dxa" w:w="110"/>
            </w:tcMar>
          </w:tcPr>
          <w:p>
            <w:pPr>
              <w:spacing w:after="0" w:line="240"/>
              <w:jc w:val="left"/>
            </w:pPr>
            <w:r>
              <w:rPr>
                <w:sz w:val="18"/>
                <w:szCs w:val="18"/>
              </w:rPr>
              <w:t xml:space="preserve">‘Not automatic’; new royalty regime — </w:t>
            </w:r>
            <w:r>
              <w:rPr>
                <w:b/>
                <w:bCs/>
                <w:color w:val="9C6500"/>
                <w:sz w:val="18"/>
                <w:szCs w:val="18"/>
              </w:rPr>
              <w:t xml:space="preserve">watch</w:t>
            </w:r>
          </w:p>
        </w:tc>
      </w:tr>
      <w:tr>
        <w:tc>
          <w:tcPr>
            <w:tcW w:type="dxa" w:w="2600"/>
            <w:shd w:fill="F4F8FC" w:val="clear"/>
            <w:tcMar>
              <w:top w:type="dxa" w:w="60"/>
              <w:left w:type="dxa" w:w="110"/>
              <w:bottom w:type="dxa" w:w="60"/>
              <w:right w:type="dxa" w:w="110"/>
            </w:tcMar>
          </w:tcPr>
          <w:p>
            <w:pPr>
              <w:spacing w:after="0" w:line="240"/>
              <w:jc w:val="left"/>
            </w:pPr>
            <w:r>
              <w:rPr>
                <w:b/>
                <w:bCs/>
              </w:rPr>
              <w:t xml:space="preserve">Australian recovery (Gruyere/Agnew)</w:t>
            </w:r>
          </w:p>
        </w:tc>
        <w:tc>
          <w:tcPr>
            <w:tcW w:type="dxa" w:w="368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H2-2026 normalisation</w:t>
            </w:r>
          </w:p>
        </w:tc>
        <w:tc>
          <w:tcPr>
            <w:tcW w:type="dxa" w:w="3080"/>
            <w:shd w:fill="F4F8FC" w:val="clear"/>
            <w:tcMar>
              <w:top w:type="dxa" w:w="60"/>
              <w:left w:type="dxa" w:w="110"/>
              <w:bottom w:type="dxa" w:w="60"/>
              <w:right w:type="dxa" w:w="110"/>
            </w:tcMar>
          </w:tcPr>
          <w:p>
            <w:pPr>
              <w:spacing w:after="0" w:line="240"/>
              <w:jc w:val="left"/>
            </w:pPr>
            <w:r>
              <w:rPr>
                <w:sz w:val="18"/>
                <w:szCs w:val="18"/>
              </w:rPr>
              <w:t xml:space="preserve">Q1 disrupted; H2-weighted — </w:t>
            </w:r>
            <w:r>
              <w:rPr>
                <w:b/>
                <w:bCs/>
                <w:color w:val="9C6500"/>
                <w:sz w:val="18"/>
                <w:szCs w:val="18"/>
              </w:rPr>
              <w:t xml:space="preserve">watch</w:t>
            </w:r>
          </w:p>
        </w:tc>
      </w:tr>
    </w:tbl>
    <w:p>
      <w:pPr>
        <w:spacing w:after="120" w:before="0" w:line="252"/>
      </w:pPr>
      <w:r>
        <w:rPr>
          <w:b/>
          <w:bCs/>
        </w:rPr>
        <w:t xml:space="preserve">Takeaway.  </w:t>
      </w:r>
      <w:r>
        <w:t xml:space="preserve">2026 is a ‘bed-down-and-sanction’ year — Salares Norte to steady state, the Windfall FID, and reserve replacement — with margin/FCF growth from the elevated gold price. Headline volume growth re-accelerates in 2027+ if Windfall proceeds.</w:t>
      </w:r>
    </w:p>
    <w:p>
      <w:r>
        <w:br w:type="page"/>
      </w:r>
    </w:p>
    <w:p>
      <w:pPr>
        <w:pStyle w:val="Heading1"/>
        <w:pBdr>
          <w:bottom w:val="single" w:color="1F3864" w:sz="8" w:space="3"/>
        </w:pBdr>
        <w:spacing w:after="140" w:before="280"/>
      </w:pPr>
      <w:r>
        <w:rPr>
          <w:b/>
          <w:bCs/>
          <w:color w:val="1F3864"/>
          <w:sz w:val="26"/>
          <w:szCs w:val="26"/>
        </w:rPr>
        <w:t xml:space="preserve">8.  Indicators to watch (scenario &amp; macro)</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3380"/>
        <w:gridCol w:w="3380"/>
      </w:tblGrid>
      <w:tr>
        <w:trPr>
          <w:tblHeader/>
        </w:trPr>
        <w:tc>
          <w:tcPr>
            <w:tcW w:type="dxa" w:w="2600"/>
            <w:shd w:fill="1F3864" w:val="clear"/>
            <w:tcMar>
              <w:top w:type="dxa" w:w="60"/>
              <w:left w:type="dxa" w:w="110"/>
              <w:bottom w:type="dxa" w:w="60"/>
              <w:right w:type="dxa" w:w="110"/>
            </w:tcMar>
          </w:tcPr>
          <w:p>
            <w:pPr>
              <w:spacing w:after="0" w:line="240"/>
              <w:jc w:val="left"/>
            </w:pPr>
            <w:r>
              <w:rPr>
                <w:b/>
                <w:bCs/>
                <w:color w:val="FFFFFF"/>
                <w:sz w:val="18"/>
                <w:szCs w:val="18"/>
              </w:rPr>
              <w:t xml:space="preserve">Indicator</w:t>
            </w:r>
          </w:p>
        </w:tc>
        <w:tc>
          <w:tcPr>
            <w:tcW w:type="dxa" w:w="3380"/>
            <w:shd w:fill="1F3864" w:val="clear"/>
            <w:tcMar>
              <w:top w:type="dxa" w:w="60"/>
              <w:left w:type="dxa" w:w="110"/>
              <w:bottom w:type="dxa" w:w="60"/>
              <w:right w:type="dxa" w:w="110"/>
            </w:tcMar>
          </w:tcPr>
          <w:p>
            <w:pPr>
              <w:spacing w:after="0" w:line="240"/>
              <w:jc w:val="left"/>
            </w:pPr>
            <w:r>
              <w:rPr>
                <w:b/>
                <w:bCs/>
                <w:color w:val="FFFFFF"/>
                <w:sz w:val="18"/>
                <w:szCs w:val="18"/>
              </w:rPr>
              <w:t xml:space="preserve">Why it matters</w:t>
            </w:r>
          </w:p>
        </w:tc>
        <w:tc>
          <w:tcPr>
            <w:tcW w:type="dxa" w:w="3380"/>
            <w:shd w:fill="1F3864" w:val="clear"/>
            <w:tcMar>
              <w:top w:type="dxa" w:w="60"/>
              <w:left w:type="dxa" w:w="110"/>
              <w:bottom w:type="dxa" w:w="60"/>
              <w:right w:type="dxa" w:w="110"/>
            </w:tcMar>
          </w:tcPr>
          <w:p>
            <w:pPr>
              <w:spacing w:after="0" w:line="240"/>
              <w:jc w:val="left"/>
            </w:pPr>
            <w:r>
              <w:rPr>
                <w:b/>
                <w:bCs/>
                <w:color w:val="FFFFFF"/>
                <w:sz w:val="18"/>
                <w:szCs w:val="18"/>
              </w:rPr>
              <w:t xml:space="preserve">Scenario A ▲ / Scenario B ▼ signal</w:t>
            </w:r>
          </w:p>
        </w:tc>
      </w:tr>
      <w:tr>
        <w:tc>
          <w:tcPr>
            <w:tcW w:type="dxa" w:w="260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Spot gold &amp; real (TIPS) yields</w:t>
            </w:r>
          </w:p>
        </w:tc>
        <w:tc>
          <w:tcPr>
            <w:tcW w:type="dxa" w:w="33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The dominant earnings lever and the key risk</w:t>
            </w:r>
          </w:p>
        </w:tc>
        <w:tc>
          <w:tcPr>
            <w:tcW w:type="dxa" w:w="33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Gold firm / rising as the Fed eases (A); higher but watch real-rate spikes (B)</w:t>
            </w:r>
          </w:p>
        </w:tc>
      </w:tr>
      <w:tr>
        <w:tc>
          <w:tcPr>
            <w:tcW w:type="dxa" w:w="260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Strait of Hormuz status &amp; Brent</w:t>
            </w:r>
          </w:p>
        </w:tc>
        <w:tc>
          <w:tcPr>
            <w:tcW w:type="dxa" w:w="338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Drives the oil → inflation → Fed → gold chain and AISC</w:t>
            </w:r>
          </w:p>
        </w:tc>
        <w:tc>
          <w:tcPr>
            <w:tcW w:type="dxa" w:w="338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Brent normalises ~US$70–80 (A); US$120–200 with AISC pressure (B)</w:t>
            </w:r>
          </w:p>
        </w:tc>
      </w:tr>
      <w:tr>
        <w:tc>
          <w:tcPr>
            <w:tcW w:type="dxa" w:w="260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Fed path &amp; inflation expectations</w:t>
            </w:r>
          </w:p>
        </w:tc>
        <w:tc>
          <w:tcPr>
            <w:tcW w:type="dxa" w:w="33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Real rates set gold’s floor and ceiling</w:t>
            </w:r>
          </w:p>
        </w:tc>
        <w:tc>
          <w:tcPr>
            <w:tcW w:type="dxa" w:w="33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Cuts = bullish gold; a hiking turn = the bear tail</w:t>
            </w:r>
          </w:p>
        </w:tc>
      </w:tr>
      <w:tr>
        <w:tc>
          <w:tcPr>
            <w:tcW w:type="dxa" w:w="260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Central-bank gold buying &amp; ETF flows</w:t>
            </w:r>
          </w:p>
        </w:tc>
        <w:tc>
          <w:tcPr>
            <w:tcW w:type="dxa" w:w="338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Structural demand pillar</w:t>
            </w:r>
          </w:p>
        </w:tc>
        <w:tc>
          <w:tcPr>
            <w:tcW w:type="dxa" w:w="338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Sustained CB buying underpins both; watch Western ETF flows</w:t>
            </w:r>
          </w:p>
        </w:tc>
      </w:tr>
      <w:tr>
        <w:tc>
          <w:tcPr>
            <w:tcW w:type="dxa" w:w="260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Salares Norte run-rate (525–550koz, AISC &lt;US$600)</w:t>
            </w:r>
          </w:p>
        </w:tc>
        <w:tc>
          <w:tcPr>
            <w:tcW w:type="dxa" w:w="33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The growth &amp; margin engine</w:t>
            </w:r>
          </w:p>
        </w:tc>
        <w:tc>
          <w:tcPr>
            <w:tcW w:type="dxa" w:w="33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Company-specific — quarterly delivery</w:t>
            </w:r>
          </w:p>
        </w:tc>
      </w:tr>
      <w:tr>
        <w:tc>
          <w:tcPr>
            <w:tcW w:type="dxa" w:w="260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Windfall FID (guided mid-2026) &amp; capex</w:t>
            </w:r>
          </w:p>
        </w:tc>
        <w:tc>
          <w:tcPr>
            <w:tcW w:type="dxa" w:w="338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Sets the 2027–29 growth &amp; FCF profile</w:t>
            </w:r>
          </w:p>
        </w:tc>
        <w:tc>
          <w:tcPr>
            <w:tcW w:type="dxa" w:w="338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Disciplined FID vs capex creep</w:t>
            </w:r>
          </w:p>
        </w:tc>
      </w:tr>
      <w:tr>
        <w:tc>
          <w:tcPr>
            <w:tcW w:type="dxa" w:w="260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Tarkwa lease renewal (exp. Apr 2027) &amp; Ghana royalties</w:t>
            </w:r>
          </w:p>
        </w:tc>
        <w:tc>
          <w:tcPr>
            <w:tcW w:type="dxa" w:w="33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≈470koz and jurisdiction at stake</w:t>
            </w:r>
          </w:p>
        </w:tc>
        <w:tc>
          <w:tcPr>
            <w:tcW w:type="dxa" w:w="33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Binary policy catalyst</w:t>
            </w:r>
          </w:p>
        </w:tc>
      </w:tr>
      <w:tr>
        <w:tc>
          <w:tcPr>
            <w:tcW w:type="dxa" w:w="260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Group AISC vs US$1,800–2,000 guidance</w:t>
            </w:r>
          </w:p>
        </w:tc>
        <w:tc>
          <w:tcPr>
            <w:tcW w:type="dxa" w:w="338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Cost control under inflation</w:t>
            </w:r>
          </w:p>
        </w:tc>
        <w:tc>
          <w:tcPr>
            <w:tcW w:type="dxa" w:w="3380"/>
            <w:shd w:fill="F4F8FC" w:val="clear"/>
            <w:tcMar>
              <w:top w:type="dxa" w:w="60"/>
              <w:left w:type="dxa" w:w="110"/>
              <w:bottom w:type="dxa" w:w="60"/>
              <w:right w:type="dxa" w:w="110"/>
            </w:tcMar>
          </w:tcPr>
          <w:p>
            <w:pPr>
              <w:spacing w:after="0" w:line="240"/>
              <w:jc w:val="left"/>
            </w:pPr>
            <w:r>
              <w:rPr>
                <w:b w:val="false"/>
                <w:bCs w:val="false"/>
                <w:color w:val="000000"/>
                <w:sz w:val="18"/>
                <w:szCs w:val="18"/>
              </w:rPr>
              <w:t xml:space="preserve">B pressures the top end or beyond</w:t>
            </w:r>
          </w:p>
        </w:tc>
      </w:tr>
      <w:tr>
        <w:tc>
          <w:tcPr>
            <w:tcW w:type="dxa" w:w="260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USD/ZAR &amp; USD/AUD</w:t>
            </w:r>
          </w:p>
        </w:tc>
        <w:tc>
          <w:tcPr>
            <w:tcW w:type="dxa" w:w="33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Translation and US$ cost base</w:t>
            </w:r>
          </w:p>
        </w:tc>
        <w:tc>
          <w:tcPr>
            <w:tcW w:type="dxa" w:w="3380"/>
            <w:shd w:fill="FFFFFF" w:val="clear"/>
            <w:tcMar>
              <w:top w:type="dxa" w:w="60"/>
              <w:left w:type="dxa" w:w="110"/>
              <w:bottom w:type="dxa" w:w="60"/>
              <w:right w:type="dxa" w:w="110"/>
            </w:tcMar>
          </w:tcPr>
          <w:p>
            <w:pPr>
              <w:spacing w:after="0" w:line="240"/>
              <w:jc w:val="left"/>
            </w:pPr>
            <w:r>
              <w:rPr>
                <w:b w:val="false"/>
                <w:bCs w:val="false"/>
                <w:color w:val="000000"/>
                <w:sz w:val="18"/>
                <w:szCs w:val="18"/>
              </w:rPr>
              <w:t xml:space="preserve">Weaker EM/commodity FX = US$-cost tailwind (B)</w:t>
            </w:r>
          </w:p>
        </w:tc>
      </w:tr>
    </w:tbl>
    <w:p>
      <w:pPr>
        <w:pStyle w:val="Heading1"/>
        <w:pBdr>
          <w:bottom w:val="single" w:color="1F3864" w:sz="8" w:space="3"/>
        </w:pBdr>
        <w:spacing w:after="140" w:before="280"/>
      </w:pPr>
      <w:r>
        <w:rPr>
          <w:b/>
          <w:bCs/>
          <w:color w:val="1F3864"/>
          <w:sz w:val="26"/>
          <w:szCs w:val="26"/>
        </w:rPr>
        <w:t xml:space="preserve">9.  Valuation context</w:t>
      </w:r>
    </w:p>
    <w:p>
      <w:pPr>
        <w:spacing w:after="120" w:before="0" w:line="252"/>
      </w:pPr>
      <w:r>
        <w:t xml:space="preserve">On ~895m shares, Gold Fields trades around </w:t>
      </w:r>
      <w:r>
        <w:rPr>
          <w:b/>
          <w:bCs/>
        </w:rPr>
        <w:t xml:space="preserve">R625/share on the JSE</w:t>
      </w:r>
      <w:r>
        <w:t xml:space="preserve"> (3 June 2026) and ~US$34–38 on the NYSE, for a market capitalisation near </w:t>
      </w:r>
      <w:r>
        <w:rPr>
          <w:b/>
          <w:bCs/>
        </w:rPr>
        <w:t xml:space="preserve">R560bn (~US$30bn)</w:t>
      </w:r>
      <w:r>
        <w:t xml:space="preserve"> — the 10th-largest JSE stock. The shares fell ~45% from their early-2026 high (NYSE 52-week range US$22–62) as gold retreated from its January record, and were rebounding with gold into mid-June.</w:t>
      </w:r>
    </w:p>
    <w:p>
      <w:pPr>
        <w:spacing w:after="120" w:before="0" w:line="252"/>
      </w:pPr>
      <w:r>
        <w:rPr>
          <w:b/>
          <w:bCs/>
        </w:rPr>
        <w:t xml:space="preserve">The disconnect.  </w:t>
      </w:r>
      <w:r>
        <w:t xml:space="preserve">The equity has de-rated with the gold spot price, yet forward earnings are set to rise versus FY2025 in every scenario (the 2026 average realised price exceeds 2025’s). On our rough estimates, EV/EBITDA is ≈4.0x on Base FY2026e EBITDA and ≈5.5x on FY2025 — i.e. the market is not capitalising the current gold price as durable. That is the classic gold-equity set-up: cheap on spot, dearer on a normalised price.</w:t>
      </w:r>
    </w:p>
    <w:p>
      <w:pPr>
        <w:spacing w:after="120" w:before="0" w:line="252"/>
      </w:pPr>
      <w:r>
        <w:rPr>
          <w:b/>
          <w:bCs/>
        </w:rPr>
        <w:t xml:space="preserve">How to frame it (mining lens).  </w:t>
      </w:r>
      <w:r>
        <w:t xml:space="preserve">Anchor on P/NAV at a stated gold-price and US$/ZAR deck (we have not built a NAV here — flagged as a gap), and run EV/EBITDA and FCF yield at both spot and a normalised gold price. Suppress trailing P/E: at a cyclical high it flatters, and FY2025’s one-off Gruyere gain distorts it further. The dividend (≈R25.50 ordinary + special; policy 35% of normalised FCF) gives a mid-single-digit yield that scales with the gold price.</w:t>
      </w:r>
    </w:p>
    <w:p>
      <w:pPr>
        <w:spacing w:after="140" w:before="0" w:line="252"/>
      </w:pPr>
      <w:r>
        <w:rPr>
          <w:i/>
          <w:iCs/>
          <w:color w:val="595959"/>
          <w:sz w:val="17"/>
          <w:szCs w:val="17"/>
        </w:rPr>
        <w:t xml:space="preserve">Estimates (e) are the author’s, not company figures; EV/EBITDA uses market cap + net debt of US$1.4bn against modelled EBITDA. Prices may be delayed; no live JSE/COMEX feed. A formal P/NAV requires a life-of-mine model and price deck.</w:t>
      </w:r>
    </w:p>
    <w:p>
      <w:pPr>
        <w:pStyle w:val="Heading1"/>
        <w:pBdr>
          <w:bottom w:val="single" w:color="1F3864" w:sz="8" w:space="3"/>
        </w:pBdr>
        <w:spacing w:after="140" w:before="280"/>
      </w:pPr>
      <w:r>
        <w:rPr>
          <w:b/>
          <w:bCs/>
          <w:color w:val="1F3864"/>
          <w:sz w:val="26"/>
          <w:szCs w:val="26"/>
        </w:rPr>
        <w:t xml:space="preserve">10.  Compliance &amp; basis of preparation</w:t>
      </w:r>
    </w:p>
    <w:p>
      <w:pPr>
        <w:spacing w:after="120" w:before="0" w:line="252"/>
      </w:pPr>
      <w:r>
        <w:t xml:space="preserve">This briefing is for informational purposes only and is not investment advice; the author is not a registered financial adviser. Figures attributed to Gold Fields are from its published FY2025 results and subsequent announcements; scenario projections are the author’s own estimates (marked (e)) and are not forecasts of actual results. Gold Fields reports in US dollars; ZAR equivalents use the stated USD/ZAR assumptions. The 2025 Integrated Annual Report and Governance &amp; Remuneration Report PDFs were not machine-readable in preparation — the principal-risk and remuneration sections reflect management’s public framing and prior reports, and should be confirmed against those documents. Share and commodity prices obtained via web search may be delayed and should be re-verified before any dealing. Confirm whether the fund is in a closed or prohibited dealing period before acting. The accompanying Excel model is fully formula-driven — changing the blue input cells on the ‘Assumptions’ tab re-runs every scenario.</w:t>
      </w:r>
    </w:p>
    <w:p>
      <w:pPr>
        <w:pStyle w:val="Heading1"/>
        <w:pBdr>
          <w:bottom w:val="single" w:color="1F3864" w:sz="8" w:space="3"/>
        </w:pBdr>
        <w:spacing w:after="140" w:before="280"/>
      </w:pPr>
      <w:r>
        <w:rPr>
          <w:b/>
          <w:bCs/>
          <w:color w:val="1F3864"/>
          <w:sz w:val="26"/>
          <w:szCs w:val="26"/>
        </w:rPr>
        <w:t xml:space="preserve">Key sources</w:t>
      </w:r>
    </w:p>
    <w:p>
      <w:pPr>
        <w:pStyle w:val="ListParagraph"/>
        <w:numPr>
          <w:ilvl w:val="0"/>
          <w:numId w:val="2"/>
        </w:numPr>
        <w:spacing w:after="50"/>
      </w:pPr>
      <w:hyperlink w:history="1" r:id="rIdqjv0wy_nrz9znqcbi0dgx">
        <w:r>
          <w:rPr>
            <w:rStyle w:val="Hyperlink"/>
            <w:sz w:val="17"/>
            <w:szCs w:val="17"/>
          </w:rPr>
          <w:t xml:space="preserve">Gold Fields FY2025 reviewed results — SEC Form 6-K (19–20 Feb 2026)</w:t>
        </w:r>
      </w:hyperlink>
    </w:p>
    <w:p>
      <w:pPr>
        <w:pStyle w:val="ListParagraph"/>
        <w:numPr>
          <w:ilvl w:val="0"/>
          <w:numId w:val="2"/>
        </w:numPr>
        <w:spacing w:after="50"/>
      </w:pPr>
      <w:hyperlink w:history="1" r:id="rIdigkdslsa7rq-c0xwam4-1">
        <w:r>
          <w:rPr>
            <w:rStyle w:val="Hyperlink"/>
            <w:sz w:val="17"/>
            <w:szCs w:val="17"/>
          </w:rPr>
          <w:t xml:space="preserve">Gold Fields Q1 2026 operational update — guidance reaffirmed (7 May 2026)</w:t>
        </w:r>
      </w:hyperlink>
    </w:p>
    <w:p>
      <w:pPr>
        <w:pStyle w:val="ListParagraph"/>
        <w:numPr>
          <w:ilvl w:val="0"/>
          <w:numId w:val="2"/>
        </w:numPr>
        <w:spacing w:after="50"/>
      </w:pPr>
      <w:hyperlink w:history="1" r:id="rIdv4wfhxniviakks8y5onbz">
        <w:r>
          <w:rPr>
            <w:rStyle w:val="Hyperlink"/>
            <w:sz w:val="17"/>
            <w:szCs w:val="17"/>
          </w:rPr>
          <w:t xml:space="preserve">Gold Fields 2025 Integrated Annual Report / Governance &amp; Remuneration Report</w:t>
        </w:r>
      </w:hyperlink>
    </w:p>
    <w:p>
      <w:pPr>
        <w:pStyle w:val="ListParagraph"/>
        <w:numPr>
          <w:ilvl w:val="0"/>
          <w:numId w:val="2"/>
        </w:numPr>
        <w:spacing w:after="50"/>
      </w:pPr>
      <w:hyperlink w:history="1" r:id="rIdoxnvmlxwhjudrtjkuapzz">
        <w:r>
          <w:rPr>
            <w:rStyle w:val="Hyperlink"/>
            <w:sz w:val="17"/>
            <w:szCs w:val="17"/>
          </w:rPr>
          <w:t xml:space="preserve">Mining Weekly — Gold Fields FY2025 results coverage (19 Feb 2026)</w:t>
        </w:r>
      </w:hyperlink>
    </w:p>
    <w:p>
      <w:pPr>
        <w:pStyle w:val="ListParagraph"/>
        <w:numPr>
          <w:ilvl w:val="0"/>
          <w:numId w:val="2"/>
        </w:numPr>
        <w:spacing w:after="50"/>
      </w:pPr>
      <w:hyperlink w:history="1" r:id="rIdsei6berokh6adbyoc8pso">
        <w:r>
          <w:rPr>
            <w:rStyle w:val="Hyperlink"/>
            <w:sz w:val="17"/>
            <w:szCs w:val="17"/>
          </w:rPr>
          <w:t xml:space="preserve">J.P. Morgan — gold price outlook 2026/2027</w:t>
        </w:r>
      </w:hyperlink>
    </w:p>
    <w:p>
      <w:pPr>
        <w:pStyle w:val="ListParagraph"/>
        <w:numPr>
          <w:ilvl w:val="0"/>
          <w:numId w:val="2"/>
        </w:numPr>
        <w:spacing w:after="50"/>
      </w:pPr>
      <w:hyperlink w:history="1" r:id="rIdl1khj7seimlrdww0v3lxp">
        <w:r>
          <w:rPr>
            <w:rStyle w:val="Hyperlink"/>
            <w:sz w:val="17"/>
            <w:szCs w:val="17"/>
          </w:rPr>
          <w:t xml:space="preserve">Fortune — daily gold price (15 Jun 2026)</w:t>
        </w:r>
      </w:hyperlink>
    </w:p>
    <w:p>
      <w:pPr>
        <w:pStyle w:val="ListParagraph"/>
        <w:numPr>
          <w:ilvl w:val="0"/>
          <w:numId w:val="2"/>
        </w:numPr>
        <w:spacing w:after="50"/>
      </w:pPr>
      <w:hyperlink w:history="1" r:id="rIdsfkur7n8mxap0wwxyb_ve">
        <w:r>
          <w:rPr>
            <w:rStyle w:val="Hyperlink"/>
            <w:sz w:val="17"/>
            <w:szCs w:val="17"/>
          </w:rPr>
          <w:t xml:space="preserve">World Bank Commodity Markets Outlook — Hormuz / oil &amp; metals (Apr–May 2026)</w:t>
        </w:r>
      </w:hyperlink>
    </w:p>
    <w:p>
      <w:pPr>
        <w:pStyle w:val="ListParagraph"/>
        <w:numPr>
          <w:ilvl w:val="0"/>
          <w:numId w:val="2"/>
        </w:numPr>
        <w:spacing w:after="50"/>
      </w:pPr>
      <w:hyperlink w:history="1" r:id="rIdwg9-z7tffnnkvfzs1kvk9">
        <w:r>
          <w:rPr>
            <w:rStyle w:val="Hyperlink"/>
            <w:sz w:val="17"/>
            <w:szCs w:val="17"/>
          </w:rPr>
          <w:t xml:space="preserve">Citi raises Brent to US$150 on extended Hormuz disruption (Apr 2026)</w:t>
        </w:r>
      </w:hyperlink>
    </w:p>
    <w:p>
      <w:pPr>
        <w:pStyle w:val="ListParagraph"/>
        <w:numPr>
          <w:ilvl w:val="0"/>
          <w:numId w:val="2"/>
        </w:numPr>
        <w:spacing w:after="50"/>
      </w:pPr>
      <w:hyperlink w:history="1" r:id="rIdxw_nxgj7spep0qil9xuuf">
        <w:r>
          <w:rPr>
            <w:rStyle w:val="Hyperlink"/>
            <w:sz w:val="17"/>
            <w:szCs w:val="17"/>
          </w:rPr>
          <w:t xml:space="preserve">Macquarie — ‘US$200 oil if the war lasts till June’ (27 Mar 2026)</w:t>
        </w:r>
      </w:hyperlink>
    </w:p>
    <w:p>
      <w:pPr>
        <w:pStyle w:val="ListParagraph"/>
        <w:numPr>
          <w:ilvl w:val="0"/>
          <w:numId w:val="2"/>
        </w:numPr>
        <w:spacing w:after="50"/>
      </w:pPr>
      <w:hyperlink w:history="1" r:id="rIdpy3fa2tlfaydoorv1wbap">
        <w:r>
          <w:rPr>
            <w:rStyle w:val="Hyperlink"/>
            <w:sz w:val="17"/>
            <w:szCs w:val="17"/>
          </w:rPr>
          <w:t xml:space="preserve">Jefferies — oil boosts risk of gold-miner cost revisions (Northern Miner, Jun 2026)</w:t>
        </w:r>
      </w:hyperlink>
    </w:p>
    <w:p>
      <w:pPr>
        <w:pStyle w:val="ListParagraph"/>
        <w:numPr>
          <w:ilvl w:val="0"/>
          <w:numId w:val="2"/>
        </w:numPr>
        <w:spacing w:after="50"/>
      </w:pPr>
      <w:hyperlink w:history="1" r:id="rIdyke3v7ps9pfxylhltxxfj">
        <w:r>
          <w:rPr>
            <w:rStyle w:val="Hyperlink"/>
            <w:sz w:val="17"/>
            <w:szCs w:val="17"/>
          </w:rPr>
          <w:t xml:space="preserve">PBS NewsHour — US–Iran deal to extend ceasefire and reopen Hormuz (15 Jun 2026)</w:t>
        </w:r>
      </w:hyperlink>
    </w:p>
    <w:p>
      <w:pPr>
        <w:pStyle w:val="ListParagraph"/>
        <w:numPr>
          <w:ilvl w:val="0"/>
          <w:numId w:val="2"/>
        </w:numPr>
        <w:spacing w:after="50"/>
      </w:pPr>
      <w:hyperlink w:history="1" r:id="rIdthrw_atuw6v0vc88rwfld">
        <w:r>
          <w:rPr>
            <w:rStyle w:val="Hyperlink"/>
            <w:sz w:val="17"/>
            <w:szCs w:val="17"/>
          </w:rPr>
          <w:t xml:space="preserve">Gold Fields share price (JSE: GFI)</w:t>
        </w:r>
      </w:hyperlink>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95959"/>
        <w:sz w:val="14"/>
        <w:szCs w:val="14"/>
      </w:rPr>
      <w:t xml:space="preserve">Gold Fields (GFI) — IC briefing — 17 June 2026 — informational only, not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90" w:before="18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jv0wy_nrz9znqcbi0dgx" Type="http://schemas.openxmlformats.org/officeDocument/2006/relationships/hyperlink" Target="https://www.sec.gov/cgi-bin/browse-edgar?action=getcompany&amp;CIK=0001172724&amp;type=6-K" TargetMode="External"/><Relationship Id="rIdigkdslsa7rq-c0xwam4-1" Type="http://schemas.openxmlformats.org/officeDocument/2006/relationships/hyperlink" Target="https://www.sec.gov/cgi-bin/browse-edgar?action=getcompany&amp;CIK=0001172724&amp;type=6-K" TargetMode="External"/><Relationship Id="rIdv4wfhxniviakks8y5onbz" Type="http://schemas.openxmlformats.org/officeDocument/2006/relationships/hyperlink" Target="https://www.goldfields.com/integrated-annual-reports.php" TargetMode="External"/><Relationship Id="rIdoxnvmlxwhjudrtjkuapzz" Type="http://schemas.openxmlformats.org/officeDocument/2006/relationships/hyperlink" Target="https://www.miningweekly.com/article/gold-fields-lifts-shareholder-returns-after-strong-2025-financial-performance-2026-02-19" TargetMode="External"/><Relationship Id="rIdsei6berokh6adbyoc8pso" Type="http://schemas.openxmlformats.org/officeDocument/2006/relationships/hyperlink" Target="https://www.jpmorgan.com/insights/global-research/commodities/gold-prices" TargetMode="External"/><Relationship Id="rIdl1khj7seimlrdww0v3lxp" Type="http://schemas.openxmlformats.org/officeDocument/2006/relationships/hyperlink" Target="https://fortune.com/article/current-price-of-gold-06-15-2026/" TargetMode="External"/><Relationship Id="rIdsfkur7n8mxap0wwxyb_ve" Type="http://schemas.openxmlformats.org/officeDocument/2006/relationships/hyperlink" Target="https://blogs.worldbank.org/en/opendata/strait-of-hormuz-disruption-sends-oil-prices-surging" TargetMode="External"/><Relationship Id="rIdwg9-z7tffnnkvfzs1kvk9" Type="http://schemas.openxmlformats.org/officeDocument/2006/relationships/hyperlink" Target="https://boereport.com/2026/04/26/citi-raises-brent-forecast-for-2026-sees-150-oil-if-hormuz-disruption-persists/" TargetMode="External"/><Relationship Id="rIdxw_nxgj7spep0qil9xuuf" Type="http://schemas.openxmlformats.org/officeDocument/2006/relationships/hyperlink" Target="https://www.bloomberg.com/news/articles/2026-03-27/brace-for-200-oil-if-the-war-lasts-till-june-macquarie-warns" TargetMode="External"/><Relationship Id="rIdpy3fa2tlfaydoorv1wbap" Type="http://schemas.openxmlformats.org/officeDocument/2006/relationships/hyperlink" Target="https://www.northernminer.com/news/oil-boosts-risk-of-gold-miner-cost-revisions-jefferies/1003891889/" TargetMode="External"/><Relationship Id="rIdyke3v7ps9pfxylhltxxfj" Type="http://schemas.openxmlformats.org/officeDocument/2006/relationships/hyperlink" Target="https://www.pbs.org/newshour/world/iran-and-u-s-reach-an-initial-deal-to-extend-the-ceasefire-and-open-the-strait-of-hormuz-but-challenges-remain" TargetMode="External"/><Relationship Id="rIdthrw_atuw6v0vc88rwfld" Type="http://schemas.openxmlformats.org/officeDocument/2006/relationships/hyperlink" Target="https://afx.kwayisi.org/jse/gfi.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2026-06-17T12:18:00.245Z</dcterms:created>
  <dcterms:modified xsi:type="dcterms:W3CDTF">2026-06-17T12:18:00.245Z</dcterms:modified>
</cp:coreProperties>
</file>

<file path=docProps/custom.xml><?xml version="1.0" encoding="utf-8"?>
<Properties xmlns="http://schemas.openxmlformats.org/officeDocument/2006/custom-properties" xmlns:vt="http://schemas.openxmlformats.org/officeDocument/2006/docPropsVTypes"/>
</file>