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Mr Price Group Limited (JSE: MRP)</w:t>
      </w:r>
    </w:p>
    <w:p>
      <w:pPr>
        <w:spacing w:after="40"/>
      </w:pPr>
      <w:r>
        <w:rPr>
          <w:b/>
          <w:bCs/>
          <w:sz w:val="24"/>
          <w:szCs w:val="24"/>
        </w:rPr>
        <w:t xml:space="preserve">FY2026 Results, Forward Risks &amp; Scenario Analysis: Load Shedding and the 2026 Iran War</w:t>
      </w:r>
    </w:p>
    <w:p>
      <w:pPr>
        <w:pBdr>
          <w:bottom w:val="single" w:color="1F4E79" w:sz="6" w:space="1"/>
        </w:pBdr>
        <w:spacing w:after="120"/>
      </w:pPr>
      <w:r>
        <w:rPr>
          <w:i/>
          <w:iCs/>
          <w:color w:val="595959"/>
          <w:sz w:val="16"/>
          <w:szCs w:val="16"/>
        </w:rPr>
        <w:t xml:space="preserve">Internal research note · Prepared 8 June 2026 · Reporting currency: ZAR · For informational purposes only — not investment advice</w:t>
      </w:r>
    </w:p>
    <w:p>
      <w:pPr>
        <w:pStyle w:val="Heading1"/>
      </w:pPr>
      <w:r>
        <w:t xml:space="preserve">1. Summary</w:t>
      </w:r>
    </w:p>
    <w:p>
      <w:pPr>
        <w:spacing w:after="120"/>
      </w:pPr>
      <w:r>
        <w:t xml:space="preserve">Mr Price reported a </w:t>
      </w:r>
      <w:r>
        <w:rPr>
          <w:b/>
          <w:bCs/>
        </w:rPr>
        <w:t xml:space="preserve">resilient but unspectacular FY2026</w:t>
      </w:r>
      <w:r>
        <w:t xml:space="preserve"> (52 weeks ended 28 March 2026, released on SENS 5 June 2026): revenue of </w:t>
      </w:r>
      <w:r>
        <w:rPr>
          <w:b/>
          <w:bCs/>
        </w:rPr>
        <w:t xml:space="preserve">R42.7bn</w:t>
      </w:r>
      <w:r>
        <w:t xml:space="preserve"> and operating profit up </w:t>
      </w:r>
      <w:r>
        <w:rPr>
          <w:b/>
          <w:bCs/>
        </w:rPr>
        <w:t xml:space="preserve">4.3% to R6.0bn</w:t>
      </w:r>
      <w:r>
        <w:t xml:space="preserve"> — about R16.4m per day. Statutory headline earnings rose only ~2% (HEPS 1,453.9c), but </w:t>
      </w:r>
      <w:r>
        <w:rPr>
          <w:b/>
          <w:bCs/>
        </w:rPr>
        <w:t xml:space="preserve">normalised headline EPS grew 7.7%</w:t>
      </w:r>
      <w:r>
        <w:t xml:space="preserve"> once the once-off costs of the NKD acquisition are stripped out. Growth was price-led (selling-price inflation 3.8%, unit sales only +0.5%), cash sales held at 89.4% of retail sales, and the final dividend was effectively flat at 592.8c (FY2025: 593.5c). This is the latest published result; the next scheduled disclosure is H1 FY2027 interims, expected ~November 2026.</w:t>
      </w:r>
    </w:p>
    <w:p>
      <w:pPr>
        <w:spacing w:after="120"/>
      </w:pPr>
      <w:r>
        <w:t xml:space="preserve">The dominant story is strategic, not cyclical. In December 2025 Mr Price agreed to buy </w:t>
      </w:r>
      <w:r>
        <w:rPr>
          <w:b/>
          <w:bCs/>
        </w:rPr>
        <w:t xml:space="preserve">NKD</w:t>
      </w:r>
      <w:r>
        <w:t xml:space="preserve">, a European value retailer with 2,000+ stores across seven countries, for up to €487m (~R9.66bn), closing 31 March 2026 and consolidating from FY2027. The deal more than doubles the store footprint, ends the net-cash balance sheet, and introduces a large euro translation exposure for a historically rand-centric name. Against that backdrop, the two macro shocks in this note — </w:t>
      </w:r>
      <w:r>
        <w:rPr>
          <w:b/>
          <w:bCs/>
        </w:rPr>
        <w:t xml:space="preserve">renewed load shedding</w:t>
      </w:r>
      <w:r>
        <w:t xml:space="preserve"> and a continuation of the </w:t>
      </w:r>
      <w:r>
        <w:rPr>
          <w:b/>
          <w:bCs/>
        </w:rPr>
        <w:t xml:space="preserve">2026 Iran war</w:t>
      </w:r>
      <w:r>
        <w:t xml:space="preserve"> — matter mainly through three channels: the SA consumer's discretionary wallet, imported-input and freight costs, and the rand (now also the euro cross).</w:t>
      </w:r>
    </w:p>
    <w:p>
      <w:pPr>
        <w:pStyle w:val="Heading1"/>
      </w:pPr>
      <w:r>
        <w:t xml:space="preserve">2. FY2026 results snapshot</w:t>
      </w:r>
    </w:p>
    <w:p>
      <w:pPr>
        <w:spacing w:after="120"/>
      </w:pPr>
      <w:r>
        <w:rPr>
          <w:i/>
          <w:iCs/>
          <w:color w:val="595959"/>
          <w:sz w:val="16"/>
          <w:szCs w:val="16"/>
        </w:rPr>
        <w:t xml:space="preserve">Figures from the FY2026 SENS results (5 June 2026) and official supplementary information. Prior-year comparatives marked (e) are derived for context and should be confirmed against the FY2026 AFS. Statutory HEPS growth is depressed by NKD transaction costs; management's preferred normalised measure is +7.7% headline / +8.0%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left"/>
            </w:pPr>
            <w:r>
              <w:rPr>
                <w:b/>
                <w:bCs/>
                <w:color w:val="FFFFFF"/>
                <w:sz w:val="18"/>
                <w:szCs w:val="18"/>
              </w:rPr>
              <w:t xml:space="preserve">Metric</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right"/>
            </w:pPr>
            <w:r>
              <w:rPr>
                <w:b/>
                <w:bCs/>
                <w:color w:val="FFFFFF"/>
                <w:sz w:val="18"/>
                <w:szCs w:val="18"/>
              </w:rPr>
              <w:t xml:space="preserve">FY2026</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right"/>
            </w:pPr>
            <w:r>
              <w:rPr>
                <w:b/>
                <w:bCs/>
                <w:color w:val="FFFFFF"/>
                <w:sz w:val="18"/>
                <w:szCs w:val="18"/>
              </w:rPr>
              <w:t xml:space="preserve">FY2025</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right"/>
            </w:pPr>
            <w:r>
              <w:rPr>
                <w:b/>
                <w:bCs/>
                <w:color w:val="FFFFFF"/>
                <w:sz w:val="18"/>
                <w:szCs w:val="18"/>
              </w:rPr>
              <w:t xml:space="preserve">Change</w:t>
            </w:r>
          </w:p>
        </w:tc>
        <w:tc>
          <w:tcPr>
            <w:tcW w:type="dxa" w:w="1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right"/>
            </w:pPr>
            <w:r>
              <w:rPr>
                <w:b/>
                <w:bCs/>
                <w:color w:val="FFFFFF"/>
                <w:sz w:val="18"/>
                <w:szCs w:val="18"/>
              </w:rPr>
              <w:t xml:space="preserve">Source</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Revenue (R'bn)</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42.7</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~40.9</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+~4%</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Retail sales (R'bn)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41.1</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39.4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+4.3%</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Operating profit (R'bn)</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6.0</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5.75 (e)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+4.3%</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Operating margin (%)</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14.0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14.0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~flat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HEPS — statutory (cents)</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1,453.9</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1,424 (e)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+2.1%</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HEPS — normalised, ex-NKD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+7.7%</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Diluted HEPS (cents)</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1,411.8</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1,378 (e)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+2.4%</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Diluted HEPS — normalised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~1,489</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+8.0%</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Basic EPS (cents)</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1,449.5</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1,417 (e)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+2.3%</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Final dividend (cents)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592.8</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593.5</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-0.1%</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Unit sales / RSP inflation</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+0.5%</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3.8%</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Cash sales (% of retail)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89.4%</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+4.4% val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Online sales growth</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+4.9%</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Stores / new opened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3,182 / 196</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2,986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+3.6% space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b w:val="false"/>
                <w:bCs w:val="false"/>
                <w:sz w:val="18"/>
                <w:szCs w:val="18"/>
              </w:rPr>
              <w:t xml:space="preserve">S1</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Share price / trailing P/E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~R212 / ~10.9x</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sz w:val="18"/>
                <w:szCs w:val="18"/>
              </w:rPr>
              <w:t xml:space="preserve">S5</w:t>
            </w:r>
          </w:p>
        </w:tc>
      </w:tr>
    </w:tbl>
    <w:p>
      <w:pPr>
        <w:spacing w:after="120"/>
      </w:pPr>
      <w:r>
        <w:rPr>
          <w:i/>
          <w:iCs/>
          <w:color w:val="595959"/>
          <w:sz w:val="16"/>
          <w:szCs w:val="16"/>
        </w:rPr>
        <w:t xml:space="preserve">Read-through: a high-quality, cash-generative SA franchise grinding out low-single-digit growth in a soft consumer market, now overlaid with a transformational, partly debt-funded offshore acquisition. The base business has limited organic momentum, so it is more exposed than usual to any further squeeze on the SA discretionary consumer — which is exactly the channel both shocks below run through.</w:t>
      </w:r>
    </w:p>
    <w:p>
      <w:pPr>
        <w:pStyle w:val="Heading1"/>
        <w:pageBreakBefore/>
      </w:pPr>
      <w:r>
        <w:t xml:space="preserve">3. Key risks going into FY2027 (year to ~March 2027)</w:t>
      </w:r>
    </w:p>
    <w:p>
      <w:pPr>
        <w:spacing w:after="120"/>
      </w:pPr>
      <w:r>
        <w:t xml:space="preserve">Severity ratings are analyst judgement. The first three are NKD/strategy-driven and now dominate the equity story; the remainder are the cyclical SA-consumer risks the two macro scenarios in sections 4–5 amplify.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left"/>
            </w:pPr>
            <w:r>
              <w:rPr>
                <w:b/>
                <w:bCs/>
                <w:color w:val="FFFFFF"/>
                <w:sz w:val="18"/>
                <w:szCs w:val="18"/>
              </w:rPr>
              <w:t xml:space="preserve">Risk</w:t>
            </w:r>
          </w:p>
        </w:tc>
        <w:tc>
          <w:tcPr>
            <w:tcW w:type="dxa" w:w="57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right"/>
            </w:pPr>
            <w:r>
              <w:rPr>
                <w:b/>
                <w:bCs/>
                <w:color w:val="FFFFFF"/>
                <w:sz w:val="18"/>
                <w:szCs w:val="18"/>
              </w:rPr>
              <w:t xml:space="preserve">Why it matters for FY2027</w:t>
            </w:r>
          </w:p>
        </w:tc>
        <w:tc>
          <w:tcPr>
            <w:tcW w:type="dxa" w:w="12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jc w:val="right"/>
            </w:pPr>
            <w:r>
              <w:rPr>
                <w:b/>
                <w:bCs/>
                <w:color w:val="FFFFFF"/>
                <w:sz w:val="18"/>
                <w:szCs w:val="18"/>
              </w:rPr>
              <w:t xml:space="preserve">Severity</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NKD integration</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val="false"/>
                <w:bCs w:val="false"/>
                <w:sz w:val="18"/>
                <w:szCs w:val="18"/>
              </w:rPr>
              <w:t xml:space="preserve">First material offshore operating business; 2,000+ stores across seven Central/Eastern European markets. Systems, culture and management-bandwidth strain; goodwill-impairment risk if the turnaround disappoints.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center"/>
            </w:pPr>
            <w:r>
              <w:rPr>
                <w:b/>
                <w:bCs/>
                <w:color w:val="C00000"/>
                <w:sz w:val="18"/>
                <w:szCs w:val="18"/>
              </w:rPr>
              <w:t xml:space="preserve">High</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Euro translation (FX)</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sz w:val="18"/>
                <w:szCs w:val="18"/>
              </w:rPr>
              <w:t xml:space="preserve">From FY2027 a large EUR business consolidates into a ZAR reporter. EUR/ZAR swings now move group earnings and the balance sheet — a brand-new exposure.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bCs/>
                <w:color w:val="C00000"/>
                <w:sz w:val="18"/>
                <w:szCs w:val="18"/>
              </w:rPr>
              <w:t xml:space="preserve">High</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Balance-sheet gearing</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val="false"/>
                <w:bCs w:val="false"/>
                <w:sz w:val="18"/>
                <w:szCs w:val="18"/>
              </w:rPr>
              <w:t xml:space="preserve">The ~R9.66bn consideration ends the net-cash (ex-lease) profile and adds a real interest bill. Flat final dividend signals capital preservation.</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center"/>
            </w:pPr>
            <w:r>
              <w:rPr>
                <w:b/>
                <w:bCs/>
                <w:color w:val="BF8F00"/>
                <w:sz w:val="18"/>
                <w:szCs w:val="18"/>
              </w:rPr>
              <w:t xml:space="preserve">Med-High</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Soft discretionary demand</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sz w:val="18"/>
                <w:szCs w:val="18"/>
              </w:rPr>
              <w:t xml:space="preserve">Unit sales only +0.5%; growth is price-led. Apparel/home is highly cyclical and the SA consumer is fragile — the primary channel for both macro scenarios below.</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bCs/>
                <w:color w:val="BF8F00"/>
                <w:sz w:val="18"/>
                <w:szCs w:val="18"/>
              </w:rPr>
              <w:t xml:space="preserve">Medium</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Interest-rate inflexion</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val="false"/>
                <w:bCs w:val="false"/>
                <w:sz w:val="18"/>
                <w:szCs w:val="18"/>
              </w:rPr>
              <w:t xml:space="preserve">SARB raised 25bps end-May 2026, reversing the easing cycle. Pressures the credit book, debtors' interest income (other revenue -1.9%) and discretionary spend.</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center"/>
            </w:pPr>
            <w:r>
              <w:rPr>
                <w:b/>
                <w:bCs/>
                <w:color w:val="BF8F00"/>
                <w:sz w:val="18"/>
                <w:szCs w:val="18"/>
              </w:rPr>
              <w:t xml:space="preserve">Medium</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High comparative base</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sz w:val="18"/>
                <w:szCs w:val="18"/>
              </w:rPr>
              <w:t xml:space="preserve">Prior-year H2 retail sales grew 9.9% on two-pot withdrawals; tougher comparatives into FY2027.</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bCs/>
                <w:color w:val="BF8F00"/>
                <w:sz w:val="18"/>
                <w:szCs w:val="18"/>
              </w:rPr>
              <w:t xml:space="preserve">Medium</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bCs/>
                <w:sz w:val="18"/>
                <w:szCs w:val="18"/>
              </w:rPr>
              <w:t xml:space="preserve">Import sourcing (USD/CNY)</w:t>
            </w:r>
          </w:p>
        </w:tc>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b w:val="false"/>
                <w:bCs w:val="false"/>
                <w:sz w:val="18"/>
                <w:szCs w:val="18"/>
              </w:rPr>
              <w:t xml:space="preserve">A large share of apparel is imported; rand weakness raises landed cost and pressures the ~40% gross margin (managed via forward cover, supplier terms, local sourcing).</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center"/>
            </w:pPr>
            <w:r>
              <w:rPr>
                <w:b/>
                <w:bCs/>
                <w:color w:val="BF8F00"/>
                <w:sz w:val="18"/>
                <w:szCs w:val="18"/>
              </w:rPr>
              <w:t xml:space="preserve">Medium</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bCs/>
                <w:sz w:val="18"/>
                <w:szCs w:val="18"/>
              </w:rPr>
              <w:t xml:space="preserve">Competition</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b w:val="false"/>
                <w:bCs w:val="false"/>
                <w:sz w:val="18"/>
                <w:szCs w:val="18"/>
              </w:rPr>
              <w:t xml:space="preserve">Shein/Temu and value peers (Pepkor, Foschini/TFG, Pep) intensify price competition in apparel and home.</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center"/>
            </w:pPr>
            <w:r>
              <w:rPr>
                <w:b/>
                <w:bCs/>
                <w:color w:val="BF8F00"/>
                <w:sz w:val="18"/>
                <w:szCs w:val="18"/>
              </w:rPr>
              <w:t xml:space="preserve">Medium</w:t>
            </w:r>
          </w:p>
        </w:tc>
      </w:tr>
    </w:tbl>
    <w:p>
      <w:pPr>
        <w:pStyle w:val="Heading1"/>
        <w:pageBreakBefore/>
      </w:pPr>
      <w:r>
        <w:t xml:space="preserve">4. Scenario: increased load shedding</w:t>
      </w:r>
    </w:p>
    <w:p>
      <w:pPr>
        <w:pStyle w:val="Heading2"/>
      </w:pPr>
      <w:r>
        <w:t xml:space="preserve">4.1 Current status (June 2026)</w:t>
      </w:r>
    </w:p>
    <w:p>
      <w:pPr>
        <w:spacing w:after="120"/>
      </w:pPr>
      <w:r>
        <w:t xml:space="preserve">Eskom load shedding is currently </w:t>
      </w:r>
      <w:r>
        <w:rPr>
          <w:b/>
          <w:bCs/>
        </w:rPr>
        <w:t xml:space="preserve">suspended</w:t>
      </w:r>
      <w:r>
        <w:t xml:space="preserve"> — the grid has been free of national load shedding for 300+ days, and the official Winter Outlook 2026 base case projects no load shedding through August. However, the </w:t>
      </w:r>
      <w:r>
        <w:rPr>
          <w:b/>
          <w:bCs/>
        </w:rPr>
        <w:t xml:space="preserve">high-risk scenario remains officially on the table for 18 May – 12 August 2026</w:t>
      </w:r>
      <w:r>
        <w:t xml:space="preserve">: if unplanned breakdowns exceed ~16,000 MW during the winter peak, Eskom would resume cuts at Stages 2–6. Localised </w:t>
      </w:r>
      <w:r>
        <w:rPr>
          <w:b/>
          <w:bCs/>
        </w:rPr>
        <w:t xml:space="preserve">load reduction</w:t>
      </w:r>
      <w:r>
        <w:t xml:space="preserve"> (distinct from national load shedding) is already running daily in parts of Gauteng during morning and evening peaks. So “increased load shedding” is best treated as a winter-2026 tail risk that re-emerges, not the current base case.</w:t>
      </w:r>
    </w:p>
    <w:p>
      <w:pPr>
        <w:pStyle w:val="Heading2"/>
      </w:pPr>
      <w:r>
        <w:t xml:space="preserve">4.2 How it would hit Mr Price</w:t>
      </w:r>
    </w:p>
    <w:p>
      <w:pPr>
        <w:spacing w:after="120"/>
      </w:pPr>
      <w:r>
        <w:t xml:space="preserve">Mr Price is </w:t>
      </w:r>
      <w:r>
        <w:rPr>
          <w:b/>
          <w:bCs/>
        </w:rPr>
        <w:t xml:space="preserve">relatively well-insulated versus most SA retailers</w:t>
      </w:r>
      <w:r>
        <w:t xml:space="preserve">, but not immune. The transmission runs through four channels, in rough order of importance:</w:t>
      </w:r>
    </w:p>
    <w:p>
      <w:pPr>
        <w:pStyle w:val="ListParagraph"/>
        <w:numPr>
          <w:ilvl w:val="0"/>
          <w:numId w:val="2"/>
        </w:numPr>
        <w:spacing w:after="60"/>
      </w:pPr>
      <w:r>
        <w:rPr>
          <w:b/>
          <w:bCs/>
        </w:rPr>
        <w:t xml:space="preserve">Consumer demand (largest channel). </w:t>
      </w:r>
      <w:r>
        <w:t xml:space="preserve">Load shedding is a drag on GDP, employment and household confidence. As a discretionary apparel/home retailer whose FY2026 unit growth was already only +0.5%, Mr Price's volumes are highly sensitive to any further weakening of the consumer wallet. This indirect macro hit typically outweighs the direct cost hit.</w:t>
      </w:r>
    </w:p>
    <w:p>
      <w:pPr>
        <w:pStyle w:val="ListParagraph"/>
        <w:numPr>
          <w:ilvl w:val="0"/>
          <w:numId w:val="2"/>
        </w:numPr>
        <w:spacing w:after="60"/>
      </w:pPr>
      <w:r>
        <w:rPr>
          <w:b/>
          <w:bCs/>
        </w:rPr>
        <w:t xml:space="preserve">Direct operating costs (diesel/backup). </w:t>
      </w:r>
      <w:r>
        <w:t xml:space="preserve">Stores in malls largely run on landlord backup generation, recovered through higher utility recoveries and rates in the rental bill; standalone stores and distribution centres burn diesel. At higher stages this lifts operating costs and pressures the ~14% operating margin. The asset-light, mall-anchored footprint limits but does not remove this.</w:t>
      </w:r>
    </w:p>
    <w:p>
      <w:pPr>
        <w:pStyle w:val="ListParagraph"/>
        <w:numPr>
          <w:ilvl w:val="0"/>
          <w:numId w:val="2"/>
        </w:numPr>
        <w:spacing w:after="60"/>
      </w:pPr>
      <w:r>
        <w:rPr>
          <w:b/>
          <w:bCs/>
        </w:rPr>
        <w:t xml:space="preserve">Supply chain &amp; fulfilment. </w:t>
      </w:r>
      <w:r>
        <w:t xml:space="preserve">Sustained high stages disrupt local suppliers, DC throughput, and omnichannel fulfilment (online +4.9%; 55%+ of online orders collect in store). Trading-hour losses in affected malls dent foot traffic during peak evening windows.</w:t>
      </w:r>
    </w:p>
    <w:p>
      <w:pPr>
        <w:pStyle w:val="ListParagraph"/>
        <w:numPr>
          <w:ilvl w:val="0"/>
          <w:numId w:val="2"/>
        </w:numPr>
        <w:spacing w:after="60"/>
      </w:pPr>
      <w:r>
        <w:rPr>
          <w:b/>
          <w:bCs/>
        </w:rPr>
        <w:t xml:space="preserve">Trading-density / new-store economics. </w:t>
      </w:r>
      <w:r>
        <w:t xml:space="preserve">196 stores opened in FY2026 on +3.6% space. Persistent outages raise the cost of running new space and can soften the returns underpinning the self-funded roll-out.</w:t>
      </w:r>
    </w:p>
    <w:p>
      <w:pPr>
        <w:spacing w:after="120"/>
      </w:pPr>
      <w:r>
        <w:rPr>
          <w:b/>
          <w:bCs/>
        </w:rPr>
        <w:t xml:space="preserve">Net assessment — Medium, manageable. </w:t>
      </w:r>
      <w:r>
        <w:t xml:space="preserve">On the value/cash-based model and its track record through prior load-shedding cycles, Mr Price has absorbed load shedding better than appliance, grocery (cold chain) or hospitality peers; the cost is incremental margin pressure plus a softer top line via the consumer. A sustained return to Stage 4+ is the level at which it moves from nuisance to a genuine earnings risk, chiefly via demand. NKD (Europe) is unaffected by Eskom, so from FY2027 a growing share of group earnings is structurally insulated from SA grid risk — a modest diversification benefit.</w:t>
      </w:r>
    </w:p>
    <w:p>
      <w:pPr>
        <w:pStyle w:val="Heading1"/>
        <w:pageBreakBefore/>
      </w:pPr>
      <w:r>
        <w:t xml:space="preserve">5. Scenario: the 2026 Iran war continues</w:t>
      </w:r>
    </w:p>
    <w:p>
      <w:pPr>
        <w:pStyle w:val="Heading2"/>
      </w:pPr>
      <w:r>
        <w:t xml:space="preserve">5.1 Current status (June 2026)</w:t>
      </w:r>
    </w:p>
    <w:p>
      <w:pPr>
        <w:spacing w:after="120"/>
      </w:pPr>
      <w:r>
        <w:t xml:space="preserve">The 2026 Iran war began on 28 February 2026 (US/Israel strikes on Iran) and, as of early June 2026, sits in a </w:t>
      </w:r>
      <w:r>
        <w:rPr>
          <w:b/>
          <w:bCs/>
        </w:rPr>
        <w:t xml:space="preserve">fragile, contested ceasefire</w:t>
      </w:r>
      <w:r>
        <w:t xml:space="preserve"> with sporadic operations continuing and active diplomacy. A central market concern is </w:t>
      </w:r>
      <w:r>
        <w:rPr>
          <w:b/>
          <w:bCs/>
        </w:rPr>
        <w:t xml:space="preserve">Iranian pressure on the Strait of Hormuz</w:t>
      </w:r>
      <w:r>
        <w:t xml:space="preserve">, through which a large share of seaborne crude and LNG transits. “The war continuing” — i.e. ceasefire failure and renewed escalation around Hormuz — is the case modelled here. Mr Price has </w:t>
      </w:r>
      <w:r>
        <w:rPr>
          <w:b/>
          <w:bCs/>
        </w:rPr>
        <w:t xml:space="preserve">no direct operations in the conflict zone</w:t>
      </w:r>
      <w:r>
        <w:t xml:space="preserve">; the exposure is entirely indirect, via oil, freight, the rand and the consumer.</w:t>
      </w:r>
    </w:p>
    <w:p>
      <w:pPr>
        <w:pStyle w:val="Heading2"/>
      </w:pPr>
      <w:r>
        <w:t xml:space="preserve">5.2 Transmission channels to Mr Price</w:t>
      </w:r>
    </w:p>
    <w:p>
      <w:pPr>
        <w:pStyle w:val="ListParagraph"/>
        <w:numPr>
          <w:ilvl w:val="0"/>
          <w:numId w:val="2"/>
        </w:numPr>
        <w:spacing w:after="60"/>
      </w:pPr>
      <w:r>
        <w:rPr>
          <w:b/>
          <w:bCs/>
        </w:rPr>
        <w:t xml:space="preserve">Oil price → fuel → consumer wallet. </w:t>
      </w:r>
      <w:r>
        <w:t xml:space="preserve">Escalation / Hormuz disruption spikes Brent. SA imports most of its crude, so a higher oil price feeds quickly into the petrol price, squeezing exactly the lower-/middle-income discretionary consumer Mr Price serves. This is the single most important channel — it compounds the same demand pressure as load shedding.</w:t>
      </w:r>
    </w:p>
    <w:p>
      <w:pPr>
        <w:pStyle w:val="ListParagraph"/>
        <w:numPr>
          <w:ilvl w:val="0"/>
          <w:numId w:val="2"/>
        </w:numPr>
        <w:spacing w:after="60"/>
      </w:pPr>
      <w:r>
        <w:rPr>
          <w:b/>
          <w:bCs/>
        </w:rPr>
        <w:t xml:space="preserve">Rand weakness (risk-off). </w:t>
      </w:r>
      <w:r>
        <w:t xml:space="preserve">A widening Middle East war drives risk-off flows out of EM currencies. A weaker rand raises the landed cost of imported apparel/homeware (priced in USD/CNY), pressuring the ~40% gross margin despite forward cover and local sourcing.</w:t>
      </w:r>
    </w:p>
    <w:p>
      <w:pPr>
        <w:pStyle w:val="ListParagraph"/>
        <w:numPr>
          <w:ilvl w:val="0"/>
          <w:numId w:val="2"/>
        </w:numPr>
        <w:spacing w:after="60"/>
      </w:pPr>
      <w:r>
        <w:rPr>
          <w:b/>
          <w:bCs/>
        </w:rPr>
        <w:t xml:space="preserve">Freight &amp; shipping lead times. </w:t>
      </w:r>
      <w:r>
        <w:t xml:space="preserve">Red Sea / Suez disruption (a recurring feature of regional conflict) lifts container rates and lengthens lead times on imported product. For an importer of seasonal fashion, this raises cost of goods and the risk of markdowns on mistimed stock.</w:t>
      </w:r>
    </w:p>
    <w:p>
      <w:pPr>
        <w:pStyle w:val="ListParagraph"/>
        <w:numPr>
          <w:ilvl w:val="0"/>
          <w:numId w:val="2"/>
        </w:numPr>
        <w:spacing w:after="60"/>
      </w:pPr>
      <w:r>
        <w:rPr>
          <w:b/>
          <w:bCs/>
        </w:rPr>
        <w:t xml:space="preserve">Inflation → interest rates. </w:t>
      </w:r>
      <w:r>
        <w:t xml:space="preserve">Higher oil and a weaker rand push SA inflation up, reinforcing the SARB's late-May 25bps hike and keeping rates higher for longer. That pressures the credit book, debtors' interest income, and discretionary demand — a triple squeeze.</w:t>
      </w:r>
    </w:p>
    <w:p>
      <w:pPr>
        <w:pStyle w:val="ListParagraph"/>
        <w:numPr>
          <w:ilvl w:val="0"/>
          <w:numId w:val="2"/>
        </w:numPr>
        <w:spacing w:after="60"/>
      </w:pPr>
      <w:r>
        <w:rPr>
          <w:b/>
          <w:bCs/>
        </w:rPr>
        <w:t xml:space="preserve">Euro / NKD cross-read (FY2027 onward). </w:t>
      </w:r>
      <w:r>
        <w:t xml:space="preserve">A sustained oil shock also hits the European value consumer NKD serves and raises European energy/operating costs — landing just as Mr Price begins consolidating NKD. The partial offset is FX: severe global risk-off can move EUR/ZAR in ways that flatter or hurt reported group numbers depending on the path. Net, the war adds uncertainty to the FY2027 “dual-currency” year.</w:t>
      </w:r>
    </w:p>
    <w:p>
      <w:pPr>
        <w:spacing w:after="120"/>
      </w:pPr>
      <w:r>
        <w:rPr>
          <w:b/>
          <w:bCs/>
        </w:rPr>
        <w:t xml:space="preserve">Net assessment — Medium-High if Hormuz is disrupted. </w:t>
      </w:r>
      <w:r>
        <w:t xml:space="preserve">Unlike load shedding, the Iran-war channel hits Mr Price on </w:t>
      </w:r>
      <w:r>
        <w:rPr>
          <w:b/>
          <w:bCs/>
        </w:rPr>
        <w:t xml:space="preserve">both</w:t>
      </w:r>
      <w:r>
        <w:t xml:space="preserve"> sides at once: it squeezes the top line (consumer, via fuel) and the gross margin (rand and freight, via imported inputs), while pushing rates higher. A short, contained conflict with a holding ceasefire is largely a non-event for MRP; a prolonged war that chokes Hormuz and drives Brent toward/above ~$100+ would be a genuine FY2027 earnings risk. The mitigants are real but partial: cash-based model, forward FX cover, flexible value sourcing, and the growing euro earnings base.</w:t>
      </w:r>
    </w:p>
    <w:p>
      <w:pPr>
        <w:pStyle w:val="Heading1"/>
      </w:pPr>
      <w:r>
        <w:t xml:space="preserve">6. Combined view &amp; what to watch</w:t>
      </w:r>
    </w:p>
    <w:p>
      <w:pPr>
        <w:spacing w:after="120"/>
      </w:pPr>
      <w:r>
        <w:t xml:space="preserve">The two scenarios are </w:t>
      </w:r>
      <w:r>
        <w:rPr>
          <w:b/>
          <w:bCs/>
        </w:rPr>
        <w:t xml:space="preserve">correlated, not independent</w:t>
      </w:r>
      <w:r>
        <w:t xml:space="preserve">: a higher oil price from the Iran war raises the diesel cost of any renewed load shedding and deepens the consumer squeeze, while a weaker rand lifts imported-input costs at the same time. The common thread — and Mr Price's single biggest vulnerability into FY2027 — is the </w:t>
      </w:r>
      <w:r>
        <w:rPr>
          <w:b/>
          <w:bCs/>
        </w:rPr>
        <w:t xml:space="preserve">discretionary SA consumer</w:t>
      </w:r>
      <w:r>
        <w:t xml:space="preserve">, because organic growth is already price-led and thin. Watch items:</w:t>
      </w:r>
    </w:p>
    <w:p>
      <w:pPr>
        <w:pStyle w:val="ListParagraph"/>
        <w:numPr>
          <w:ilvl w:val="0"/>
          <w:numId w:val="2"/>
        </w:numPr>
        <w:spacing w:after="60"/>
      </w:pPr>
      <w:r>
        <w:rPr>
          <w:b/>
          <w:bCs/>
        </w:rPr>
        <w:t xml:space="preserve">Eskom winter peak (to 12 Aug 2026): </w:t>
      </w:r>
      <w:r>
        <w:t xml:space="preserve">daily unplanned-outage trend vs the ~16,000 MW threshold that triggers Stage 2–6.</w:t>
      </w:r>
    </w:p>
    <w:p>
      <w:pPr>
        <w:pStyle w:val="ListParagraph"/>
        <w:numPr>
          <w:ilvl w:val="0"/>
          <w:numId w:val="2"/>
        </w:numPr>
        <w:spacing w:after="60"/>
      </w:pPr>
      <w:r>
        <w:rPr>
          <w:b/>
          <w:bCs/>
        </w:rPr>
        <w:t xml:space="preserve">Brent / EUR/ZAR / USD/ZAR: </w:t>
      </w:r>
      <w:r>
        <w:t xml:space="preserve">the fuel-and-margin barometer; a Hormuz disruption is the key escalation trigger.</w:t>
      </w:r>
    </w:p>
    <w:p>
      <w:pPr>
        <w:pStyle w:val="ListParagraph"/>
        <w:numPr>
          <w:ilvl w:val="0"/>
          <w:numId w:val="2"/>
        </w:numPr>
        <w:spacing w:after="60"/>
      </w:pPr>
      <w:r>
        <w:rPr>
          <w:b/>
          <w:bCs/>
        </w:rPr>
        <w:t xml:space="preserve">SARB trajectory: </w:t>
      </w:r>
      <w:r>
        <w:t xml:space="preserve">whether the May 2026 hike becomes a cycle, pressuring credit and demand.</w:t>
      </w:r>
    </w:p>
    <w:p>
      <w:pPr>
        <w:pStyle w:val="ListParagraph"/>
        <w:numPr>
          <w:ilvl w:val="0"/>
          <w:numId w:val="2"/>
        </w:numPr>
        <w:spacing w:after="60"/>
      </w:pPr>
      <w:r>
        <w:rPr>
          <w:b/>
          <w:bCs/>
        </w:rPr>
        <w:t xml:space="preserve">H1 FY2027 interims (~Nov 2026): </w:t>
      </w:r>
      <w:r>
        <w:t xml:space="preserve">first NKD consolidation; first read on gearing, the interest bill, euro translation and SA like-for-like volumes.</w:t>
      </w:r>
    </w:p>
    <w:p>
      <w:pPr>
        <w:pStyle w:val="Heading1"/>
      </w:pPr>
      <w:r>
        <w:t xml:space="preserve">7. Questions for management</w:t>
      </w:r>
    </w:p>
    <w:p>
      <w:pPr>
        <w:spacing w:after="120"/>
      </w:pPr>
      <w:r>
        <w:t xml:space="preserve">Carried from the standing research note and sharpened for the macro backdrop:</w:t>
      </w:r>
    </w:p>
    <w:p>
      <w:pPr>
        <w:pStyle w:val="ListParagraph"/>
        <w:numPr>
          <w:ilvl w:val="0"/>
          <w:numId w:val="2"/>
        </w:numPr>
        <w:spacing w:after="60"/>
      </w:pPr>
      <w:r>
        <w:t xml:space="preserve">What petrol-price / consumer-confidence assumptions underpin FY2027 SA like-for-like guidance, and how sensitive is the plan to a renewed fuel shock?</w:t>
      </w:r>
    </w:p>
    <w:p>
      <w:pPr>
        <w:pStyle w:val="ListParagraph"/>
        <w:numPr>
          <w:ilvl w:val="0"/>
          <w:numId w:val="2"/>
        </w:numPr>
        <w:spacing w:after="60"/>
      </w:pPr>
      <w:r>
        <w:t xml:space="preserve">What is the diesel/backup-power cost run-rate, and the modelled operating-margin impact at Stage 4 vs Stage 6 load shedding?</w:t>
      </w:r>
    </w:p>
    <w:p>
      <w:pPr>
        <w:pStyle w:val="ListParagraph"/>
        <w:numPr>
          <w:ilvl w:val="0"/>
          <w:numId w:val="2"/>
        </w:numPr>
        <w:spacing w:after="60"/>
      </w:pPr>
      <w:r>
        <w:t xml:space="preserve">On NKD funding: the exact debt/cash mix for the ~R9.66bn consideration, pro-forma net debt/EBITDA, and expected FY2027 interest charge?</w:t>
      </w:r>
    </w:p>
    <w:p>
      <w:pPr>
        <w:pStyle w:val="ListParagraph"/>
        <w:numPr>
          <w:ilvl w:val="0"/>
          <w:numId w:val="2"/>
        </w:numPr>
        <w:spacing w:after="60"/>
      </w:pPr>
      <w:r>
        <w:t xml:space="preserve">FX policy: how will euro net-investment translation be hedged and disclosed (segmental), and what EUR/ZAR and USD/CNY assumptions sit behind guidance and margin?</w:t>
      </w:r>
    </w:p>
    <w:p>
      <w:pPr>
        <w:pStyle w:val="ListParagraph"/>
        <w:numPr>
          <w:ilvl w:val="0"/>
          <w:numId w:val="2"/>
        </w:numPr>
        <w:spacing w:after="60"/>
      </w:pPr>
      <w:r>
        <w:t xml:space="preserve">Import freight: current lead times and forward-cover position given Red Sea / Suez risk — and the markdown exposure if seasonal stock is delayed?</w:t>
      </w:r>
    </w:p>
    <w:p>
      <w:pPr>
        <w:pStyle w:val="Heading1"/>
      </w:pPr>
      <w:r>
        <w:t xml:space="preserve">8. Sources &amp; provenance</w:t>
      </w:r>
    </w:p>
    <w:p>
      <w:pPr>
        <w:spacing w:after="120"/>
      </w:pPr>
      <w:r>
        <w:rPr>
          <w:i/>
          <w:iCs/>
          <w:color w:val="595959"/>
          <w:sz w:val="16"/>
          <w:szCs w:val="16"/>
        </w:rPr>
        <w:t xml:space="preserve">Company figures are from Mr Price's released FY2026 results; macro/scenario context is web-sourced as at 8 June 2026 and may move. Binary originals (SENS PDF, AFS, presentation, NKD SENS) are not yet archived locally — logged as coverage gaps in manifest.json for browser backfill.</w:t>
      </w:r>
    </w:p>
    <w:p>
      <w:pPr>
        <w:spacing w:after="60"/>
      </w:pPr>
      <w:r>
        <w:rPr>
          <w:b/>
          <w:bCs/>
          <w:sz w:val="18"/>
          <w:szCs w:val="18"/>
        </w:rPr>
        <w:t xml:space="preserve">S1 — </w:t>
      </w:r>
      <w:r>
        <w:rPr>
          <w:sz w:val="18"/>
          <w:szCs w:val="18"/>
        </w:rPr>
        <w:t xml:space="preserve">Mr Price FY2026 annual results (SENS, 5 Jun 2026) + official supplementary information. Local: companies/mr-price/annual-reports/mrprice-annual-results-fy2026-20260605.txt; source: mrpricegroup.com/.../Supplementary-information-FY2026.pdf</w:t>
      </w:r>
    </w:p>
    <w:p>
      <w:pPr>
        <w:spacing w:after="60"/>
      </w:pPr>
      <w:r>
        <w:rPr>
          <w:b/>
          <w:bCs/>
          <w:sz w:val="18"/>
          <w:szCs w:val="18"/>
        </w:rPr>
        <w:t xml:space="preserve">S2 — </w:t>
      </w:r>
      <w:r>
        <w:rPr>
          <w:sz w:val="18"/>
          <w:szCs w:val="18"/>
        </w:rPr>
        <w:t xml:space="preserve">The Citizen, 5 Jun 2026 (FY2026 figures cross-check).</w:t>
      </w:r>
    </w:p>
    <w:p>
      <w:pPr>
        <w:spacing w:after="60"/>
      </w:pPr>
      <w:r>
        <w:rPr>
          <w:b/>
          <w:bCs/>
          <w:sz w:val="18"/>
          <w:szCs w:val="18"/>
        </w:rPr>
        <w:t xml:space="preserve">S3 — </w:t>
      </w:r>
      <w:r>
        <w:rPr>
          <w:sz w:val="18"/>
          <w:szCs w:val="18"/>
        </w:rPr>
        <w:t xml:space="preserve">NKD acquisition — Daily Investor; IOL (17 Mar 2026); Cape Town Etc. Local: companies/mr-price/press-releases/mrprice-nkd-acquisition-summary-2025-2026.txt</w:t>
      </w:r>
    </w:p>
    <w:p>
      <w:pPr>
        <w:spacing w:after="60"/>
      </w:pPr>
      <w:r>
        <w:rPr>
          <w:b/>
          <w:bCs/>
          <w:sz w:val="18"/>
          <w:szCs w:val="18"/>
        </w:rPr>
        <w:t xml:space="preserve">S4 — </w:t>
      </w:r>
      <w:r>
        <w:rPr>
          <w:sz w:val="18"/>
          <w:szCs w:val="18"/>
        </w:rPr>
        <w:t xml:space="preserve">Internal MRP research note (FY2026/FY2027). Local: companies/mr-price/analyst-notes/mrprice-research-note-2026-2027.docx</w:t>
      </w:r>
    </w:p>
    <w:p>
      <w:pPr>
        <w:spacing w:after="60"/>
      </w:pPr>
      <w:r>
        <w:rPr>
          <w:b/>
          <w:bCs/>
          <w:sz w:val="18"/>
          <w:szCs w:val="18"/>
        </w:rPr>
        <w:t xml:space="preserve">S5 — </w:t>
      </w:r>
      <w:r>
        <w:rPr>
          <w:sz w:val="18"/>
          <w:szCs w:val="18"/>
        </w:rPr>
        <w:t xml:space="preserve">StockAnalysis.com (JSE:MRP), accessed Jun 2026 — web-sourced, possibly delayed.</w:t>
      </w:r>
    </w:p>
    <w:p>
      <w:pPr>
        <w:spacing w:after="60"/>
      </w:pPr>
      <w:r>
        <w:rPr>
          <w:b/>
          <w:bCs/>
          <w:sz w:val="18"/>
          <w:szCs w:val="18"/>
        </w:rPr>
        <w:t xml:space="preserve">S6 — </w:t>
      </w:r>
      <w:r>
        <w:rPr>
          <w:sz w:val="18"/>
          <w:szCs w:val="18"/>
        </w:rPr>
        <w:t xml:space="preserve">Load-shedding status: Eskom Winter Outlook 2026 / power-system status; ourpower.co.za (accessed 8 Jun 2026).</w:t>
      </w:r>
    </w:p>
    <w:p>
      <w:pPr>
        <w:spacing w:after="60"/>
      </w:pPr>
      <w:r>
        <w:rPr>
          <w:b/>
          <w:bCs/>
          <w:sz w:val="18"/>
          <w:szCs w:val="18"/>
        </w:rPr>
        <w:t xml:space="preserve">S7 — </w:t>
      </w:r>
      <w:r>
        <w:rPr>
          <w:sz w:val="18"/>
          <w:szCs w:val="18"/>
        </w:rPr>
        <w:t xml:space="preserve">2026 Iran war: Britannica ‘2026 Iran war’; CNN live (4 Jun 2026); Al Jazeera live (6 Jun 2026); Critical Threats (3 Jun 2026).</w:t>
      </w:r>
    </w:p>
    <w:p>
      <w:pPr>
        <w:pBdr>
          <w:top w:val="single" w:color="BFBFBF" w:sz="4" w:space="1"/>
        </w:pBdr>
        <w:spacing w:before="200"/>
      </w:pPr>
      <w:r>
        <w:rPr>
          <w:i/>
          <w:iCs/>
          <w:color w:val="808080"/>
          <w:sz w:val="15"/>
          <w:szCs w:val="15"/>
        </w:rPr>
        <w:t xml:space="preserve">Compliance: prepared for internal informational purposes only; not investment advice and not from a registered financial adviser. Share price/P/E are web-sourced and may be delayed; there is no live JSE price feed. Scenario sections are analyst judgement, not company guidance. Verify any decision-critical figure against the primary FY2026 AFS.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360"/>
      </w:tabs>
    </w:pPr>
    <w:r>
      <w:rPr>
        <w:color w:val="808080"/>
        <w:sz w:val="15"/>
        <w:szCs w:val="15"/>
      </w:rPr>
      <w:t xml:space="preserve">Mr Price Group (MRP) — FY2026 Risk &amp; Scenario Note</w:t>
    </w:r>
    <w:r>
      <w:rPr>
        <w:color w:val="808080"/>
        <w:sz w:val="15"/>
        <w:szCs w:val="15"/>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2026-06-08T11:17:47.949Z</dcterms:created>
  <dcterms:modified xsi:type="dcterms:W3CDTF">2026-06-08T11:17:47.949Z</dcterms:modified>
</cp:coreProperties>
</file>

<file path=docProps/custom.xml><?xml version="1.0" encoding="utf-8"?>
<Properties xmlns="http://schemas.openxmlformats.org/officeDocument/2006/custom-properties" xmlns:vt="http://schemas.openxmlformats.org/officeDocument/2006/docPropsVTypes"/>
</file>