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REINET INVESTMENTS S.C.A.</w:t>
      </w:r>
    </w:p>
    <w:p>
      <w:pPr>
        <w:spacing w:after="40"/>
      </w:pPr>
      <w:r>
        <w:rPr>
          <w:b/>
          <w:bCs/>
          <w:color w:val="2E75B6"/>
          <w:sz w:val="26"/>
          <w:szCs w:val="26"/>
        </w:rPr>
        <w:t xml:space="preserve">FY2025 Results Analysis — Year ended 31 March 2025</w:t>
      </w:r>
    </w:p>
    <w:p>
      <w:r>
        <w:rPr>
          <w:color w:val="808080"/>
          <w:sz w:val="18"/>
          <w:szCs w:val="18"/>
        </w:rPr>
        <w:t xml:space="preserve">JSE: RNI (secondary)  •  Luxembourg Stock Exchange (primary)  •  Euronext Amsterdam  •  Reporting currency: EUR</w:t>
      </w:r>
    </w:p>
    <w:p>
      <w:pPr>
        <w:spacing w:after="80"/>
      </w:pPr>
      <w:r>
        <w:rPr>
          <w:i/>
          <w:iCs/>
          <w:color w:val="808080"/>
          <w:sz w:val="18"/>
          <w:szCs w:val="18"/>
        </w:rPr>
        <w:t xml:space="preserve">Prepared 8 June 2026  •  For internal informational purposes only — not investment advice</w:t>
      </w:r>
    </w:p>
    <w:p>
      <w:pPr>
        <w:pBdr>
          <w:bottom w:val="single" w:color="1F3864" w:sz="12" w:space="1"/>
        </w:pBdr>
        <w:spacing w:after="120" w:before="60"/>
      </w:pPr>
    </w:p>
    <w:p>
      <w:pPr>
        <w:pStyle w:val="Heading1"/>
      </w:pPr>
      <w:r>
        <w:t xml:space="preserve">1. Summary</w:t>
      </w:r>
    </w:p>
    <w:p>
      <w:pPr>
        <w:spacing w:after="120"/>
      </w:pPr>
      <w:r>
        <w:t xml:space="preserve">Reinet — a Luxembourg-domiciled investment holding company managed for the Rupert interests — reported a </w:t>
      </w:r>
      <w:r>
        <w:rPr>
          <w:b/>
          <w:bCs/>
        </w:rPr>
        <w:t xml:space="preserve">net asset value of €6 915 million at 31 March 2025, up €731 million (+11.8%) </w:t>
      </w:r>
      <w:r>
        <w:t xml:space="preserve">from €6 184 million a year earlier. NAV per share rose to </w:t>
      </w:r>
      <w:r>
        <w:rPr>
          <w:b/>
          <w:bCs/>
        </w:rPr>
        <w:t xml:space="preserve">€38.04 (FY2024: €34.02), also +11.8% </w:t>
      </w:r>
      <w:r>
        <w:t xml:space="preserve">on an unchanged net share count of 181.79 million. Profit attributable to shareholders was </w:t>
      </w:r>
      <w:r>
        <w:rPr>
          <w:b/>
          <w:bCs/>
        </w:rPr>
        <w:t xml:space="preserve">€795 million (FY2024: €519 million). </w:t>
      </w:r>
      <w:r>
        <w:t xml:space="preserve">As an IFRS 10 investment entity, Reinet is assessed on NAV, NAV per share and total shareholder return rather than revenue, margins or HEPS — those operating-company metrics do not apply and are marked N/A throughout.</w:t>
      </w:r>
    </w:p>
    <w:p>
      <w:pPr>
        <w:spacing w:after="120"/>
      </w:pPr>
      <w:r>
        <w:t xml:space="preserve">The defining event of the year was the </w:t>
      </w:r>
      <w:r>
        <w:rPr>
          <w:b/>
          <w:bCs/>
        </w:rPr>
        <w:t xml:space="preserve">complete exit from British American Tobacco. </w:t>
      </w:r>
      <w:r>
        <w:t xml:space="preserve">Reinet sold its remaining 48.3 million BAT shares (5m in December 2024, 43.3m via an accelerated bookbuild in January 2025) for gross proceeds of €1 627 million, booking a €631 million realised gain and collecting €98 million of BAT dividends along the way. The proceeds repaid all bank borrowings (€229m) and lifted cash and liquid funds to </w:t>
      </w:r>
      <w:r>
        <w:rPr>
          <w:b/>
          <w:bCs/>
        </w:rPr>
        <w:t xml:space="preserve">€1 819 million — 26.3% of NAV (FY2024: 5.7%). </w:t>
      </w:r>
      <w:r>
        <w:t xml:space="preserve">The portfolio is now dominated by a single unlisted asset: </w:t>
      </w:r>
      <w:r>
        <w:rPr>
          <w:b/>
          <w:bCs/>
        </w:rPr>
        <w:t xml:space="preserve">Pension Insurance Corporation Group at €3 715 million, 53.7% of NAV. </w:t>
      </w:r>
      <w:r>
        <w:t xml:space="preserve">A dividend of €0.35/share (~€64m) was paid in September 2024; €0.37/share is proposed for FY2025. The company trades at a wide discount to NAV (~39.5% on the Luxembourg line).</w:t>
      </w:r>
    </w:p>
    <w:p>
      <w:pPr>
        <w:pStyle w:val="Heading1"/>
      </w:pPr>
      <w:r>
        <w:t xml:space="preserve">2. Standardised Metrics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All figures in EUR (Reinet's reporting currency). Source: Annual Report at 31 March 2025, business-overview financials. </w:t>
      </w:r>
      <w:r>
        <w:rPr>
          <w:i/>
          <w:iCs/>
          <w:color w:val="808080"/>
          <w:sz w:val="18"/>
          <w:szCs w:val="18"/>
        </w:rPr>
        <w:t xml:space="preserve">Discount to NAV is editor's calculation (e): (NAV/sh − share price) ÷ NAV/sh.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700"/>
        <w:gridCol w:w="1700"/>
        <w:gridCol w:w="1300"/>
        <w:gridCol w:w="13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 (EUR)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FY2025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FY2024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% / bps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NAV (€'m)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6 915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6 184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color w:val="1F7A1F"/>
              </w:rPr>
              <w:t xml:space="preserve">+731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color w:val="1F7A1F"/>
              </w:rPr>
              <w:t xml:space="preserve">+11.8%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NAV per share (€)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38.04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34.02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color w:val="1F7A1F"/>
              </w:rPr>
              <w:t xml:space="preserve">+4.02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color w:val="1F7A1F"/>
              </w:rPr>
              <w:t xml:space="preserve">+11.8%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Net shares (excl. treasury)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181 790 891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181 790 891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income (€'m)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1 004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+792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+373.6%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expenses (€'m)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(82)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(152)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−46.1%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Net profit (€'m)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797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+278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+53.6%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Profit attributable (€'m)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795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color w:val="1F7A1F"/>
              </w:rPr>
              <w:t xml:space="preserve">+276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color w:val="1F7A1F"/>
              </w:rPr>
              <w:t xml:space="preserve">+53.2%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Cash &amp; liquid funds (€'m)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1 819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+1 462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+409.5%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Bank borrowings (€'m)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(229)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+229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Repaid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DPS paid in year (€)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+0.05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+16.7%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DPS proposed (€)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+0.02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+5.7%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Mgmt fee (€'m)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(54)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(48)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+12.5%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 fee (€'m)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(90)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−94.4%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Lux share price (€)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23.00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22.20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+0.80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+3.6%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JSE share price (R)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445.21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458.23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(13.02)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−2.8%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Discount to NAV, Lux (e)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~39.5%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~34.7%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color w:val="B00000"/>
              </w:rPr>
              <w:t xml:space="preserve">wider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color w:val="B00000"/>
              </w:rPr>
              <w:t xml:space="preserve">~480 bps</w:t>
            </w:r>
          </w:p>
        </w:tc>
      </w:tr>
    </w:tbl>
    <w:p>
      <w:pPr>
        <w:spacing w:after="120" w:before="80"/>
      </w:pPr>
      <w:r>
        <w:rPr>
          <w:b/>
          <w:bCs/>
          <w:sz w:val="18"/>
          <w:szCs w:val="18"/>
        </w:rPr>
        <w:t xml:space="preserve">Operating-company metrics not applicable to an investment entity: </w:t>
      </w:r>
      <w:r>
        <w:rPr>
          <w:color w:val="808080"/>
          <w:sz w:val="18"/>
          <w:szCs w:val="18"/>
        </w:rPr>
        <w:t xml:space="preserve">Revenue, Gross/EBITDA margin, EBIT, HEPS, EPS, ROE, FCF, cash conversion — N/A. Reinet generates returns through fair-value movements and realisations, not trading operations.</w:t>
      </w:r>
    </w:p>
    <w:p>
      <w:pPr>
        <w:pStyle w:val="Heading1"/>
      </w:pPr>
      <w:r>
        <w:t xml:space="preserve">3. NAV Composition &amp;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1700"/>
        <w:gridCol w:w="1700"/>
        <w:gridCol w:w="1700"/>
      </w:tblGrid>
      <w:tr>
        <w:trPr>
          <w:tblHeader/>
        </w:trP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NAV composition at 31 Mar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€'m FY25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% FY25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% FY24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Pension Insurance Corp Group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3 715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53.7%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55.6%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Private equity &amp; related partnerships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1 218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17.6%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18.9%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— Trilantic Capital Partners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7.2%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— TruArc Partners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6.0%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— Coatue funds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1.2%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— Asian PE &amp; portfolio funds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2.8%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Other listed investments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1.5%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Specialised investment funds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1.7%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 land development &amp; mortgages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0.3%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Other investments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1.2%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B00000"/>
              </w:rPr>
              <w:t xml:space="preserve">British American Tobacco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color w:val="B0000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color w:val="B00000"/>
              </w:rPr>
              <w:t xml:space="preserve">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investments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5 143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74.4%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99.5%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Cash &amp; liquid funds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1 819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26.3%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5.7%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Bank borrowings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(3.7%)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Other liabilities, 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(47)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(0.7%)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(1.5%)</w:t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</w:rPr>
              <w:t xml:space="preserve">Net asset 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</w:rPr>
              <w:t xml:space="preserve">6 915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</w:rPr>
              <w:t xml:space="preserve">100.0%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</w:tbl>
    <w:p>
      <w:pPr>
        <w:spacing w:before="120"/>
      </w:pPr>
      <w:r>
        <w:rPr>
          <w:b/>
          <w:bCs/>
        </w:rPr>
        <w:t xml:space="preserve">Concentration is the headline structural feature: </w:t>
      </w:r>
      <w:r>
        <w:t xml:space="preserve">Pension Corporation alone is 53.7% of NAV and is unlisted, carried at fair value using UK insurer peer multiples on adjusted equity own funds of £6.2bn (31 Dec 2024) with a 10% illiquidity discount. With BAT gone, the only sizeable listed exposure (€125m of “other listed”, e.g. Grab, SPDR Gold) is immaterial, so reported NAV now hinges heavily on model-based valuations rather than market prices.</w:t>
      </w:r>
    </w:p>
    <w:p>
      <w:pPr>
        <w:pStyle w:val="Heading1"/>
      </w:pPr>
      <w:r>
        <w:t xml:space="preserve">4. Income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0"/>
        <w:gridCol w:w="2050"/>
        <w:gridCol w:w="2050"/>
      </w:tblGrid>
      <w:tr>
        <w:trPr>
          <w:tblHeader/>
        </w:trP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Income statement (non-IFRS, €'m)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FY2025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FY2024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BAT dividends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98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130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Pension Corporation dividend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235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57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Interest &amp; other investment income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31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Realised gain on sale of BAT shares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631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Realised loss on other investments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(7)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(9)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income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1 004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212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Management &amp; performance fees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(59)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(138)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Other opex, FX, interest &amp; tax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(23)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(14)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Realised income, net of expenses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922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60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FV adj — BAT (reversal of unrealised)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(363)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(202)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FV adj — Pension Corporation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279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649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FV adj — other &amp; borrowings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(3)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FX changes on cash balances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(38)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Net profit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797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519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</w:rPr>
              <w:t xml:space="preserve">Profit attributable to shareholders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</w:rPr>
              <w:t xml:space="preserve">795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519</w:t>
            </w:r>
          </w:p>
        </w:tc>
      </w:tr>
    </w:tbl>
    <w:p>
      <w:pPr>
        <w:spacing w:before="120"/>
      </w:pPr>
      <w:r>
        <w:t xml:space="preserve">The €792m jump in total income is almost entirely the BAT realised gain (€631m) plus a step-up in the Pension Corporation dividend (€235m vs €57m). Note the BAT line nets out: the €631m realised gain is partly offset within fair-value adjustments by the €363m reversal of the unrealised gain carried at 1 April 2024. Pension Corporation contributed a €279m positive fair-value move (€253m from higher market multiples, plus own-funds movement, plus €75m of sterling strength). The performance fee collapsed to €5m (FY2024: €90m) as cumulative total shareholder return — the fee base — was lower.</w:t>
      </w:r>
    </w:p>
    <w:p>
      <w:pPr>
        <w:pStyle w:val="Heading1"/>
      </w:pPr>
      <w:r>
        <w:t xml:space="preserve">5. Cash Flow &amp; Balance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Investing: </w:t>
      </w:r>
      <w:r>
        <w:t xml:space="preserve">net inflow of €1 570m, driven by €1 713m of disposal proceeds (mainly BAT) against €143m of new investment funding.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Financing: </w:t>
      </w:r>
      <w:r>
        <w:t xml:space="preserve">outflow of €304m — €64m dividend paid and €240m net repayment of bank borrowings (debt now nil).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Operating: </w:t>
      </w:r>
      <w:r>
        <w:t xml:space="preserve">inflow of €234m, with €366m of dividends received (BAT + Pension Corporation).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 result: </w:t>
      </w:r>
      <w:r>
        <w:t xml:space="preserve">€1 500m cash inflow; closing cash and liquid funds of €1 819m. Reinet ended the year debt-free with a large cash buffer and €417m of outstanding investment commitments.</w:t>
      </w:r>
    </w:p>
    <w:p>
      <w:pPr>
        <w:pStyle w:val="Heading1"/>
      </w:pPr>
      <w:r>
        <w:t xml:space="preserve">6. SENS / Corporate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Results publication: </w:t>
      </w:r>
      <w:r>
        <w:t xml:space="preserve">Consolidated audited results for FY2025 and proposed dividend released on SENS; Annual Report at 31 March 2025 published on reinet.com.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Dividend declaration (€0.37/share): </w:t>
      </w:r>
      <w:r>
        <w:t xml:space="preserve">approved at AGM on 26 August 2025; SA share register record date 12 September 2025, payment 17 September 2025. EUR/ZAR conversion rate announced separately on 2 September 2025.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Subsequent development (post year-end, for awareness): </w:t>
      </w:r>
      <w:r>
        <w:t xml:space="preserve">Reinet has since published FY2026 results (year ended 31 March 2026) with a proposed dividend of €0.435/share (AGM 20 August 2026). This note covers FY2025 only, as requested — FY2026 can be onboarded next if useful.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share buyback </w:t>
      </w:r>
      <w:r>
        <w:t xml:space="preserve">was in progress at 31 March 2025 (last programme ended May 2022; 14.15m shares held in treasury).</w:t>
      </w:r>
    </w:p>
    <w:p>
      <w:pPr>
        <w:pStyle w:val="Heading1"/>
      </w:pPr>
      <w:r>
        <w:t xml:space="preserve">7. Risk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00"/>
        </w:rPr>
        <w:t xml:space="preserve">Single-asset concentration: </w:t>
      </w:r>
      <w:r>
        <w:t xml:space="preserve">Pension Corporation = 53.7% of NAV, unlisted and model-valued. NAV is now highly sensitive to UK insurer multiples, Pension Corporation's own-funds trajectory and the 10% illiquidity discount.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00"/>
        </w:rPr>
        <w:t xml:space="preserve">Cash drag / reinvestment risk: </w:t>
      </w:r>
      <w:r>
        <w:t xml:space="preserve">€1.82bn (26.3% of NAV) sits in cash and liquid funds post-BAT. Until redeployed, this dilutes return on a company whose objective is long-term capital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00"/>
        </w:rPr>
        <w:t xml:space="preserve">Persistent NAV discount: </w:t>
      </w:r>
      <w:r>
        <w:t xml:space="preserve">Luxembourg price €23.00 vs NAV/share €38.04 implies ~39.5% discount (e); the JSE line (R445.21) reflects the same. No active buyback to narrow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Loss of dividend visibility: </w:t>
      </w:r>
      <w:r>
        <w:t xml:space="preserve">BAT was a steady hard-currency dividend payer; its exit removes ~€98–130m of recurring dividend income, leaving Pension Corporation distributions (lumpier) as the main income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FX sensitivity: </w:t>
      </w:r>
      <w:r>
        <w:t xml:space="preserve">NAV is EUR-reported but underlying assets are largely GBP (Pension Corporation) and USD (funds). Sterling strength added value this year; a reversal would compress NAV. Applying year-end rates to FY2024 would have lifted prior NAV by €99m.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External fee structure: </w:t>
      </w:r>
      <w:r>
        <w:t xml:space="preserve">management fee €54m + performance fee €5m payable to the Investment Advisor; performance fee is volatile (was €90m in FY2024) and a drag in strong-TSR years.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00"/>
        </w:rPr>
        <w:t xml:space="preserve">Audit opinion not verified from source extract: </w:t>
      </w:r>
      <w:r>
        <w:t xml:space="preserve">the captured text covers the business-overview financials; the statutory auditor's report was not in the extracted portion. No going-concern or qualification language appears in the available text, but the audit opinion should be confirmed against the full PDF before reliance.</w:t>
      </w:r>
    </w:p>
    <w:p>
      <w:pPr>
        <w:pStyle w:val="Heading1"/>
      </w:pPr>
      <w:r>
        <w:t xml:space="preserve">8. Questions for Management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Capital deployment: what is the timeframe and pipeline for redeploying the €1.82bn cash pile, and what return hurdle applies versus simply returning capital to shareholders?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Pension Corporation: given it is now &gt;50% of NAV, what is the realisation / liquidity path (IPO, trade sale, partial), and how robust is the 10% illiquidity discount to a stressed-spread environment?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 discount: with no buyback running and a ~40% discount, why not resume repurchases, and what would trigger reinstatement?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Income replacement: how will the loss of BAT's recurring dividend be offset — higher Pension Corporation distributions, fund yield, or cash interest?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Fee alignment: how does the board view the management + performance fee load relative to NAV growth, particularly the performance-fee mechanics in a year dominated by a single realisation?</w:t>
      </w:r>
    </w:p>
    <w:p>
      <w:pPr>
        <w:pBdr>
          <w:bottom w:val="single" w:color="808080" w:sz="4" w:space="1"/>
        </w:pBdr>
        <w:spacing w:after="120" w:before="60"/>
      </w:pPr>
    </w:p>
    <w:p>
      <w:pPr>
        <w:pStyle w:val="Heading2"/>
      </w:pPr>
      <w:r>
        <w:t xml:space="preserve">Sources &amp; Provenance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Reinet Investments S.C.A. — Annual Report at 31 March 2025 (year ended 31 March 2025)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Original PDF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senspdf.jse.co.za/documents/2025/JSE/ISSE/RNIE/ARMar25.pdf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Local copy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companies/reinet/annual-reports/Reinet_Annual_Report_FY2025_extracted-text.txt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Extraction note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Text extracted via web_fetch (binary PDF download blocked by sandbox proxy). Figures cross-checked within the document (NAV table, income statement, cash flow, highlights).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Dividend dates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Reinet SENS — dividend dates for JSE-listed ordinary shares (Moneyweb / Business Day SENS)</w:t>
            </w:r>
          </w:p>
        </w:tc>
      </w:tr>
    </w:tbl>
    <w:p>
      <w:pPr>
        <w:spacing w:before="120"/>
      </w:pPr>
      <w:r>
        <w:rPr>
          <w:i/>
          <w:iCs/>
          <w:color w:val="808080"/>
          <w:sz w:val="16"/>
          <w:szCs w:val="16"/>
        </w:rPr>
        <w:t xml:space="preserve">Compliance: Prepared for informational purposes only; not investment advice and not from a registered financial adviser. Share prices are point-in-time at 31 March 2025 and may be stale. Valuations of unlisted assets are management/fair-value estimates under IPEV guidelines.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JSE Equity Research — Reinet Investments S.C.A. (JSE: RNI) — FY2025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Reinet Investments — FY2025 Results Analysis</dc:title>
  <dc:creator>JSE Equity Research (Cowork)</dc:creator>
  <cp:lastModifiedBy>Un-named</cp:lastModifiedBy>
  <cp:revision>1</cp:revision>
  <dcterms:created xsi:type="dcterms:W3CDTF">2026-06-08T12:03:53.894Z</dcterms:created>
  <dcterms:modified xsi:type="dcterms:W3CDTF">2026-06-08T12:03:53.894Z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