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8A6D3B"/>
          <w:sz w:val="18"/>
        </w:rPr>
        <w:t>EQUITY RESEARCH  ·  INTERNAL</w:t>
      </w:r>
    </w:p>
    <w:p>
      <w:pPr>
        <w:spacing w:after="0"/>
      </w:pPr>
      <w:r>
        <w:rPr>
          <w:b/>
          <w:color w:val="1F3355"/>
          <w:sz w:val="44"/>
        </w:rPr>
        <w:t>Compagnie Financière Richemont SA</w:t>
      </w:r>
    </w:p>
    <w:p>
      <w:pPr>
        <w:spacing w:after="40"/>
      </w:pPr>
      <w:r>
        <w:rPr>
          <w:color w:val="555555"/>
          <w:sz w:val="24"/>
        </w:rPr>
        <w:t>FY2026 Results Review &amp; FY2026/27 Growth Outlook  ·  Rand Sensitivity Analysis</w:t>
      </w:r>
    </w:p>
    <w:p>
      <w:pPr>
        <w:spacing w:after="40"/>
      </w:pPr>
      <w:r>
        <w:rPr>
          <w:color w:val="555555"/>
          <w:sz w:val="18"/>
        </w:rPr>
        <w:t>JSE: CFR   ·   SIX: CFR   ·   ISIN CH0210483332   ·   Sector: Luxury Goods   ·   Reporting currency: EUR</w:t>
      </w:r>
    </w:p>
    <w:p>
      <w:pPr>
        <w:spacing w:after="160"/>
      </w:pPr>
      <w:r>
        <w:rPr>
          <w:color w:val="555555"/>
          <w:sz w:val="18"/>
        </w:rPr>
        <w:t>Prepared 5 June 2026   ·   FY end 31 March</w:t>
      </w:r>
    </w:p>
    <w:p>
      <w:pPr>
        <w:pBdr>
          <w:bottom w:val="single" w:sz="12" w:space="1" w:color="8A6D3B"/>
        </w:pBdr>
        <w:spacing w:after="160"/>
      </w:pPr>
    </w:p>
    <w:p>
      <w:pPr>
        <w:spacing w:after="200"/>
      </w:pPr>
      <w:r>
        <w:rPr>
          <w:b w:val="0"/>
          <w:i/>
          <w:color w:val="555555"/>
          <w:sz w:val="18"/>
        </w:rPr>
        <w:t>For informational purposes only. This note is internal research and does not constitute investment advice or a recommendation. Figures are sourced from Richemont's FY26 results announcement (22 May 2026) and are stated in the Group's reporting currency (EUR) unless noted. Share prices and FX rates obtained via search may be delayed and should be re-verified before any dealing. Confirm whether CFR is in a prohibited dealing period before acting.</w:t>
      </w:r>
    </w:p>
    <w:p>
      <w:pPr>
        <w:pStyle w:val="Heading1"/>
      </w:pPr>
      <w:r>
        <w:t>1.  Executive Summary</w:t>
      </w:r>
    </w:p>
    <w:p>
      <w:pPr>
        <w:spacing w:after="120"/>
      </w:pPr>
      <w:r>
        <w:rPr>
          <w:b w:val="0"/>
          <w:i w:val="0"/>
          <w:sz w:val="21"/>
        </w:rPr>
        <w:t>Richemont closed FY2026 (year ended 31 March 2026) with record sales of €22.4bn, up 11% at constant exchange rates (+5% at actual rates), and Q4 momentum accelerating to +13% constant. Growth was broad-based across every business area, region and channel, but the headline masks a sharp internal divergence: the Jewellery Maisons (Cartier, Van Cleef &amp; Arpels, Buccellati, Vhernier) did essentially all the heavy lifting — €16.5bn of sales (+14% constant) at a 30.5% operating margin — while Specialist Watchmakers only stabilised (+1% constant, 3.4% margin) and the 'Other' / Fashion &amp; Accessories division remained loss-making (–€96m).</w:t>
      </w:r>
    </w:p>
    <w:p>
      <w:pPr>
        <w:spacing w:after="120"/>
      </w:pPr>
      <w:r>
        <w:rPr>
          <w:b w:val="0"/>
          <w:i w:val="0"/>
          <w:sz w:val="21"/>
        </w:rPr>
        <w:t>Reported operating profit was flat at €4.49bn (+23% at constant rates), with a 20.0% margin (–90bps). The gap between constant and actual growth — and the 250bps gross-margin compression — is the FY2026 story: a strong euro against Richemont's main trading currencies, record gold prices, and incremental US import duties all weighed on translated profitability even as volumes and pricing held up. Net profit rose 27% to €3.48bn, flattered by the non-recurrence of the prior-year YOOX Net-a-Porter (YNAP) write-down. The balance sheet remains exceptional: €8.5bn net cash and €4.9bn operating cash flow funded a 10% higher ordinary dividend (CHF 3.30), a CHF 1.00 special dividend, and a fresh buyback.</w:t>
      </w:r>
    </w:p>
    <w:p>
      <w:pPr>
        <w:spacing w:after="120"/>
      </w:pPr>
      <w:r>
        <w:rPr>
          <w:b w:val="0"/>
          <w:i w:val="0"/>
          <w:sz w:val="21"/>
        </w:rPr>
        <w:t>For a South African investor the central point is structural, not operational: Richemont is a hard-currency, globally-diversified earner with negligible SA revenue. It is the JSE's quintessential rand hedge. A 10–15% depreciation of the rand versus the US dollar would have virtually no effect on the company's intrinsic value (priced in CHF/EUR) but would mechanically lift the ZAR-quoted JSE price by a broadly similar percentage — roughly +11% to +18% on the scenarios modelled in Section 7.</w:t>
      </w:r>
    </w:p>
    <w:p>
      <w:pPr>
        <w:pStyle w:val="Heading1"/>
      </w:pPr>
      <w:r>
        <w:t>2.  FY2026 Results — Standardised Metrics</w:t>
      </w:r>
    </w:p>
    <w:p>
      <w:pPr>
        <w:spacing w:after="120"/>
      </w:pPr>
      <w:r>
        <w:rPr>
          <w:b w:val="0"/>
          <w:i w:val="0"/>
          <w:color w:val="555555"/>
          <w:sz w:val="19"/>
        </w:rPr>
        <w:t>Group income statement and cash flow, FY2026 vs FY2025. Margins shown as basis-point (bps) change. All figures per the audited FY26 results announcement (22 May 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72"/>
            <w:shd w:val="clear" w:color="auto" w:fill="1F3355"/>
          </w:tcPr>
          <w:p>
            <w:pPr>
              <w:spacing w:after="40" w:before="40"/>
              <w:jc w:val="left"/>
            </w:pPr>
            <w:r/>
            <w:r>
              <w:rPr>
                <w:rFonts w:ascii="Calibri" w:hAnsi="Calibri"/>
                <w:b/>
                <w:color w:val="FFFFFF"/>
                <w:sz w:val="19"/>
              </w:rPr>
              <w:t>Metric (€'m unless stated)</w:t>
            </w:r>
          </w:p>
        </w:tc>
        <w:tc>
          <w:tcPr>
            <w:tcW w:type="dxa" w:w="1800"/>
            <w:shd w:val="clear" w:color="auto" w:fill="1F3355"/>
          </w:tcPr>
          <w:p>
            <w:pPr>
              <w:spacing w:after="40" w:before="40"/>
              <w:jc w:val="center"/>
            </w:pPr>
            <w:r/>
            <w:r>
              <w:rPr>
                <w:rFonts w:ascii="Calibri" w:hAnsi="Calibri"/>
                <w:b/>
                <w:color w:val="FFFFFF"/>
                <w:sz w:val="19"/>
              </w:rPr>
              <w:t>FY2026</w:t>
            </w:r>
          </w:p>
        </w:tc>
        <w:tc>
          <w:tcPr>
            <w:tcW w:type="dxa" w:w="1800"/>
            <w:shd w:val="clear" w:color="auto" w:fill="1F3355"/>
          </w:tcPr>
          <w:p>
            <w:pPr>
              <w:spacing w:after="40" w:before="40"/>
              <w:jc w:val="center"/>
            </w:pPr>
            <w:r/>
            <w:r>
              <w:rPr>
                <w:rFonts w:ascii="Calibri" w:hAnsi="Calibri"/>
                <w:b/>
                <w:color w:val="FFFFFF"/>
                <w:sz w:val="19"/>
              </w:rPr>
              <w:t>FY2025</w:t>
            </w:r>
          </w:p>
        </w:tc>
        <w:tc>
          <w:tcPr>
            <w:tcW w:type="dxa" w:w="1584"/>
            <w:shd w:val="clear" w:color="auto" w:fill="1F3355"/>
          </w:tcPr>
          <w:p>
            <w:pPr>
              <w:spacing w:after="40" w:before="40"/>
              <w:jc w:val="center"/>
            </w:pPr>
            <w:r/>
            <w:r>
              <w:rPr>
                <w:rFonts w:ascii="Calibri" w:hAnsi="Calibri"/>
                <w:b/>
                <w:color w:val="FFFFFF"/>
                <w:sz w:val="19"/>
              </w:rPr>
              <w:t>Change</w:t>
            </w:r>
          </w:p>
        </w:tc>
        <w:tc>
          <w:tcPr>
            <w:tcW w:type="dxa" w:w="2088"/>
            <w:shd w:val="clear" w:color="auto" w:fill="1F3355"/>
          </w:tcPr>
          <w:p>
            <w:pPr>
              <w:spacing w:after="40" w:before="40"/>
              <w:jc w:val="center"/>
            </w:pPr>
            <w:r/>
            <w:r>
              <w:rPr>
                <w:rFonts w:ascii="Calibri" w:hAnsi="Calibri"/>
                <w:b/>
                <w:color w:val="FFFFFF"/>
                <w:sz w:val="19"/>
              </w:rPr>
              <w:t>%/bps</w:t>
            </w:r>
          </w:p>
        </w:tc>
      </w:tr>
      <w:tr>
        <w:tc>
          <w:tcPr>
            <w:tcW w:type="dxa" w:w="3672"/>
          </w:tcPr>
          <w:p>
            <w:pPr>
              <w:spacing w:after="40" w:before="40"/>
              <w:jc w:val="left"/>
            </w:pPr>
            <w:r/>
            <w:r>
              <w:rPr>
                <w:rFonts w:ascii="Calibri" w:hAnsi="Calibri"/>
                <w:b w:val="0"/>
                <w:sz w:val="19"/>
              </w:rPr>
              <w:t>Sales</w:t>
            </w:r>
          </w:p>
        </w:tc>
        <w:tc>
          <w:tcPr>
            <w:tcW w:type="dxa" w:w="1800"/>
          </w:tcPr>
          <w:p>
            <w:pPr>
              <w:spacing w:after="40" w:before="40"/>
              <w:jc w:val="right"/>
            </w:pPr>
            <w:r/>
            <w:r>
              <w:rPr>
                <w:rFonts w:ascii="Calibri" w:hAnsi="Calibri"/>
                <w:b w:val="0"/>
                <w:sz w:val="19"/>
              </w:rPr>
              <w:t>22 420</w:t>
            </w:r>
          </w:p>
        </w:tc>
        <w:tc>
          <w:tcPr>
            <w:tcW w:type="dxa" w:w="1800"/>
          </w:tcPr>
          <w:p>
            <w:pPr>
              <w:spacing w:after="40" w:before="40"/>
              <w:jc w:val="right"/>
            </w:pPr>
            <w:r/>
            <w:r>
              <w:rPr>
                <w:rFonts w:ascii="Calibri" w:hAnsi="Calibri"/>
                <w:b w:val="0"/>
                <w:sz w:val="19"/>
              </w:rPr>
              <w:t>21 399</w:t>
            </w:r>
          </w:p>
        </w:tc>
        <w:tc>
          <w:tcPr>
            <w:tcW w:type="dxa" w:w="1584"/>
          </w:tcPr>
          <w:p>
            <w:pPr>
              <w:spacing w:after="40" w:before="40"/>
              <w:jc w:val="right"/>
            </w:pPr>
            <w:r/>
            <w:r>
              <w:rPr>
                <w:rFonts w:ascii="Calibri" w:hAnsi="Calibri"/>
                <w:b w:val="0"/>
                <w:sz w:val="19"/>
              </w:rPr>
              <w:t>+1 021</w:t>
            </w:r>
          </w:p>
        </w:tc>
        <w:tc>
          <w:tcPr>
            <w:tcW w:type="dxa" w:w="2088"/>
          </w:tcPr>
          <w:p>
            <w:pPr>
              <w:spacing w:after="40" w:before="40"/>
              <w:jc w:val="right"/>
            </w:pPr>
            <w:r/>
            <w:r>
              <w:rPr>
                <w:rFonts w:ascii="Calibri" w:hAnsi="Calibri"/>
                <w:b w:val="0"/>
                <w:sz w:val="19"/>
              </w:rPr>
              <w:t>+5% (+11% cc)</w:t>
            </w:r>
          </w:p>
        </w:tc>
      </w:tr>
      <w:tr>
        <w:tc>
          <w:tcPr>
            <w:tcW w:type="dxa" w:w="3672"/>
            <w:shd w:val="clear" w:color="auto" w:fill="F2F0EA"/>
          </w:tcPr>
          <w:p>
            <w:pPr>
              <w:spacing w:after="40" w:before="40"/>
              <w:jc w:val="left"/>
            </w:pPr>
            <w:r/>
            <w:r>
              <w:rPr>
                <w:rFonts w:ascii="Calibri" w:hAnsi="Calibri"/>
                <w:b w:val="0"/>
                <w:sz w:val="19"/>
              </w:rPr>
              <w:t>Gross profit</w:t>
            </w:r>
          </w:p>
        </w:tc>
        <w:tc>
          <w:tcPr>
            <w:tcW w:type="dxa" w:w="1800"/>
            <w:shd w:val="clear" w:color="auto" w:fill="F2F0EA"/>
          </w:tcPr>
          <w:p>
            <w:pPr>
              <w:spacing w:after="40" w:before="40"/>
              <w:jc w:val="right"/>
            </w:pPr>
            <w:r/>
            <w:r>
              <w:rPr>
                <w:rFonts w:ascii="Calibri" w:hAnsi="Calibri"/>
                <w:b w:val="0"/>
                <w:sz w:val="19"/>
              </w:rPr>
              <w:t>14 438</w:t>
            </w:r>
          </w:p>
        </w:tc>
        <w:tc>
          <w:tcPr>
            <w:tcW w:type="dxa" w:w="1800"/>
            <w:shd w:val="clear" w:color="auto" w:fill="F2F0EA"/>
          </w:tcPr>
          <w:p>
            <w:pPr>
              <w:spacing w:after="40" w:before="40"/>
              <w:jc w:val="right"/>
            </w:pPr>
            <w:r/>
            <w:r>
              <w:rPr>
                <w:rFonts w:ascii="Calibri" w:hAnsi="Calibri"/>
                <w:b w:val="0"/>
                <w:sz w:val="19"/>
              </w:rPr>
              <w:t>14 319</w:t>
            </w:r>
          </w:p>
        </w:tc>
        <w:tc>
          <w:tcPr>
            <w:tcW w:type="dxa" w:w="1584"/>
            <w:shd w:val="clear" w:color="auto" w:fill="F2F0EA"/>
          </w:tcPr>
          <w:p>
            <w:pPr>
              <w:spacing w:after="40" w:before="40"/>
              <w:jc w:val="right"/>
            </w:pPr>
            <w:r/>
            <w:r>
              <w:rPr>
                <w:rFonts w:ascii="Calibri" w:hAnsi="Calibri"/>
                <w:b w:val="0"/>
                <w:sz w:val="19"/>
              </w:rPr>
              <w:t>+119</w:t>
            </w:r>
          </w:p>
        </w:tc>
        <w:tc>
          <w:tcPr>
            <w:tcW w:type="dxa" w:w="2088"/>
            <w:shd w:val="clear" w:color="auto" w:fill="F2F0EA"/>
          </w:tcPr>
          <w:p>
            <w:pPr>
              <w:spacing w:after="40" w:before="40"/>
              <w:jc w:val="right"/>
            </w:pPr>
            <w:r/>
            <w:r>
              <w:rPr>
                <w:rFonts w:ascii="Calibri" w:hAnsi="Calibri"/>
                <w:b w:val="0"/>
                <w:sz w:val="19"/>
              </w:rPr>
              <w:t>+1%</w:t>
            </w:r>
          </w:p>
        </w:tc>
      </w:tr>
      <w:tr>
        <w:tc>
          <w:tcPr>
            <w:tcW w:type="dxa" w:w="3672"/>
          </w:tcPr>
          <w:p>
            <w:pPr>
              <w:spacing w:after="40" w:before="40"/>
              <w:jc w:val="left"/>
            </w:pPr>
            <w:r/>
            <w:r>
              <w:rPr>
                <w:rFonts w:ascii="Calibri" w:hAnsi="Calibri"/>
                <w:b w:val="0"/>
                <w:sz w:val="19"/>
              </w:rPr>
              <w:t>Gross margin</w:t>
            </w:r>
          </w:p>
        </w:tc>
        <w:tc>
          <w:tcPr>
            <w:tcW w:type="dxa" w:w="1800"/>
          </w:tcPr>
          <w:p>
            <w:pPr>
              <w:spacing w:after="40" w:before="40"/>
              <w:jc w:val="right"/>
            </w:pPr>
            <w:r/>
            <w:r>
              <w:rPr>
                <w:rFonts w:ascii="Calibri" w:hAnsi="Calibri"/>
                <w:b w:val="0"/>
                <w:sz w:val="19"/>
              </w:rPr>
              <w:t>64.4%</w:t>
            </w:r>
          </w:p>
        </w:tc>
        <w:tc>
          <w:tcPr>
            <w:tcW w:type="dxa" w:w="1800"/>
          </w:tcPr>
          <w:p>
            <w:pPr>
              <w:spacing w:after="40" w:before="40"/>
              <w:jc w:val="right"/>
            </w:pPr>
            <w:r/>
            <w:r>
              <w:rPr>
                <w:rFonts w:ascii="Calibri" w:hAnsi="Calibri"/>
                <w:b w:val="0"/>
                <w:sz w:val="19"/>
              </w:rPr>
              <w:t>66.9%</w:t>
            </w:r>
          </w:p>
        </w:tc>
        <w:tc>
          <w:tcPr>
            <w:tcW w:type="dxa" w:w="1584"/>
          </w:tcPr>
          <w:p>
            <w:pPr>
              <w:spacing w:after="40" w:before="40"/>
              <w:jc w:val="right"/>
            </w:pPr>
            <w:r/>
            <w:r>
              <w:rPr>
                <w:rFonts w:ascii="Calibri" w:hAnsi="Calibri"/>
                <w:b w:val="0"/>
                <w:sz w:val="19"/>
              </w:rPr>
            </w:r>
          </w:p>
        </w:tc>
        <w:tc>
          <w:tcPr>
            <w:tcW w:type="dxa" w:w="2088"/>
          </w:tcPr>
          <w:p>
            <w:pPr>
              <w:spacing w:after="40" w:before="40"/>
              <w:jc w:val="right"/>
            </w:pPr>
            <w:r/>
            <w:r>
              <w:rPr>
                <w:rFonts w:ascii="Calibri" w:hAnsi="Calibri"/>
                <w:b w:val="0"/>
                <w:sz w:val="19"/>
              </w:rPr>
              <w:t>–250 bps</w:t>
            </w:r>
          </w:p>
        </w:tc>
      </w:tr>
      <w:tr>
        <w:tc>
          <w:tcPr>
            <w:tcW w:type="dxa" w:w="3672"/>
            <w:shd w:val="clear" w:color="auto" w:fill="F2F0EA"/>
          </w:tcPr>
          <w:p>
            <w:pPr>
              <w:spacing w:after="40" w:before="40"/>
              <w:jc w:val="left"/>
            </w:pPr>
            <w:r/>
            <w:r>
              <w:rPr>
                <w:rFonts w:ascii="Calibri" w:hAnsi="Calibri"/>
                <w:b w:val="0"/>
                <w:sz w:val="19"/>
              </w:rPr>
              <w:t>Operating profit</w:t>
            </w:r>
          </w:p>
        </w:tc>
        <w:tc>
          <w:tcPr>
            <w:tcW w:type="dxa" w:w="1800"/>
            <w:shd w:val="clear" w:color="auto" w:fill="F2F0EA"/>
          </w:tcPr>
          <w:p>
            <w:pPr>
              <w:spacing w:after="40" w:before="40"/>
              <w:jc w:val="right"/>
            </w:pPr>
            <w:r/>
            <w:r>
              <w:rPr>
                <w:rFonts w:ascii="Calibri" w:hAnsi="Calibri"/>
                <w:b w:val="0"/>
                <w:sz w:val="19"/>
              </w:rPr>
              <w:t>4 492</w:t>
            </w:r>
          </w:p>
        </w:tc>
        <w:tc>
          <w:tcPr>
            <w:tcW w:type="dxa" w:w="1800"/>
            <w:shd w:val="clear" w:color="auto" w:fill="F2F0EA"/>
          </w:tcPr>
          <w:p>
            <w:pPr>
              <w:spacing w:after="40" w:before="40"/>
              <w:jc w:val="right"/>
            </w:pPr>
            <w:r/>
            <w:r>
              <w:rPr>
                <w:rFonts w:ascii="Calibri" w:hAnsi="Calibri"/>
                <w:b w:val="0"/>
                <w:sz w:val="19"/>
              </w:rPr>
              <w:t>4 467</w:t>
            </w:r>
          </w:p>
        </w:tc>
        <w:tc>
          <w:tcPr>
            <w:tcW w:type="dxa" w:w="1584"/>
            <w:shd w:val="clear" w:color="auto" w:fill="F2F0EA"/>
          </w:tcPr>
          <w:p>
            <w:pPr>
              <w:spacing w:after="40" w:before="40"/>
              <w:jc w:val="right"/>
            </w:pPr>
            <w:r/>
            <w:r>
              <w:rPr>
                <w:rFonts w:ascii="Calibri" w:hAnsi="Calibri"/>
                <w:b w:val="0"/>
                <w:sz w:val="19"/>
              </w:rPr>
              <w:t>+25</w:t>
            </w:r>
          </w:p>
        </w:tc>
        <w:tc>
          <w:tcPr>
            <w:tcW w:type="dxa" w:w="2088"/>
            <w:shd w:val="clear" w:color="auto" w:fill="F2F0EA"/>
          </w:tcPr>
          <w:p>
            <w:pPr>
              <w:spacing w:after="40" w:before="40"/>
              <w:jc w:val="right"/>
            </w:pPr>
            <w:r/>
            <w:r>
              <w:rPr>
                <w:rFonts w:ascii="Calibri" w:hAnsi="Calibri"/>
                <w:b w:val="0"/>
                <w:sz w:val="19"/>
              </w:rPr>
              <w:t>+1% (+23% cc)</w:t>
            </w:r>
          </w:p>
        </w:tc>
      </w:tr>
      <w:tr>
        <w:tc>
          <w:tcPr>
            <w:tcW w:type="dxa" w:w="3672"/>
          </w:tcPr>
          <w:p>
            <w:pPr>
              <w:spacing w:after="40" w:before="40"/>
              <w:jc w:val="left"/>
            </w:pPr>
            <w:r/>
            <w:r>
              <w:rPr>
                <w:rFonts w:ascii="Calibri" w:hAnsi="Calibri"/>
                <w:b w:val="0"/>
                <w:sz w:val="19"/>
              </w:rPr>
              <w:t>Operating margin</w:t>
            </w:r>
          </w:p>
        </w:tc>
        <w:tc>
          <w:tcPr>
            <w:tcW w:type="dxa" w:w="1800"/>
          </w:tcPr>
          <w:p>
            <w:pPr>
              <w:spacing w:after="40" w:before="40"/>
              <w:jc w:val="right"/>
            </w:pPr>
            <w:r/>
            <w:r>
              <w:rPr>
                <w:rFonts w:ascii="Calibri" w:hAnsi="Calibri"/>
                <w:b w:val="0"/>
                <w:sz w:val="19"/>
              </w:rPr>
              <w:t>20.0%</w:t>
            </w:r>
          </w:p>
        </w:tc>
        <w:tc>
          <w:tcPr>
            <w:tcW w:type="dxa" w:w="1800"/>
          </w:tcPr>
          <w:p>
            <w:pPr>
              <w:spacing w:after="40" w:before="40"/>
              <w:jc w:val="right"/>
            </w:pPr>
            <w:r/>
            <w:r>
              <w:rPr>
                <w:rFonts w:ascii="Calibri" w:hAnsi="Calibri"/>
                <w:b w:val="0"/>
                <w:sz w:val="19"/>
              </w:rPr>
              <w:t>20.9%</w:t>
            </w:r>
          </w:p>
        </w:tc>
        <w:tc>
          <w:tcPr>
            <w:tcW w:type="dxa" w:w="1584"/>
          </w:tcPr>
          <w:p>
            <w:pPr>
              <w:spacing w:after="40" w:before="40"/>
              <w:jc w:val="right"/>
            </w:pPr>
            <w:r/>
            <w:r>
              <w:rPr>
                <w:rFonts w:ascii="Calibri" w:hAnsi="Calibri"/>
                <w:b w:val="0"/>
                <w:sz w:val="19"/>
              </w:rPr>
            </w:r>
          </w:p>
        </w:tc>
        <w:tc>
          <w:tcPr>
            <w:tcW w:type="dxa" w:w="2088"/>
          </w:tcPr>
          <w:p>
            <w:pPr>
              <w:spacing w:after="40" w:before="40"/>
              <w:jc w:val="right"/>
            </w:pPr>
            <w:r/>
            <w:r>
              <w:rPr>
                <w:rFonts w:ascii="Calibri" w:hAnsi="Calibri"/>
                <w:b w:val="0"/>
                <w:sz w:val="19"/>
              </w:rPr>
              <w:t>–90 bps</w:t>
            </w:r>
          </w:p>
        </w:tc>
      </w:tr>
      <w:tr>
        <w:tc>
          <w:tcPr>
            <w:tcW w:type="dxa" w:w="3672"/>
            <w:shd w:val="clear" w:color="auto" w:fill="F2F0EA"/>
          </w:tcPr>
          <w:p>
            <w:pPr>
              <w:spacing w:after="40" w:before="40"/>
              <w:jc w:val="left"/>
            </w:pPr>
            <w:r/>
            <w:r>
              <w:rPr>
                <w:rFonts w:ascii="Calibri" w:hAnsi="Calibri"/>
                <w:b w:val="0"/>
                <w:sz w:val="19"/>
              </w:rPr>
              <w:t>Profit – continuing ops</w:t>
            </w:r>
          </w:p>
        </w:tc>
        <w:tc>
          <w:tcPr>
            <w:tcW w:type="dxa" w:w="1800"/>
            <w:shd w:val="clear" w:color="auto" w:fill="F2F0EA"/>
          </w:tcPr>
          <w:p>
            <w:pPr>
              <w:spacing w:after="40" w:before="40"/>
              <w:jc w:val="right"/>
            </w:pPr>
            <w:r/>
            <w:r>
              <w:rPr>
                <w:rFonts w:ascii="Calibri" w:hAnsi="Calibri"/>
                <w:b w:val="0"/>
                <w:sz w:val="19"/>
              </w:rPr>
              <w:t>3 464</w:t>
            </w:r>
          </w:p>
        </w:tc>
        <w:tc>
          <w:tcPr>
            <w:tcW w:type="dxa" w:w="1800"/>
            <w:shd w:val="clear" w:color="auto" w:fill="F2F0EA"/>
          </w:tcPr>
          <w:p>
            <w:pPr>
              <w:spacing w:after="40" w:before="40"/>
              <w:jc w:val="right"/>
            </w:pPr>
            <w:r/>
            <w:r>
              <w:rPr>
                <w:rFonts w:ascii="Calibri" w:hAnsi="Calibri"/>
                <w:b w:val="0"/>
                <w:sz w:val="19"/>
              </w:rPr>
              <w:t>3 762</w:t>
            </w:r>
          </w:p>
        </w:tc>
        <w:tc>
          <w:tcPr>
            <w:tcW w:type="dxa" w:w="1584"/>
            <w:shd w:val="clear" w:color="auto" w:fill="F2F0EA"/>
          </w:tcPr>
          <w:p>
            <w:pPr>
              <w:spacing w:after="40" w:before="40"/>
              <w:jc w:val="right"/>
            </w:pPr>
            <w:r/>
            <w:r>
              <w:rPr>
                <w:rFonts w:ascii="Calibri" w:hAnsi="Calibri"/>
                <w:b w:val="0"/>
                <w:sz w:val="19"/>
              </w:rPr>
              <w:t>–298</w:t>
            </w:r>
          </w:p>
        </w:tc>
        <w:tc>
          <w:tcPr>
            <w:tcW w:type="dxa" w:w="2088"/>
            <w:shd w:val="clear" w:color="auto" w:fill="F2F0EA"/>
          </w:tcPr>
          <w:p>
            <w:pPr>
              <w:spacing w:after="40" w:before="40"/>
              <w:jc w:val="right"/>
            </w:pPr>
            <w:r/>
            <w:r>
              <w:rPr>
                <w:rFonts w:ascii="Calibri" w:hAnsi="Calibri"/>
                <w:b w:val="0"/>
                <w:sz w:val="19"/>
              </w:rPr>
              <w:t>–8%</w:t>
            </w:r>
          </w:p>
        </w:tc>
      </w:tr>
      <w:tr>
        <w:tc>
          <w:tcPr>
            <w:tcW w:type="dxa" w:w="3672"/>
          </w:tcPr>
          <w:p>
            <w:pPr>
              <w:spacing w:after="40" w:before="40"/>
              <w:jc w:val="left"/>
            </w:pPr>
            <w:r/>
            <w:r>
              <w:rPr>
                <w:rFonts w:ascii="Calibri" w:hAnsi="Calibri"/>
                <w:b w:val="0"/>
                <w:sz w:val="19"/>
              </w:rPr>
              <w:t>Profit – discontinued ops</w:t>
            </w:r>
          </w:p>
        </w:tc>
        <w:tc>
          <w:tcPr>
            <w:tcW w:type="dxa" w:w="1800"/>
          </w:tcPr>
          <w:p>
            <w:pPr>
              <w:spacing w:after="40" w:before="40"/>
              <w:jc w:val="right"/>
            </w:pPr>
            <w:r/>
            <w:r>
              <w:rPr>
                <w:rFonts w:ascii="Calibri" w:hAnsi="Calibri"/>
                <w:b w:val="0"/>
                <w:sz w:val="19"/>
              </w:rPr>
              <w:t>20</w:t>
            </w:r>
          </w:p>
        </w:tc>
        <w:tc>
          <w:tcPr>
            <w:tcW w:type="dxa" w:w="1800"/>
          </w:tcPr>
          <w:p>
            <w:pPr>
              <w:spacing w:after="40" w:before="40"/>
              <w:jc w:val="right"/>
            </w:pPr>
            <w:r/>
            <w:r>
              <w:rPr>
                <w:rFonts w:ascii="Calibri" w:hAnsi="Calibri"/>
                <w:b w:val="0"/>
                <w:sz w:val="19"/>
              </w:rPr>
              <w:t>(1 012)</w:t>
            </w:r>
          </w:p>
        </w:tc>
        <w:tc>
          <w:tcPr>
            <w:tcW w:type="dxa" w:w="1584"/>
          </w:tcPr>
          <w:p>
            <w:pPr>
              <w:spacing w:after="40" w:before="40"/>
              <w:jc w:val="right"/>
            </w:pPr>
            <w:r/>
            <w:r>
              <w:rPr>
                <w:rFonts w:ascii="Calibri" w:hAnsi="Calibri"/>
                <w:b w:val="0"/>
                <w:sz w:val="19"/>
              </w:rPr>
              <w:t>+1 032</w:t>
            </w:r>
          </w:p>
        </w:tc>
        <w:tc>
          <w:tcPr>
            <w:tcW w:type="dxa" w:w="2088"/>
          </w:tcPr>
          <w:p>
            <w:pPr>
              <w:spacing w:after="40" w:before="40"/>
              <w:jc w:val="right"/>
            </w:pPr>
            <w:r/>
            <w:r>
              <w:rPr>
                <w:rFonts w:ascii="Calibri" w:hAnsi="Calibri"/>
                <w:b w:val="0"/>
                <w:sz w:val="19"/>
              </w:rPr>
              <w:t>n/m</w:t>
            </w:r>
          </w:p>
        </w:tc>
      </w:tr>
      <w:tr>
        <w:tc>
          <w:tcPr>
            <w:tcW w:type="dxa" w:w="3672"/>
            <w:shd w:val="clear" w:color="auto" w:fill="F2F0EA"/>
          </w:tcPr>
          <w:p>
            <w:pPr>
              <w:spacing w:after="40" w:before="40"/>
              <w:jc w:val="left"/>
            </w:pPr>
            <w:r/>
            <w:r>
              <w:rPr>
                <w:rFonts w:ascii="Calibri" w:hAnsi="Calibri"/>
                <w:b w:val="0"/>
                <w:sz w:val="19"/>
              </w:rPr>
              <w:t>Profit for the year</w:t>
            </w:r>
          </w:p>
        </w:tc>
        <w:tc>
          <w:tcPr>
            <w:tcW w:type="dxa" w:w="1800"/>
            <w:shd w:val="clear" w:color="auto" w:fill="F2F0EA"/>
          </w:tcPr>
          <w:p>
            <w:pPr>
              <w:spacing w:after="40" w:before="40"/>
              <w:jc w:val="right"/>
            </w:pPr>
            <w:r/>
            <w:r>
              <w:rPr>
                <w:rFonts w:ascii="Calibri" w:hAnsi="Calibri"/>
                <w:b w:val="0"/>
                <w:sz w:val="19"/>
              </w:rPr>
              <w:t>3 484</w:t>
            </w:r>
          </w:p>
        </w:tc>
        <w:tc>
          <w:tcPr>
            <w:tcW w:type="dxa" w:w="1800"/>
            <w:shd w:val="clear" w:color="auto" w:fill="F2F0EA"/>
          </w:tcPr>
          <w:p>
            <w:pPr>
              <w:spacing w:after="40" w:before="40"/>
              <w:jc w:val="right"/>
            </w:pPr>
            <w:r/>
            <w:r>
              <w:rPr>
                <w:rFonts w:ascii="Calibri" w:hAnsi="Calibri"/>
                <w:b w:val="0"/>
                <w:sz w:val="19"/>
              </w:rPr>
              <w:t>2 750</w:t>
            </w:r>
          </w:p>
        </w:tc>
        <w:tc>
          <w:tcPr>
            <w:tcW w:type="dxa" w:w="1584"/>
            <w:shd w:val="clear" w:color="auto" w:fill="F2F0EA"/>
          </w:tcPr>
          <w:p>
            <w:pPr>
              <w:spacing w:after="40" w:before="40"/>
              <w:jc w:val="right"/>
            </w:pPr>
            <w:r/>
            <w:r>
              <w:rPr>
                <w:rFonts w:ascii="Calibri" w:hAnsi="Calibri"/>
                <w:b w:val="0"/>
                <w:sz w:val="19"/>
              </w:rPr>
              <w:t>+734</w:t>
            </w:r>
          </w:p>
        </w:tc>
        <w:tc>
          <w:tcPr>
            <w:tcW w:type="dxa" w:w="2088"/>
            <w:shd w:val="clear" w:color="auto" w:fill="F2F0EA"/>
          </w:tcPr>
          <w:p>
            <w:pPr>
              <w:spacing w:after="40" w:before="40"/>
              <w:jc w:val="right"/>
            </w:pPr>
            <w:r/>
            <w:r>
              <w:rPr>
                <w:rFonts w:ascii="Calibri" w:hAnsi="Calibri"/>
                <w:b w:val="0"/>
                <w:sz w:val="19"/>
              </w:rPr>
              <w:t>+27%</w:t>
            </w:r>
          </w:p>
        </w:tc>
      </w:tr>
      <w:tr>
        <w:tc>
          <w:tcPr>
            <w:tcW w:type="dxa" w:w="3672"/>
          </w:tcPr>
          <w:p>
            <w:pPr>
              <w:spacing w:after="40" w:before="40"/>
              <w:jc w:val="left"/>
            </w:pPr>
            <w:r/>
            <w:r>
              <w:rPr>
                <w:rFonts w:ascii="Calibri" w:hAnsi="Calibri"/>
                <w:b w:val="0"/>
                <w:sz w:val="19"/>
              </w:rPr>
              <w:t>Diluted EPS (€ per A share)</w:t>
            </w:r>
          </w:p>
        </w:tc>
        <w:tc>
          <w:tcPr>
            <w:tcW w:type="dxa" w:w="1800"/>
          </w:tcPr>
          <w:p>
            <w:pPr>
              <w:spacing w:after="40" w:before="40"/>
              <w:jc w:val="right"/>
            </w:pPr>
            <w:r/>
            <w:r>
              <w:rPr>
                <w:rFonts w:ascii="Calibri" w:hAnsi="Calibri"/>
                <w:b w:val="0"/>
                <w:sz w:val="19"/>
              </w:rPr>
              <w:t>5.909</w:t>
            </w:r>
          </w:p>
        </w:tc>
        <w:tc>
          <w:tcPr>
            <w:tcW w:type="dxa" w:w="1800"/>
          </w:tcPr>
          <w:p>
            <w:pPr>
              <w:spacing w:after="40" w:before="40"/>
              <w:jc w:val="right"/>
            </w:pPr>
            <w:r/>
            <w:r>
              <w:rPr>
                <w:rFonts w:ascii="Calibri" w:hAnsi="Calibri"/>
                <w:b w:val="0"/>
                <w:sz w:val="19"/>
              </w:rPr>
              <w:t>4.671</w:t>
            </w:r>
          </w:p>
        </w:tc>
        <w:tc>
          <w:tcPr>
            <w:tcW w:type="dxa" w:w="1584"/>
          </w:tcPr>
          <w:p>
            <w:pPr>
              <w:spacing w:after="40" w:before="40"/>
              <w:jc w:val="right"/>
            </w:pPr>
            <w:r/>
            <w:r>
              <w:rPr>
                <w:rFonts w:ascii="Calibri" w:hAnsi="Calibri"/>
                <w:b w:val="0"/>
                <w:sz w:val="19"/>
              </w:rPr>
              <w:t>+1.238</w:t>
            </w:r>
          </w:p>
        </w:tc>
        <w:tc>
          <w:tcPr>
            <w:tcW w:type="dxa" w:w="2088"/>
          </w:tcPr>
          <w:p>
            <w:pPr>
              <w:spacing w:after="40" w:before="40"/>
              <w:jc w:val="right"/>
            </w:pPr>
            <w:r/>
            <w:r>
              <w:rPr>
                <w:rFonts w:ascii="Calibri" w:hAnsi="Calibri"/>
                <w:b w:val="0"/>
                <w:sz w:val="19"/>
              </w:rPr>
              <w:t>+27%</w:t>
            </w:r>
          </w:p>
        </w:tc>
      </w:tr>
      <w:tr>
        <w:tc>
          <w:tcPr>
            <w:tcW w:type="dxa" w:w="3672"/>
            <w:shd w:val="clear" w:color="auto" w:fill="F2F0EA"/>
          </w:tcPr>
          <w:p>
            <w:pPr>
              <w:spacing w:after="40" w:before="40"/>
              <w:jc w:val="left"/>
            </w:pPr>
            <w:r/>
            <w:r>
              <w:rPr>
                <w:rFonts w:ascii="Calibri" w:hAnsi="Calibri"/>
                <w:b w:val="0"/>
                <w:sz w:val="19"/>
              </w:rPr>
              <w:t>Operating cash flow</w:t>
            </w:r>
          </w:p>
        </w:tc>
        <w:tc>
          <w:tcPr>
            <w:tcW w:type="dxa" w:w="1800"/>
            <w:shd w:val="clear" w:color="auto" w:fill="F2F0EA"/>
          </w:tcPr>
          <w:p>
            <w:pPr>
              <w:spacing w:after="40" w:before="40"/>
              <w:jc w:val="right"/>
            </w:pPr>
            <w:r/>
            <w:r>
              <w:rPr>
                <w:rFonts w:ascii="Calibri" w:hAnsi="Calibri"/>
                <w:b w:val="0"/>
                <w:sz w:val="19"/>
              </w:rPr>
              <w:t>4 880</w:t>
            </w:r>
          </w:p>
        </w:tc>
        <w:tc>
          <w:tcPr>
            <w:tcW w:type="dxa" w:w="1800"/>
            <w:shd w:val="clear" w:color="auto" w:fill="F2F0EA"/>
          </w:tcPr>
          <w:p>
            <w:pPr>
              <w:spacing w:after="40" w:before="40"/>
              <w:jc w:val="right"/>
            </w:pPr>
            <w:r/>
            <w:r>
              <w:rPr>
                <w:rFonts w:ascii="Calibri" w:hAnsi="Calibri"/>
                <w:b w:val="0"/>
                <w:sz w:val="19"/>
              </w:rPr>
              <w:t>4 443</w:t>
            </w:r>
          </w:p>
        </w:tc>
        <w:tc>
          <w:tcPr>
            <w:tcW w:type="dxa" w:w="1584"/>
            <w:shd w:val="clear" w:color="auto" w:fill="F2F0EA"/>
          </w:tcPr>
          <w:p>
            <w:pPr>
              <w:spacing w:after="40" w:before="40"/>
              <w:jc w:val="right"/>
            </w:pPr>
            <w:r/>
            <w:r>
              <w:rPr>
                <w:rFonts w:ascii="Calibri" w:hAnsi="Calibri"/>
                <w:b w:val="0"/>
                <w:sz w:val="19"/>
              </w:rPr>
              <w:t>+437</w:t>
            </w:r>
          </w:p>
        </w:tc>
        <w:tc>
          <w:tcPr>
            <w:tcW w:type="dxa" w:w="2088"/>
            <w:shd w:val="clear" w:color="auto" w:fill="F2F0EA"/>
          </w:tcPr>
          <w:p>
            <w:pPr>
              <w:spacing w:after="40" w:before="40"/>
              <w:jc w:val="right"/>
            </w:pPr>
            <w:r/>
            <w:r>
              <w:rPr>
                <w:rFonts w:ascii="Calibri" w:hAnsi="Calibri"/>
                <w:b w:val="0"/>
                <w:sz w:val="19"/>
              </w:rPr>
              <w:t>+10%</w:t>
            </w:r>
          </w:p>
        </w:tc>
      </w:tr>
      <w:tr>
        <w:tc>
          <w:tcPr>
            <w:tcW w:type="dxa" w:w="3672"/>
          </w:tcPr>
          <w:p>
            <w:pPr>
              <w:spacing w:after="40" w:before="40"/>
              <w:jc w:val="left"/>
            </w:pPr>
            <w:r/>
            <w:r>
              <w:rPr>
                <w:rFonts w:ascii="Calibri" w:hAnsi="Calibri"/>
                <w:b w:val="0"/>
                <w:sz w:val="19"/>
              </w:rPr>
              <w:t>Net cash position</w:t>
            </w:r>
          </w:p>
        </w:tc>
        <w:tc>
          <w:tcPr>
            <w:tcW w:type="dxa" w:w="1800"/>
          </w:tcPr>
          <w:p>
            <w:pPr>
              <w:spacing w:after="40" w:before="40"/>
              <w:jc w:val="right"/>
            </w:pPr>
            <w:r/>
            <w:r>
              <w:rPr>
                <w:rFonts w:ascii="Calibri" w:hAnsi="Calibri"/>
                <w:b w:val="0"/>
                <w:sz w:val="19"/>
              </w:rPr>
              <w:t>8 496</w:t>
            </w:r>
          </w:p>
        </w:tc>
        <w:tc>
          <w:tcPr>
            <w:tcW w:type="dxa" w:w="1800"/>
          </w:tcPr>
          <w:p>
            <w:pPr>
              <w:spacing w:after="40" w:before="40"/>
              <w:jc w:val="right"/>
            </w:pPr>
            <w:r/>
            <w:r>
              <w:rPr>
                <w:rFonts w:ascii="Calibri" w:hAnsi="Calibri"/>
                <w:b w:val="0"/>
                <w:sz w:val="19"/>
              </w:rPr>
              <w:t>8 257</w:t>
            </w:r>
          </w:p>
        </w:tc>
        <w:tc>
          <w:tcPr>
            <w:tcW w:type="dxa" w:w="1584"/>
          </w:tcPr>
          <w:p>
            <w:pPr>
              <w:spacing w:after="40" w:before="40"/>
              <w:jc w:val="right"/>
            </w:pPr>
            <w:r/>
            <w:r>
              <w:rPr>
                <w:rFonts w:ascii="Calibri" w:hAnsi="Calibri"/>
                <w:b w:val="0"/>
                <w:sz w:val="19"/>
              </w:rPr>
              <w:t>+239</w:t>
            </w:r>
          </w:p>
        </w:tc>
        <w:tc>
          <w:tcPr>
            <w:tcW w:type="dxa" w:w="2088"/>
          </w:tcPr>
          <w:p>
            <w:pPr>
              <w:spacing w:after="40" w:before="40"/>
              <w:jc w:val="right"/>
            </w:pPr>
            <w:r/>
            <w:r>
              <w:rPr>
                <w:rFonts w:ascii="Calibri" w:hAnsi="Calibri"/>
                <w:b w:val="0"/>
                <w:sz w:val="19"/>
              </w:rPr>
              <w:t>+3%</w:t>
            </w:r>
          </w:p>
        </w:tc>
      </w:tr>
    </w:tbl>
    <w:p>
      <w:pPr>
        <w:spacing w:after="160"/>
      </w:pPr>
      <w:r>
        <w:rPr>
          <w:b w:val="0"/>
          <w:i w:val="0"/>
          <w:color w:val="555555"/>
          <w:sz w:val="19"/>
        </w:rPr>
        <w:t>Dividend: proposed ordinary dividend of CHF 3.30 per A share (1:10 for B shares), up 10%, plus a special dividend of CHF 1.00 — a record total distribution — subject to AGM approval on 9 September 2026. Note: Richemont reports under IFRS in EUR and is not a JSE-primary issuer, so it does not publish a SA-style HEPS figure; diluted EPS is the comparable earnings metric.</w:t>
      </w:r>
    </w:p>
    <w:p>
      <w:pPr>
        <w:pStyle w:val="Heading1"/>
      </w:pPr>
      <w:r>
        <w:t>3.  Divisional &amp; Regional Breakdown</w:t>
      </w:r>
    </w:p>
    <w:p>
      <w:pPr>
        <w:pStyle w:val="Heading2"/>
      </w:pPr>
      <w:r>
        <w:t>Business areas (FY2026)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shd w:val="clear" w:color="auto" w:fill="1F3355"/>
          </w:tcPr>
          <w:p>
            <w:pPr>
              <w:spacing w:after="40" w:before="40"/>
              <w:jc w:val="left"/>
            </w:pPr>
            <w:r/>
            <w:r>
              <w:rPr>
                <w:rFonts w:ascii="Calibri" w:hAnsi="Calibri"/>
                <w:b/>
                <w:color w:val="FFFFFF"/>
                <w:sz w:val="19"/>
              </w:rPr>
              <w:t>Division</w:t>
            </w:r>
          </w:p>
        </w:tc>
        <w:tc>
          <w:tcPr>
            <w:tcW w:type="dxa" w:w="1440"/>
            <w:shd w:val="clear" w:color="auto" w:fill="1F3355"/>
          </w:tcPr>
          <w:p>
            <w:pPr>
              <w:spacing w:after="40" w:before="40"/>
              <w:jc w:val="center"/>
            </w:pPr>
            <w:r/>
            <w:r>
              <w:rPr>
                <w:rFonts w:ascii="Calibri" w:hAnsi="Calibri"/>
                <w:b/>
                <w:color w:val="FFFFFF"/>
                <w:sz w:val="19"/>
              </w:rPr>
              <w:t>Sales</w:t>
            </w:r>
          </w:p>
        </w:tc>
        <w:tc>
          <w:tcPr>
            <w:tcW w:type="dxa" w:w="1800"/>
            <w:shd w:val="clear" w:color="auto" w:fill="1F3355"/>
          </w:tcPr>
          <w:p>
            <w:pPr>
              <w:spacing w:after="40" w:before="40"/>
              <w:jc w:val="center"/>
            </w:pPr>
            <w:r/>
            <w:r>
              <w:rPr>
                <w:rFonts w:ascii="Calibri" w:hAnsi="Calibri"/>
                <w:b/>
                <w:color w:val="FFFFFF"/>
                <w:sz w:val="19"/>
              </w:rPr>
              <w:t>Growth (actual)</w:t>
            </w:r>
          </w:p>
        </w:tc>
        <w:tc>
          <w:tcPr>
            <w:tcW w:type="dxa" w:w="1440"/>
            <w:shd w:val="clear" w:color="auto" w:fill="1F3355"/>
          </w:tcPr>
          <w:p>
            <w:pPr>
              <w:spacing w:after="40" w:before="40"/>
              <w:jc w:val="center"/>
            </w:pPr>
            <w:r/>
            <w:r>
              <w:rPr>
                <w:rFonts w:ascii="Calibri" w:hAnsi="Calibri"/>
                <w:b/>
                <w:color w:val="FFFFFF"/>
                <w:sz w:val="19"/>
              </w:rPr>
              <w:t>Growth (cc)</w:t>
            </w:r>
          </w:p>
        </w:tc>
        <w:tc>
          <w:tcPr>
            <w:tcW w:type="dxa" w:w="2088"/>
            <w:shd w:val="clear" w:color="auto" w:fill="1F3355"/>
          </w:tcPr>
          <w:p>
            <w:pPr>
              <w:spacing w:after="40" w:before="40"/>
              <w:jc w:val="center"/>
            </w:pPr>
            <w:r/>
            <w:r>
              <w:rPr>
                <w:rFonts w:ascii="Calibri" w:hAnsi="Calibri"/>
                <w:b/>
                <w:color w:val="FFFFFF"/>
                <w:sz w:val="19"/>
              </w:rPr>
              <w:t>Operating result</w:t>
            </w:r>
          </w:p>
        </w:tc>
        <w:tc>
          <w:tcPr>
            <w:tcW w:type="dxa" w:w="1440"/>
            <w:shd w:val="clear" w:color="auto" w:fill="1F3355"/>
          </w:tcPr>
          <w:p>
            <w:pPr>
              <w:spacing w:after="40" w:before="40"/>
              <w:jc w:val="center"/>
            </w:pPr>
            <w:r/>
            <w:r>
              <w:rPr>
                <w:rFonts w:ascii="Calibri" w:hAnsi="Calibri"/>
                <w:b/>
                <w:color w:val="FFFFFF"/>
                <w:sz w:val="19"/>
              </w:rPr>
              <w:t>Op. margin</w:t>
            </w:r>
          </w:p>
        </w:tc>
      </w:tr>
      <w:tr>
        <w:tc>
          <w:tcPr>
            <w:tcW w:type="dxa" w:w="2736"/>
          </w:tcPr>
          <w:p>
            <w:pPr>
              <w:spacing w:after="40" w:before="40"/>
              <w:jc w:val="left"/>
            </w:pPr>
            <w:r/>
            <w:r>
              <w:rPr>
                <w:rFonts w:ascii="Calibri" w:hAnsi="Calibri"/>
                <w:b w:val="0"/>
                <w:sz w:val="19"/>
              </w:rPr>
              <w:t>Jewellery Maisons</w:t>
            </w:r>
          </w:p>
        </w:tc>
        <w:tc>
          <w:tcPr>
            <w:tcW w:type="dxa" w:w="1440"/>
          </w:tcPr>
          <w:p>
            <w:pPr>
              <w:spacing w:after="40" w:before="40"/>
              <w:jc w:val="right"/>
            </w:pPr>
            <w:r/>
            <w:r>
              <w:rPr>
                <w:rFonts w:ascii="Calibri" w:hAnsi="Calibri"/>
                <w:b w:val="0"/>
                <w:sz w:val="19"/>
              </w:rPr>
              <w:t>€16.5bn</w:t>
            </w:r>
          </w:p>
        </w:tc>
        <w:tc>
          <w:tcPr>
            <w:tcW w:type="dxa" w:w="1800"/>
          </w:tcPr>
          <w:p>
            <w:pPr>
              <w:spacing w:after="40" w:before="40"/>
              <w:jc w:val="right"/>
            </w:pPr>
            <w:r/>
            <w:r>
              <w:rPr>
                <w:rFonts w:ascii="Calibri" w:hAnsi="Calibri"/>
                <w:b w:val="0"/>
                <w:sz w:val="19"/>
              </w:rPr>
              <w:t>+8%</w:t>
            </w:r>
          </w:p>
        </w:tc>
        <w:tc>
          <w:tcPr>
            <w:tcW w:type="dxa" w:w="1440"/>
          </w:tcPr>
          <w:p>
            <w:pPr>
              <w:spacing w:after="40" w:before="40"/>
              <w:jc w:val="right"/>
            </w:pPr>
            <w:r/>
            <w:r>
              <w:rPr>
                <w:rFonts w:ascii="Calibri" w:hAnsi="Calibri"/>
                <w:b w:val="0"/>
                <w:sz w:val="19"/>
              </w:rPr>
              <w:t>+14%</w:t>
            </w:r>
          </w:p>
        </w:tc>
        <w:tc>
          <w:tcPr>
            <w:tcW w:type="dxa" w:w="2088"/>
          </w:tcPr>
          <w:p>
            <w:pPr>
              <w:spacing w:after="40" w:before="40"/>
              <w:jc w:val="right"/>
            </w:pPr>
            <w:r/>
            <w:r>
              <w:rPr>
                <w:rFonts w:ascii="Calibri" w:hAnsi="Calibri"/>
                <w:b w:val="0"/>
                <w:sz w:val="19"/>
              </w:rPr>
              <w:t>€5.0bn</w:t>
            </w:r>
          </w:p>
        </w:tc>
        <w:tc>
          <w:tcPr>
            <w:tcW w:type="dxa" w:w="1440"/>
          </w:tcPr>
          <w:p>
            <w:pPr>
              <w:spacing w:after="40" w:before="40"/>
              <w:jc w:val="right"/>
            </w:pPr>
            <w:r/>
            <w:r>
              <w:rPr>
                <w:rFonts w:ascii="Calibri" w:hAnsi="Calibri"/>
                <w:b w:val="0"/>
                <w:sz w:val="19"/>
              </w:rPr>
              <w:t>30.5%</w:t>
            </w:r>
          </w:p>
        </w:tc>
      </w:tr>
      <w:tr>
        <w:tc>
          <w:tcPr>
            <w:tcW w:type="dxa" w:w="2736"/>
            <w:shd w:val="clear" w:color="auto" w:fill="F2F0EA"/>
          </w:tcPr>
          <w:p>
            <w:pPr>
              <w:spacing w:after="40" w:before="40"/>
              <w:jc w:val="left"/>
            </w:pPr>
            <w:r/>
            <w:r>
              <w:rPr>
                <w:rFonts w:ascii="Calibri" w:hAnsi="Calibri"/>
                <w:b w:val="0"/>
                <w:sz w:val="19"/>
              </w:rPr>
              <w:t>Specialist Watchmakers</w:t>
            </w:r>
          </w:p>
        </w:tc>
        <w:tc>
          <w:tcPr>
            <w:tcW w:type="dxa" w:w="1440"/>
            <w:shd w:val="clear" w:color="auto" w:fill="F2F0EA"/>
          </w:tcPr>
          <w:p>
            <w:pPr>
              <w:spacing w:after="40" w:before="40"/>
              <w:jc w:val="right"/>
            </w:pPr>
            <w:r/>
            <w:r>
              <w:rPr>
                <w:rFonts w:ascii="Calibri" w:hAnsi="Calibri"/>
                <w:b w:val="0"/>
                <w:sz w:val="19"/>
              </w:rPr>
              <w:t>€3.1bn</w:t>
            </w:r>
          </w:p>
        </w:tc>
        <w:tc>
          <w:tcPr>
            <w:tcW w:type="dxa" w:w="1800"/>
            <w:shd w:val="clear" w:color="auto" w:fill="F2F0EA"/>
          </w:tcPr>
          <w:p>
            <w:pPr>
              <w:spacing w:after="40" w:before="40"/>
              <w:jc w:val="right"/>
            </w:pPr>
            <w:r/>
            <w:r>
              <w:rPr>
                <w:rFonts w:ascii="Calibri" w:hAnsi="Calibri"/>
                <w:b w:val="0"/>
                <w:sz w:val="19"/>
              </w:rPr>
              <w:t>–4%</w:t>
            </w:r>
          </w:p>
        </w:tc>
        <w:tc>
          <w:tcPr>
            <w:tcW w:type="dxa" w:w="1440"/>
            <w:shd w:val="clear" w:color="auto" w:fill="F2F0EA"/>
          </w:tcPr>
          <w:p>
            <w:pPr>
              <w:spacing w:after="40" w:before="40"/>
              <w:jc w:val="right"/>
            </w:pPr>
            <w:r/>
            <w:r>
              <w:rPr>
                <w:rFonts w:ascii="Calibri" w:hAnsi="Calibri"/>
                <w:b w:val="0"/>
                <w:sz w:val="19"/>
              </w:rPr>
              <w:t>+1%</w:t>
            </w:r>
          </w:p>
        </w:tc>
        <w:tc>
          <w:tcPr>
            <w:tcW w:type="dxa" w:w="2088"/>
            <w:shd w:val="clear" w:color="auto" w:fill="F2F0EA"/>
          </w:tcPr>
          <w:p>
            <w:pPr>
              <w:spacing w:after="40" w:before="40"/>
              <w:jc w:val="right"/>
            </w:pPr>
            <w:r/>
            <w:r>
              <w:rPr>
                <w:rFonts w:ascii="Calibri" w:hAnsi="Calibri"/>
                <w:b w:val="0"/>
                <w:sz w:val="19"/>
              </w:rPr>
              <w:t>€107m</w:t>
            </w:r>
          </w:p>
        </w:tc>
        <w:tc>
          <w:tcPr>
            <w:tcW w:type="dxa" w:w="1440"/>
            <w:shd w:val="clear" w:color="auto" w:fill="F2F0EA"/>
          </w:tcPr>
          <w:p>
            <w:pPr>
              <w:spacing w:after="40" w:before="40"/>
              <w:jc w:val="right"/>
            </w:pPr>
            <w:r/>
            <w:r>
              <w:rPr>
                <w:rFonts w:ascii="Calibri" w:hAnsi="Calibri"/>
                <w:b w:val="0"/>
                <w:sz w:val="19"/>
              </w:rPr>
              <w:t>3.4%</w:t>
            </w:r>
          </w:p>
        </w:tc>
      </w:tr>
      <w:tr>
        <w:tc>
          <w:tcPr>
            <w:tcW w:type="dxa" w:w="2736"/>
          </w:tcPr>
          <w:p>
            <w:pPr>
              <w:spacing w:after="40" w:before="40"/>
              <w:jc w:val="left"/>
            </w:pPr>
            <w:r/>
            <w:r>
              <w:rPr>
                <w:rFonts w:ascii="Calibri" w:hAnsi="Calibri"/>
                <w:b w:val="0"/>
                <w:sz w:val="19"/>
              </w:rPr>
              <w:t>'Other' (F&amp;A etc.)</w:t>
            </w:r>
          </w:p>
        </w:tc>
        <w:tc>
          <w:tcPr>
            <w:tcW w:type="dxa" w:w="1440"/>
          </w:tcPr>
          <w:p>
            <w:pPr>
              <w:spacing w:after="40" w:before="40"/>
              <w:jc w:val="right"/>
            </w:pPr>
            <w:r/>
            <w:r>
              <w:rPr>
                <w:rFonts w:ascii="Calibri" w:hAnsi="Calibri"/>
                <w:b w:val="0"/>
                <w:sz w:val="19"/>
              </w:rPr>
              <w:t>€2.7bn</w:t>
            </w:r>
          </w:p>
        </w:tc>
        <w:tc>
          <w:tcPr>
            <w:tcW w:type="dxa" w:w="1800"/>
          </w:tcPr>
          <w:p>
            <w:pPr>
              <w:spacing w:after="40" w:before="40"/>
              <w:jc w:val="right"/>
            </w:pPr>
            <w:r/>
            <w:r>
              <w:rPr>
                <w:rFonts w:ascii="Calibri" w:hAnsi="Calibri"/>
                <w:b w:val="0"/>
                <w:sz w:val="19"/>
              </w:rPr>
              <w:t>–2%</w:t>
            </w:r>
          </w:p>
        </w:tc>
        <w:tc>
          <w:tcPr>
            <w:tcW w:type="dxa" w:w="1440"/>
          </w:tcPr>
          <w:p>
            <w:pPr>
              <w:spacing w:after="40" w:before="40"/>
              <w:jc w:val="right"/>
            </w:pPr>
            <w:r/>
            <w:r>
              <w:rPr>
                <w:rFonts w:ascii="Calibri" w:hAnsi="Calibri"/>
                <w:b w:val="0"/>
                <w:sz w:val="19"/>
              </w:rPr>
              <w:t>+3%</w:t>
            </w:r>
          </w:p>
        </w:tc>
        <w:tc>
          <w:tcPr>
            <w:tcW w:type="dxa" w:w="2088"/>
          </w:tcPr>
          <w:p>
            <w:pPr>
              <w:spacing w:after="40" w:before="40"/>
              <w:jc w:val="right"/>
            </w:pPr>
            <w:r/>
            <w:r>
              <w:rPr>
                <w:rFonts w:ascii="Calibri" w:hAnsi="Calibri"/>
                <w:b w:val="0"/>
                <w:sz w:val="19"/>
              </w:rPr>
              <w:t>–€96m</w:t>
            </w:r>
          </w:p>
        </w:tc>
        <w:tc>
          <w:tcPr>
            <w:tcW w:type="dxa" w:w="1440"/>
          </w:tcPr>
          <w:p>
            <w:pPr>
              <w:spacing w:after="40" w:before="40"/>
              <w:jc w:val="right"/>
            </w:pPr>
            <w:r/>
            <w:r>
              <w:rPr>
                <w:rFonts w:ascii="Calibri" w:hAnsi="Calibri"/>
                <w:b w:val="0"/>
                <w:sz w:val="19"/>
              </w:rPr>
              <w:t>n/m</w:t>
            </w:r>
          </w:p>
        </w:tc>
      </w:tr>
    </w:tbl>
    <w:p>
      <w:pPr>
        <w:spacing w:after="120"/>
      </w:pPr>
      <w:r>
        <w:rPr>
          <w:b w:val="0"/>
          <w:i w:val="0"/>
          <w:sz w:val="21"/>
        </w:rPr>
        <w:t>The 80/20 reality: Jewellery is ~74% of sales but contributes more than 100% of divisional operating profit, subsidising a barely-profitable watch division and a loss-making fashion arm. Encouragingly, watches returned to growth in H2 (A. Lange &amp; Söhne, Jaeger-LeCoultre, Vacheron Constantin), and Montblanc/Alaïa/Peter Millar improved. Richemont agreed to sell Baume &amp; Mercier to the Damiani Group (closing summer 2026), trimming the watch tail.</w:t>
      </w:r>
    </w:p>
    <w:p>
      <w:pPr>
        <w:pStyle w:val="Heading2"/>
      </w:pPr>
      <w:r>
        <w:t>Regions &amp; channels (constant rates)</w:t>
      </w:r>
    </w:p>
    <w:p>
      <w:pPr>
        <w:pStyle w:val="ListBullet"/>
        <w:spacing w:after="60"/>
      </w:pPr>
      <w:r>
        <w:rPr>
          <w:b/>
          <w:sz w:val="21"/>
        </w:rPr>
        <w:t>Americas:</w:t>
      </w:r>
      <w:r>
        <w:rPr>
          <w:sz w:val="21"/>
        </w:rPr>
        <w:t xml:space="preserve"> double-digit growth throughout the year — the standout region.</w:t>
      </w:r>
    </w:p>
    <w:p>
      <w:pPr>
        <w:pStyle w:val="ListBullet"/>
        <w:spacing w:after="60"/>
      </w:pPr>
      <w:r>
        <w:rPr>
          <w:b/>
          <w:sz w:val="21"/>
        </w:rPr>
        <w:t>Middle East &amp; Africa:</w:t>
      </w:r>
      <w:r>
        <w:rPr>
          <w:sz w:val="21"/>
        </w:rPr>
        <w:t xml:space="preserve"> double-digit growth, despite an adverse hit from the March Middle East conflict.</w:t>
      </w:r>
    </w:p>
    <w:p>
      <w:pPr>
        <w:pStyle w:val="ListBullet"/>
        <w:spacing w:after="60"/>
      </w:pPr>
      <w:r>
        <w:rPr>
          <w:b/>
          <w:sz w:val="21"/>
        </w:rPr>
        <w:t>Europe &amp; Japan:</w:t>
      </w:r>
      <w:r>
        <w:rPr>
          <w:sz w:val="21"/>
        </w:rPr>
        <w:t xml:space="preserve"> high-single-digit growth against tough prior-year comparatives.</w:t>
      </w:r>
    </w:p>
    <w:p>
      <w:pPr>
        <w:pStyle w:val="ListBullet"/>
        <w:spacing w:after="60"/>
      </w:pPr>
      <w:r>
        <w:rPr>
          <w:b/>
          <w:sz w:val="21"/>
        </w:rPr>
        <w:t>Asia Pacific:</w:t>
      </w:r>
      <w:r>
        <w:rPr>
          <w:sz w:val="21"/>
        </w:rPr>
        <w:t xml:space="preserve"> high single digit, including a return to slight growth in China, Hong Kong and Macau combined as demand improved from the summer.</w:t>
      </w:r>
    </w:p>
    <w:p>
      <w:pPr>
        <w:pStyle w:val="ListBullet"/>
        <w:spacing w:after="60"/>
      </w:pPr>
      <w:r>
        <w:rPr>
          <w:b/>
          <w:sz w:val="21"/>
        </w:rPr>
        <w:t>Channels:</w:t>
      </w:r>
      <w:r>
        <w:rPr>
          <w:sz w:val="21"/>
        </w:rPr>
        <w:t xml:space="preserve"> direct-to-client reached 77% of Group sales; retail grew double digits, leading all channels.</w:t>
      </w:r>
    </w:p>
    <w:p>
      <w:pPr>
        <w:pStyle w:val="Heading1"/>
      </w:pPr>
      <w:r>
        <w:t>4.  Growth Projections — FY2026/27 into FY2027</w:t>
      </w:r>
    </w:p>
    <w:p>
      <w:pPr>
        <w:spacing w:after="120"/>
      </w:pPr>
      <w:r>
        <w:rPr>
          <w:b w:val="0"/>
          <w:i w:val="0"/>
          <w:sz w:val="21"/>
        </w:rPr>
        <w:t>Richemont does not issue formal numeric guidance; the Chairman's statement was deliberately cautious, flagging persistent geopolitical uncertainty (notably the Middle East). The projections below therefore blend the Group's stated strategic posture with current sell-side consensus and should be read as estimates (e).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355"/>
          </w:tcPr>
          <w:p>
            <w:pPr>
              <w:spacing w:after="40" w:before="40"/>
              <w:jc w:val="left"/>
            </w:pPr>
            <w:r/>
            <w:r>
              <w:rPr>
                <w:rFonts w:ascii="Calibri" w:hAnsi="Calibri"/>
                <w:b/>
                <w:color w:val="FFFFFF"/>
                <w:sz w:val="19"/>
              </w:rPr>
              <w:t>Driver</w:t>
            </w:r>
          </w:p>
        </w:tc>
        <w:tc>
          <w:tcPr>
            <w:tcW w:type="dxa" w:w="2808"/>
            <w:shd w:val="clear" w:color="auto" w:fill="1F3355"/>
          </w:tcPr>
          <w:p>
            <w:pPr>
              <w:spacing w:after="40" w:before="40"/>
              <w:jc w:val="center"/>
            </w:pPr>
            <w:r/>
            <w:r>
              <w:rPr>
                <w:rFonts w:ascii="Calibri" w:hAnsi="Calibri"/>
                <w:b/>
                <w:color w:val="FFFFFF"/>
                <w:sz w:val="19"/>
              </w:rPr>
              <w:t>FY2027 view (e)</w:t>
            </w:r>
          </w:p>
        </w:tc>
        <w:tc>
          <w:tcPr>
            <w:tcW w:type="dxa" w:w="4968"/>
            <w:shd w:val="clear" w:color="auto" w:fill="1F3355"/>
          </w:tcPr>
          <w:p>
            <w:pPr>
              <w:spacing w:after="40" w:before="40"/>
              <w:jc w:val="center"/>
            </w:pPr>
            <w:r/>
            <w:r>
              <w:rPr>
                <w:rFonts w:ascii="Calibri" w:hAnsi="Calibri"/>
                <w:b/>
                <w:color w:val="FFFFFF"/>
                <w:sz w:val="19"/>
              </w:rPr>
              <w:t>Comment</w:t>
            </w:r>
          </w:p>
        </w:tc>
      </w:tr>
      <w:tr>
        <w:tc>
          <w:tcPr>
            <w:tcW w:type="dxa" w:w="3168"/>
          </w:tcPr>
          <w:p>
            <w:pPr>
              <w:spacing w:after="40" w:before="40"/>
              <w:jc w:val="left"/>
            </w:pPr>
            <w:r/>
            <w:r>
              <w:rPr>
                <w:rFonts w:ascii="Calibri" w:hAnsi="Calibri"/>
                <w:b w:val="0"/>
                <w:sz w:val="19"/>
              </w:rPr>
              <w:t>Group sales (constant fx)</w:t>
            </w:r>
          </w:p>
        </w:tc>
        <w:tc>
          <w:tcPr>
            <w:tcW w:type="dxa" w:w="2808"/>
          </w:tcPr>
          <w:p>
            <w:pPr>
              <w:spacing w:after="40" w:before="40"/>
              <w:jc w:val="left"/>
            </w:pPr>
            <w:r/>
            <w:r>
              <w:rPr>
                <w:rFonts w:ascii="Calibri" w:hAnsi="Calibri"/>
                <w:b w:val="0"/>
                <w:sz w:val="19"/>
              </w:rPr>
              <w:t>~mid-to-high single digit</w:t>
            </w:r>
          </w:p>
        </w:tc>
        <w:tc>
          <w:tcPr>
            <w:tcW w:type="dxa" w:w="4968"/>
          </w:tcPr>
          <w:p>
            <w:pPr>
              <w:spacing w:after="40" w:before="40"/>
              <w:jc w:val="left"/>
            </w:pPr>
            <w:r/>
            <w:r>
              <w:rPr>
                <w:rFonts w:ascii="Calibri" w:hAnsi="Calibri"/>
                <w:b w:val="0"/>
                <w:sz w:val="19"/>
              </w:rPr>
              <w:t>Jewellery-led; watches recovering off a low base</w:t>
            </w:r>
          </w:p>
        </w:tc>
      </w:tr>
      <w:tr>
        <w:tc>
          <w:tcPr>
            <w:tcW w:type="dxa" w:w="3168"/>
            <w:shd w:val="clear" w:color="auto" w:fill="F2F0EA"/>
          </w:tcPr>
          <w:p>
            <w:pPr>
              <w:spacing w:after="40" w:before="40"/>
              <w:jc w:val="left"/>
            </w:pPr>
            <w:r/>
            <w:r>
              <w:rPr>
                <w:rFonts w:ascii="Calibri" w:hAnsi="Calibri"/>
                <w:b w:val="0"/>
                <w:sz w:val="19"/>
              </w:rPr>
              <w:t>Consensus revenue CAGR (3yr)</w:t>
            </w:r>
          </w:p>
        </w:tc>
        <w:tc>
          <w:tcPr>
            <w:tcW w:type="dxa" w:w="2808"/>
            <w:shd w:val="clear" w:color="auto" w:fill="F2F0EA"/>
          </w:tcPr>
          <w:p>
            <w:pPr>
              <w:spacing w:after="40" w:before="40"/>
              <w:jc w:val="left"/>
            </w:pPr>
            <w:r/>
            <w:r>
              <w:rPr>
                <w:rFonts w:ascii="Calibri" w:hAnsi="Calibri"/>
                <w:b w:val="0"/>
                <w:sz w:val="19"/>
              </w:rPr>
              <w:t>~6% (e)</w:t>
            </w:r>
          </w:p>
        </w:tc>
        <w:tc>
          <w:tcPr>
            <w:tcW w:type="dxa" w:w="4968"/>
            <w:shd w:val="clear" w:color="auto" w:fill="F2F0EA"/>
          </w:tcPr>
          <w:p>
            <w:pPr>
              <w:spacing w:after="40" w:before="40"/>
              <w:jc w:val="left"/>
            </w:pPr>
            <w:r/>
            <w:r>
              <w:rPr>
                <w:rFonts w:ascii="Calibri" w:hAnsi="Calibri"/>
                <w:b w:val="0"/>
                <w:sz w:val="19"/>
              </w:rPr>
              <w:t>Sell-side aggregate; luxury-sector normalisation</w:t>
            </w:r>
          </w:p>
        </w:tc>
      </w:tr>
      <w:tr>
        <w:tc>
          <w:tcPr>
            <w:tcW w:type="dxa" w:w="3168"/>
          </w:tcPr>
          <w:p>
            <w:pPr>
              <w:spacing w:after="40" w:before="40"/>
              <w:jc w:val="left"/>
            </w:pPr>
            <w:r/>
            <w:r>
              <w:rPr>
                <w:rFonts w:ascii="Calibri" w:hAnsi="Calibri"/>
                <w:b w:val="0"/>
                <w:sz w:val="19"/>
              </w:rPr>
              <w:t>Operating margin</w:t>
            </w:r>
          </w:p>
        </w:tc>
        <w:tc>
          <w:tcPr>
            <w:tcW w:type="dxa" w:w="2808"/>
          </w:tcPr>
          <w:p>
            <w:pPr>
              <w:spacing w:after="40" w:before="40"/>
              <w:jc w:val="left"/>
            </w:pPr>
            <w:r/>
            <w:r>
              <w:rPr>
                <w:rFonts w:ascii="Calibri" w:hAnsi="Calibri"/>
                <w:b w:val="0"/>
                <w:sz w:val="19"/>
              </w:rPr>
              <w:t>Stable-to-modestly higher (e)</w:t>
            </w:r>
          </w:p>
        </w:tc>
        <w:tc>
          <w:tcPr>
            <w:tcW w:type="dxa" w:w="4968"/>
          </w:tcPr>
          <w:p>
            <w:pPr>
              <w:spacing w:after="40" w:before="40"/>
              <w:jc w:val="left"/>
            </w:pPr>
            <w:r/>
            <w:r>
              <w:rPr>
                <w:rFonts w:ascii="Calibri" w:hAnsi="Calibri"/>
                <w:b w:val="0"/>
                <w:sz w:val="19"/>
              </w:rPr>
              <w:t>Mgmt ambition: +100–200bps over time via mix/efficiency</w:t>
            </w:r>
          </w:p>
        </w:tc>
      </w:tr>
      <w:tr>
        <w:tc>
          <w:tcPr>
            <w:tcW w:type="dxa" w:w="3168"/>
            <w:shd w:val="clear" w:color="auto" w:fill="F2F0EA"/>
          </w:tcPr>
          <w:p>
            <w:pPr>
              <w:spacing w:after="40" w:before="40"/>
              <w:jc w:val="left"/>
            </w:pPr>
            <w:r/>
            <w:r>
              <w:rPr>
                <w:rFonts w:ascii="Calibri" w:hAnsi="Calibri"/>
                <w:b w:val="0"/>
                <w:sz w:val="19"/>
              </w:rPr>
              <w:t>Operating income CAGR (3yr)</w:t>
            </w:r>
          </w:p>
        </w:tc>
        <w:tc>
          <w:tcPr>
            <w:tcW w:type="dxa" w:w="2808"/>
            <w:shd w:val="clear" w:color="auto" w:fill="F2F0EA"/>
          </w:tcPr>
          <w:p>
            <w:pPr>
              <w:spacing w:after="40" w:before="40"/>
              <w:jc w:val="left"/>
            </w:pPr>
            <w:r/>
            <w:r>
              <w:rPr>
                <w:rFonts w:ascii="Calibri" w:hAnsi="Calibri"/>
                <w:b w:val="0"/>
                <w:sz w:val="19"/>
              </w:rPr>
              <w:t>~10% (e)</w:t>
            </w:r>
          </w:p>
        </w:tc>
        <w:tc>
          <w:tcPr>
            <w:tcW w:type="dxa" w:w="4968"/>
            <w:shd w:val="clear" w:color="auto" w:fill="F2F0EA"/>
          </w:tcPr>
          <w:p>
            <w:pPr>
              <w:spacing w:after="40" w:before="40"/>
              <w:jc w:val="left"/>
            </w:pPr>
            <w:r/>
            <w:r>
              <w:rPr>
                <w:rFonts w:ascii="Calibri" w:hAnsi="Calibri"/>
                <w:b w:val="0"/>
                <w:sz w:val="19"/>
              </w:rPr>
              <w:t>Operating leverage as watches/F&amp;A de-loss</w:t>
            </w:r>
          </w:p>
        </w:tc>
      </w:tr>
      <w:tr>
        <w:tc>
          <w:tcPr>
            <w:tcW w:type="dxa" w:w="3168"/>
          </w:tcPr>
          <w:p>
            <w:pPr>
              <w:spacing w:after="40" w:before="40"/>
              <w:jc w:val="left"/>
            </w:pPr>
            <w:r/>
            <w:r>
              <w:rPr>
                <w:rFonts w:ascii="Calibri" w:hAnsi="Calibri"/>
                <w:b w:val="0"/>
                <w:sz w:val="19"/>
              </w:rPr>
              <w:t>Capital returns</w:t>
            </w:r>
          </w:p>
        </w:tc>
        <w:tc>
          <w:tcPr>
            <w:tcW w:type="dxa" w:w="2808"/>
          </w:tcPr>
          <w:p>
            <w:pPr>
              <w:spacing w:after="40" w:before="40"/>
              <w:jc w:val="left"/>
            </w:pPr>
            <w:r/>
            <w:r>
              <w:rPr>
                <w:rFonts w:ascii="Calibri" w:hAnsi="Calibri"/>
                <w:b w:val="0"/>
                <w:sz w:val="19"/>
              </w:rPr>
              <w:t>Rising</w:t>
            </w:r>
          </w:p>
        </w:tc>
        <w:tc>
          <w:tcPr>
            <w:tcW w:type="dxa" w:w="4968"/>
          </w:tcPr>
          <w:p>
            <w:pPr>
              <w:spacing w:after="40" w:before="40"/>
              <w:jc w:val="left"/>
            </w:pPr>
            <w:r/>
            <w:r>
              <w:rPr>
                <w:rFonts w:ascii="Calibri" w:hAnsi="Calibri"/>
                <w:b w:val="0"/>
                <w:sz w:val="19"/>
              </w:rPr>
              <w:t>10% higher ordinary div + special; new buyback live</w:t>
            </w:r>
          </w:p>
        </w:tc>
      </w:tr>
    </w:tbl>
    <w:p>
      <w:pPr>
        <w:spacing w:after="80"/>
      </w:pPr>
      <w:r>
        <w:rPr>
          <w:b w:val="0"/>
          <w:i w:val="0"/>
          <w:sz w:val="21"/>
        </w:rPr>
        <w:t>Bull case for FY2027: continued Jewellery share gains, a genuine cyclical recovery in Swiss watches off a depressed base, China stabilising rather than deteriorating, Americas momentum persisting, and the easing of the strong-euro headwind flipping the actual-vs-constant gap into a tailwind. Each of these would convert Richemont's ~23% constant-currency operating-profit growth into reported growth.</w:t>
      </w:r>
    </w:p>
    <w:p>
      <w:pPr>
        <w:spacing w:after="120"/>
      </w:pPr>
      <w:r>
        <w:rPr>
          <w:b w:val="0"/>
          <w:i w:val="0"/>
          <w:sz w:val="21"/>
        </w:rPr>
        <w:t>Bear case: a strong euro and elevated gold prices continue to compress gross margin; US tariffs escalate; the Middle East conflict deepens and dents a region that has been a growth engine; and Chinese luxury demand stays soft. In that world FY2027 reported growth could be low-single-digit despite resilient volumes.</w:t>
      </w:r>
    </w:p>
    <w:p>
      <w:pPr>
        <w:pStyle w:val="Heading1"/>
      </w:pPr>
      <w:r>
        <w:t>5.  Management Incentives &amp; Governance</w:t>
      </w:r>
    </w:p>
    <w:p>
      <w:pPr>
        <w:spacing w:after="120"/>
      </w:pPr>
      <w:r>
        <w:rPr>
          <w:b w:val="0"/>
          <w:i w:val="0"/>
          <w:color w:val="555555"/>
          <w:sz w:val="19"/>
        </w:rPr>
        <w:t>Compensation figures below are from the audited FY26 Annual Report Compensation Report (pp. 66-81); amounts in CHF.</w:t>
      </w:r>
    </w:p>
    <w:p>
      <w:pPr>
        <w:pStyle w:val="Heading2"/>
      </w:pPr>
      <w:r>
        <w:t>FY2026 compensation (CHF)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1F3355"/>
          </w:tcPr>
          <w:p>
            <w:pPr>
              <w:spacing w:after="40" w:before="40"/>
              <w:jc w:val="left"/>
            </w:pPr>
            <w:r/>
            <w:r>
              <w:rPr>
                <w:rFonts w:ascii="Calibri" w:hAnsi="Calibri"/>
                <w:b/>
                <w:color w:val="FFFFFF"/>
                <w:sz w:val="19"/>
              </w:rPr>
              <w:t>Recipient</w:t>
            </w:r>
          </w:p>
        </w:tc>
        <w:tc>
          <w:tcPr>
            <w:tcW w:type="dxa" w:w="1440"/>
            <w:shd w:val="clear" w:color="auto" w:fill="1F3355"/>
          </w:tcPr>
          <w:p>
            <w:pPr>
              <w:spacing w:after="40" w:before="40"/>
              <w:jc w:val="center"/>
            </w:pPr>
            <w:r/>
            <w:r>
              <w:rPr>
                <w:rFonts w:ascii="Calibri" w:hAnsi="Calibri"/>
                <w:b/>
                <w:color w:val="FFFFFF"/>
                <w:sz w:val="19"/>
              </w:rPr>
              <w:t>FY2026</w:t>
            </w:r>
          </w:p>
        </w:tc>
        <w:tc>
          <w:tcPr>
            <w:tcW w:type="dxa" w:w="1440"/>
            <w:shd w:val="clear" w:color="auto" w:fill="1F3355"/>
          </w:tcPr>
          <w:p>
            <w:pPr>
              <w:spacing w:after="40" w:before="40"/>
              <w:jc w:val="center"/>
            </w:pPr>
            <w:r/>
            <w:r>
              <w:rPr>
                <w:rFonts w:ascii="Calibri" w:hAnsi="Calibri"/>
                <w:b/>
                <w:color w:val="FFFFFF"/>
                <w:sz w:val="19"/>
              </w:rPr>
              <w:t>FY2025</w:t>
            </w:r>
          </w:p>
        </w:tc>
        <w:tc>
          <w:tcPr>
            <w:tcW w:type="dxa" w:w="4608"/>
            <w:shd w:val="clear" w:color="auto" w:fill="1F3355"/>
          </w:tcPr>
          <w:p>
            <w:pPr>
              <w:spacing w:after="40" w:before="40"/>
              <w:jc w:val="center"/>
            </w:pPr>
            <w:r/>
            <w:r>
              <w:rPr>
                <w:rFonts w:ascii="Calibri" w:hAnsi="Calibri"/>
                <w:b/>
                <w:color w:val="FFFFFF"/>
                <w:sz w:val="19"/>
              </w:rPr>
              <w:t>Notes</w:t>
            </w:r>
          </w:p>
        </w:tc>
      </w:tr>
      <w:tr>
        <w:tc>
          <w:tcPr>
            <w:tcW w:type="dxa" w:w="3456"/>
          </w:tcPr>
          <w:p>
            <w:pPr>
              <w:spacing w:after="40" w:before="40"/>
              <w:jc w:val="left"/>
            </w:pPr>
            <w:r/>
            <w:r>
              <w:rPr>
                <w:rFonts w:ascii="Calibri" w:hAnsi="Calibri"/>
                <w:b w:val="0"/>
                <w:sz w:val="19"/>
              </w:rPr>
              <w:t>Nicolas Bos — Group CEO</w:t>
            </w:r>
          </w:p>
        </w:tc>
        <w:tc>
          <w:tcPr>
            <w:tcW w:type="dxa" w:w="1440"/>
          </w:tcPr>
          <w:p>
            <w:pPr>
              <w:spacing w:after="40" w:before="40"/>
              <w:jc w:val="right"/>
            </w:pPr>
            <w:r/>
            <w:r>
              <w:rPr>
                <w:rFonts w:ascii="Calibri" w:hAnsi="Calibri"/>
                <w:b w:val="0"/>
                <w:sz w:val="19"/>
              </w:rPr>
              <w:t>13 606 360</w:t>
            </w:r>
          </w:p>
        </w:tc>
        <w:tc>
          <w:tcPr>
            <w:tcW w:type="dxa" w:w="1440"/>
          </w:tcPr>
          <w:p>
            <w:pPr>
              <w:spacing w:after="40" w:before="40"/>
              <w:jc w:val="right"/>
            </w:pPr>
            <w:r/>
            <w:r>
              <w:rPr>
                <w:rFonts w:ascii="Calibri" w:hAnsi="Calibri"/>
                <w:b w:val="0"/>
                <w:sz w:val="19"/>
              </w:rPr>
              <w:t>11 055 856</w:t>
            </w:r>
          </w:p>
        </w:tc>
        <w:tc>
          <w:tcPr>
            <w:tcW w:type="dxa" w:w="4608"/>
          </w:tcPr>
          <w:p>
            <w:pPr>
              <w:spacing w:after="40" w:before="40"/>
              <w:jc w:val="left"/>
            </w:pPr>
            <w:r/>
            <w:r>
              <w:rPr>
                <w:rFonts w:ascii="Calibri" w:hAnsi="Calibri"/>
                <w:b w:val="0"/>
                <w:sz w:val="19"/>
              </w:rPr>
              <w:t>Salary 2.85m; STI cash 3.64m; PSU equity 4.25m; PCU cash 2.10m; pension 0.13m; soc. sec. 0.64m</w:t>
            </w:r>
          </w:p>
        </w:tc>
      </w:tr>
      <w:tr>
        <w:tc>
          <w:tcPr>
            <w:tcW w:type="dxa" w:w="3456"/>
            <w:shd w:val="clear" w:color="auto" w:fill="F2F0EA"/>
          </w:tcPr>
          <w:p>
            <w:pPr>
              <w:spacing w:after="40" w:before="40"/>
              <w:jc w:val="left"/>
            </w:pPr>
            <w:r/>
            <w:r>
              <w:rPr>
                <w:rFonts w:ascii="Calibri" w:hAnsi="Calibri"/>
                <w:b w:val="0"/>
                <w:sz w:val="19"/>
              </w:rPr>
              <w:t>Burkhart Grund — CFO</w:t>
            </w:r>
          </w:p>
        </w:tc>
        <w:tc>
          <w:tcPr>
            <w:tcW w:type="dxa" w:w="1440"/>
            <w:shd w:val="clear" w:color="auto" w:fill="F2F0EA"/>
          </w:tcPr>
          <w:p>
            <w:pPr>
              <w:spacing w:after="40" w:before="40"/>
              <w:jc w:val="right"/>
            </w:pPr>
            <w:r/>
            <w:r>
              <w:rPr>
                <w:rFonts w:ascii="Calibri" w:hAnsi="Calibri"/>
                <w:b w:val="0"/>
                <w:sz w:val="19"/>
              </w:rPr>
              <w:t>7 659 862</w:t>
            </w:r>
          </w:p>
        </w:tc>
        <w:tc>
          <w:tcPr>
            <w:tcW w:type="dxa" w:w="1440"/>
            <w:shd w:val="clear" w:color="auto" w:fill="F2F0EA"/>
          </w:tcPr>
          <w:p>
            <w:pPr>
              <w:spacing w:after="40" w:before="40"/>
              <w:jc w:val="right"/>
            </w:pPr>
            <w:r/>
            <w:r>
              <w:rPr>
                <w:rFonts w:ascii="Calibri" w:hAnsi="Calibri"/>
                <w:b w:val="0"/>
                <w:sz w:val="19"/>
              </w:rPr>
              <w:t>7 604 979</w:t>
            </w:r>
          </w:p>
        </w:tc>
        <w:tc>
          <w:tcPr>
            <w:tcW w:type="dxa" w:w="4608"/>
            <w:shd w:val="clear" w:color="auto" w:fill="F2F0EA"/>
          </w:tcPr>
          <w:p>
            <w:pPr>
              <w:spacing w:after="40" w:before="40"/>
              <w:jc w:val="left"/>
            </w:pPr>
            <w:r/>
            <w:r>
              <w:rPr>
                <w:rFonts w:ascii="Calibri" w:hAnsi="Calibri"/>
                <w:b w:val="0"/>
                <w:sz w:val="19"/>
              </w:rPr>
              <w:t>Chief Finance Officer</w:t>
            </w:r>
          </w:p>
        </w:tc>
      </w:tr>
      <w:tr>
        <w:tc>
          <w:tcPr>
            <w:tcW w:type="dxa" w:w="3456"/>
          </w:tcPr>
          <w:p>
            <w:pPr>
              <w:spacing w:after="40" w:before="40"/>
              <w:jc w:val="left"/>
            </w:pPr>
            <w:r/>
            <w:r>
              <w:rPr>
                <w:rFonts w:ascii="Calibri" w:hAnsi="Calibri"/>
                <w:b w:val="0"/>
                <w:sz w:val="19"/>
              </w:rPr>
              <w:t>Senior Executive Committee — total</w:t>
            </w:r>
          </w:p>
        </w:tc>
        <w:tc>
          <w:tcPr>
            <w:tcW w:type="dxa" w:w="1440"/>
          </w:tcPr>
          <w:p>
            <w:pPr>
              <w:spacing w:after="40" w:before="40"/>
              <w:jc w:val="right"/>
            </w:pPr>
            <w:r/>
            <w:r>
              <w:rPr>
                <w:rFonts w:ascii="Calibri" w:hAnsi="Calibri"/>
                <w:b w:val="0"/>
                <w:sz w:val="19"/>
              </w:rPr>
              <w:t>49 909 208</w:t>
            </w:r>
          </w:p>
        </w:tc>
        <w:tc>
          <w:tcPr>
            <w:tcW w:type="dxa" w:w="1440"/>
          </w:tcPr>
          <w:p>
            <w:pPr>
              <w:spacing w:after="40" w:before="40"/>
              <w:jc w:val="right"/>
            </w:pPr>
            <w:r/>
            <w:r>
              <w:rPr>
                <w:rFonts w:ascii="Calibri" w:hAnsi="Calibri"/>
                <w:b w:val="0"/>
                <w:sz w:val="19"/>
              </w:rPr>
              <w:t>42 067 061</w:t>
            </w:r>
          </w:p>
        </w:tc>
        <w:tc>
          <w:tcPr>
            <w:tcW w:type="dxa" w:w="4608"/>
          </w:tcPr>
          <w:p>
            <w:pPr>
              <w:spacing w:after="40" w:before="40"/>
              <w:jc w:val="left"/>
            </w:pPr>
            <w:r/>
            <w:r>
              <w:rPr>
                <w:rFonts w:ascii="Calibri" w:hAnsi="Calibri"/>
                <w:b w:val="0"/>
                <w:sz w:val="19"/>
              </w:rPr>
              <w:t>10 members; variable pay = 72% of total</w:t>
            </w:r>
          </w:p>
        </w:tc>
      </w:tr>
      <w:tr>
        <w:tc>
          <w:tcPr>
            <w:tcW w:type="dxa" w:w="3456"/>
            <w:shd w:val="clear" w:color="auto" w:fill="F2F0EA"/>
          </w:tcPr>
          <w:p>
            <w:pPr>
              <w:spacing w:after="40" w:before="40"/>
              <w:jc w:val="left"/>
            </w:pPr>
            <w:r/>
            <w:r>
              <w:rPr>
                <w:rFonts w:ascii="Calibri" w:hAnsi="Calibri"/>
                <w:b w:val="0"/>
                <w:sz w:val="19"/>
              </w:rPr>
              <w:t>Board of Directors — total</w:t>
            </w:r>
          </w:p>
        </w:tc>
        <w:tc>
          <w:tcPr>
            <w:tcW w:type="dxa" w:w="1440"/>
            <w:shd w:val="clear" w:color="auto" w:fill="F2F0EA"/>
          </w:tcPr>
          <w:p>
            <w:pPr>
              <w:spacing w:after="40" w:before="40"/>
              <w:jc w:val="right"/>
            </w:pPr>
            <w:r/>
            <w:r>
              <w:rPr>
                <w:rFonts w:ascii="Calibri" w:hAnsi="Calibri"/>
                <w:b w:val="0"/>
                <w:sz w:val="19"/>
              </w:rPr>
              <w:t>7 009 346</w:t>
            </w:r>
          </w:p>
        </w:tc>
        <w:tc>
          <w:tcPr>
            <w:tcW w:type="dxa" w:w="1440"/>
            <w:shd w:val="clear" w:color="auto" w:fill="F2F0EA"/>
          </w:tcPr>
          <w:p>
            <w:pPr>
              <w:spacing w:after="40" w:before="40"/>
              <w:jc w:val="right"/>
            </w:pPr>
            <w:r/>
            <w:r>
              <w:rPr>
                <w:rFonts w:ascii="Calibri" w:hAnsi="Calibri"/>
                <w:b w:val="0"/>
                <w:sz w:val="19"/>
              </w:rPr>
              <w:t>7 447 271</w:t>
            </w:r>
          </w:p>
        </w:tc>
        <w:tc>
          <w:tcPr>
            <w:tcW w:type="dxa" w:w="4608"/>
            <w:shd w:val="clear" w:color="auto" w:fill="F2F0EA"/>
          </w:tcPr>
          <w:p>
            <w:pPr>
              <w:spacing w:after="40" w:before="40"/>
              <w:jc w:val="left"/>
            </w:pPr>
            <w:r/>
            <w:r>
              <w:rPr>
                <w:rFonts w:ascii="Calibri" w:hAnsi="Calibri"/>
                <w:b w:val="0"/>
                <w:sz w:val="19"/>
              </w:rPr>
              <w:t>Non-executive fees only</w:t>
            </w:r>
          </w:p>
        </w:tc>
      </w:tr>
      <w:tr>
        <w:tc>
          <w:tcPr>
            <w:tcW w:type="dxa" w:w="3456"/>
          </w:tcPr>
          <w:p>
            <w:pPr>
              <w:spacing w:after="40" w:before="40"/>
              <w:jc w:val="left"/>
            </w:pPr>
            <w:r/>
            <w:r>
              <w:rPr>
                <w:rFonts w:ascii="Calibri" w:hAnsi="Calibri"/>
                <w:b w:val="0"/>
                <w:sz w:val="19"/>
              </w:rPr>
              <w:t>Johann Rupert — Chairman</w:t>
            </w:r>
          </w:p>
        </w:tc>
        <w:tc>
          <w:tcPr>
            <w:tcW w:type="dxa" w:w="1440"/>
          </w:tcPr>
          <w:p>
            <w:pPr>
              <w:spacing w:after="40" w:before="40"/>
              <w:jc w:val="right"/>
            </w:pPr>
            <w:r/>
            <w:r>
              <w:rPr>
                <w:rFonts w:ascii="Calibri" w:hAnsi="Calibri"/>
                <w:b w:val="0"/>
                <w:sz w:val="19"/>
              </w:rPr>
              <w:t>3 084 221</w:t>
            </w:r>
          </w:p>
        </w:tc>
        <w:tc>
          <w:tcPr>
            <w:tcW w:type="dxa" w:w="1440"/>
          </w:tcPr>
          <w:p>
            <w:pPr>
              <w:spacing w:after="40" w:before="40"/>
              <w:jc w:val="right"/>
            </w:pPr>
            <w:r/>
            <w:r>
              <w:rPr>
                <w:rFonts w:ascii="Calibri" w:hAnsi="Calibri"/>
                <w:b w:val="0"/>
                <w:sz w:val="19"/>
              </w:rPr>
              <w:t>3 076 723</w:t>
            </w:r>
          </w:p>
        </w:tc>
        <w:tc>
          <w:tcPr>
            <w:tcW w:type="dxa" w:w="4608"/>
          </w:tcPr>
          <w:p>
            <w:pPr>
              <w:spacing w:after="40" w:before="40"/>
              <w:jc w:val="left"/>
            </w:pPr>
            <w:r/>
            <w:r>
              <w:rPr>
                <w:rFonts w:ascii="Calibri" w:hAnsi="Calibri"/>
                <w:b w:val="0"/>
                <w:sz w:val="19"/>
              </w:rPr>
              <w:t>Flat fee 2.70m + soc. sec.; no variable pay</w:t>
            </w:r>
          </w:p>
        </w:tc>
      </w:tr>
      <w:tr>
        <w:tc>
          <w:tcPr>
            <w:tcW w:type="dxa" w:w="3456"/>
            <w:shd w:val="clear" w:color="auto" w:fill="F2F0EA"/>
          </w:tcPr>
          <w:p>
            <w:pPr>
              <w:spacing w:after="40" w:before="40"/>
              <w:jc w:val="left"/>
            </w:pPr>
            <w:r/>
            <w:r>
              <w:rPr>
                <w:rFonts w:ascii="Calibri" w:hAnsi="Calibri"/>
                <w:b w:val="0"/>
                <w:sz w:val="19"/>
              </w:rPr>
              <w:t>Total compensation</w:t>
            </w:r>
          </w:p>
        </w:tc>
        <w:tc>
          <w:tcPr>
            <w:tcW w:type="dxa" w:w="1440"/>
            <w:shd w:val="clear" w:color="auto" w:fill="F2F0EA"/>
          </w:tcPr>
          <w:p>
            <w:pPr>
              <w:spacing w:after="40" w:before="40"/>
              <w:jc w:val="right"/>
            </w:pPr>
            <w:r/>
            <w:r>
              <w:rPr>
                <w:rFonts w:ascii="Calibri" w:hAnsi="Calibri"/>
                <w:b w:val="0"/>
                <w:sz w:val="19"/>
              </w:rPr>
              <w:t>56 918 554</w:t>
            </w:r>
          </w:p>
        </w:tc>
        <w:tc>
          <w:tcPr>
            <w:tcW w:type="dxa" w:w="1440"/>
            <w:shd w:val="clear" w:color="auto" w:fill="F2F0EA"/>
          </w:tcPr>
          <w:p>
            <w:pPr>
              <w:spacing w:after="40" w:before="40"/>
              <w:jc w:val="right"/>
            </w:pPr>
            <w:r/>
            <w:r>
              <w:rPr>
                <w:rFonts w:ascii="Calibri" w:hAnsi="Calibri"/>
                <w:b w:val="0"/>
                <w:sz w:val="19"/>
              </w:rPr>
              <w:t>49 514 332</w:t>
            </w:r>
          </w:p>
        </w:tc>
        <w:tc>
          <w:tcPr>
            <w:tcW w:type="dxa" w:w="4608"/>
            <w:shd w:val="clear" w:color="auto" w:fill="F2F0EA"/>
          </w:tcPr>
          <w:p>
            <w:pPr>
              <w:spacing w:after="40" w:before="40"/>
              <w:jc w:val="left"/>
            </w:pPr>
            <w:r/>
            <w:r>
              <w:rPr>
                <w:rFonts w:ascii="Calibri" w:hAnsi="Calibri"/>
                <w:b w:val="0"/>
                <w:sz w:val="19"/>
              </w:rPr>
            </w:r>
          </w:p>
        </w:tc>
      </w:tr>
    </w:tbl>
    <w:p>
      <w:pPr>
        <w:pStyle w:val="Heading2"/>
      </w:pPr>
      <w:r>
        <w:t>How incentives are structured</w:t>
      </w:r>
    </w:p>
    <w:p>
      <w:pPr>
        <w:pStyle w:val="ListBullet"/>
        <w:spacing w:after="60"/>
      </w:pPr>
      <w:r>
        <w:rPr>
          <w:b/>
          <w:sz w:val="21"/>
        </w:rPr>
        <w:t>Short-term incentive (STI):</w:t>
      </w:r>
      <w:r>
        <w:rPr>
          <w:sz w:val="21"/>
        </w:rPr>
        <w:t xml:space="preserve"> annual cash bonus, target 75% of base salary for SEC members (100% for the CEO), capped at 150% of target. Scored 50% on quantitative Group/Maison KPIs — sales, operating profit and cash generation, weighted one-third each — and 50% on qualitative objectives (now including a behavioural ‘How’ component). FY2026 achievement averaged 124% of target (quantitative 125%, qualitative 124%) ≈ 96% of base salary; the Committee cited +5% sales, +1% operating profit and cash generation above expectations.</w:t>
      </w:r>
    </w:p>
    <w:p>
      <w:pPr>
        <w:pStyle w:val="ListBullet"/>
        <w:spacing w:after="60"/>
      </w:pPr>
      <w:r>
        <w:rPr>
          <w:b/>
          <w:sz w:val="21"/>
        </w:rPr>
        <w:t>Long-term incentive (LTI):</w:t>
      </w:r>
      <w:r>
        <w:rPr>
          <w:sz w:val="21"/>
        </w:rPr>
        <w:t xml:space="preserve"> Performance Stock Units (equity) plus Performance Cash Units (cash), granted each June and vesting after three years (the June 2025 grant vests July 2028). Target allocation 112.5% of base salary (150% for the CEO); PCU payout capped at 50% of the PSU award. PSU vesting is measured on value creation (50%; formula (15×operating profit + 20×free cash flow)/2), RONA (20%) and qualitative goals (30%).</w:t>
      </w:r>
    </w:p>
    <w:p>
      <w:pPr>
        <w:pStyle w:val="ListBullet"/>
        <w:spacing w:after="60"/>
      </w:pPr>
      <w:r>
        <w:rPr>
          <w:b/>
          <w:sz w:val="21"/>
        </w:rPr>
        <w:t>What actually vested:</w:t>
      </w:r>
      <w:r>
        <w:rPr>
          <w:sz w:val="21"/>
        </w:rPr>
        <w:t xml:space="preserve"> the CEO’s 2025 LTI grant was 29 371 PSU plus PCU worth up to CHF 2.10m; the CFO 15 716 PSU / CHF 1.12m. Tellingly, the 2022 PCU awards paid nothing — neither the value-creation nor the RONA hurdle was cleared over FY2022-25 — even though the 2022 PSU vested at 100% (Group operating profit +19% vs grant). The cash long-term plan can, and did, pay zero.</w:t>
      </w:r>
    </w:p>
    <w:p>
      <w:pPr>
        <w:pStyle w:val="ListBullet"/>
        <w:spacing w:after="60"/>
      </w:pPr>
      <w:r>
        <w:rPr>
          <w:b/>
          <w:sz w:val="21"/>
        </w:rPr>
        <w:t>Alignment features:</w:t>
      </w:r>
      <w:r>
        <w:rPr>
          <w:sz w:val="21"/>
        </w:rPr>
        <w:t xml:space="preserve"> PSU/RSU awards settle in treasury shares, not newly issued stock, and the Group repurchases ‘A’ shares at grant date to hedge them — directly tying the May 2026 buyback to incentive funding rather than dilution. LTI (not STI) carries clawback; there are no special severance arrangements and SEC notice periods are capped at 12 months.</w:t>
      </w:r>
    </w:p>
    <w:p>
      <w:pPr>
        <w:pStyle w:val="Heading2"/>
      </w:pPr>
      <w:r>
        <w:t>Governance — the Rupert control structure</w:t>
      </w:r>
    </w:p>
    <w:p>
      <w:pPr>
        <w:spacing w:after="120"/>
      </w:pPr>
      <w:r>
        <w:rPr>
          <w:b w:val="0"/>
          <w:i w:val="0"/>
          <w:sz w:val="21"/>
        </w:rPr>
        <w:t>This is the single most important governance fact for an investor. Through Compagnie Financière Rupert, the Rupert family holds 100% of the unlisted B shares. The B shares carry one-tenth of the economic value of an A share but equal voting weight, giving the family roughly 51% of the votes on only ~10% of the economic capital. Chairman Johann Rupert thus controls every material decision — acquisitions, disposals, CEO appointment, capital allocation. Consistent with a steward rather than an operator, he draws a flat CHF 2.7m non-executive fee with no bonus, equity or LTI.</w:t>
      </w:r>
    </w:p>
    <w:p>
      <w:pPr>
        <w:spacing w:after="120"/>
      </w:pPr>
      <w:r>
        <w:rPr>
          <w:b w:val="0"/>
          <w:i w:val="0"/>
          <w:sz w:val="21"/>
        </w:rPr>
        <w:t>Investment implication: this is a double-edged incentive. It enables genuinely long-term, through-cycle stewardship (the explicit Richemont ethos) and insulates the Maisons from short-term market pressure — a plus for a luxury franchise. But it entrenches the family, dilutes outside-shareholder influence (the Bluebell campaign for a B-share-holder board seat illustrated the tension), and means minorities are along for the ride on Rupert’s capital-allocation judgement. Succession risk around Johann Rupert is a long-term overhang.</w:t>
      </w:r>
    </w:p>
    <w:p>
      <w:pPr>
        <w:pStyle w:val="Heading1"/>
      </w:pPr>
      <w:r>
        <w:t>6.  Risks Going Into FY2027</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355"/>
          </w:tcPr>
          <w:p>
            <w:pPr>
              <w:spacing w:after="40" w:before="40"/>
              <w:jc w:val="left"/>
            </w:pPr>
            <w:r/>
            <w:r>
              <w:rPr>
                <w:rFonts w:ascii="Calibri" w:hAnsi="Calibri"/>
                <w:b/>
                <w:color w:val="FFFFFF"/>
                <w:sz w:val="19"/>
              </w:rPr>
              <w:t>Risk</w:t>
            </w:r>
          </w:p>
        </w:tc>
        <w:tc>
          <w:tcPr>
            <w:tcW w:type="dxa" w:w="8208"/>
            <w:shd w:val="clear" w:color="auto" w:fill="1F3355"/>
          </w:tcPr>
          <w:p>
            <w:pPr>
              <w:spacing w:after="40" w:before="40"/>
              <w:jc w:val="center"/>
            </w:pPr>
            <w:r/>
            <w:r>
              <w:rPr>
                <w:rFonts w:ascii="Calibri" w:hAnsi="Calibri"/>
                <w:b/>
                <w:color w:val="FFFFFF"/>
                <w:sz w:val="19"/>
              </w:rPr>
              <w:t>Why it matters for FY2027</w:t>
            </w:r>
          </w:p>
        </w:tc>
      </w:tr>
      <w:tr>
        <w:tc>
          <w:tcPr>
            <w:tcW w:type="dxa" w:w="2736"/>
          </w:tcPr>
          <w:p>
            <w:pPr>
              <w:spacing w:after="40" w:before="40"/>
              <w:jc w:val="left"/>
            </w:pPr>
            <w:r/>
            <w:r>
              <w:rPr>
                <w:rFonts w:ascii="Calibri" w:hAnsi="Calibri"/>
                <w:b w:val="0"/>
                <w:sz w:val="19"/>
              </w:rPr>
              <w:t>Currency translation</w:t>
            </w:r>
          </w:p>
        </w:tc>
        <w:tc>
          <w:tcPr>
            <w:tcW w:type="dxa" w:w="8208"/>
          </w:tcPr>
          <w:p>
            <w:pPr>
              <w:spacing w:after="40" w:before="40"/>
              <w:jc w:val="left"/>
            </w:pPr>
            <w:r/>
            <w:r>
              <w:rPr>
                <w:rFonts w:ascii="Calibri" w:hAnsi="Calibri"/>
                <w:b w:val="0"/>
                <w:sz w:val="19"/>
              </w:rPr>
              <w:t>A strong euro vs trading currencies cut FY26 actual growth to +5% from +11% constant and compressed gross margin 250bps. The single biggest swing factor on reported numbers.</w:t>
            </w:r>
          </w:p>
        </w:tc>
      </w:tr>
      <w:tr>
        <w:tc>
          <w:tcPr>
            <w:tcW w:type="dxa" w:w="2736"/>
            <w:shd w:val="clear" w:color="auto" w:fill="F2F0EA"/>
          </w:tcPr>
          <w:p>
            <w:pPr>
              <w:spacing w:after="40" w:before="40"/>
              <w:jc w:val="left"/>
            </w:pPr>
            <w:r/>
            <w:r>
              <w:rPr>
                <w:rFonts w:ascii="Calibri" w:hAnsi="Calibri"/>
                <w:b w:val="0"/>
                <w:sz w:val="19"/>
              </w:rPr>
              <w:t>Gold / raw-material costs</w:t>
            </w:r>
          </w:p>
        </w:tc>
        <w:tc>
          <w:tcPr>
            <w:tcW w:type="dxa" w:w="8208"/>
            <w:shd w:val="clear" w:color="auto" w:fill="F2F0EA"/>
          </w:tcPr>
          <w:p>
            <w:pPr>
              <w:spacing w:after="40" w:before="40"/>
              <w:jc w:val="left"/>
            </w:pPr>
            <w:r/>
            <w:r>
              <w:rPr>
                <w:rFonts w:ascii="Calibri" w:hAnsi="Calibri"/>
                <w:b w:val="0"/>
                <w:sz w:val="19"/>
              </w:rPr>
              <w:t>Record gold prices raised Jewellery input costs; only 'measured' price increases were taken, capping margin recovery if gold stays elevated.</w:t>
            </w:r>
          </w:p>
        </w:tc>
      </w:tr>
      <w:tr>
        <w:tc>
          <w:tcPr>
            <w:tcW w:type="dxa" w:w="2736"/>
          </w:tcPr>
          <w:p>
            <w:pPr>
              <w:spacing w:after="40" w:before="40"/>
              <w:jc w:val="left"/>
            </w:pPr>
            <w:r/>
            <w:r>
              <w:rPr>
                <w:rFonts w:ascii="Calibri" w:hAnsi="Calibri"/>
                <w:b w:val="0"/>
                <w:sz w:val="19"/>
              </w:rPr>
              <w:t>US tariffs / trade policy</w:t>
            </w:r>
          </w:p>
        </w:tc>
        <w:tc>
          <w:tcPr>
            <w:tcW w:type="dxa" w:w="8208"/>
          </w:tcPr>
          <w:p>
            <w:pPr>
              <w:spacing w:after="40" w:before="40"/>
              <w:jc w:val="left"/>
            </w:pPr>
            <w:r/>
            <w:r>
              <w:rPr>
                <w:rFonts w:ascii="Calibri" w:hAnsi="Calibri"/>
                <w:b w:val="0"/>
                <w:sz w:val="19"/>
              </w:rPr>
              <w:t>Incremental US import duties already dented margin; the Americas is the top growth region, so escalation hits the best engine.</w:t>
            </w:r>
          </w:p>
        </w:tc>
      </w:tr>
      <w:tr>
        <w:tc>
          <w:tcPr>
            <w:tcW w:type="dxa" w:w="2736"/>
            <w:shd w:val="clear" w:color="auto" w:fill="F2F0EA"/>
          </w:tcPr>
          <w:p>
            <w:pPr>
              <w:spacing w:after="40" w:before="40"/>
              <w:jc w:val="left"/>
            </w:pPr>
            <w:r/>
            <w:r>
              <w:rPr>
                <w:rFonts w:ascii="Calibri" w:hAnsi="Calibri"/>
                <w:b w:val="0"/>
                <w:sz w:val="19"/>
              </w:rPr>
              <w:t>China / Asia demand</w:t>
            </w:r>
          </w:p>
        </w:tc>
        <w:tc>
          <w:tcPr>
            <w:tcW w:type="dxa" w:w="8208"/>
            <w:shd w:val="clear" w:color="auto" w:fill="F2F0EA"/>
          </w:tcPr>
          <w:p>
            <w:pPr>
              <w:spacing w:after="40" w:before="40"/>
              <w:jc w:val="left"/>
            </w:pPr>
            <w:r/>
            <w:r>
              <w:rPr>
                <w:rFonts w:ascii="Calibri" w:hAnsi="Calibri"/>
                <w:b w:val="0"/>
                <w:sz w:val="19"/>
              </w:rPr>
              <w:t>Only 'slight' growth in Greater China. A relapse would remove a key swing factor for the whole sector.</w:t>
            </w:r>
          </w:p>
        </w:tc>
      </w:tr>
      <w:tr>
        <w:tc>
          <w:tcPr>
            <w:tcW w:type="dxa" w:w="2736"/>
          </w:tcPr>
          <w:p>
            <w:pPr>
              <w:spacing w:after="40" w:before="40"/>
              <w:jc w:val="left"/>
            </w:pPr>
            <w:r/>
            <w:r>
              <w:rPr>
                <w:rFonts w:ascii="Calibri" w:hAnsi="Calibri"/>
                <w:b w:val="0"/>
                <w:sz w:val="19"/>
              </w:rPr>
              <w:t>Middle East conflict</w:t>
            </w:r>
          </w:p>
        </w:tc>
        <w:tc>
          <w:tcPr>
            <w:tcW w:type="dxa" w:w="8208"/>
          </w:tcPr>
          <w:p>
            <w:pPr>
              <w:spacing w:after="40" w:before="40"/>
              <w:jc w:val="left"/>
            </w:pPr>
            <w:r/>
            <w:r>
              <w:rPr>
                <w:rFonts w:ascii="Calibri" w:hAnsi="Calibri"/>
                <w:b w:val="0"/>
                <w:sz w:val="19"/>
              </w:rPr>
              <w:t>MEA grew double digits but was hit in March; the Chairman singled out the region as the chief uncertainty for the year ahead.</w:t>
            </w:r>
          </w:p>
        </w:tc>
      </w:tr>
      <w:tr>
        <w:tc>
          <w:tcPr>
            <w:tcW w:type="dxa" w:w="2736"/>
            <w:shd w:val="clear" w:color="auto" w:fill="F2F0EA"/>
          </w:tcPr>
          <w:p>
            <w:pPr>
              <w:spacing w:after="40" w:before="40"/>
              <w:jc w:val="left"/>
            </w:pPr>
            <w:r/>
            <w:r>
              <w:rPr>
                <w:rFonts w:ascii="Calibri" w:hAnsi="Calibri"/>
                <w:b w:val="0"/>
                <w:sz w:val="19"/>
              </w:rPr>
              <w:t>Watch-cycle fragility</w:t>
            </w:r>
          </w:p>
        </w:tc>
        <w:tc>
          <w:tcPr>
            <w:tcW w:type="dxa" w:w="8208"/>
            <w:shd w:val="clear" w:color="auto" w:fill="F2F0EA"/>
          </w:tcPr>
          <w:p>
            <w:pPr>
              <w:spacing w:after="40" w:before="40"/>
              <w:jc w:val="left"/>
            </w:pPr>
            <w:r/>
            <w:r>
              <w:rPr>
                <w:rFonts w:ascii="Calibri" w:hAnsi="Calibri"/>
                <w:b w:val="0"/>
                <w:sz w:val="19"/>
              </w:rPr>
              <w:t>Specialist Watchmakers at 3.4% margin only just stabilised after a ~24-month downturn; recovery is early and unproven.</w:t>
            </w:r>
          </w:p>
        </w:tc>
      </w:tr>
      <w:tr>
        <w:tc>
          <w:tcPr>
            <w:tcW w:type="dxa" w:w="2736"/>
          </w:tcPr>
          <w:p>
            <w:pPr>
              <w:spacing w:after="40" w:before="40"/>
              <w:jc w:val="left"/>
            </w:pPr>
            <w:r/>
            <w:r>
              <w:rPr>
                <w:rFonts w:ascii="Calibri" w:hAnsi="Calibri"/>
                <w:b w:val="0"/>
                <w:sz w:val="19"/>
              </w:rPr>
              <w:t>Concentration</w:t>
            </w:r>
          </w:p>
        </w:tc>
        <w:tc>
          <w:tcPr>
            <w:tcW w:type="dxa" w:w="8208"/>
          </w:tcPr>
          <w:p>
            <w:pPr>
              <w:spacing w:after="40" w:before="40"/>
              <w:jc w:val="left"/>
            </w:pPr>
            <w:r/>
            <w:r>
              <w:rPr>
                <w:rFonts w:ascii="Calibri" w:hAnsi="Calibri"/>
                <w:b w:val="0"/>
                <w:sz w:val="19"/>
              </w:rPr>
              <w:t>Reliance on Cartier/VCA Jewellery for essentially all profit; any brand-specific stumble is outsized at group level.</w:t>
            </w:r>
          </w:p>
        </w:tc>
      </w:tr>
      <w:tr>
        <w:tc>
          <w:tcPr>
            <w:tcW w:type="dxa" w:w="2736"/>
            <w:shd w:val="clear" w:color="auto" w:fill="F2F0EA"/>
          </w:tcPr>
          <w:p>
            <w:pPr>
              <w:spacing w:after="40" w:before="40"/>
              <w:jc w:val="left"/>
            </w:pPr>
            <w:r/>
            <w:r>
              <w:rPr>
                <w:rFonts w:ascii="Calibri" w:hAnsi="Calibri"/>
                <w:b w:val="0"/>
                <w:sz w:val="19"/>
              </w:rPr>
              <w:t>Governance / key-man</w:t>
            </w:r>
          </w:p>
        </w:tc>
        <w:tc>
          <w:tcPr>
            <w:tcW w:type="dxa" w:w="8208"/>
            <w:shd w:val="clear" w:color="auto" w:fill="F2F0EA"/>
          </w:tcPr>
          <w:p>
            <w:pPr>
              <w:spacing w:after="40" w:before="40"/>
              <w:jc w:val="left"/>
            </w:pPr>
            <w:r/>
            <w:r>
              <w:rPr>
                <w:rFonts w:ascii="Calibri" w:hAnsi="Calibri"/>
                <w:b w:val="0"/>
                <w:sz w:val="19"/>
              </w:rPr>
              <w:t>Rupert dual-class control and succession; limited minority influence over capital allocation.</w:t>
            </w:r>
          </w:p>
        </w:tc>
      </w:tr>
    </w:tbl>
    <w:p>
      <w:pPr>
        <w:spacing w:after="120"/>
      </w:pPr>
      <w:r>
        <w:rPr>
          <w:b w:val="0"/>
          <w:i w:val="0"/>
          <w:sz w:val="21"/>
        </w:rPr>
        <w:t>Positive offsets: €8.5bn net cash (zero balance-sheet risk), 77% direct-to-client (pricing and data control), the most desirable jewellery brands in the world, and a disposal of Baume &amp; Mercier that tidies the watch portfolio. No going-concern, audit-qualification or covenant issues; auditor transitioned from PwC to KPMG for FY2026.</w:t>
      </w:r>
    </w:p>
    <w:p>
      <w:pPr>
        <w:pStyle w:val="Heading1"/>
      </w:pPr>
      <w:r>
        <w:t>7.  Impact of a 10–15% Rand Depreciation vs USD on the JSE Price</w:t>
      </w:r>
    </w:p>
    <w:p>
      <w:pPr>
        <w:spacing w:after="60"/>
      </w:pPr>
      <w:r>
        <w:rPr>
          <w:b w:val="0"/>
          <w:i w:val="0"/>
          <w:sz w:val="21"/>
        </w:rPr>
        <w:t>Mechanism. CFR's primary, price-setting listing is on the SIX Swiss Exchange in CHF. The JSE line is the same fungible A share quoted in rand, kept in line with Zurich by arbitrage. So, to a first approximation:</w:t>
      </w:r>
    </w:p>
    <w:p>
      <w:pPr>
        <w:jc w:val="center"/>
      </w:pPr>
      <w:r>
        <w:rPr>
          <w:b/>
          <w:color w:val="1F3355"/>
          <w:sz w:val="22"/>
        </w:rPr>
        <w:t>JSE price (ZAR)  ≈  SIX price (CHF)  ×  CHF/ZAR exchange rate</w:t>
      </w:r>
    </w:p>
    <w:p>
      <w:pPr>
        <w:spacing w:after="120"/>
      </w:pPr>
      <w:r>
        <w:rPr>
          <w:b w:val="0"/>
          <w:i w:val="0"/>
          <w:sz w:val="21"/>
        </w:rPr>
        <w:t>Because Richemont earns in EUR/CHF from a globally diversified base and has negligible South African revenue, its intrinsic (CHF) value is essentially unaffected by the level of the rand. A weaker rand therefore flows through almost entirely as a translation gain to the ZAR-quoted price — the textbook 'rand hedge'. The rand weakening 10–15% does not make Richemont worth more; it makes each CHF of unchanged value worth more rand.</w:t>
      </w:r>
    </w:p>
    <w:p>
      <w:pPr>
        <w:pStyle w:val="Heading2"/>
      </w:pPr>
      <w:r>
        <w:t>Scenario table</w:t>
      </w:r>
    </w:p>
    <w:p>
      <w:pPr>
        <w:spacing w:after="120"/>
      </w:pPr>
      <w:r>
        <w:rPr>
          <w:b w:val="0"/>
          <w:i w:val="0"/>
          <w:color w:val="555555"/>
          <w:sz w:val="19"/>
        </w:rPr>
        <w:t>Anchored on the CFR JSE close of ZAR 3,506.82 (29 May 2026), SIX price CHF 164.55 (5 June 2026) and USD/ZAR ≈ 16.30. Scenarios assume the rand loses value against the dollar with the CHF/USD cross held constant, so CHF/ZAR rises in step. Figures are estimates (e).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952"/>
            <w:shd w:val="clear" w:color="auto" w:fill="1F3355"/>
          </w:tcPr>
          <w:p>
            <w:pPr>
              <w:spacing w:after="40" w:before="40"/>
              <w:jc w:val="left"/>
            </w:pPr>
            <w:r/>
            <w:r>
              <w:rPr>
                <w:rFonts w:ascii="Calibri" w:hAnsi="Calibri"/>
                <w:b/>
                <w:color w:val="FFFFFF"/>
                <w:sz w:val="19"/>
              </w:rPr>
              <w:t>Rand depreciation vs USD</w:t>
            </w:r>
          </w:p>
        </w:tc>
        <w:tc>
          <w:tcPr>
            <w:tcW w:type="dxa" w:w="1944"/>
            <w:shd w:val="clear" w:color="auto" w:fill="1F3355"/>
          </w:tcPr>
          <w:p>
            <w:pPr>
              <w:spacing w:after="40" w:before="40"/>
              <w:jc w:val="center"/>
            </w:pPr>
            <w:r/>
            <w:r>
              <w:rPr>
                <w:rFonts w:ascii="Calibri" w:hAnsi="Calibri"/>
                <w:b/>
                <w:color w:val="FFFFFF"/>
                <w:sz w:val="19"/>
              </w:rPr>
              <w:t>Implied USD/ZAR</w:t>
            </w:r>
          </w:p>
        </w:tc>
        <w:tc>
          <w:tcPr>
            <w:tcW w:type="dxa" w:w="2232"/>
            <w:shd w:val="clear" w:color="auto" w:fill="1F3355"/>
          </w:tcPr>
          <w:p>
            <w:pPr>
              <w:spacing w:after="40" w:before="40"/>
              <w:jc w:val="center"/>
            </w:pPr>
            <w:r/>
            <w:r>
              <w:rPr>
                <w:rFonts w:ascii="Calibri" w:hAnsi="Calibri"/>
                <w:b/>
                <w:color w:val="FFFFFF"/>
                <w:sz w:val="19"/>
              </w:rPr>
              <w:t>JSE price (ZAR) (e)</w:t>
            </w:r>
          </w:p>
        </w:tc>
        <w:tc>
          <w:tcPr>
            <w:tcW w:type="dxa" w:w="1944"/>
            <w:shd w:val="clear" w:color="auto" w:fill="1F3355"/>
          </w:tcPr>
          <w:p>
            <w:pPr>
              <w:spacing w:after="40" w:before="40"/>
              <w:jc w:val="center"/>
            </w:pPr>
            <w:r/>
            <w:r>
              <w:rPr>
                <w:rFonts w:ascii="Calibri" w:hAnsi="Calibri"/>
                <w:b/>
                <w:color w:val="FFFFFF"/>
                <w:sz w:val="19"/>
              </w:rPr>
              <w:t>Gain per share (e)</w:t>
            </w:r>
          </w:p>
        </w:tc>
        <w:tc>
          <w:tcPr>
            <w:tcW w:type="dxa" w:w="1872"/>
            <w:shd w:val="clear" w:color="auto" w:fill="1F3355"/>
          </w:tcPr>
          <w:p>
            <w:pPr>
              <w:spacing w:after="40" w:before="40"/>
              <w:jc w:val="center"/>
            </w:pPr>
            <w:r/>
            <w:r>
              <w:rPr>
                <w:rFonts w:ascii="Calibri" w:hAnsi="Calibri"/>
                <w:b/>
                <w:color w:val="FFFFFF"/>
                <w:sz w:val="19"/>
              </w:rPr>
              <w:t>ZAR price change</w:t>
            </w:r>
          </w:p>
        </w:tc>
      </w:tr>
      <w:tr>
        <w:tc>
          <w:tcPr>
            <w:tcW w:type="dxa" w:w="2952"/>
          </w:tcPr>
          <w:p>
            <w:pPr>
              <w:spacing w:after="40" w:before="40"/>
              <w:jc w:val="left"/>
            </w:pPr>
            <w:r/>
            <w:r>
              <w:rPr>
                <w:rFonts w:ascii="Calibri" w:hAnsi="Calibri"/>
                <w:b w:val="0"/>
                <w:sz w:val="19"/>
              </w:rPr>
              <w:t>Base (no change)</w:t>
            </w:r>
          </w:p>
        </w:tc>
        <w:tc>
          <w:tcPr>
            <w:tcW w:type="dxa" w:w="1944"/>
          </w:tcPr>
          <w:p>
            <w:pPr>
              <w:spacing w:after="40" w:before="40"/>
              <w:jc w:val="right"/>
            </w:pPr>
            <w:r/>
            <w:r>
              <w:rPr>
                <w:rFonts w:ascii="Calibri" w:hAnsi="Calibri"/>
                <w:b w:val="0"/>
                <w:sz w:val="19"/>
              </w:rPr>
              <w:t>16.30</w:t>
            </w:r>
          </w:p>
        </w:tc>
        <w:tc>
          <w:tcPr>
            <w:tcW w:type="dxa" w:w="2232"/>
          </w:tcPr>
          <w:p>
            <w:pPr>
              <w:spacing w:after="40" w:before="40"/>
              <w:jc w:val="right"/>
            </w:pPr>
            <w:r/>
            <w:r>
              <w:rPr>
                <w:rFonts w:ascii="Calibri" w:hAnsi="Calibri"/>
                <w:b w:val="0"/>
                <w:sz w:val="19"/>
              </w:rPr>
              <w:t>3 507</w:t>
            </w:r>
          </w:p>
        </w:tc>
        <w:tc>
          <w:tcPr>
            <w:tcW w:type="dxa" w:w="1944"/>
          </w:tcPr>
          <w:p>
            <w:pPr>
              <w:spacing w:after="40" w:before="40"/>
              <w:jc w:val="right"/>
            </w:pPr>
            <w:r/>
            <w:r>
              <w:rPr>
                <w:rFonts w:ascii="Calibri" w:hAnsi="Calibri"/>
                <w:b w:val="0"/>
                <w:sz w:val="19"/>
              </w:rPr>
              <w:t>—</w:t>
            </w:r>
          </w:p>
        </w:tc>
        <w:tc>
          <w:tcPr>
            <w:tcW w:type="dxa" w:w="1872"/>
          </w:tcPr>
          <w:p>
            <w:pPr>
              <w:spacing w:after="40" w:before="40"/>
              <w:jc w:val="right"/>
            </w:pPr>
            <w:r/>
            <w:r>
              <w:rPr>
                <w:rFonts w:ascii="Calibri" w:hAnsi="Calibri"/>
                <w:b w:val="0"/>
                <w:sz w:val="19"/>
              </w:rPr>
              <w:t>—</w:t>
            </w:r>
          </w:p>
        </w:tc>
      </w:tr>
      <w:tr>
        <w:tc>
          <w:tcPr>
            <w:tcW w:type="dxa" w:w="2952"/>
            <w:shd w:val="clear" w:color="auto" w:fill="F2F0EA"/>
          </w:tcPr>
          <w:p>
            <w:pPr>
              <w:spacing w:after="40" w:before="40"/>
              <w:jc w:val="left"/>
            </w:pPr>
            <w:r/>
            <w:r>
              <w:rPr>
                <w:rFonts w:ascii="Calibri" w:hAnsi="Calibri"/>
                <w:b w:val="0"/>
                <w:sz w:val="19"/>
              </w:rPr>
              <w:t>–10%</w:t>
            </w:r>
          </w:p>
        </w:tc>
        <w:tc>
          <w:tcPr>
            <w:tcW w:type="dxa" w:w="1944"/>
            <w:shd w:val="clear" w:color="auto" w:fill="F2F0EA"/>
          </w:tcPr>
          <w:p>
            <w:pPr>
              <w:spacing w:after="40" w:before="40"/>
              <w:jc w:val="right"/>
            </w:pPr>
            <w:r/>
            <w:r>
              <w:rPr>
                <w:rFonts w:ascii="Calibri" w:hAnsi="Calibri"/>
                <w:b w:val="0"/>
                <w:sz w:val="19"/>
              </w:rPr>
              <w:t>18.11</w:t>
            </w:r>
          </w:p>
        </w:tc>
        <w:tc>
          <w:tcPr>
            <w:tcW w:type="dxa" w:w="2232"/>
            <w:shd w:val="clear" w:color="auto" w:fill="F2F0EA"/>
          </w:tcPr>
          <w:p>
            <w:pPr>
              <w:spacing w:after="40" w:before="40"/>
              <w:jc w:val="right"/>
            </w:pPr>
            <w:r/>
            <w:r>
              <w:rPr>
                <w:rFonts w:ascii="Calibri" w:hAnsi="Calibri"/>
                <w:b w:val="0"/>
                <w:sz w:val="19"/>
              </w:rPr>
              <w:t>3 896</w:t>
            </w:r>
          </w:p>
        </w:tc>
        <w:tc>
          <w:tcPr>
            <w:tcW w:type="dxa" w:w="1944"/>
            <w:shd w:val="clear" w:color="auto" w:fill="F2F0EA"/>
          </w:tcPr>
          <w:p>
            <w:pPr>
              <w:spacing w:after="40" w:before="40"/>
              <w:jc w:val="right"/>
            </w:pPr>
            <w:r/>
            <w:r>
              <w:rPr>
                <w:rFonts w:ascii="Calibri" w:hAnsi="Calibri"/>
                <w:b w:val="0"/>
                <w:sz w:val="19"/>
              </w:rPr>
              <w:t>+389</w:t>
            </w:r>
          </w:p>
        </w:tc>
        <w:tc>
          <w:tcPr>
            <w:tcW w:type="dxa" w:w="1872"/>
            <w:shd w:val="clear" w:color="auto" w:fill="F2F0EA"/>
          </w:tcPr>
          <w:p>
            <w:pPr>
              <w:spacing w:after="40" w:before="40"/>
              <w:jc w:val="right"/>
            </w:pPr>
            <w:r/>
            <w:r>
              <w:rPr>
                <w:rFonts w:ascii="Calibri" w:hAnsi="Calibri"/>
                <w:b w:val="0"/>
                <w:sz w:val="19"/>
              </w:rPr>
              <w:t>+11.1%</w:t>
            </w:r>
          </w:p>
        </w:tc>
      </w:tr>
      <w:tr>
        <w:tc>
          <w:tcPr>
            <w:tcW w:type="dxa" w:w="2952"/>
          </w:tcPr>
          <w:p>
            <w:pPr>
              <w:spacing w:after="40" w:before="40"/>
              <w:jc w:val="left"/>
            </w:pPr>
            <w:r/>
            <w:r>
              <w:rPr>
                <w:rFonts w:ascii="Calibri" w:hAnsi="Calibri"/>
                <w:b w:val="0"/>
                <w:sz w:val="19"/>
              </w:rPr>
              <w:t>–12.5%</w:t>
            </w:r>
          </w:p>
        </w:tc>
        <w:tc>
          <w:tcPr>
            <w:tcW w:type="dxa" w:w="1944"/>
          </w:tcPr>
          <w:p>
            <w:pPr>
              <w:spacing w:after="40" w:before="40"/>
              <w:jc w:val="right"/>
            </w:pPr>
            <w:r/>
            <w:r>
              <w:rPr>
                <w:rFonts w:ascii="Calibri" w:hAnsi="Calibri"/>
                <w:b w:val="0"/>
                <w:sz w:val="19"/>
              </w:rPr>
              <w:t>18.63</w:t>
            </w:r>
          </w:p>
        </w:tc>
        <w:tc>
          <w:tcPr>
            <w:tcW w:type="dxa" w:w="2232"/>
          </w:tcPr>
          <w:p>
            <w:pPr>
              <w:spacing w:after="40" w:before="40"/>
              <w:jc w:val="right"/>
            </w:pPr>
            <w:r/>
            <w:r>
              <w:rPr>
                <w:rFonts w:ascii="Calibri" w:hAnsi="Calibri"/>
                <w:b w:val="0"/>
                <w:sz w:val="19"/>
              </w:rPr>
              <w:t>4 008</w:t>
            </w:r>
          </w:p>
        </w:tc>
        <w:tc>
          <w:tcPr>
            <w:tcW w:type="dxa" w:w="1944"/>
          </w:tcPr>
          <w:p>
            <w:pPr>
              <w:spacing w:after="40" w:before="40"/>
              <w:jc w:val="right"/>
            </w:pPr>
            <w:r/>
            <w:r>
              <w:rPr>
                <w:rFonts w:ascii="Calibri" w:hAnsi="Calibri"/>
                <w:b w:val="0"/>
                <w:sz w:val="19"/>
              </w:rPr>
              <w:t>+501</w:t>
            </w:r>
          </w:p>
        </w:tc>
        <w:tc>
          <w:tcPr>
            <w:tcW w:type="dxa" w:w="1872"/>
          </w:tcPr>
          <w:p>
            <w:pPr>
              <w:spacing w:after="40" w:before="40"/>
              <w:jc w:val="right"/>
            </w:pPr>
            <w:r/>
            <w:r>
              <w:rPr>
                <w:rFonts w:ascii="Calibri" w:hAnsi="Calibri"/>
                <w:b w:val="0"/>
                <w:sz w:val="19"/>
              </w:rPr>
              <w:t>+14.3%</w:t>
            </w:r>
          </w:p>
        </w:tc>
      </w:tr>
      <w:tr>
        <w:tc>
          <w:tcPr>
            <w:tcW w:type="dxa" w:w="2952"/>
            <w:shd w:val="clear" w:color="auto" w:fill="F2F0EA"/>
          </w:tcPr>
          <w:p>
            <w:pPr>
              <w:spacing w:after="40" w:before="40"/>
              <w:jc w:val="left"/>
            </w:pPr>
            <w:r/>
            <w:r>
              <w:rPr>
                <w:rFonts w:ascii="Calibri" w:hAnsi="Calibri"/>
                <w:b w:val="0"/>
                <w:sz w:val="19"/>
              </w:rPr>
              <w:t>–15%</w:t>
            </w:r>
          </w:p>
        </w:tc>
        <w:tc>
          <w:tcPr>
            <w:tcW w:type="dxa" w:w="1944"/>
            <w:shd w:val="clear" w:color="auto" w:fill="F2F0EA"/>
          </w:tcPr>
          <w:p>
            <w:pPr>
              <w:spacing w:after="40" w:before="40"/>
              <w:jc w:val="right"/>
            </w:pPr>
            <w:r/>
            <w:r>
              <w:rPr>
                <w:rFonts w:ascii="Calibri" w:hAnsi="Calibri"/>
                <w:b w:val="0"/>
                <w:sz w:val="19"/>
              </w:rPr>
              <w:t>19.18</w:t>
            </w:r>
          </w:p>
        </w:tc>
        <w:tc>
          <w:tcPr>
            <w:tcW w:type="dxa" w:w="2232"/>
            <w:shd w:val="clear" w:color="auto" w:fill="F2F0EA"/>
          </w:tcPr>
          <w:p>
            <w:pPr>
              <w:spacing w:after="40" w:before="40"/>
              <w:jc w:val="right"/>
            </w:pPr>
            <w:r/>
            <w:r>
              <w:rPr>
                <w:rFonts w:ascii="Calibri" w:hAnsi="Calibri"/>
                <w:b w:val="0"/>
                <w:sz w:val="19"/>
              </w:rPr>
              <w:t>4 126</w:t>
            </w:r>
          </w:p>
        </w:tc>
        <w:tc>
          <w:tcPr>
            <w:tcW w:type="dxa" w:w="1944"/>
            <w:shd w:val="clear" w:color="auto" w:fill="F2F0EA"/>
          </w:tcPr>
          <w:p>
            <w:pPr>
              <w:spacing w:after="40" w:before="40"/>
              <w:jc w:val="right"/>
            </w:pPr>
            <w:r/>
            <w:r>
              <w:rPr>
                <w:rFonts w:ascii="Calibri" w:hAnsi="Calibri"/>
                <w:b w:val="0"/>
                <w:sz w:val="19"/>
              </w:rPr>
              <w:t>+619</w:t>
            </w:r>
          </w:p>
        </w:tc>
        <w:tc>
          <w:tcPr>
            <w:tcW w:type="dxa" w:w="1872"/>
            <w:shd w:val="clear" w:color="auto" w:fill="F2F0EA"/>
          </w:tcPr>
          <w:p>
            <w:pPr>
              <w:spacing w:after="40" w:before="40"/>
              <w:jc w:val="right"/>
            </w:pPr>
            <w:r/>
            <w:r>
              <w:rPr>
                <w:rFonts w:ascii="Calibri" w:hAnsi="Calibri"/>
                <w:b w:val="0"/>
                <w:sz w:val="19"/>
              </w:rPr>
              <w:t>+17.6%</w:t>
            </w:r>
          </w:p>
        </w:tc>
      </w:tr>
    </w:tbl>
    <w:p>
      <w:pPr>
        <w:spacing w:after="120"/>
      </w:pPr>
      <w:r>
        <w:rPr>
          <w:b w:val="0"/>
          <w:i w:val="0"/>
          <w:sz w:val="21"/>
        </w:rPr>
        <w:t>Reading the table: a rand that loses 10–15% of its value lifts the ZAR price roughly +11% to +18%, holding the Swiss price constant. (If instead one defines the move as USD/ZAR simply rising 10–15%, the uplift is the more intuitive +10% to +15%; the difference is purely the arithmetic convention of measuring depreciation.)</w:t>
      </w:r>
    </w:p>
    <w:p>
      <w:pPr>
        <w:pStyle w:val="Heading2"/>
      </w:pPr>
      <w:r>
        <w:t>Important caveats</w:t>
      </w:r>
    </w:p>
    <w:p>
      <w:pPr>
        <w:pStyle w:val="ListBullet"/>
        <w:spacing w:after="60"/>
      </w:pPr>
      <w:r>
        <w:rPr>
          <w:b/>
          <w:sz w:val="21"/>
        </w:rPr>
        <w:t>It's the CHF cross that matters:</w:t>
      </w:r>
      <w:r>
        <w:rPr>
          <w:sz w:val="21"/>
        </w:rPr>
        <w:t xml:space="preserve"> the relevant cross is CHF/ZAR (or EUR/ZAR), not USD/ZAR directly. The clean result above assumes CHF/USD is unchanged. In a global risk-off episode the franc (a safe haven) often strengthens versus the dollar while the rand weakens — that would amplify the ZAR gain. Conversely, an SA-idiosyncratic shock with a stable CHF/USD gives the near-1:1 translation modelled here.</w:t>
      </w:r>
    </w:p>
    <w:p>
      <w:pPr>
        <w:pStyle w:val="ListBullet"/>
        <w:spacing w:after="60"/>
      </w:pPr>
      <w:r>
        <w:rPr>
          <w:b/>
          <w:sz w:val="21"/>
        </w:rPr>
        <w:t>It's a relative call:</w:t>
      </w:r>
      <w:r>
        <w:rPr>
          <w:sz w:val="21"/>
        </w:rPr>
        <w:t xml:space="preserve"> the same rand move would lift the ZAR value of all your hard-currency assets. Richemont's appeal is that it delivers this hedge with a high-quality, cash-generative underlying business rather than a passive currency position.</w:t>
      </w:r>
    </w:p>
    <w:p>
      <w:pPr>
        <w:pStyle w:val="ListBullet"/>
        <w:spacing w:after="60"/>
      </w:pPr>
      <w:r>
        <w:rPr>
          <w:b/>
          <w:sz w:val="21"/>
        </w:rPr>
        <w:t>Not a free lunch:</w:t>
      </w:r>
      <w:r>
        <w:rPr>
          <w:sz w:val="21"/>
        </w:rPr>
        <w:t xml:space="preserve"> the Swiss/EUR price still moves on luxury fundamentals (China, tariffs, gold). FX translation and operating performance are independent; a rand-driven ZAR uplift can be entirely offset by a fall in the CHF price, and vice versa.</w:t>
      </w:r>
    </w:p>
    <w:p>
      <w:pPr>
        <w:pStyle w:val="Heading1"/>
      </w:pPr>
      <w:r>
        <w:t>8.  Questions for Management</w:t>
      </w:r>
    </w:p>
    <w:p>
      <w:pPr>
        <w:pStyle w:val="ListNumber"/>
        <w:spacing w:after="60"/>
      </w:pPr>
      <w:r>
        <w:rPr>
          <w:sz w:val="21"/>
        </w:rPr>
        <w:t>How much of the 250bps gross-margin compression is structural (gold, mix) versus transitory FX, and what is the path back toward 66%+?</w:t>
      </w:r>
    </w:p>
    <w:p>
      <w:pPr>
        <w:pStyle w:val="ListNumber"/>
        <w:spacing w:after="60"/>
      </w:pPr>
      <w:r>
        <w:rPr>
          <w:sz w:val="21"/>
        </w:rPr>
        <w:t>What is the quantified annual EBIT impact of current US duties, and the contingency if tariffs rise further?</w:t>
      </w:r>
    </w:p>
    <w:p>
      <w:pPr>
        <w:pStyle w:val="ListNumber"/>
        <w:spacing w:after="60"/>
      </w:pPr>
      <w:r>
        <w:rPr>
          <w:sz w:val="21"/>
        </w:rPr>
        <w:t>At 3.4% margin, what is the credible 3-year operating-margin target for Specialist Watchmakers, and the milestones?</w:t>
      </w:r>
    </w:p>
    <w:p>
      <w:pPr>
        <w:pStyle w:val="ListNumber"/>
        <w:spacing w:after="60"/>
      </w:pPr>
      <w:r>
        <w:rPr>
          <w:sz w:val="21"/>
        </w:rPr>
        <w:t>What proportion of the FY2026 buyback is to offset LTIP dilution versus genuine per-share value return?</w:t>
      </w:r>
    </w:p>
    <w:p>
      <w:pPr>
        <w:pStyle w:val="ListNumber"/>
        <w:spacing w:after="60"/>
      </w:pPr>
      <w:r>
        <w:rPr>
          <w:sz w:val="21"/>
        </w:rPr>
        <w:t>Given ~51% family voting control, what specific governance enhancements are planned for minority shareholders?</w:t>
      </w:r>
    </w:p>
    <w:p>
      <w:pPr>
        <w:pStyle w:val="Heading1"/>
      </w:pPr>
      <w:r>
        <w:t>Sources</w:t>
      </w:r>
    </w:p>
    <w:p>
      <w:pPr>
        <w:pStyle w:val="ListBullet"/>
        <w:spacing w:after="40"/>
      </w:pPr>
      <w:r>
        <w:rPr>
          <w:color w:val="555555"/>
          <w:sz w:val="17"/>
        </w:rPr>
        <w:t>Richemont FY26 Annual Results announcement, 22 May 2026 (globenewswire.com / richemont.com)</w:t>
      </w:r>
    </w:p>
    <w:p>
      <w:pPr>
        <w:pStyle w:val="ListBullet"/>
        <w:spacing w:after="40"/>
      </w:pPr>
      <w:r>
        <w:rPr>
          <w:color w:val="555555"/>
          <w:sz w:val="17"/>
        </w:rPr>
        <w:t>Richemont — end of 2023 buyback &amp; launch of new programme, 22 May 2026 (richemont.com)</w:t>
      </w:r>
    </w:p>
    <w:p>
      <w:pPr>
        <w:pStyle w:val="ListBullet"/>
        <w:spacing w:after="40"/>
      </w:pPr>
      <w:r>
        <w:rPr>
          <w:color w:val="555555"/>
          <w:sz w:val="17"/>
        </w:rPr>
        <w:t>Richemont FY26 Annual Report &amp; Accounts, 22–29 May 2026 (richemont.com)</w:t>
      </w:r>
    </w:p>
    <w:p>
      <w:pPr>
        <w:pStyle w:val="ListBullet"/>
        <w:spacing w:after="40"/>
      </w:pPr>
      <w:r>
        <w:rPr>
          <w:color w:val="555555"/>
          <w:sz w:val="17"/>
        </w:rPr>
        <w:t>CEO remuneration FY2025/26 — TradingView / Bluewin (CHF 13.6m)</w:t>
      </w:r>
    </w:p>
    <w:p>
      <w:pPr>
        <w:pStyle w:val="ListBullet"/>
        <w:spacing w:after="40"/>
      </w:pPr>
      <w:r>
        <w:rPr>
          <w:color w:val="555555"/>
          <w:sz w:val="17"/>
        </w:rPr>
        <w:t>Capital structure &amp; Rupert B-share voting (~51% votes / ~10% capital) — richemont.com; Billionaires.Africa, 28 May 2026</w:t>
      </w:r>
    </w:p>
    <w:p>
      <w:pPr>
        <w:pStyle w:val="ListBullet"/>
        <w:spacing w:after="40"/>
      </w:pPr>
      <w:r>
        <w:rPr>
          <w:color w:val="555555"/>
          <w:sz w:val="17"/>
        </w:rPr>
        <w:t>Share prices: JSE CFR ZAR 3,506.82 (Moneyweb, 29 May 2026); SIX CFR CHF 164.55 (Investing.com, 5 Jun 2026)</w:t>
      </w:r>
    </w:p>
    <w:p>
      <w:pPr>
        <w:pStyle w:val="ListBullet"/>
        <w:spacing w:after="40"/>
      </w:pPr>
      <w:r>
        <w:rPr>
          <w:color w:val="555555"/>
          <w:sz w:val="17"/>
        </w:rPr>
        <w:t>FX: USD/ZAR ≈ 16.30 (PoundSterlingLive / exchangerates.org.uk, Jun 2026)</w:t>
      </w:r>
    </w:p>
    <w:p>
      <w:pPr>
        <w:pStyle w:val="ListBullet"/>
        <w:spacing w:after="40"/>
      </w:pPr>
      <w:r>
        <w:rPr>
          <w:color w:val="555555"/>
          <w:sz w:val="17"/>
        </w:rPr>
        <w:t>Consensus estimates: Yahoo Finance / AlphaSpread / Investing.com analyst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3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