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i w:val="false"/>
          <w:iCs w:val="false"/>
          <w:color w:val="1F3864"/>
          <w:sz w:val="34"/>
          <w:szCs w:val="34"/>
        </w:rPr>
        <w:t xml:space="preserve">SHOPRITE HOLDINGS LIMITED</w:t>
      </w:r>
    </w:p>
    <w:p>
      <w:pPr>
        <w:spacing w:after="60"/>
      </w:pPr>
      <w:r>
        <w:rPr>
          <w:b w:val="false"/>
          <w:bCs w:val="false"/>
          <w:i w:val="false"/>
          <w:iCs w:val="false"/>
          <w:color w:val="6B7280"/>
          <w:sz w:val="19"/>
          <w:szCs w:val="19"/>
        </w:rPr>
        <w:t xml:space="preserve">JSE: SHP   •   Africa's largest food retailer (~3,500 stores)   •   Core ~85% Supermarkets RSA   •   Reports in ZAR (FY-end late June)</w:t>
      </w:r>
    </w:p>
    <w:p>
      <w:pPr>
        <w:spacing w:after="20"/>
      </w:pPr>
      <w:r>
        <w:rPr>
          <w:b/>
          <w:bCs/>
          <w:i w:val="false"/>
          <w:iCs w:val="false"/>
          <w:sz w:val="24"/>
          <w:szCs w:val="24"/>
        </w:rPr>
        <w:t xml:space="preserve">12–18 Month Outlook — The Strait of Hormuz: Scenarios A and B</w:t>
      </w:r>
    </w:p>
    <w:p>
      <w:pPr>
        <w:pBdr>
          <w:bottom w:val="single" w:color="1F3864" w:sz="6" w:space="2"/>
        </w:pBdr>
        <w:spacing w:after="160"/>
      </w:pPr>
      <w:r>
        <w:rPr>
          <w:b w:val="false"/>
          <w:bCs w:val="false"/>
          <w:i/>
          <w:iCs/>
          <w:color w:val="6B7280"/>
          <w:sz w:val="19"/>
          <w:szCs w:val="19"/>
        </w:rPr>
        <w:t xml:space="preserve">Investment Committee briefing  •  17 June 2026  •  Internal research, for information only</w:t>
      </w:r>
    </w:p>
    <w:p>
      <w:pPr>
        <w:pStyle w:val="Heading1"/>
        <w:pBdr>
          <w:bottom w:val="single" w:color="2E75B6" w:sz="6" w:space="2"/>
        </w:pBdr>
        <w:spacing w:after="120" w:before="280"/>
      </w:pPr>
      <w:r>
        <w:rPr>
          <w:b/>
          <w:bCs/>
          <w:i w:val="false"/>
          <w:iCs w:val="false"/>
          <w:color w:val="1F3864"/>
          <w:sz w:val="26"/>
          <w:szCs w:val="26"/>
        </w:rPr>
        <w:t xml:space="preserve">1.  Executive summary</w:t>
      </w:r>
    </w:p>
    <w:p>
      <w:pPr>
        <w:spacing w:after="120" w:before="0" w:line="264"/>
      </w:pPr>
      <w:r>
        <w:rPr>
          <w:b/>
          <w:bCs/>
          <w:i w:val="false"/>
          <w:iCs w:val="false"/>
          <w:sz w:val="21"/>
          <w:szCs w:val="21"/>
        </w:rPr>
        <w:t xml:space="preserve">The short answer.  </w:t>
      </w:r>
      <w:r>
        <w:rPr>
          <w:b w:val="false"/>
          <w:bCs w:val="false"/>
          <w:i w:val="false"/>
          <w:iCs w:val="false"/>
          <w:sz w:val="21"/>
          <w:szCs w:val="21"/>
        </w:rPr>
        <w:t xml:space="preserve">Shoprite is not an oil stock — it is a South African consumer and defensive-positioning play. The Strait of Hormuz reaches it indirectly, through the SA shopper's wallet (pump prices, food inflation, interest rates, the rand), not through its own revenue line. That indirection is the whole point: the same oil shock that is the bear case for a copper or iron-ore producer is the macro in which a defensive food retailer earns its keep. The central tension across the two scenarios is that Shoprite's </w:t>
      </w:r>
      <w:r>
        <w:rPr>
          <w:b w:val="false"/>
          <w:bCs w:val="false"/>
          <w:i/>
          <w:iCs/>
          <w:sz w:val="21"/>
          <w:szCs w:val="21"/>
        </w:rPr>
        <w:t xml:space="preserve">absolute earnings</w:t>
      </w:r>
      <w:r>
        <w:rPr>
          <w:b w:val="false"/>
          <w:bCs w:val="false"/>
          <w:i w:val="false"/>
          <w:iCs w:val="false"/>
          <w:sz w:val="21"/>
          <w:szCs w:val="21"/>
        </w:rPr>
        <w:t xml:space="preserve"> and its </w:t>
      </w:r>
      <w:r>
        <w:rPr>
          <w:b w:val="false"/>
          <w:bCs w:val="false"/>
          <w:i/>
          <w:iCs/>
          <w:sz w:val="21"/>
          <w:szCs w:val="21"/>
        </w:rPr>
        <w:t xml:space="preserve">relative share-price leadership</w:t>
      </w:r>
      <w:r>
        <w:rPr>
          <w:b w:val="false"/>
          <w:bCs w:val="false"/>
          <w:i w:val="false"/>
          <w:iCs w:val="false"/>
          <w:sz w:val="21"/>
          <w:szCs w:val="21"/>
        </w:rPr>
        <w:t xml:space="preserve"> pull in opposite directions.</w:t>
      </w:r>
    </w:p>
    <w:p>
      <w:pPr>
        <w:spacing w:after="120" w:before="0" w:line="264"/>
      </w:pPr>
      <w:r>
        <w:rPr>
          <w:b/>
          <w:bCs/>
          <w:i w:val="false"/>
          <w:iCs w:val="false"/>
          <w:sz w:val="21"/>
          <w:szCs w:val="21"/>
        </w:rPr>
        <w:t xml:space="preserve">What it is today.  </w:t>
      </w:r>
      <w:r>
        <w:rPr>
          <w:b w:val="false"/>
          <w:bCs w:val="false"/>
          <w:i w:val="false"/>
          <w:iCs w:val="false"/>
          <w:sz w:val="21"/>
          <w:szCs w:val="21"/>
        </w:rPr>
        <w:t xml:space="preserve">A high-quality compounder. FY2025 sale of merchandise crossed R250bn for the first time, +8.9% to R252.7bn, with trading profit +16.6% to R15.0bn and continuing diluted HEPS +15.8% to 1,367.2c — earnings outpacing sales on 40bps of margin gain. It carries net cash of R8.1bn, ROE of 26.7%, and ROIC (19.4%) well above WACC (13.5%). H1 FY2026 decelerated but kept gaining share: revenue +7.1% to R138.85bn, trading profit +5.9% to R7.73bn — with the margin already narrowing as it invests in price.</w:t>
      </w:r>
    </w:p>
    <w:p>
      <w:pPr>
        <w:spacing w:after="120" w:before="0" w:line="264"/>
      </w:pPr>
      <w:r>
        <w:rPr>
          <w:b/>
          <w:bCs/>
          <w:i w:val="false"/>
          <w:iCs w:val="false"/>
          <w:sz w:val="21"/>
          <w:szCs w:val="21"/>
        </w:rPr>
        <w:t xml:space="preserve">Scenario A — the Strait reopens and stays open (peace holds).  </w:t>
      </w:r>
      <w:r>
        <w:rPr>
          <w:b w:val="false"/>
          <w:bCs w:val="false"/>
          <w:i w:val="false"/>
          <w:iCs w:val="false"/>
          <w:sz w:val="21"/>
          <w:szCs w:val="21"/>
        </w:rPr>
        <w:t xml:space="preserve">Brent normalises toward ~$70–80, pump prices ease off June's record, food inflation stays low, the SARB resumes cutting and the rand firms — exactly management's stated tailwind case (lower rates, low food inflation, fuel relief). The </w:t>
      </w:r>
      <w:r>
        <w:rPr>
          <w:b w:val="false"/>
          <w:bCs w:val="false"/>
          <w:i/>
          <w:iCs/>
          <w:sz w:val="21"/>
          <w:szCs w:val="21"/>
        </w:rPr>
        <w:t xml:space="preserve">business</w:t>
      </w:r>
      <w:r>
        <w:rPr>
          <w:b w:val="false"/>
          <w:bCs w:val="false"/>
          <w:i w:val="false"/>
          <w:iCs w:val="false"/>
          <w:sz w:val="21"/>
          <w:szCs w:val="21"/>
        </w:rPr>
        <w:t xml:space="preserve"> improves: lower diesel/distribution and finance costs, recovering volumes, room to ease price investment; earnings growth can re-accelerate toward low-teens (e). But the </w:t>
      </w:r>
      <w:r>
        <w:rPr>
          <w:b w:val="false"/>
          <w:bCs w:val="false"/>
          <w:i/>
          <w:iCs/>
          <w:sz w:val="21"/>
          <w:szCs w:val="21"/>
        </w:rPr>
        <w:t xml:space="preserve">relative trade</w:t>
      </w:r>
      <w:r>
        <w:rPr>
          <w:b w:val="false"/>
          <w:bCs w:val="false"/>
          <w:i w:val="false"/>
          <w:iCs w:val="false"/>
          <w:sz w:val="21"/>
          <w:szCs w:val="21"/>
        </w:rPr>
        <w:t xml:space="preserve"> is less obvious — a consumer recovery lifts discretionary and premium peers too, risk appetite rotates money out of defensives into beaten-up cyclicals, and Shoprite's ~20x premium multiple and trade-down edge both compress. Own it, but it may lag a rallying market.</w:t>
      </w:r>
    </w:p>
    <w:p>
      <w:pPr>
        <w:spacing w:after="120" w:before="0" w:line="264"/>
      </w:pPr>
      <w:r>
        <w:rPr>
          <w:b/>
          <w:bCs/>
          <w:i w:val="false"/>
          <w:iCs w:val="false"/>
          <w:sz w:val="21"/>
          <w:szCs w:val="21"/>
        </w:rPr>
        <w:t xml:space="preserve">Scenario B — the Strait closes again and stays shut.  </w:t>
      </w:r>
      <w:r>
        <w:rPr>
          <w:b w:val="false"/>
          <w:bCs w:val="false"/>
          <w:i w:val="false"/>
          <w:iCs w:val="false"/>
          <w:sz w:val="21"/>
          <w:szCs w:val="21"/>
        </w:rPr>
        <w:t xml:space="preserve">Brent holds ~$95–110+ (tail higher), pump prices stay at/above record, the rand is weak, the SARB tightens — its own 'severe' path puts the repo at ~8.17% by end-2026 — inflation runs ~1pp hotter and the consumer is squeezed. The </w:t>
      </w:r>
      <w:r>
        <w:rPr>
          <w:b w:val="false"/>
          <w:bCs w:val="false"/>
          <w:i/>
          <w:iCs/>
          <w:sz w:val="21"/>
          <w:szCs w:val="21"/>
        </w:rPr>
        <w:t xml:space="preserve">business</w:t>
      </w:r>
      <w:r>
        <w:rPr>
          <w:b w:val="false"/>
          <w:bCs w:val="false"/>
          <w:i w:val="false"/>
          <w:iCs w:val="false"/>
          <w:sz w:val="21"/>
          <w:szCs w:val="21"/>
        </w:rPr>
        <w:t xml:space="preserve"> gets tougher: the FY2025 diesel tailwind (diesel cost fell to R335m from R810m as load-shedding eased) reverses with a lag, finance costs (already +30.9% on R7.0bn of borrowings) climb, real volumes soften, and Shoprite leans harder into price — so margins stay under the pressure already visible in H1 FY2026. Yet this is precisely where Shoprite shines on a </w:t>
      </w:r>
      <w:r>
        <w:rPr>
          <w:b w:val="false"/>
          <w:bCs w:val="false"/>
          <w:i/>
          <w:iCs/>
          <w:sz w:val="21"/>
          <w:szCs w:val="21"/>
        </w:rPr>
        <w:t xml:space="preserve">relative</w:t>
      </w:r>
      <w:r>
        <w:rPr>
          <w:b w:val="false"/>
          <w:bCs w:val="false"/>
          <w:i w:val="false"/>
          <w:iCs w:val="false"/>
          <w:sz w:val="21"/>
          <w:szCs w:val="21"/>
        </w:rPr>
        <w:t xml:space="preserve"> basis: food is non-discretionary; it is the mass-market value leader (Shoprite, Usave) and the prime trade-down beneficiary as squeezed shoppers — and downgraders from premium retail and eating-out — flood into value grocery; it has a proven record of gaining share as the sector slows (it outgrew the market ~5.3x from Black Friday to December); higher selling-price inflation supports nominal sales; and a net-cash balance sheet lets it keep cutting prices when weaker rivals can't. In a risk-off JSE it is a defensive safe-haven that tends to hold up as cyclicals de-rate.</w:t>
      </w:r>
    </w:p>
    <w:p>
      <w:pPr>
        <w:spacing w:after="120" w:before="0" w:line="264"/>
      </w:pPr>
      <w:r>
        <w:rPr>
          <w:b/>
          <w:bCs/>
          <w:i w:val="false"/>
          <w:iCs w:val="false"/>
          <w:sz w:val="21"/>
          <w:szCs w:val="21"/>
        </w:rPr>
        <w:t xml:space="preserve">The punchline.  </w:t>
      </w:r>
      <w:r>
        <w:rPr>
          <w:b w:val="false"/>
          <w:bCs w:val="false"/>
          <w:i w:val="false"/>
          <w:iCs w:val="false"/>
          <w:sz w:val="21"/>
          <w:szCs w:val="21"/>
        </w:rPr>
        <w:t xml:space="preserve">Shoprite is the mirror image of an industrial/commodity name. Scenario B — the bear case for a cyclical — is Shoprite's relative-strength case; Scenario A — the relief rally — is where its business improves but its market leadership can fade. Neither scenario breaks the investment case; they swap </w:t>
      </w:r>
      <w:r>
        <w:rPr>
          <w:b w:val="false"/>
          <w:bCs w:val="false"/>
          <w:i/>
          <w:iCs/>
          <w:sz w:val="21"/>
          <w:szCs w:val="21"/>
        </w:rPr>
        <w:t xml:space="preserve">which kind of return</w:t>
      </w:r>
      <w:r>
        <w:rPr>
          <w:b w:val="false"/>
          <w:bCs w:val="false"/>
          <w:i w:val="false"/>
          <w:iCs w:val="false"/>
          <w:sz w:val="21"/>
          <w:szCs w:val="21"/>
        </w:rPr>
        <w:t xml:space="preserve"> you get: defensive out-performance in B, participation-but-possible-lag in A.</w:t>
      </w:r>
    </w:p>
    <w:p>
      <w:pPr>
        <w:spacing w:after="120" w:before="0" w:line="264"/>
      </w:pPr>
      <w:r>
        <w:rPr>
          <w:b/>
          <w:bCs/>
          <w:i w:val="false"/>
          <w:iCs w:val="false"/>
          <w:sz w:val="21"/>
          <w:szCs w:val="21"/>
        </w:rPr>
        <w:t xml:space="preserve">Biggest swing factors (next 12–18m).  </w:t>
      </w:r>
      <w:r>
        <w:rPr>
          <w:b w:val="false"/>
          <w:bCs w:val="false"/>
          <w:i w:val="false"/>
          <w:iCs w:val="false"/>
          <w:sz w:val="21"/>
          <w:szCs w:val="21"/>
        </w:rPr>
        <w:t xml:space="preserve">(1) SA pump prices and diesel — both the consumer's wallet and Shoprite's distribution cost; (2) the SARB repo path (its ~6.67% 'intermediate' vs ~8.17% 'severe' end-2026 scenarios), which hits finance costs and the consumer together; (3) USD/ZAR; (4) food CPI / internal selling-price inflation; and (5) the intensity of price investment — the margin-versus-share trade-off that is the real internal swing.</w:t>
      </w:r>
    </w:p>
    <w:p>
      <w:pPr>
        <w:spacing w:after="80" w:before="0" w:line="264"/>
      </w:pPr>
      <w:r>
        <w:rPr>
          <w:b/>
          <w:bCs/>
          <w:i w:val="false"/>
          <w:iCs w:val="false"/>
          <w:sz w:val="20"/>
          <w:szCs w:val="20"/>
        </w:rPr>
        <w:t xml:space="preserve">Headline — direction of travel by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3540"/>
        <w:gridCol w:w="3540"/>
      </w:tblGrid>
      <w:tr>
        <w:trPr>
          <w:tblHeader/>
        </w:trPr>
        <w:tc>
          <w:tcPr>
            <w:tcW w:type="dxa" w:w="2280"/>
            <w:tcBorders>
              <w:top w:val="single" w:color="B7C0CC" w:sz="1"/>
              <w:left w:val="single" w:color="B7C0CC" w:sz="1"/>
              <w:bottom w:val="single" w:color="B7C0CC" w:sz="1"/>
              <w:right w:val="single" w:color="B7C0CC" w:sz="1"/>
            </w:tcBorders>
            <w:shd w:fill="1F3864" w:val="clear"/>
            <w:tcMar>
              <w:top w:type="dxa" w:w="60"/>
              <w:left w:type="dxa" w:w="110"/>
              <w:bottom w:type="dxa" w:w="60"/>
              <w:right w:type="dxa" w:w="110"/>
            </w:tcMar>
          </w:tcPr>
          <w:p>
            <w:pPr>
              <w:jc w:val="left"/>
            </w:pPr>
            <w:r>
              <w:rPr>
                <w:b/>
                <w:bCs/>
                <w:i w:val="false"/>
                <w:iCs w:val="false"/>
                <w:color w:val="FFFFFF"/>
                <w:sz w:val="19"/>
                <w:szCs w:val="19"/>
              </w:rPr>
              <w:t xml:space="preserve">Driver</w:t>
            </w:r>
          </w:p>
        </w:tc>
        <w:tc>
          <w:tcPr>
            <w:tcW w:type="dxa" w:w="3540"/>
            <w:tcBorders>
              <w:top w:val="single" w:color="B7C0CC" w:sz="1"/>
              <w:left w:val="single" w:color="B7C0CC" w:sz="1"/>
              <w:bottom w:val="single" w:color="B7C0CC" w:sz="1"/>
              <w:right w:val="single" w:color="B7C0CC" w:sz="1"/>
            </w:tcBorders>
            <w:shd w:fill="1F3864" w:val="clear"/>
            <w:tcMar>
              <w:top w:type="dxa" w:w="60"/>
              <w:left w:type="dxa" w:w="110"/>
              <w:bottom w:type="dxa" w:w="60"/>
              <w:right w:type="dxa" w:w="110"/>
            </w:tcMar>
          </w:tcPr>
          <w:p>
            <w:pPr>
              <w:jc w:val="left"/>
            </w:pPr>
            <w:r>
              <w:rPr>
                <w:b/>
                <w:bCs/>
                <w:i w:val="false"/>
                <w:iCs w:val="false"/>
                <w:color w:val="FFFFFF"/>
                <w:sz w:val="19"/>
                <w:szCs w:val="19"/>
              </w:rPr>
              <w:t xml:space="preserve">Scenario A — Strait open (peace holds)</w:t>
            </w:r>
          </w:p>
        </w:tc>
        <w:tc>
          <w:tcPr>
            <w:tcW w:type="dxa" w:w="3540"/>
            <w:tcBorders>
              <w:top w:val="single" w:color="B7C0CC" w:sz="1"/>
              <w:left w:val="single" w:color="B7C0CC" w:sz="1"/>
              <w:bottom w:val="single" w:color="B7C0CC" w:sz="1"/>
              <w:right w:val="single" w:color="B7C0CC" w:sz="1"/>
            </w:tcBorders>
            <w:shd w:fill="1F3864" w:val="clear"/>
            <w:tcMar>
              <w:top w:type="dxa" w:w="60"/>
              <w:left w:type="dxa" w:w="110"/>
              <w:bottom w:type="dxa" w:w="60"/>
              <w:right w:type="dxa" w:w="110"/>
            </w:tcMar>
          </w:tcPr>
          <w:p>
            <w:pPr>
              <w:jc w:val="left"/>
            </w:pPr>
            <w:r>
              <w:rPr>
                <w:b/>
                <w:bCs/>
                <w:i w:val="false"/>
                <w:iCs w:val="false"/>
                <w:color w:val="FFFFFF"/>
                <w:sz w:val="19"/>
                <w:szCs w:val="19"/>
              </w:rPr>
              <w:t xml:space="preserve">Scenario B — Strait shut (oil shock persists)</w:t>
            </w:r>
          </w:p>
        </w:tc>
      </w:tr>
      <w:tr>
        <w:tc>
          <w:tcPr>
            <w:tcW w:type="dxa" w:w="228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val="false"/>
                <w:bCs w:val="false"/>
                <w:i w:val="false"/>
                <w:iCs w:val="false"/>
                <w:sz w:val="19"/>
                <w:szCs w:val="19"/>
              </w:rPr>
              <w:t xml:space="preserve">Brent crude</w:t>
            </w:r>
          </w:p>
        </w:tc>
        <w:tc>
          <w:tcPr>
            <w:tcW w:type="dxa" w:w="354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val="false"/>
                <w:bCs w:val="false"/>
                <w:i w:val="false"/>
                <w:iCs w:val="false"/>
                <w:sz w:val="19"/>
                <w:szCs w:val="19"/>
              </w:rPr>
              <w:t xml:space="preserve">Normalises to ~$70–80/bbl (e)</w:t>
            </w:r>
          </w:p>
        </w:tc>
        <w:tc>
          <w:tcPr>
            <w:tcW w:type="dxa" w:w="354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val="false"/>
                <w:bCs w:val="false"/>
                <w:i w:val="false"/>
                <w:iCs w:val="false"/>
                <w:sz w:val="19"/>
                <w:szCs w:val="19"/>
              </w:rPr>
              <w:t xml:space="preserve">Stays ~$95–110+/bbl; tail higher (e)</w:t>
            </w:r>
          </w:p>
        </w:tc>
      </w:tr>
      <w:tr>
        <w:tc>
          <w:tcPr>
            <w:tcW w:type="dxa" w:w="228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left"/>
            </w:pPr>
            <w:r>
              <w:rPr>
                <w:b w:val="false"/>
                <w:bCs w:val="false"/>
                <w:i w:val="false"/>
                <w:iCs w:val="false"/>
                <w:sz w:val="19"/>
                <w:szCs w:val="19"/>
              </w:rPr>
              <w:t xml:space="preserve">SA pump prices</w:t>
            </w:r>
          </w:p>
        </w:tc>
        <w:tc>
          <w:tcPr>
            <w:tcW w:type="dxa" w:w="354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left"/>
            </w:pPr>
            <w:r>
              <w:rPr>
                <w:b w:val="false"/>
                <w:bCs w:val="false"/>
                <w:i w:val="false"/>
                <w:iCs w:val="false"/>
                <w:sz w:val="19"/>
                <w:szCs w:val="19"/>
              </w:rPr>
              <w:t xml:space="preserve">Relief — ease off the June record</w:t>
            </w:r>
          </w:p>
        </w:tc>
        <w:tc>
          <w:tcPr>
            <w:tcW w:type="dxa" w:w="354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left"/>
            </w:pPr>
            <w:r>
              <w:rPr>
                <w:b w:val="false"/>
                <w:bCs w:val="false"/>
                <w:i w:val="false"/>
                <w:iCs w:val="false"/>
                <w:sz w:val="19"/>
                <w:szCs w:val="19"/>
              </w:rPr>
              <w:t xml:space="preserve">At/above record (inland 95: R28.06/l)</w:t>
            </w:r>
          </w:p>
        </w:tc>
      </w:tr>
      <w:tr>
        <w:tc>
          <w:tcPr>
            <w:tcW w:type="dxa" w:w="228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val="false"/>
                <w:bCs w:val="false"/>
                <w:i w:val="false"/>
                <w:iCs w:val="false"/>
                <w:sz w:val="19"/>
                <w:szCs w:val="19"/>
              </w:rPr>
              <w:t xml:space="preserve">Food / selling-price inflation</w:t>
            </w:r>
          </w:p>
        </w:tc>
        <w:tc>
          <w:tcPr>
            <w:tcW w:type="dxa" w:w="354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val="false"/>
                <w:bCs w:val="false"/>
                <w:i w:val="false"/>
                <w:iCs w:val="false"/>
                <w:sz w:val="19"/>
                <w:szCs w:val="19"/>
              </w:rPr>
              <w:t xml:space="preserve">Stays low (FY25 internal 2.3%)</w:t>
            </w:r>
          </w:p>
        </w:tc>
        <w:tc>
          <w:tcPr>
            <w:tcW w:type="dxa" w:w="354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val="false"/>
                <w:bCs w:val="false"/>
                <w:i w:val="false"/>
                <w:iCs w:val="false"/>
                <w:sz w:val="19"/>
                <w:szCs w:val="19"/>
              </w:rPr>
              <w:t xml:space="preserve">Pushed up ~+1pp by fuel/transport (e)</w:t>
            </w:r>
          </w:p>
        </w:tc>
      </w:tr>
      <w:tr>
        <w:tc>
          <w:tcPr>
            <w:tcW w:type="dxa" w:w="228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left"/>
            </w:pPr>
            <w:r>
              <w:rPr>
                <w:b w:val="false"/>
                <w:bCs w:val="false"/>
                <w:i w:val="false"/>
                <w:iCs w:val="false"/>
                <w:sz w:val="19"/>
                <w:szCs w:val="19"/>
              </w:rPr>
              <w:t xml:space="preserve">USD/ZAR</w:t>
            </w:r>
          </w:p>
        </w:tc>
        <w:tc>
          <w:tcPr>
            <w:tcW w:type="dxa" w:w="354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left"/>
            </w:pPr>
            <w:r>
              <w:rPr>
                <w:b w:val="false"/>
                <w:bCs w:val="false"/>
                <w:i w:val="false"/>
                <w:iCs w:val="false"/>
                <w:sz w:val="19"/>
                <w:szCs w:val="19"/>
              </w:rPr>
              <w:t xml:space="preserve">Firms as risk-on returns</w:t>
            </w:r>
          </w:p>
        </w:tc>
        <w:tc>
          <w:tcPr>
            <w:tcW w:type="dxa" w:w="354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left"/>
            </w:pPr>
            <w:r>
              <w:rPr>
                <w:b w:val="false"/>
                <w:bCs w:val="false"/>
                <w:i w:val="false"/>
                <w:iCs w:val="false"/>
                <w:sz w:val="19"/>
                <w:szCs w:val="19"/>
              </w:rPr>
              <w:t xml:space="preserve">Weak/volatile (hit 3-mth low at $110 oil)</w:t>
            </w:r>
          </w:p>
        </w:tc>
      </w:tr>
      <w:tr>
        <w:tc>
          <w:tcPr>
            <w:tcW w:type="dxa" w:w="228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val="false"/>
                <w:bCs w:val="false"/>
                <w:i w:val="false"/>
                <w:iCs w:val="false"/>
                <w:sz w:val="19"/>
                <w:szCs w:val="19"/>
              </w:rPr>
              <w:t xml:space="preserve">SARB repo path</w:t>
            </w:r>
          </w:p>
        </w:tc>
        <w:tc>
          <w:tcPr>
            <w:tcW w:type="dxa" w:w="354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val="false"/>
                <w:bCs w:val="false"/>
                <w:i w:val="false"/>
                <w:iCs w:val="false"/>
                <w:sz w:val="19"/>
                <w:szCs w:val="19"/>
              </w:rPr>
              <w:t xml:space="preserve">Resumes cutting (toward ~6.67%)</w:t>
            </w:r>
          </w:p>
        </w:tc>
        <w:tc>
          <w:tcPr>
            <w:tcW w:type="dxa" w:w="354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val="false"/>
                <w:bCs w:val="false"/>
                <w:i w:val="false"/>
                <w:iCs w:val="false"/>
                <w:sz w:val="19"/>
                <w:szCs w:val="19"/>
              </w:rPr>
              <w:t xml:space="preserve">Tightens (severe path ~8.17% end-26)</w:t>
            </w:r>
          </w:p>
        </w:tc>
      </w:tr>
      <w:tr>
        <w:tc>
          <w:tcPr>
            <w:tcW w:type="dxa" w:w="228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left"/>
            </w:pPr>
            <w:r>
              <w:rPr>
                <w:b w:val="false"/>
                <w:bCs w:val="false"/>
                <w:i w:val="false"/>
                <w:iCs w:val="false"/>
                <w:sz w:val="19"/>
                <w:szCs w:val="19"/>
              </w:rPr>
              <w:t xml:space="preserve">SA consumer</w:t>
            </w:r>
          </w:p>
        </w:tc>
        <w:tc>
          <w:tcPr>
            <w:tcW w:type="dxa" w:w="354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left"/>
            </w:pPr>
            <w:r>
              <w:rPr>
                <w:b w:val="false"/>
                <w:bCs w:val="false"/>
                <w:i w:val="false"/>
                <w:iCs w:val="false"/>
                <w:sz w:val="19"/>
                <w:szCs w:val="19"/>
              </w:rPr>
              <w:t xml:space="preserve">Recovers — real incomes improve</w:t>
            </w:r>
          </w:p>
        </w:tc>
        <w:tc>
          <w:tcPr>
            <w:tcW w:type="dxa" w:w="354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left"/>
            </w:pPr>
            <w:r>
              <w:rPr>
                <w:b w:val="false"/>
                <w:bCs w:val="false"/>
                <w:i w:val="false"/>
                <w:iCs w:val="false"/>
                <w:sz w:val="19"/>
                <w:szCs w:val="19"/>
              </w:rPr>
              <w:t xml:space="preserve">Squeezed — real incomes fall, trades down</w:t>
            </w:r>
          </w:p>
        </w:tc>
      </w:tr>
      <w:tr>
        <w:tc>
          <w:tcPr>
            <w:tcW w:type="dxa" w:w="228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val="false"/>
                <w:bCs w:val="false"/>
                <w:i w:val="false"/>
                <w:iCs w:val="false"/>
                <w:sz w:val="19"/>
                <w:szCs w:val="19"/>
              </w:rPr>
              <w:t xml:space="preserve">SHP distribution / diesel cost</w:t>
            </w:r>
          </w:p>
        </w:tc>
        <w:tc>
          <w:tcPr>
            <w:tcW w:type="dxa" w:w="354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val="false"/>
                <w:bCs w:val="false"/>
                <w:i w:val="false"/>
                <w:iCs w:val="false"/>
                <w:sz w:val="19"/>
                <w:szCs w:val="19"/>
              </w:rPr>
              <w:t xml:space="preserve">Eases (diesel tailwind holds)</w:t>
            </w:r>
          </w:p>
        </w:tc>
        <w:tc>
          <w:tcPr>
            <w:tcW w:type="dxa" w:w="354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val="false"/>
                <w:bCs w:val="false"/>
                <w:i w:val="false"/>
                <w:iCs w:val="false"/>
                <w:sz w:val="19"/>
                <w:szCs w:val="19"/>
              </w:rPr>
              <w:t xml:space="preserve">Reverses with a lag (e)</w:t>
            </w:r>
          </w:p>
        </w:tc>
      </w:tr>
      <w:tr>
        <w:tc>
          <w:tcPr>
            <w:tcW w:type="dxa" w:w="228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left"/>
            </w:pPr>
            <w:r>
              <w:rPr>
                <w:b w:val="false"/>
                <w:bCs w:val="false"/>
                <w:i w:val="false"/>
                <w:iCs w:val="false"/>
                <w:sz w:val="19"/>
                <w:szCs w:val="19"/>
              </w:rPr>
              <w:t xml:space="preserve">SHP net finance costs</w:t>
            </w:r>
          </w:p>
        </w:tc>
        <w:tc>
          <w:tcPr>
            <w:tcW w:type="dxa" w:w="354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left"/>
            </w:pPr>
            <w:r>
              <w:rPr>
                <w:b w:val="false"/>
                <w:bCs w:val="false"/>
                <w:i w:val="false"/>
                <w:iCs w:val="false"/>
                <w:sz w:val="19"/>
                <w:szCs w:val="19"/>
              </w:rPr>
              <w:t xml:space="preserve">Ease as rates fall (R7.0bn debt)</w:t>
            </w:r>
          </w:p>
        </w:tc>
        <w:tc>
          <w:tcPr>
            <w:tcW w:type="dxa" w:w="354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left"/>
            </w:pPr>
            <w:r>
              <w:rPr>
                <w:b w:val="false"/>
                <w:bCs w:val="false"/>
                <w:i w:val="false"/>
                <w:iCs w:val="false"/>
                <w:sz w:val="19"/>
                <w:szCs w:val="19"/>
              </w:rPr>
              <w:t xml:space="preserve">Climb further (already +30.9%)</w:t>
            </w:r>
          </w:p>
        </w:tc>
      </w:tr>
      <w:tr>
        <w:tc>
          <w:tcPr>
            <w:tcW w:type="dxa" w:w="228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val="false"/>
                <w:bCs w:val="false"/>
                <w:i w:val="false"/>
                <w:iCs w:val="false"/>
                <w:sz w:val="19"/>
                <w:szCs w:val="19"/>
              </w:rPr>
              <w:t xml:space="preserve">SHP nominal sales growth</w:t>
            </w:r>
          </w:p>
        </w:tc>
        <w:tc>
          <w:tcPr>
            <w:tcW w:type="dxa" w:w="354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val="false"/>
                <w:bCs w:val="false"/>
                <w:i w:val="false"/>
                <w:iCs w:val="false"/>
                <w:sz w:val="19"/>
                <w:szCs w:val="19"/>
              </w:rPr>
              <w:t xml:space="preserve">Solid; volume-led, low price</w:t>
            </w:r>
          </w:p>
        </w:tc>
        <w:tc>
          <w:tcPr>
            <w:tcW w:type="dxa" w:w="354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val="false"/>
                <w:bCs w:val="false"/>
                <w:i w:val="false"/>
                <w:iCs w:val="false"/>
                <w:sz w:val="19"/>
                <w:szCs w:val="19"/>
              </w:rPr>
              <w:t xml:space="preserve">Price-supported; softer volume</w:t>
            </w:r>
          </w:p>
        </w:tc>
      </w:tr>
      <w:tr>
        <w:tc>
          <w:tcPr>
            <w:tcW w:type="dxa" w:w="228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left"/>
            </w:pPr>
            <w:r>
              <w:rPr>
                <w:b w:val="false"/>
                <w:bCs w:val="false"/>
                <w:i w:val="false"/>
                <w:iCs w:val="false"/>
                <w:sz w:val="19"/>
                <w:szCs w:val="19"/>
              </w:rPr>
              <w:t xml:space="preserve">SHP trading margin</w:t>
            </w:r>
          </w:p>
        </w:tc>
        <w:tc>
          <w:tcPr>
            <w:tcW w:type="dxa" w:w="354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left"/>
            </w:pPr>
            <w:r>
              <w:rPr>
                <w:b w:val="false"/>
                <w:bCs w:val="false"/>
                <w:i w:val="false"/>
                <w:iCs w:val="false"/>
                <w:sz w:val="19"/>
                <w:szCs w:val="19"/>
              </w:rPr>
              <w:t xml:space="preserve">Relief — can ease price investment</w:t>
            </w:r>
          </w:p>
        </w:tc>
        <w:tc>
          <w:tcPr>
            <w:tcW w:type="dxa" w:w="354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left"/>
            </w:pPr>
            <w:r>
              <w:rPr>
                <w:b w:val="false"/>
                <w:bCs w:val="false"/>
                <w:i w:val="false"/>
                <w:iCs w:val="false"/>
                <w:sz w:val="19"/>
                <w:szCs w:val="19"/>
              </w:rPr>
              <w:t xml:space="preserve">Pressured — leans into price to hold share</w:t>
            </w:r>
          </w:p>
        </w:tc>
      </w:tr>
      <w:tr>
        <w:tc>
          <w:tcPr>
            <w:tcW w:type="dxa" w:w="228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val="false"/>
                <w:bCs w:val="false"/>
                <w:i w:val="false"/>
                <w:iCs w:val="false"/>
                <w:sz w:val="19"/>
                <w:szCs w:val="19"/>
              </w:rPr>
              <w:t xml:space="preserve">SHP HEPS growth (e)</w:t>
            </w:r>
          </w:p>
        </w:tc>
        <w:tc>
          <w:tcPr>
            <w:tcW w:type="dxa" w:w="354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val="false"/>
                <w:bCs w:val="false"/>
                <w:i w:val="false"/>
                <w:iCs w:val="false"/>
                <w:sz w:val="19"/>
                <w:szCs w:val="19"/>
              </w:rPr>
              <w:t xml:space="preserve">Re-accelerates toward low-teens (e)</w:t>
            </w:r>
          </w:p>
        </w:tc>
        <w:tc>
          <w:tcPr>
            <w:tcW w:type="dxa" w:w="354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val="false"/>
                <w:bCs w:val="false"/>
                <w:i w:val="false"/>
                <w:iCs w:val="false"/>
                <w:sz w:val="19"/>
                <w:szCs w:val="19"/>
              </w:rPr>
              <w:t xml:space="preserve">Decelerates to mid/high-single-digit (e)</w:t>
            </w:r>
          </w:p>
        </w:tc>
      </w:tr>
      <w:tr>
        <w:tc>
          <w:tcPr>
            <w:tcW w:type="dxa" w:w="228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left"/>
            </w:pPr>
            <w:r>
              <w:rPr>
                <w:b/>
                <w:bCs/>
                <w:i w:val="false"/>
                <w:iCs w:val="false"/>
                <w:sz w:val="19"/>
                <w:szCs w:val="19"/>
              </w:rPr>
              <w:t xml:space="preserve">Relative share-price call</w:t>
            </w:r>
          </w:p>
        </w:tc>
        <w:tc>
          <w:tcPr>
            <w:tcW w:type="dxa" w:w="354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left"/>
            </w:pPr>
            <w:r>
              <w:rPr>
                <w:b/>
                <w:bCs/>
                <w:i w:val="false"/>
                <w:iCs w:val="false"/>
                <w:sz w:val="19"/>
                <w:szCs w:val="19"/>
              </w:rPr>
              <w:t xml:space="preserve">Good business; may lag a cyclical rally</w:t>
            </w:r>
          </w:p>
        </w:tc>
        <w:tc>
          <w:tcPr>
            <w:tcW w:type="dxa" w:w="354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left"/>
            </w:pPr>
            <w:r>
              <w:rPr>
                <w:b/>
                <w:bCs/>
                <w:i w:val="false"/>
                <w:iCs w:val="false"/>
                <w:sz w:val="19"/>
                <w:szCs w:val="19"/>
              </w:rPr>
              <w:t xml:space="preserve">Defensive outperformer / safe-haven</w:t>
            </w:r>
          </w:p>
        </w:tc>
      </w:tr>
    </w:tbl>
    <w:p>
      <w:pPr>
        <w:spacing w:after="160" w:before="0" w:line="264"/>
      </w:pPr>
      <w:r>
        <w:rPr>
          <w:b w:val="false"/>
          <w:bCs w:val="false"/>
          <w:i/>
          <w:iCs/>
          <w:color w:val="6B7280"/>
          <w:sz w:val="17"/>
          <w:szCs w:val="17"/>
        </w:rPr>
        <w:t xml:space="preserve">Directional analyst judgement marked (e); not company guidance. All actuals are sourced in §2 and §8. Scenario macro levels are analyst assumptions, not forecasts.</w:t>
      </w:r>
    </w:p>
    <w:p>
      <w:pPr>
        <w:pStyle w:val="Heading1"/>
        <w:pBdr>
          <w:bottom w:val="single" w:color="2E75B6" w:sz="6" w:space="2"/>
        </w:pBdr>
        <w:spacing w:after="120" w:before="280"/>
      </w:pPr>
      <w:r>
        <w:rPr>
          <w:b/>
          <w:bCs/>
          <w:i w:val="false"/>
          <w:iCs w:val="false"/>
          <w:color w:val="1F3864"/>
          <w:sz w:val="26"/>
          <w:szCs w:val="26"/>
        </w:rPr>
        <w:t xml:space="preserve">2.  What Shoprite is today (FY2025 + H1 FY2026 snapshot)</w:t>
      </w:r>
    </w:p>
    <w:p>
      <w:pPr>
        <w:spacing w:after="120" w:before="0" w:line="264"/>
      </w:pPr>
      <w:r>
        <w:rPr>
          <w:b w:val="false"/>
          <w:bCs w:val="false"/>
          <w:i w:val="false"/>
          <w:iCs w:val="false"/>
          <w:sz w:val="21"/>
          <w:szCs w:val="21"/>
        </w:rPr>
        <w:t xml:space="preserve">Shoprite delivered a strong FY2025 (52 weeks ended 29 June 2025): group like-for-like sales +4.6% (group +4.8%), gross margin +40bps to 24.3% and trading margin +40bps to 5.9% — operating leverage and cost discipline lifting earnings ahead of sales. Core Supermarkets RSA grew sale of merchandise +9.5% to R213.5bn (trading profit +15.5%); Sixty60 on-demand sales rose +47.7% to R18.9bn; the store base reached 3,478 (+281 net). The full-year dividend rose +9.7% to 781c at 1.75x cover. Figures are reviewed, not audited; FY2024 is restated for IFRS 5 (furniture, Ghana, Malawi discontinued).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7C0CC" w:sz="1"/>
              <w:left w:val="single" w:color="B7C0CC" w:sz="1"/>
              <w:bottom w:val="single" w:color="B7C0CC" w:sz="1"/>
              <w:right w:val="single" w:color="B7C0CC" w:sz="1"/>
            </w:tcBorders>
            <w:shd w:fill="1F3864" w:val="clear"/>
            <w:tcMar>
              <w:top w:type="dxa" w:w="60"/>
              <w:left w:type="dxa" w:w="110"/>
              <w:bottom w:type="dxa" w:w="60"/>
              <w:right w:type="dxa" w:w="110"/>
            </w:tcMar>
          </w:tcPr>
          <w:p>
            <w:pPr>
              <w:jc w:val="left"/>
            </w:pPr>
            <w:r>
              <w:rPr>
                <w:b/>
                <w:bCs/>
                <w:i w:val="false"/>
                <w:iCs w:val="false"/>
                <w:color w:val="FFFFFF"/>
                <w:sz w:val="19"/>
                <w:szCs w:val="19"/>
              </w:rPr>
              <w:t xml:space="preserve">Metric (continuing ops)</w:t>
            </w:r>
          </w:p>
        </w:tc>
        <w:tc>
          <w:tcPr>
            <w:tcW w:type="dxa" w:w="2000"/>
            <w:tcBorders>
              <w:top w:val="single" w:color="B7C0CC" w:sz="1"/>
              <w:left w:val="single" w:color="B7C0CC" w:sz="1"/>
              <w:bottom w:val="single" w:color="B7C0CC" w:sz="1"/>
              <w:right w:val="single" w:color="B7C0CC" w:sz="1"/>
            </w:tcBorders>
            <w:shd w:fill="1F3864" w:val="clear"/>
            <w:tcMar>
              <w:top w:type="dxa" w:w="60"/>
              <w:left w:type="dxa" w:w="110"/>
              <w:bottom w:type="dxa" w:w="60"/>
              <w:right w:type="dxa" w:w="110"/>
            </w:tcMar>
          </w:tcPr>
          <w:p>
            <w:pPr>
              <w:jc w:val="right"/>
            </w:pPr>
            <w:r>
              <w:rPr>
                <w:b/>
                <w:bCs/>
                <w:i w:val="false"/>
                <w:iCs w:val="false"/>
                <w:color w:val="FFFFFF"/>
                <w:sz w:val="19"/>
                <w:szCs w:val="19"/>
              </w:rPr>
              <w:t xml:space="preserve">FY2025</w:t>
            </w:r>
          </w:p>
        </w:tc>
        <w:tc>
          <w:tcPr>
            <w:tcW w:type="dxa" w:w="2000"/>
            <w:tcBorders>
              <w:top w:val="single" w:color="B7C0CC" w:sz="1"/>
              <w:left w:val="single" w:color="B7C0CC" w:sz="1"/>
              <w:bottom w:val="single" w:color="B7C0CC" w:sz="1"/>
              <w:right w:val="single" w:color="B7C0CC" w:sz="1"/>
            </w:tcBorders>
            <w:shd w:fill="1F3864" w:val="clear"/>
            <w:tcMar>
              <w:top w:type="dxa" w:w="60"/>
              <w:left w:type="dxa" w:w="110"/>
              <w:bottom w:type="dxa" w:w="60"/>
              <w:right w:type="dxa" w:w="110"/>
            </w:tcMar>
          </w:tcPr>
          <w:p>
            <w:pPr>
              <w:jc w:val="right"/>
            </w:pPr>
            <w:r>
              <w:rPr>
                <w:b/>
                <w:bCs/>
                <w:i w:val="false"/>
                <w:iCs w:val="false"/>
                <w:color w:val="FFFFFF"/>
                <w:sz w:val="19"/>
                <w:szCs w:val="19"/>
              </w:rPr>
              <w:t xml:space="preserve">FY2024 (rest.)</w:t>
            </w:r>
          </w:p>
        </w:tc>
        <w:tc>
          <w:tcPr>
            <w:tcW w:type="dxa" w:w="2000"/>
            <w:tcBorders>
              <w:top w:val="single" w:color="B7C0CC" w:sz="1"/>
              <w:left w:val="single" w:color="B7C0CC" w:sz="1"/>
              <w:bottom w:val="single" w:color="B7C0CC" w:sz="1"/>
              <w:right w:val="single" w:color="B7C0CC" w:sz="1"/>
            </w:tcBorders>
            <w:shd w:fill="1F3864" w:val="clear"/>
            <w:tcMar>
              <w:top w:type="dxa" w:w="60"/>
              <w:left w:type="dxa" w:w="110"/>
              <w:bottom w:type="dxa" w:w="60"/>
              <w:right w:type="dxa" w:w="110"/>
            </w:tcMar>
          </w:tcPr>
          <w:p>
            <w:pPr>
              <w:jc w:val="right"/>
            </w:pPr>
            <w:r>
              <w:rPr>
                <w:b/>
                <w:bCs/>
                <w:i w:val="false"/>
                <w:iCs w:val="false"/>
                <w:color w:val="FFFFFF"/>
                <w:sz w:val="19"/>
                <w:szCs w:val="19"/>
              </w:rPr>
              <w:t xml:space="preserve">Change</w:t>
            </w:r>
          </w:p>
        </w:tc>
      </w:tr>
      <w:tr>
        <w:tc>
          <w:tcPr>
            <w:tcW w:type="dxa" w:w="336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val="false"/>
                <w:bCs w:val="false"/>
                <w:i w:val="false"/>
                <w:iCs w:val="false"/>
                <w:sz w:val="19"/>
                <w:szCs w:val="19"/>
              </w:rPr>
              <w:t xml:space="preserve">Sale of merchandise</w:t>
            </w:r>
          </w:p>
        </w:tc>
        <w:tc>
          <w:tcPr>
            <w:tcW w:type="dxa" w:w="200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right"/>
            </w:pPr>
            <w:r>
              <w:rPr>
                <w:b w:val="false"/>
                <w:bCs w:val="false"/>
                <w:i w:val="false"/>
                <w:iCs w:val="false"/>
                <w:sz w:val="19"/>
                <w:szCs w:val="19"/>
              </w:rPr>
              <w:t xml:space="preserve">R252.7bn</w:t>
            </w:r>
          </w:p>
        </w:tc>
        <w:tc>
          <w:tcPr>
            <w:tcW w:type="dxa" w:w="200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right"/>
            </w:pPr>
            <w:r>
              <w:rPr>
                <w:b w:val="false"/>
                <w:bCs w:val="false"/>
                <w:i w:val="false"/>
                <w:iCs w:val="false"/>
                <w:sz w:val="19"/>
                <w:szCs w:val="19"/>
              </w:rPr>
              <w:t xml:space="preserve">R232.1bn</w:t>
            </w:r>
          </w:p>
        </w:tc>
        <w:tc>
          <w:tcPr>
            <w:tcW w:type="dxa" w:w="200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right"/>
            </w:pPr>
            <w:r>
              <w:rPr>
                <w:b w:val="false"/>
                <w:bCs w:val="false"/>
                <w:i w:val="false"/>
                <w:iCs w:val="false"/>
                <w:sz w:val="19"/>
                <w:szCs w:val="19"/>
              </w:rPr>
              <w:t xml:space="preserve">+8.9%</w:t>
            </w:r>
          </w:p>
        </w:tc>
      </w:tr>
      <w:tr>
        <w:tc>
          <w:tcPr>
            <w:tcW w:type="dxa" w:w="336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left"/>
            </w:pPr>
            <w:r>
              <w:rPr>
                <w:b w:val="false"/>
                <w:bCs w:val="false"/>
                <w:i w:val="false"/>
                <w:iCs w:val="false"/>
                <w:sz w:val="19"/>
                <w:szCs w:val="19"/>
              </w:rPr>
              <w:t xml:space="preserve">Group revenue</w:t>
            </w:r>
          </w:p>
        </w:tc>
        <w:tc>
          <w:tcPr>
            <w:tcW w:type="dxa" w:w="200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right"/>
            </w:pPr>
            <w:r>
              <w:rPr>
                <w:b w:val="false"/>
                <w:bCs w:val="false"/>
                <w:i w:val="false"/>
                <w:iCs w:val="false"/>
                <w:sz w:val="19"/>
                <w:szCs w:val="19"/>
              </w:rPr>
              <w:t xml:space="preserve">R256.7bn</w:t>
            </w:r>
          </w:p>
        </w:tc>
        <w:tc>
          <w:tcPr>
            <w:tcW w:type="dxa" w:w="200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right"/>
            </w:pPr>
            <w:r>
              <w:rPr>
                <w:b w:val="false"/>
                <w:bCs w:val="false"/>
                <w:i w:val="false"/>
                <w:iCs w:val="false"/>
                <w:sz w:val="19"/>
                <w:szCs w:val="19"/>
              </w:rPr>
              <w:t xml:space="preserve">R236.3bn</w:t>
            </w:r>
          </w:p>
        </w:tc>
        <w:tc>
          <w:tcPr>
            <w:tcW w:type="dxa" w:w="200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right"/>
            </w:pPr>
            <w:r>
              <w:rPr>
                <w:b w:val="false"/>
                <w:bCs w:val="false"/>
                <w:i w:val="false"/>
                <w:iCs w:val="false"/>
                <w:sz w:val="19"/>
                <w:szCs w:val="19"/>
              </w:rPr>
              <w:t xml:space="preserve">+8.6%</w:t>
            </w:r>
          </w:p>
        </w:tc>
      </w:tr>
      <w:tr>
        <w:tc>
          <w:tcPr>
            <w:tcW w:type="dxa" w:w="336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val="false"/>
                <w:bCs w:val="false"/>
                <w:i w:val="false"/>
                <w:iCs w:val="false"/>
                <w:sz w:val="19"/>
                <w:szCs w:val="19"/>
              </w:rPr>
              <w:t xml:space="preserve">Gross margin</w:t>
            </w:r>
          </w:p>
        </w:tc>
        <w:tc>
          <w:tcPr>
            <w:tcW w:type="dxa" w:w="200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right"/>
            </w:pPr>
            <w:r>
              <w:rPr>
                <w:b w:val="false"/>
                <w:bCs w:val="false"/>
                <w:i w:val="false"/>
                <w:iCs w:val="false"/>
                <w:sz w:val="19"/>
                <w:szCs w:val="19"/>
              </w:rPr>
              <w:t xml:space="preserve">24.3%</w:t>
            </w:r>
          </w:p>
        </w:tc>
        <w:tc>
          <w:tcPr>
            <w:tcW w:type="dxa" w:w="200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right"/>
            </w:pPr>
            <w:r>
              <w:rPr>
                <w:b w:val="false"/>
                <w:bCs w:val="false"/>
                <w:i w:val="false"/>
                <w:iCs w:val="false"/>
                <w:sz w:val="19"/>
                <w:szCs w:val="19"/>
              </w:rPr>
              <w:t xml:space="preserve">23.9%</w:t>
            </w:r>
          </w:p>
        </w:tc>
        <w:tc>
          <w:tcPr>
            <w:tcW w:type="dxa" w:w="200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right"/>
            </w:pPr>
            <w:r>
              <w:rPr>
                <w:b w:val="false"/>
                <w:bCs w:val="false"/>
                <w:i w:val="false"/>
                <w:iCs w:val="false"/>
                <w:sz w:val="19"/>
                <w:szCs w:val="19"/>
              </w:rPr>
              <w:t xml:space="preserve">+40 bps</w:t>
            </w:r>
          </w:p>
        </w:tc>
      </w:tr>
      <w:tr>
        <w:tc>
          <w:tcPr>
            <w:tcW w:type="dxa" w:w="336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left"/>
            </w:pPr>
            <w:r>
              <w:rPr>
                <w:b w:val="false"/>
                <w:bCs w:val="false"/>
                <w:i w:val="false"/>
                <w:iCs w:val="false"/>
                <w:sz w:val="19"/>
                <w:szCs w:val="19"/>
              </w:rPr>
              <w:t xml:space="preserve">Trading profit</w:t>
            </w:r>
          </w:p>
        </w:tc>
        <w:tc>
          <w:tcPr>
            <w:tcW w:type="dxa" w:w="200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right"/>
            </w:pPr>
            <w:r>
              <w:rPr>
                <w:b w:val="false"/>
                <w:bCs w:val="false"/>
                <w:i w:val="false"/>
                <w:iCs w:val="false"/>
                <w:sz w:val="19"/>
                <w:szCs w:val="19"/>
              </w:rPr>
              <w:t xml:space="preserve">R15.0bn</w:t>
            </w:r>
          </w:p>
        </w:tc>
        <w:tc>
          <w:tcPr>
            <w:tcW w:type="dxa" w:w="200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right"/>
            </w:pPr>
            <w:r>
              <w:rPr>
                <w:b w:val="false"/>
                <w:bCs w:val="false"/>
                <w:i w:val="false"/>
                <w:iCs w:val="false"/>
                <w:sz w:val="19"/>
                <w:szCs w:val="19"/>
              </w:rPr>
              <w:t xml:space="preserve">—</w:t>
            </w:r>
          </w:p>
        </w:tc>
        <w:tc>
          <w:tcPr>
            <w:tcW w:type="dxa" w:w="200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right"/>
            </w:pPr>
            <w:r>
              <w:rPr>
                <w:b w:val="false"/>
                <w:bCs w:val="false"/>
                <w:i w:val="false"/>
                <w:iCs w:val="false"/>
                <w:sz w:val="19"/>
                <w:szCs w:val="19"/>
              </w:rPr>
              <w:t xml:space="preserve">+16.6%</w:t>
            </w:r>
          </w:p>
        </w:tc>
      </w:tr>
      <w:tr>
        <w:tc>
          <w:tcPr>
            <w:tcW w:type="dxa" w:w="336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val="false"/>
                <w:bCs w:val="false"/>
                <w:i w:val="false"/>
                <w:iCs w:val="false"/>
                <w:sz w:val="19"/>
                <w:szCs w:val="19"/>
              </w:rPr>
              <w:t xml:space="preserve">Trading margin</w:t>
            </w:r>
          </w:p>
        </w:tc>
        <w:tc>
          <w:tcPr>
            <w:tcW w:type="dxa" w:w="200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right"/>
            </w:pPr>
            <w:r>
              <w:rPr>
                <w:b w:val="false"/>
                <w:bCs w:val="false"/>
                <w:i w:val="false"/>
                <w:iCs w:val="false"/>
                <w:sz w:val="19"/>
                <w:szCs w:val="19"/>
              </w:rPr>
              <w:t xml:space="preserve">5.9%</w:t>
            </w:r>
          </w:p>
        </w:tc>
        <w:tc>
          <w:tcPr>
            <w:tcW w:type="dxa" w:w="200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right"/>
            </w:pPr>
            <w:r>
              <w:rPr>
                <w:b w:val="false"/>
                <w:bCs w:val="false"/>
                <w:i w:val="false"/>
                <w:iCs w:val="false"/>
                <w:sz w:val="19"/>
                <w:szCs w:val="19"/>
              </w:rPr>
              <w:t xml:space="preserve">5.5%</w:t>
            </w:r>
          </w:p>
        </w:tc>
        <w:tc>
          <w:tcPr>
            <w:tcW w:type="dxa" w:w="200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right"/>
            </w:pPr>
            <w:r>
              <w:rPr>
                <w:b w:val="false"/>
                <w:bCs w:val="false"/>
                <w:i w:val="false"/>
                <w:iCs w:val="false"/>
                <w:sz w:val="19"/>
                <w:szCs w:val="19"/>
              </w:rPr>
              <w:t xml:space="preserve">+40 bps</w:t>
            </w:r>
          </w:p>
        </w:tc>
      </w:tr>
      <w:tr>
        <w:tc>
          <w:tcPr>
            <w:tcW w:type="dxa" w:w="336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left"/>
            </w:pPr>
            <w:r>
              <w:rPr>
                <w:b w:val="false"/>
                <w:bCs w:val="false"/>
                <w:i w:val="false"/>
                <w:iCs w:val="false"/>
                <w:sz w:val="19"/>
                <w:szCs w:val="19"/>
              </w:rPr>
              <w:t xml:space="preserve">Diluted HEPS, cont. (c)</w:t>
            </w:r>
          </w:p>
        </w:tc>
        <w:tc>
          <w:tcPr>
            <w:tcW w:type="dxa" w:w="200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right"/>
            </w:pPr>
            <w:r>
              <w:rPr>
                <w:b w:val="false"/>
                <w:bCs w:val="false"/>
                <w:i w:val="false"/>
                <w:iCs w:val="false"/>
                <w:sz w:val="19"/>
                <w:szCs w:val="19"/>
              </w:rPr>
              <w:t xml:space="preserve">1,367.2</w:t>
            </w:r>
          </w:p>
        </w:tc>
        <w:tc>
          <w:tcPr>
            <w:tcW w:type="dxa" w:w="200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right"/>
            </w:pPr>
            <w:r>
              <w:rPr>
                <w:b w:val="false"/>
                <w:bCs w:val="false"/>
                <w:i w:val="false"/>
                <w:iCs w:val="false"/>
                <w:sz w:val="19"/>
                <w:szCs w:val="19"/>
              </w:rPr>
              <w:t xml:space="preserve">1,180.2</w:t>
            </w:r>
          </w:p>
        </w:tc>
        <w:tc>
          <w:tcPr>
            <w:tcW w:type="dxa" w:w="200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right"/>
            </w:pPr>
            <w:r>
              <w:rPr>
                <w:b w:val="false"/>
                <w:bCs w:val="false"/>
                <w:i w:val="false"/>
                <w:iCs w:val="false"/>
                <w:sz w:val="19"/>
                <w:szCs w:val="19"/>
              </w:rPr>
              <w:t xml:space="preserve">+15.8%</w:t>
            </w:r>
          </w:p>
        </w:tc>
      </w:tr>
      <w:tr>
        <w:tc>
          <w:tcPr>
            <w:tcW w:type="dxa" w:w="336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val="false"/>
                <w:bCs w:val="false"/>
                <w:i w:val="false"/>
                <w:iCs w:val="false"/>
                <w:sz w:val="19"/>
                <w:szCs w:val="19"/>
              </w:rPr>
              <w:t xml:space="preserve">Adjusted DHEPS (c)</w:t>
            </w:r>
          </w:p>
        </w:tc>
        <w:tc>
          <w:tcPr>
            <w:tcW w:type="dxa" w:w="200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right"/>
            </w:pPr>
            <w:r>
              <w:rPr>
                <w:b w:val="false"/>
                <w:bCs w:val="false"/>
                <w:i w:val="false"/>
                <w:iCs w:val="false"/>
                <w:sz w:val="19"/>
                <w:szCs w:val="19"/>
              </w:rPr>
              <w:t xml:space="preserve">1,410.2</w:t>
            </w:r>
          </w:p>
        </w:tc>
        <w:tc>
          <w:tcPr>
            <w:tcW w:type="dxa" w:w="200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right"/>
            </w:pPr>
            <w:r>
              <w:rPr>
                <w:b w:val="false"/>
                <w:bCs w:val="false"/>
                <w:i w:val="false"/>
                <w:iCs w:val="false"/>
                <w:sz w:val="19"/>
                <w:szCs w:val="19"/>
              </w:rPr>
              <w:t xml:space="preserve">1,213.3</w:t>
            </w:r>
          </w:p>
        </w:tc>
        <w:tc>
          <w:tcPr>
            <w:tcW w:type="dxa" w:w="200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right"/>
            </w:pPr>
            <w:r>
              <w:rPr>
                <w:b w:val="false"/>
                <w:bCs w:val="false"/>
                <w:i w:val="false"/>
                <w:iCs w:val="false"/>
                <w:sz w:val="19"/>
                <w:szCs w:val="19"/>
              </w:rPr>
              <w:t xml:space="preserve">+16.2%</w:t>
            </w:r>
          </w:p>
        </w:tc>
      </w:tr>
      <w:tr>
        <w:tc>
          <w:tcPr>
            <w:tcW w:type="dxa" w:w="336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left"/>
            </w:pPr>
            <w:r>
              <w:rPr>
                <w:b w:val="false"/>
                <w:bCs w:val="false"/>
                <w:i w:val="false"/>
                <w:iCs w:val="false"/>
                <w:sz w:val="19"/>
                <w:szCs w:val="19"/>
              </w:rPr>
              <w:t xml:space="preserve">DPS total (c)</w:t>
            </w:r>
          </w:p>
        </w:tc>
        <w:tc>
          <w:tcPr>
            <w:tcW w:type="dxa" w:w="200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right"/>
            </w:pPr>
            <w:r>
              <w:rPr>
                <w:b w:val="false"/>
                <w:bCs w:val="false"/>
                <w:i w:val="false"/>
                <w:iCs w:val="false"/>
                <w:sz w:val="19"/>
                <w:szCs w:val="19"/>
              </w:rPr>
              <w:t xml:space="preserve">781.0</w:t>
            </w:r>
          </w:p>
        </w:tc>
        <w:tc>
          <w:tcPr>
            <w:tcW w:type="dxa" w:w="200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right"/>
            </w:pPr>
            <w:r>
              <w:rPr>
                <w:b w:val="false"/>
                <w:bCs w:val="false"/>
                <w:i w:val="false"/>
                <w:iCs w:val="false"/>
                <w:sz w:val="19"/>
                <w:szCs w:val="19"/>
              </w:rPr>
              <w:t xml:space="preserve">712.0</w:t>
            </w:r>
          </w:p>
        </w:tc>
        <w:tc>
          <w:tcPr>
            <w:tcW w:type="dxa" w:w="200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right"/>
            </w:pPr>
            <w:r>
              <w:rPr>
                <w:b w:val="false"/>
                <w:bCs w:val="false"/>
                <w:i w:val="false"/>
                <w:iCs w:val="false"/>
                <w:sz w:val="19"/>
                <w:szCs w:val="19"/>
              </w:rPr>
              <w:t xml:space="preserve">+9.7%</w:t>
            </w:r>
          </w:p>
        </w:tc>
      </w:tr>
      <w:tr>
        <w:tc>
          <w:tcPr>
            <w:tcW w:type="dxa" w:w="336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val="false"/>
                <w:bCs w:val="false"/>
                <w:i w:val="false"/>
                <w:iCs w:val="false"/>
                <w:sz w:val="19"/>
                <w:szCs w:val="19"/>
              </w:rPr>
              <w:t xml:space="preserve">Net cash</w:t>
            </w:r>
          </w:p>
        </w:tc>
        <w:tc>
          <w:tcPr>
            <w:tcW w:type="dxa" w:w="200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right"/>
            </w:pPr>
            <w:r>
              <w:rPr>
                <w:b w:val="false"/>
                <w:bCs w:val="false"/>
                <w:i w:val="false"/>
                <w:iCs w:val="false"/>
                <w:sz w:val="19"/>
                <w:szCs w:val="19"/>
              </w:rPr>
              <w:t xml:space="preserve">R8.1bn</w:t>
            </w:r>
          </w:p>
        </w:tc>
        <w:tc>
          <w:tcPr>
            <w:tcW w:type="dxa" w:w="200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right"/>
            </w:pPr>
            <w:r>
              <w:rPr>
                <w:b w:val="false"/>
                <w:bCs w:val="false"/>
                <w:i w:val="false"/>
                <w:iCs w:val="false"/>
                <w:sz w:val="19"/>
                <w:szCs w:val="19"/>
              </w:rPr>
              <w:t xml:space="preserve">R8.84bn</w:t>
            </w:r>
          </w:p>
        </w:tc>
        <w:tc>
          <w:tcPr>
            <w:tcW w:type="dxa" w:w="200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right"/>
            </w:pPr>
            <w:r>
              <w:rPr>
                <w:b w:val="false"/>
                <w:bCs w:val="false"/>
                <w:i w:val="false"/>
                <w:iCs w:val="false"/>
                <w:sz w:val="19"/>
                <w:szCs w:val="19"/>
              </w:rPr>
              <w:t xml:space="preserve">−R0.75bn</w:t>
            </w:r>
          </w:p>
        </w:tc>
      </w:tr>
      <w:tr>
        <w:tc>
          <w:tcPr>
            <w:tcW w:type="dxa" w:w="336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left"/>
            </w:pPr>
            <w:r>
              <w:rPr>
                <w:b w:val="false"/>
                <w:bCs w:val="false"/>
                <w:i w:val="false"/>
                <w:iCs w:val="false"/>
                <w:sz w:val="19"/>
                <w:szCs w:val="19"/>
              </w:rPr>
              <w:t xml:space="preserve">Total borrowings (mostly ZAR)</w:t>
            </w:r>
          </w:p>
        </w:tc>
        <w:tc>
          <w:tcPr>
            <w:tcW w:type="dxa" w:w="200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right"/>
            </w:pPr>
            <w:r>
              <w:rPr>
                <w:b w:val="false"/>
                <w:bCs w:val="false"/>
                <w:i w:val="false"/>
                <w:iCs w:val="false"/>
                <w:sz w:val="19"/>
                <w:szCs w:val="19"/>
              </w:rPr>
              <w:t xml:space="preserve">R7.0bn</w:t>
            </w:r>
          </w:p>
        </w:tc>
        <w:tc>
          <w:tcPr>
            <w:tcW w:type="dxa" w:w="200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right"/>
            </w:pPr>
            <w:r>
              <w:rPr>
                <w:b w:val="false"/>
                <w:bCs w:val="false"/>
                <w:i w:val="false"/>
                <w:iCs w:val="false"/>
                <w:sz w:val="19"/>
                <w:szCs w:val="19"/>
              </w:rPr>
              <w:t xml:space="preserve">R6.0bn</w:t>
            </w:r>
          </w:p>
        </w:tc>
        <w:tc>
          <w:tcPr>
            <w:tcW w:type="dxa" w:w="200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right"/>
            </w:pPr>
            <w:r>
              <w:rPr>
                <w:b w:val="false"/>
                <w:bCs w:val="false"/>
                <w:i w:val="false"/>
                <w:iCs w:val="false"/>
                <w:sz w:val="19"/>
                <w:szCs w:val="19"/>
              </w:rPr>
              <w:t xml:space="preserve">+R1.0bn</w:t>
            </w:r>
          </w:p>
        </w:tc>
      </w:tr>
      <w:tr>
        <w:tc>
          <w:tcPr>
            <w:tcW w:type="dxa" w:w="336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val="false"/>
                <w:bCs w:val="false"/>
                <w:i w:val="false"/>
                <w:iCs w:val="false"/>
                <w:sz w:val="19"/>
                <w:szCs w:val="19"/>
              </w:rPr>
              <w:t xml:space="preserve">Net finance costs</w:t>
            </w:r>
          </w:p>
        </w:tc>
        <w:tc>
          <w:tcPr>
            <w:tcW w:type="dxa" w:w="200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right"/>
            </w:pPr>
            <w:r>
              <w:rPr>
                <w:b w:val="false"/>
                <w:bCs w:val="false"/>
                <w:i w:val="false"/>
                <w:iCs w:val="false"/>
                <w:sz w:val="19"/>
                <w:szCs w:val="19"/>
              </w:rPr>
              <w:t xml:space="preserve">R4.8bn</w:t>
            </w:r>
          </w:p>
        </w:tc>
        <w:tc>
          <w:tcPr>
            <w:tcW w:type="dxa" w:w="200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right"/>
            </w:pPr>
            <w:r>
              <w:rPr>
                <w:b w:val="false"/>
                <w:bCs w:val="false"/>
                <w:i w:val="false"/>
                <w:iCs w:val="false"/>
                <w:sz w:val="19"/>
                <w:szCs w:val="19"/>
              </w:rPr>
              <w:t xml:space="preserve">R3.6bn</w:t>
            </w:r>
          </w:p>
        </w:tc>
        <w:tc>
          <w:tcPr>
            <w:tcW w:type="dxa" w:w="200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right"/>
            </w:pPr>
            <w:r>
              <w:rPr>
                <w:b w:val="false"/>
                <w:bCs w:val="false"/>
                <w:i w:val="false"/>
                <w:iCs w:val="false"/>
                <w:sz w:val="19"/>
                <w:szCs w:val="19"/>
              </w:rPr>
              <w:t xml:space="preserve">+30.9%</w:t>
            </w:r>
          </w:p>
        </w:tc>
      </w:tr>
      <w:tr>
        <w:tc>
          <w:tcPr>
            <w:tcW w:type="dxa" w:w="336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left"/>
            </w:pPr>
            <w:r>
              <w:rPr>
                <w:b w:val="false"/>
                <w:bCs w:val="false"/>
                <w:i w:val="false"/>
                <w:iCs w:val="false"/>
                <w:sz w:val="19"/>
                <w:szCs w:val="19"/>
              </w:rPr>
              <w:t xml:space="preserve">Diesel cost (load-shedding)</w:t>
            </w:r>
          </w:p>
        </w:tc>
        <w:tc>
          <w:tcPr>
            <w:tcW w:type="dxa" w:w="200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right"/>
            </w:pPr>
            <w:r>
              <w:rPr>
                <w:b w:val="false"/>
                <w:bCs w:val="false"/>
                <w:i w:val="false"/>
                <w:iCs w:val="false"/>
                <w:sz w:val="19"/>
                <w:szCs w:val="19"/>
              </w:rPr>
              <w:t xml:space="preserve">R335m</w:t>
            </w:r>
          </w:p>
        </w:tc>
        <w:tc>
          <w:tcPr>
            <w:tcW w:type="dxa" w:w="200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right"/>
            </w:pPr>
            <w:r>
              <w:rPr>
                <w:b w:val="false"/>
                <w:bCs w:val="false"/>
                <w:i w:val="false"/>
                <w:iCs w:val="false"/>
                <w:sz w:val="19"/>
                <w:szCs w:val="19"/>
              </w:rPr>
              <w:t xml:space="preserve">R810m</w:t>
            </w:r>
          </w:p>
        </w:tc>
        <w:tc>
          <w:tcPr>
            <w:tcW w:type="dxa" w:w="200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right"/>
            </w:pPr>
            <w:r>
              <w:rPr>
                <w:b w:val="false"/>
                <w:bCs w:val="false"/>
                <w:i w:val="false"/>
                <w:iCs w:val="false"/>
                <w:sz w:val="19"/>
                <w:szCs w:val="19"/>
              </w:rPr>
              <w:t xml:space="preserve">−58.6% (e)</w:t>
            </w:r>
          </w:p>
        </w:tc>
      </w:tr>
      <w:tr>
        <w:tc>
          <w:tcPr>
            <w:tcW w:type="dxa" w:w="336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val="false"/>
                <w:bCs w:val="false"/>
                <w:i w:val="false"/>
                <w:iCs w:val="false"/>
                <w:sz w:val="19"/>
                <w:szCs w:val="19"/>
              </w:rPr>
              <w:t xml:space="preserve">ROE / ROIC / WACC</w:t>
            </w:r>
          </w:p>
        </w:tc>
        <w:tc>
          <w:tcPr>
            <w:tcW w:type="dxa" w:w="200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right"/>
            </w:pPr>
            <w:r>
              <w:rPr>
                <w:b w:val="false"/>
                <w:bCs w:val="false"/>
                <w:i w:val="false"/>
                <w:iCs w:val="false"/>
                <w:sz w:val="19"/>
                <w:szCs w:val="19"/>
              </w:rPr>
              <w:t xml:space="preserve">26.7%</w:t>
            </w:r>
          </w:p>
        </w:tc>
        <w:tc>
          <w:tcPr>
            <w:tcW w:type="dxa" w:w="200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right"/>
            </w:pPr>
            <w:r>
              <w:rPr>
                <w:b w:val="false"/>
                <w:bCs w:val="false"/>
                <w:i w:val="false"/>
                <w:iCs w:val="false"/>
                <w:sz w:val="19"/>
                <w:szCs w:val="19"/>
              </w:rPr>
              <w:t xml:space="preserve">19.4 / 13.5</w:t>
            </w:r>
          </w:p>
        </w:tc>
        <w:tc>
          <w:tcPr>
            <w:tcW w:type="dxa" w:w="200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right"/>
            </w:pPr>
            <w:r>
              <w:rPr>
                <w:b w:val="false"/>
                <w:bCs w:val="false"/>
                <w:i w:val="false"/>
                <w:iCs w:val="false"/>
                <w:sz w:val="19"/>
                <w:szCs w:val="19"/>
              </w:rPr>
              <w:t xml:space="preserve">—</w:t>
            </w:r>
          </w:p>
        </w:tc>
      </w:tr>
    </w:tbl>
    <w:p>
      <w:pPr>
        <w:spacing w:after="160" w:before="0" w:line="264"/>
      </w:pPr>
      <w:r>
        <w:rPr>
          <w:b w:val="false"/>
          <w:bCs w:val="false"/>
          <w:i/>
          <w:iCs/>
          <w:color w:val="6B7280"/>
          <w:sz w:val="17"/>
          <w:szCs w:val="17"/>
        </w:rPr>
        <w:t xml:space="preserve">Source: SH1 — Shoprite reviewed results, 52 weeks ended 29 June 2025 (held locally). FY2024 restated for IFRS 5. Diesel change derived from reported R335m vs R810m (e). bps = basis points.</w:t>
      </w:r>
    </w:p>
    <w:p>
      <w:pPr>
        <w:spacing w:after="120" w:before="0" w:line="264"/>
      </w:pPr>
      <w:r>
        <w:rPr>
          <w:b/>
          <w:bCs/>
          <w:i w:val="false"/>
          <w:iCs w:val="false"/>
          <w:sz w:val="21"/>
          <w:szCs w:val="21"/>
        </w:rPr>
        <w:t xml:space="preserve">H1 FY2026 (26 weeks to 28 December 2025) </w:t>
      </w:r>
      <w:r>
        <w:rPr>
          <w:b w:val="false"/>
          <w:bCs w:val="false"/>
          <w:i w:val="false"/>
          <w:iCs w:val="false"/>
          <w:sz w:val="21"/>
          <w:szCs w:val="21"/>
        </w:rPr>
        <w:t xml:space="preserve">decelerated but kept taking share — the group outgrew the rest of the market by ~5.3x from Black Friday through December, and Checkers sales rose +8.9%. Crucially, the margin is narrowing as Shoprite invests in price to win share — the dynamic that defines the scenarios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B7C0CC" w:sz="1"/>
              <w:left w:val="single" w:color="B7C0CC" w:sz="1"/>
              <w:bottom w:val="single" w:color="B7C0CC" w:sz="1"/>
              <w:right w:val="single" w:color="B7C0CC" w:sz="1"/>
            </w:tcBorders>
            <w:shd w:fill="1F3864" w:val="clear"/>
            <w:tcMar>
              <w:top w:type="dxa" w:w="60"/>
              <w:left w:type="dxa" w:w="110"/>
              <w:bottom w:type="dxa" w:w="60"/>
              <w:right w:type="dxa" w:w="110"/>
            </w:tcMar>
          </w:tcPr>
          <w:p>
            <w:pPr>
              <w:jc w:val="left"/>
            </w:pPr>
            <w:r>
              <w:rPr>
                <w:b/>
                <w:bCs/>
                <w:i w:val="false"/>
                <w:iCs w:val="false"/>
                <w:color w:val="FFFFFF"/>
                <w:sz w:val="19"/>
                <w:szCs w:val="19"/>
              </w:rPr>
              <w:t xml:space="preserve">Metric (continuing ops)</w:t>
            </w:r>
          </w:p>
        </w:tc>
        <w:tc>
          <w:tcPr>
            <w:tcW w:type="dxa" w:w="2500"/>
            <w:tcBorders>
              <w:top w:val="single" w:color="B7C0CC" w:sz="1"/>
              <w:left w:val="single" w:color="B7C0CC" w:sz="1"/>
              <w:bottom w:val="single" w:color="B7C0CC" w:sz="1"/>
              <w:right w:val="single" w:color="B7C0CC" w:sz="1"/>
            </w:tcBorders>
            <w:shd w:fill="1F3864" w:val="clear"/>
            <w:tcMar>
              <w:top w:type="dxa" w:w="60"/>
              <w:left w:type="dxa" w:w="110"/>
              <w:bottom w:type="dxa" w:w="60"/>
              <w:right w:type="dxa" w:w="110"/>
            </w:tcMar>
          </w:tcPr>
          <w:p>
            <w:pPr>
              <w:jc w:val="right"/>
            </w:pPr>
            <w:r>
              <w:rPr>
                <w:b/>
                <w:bCs/>
                <w:i w:val="false"/>
                <w:iCs w:val="false"/>
                <w:color w:val="FFFFFF"/>
                <w:sz w:val="19"/>
                <w:szCs w:val="19"/>
              </w:rPr>
              <w:t xml:space="preserve">H1 FY2026</w:t>
            </w:r>
          </w:p>
        </w:tc>
        <w:tc>
          <w:tcPr>
            <w:tcW w:type="dxa" w:w="2500"/>
            <w:tcBorders>
              <w:top w:val="single" w:color="B7C0CC" w:sz="1"/>
              <w:left w:val="single" w:color="B7C0CC" w:sz="1"/>
              <w:bottom w:val="single" w:color="B7C0CC" w:sz="1"/>
              <w:right w:val="single" w:color="B7C0CC" w:sz="1"/>
            </w:tcBorders>
            <w:shd w:fill="1F3864" w:val="clear"/>
            <w:tcMar>
              <w:top w:type="dxa" w:w="60"/>
              <w:left w:type="dxa" w:w="110"/>
              <w:bottom w:type="dxa" w:w="60"/>
              <w:right w:type="dxa" w:w="110"/>
            </w:tcMar>
          </w:tcPr>
          <w:p>
            <w:pPr>
              <w:jc w:val="right"/>
            </w:pPr>
            <w:r>
              <w:rPr>
                <w:b/>
                <w:bCs/>
                <w:i w:val="false"/>
                <w:iCs w:val="false"/>
                <w:color w:val="FFFFFF"/>
                <w:sz w:val="19"/>
                <w:szCs w:val="19"/>
              </w:rPr>
              <w:t xml:space="preserve">Change vs H1 FY25</w:t>
            </w:r>
          </w:p>
        </w:tc>
      </w:tr>
      <w:tr>
        <w:tc>
          <w:tcPr>
            <w:tcW w:type="dxa" w:w="436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val="false"/>
                <w:bCs w:val="false"/>
                <w:i w:val="false"/>
                <w:iCs w:val="false"/>
                <w:sz w:val="19"/>
                <w:szCs w:val="19"/>
              </w:rPr>
              <w:t xml:space="preserve">Revenue</w:t>
            </w:r>
          </w:p>
        </w:tc>
        <w:tc>
          <w:tcPr>
            <w:tcW w:type="dxa" w:w="250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right"/>
            </w:pPr>
            <w:r>
              <w:rPr>
                <w:b w:val="false"/>
                <w:bCs w:val="false"/>
                <w:i w:val="false"/>
                <w:iCs w:val="false"/>
                <w:sz w:val="19"/>
                <w:szCs w:val="19"/>
              </w:rPr>
              <w:t xml:space="preserve">R138.85bn</w:t>
            </w:r>
          </w:p>
        </w:tc>
        <w:tc>
          <w:tcPr>
            <w:tcW w:type="dxa" w:w="250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right"/>
            </w:pPr>
            <w:r>
              <w:rPr>
                <w:b w:val="false"/>
                <w:bCs w:val="false"/>
                <w:i w:val="false"/>
                <w:iCs w:val="false"/>
                <w:sz w:val="19"/>
                <w:szCs w:val="19"/>
              </w:rPr>
              <w:t xml:space="preserve">+7.1%</w:t>
            </w:r>
          </w:p>
        </w:tc>
      </w:tr>
      <w:tr>
        <w:tc>
          <w:tcPr>
            <w:tcW w:type="dxa" w:w="436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left"/>
            </w:pPr>
            <w:r>
              <w:rPr>
                <w:b w:val="false"/>
                <w:bCs w:val="false"/>
                <w:i w:val="false"/>
                <w:iCs w:val="false"/>
                <w:sz w:val="19"/>
                <w:szCs w:val="19"/>
              </w:rPr>
              <w:t xml:space="preserve">Trading profit</w:t>
            </w:r>
          </w:p>
        </w:tc>
        <w:tc>
          <w:tcPr>
            <w:tcW w:type="dxa" w:w="250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right"/>
            </w:pPr>
            <w:r>
              <w:rPr>
                <w:b w:val="false"/>
                <w:bCs w:val="false"/>
                <w:i w:val="false"/>
                <w:iCs w:val="false"/>
                <w:sz w:val="19"/>
                <w:szCs w:val="19"/>
              </w:rPr>
              <w:t xml:space="preserve">R7.73bn</w:t>
            </w:r>
          </w:p>
        </w:tc>
        <w:tc>
          <w:tcPr>
            <w:tcW w:type="dxa" w:w="250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right"/>
            </w:pPr>
            <w:r>
              <w:rPr>
                <w:b w:val="false"/>
                <w:bCs w:val="false"/>
                <w:i w:val="false"/>
                <w:iCs w:val="false"/>
                <w:sz w:val="19"/>
                <w:szCs w:val="19"/>
              </w:rPr>
              <w:t xml:space="preserve">+5.9%</w:t>
            </w:r>
          </w:p>
        </w:tc>
      </w:tr>
      <w:tr>
        <w:tc>
          <w:tcPr>
            <w:tcW w:type="dxa" w:w="436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val="false"/>
                <w:bCs w:val="false"/>
                <w:i w:val="false"/>
                <w:iCs w:val="false"/>
                <w:sz w:val="19"/>
                <w:szCs w:val="19"/>
              </w:rPr>
              <w:t xml:space="preserve">Diluted HEPS, continuing (c)</w:t>
            </w:r>
          </w:p>
        </w:tc>
        <w:tc>
          <w:tcPr>
            <w:tcW w:type="dxa" w:w="250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right"/>
            </w:pPr>
            <w:r>
              <w:rPr>
                <w:b w:val="false"/>
                <w:bCs w:val="false"/>
                <w:i w:val="false"/>
                <w:iCs w:val="false"/>
                <w:sz w:val="19"/>
                <w:szCs w:val="19"/>
              </w:rPr>
              <w:t xml:space="preserve">708.9</w:t>
            </w:r>
          </w:p>
        </w:tc>
        <w:tc>
          <w:tcPr>
            <w:tcW w:type="dxa" w:w="250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right"/>
            </w:pPr>
            <w:r>
              <w:rPr>
                <w:b w:val="false"/>
                <w:bCs w:val="false"/>
                <w:i w:val="false"/>
                <w:iCs w:val="false"/>
                <w:sz w:val="19"/>
                <w:szCs w:val="19"/>
              </w:rPr>
              <w:t xml:space="preserve">+7.9%</w:t>
            </w:r>
          </w:p>
        </w:tc>
      </w:tr>
      <w:tr>
        <w:tc>
          <w:tcPr>
            <w:tcW w:type="dxa" w:w="436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left"/>
            </w:pPr>
            <w:r>
              <w:rPr>
                <w:b w:val="false"/>
                <w:bCs w:val="false"/>
                <w:i w:val="false"/>
                <w:iCs w:val="false"/>
                <w:sz w:val="19"/>
                <w:szCs w:val="19"/>
              </w:rPr>
              <w:t xml:space="preserve">Adjusted DHEPS</w:t>
            </w:r>
          </w:p>
        </w:tc>
        <w:tc>
          <w:tcPr>
            <w:tcW w:type="dxa" w:w="250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right"/>
            </w:pPr>
            <w:r>
              <w:rPr>
                <w:b w:val="false"/>
                <w:bCs w:val="false"/>
                <w:i w:val="false"/>
                <w:iCs w:val="false"/>
                <w:sz w:val="19"/>
                <w:szCs w:val="19"/>
              </w:rPr>
              <w:t xml:space="preserve">—</w:t>
            </w:r>
          </w:p>
        </w:tc>
        <w:tc>
          <w:tcPr>
            <w:tcW w:type="dxa" w:w="250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right"/>
            </w:pPr>
            <w:r>
              <w:rPr>
                <w:b w:val="false"/>
                <w:bCs w:val="false"/>
                <w:i w:val="false"/>
                <w:iCs w:val="false"/>
                <w:sz w:val="19"/>
                <w:szCs w:val="19"/>
              </w:rPr>
              <w:t xml:space="preserve">+9.5%</w:t>
            </w:r>
          </w:p>
        </w:tc>
      </w:tr>
      <w:tr>
        <w:tc>
          <w:tcPr>
            <w:tcW w:type="dxa" w:w="436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val="false"/>
                <w:bCs w:val="false"/>
                <w:i w:val="false"/>
                <w:iCs w:val="false"/>
                <w:sz w:val="19"/>
                <w:szCs w:val="19"/>
              </w:rPr>
              <w:t xml:space="preserve">Interim dividend (c)</w:t>
            </w:r>
          </w:p>
        </w:tc>
        <w:tc>
          <w:tcPr>
            <w:tcW w:type="dxa" w:w="250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right"/>
            </w:pPr>
            <w:r>
              <w:rPr>
                <w:b w:val="false"/>
                <w:bCs w:val="false"/>
                <w:i w:val="false"/>
                <w:iCs w:val="false"/>
                <w:sz w:val="19"/>
                <w:szCs w:val="19"/>
              </w:rPr>
              <w:t xml:space="preserve">307.0</w:t>
            </w:r>
          </w:p>
        </w:tc>
        <w:tc>
          <w:tcPr>
            <w:tcW w:type="dxa" w:w="250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right"/>
            </w:pPr>
            <w:r>
              <w:rPr>
                <w:b w:val="false"/>
                <w:bCs w:val="false"/>
                <w:i w:val="false"/>
                <w:iCs w:val="false"/>
                <w:sz w:val="19"/>
                <w:szCs w:val="19"/>
              </w:rPr>
              <w:t xml:space="preserve">+7.7%</w:t>
            </w:r>
          </w:p>
        </w:tc>
      </w:tr>
      <w:tr>
        <w:tc>
          <w:tcPr>
            <w:tcW w:type="dxa" w:w="436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left"/>
            </w:pPr>
            <w:r>
              <w:rPr>
                <w:b w:val="false"/>
                <w:bCs w:val="false"/>
                <w:i w:val="false"/>
                <w:iCs w:val="false"/>
                <w:sz w:val="19"/>
                <w:szCs w:val="19"/>
              </w:rPr>
              <w:t xml:space="preserve">Sixty60 sales</w:t>
            </w:r>
          </w:p>
        </w:tc>
        <w:tc>
          <w:tcPr>
            <w:tcW w:type="dxa" w:w="250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right"/>
            </w:pPr>
            <w:r>
              <w:rPr>
                <w:b w:val="false"/>
                <w:bCs w:val="false"/>
                <w:i w:val="false"/>
                <w:iCs w:val="false"/>
                <w:sz w:val="19"/>
                <w:szCs w:val="19"/>
              </w:rPr>
              <w:t xml:space="preserve">R11.9bn</w:t>
            </w:r>
          </w:p>
        </w:tc>
        <w:tc>
          <w:tcPr>
            <w:tcW w:type="dxa" w:w="250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right"/>
            </w:pPr>
            <w:r>
              <w:rPr>
                <w:b w:val="false"/>
                <w:bCs w:val="false"/>
                <w:i w:val="false"/>
                <w:iCs w:val="false"/>
                <w:sz w:val="19"/>
                <w:szCs w:val="19"/>
              </w:rPr>
              <w:t xml:space="preserve">+34.6%</w:t>
            </w:r>
          </w:p>
        </w:tc>
      </w:tr>
    </w:tbl>
    <w:p>
      <w:pPr>
        <w:spacing w:after="160" w:before="0" w:line="264"/>
      </w:pPr>
      <w:r>
        <w:rPr>
          <w:b w:val="false"/>
          <w:bCs w:val="false"/>
          <w:i/>
          <w:iCs/>
          <w:color w:val="6B7280"/>
          <w:sz w:val="17"/>
          <w:szCs w:val="17"/>
        </w:rPr>
        <w:t xml:space="preserve">Source: H1 FY2026 trading update / public SENS &amp; press reporting — not yet catalogued locally (flagged as a manifest coverage gap). Verify against the primary SENS before acting.</w:t>
      </w:r>
    </w:p>
    <w:p>
      <w:pPr>
        <w:spacing w:after="120" w:before="0" w:line="264"/>
      </w:pPr>
      <w:r>
        <w:rPr>
          <w:b/>
          <w:bCs/>
          <w:i w:val="false"/>
          <w:iCs w:val="false"/>
          <w:sz w:val="21"/>
          <w:szCs w:val="21"/>
        </w:rPr>
        <w:t xml:space="preserve">Why this matters for the scenarios.  </w:t>
      </w:r>
      <w:r>
        <w:rPr>
          <w:b w:val="false"/>
          <w:bCs w:val="false"/>
          <w:i w:val="false"/>
          <w:iCs w:val="false"/>
          <w:sz w:val="21"/>
          <w:szCs w:val="21"/>
        </w:rPr>
        <w:t xml:space="preserve">Two FY2025 disclosures do the analytical work. First, diesel cost fell to R335m (from R810m) as load-shedding eased — a real, quantified tailwind that a sustained oil shock reverses. Second, net finance costs jumped +30.9% to R4.8bn on R7.0bn of (mostly rand-denominated) borrowings — making earnings sensitive to the SARB path. Shoprite has only ~US$7m of USD debt, so this is an SA-macro story, not an FX-translation story.</w:t>
      </w:r>
    </w:p>
    <w:p>
      <w:pPr>
        <w:pStyle w:val="Heading1"/>
        <w:pBdr>
          <w:bottom w:val="single" w:color="2E75B6" w:sz="6" w:space="2"/>
        </w:pBdr>
        <w:spacing w:after="120" w:before="280"/>
      </w:pPr>
      <w:r>
        <w:rPr>
          <w:b/>
          <w:bCs/>
          <w:i w:val="false"/>
          <w:iCs w:val="false"/>
          <w:color w:val="1F3864"/>
          <w:sz w:val="26"/>
          <w:szCs w:val="26"/>
        </w:rPr>
        <w:t xml:space="preserve">3.  The transmission chain — how the Strait reaches a grocery till</w:t>
      </w:r>
    </w:p>
    <w:p>
      <w:pPr>
        <w:spacing w:after="120" w:before="0" w:line="264"/>
      </w:pPr>
      <w:r>
        <w:rPr>
          <w:b w:val="false"/>
          <w:bCs w:val="false"/>
          <w:i w:val="false"/>
          <w:iCs w:val="false"/>
          <w:sz w:val="21"/>
          <w:szCs w:val="21"/>
        </w:rPr>
        <w:t xml:space="preserve">Shoprite has almost no direct exposure to the Strait: it sells groceries in South Africa in rand, sources most of its food locally, and barely borrows in dollars. The oil price reaches it through five domestic channels — four of which run through the consumer and the SA macro, and one through its own cost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7C0CC" w:sz="1"/>
              <w:left w:val="single" w:color="B7C0CC" w:sz="1"/>
              <w:bottom w:val="single" w:color="B7C0CC" w:sz="1"/>
              <w:right w:val="single" w:color="B7C0CC" w:sz="1"/>
            </w:tcBorders>
            <w:shd w:fill="1F3864" w:val="clear"/>
            <w:tcMar>
              <w:top w:type="dxa" w:w="60"/>
              <w:left w:type="dxa" w:w="110"/>
              <w:bottom w:type="dxa" w:w="60"/>
              <w:right w:type="dxa" w:w="110"/>
            </w:tcMar>
          </w:tcPr>
          <w:p>
            <w:pPr>
              <w:jc w:val="left"/>
            </w:pPr>
            <w:r>
              <w:rPr>
                <w:b/>
                <w:bCs/>
                <w:i w:val="false"/>
                <w:iCs w:val="false"/>
                <w:color w:val="FFFFFF"/>
                <w:sz w:val="19"/>
                <w:szCs w:val="19"/>
              </w:rPr>
              <w:t xml:space="preserve">Channel</w:t>
            </w:r>
          </w:p>
        </w:tc>
        <w:tc>
          <w:tcPr>
            <w:tcW w:type="dxa" w:w="6760"/>
            <w:tcBorders>
              <w:top w:val="single" w:color="B7C0CC" w:sz="1"/>
              <w:left w:val="single" w:color="B7C0CC" w:sz="1"/>
              <w:bottom w:val="single" w:color="B7C0CC" w:sz="1"/>
              <w:right w:val="single" w:color="B7C0CC" w:sz="1"/>
            </w:tcBorders>
            <w:shd w:fill="1F3864" w:val="clear"/>
            <w:tcMar>
              <w:top w:type="dxa" w:w="60"/>
              <w:left w:type="dxa" w:w="110"/>
              <w:bottom w:type="dxa" w:w="60"/>
              <w:right w:type="dxa" w:w="110"/>
            </w:tcMar>
          </w:tcPr>
          <w:p>
            <w:pPr>
              <w:jc w:val="left"/>
            </w:pPr>
            <w:r>
              <w:rPr>
                <w:b/>
                <w:bCs/>
                <w:i w:val="false"/>
                <w:iCs w:val="false"/>
                <w:color w:val="FFFFFF"/>
                <w:sz w:val="19"/>
                <w:szCs w:val="19"/>
              </w:rPr>
              <w:t xml:space="preserve">How it reaches Shoprite</w:t>
            </w:r>
          </w:p>
        </w:tc>
      </w:tr>
      <w:tr>
        <w:tc>
          <w:tcPr>
            <w:tcW w:type="dxa" w:w="260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bCs/>
                <w:i w:val="false"/>
                <w:iCs w:val="false"/>
                <w:sz w:val="19"/>
                <w:szCs w:val="19"/>
              </w:rPr>
              <w:t xml:space="preserve">Consumer wallet</w:t>
            </w:r>
          </w:p>
        </w:tc>
        <w:tc>
          <w:tcPr>
            <w:tcW w:type="dxa" w:w="676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val="false"/>
                <w:bCs w:val="false"/>
                <w:i w:val="false"/>
                <w:iCs w:val="false"/>
                <w:sz w:val="19"/>
                <w:szCs w:val="19"/>
              </w:rPr>
              <w:t xml:space="preserve">Higher pump prices cut discretionary income. Negative for basket size and volumes — but the prime driver of trade-down INTO value grocery, which favours Shoprite/Usave.</w:t>
            </w:r>
          </w:p>
        </w:tc>
      </w:tr>
      <w:tr>
        <w:tc>
          <w:tcPr>
            <w:tcW w:type="dxa" w:w="260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left"/>
            </w:pPr>
            <w:r>
              <w:rPr>
                <w:b/>
                <w:bCs/>
                <w:i w:val="false"/>
                <w:iCs w:val="false"/>
                <w:sz w:val="19"/>
                <w:szCs w:val="19"/>
              </w:rPr>
              <w:t xml:space="preserve">Distribution / diesel</w:t>
            </w:r>
          </w:p>
        </w:tc>
        <w:tc>
          <w:tcPr>
            <w:tcW w:type="dxa" w:w="676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left"/>
            </w:pPr>
            <w:r>
              <w:rPr>
                <w:b w:val="false"/>
                <w:bCs w:val="false"/>
                <w:i w:val="false"/>
                <w:iCs w:val="false"/>
                <w:sz w:val="19"/>
                <w:szCs w:val="19"/>
              </w:rPr>
              <w:t xml:space="preserve">Shoprite runs a large owned logistics fleet; diesel is a direct cost (R335m in FY2025). Sustained high oil lifts it with a lag — and revives backup-generation costs if grid stress returns.</w:t>
            </w:r>
          </w:p>
        </w:tc>
      </w:tr>
      <w:tr>
        <w:tc>
          <w:tcPr>
            <w:tcW w:type="dxa" w:w="260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bCs/>
                <w:i w:val="false"/>
                <w:iCs w:val="false"/>
                <w:sz w:val="19"/>
                <w:szCs w:val="19"/>
              </w:rPr>
              <w:t xml:space="preserve">Food / input inflation</w:t>
            </w:r>
          </w:p>
        </w:tc>
        <w:tc>
          <w:tcPr>
            <w:tcW w:type="dxa" w:w="676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val="false"/>
                <w:bCs w:val="false"/>
                <w:i w:val="false"/>
                <w:iCs w:val="false"/>
                <w:sz w:val="19"/>
                <w:szCs w:val="19"/>
              </w:rPr>
              <w:t xml:space="preserve">Fuel and transport feed food-price inflation. Raises selling-price inflation: supportive of NOMINAL sales, a drag on volumes. Low inflation (FY25 internal 2.3%) is the current backdrop.</w:t>
            </w:r>
          </w:p>
        </w:tc>
      </w:tr>
      <w:tr>
        <w:tc>
          <w:tcPr>
            <w:tcW w:type="dxa" w:w="260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left"/>
            </w:pPr>
            <w:r>
              <w:rPr>
                <w:b/>
                <w:bCs/>
                <w:i w:val="false"/>
                <w:iCs w:val="false"/>
                <w:sz w:val="19"/>
                <w:szCs w:val="19"/>
              </w:rPr>
              <w:t xml:space="preserve">Rand / imports</w:t>
            </w:r>
          </w:p>
        </w:tc>
        <w:tc>
          <w:tcPr>
            <w:tcW w:type="dxa" w:w="6760"/>
            <w:tcBorders>
              <w:top w:val="single" w:color="B7C0CC" w:sz="1"/>
              <w:left w:val="single" w:color="B7C0CC" w:sz="1"/>
              <w:bottom w:val="single" w:color="B7C0CC" w:sz="1"/>
              <w:right w:val="single" w:color="B7C0CC" w:sz="1"/>
            </w:tcBorders>
            <w:shd w:fill="F2F5FA" w:val="clear"/>
            <w:tcMar>
              <w:top w:type="dxa" w:w="50"/>
              <w:left w:type="dxa" w:w="110"/>
              <w:bottom w:type="dxa" w:w="50"/>
              <w:right w:type="dxa" w:w="110"/>
            </w:tcMar>
          </w:tcPr>
          <w:p>
            <w:pPr>
              <w:jc w:val="left"/>
            </w:pPr>
            <w:r>
              <w:rPr>
                <w:b w:val="false"/>
                <w:bCs w:val="false"/>
                <w:i w:val="false"/>
                <w:iCs w:val="false"/>
                <w:sz w:val="19"/>
                <w:szCs w:val="19"/>
              </w:rPr>
              <w:t xml:space="preserve">Oil-driven rand weakness lifts the cost of imported lines (electronics, some non-food). Limited: ~85% of sales are RSA and food is largely local — a second-order effect.</w:t>
            </w:r>
          </w:p>
        </w:tc>
      </w:tr>
      <w:tr>
        <w:tc>
          <w:tcPr>
            <w:tcW w:type="dxa" w:w="260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bCs/>
                <w:i w:val="false"/>
                <w:iCs w:val="false"/>
                <w:sz w:val="19"/>
                <w:szCs w:val="19"/>
              </w:rPr>
              <w:t xml:space="preserve">Interest rates</w:t>
            </w:r>
          </w:p>
        </w:tc>
        <w:tc>
          <w:tcPr>
            <w:tcW w:type="dxa" w:w="6760"/>
            <w:tcBorders>
              <w:top w:val="single" w:color="B7C0CC" w:sz="1"/>
              <w:left w:val="single" w:color="B7C0CC" w:sz="1"/>
              <w:bottom w:val="single" w:color="B7C0CC" w:sz="1"/>
              <w:right w:val="single" w:color="B7C0CC" w:sz="1"/>
            </w:tcBorders>
            <w:tcMar>
              <w:top w:type="dxa" w:w="50"/>
              <w:left w:type="dxa" w:w="110"/>
              <w:bottom w:type="dxa" w:w="50"/>
              <w:right w:type="dxa" w:w="110"/>
            </w:tcMar>
          </w:tcPr>
          <w:p>
            <w:pPr>
              <w:jc w:val="left"/>
            </w:pPr>
            <w:r>
              <w:rPr>
                <w:b w:val="false"/>
                <w:bCs w:val="false"/>
                <w:i w:val="false"/>
                <w:iCs w:val="false"/>
                <w:sz w:val="19"/>
                <w:szCs w:val="19"/>
              </w:rPr>
              <w:t xml:space="preserve">Oil-led inflation forces the SARB tighter, raising Shoprite's finance costs (R7.0bn debt) and squeezing the credit-exposed consumer. The clearest hard-number channel into earnings.</w:t>
            </w:r>
          </w:p>
        </w:tc>
      </w:tr>
    </w:tbl>
    <w:p>
      <w:pPr>
        <w:pStyle w:val="Heading1"/>
        <w:pBdr>
          <w:bottom w:val="single" w:color="2E75B6" w:sz="6" w:space="2"/>
        </w:pBdr>
        <w:spacing w:after="120" w:before="280"/>
      </w:pPr>
      <w:r>
        <w:rPr>
          <w:b/>
          <w:bCs/>
          <w:i w:val="false"/>
          <w:iCs w:val="false"/>
          <w:color w:val="1F3864"/>
          <w:sz w:val="26"/>
          <w:szCs w:val="26"/>
        </w:rPr>
        <w:t xml:space="preserve">4.  Scenario A — the Strait stays open (peace holds)</w:t>
      </w:r>
    </w:p>
    <w:p>
      <w:pPr>
        <w:spacing w:after="120" w:before="0" w:line="264"/>
      </w:pPr>
      <w:r>
        <w:rPr>
          <w:b/>
          <w:bCs/>
          <w:i w:val="false"/>
          <w:iCs w:val="false"/>
          <w:sz w:val="21"/>
          <w:szCs w:val="21"/>
        </w:rPr>
        <w:t xml:space="preserve">Macro.  </w:t>
      </w:r>
      <w:r>
        <w:rPr>
          <w:b w:val="false"/>
          <w:bCs w:val="false"/>
          <w:i w:val="false"/>
          <w:iCs w:val="false"/>
          <w:sz w:val="21"/>
          <w:szCs w:val="21"/>
        </w:rPr>
        <w:t xml:space="preserve">The reopening holds: Brent normalises toward ~$70–80 (e), petrol and diesel ease off June's record, food inflation stays subdued, the rand firms as risk appetite returns, and the SARB — having just hiked to 7.00% — can resume cutting toward its ~6.67% 'intermediate' path or lower. This is the world management explicitly flagged as Shoprite's tailwind: lower interest rates, sustained low food inflation, and potential fuel relief.</w:t>
      </w:r>
    </w:p>
    <w:p>
      <w:pPr>
        <w:spacing w:after="120" w:before="0" w:line="264"/>
      </w:pPr>
      <w:r>
        <w:rPr>
          <w:b/>
          <w:bCs/>
          <w:i w:val="false"/>
          <w:iCs w:val="false"/>
          <w:sz w:val="21"/>
          <w:szCs w:val="21"/>
        </w:rPr>
        <w:t xml:space="preserve">Business impact — positive.  </w:t>
      </w:r>
      <w:r>
        <w:rPr>
          <w:b w:val="false"/>
          <w:bCs w:val="false"/>
          <w:i w:val="false"/>
          <w:iCs w:val="false"/>
          <w:sz w:val="21"/>
          <w:szCs w:val="21"/>
        </w:rPr>
        <w:t xml:space="preserve">Lower diesel protects the distribution line; the +30.9% finance-cost headwind eases as rates fall; and a recovering consumer lifts real volumes. With less need to defend price, the margin pressure visible in H1 FY2026 can relax. Earnings growth can re-accelerate from the high-single-digit H1 FY2026 pace back toward the low-teens (e), reproducing the FY2025 'earnings ahead of sales' pattern.</w:t>
      </w:r>
    </w:p>
    <w:p>
      <w:pPr>
        <w:spacing w:after="120" w:before="0" w:line="264"/>
      </w:pPr>
      <w:r>
        <w:rPr>
          <w:b/>
          <w:bCs/>
          <w:i w:val="false"/>
          <w:iCs w:val="false"/>
          <w:sz w:val="21"/>
          <w:szCs w:val="21"/>
        </w:rPr>
        <w:t xml:space="preserve">Relative caveat — the catch.  </w:t>
      </w:r>
      <w:r>
        <w:rPr>
          <w:b w:val="false"/>
          <w:bCs w:val="false"/>
          <w:i w:val="false"/>
          <w:iCs w:val="false"/>
          <w:sz w:val="21"/>
          <w:szCs w:val="21"/>
        </w:rPr>
        <w:t xml:space="preserve">A consumer recovery is not a Shoprite-specific event. It lifts discretionary and premium peers (Woolworths Food, Mr Price, restaurants) at least as much, and a risk-on tape tends to rotate money OUT of defensives and INTO beaten-up cyclicals and rate-sensitives. Shoprite's two relative edges — its trade-down catchment and a scarcity premium on defensive quality — both narrow. On ~20x earnings and a ~2.7% yield it is priced as a premium compounder, so in a sharp relief rally it can keep compounding yet still lag the index.</w:t>
      </w:r>
    </w:p>
    <w:p>
      <w:pPr>
        <w:spacing w:after="120" w:before="0" w:line="264"/>
      </w:pPr>
      <w:r>
        <w:rPr>
          <w:b/>
          <w:bCs/>
          <w:i w:val="false"/>
          <w:iCs w:val="false"/>
          <w:sz w:val="21"/>
          <w:szCs w:val="21"/>
        </w:rPr>
        <w:t xml:space="preserve">Net.  </w:t>
      </w:r>
      <w:r>
        <w:rPr>
          <w:b w:val="false"/>
          <w:bCs w:val="false"/>
          <w:i w:val="false"/>
          <w:iCs w:val="false"/>
          <w:sz w:val="21"/>
          <w:szCs w:val="21"/>
        </w:rPr>
        <w:t xml:space="preserve">A better business and a perfectly ownable one — but the scenario where Shoprite's relative leadership is least likely to stand out. The bull case here is steady compounding, not out-performance.</w:t>
      </w:r>
    </w:p>
    <w:p>
      <w:pPr>
        <w:pStyle w:val="Heading1"/>
        <w:pBdr>
          <w:bottom w:val="single" w:color="2E75B6" w:sz="6" w:space="2"/>
        </w:pBdr>
        <w:spacing w:after="120" w:before="280"/>
      </w:pPr>
      <w:r>
        <w:rPr>
          <w:b/>
          <w:bCs/>
          <w:i w:val="false"/>
          <w:iCs w:val="false"/>
          <w:color w:val="1F3864"/>
          <w:sz w:val="26"/>
          <w:szCs w:val="26"/>
        </w:rPr>
        <w:t xml:space="preserve">5.  Scenario B — the Strait closes again and stays shut</w:t>
      </w:r>
    </w:p>
    <w:p>
      <w:pPr>
        <w:spacing w:after="120" w:before="0" w:line="264"/>
      </w:pPr>
      <w:r>
        <w:rPr>
          <w:b/>
          <w:bCs/>
          <w:i w:val="false"/>
          <w:iCs w:val="false"/>
          <w:sz w:val="21"/>
          <w:szCs w:val="21"/>
        </w:rPr>
        <w:t xml:space="preserve">Macro.  </w:t>
      </w:r>
      <w:r>
        <w:rPr>
          <w:b w:val="false"/>
          <w:bCs w:val="false"/>
          <w:i w:val="false"/>
          <w:iCs w:val="false"/>
          <w:sz w:val="21"/>
          <w:szCs w:val="21"/>
        </w:rPr>
        <w:t xml:space="preserve">The oil shock persists: Brent holds ~$95–110+ (it breached $110 in March 2026), pump prices stay at/above the inland-95 record of R28.06/l, the rand is weak and volatile, and the SARB stays restrictive — its published 'severe' scenario puts the repo at ~8.17% by end-2026. Headline inflation runs perhaps ~1pp hotter, real incomes fall, and recession risk rises. (Note the near-term nuance: diesel actually fell at the June 2026 pump on levy/slate timing even with Brent elevated — so the distribution-cost hit in B is real but back-loaded, not immediate.)</w:t>
      </w:r>
    </w:p>
    <w:p>
      <w:pPr>
        <w:spacing w:after="120" w:before="0" w:line="264"/>
      </w:pPr>
      <w:r>
        <w:rPr>
          <w:b/>
          <w:bCs/>
          <w:i w:val="false"/>
          <w:iCs w:val="false"/>
          <w:sz w:val="21"/>
          <w:szCs w:val="21"/>
        </w:rPr>
        <w:t xml:space="preserve">Business impact — headwinds.  </w:t>
      </w:r>
      <w:r>
        <w:rPr>
          <w:b w:val="false"/>
          <w:bCs w:val="false"/>
          <w:i w:val="false"/>
          <w:iCs w:val="false"/>
          <w:sz w:val="21"/>
          <w:szCs w:val="21"/>
        </w:rPr>
        <w:t xml:space="preserve">Four pressures stack up: (1) the FY2025 diesel tailwind reverses as sustained high oil feeds the fleet's fuel bill; (2) finance costs climb further from the already-elevated R4.8bn on R7.0bn of debt; (3) a squeezed consumer softens real volumes; and (4) Shoprite leans harder into price investment to hold and grow share — so the margin narrowing already seen in H1 FY2026 persists or deepens. Absolute earnings growth likely decelerates to mid/high-single-digit (e) and margin is flat-to-down.</w:t>
      </w:r>
    </w:p>
    <w:p>
      <w:pPr>
        <w:spacing w:after="120" w:before="0" w:line="264"/>
      </w:pPr>
      <w:r>
        <w:rPr>
          <w:b/>
          <w:bCs/>
          <w:i w:val="false"/>
          <w:iCs w:val="false"/>
          <w:sz w:val="21"/>
          <w:szCs w:val="21"/>
        </w:rPr>
        <w:t xml:space="preserve">Relative strength — why you want to own it here.  </w:t>
      </w:r>
      <w:r>
        <w:rPr>
          <w:b w:val="false"/>
          <w:bCs w:val="false"/>
          <w:i w:val="false"/>
          <w:iCs w:val="false"/>
          <w:sz w:val="21"/>
          <w:szCs w:val="21"/>
        </w:rPr>
        <w:t xml:space="preserve">This is the mirror image of a cyclical. Food is non-discretionary, so demand is resilient even as incomes fall. Shoprite is the mass-market VALUE leader (Shoprite, Usave) and the single biggest beneficiary of trade-down — both within grocery and from squeezed shoppers abandoning premium retail and eating-out. It has repeatedly GAINED share as the sector slows (outgrowing the market ~5.3x over the festive period). Higher selling-price inflation, unwelcome for the consumer, actually supports Shoprite's nominal sales line. And a net-cash (R8.1bn) balance sheet lets it keep funding price cuts and store growth while weaker, geared competitors retrench. In a risk-off JSE, defensive staples are a relative safe-haven that tends to hold up — or even re-rate — as cyclicals de-rate.</w:t>
      </w:r>
    </w:p>
    <w:p>
      <w:pPr>
        <w:spacing w:after="120" w:before="0" w:line="264"/>
      </w:pPr>
      <w:r>
        <w:rPr>
          <w:b/>
          <w:bCs/>
          <w:i w:val="false"/>
          <w:iCs w:val="false"/>
          <w:sz w:val="21"/>
          <w:szCs w:val="21"/>
        </w:rPr>
        <w:t xml:space="preserve">Net.  </w:t>
      </w:r>
      <w:r>
        <w:rPr>
          <w:b w:val="false"/>
          <w:bCs w:val="false"/>
          <w:i w:val="false"/>
          <w:iCs w:val="false"/>
          <w:sz w:val="21"/>
          <w:szCs w:val="21"/>
        </w:rPr>
        <w:t xml:space="preserve">A tougher business but a stronger relative trade — the classic defensive you want to hold when the macro is ugly. The share can out-perform the index even as its own earnings growth slows.</w:t>
      </w:r>
    </w:p>
    <w:p>
      <w:pPr>
        <w:pStyle w:val="Heading1"/>
        <w:pBdr>
          <w:bottom w:val="single" w:color="2E75B6" w:sz="6" w:space="2"/>
        </w:pBdr>
        <w:spacing w:after="120" w:before="280"/>
      </w:pPr>
      <w:r>
        <w:rPr>
          <w:b/>
          <w:bCs/>
          <w:i w:val="false"/>
          <w:iCs w:val="false"/>
          <w:color w:val="1F3864"/>
          <w:sz w:val="26"/>
          <w:szCs w:val="26"/>
        </w:rPr>
        <w:t xml:space="preserve">6.  Risks, nuances &amp; the downside tail</w:t>
      </w:r>
    </w:p>
    <w:p>
      <w:pPr>
        <w:pStyle w:val="ListParagraph"/>
        <w:numPr>
          <w:ilvl w:val="0"/>
          <w:numId w:val="2"/>
        </w:numPr>
        <w:spacing w:after="120" w:before="0" w:line="264"/>
      </w:pPr>
      <w:r>
        <w:rPr>
          <w:b/>
          <w:bCs/>
          <w:i w:val="false"/>
          <w:iCs w:val="false"/>
          <w:sz w:val="21"/>
          <w:szCs w:val="21"/>
        </w:rPr>
        <w:t xml:space="preserve">Margin vs share is the real swing. </w:t>
      </w:r>
      <w:r>
        <w:rPr>
          <w:b w:val="false"/>
          <w:bCs w:val="false"/>
          <w:i w:val="false"/>
          <w:iCs w:val="false"/>
          <w:sz w:val="21"/>
          <w:szCs w:val="21"/>
        </w:rPr>
        <w:t xml:space="preserve">The H1 FY2026 margin is already narrowing as Shoprite cuts price to win share. In Scenario B that trade-off intensifies; the risk is that it defends share at the cost of more margin than expected.</w:t>
      </w:r>
    </w:p>
    <w:p>
      <w:pPr>
        <w:pStyle w:val="ListParagraph"/>
        <w:numPr>
          <w:ilvl w:val="0"/>
          <w:numId w:val="2"/>
        </w:numPr>
        <w:spacing w:after="120" w:before="0" w:line="264"/>
      </w:pPr>
      <w:r>
        <w:rPr>
          <w:b/>
          <w:bCs/>
          <w:i w:val="false"/>
          <w:iCs w:val="false"/>
          <w:sz w:val="21"/>
          <w:szCs w:val="21"/>
        </w:rPr>
        <w:t xml:space="preserve">Finance costs are rate-sensitive. </w:t>
      </w:r>
      <w:r>
        <w:rPr>
          <w:b w:val="false"/>
          <w:bCs w:val="false"/>
          <w:i w:val="false"/>
          <w:iCs w:val="false"/>
          <w:sz w:val="21"/>
          <w:szCs w:val="21"/>
        </w:rPr>
        <w:t xml:space="preserve">R7.0bn of mostly-rand borrowings and a +30.9% finance-cost jump mean an 8%+ repo (severe path) is a direct earnings drag; conversely, cuts in Scenario A are a tailwind.</w:t>
      </w:r>
    </w:p>
    <w:p>
      <w:pPr>
        <w:pStyle w:val="ListParagraph"/>
        <w:numPr>
          <w:ilvl w:val="0"/>
          <w:numId w:val="2"/>
        </w:numPr>
        <w:spacing w:after="120" w:before="0" w:line="264"/>
      </w:pPr>
      <w:r>
        <w:rPr>
          <w:b/>
          <w:bCs/>
          <w:i w:val="false"/>
          <w:iCs w:val="false"/>
          <w:sz w:val="21"/>
          <w:szCs w:val="21"/>
        </w:rPr>
        <w:t xml:space="preserve">Diesel / backup power. </w:t>
      </w:r>
      <w:r>
        <w:rPr>
          <w:b w:val="false"/>
          <w:bCs w:val="false"/>
          <w:i w:val="false"/>
          <w:iCs w:val="false"/>
          <w:sz w:val="21"/>
          <w:szCs w:val="21"/>
        </w:rPr>
        <w:t xml:space="preserve">Diesel fell to R335m in FY2025 as load-shedding eased; a return of grid stress alongside high oil would hit the distribution line twice. Zambia is a small extra exposure (drought-driven hydro-to-diesel switching, R122m).</w:t>
      </w:r>
    </w:p>
    <w:p>
      <w:pPr>
        <w:pStyle w:val="ListParagraph"/>
        <w:numPr>
          <w:ilvl w:val="0"/>
          <w:numId w:val="2"/>
        </w:numPr>
        <w:spacing w:after="120" w:before="0" w:line="264"/>
      </w:pPr>
      <w:r>
        <w:rPr>
          <w:b/>
          <w:bCs/>
          <w:i w:val="false"/>
          <w:iCs w:val="false"/>
          <w:sz w:val="21"/>
          <w:szCs w:val="21"/>
        </w:rPr>
        <w:t xml:space="preserve">Valuation. </w:t>
      </w:r>
      <w:r>
        <w:rPr>
          <w:b w:val="false"/>
          <w:bCs w:val="false"/>
          <w:i w:val="false"/>
          <w:iCs w:val="false"/>
          <w:sz w:val="21"/>
          <w:szCs w:val="21"/>
        </w:rPr>
        <w:t xml:space="preserve">At ~20x earnings and ~2.7% yield (≈R292/share, ~R174bn market cap, mid-June 2026) Shoprite is a premium name — protected by quality but vulnerable to de-rating if growth stalls (B) or if money rotates to cheaper cyclicals (A). Prices via search may be delayed; there is no live JSE feed here.</w:t>
      </w:r>
    </w:p>
    <w:p>
      <w:pPr>
        <w:pStyle w:val="ListParagraph"/>
        <w:numPr>
          <w:ilvl w:val="0"/>
          <w:numId w:val="2"/>
        </w:numPr>
        <w:spacing w:after="120" w:before="0" w:line="264"/>
      </w:pPr>
      <w:r>
        <w:rPr>
          <w:b/>
          <w:bCs/>
          <w:i w:val="false"/>
          <w:iCs w:val="false"/>
          <w:sz w:val="21"/>
          <w:szCs w:val="21"/>
        </w:rPr>
        <w:t xml:space="preserve">The downside tail in B. </w:t>
      </w:r>
      <w:r>
        <w:rPr>
          <w:b w:val="false"/>
          <w:bCs w:val="false"/>
          <w:i w:val="false"/>
          <w:iCs w:val="false"/>
          <w:sz w:val="21"/>
          <w:szCs w:val="21"/>
        </w:rPr>
        <w:t xml:space="preserve">If a prolonged closure tips SA into recession with the repo at 8%+, even non-discretionary volumes and trade-down may not fully offset a deep real-income hit, and defending share gets expensive. Relative out-performance does not guarantee positive absolute returns.</w:t>
      </w:r>
    </w:p>
    <w:p>
      <w:pPr>
        <w:pStyle w:val="ListParagraph"/>
        <w:numPr>
          <w:ilvl w:val="0"/>
          <w:numId w:val="2"/>
        </w:numPr>
        <w:spacing w:after="120" w:before="0" w:line="264"/>
      </w:pPr>
      <w:r>
        <w:rPr>
          <w:b/>
          <w:bCs/>
          <w:i w:val="false"/>
          <w:iCs w:val="false"/>
          <w:sz w:val="21"/>
          <w:szCs w:val="21"/>
        </w:rPr>
        <w:t xml:space="preserve">Symmetry caveat. </w:t>
      </w:r>
      <w:r>
        <w:rPr>
          <w:b w:val="false"/>
          <w:bCs w:val="false"/>
          <w:i w:val="false"/>
          <w:iCs w:val="false"/>
          <w:sz w:val="21"/>
          <w:szCs w:val="21"/>
        </w:rPr>
        <w:t xml:space="preserve">Shoprite is a partial macro hedge within an SA-equity book, not a pure one: it cushions an oil-shock/cyclical drawdown but will not fully escape a severe domestic recession.</w:t>
      </w:r>
    </w:p>
    <w:p>
      <w:pPr>
        <w:pStyle w:val="Heading1"/>
        <w:pBdr>
          <w:bottom w:val="single" w:color="2E75B6" w:sz="6" w:space="2"/>
        </w:pBdr>
        <w:spacing w:after="120" w:before="280"/>
      </w:pPr>
      <w:r>
        <w:rPr>
          <w:b/>
          <w:bCs/>
          <w:i w:val="false"/>
          <w:iCs w:val="false"/>
          <w:color w:val="1F3864"/>
          <w:sz w:val="26"/>
          <w:szCs w:val="26"/>
        </w:rPr>
        <w:t xml:space="preserve">7.  What to watch</w:t>
      </w:r>
    </w:p>
    <w:p>
      <w:pPr>
        <w:pStyle w:val="ListParagraph"/>
        <w:numPr>
          <w:ilvl w:val="0"/>
          <w:numId w:val="2"/>
        </w:numPr>
        <w:spacing w:after="120" w:before="0" w:line="264"/>
      </w:pPr>
      <w:r>
        <w:rPr>
          <w:b/>
          <w:bCs/>
          <w:i w:val="false"/>
          <w:iCs w:val="false"/>
          <w:sz w:val="21"/>
          <w:szCs w:val="21"/>
        </w:rPr>
        <w:t xml:space="preserve">Strait-of-Hormuz status &amp; Brent crude</w:t>
      </w:r>
      <w:r>
        <w:rPr>
          <w:b w:val="false"/>
          <w:bCs w:val="false"/>
          <w:i w:val="false"/>
          <w:iCs w:val="false"/>
          <w:sz w:val="21"/>
          <w:szCs w:val="21"/>
        </w:rPr>
        <w:t xml:space="preserve"> — the master switch for the whole chain.</w:t>
      </w:r>
    </w:p>
    <w:p>
      <w:pPr>
        <w:pStyle w:val="ListParagraph"/>
        <w:numPr>
          <w:ilvl w:val="0"/>
          <w:numId w:val="2"/>
        </w:numPr>
        <w:spacing w:after="120" w:before="0" w:line="264"/>
      </w:pPr>
      <w:r>
        <w:rPr>
          <w:b/>
          <w:bCs/>
          <w:i w:val="false"/>
          <w:iCs w:val="false"/>
          <w:sz w:val="21"/>
          <w:szCs w:val="21"/>
        </w:rPr>
        <w:t xml:space="preserve">SA monthly fuel-price announcements</w:t>
      </w:r>
      <w:r>
        <w:rPr>
          <w:b w:val="false"/>
          <w:bCs w:val="false"/>
          <w:i w:val="false"/>
          <w:iCs w:val="false"/>
          <w:sz w:val="21"/>
          <w:szCs w:val="21"/>
        </w:rPr>
        <w:t xml:space="preserve"> — petrol (consumer wallet) and diesel (Shoprite's own cost).</w:t>
      </w:r>
    </w:p>
    <w:p>
      <w:pPr>
        <w:pStyle w:val="ListParagraph"/>
        <w:numPr>
          <w:ilvl w:val="0"/>
          <w:numId w:val="2"/>
        </w:numPr>
        <w:spacing w:after="120" w:before="0" w:line="264"/>
      </w:pPr>
      <w:r>
        <w:rPr>
          <w:b/>
          <w:bCs/>
          <w:i w:val="false"/>
          <w:iCs w:val="false"/>
          <w:sz w:val="21"/>
          <w:szCs w:val="21"/>
        </w:rPr>
        <w:t xml:space="preserve">USD/ZAR</w:t>
      </w:r>
      <w:r>
        <w:rPr>
          <w:b w:val="false"/>
          <w:bCs w:val="false"/>
          <w:i w:val="false"/>
          <w:iCs w:val="false"/>
          <w:sz w:val="21"/>
          <w:szCs w:val="21"/>
        </w:rPr>
        <w:t xml:space="preserve"> — the rand's response to oil and risk sentiment.</w:t>
      </w:r>
    </w:p>
    <w:p>
      <w:pPr>
        <w:pStyle w:val="ListParagraph"/>
        <w:numPr>
          <w:ilvl w:val="0"/>
          <w:numId w:val="2"/>
        </w:numPr>
        <w:spacing w:after="120" w:before="0" w:line="264"/>
      </w:pPr>
      <w:r>
        <w:rPr>
          <w:b/>
          <w:bCs/>
          <w:i w:val="false"/>
          <w:iCs w:val="false"/>
          <w:sz w:val="21"/>
          <w:szCs w:val="21"/>
        </w:rPr>
        <w:t xml:space="preserve">SARB MPC decisions &amp; the inflation path</w:t>
      </w:r>
      <w:r>
        <w:rPr>
          <w:b w:val="false"/>
          <w:bCs w:val="false"/>
          <w:i w:val="false"/>
          <w:iCs w:val="false"/>
          <w:sz w:val="21"/>
          <w:szCs w:val="21"/>
        </w:rPr>
        <w:t xml:space="preserve"> — repo trajectory between the ~6.67% and ~8.17% end-2026 scenarios; CPI vs the new 3% target.</w:t>
      </w:r>
    </w:p>
    <w:p>
      <w:pPr>
        <w:pStyle w:val="ListParagraph"/>
        <w:numPr>
          <w:ilvl w:val="0"/>
          <w:numId w:val="2"/>
        </w:numPr>
        <w:spacing w:after="120" w:before="0" w:line="264"/>
      </w:pPr>
      <w:r>
        <w:rPr>
          <w:b/>
          <w:bCs/>
          <w:i w:val="false"/>
          <w:iCs w:val="false"/>
          <w:sz w:val="21"/>
          <w:szCs w:val="21"/>
        </w:rPr>
        <w:t xml:space="preserve">Shoprite gross &amp; trading margin + the LFL price/volume split</w:t>
      </w:r>
      <w:r>
        <w:rPr>
          <w:b w:val="false"/>
          <w:bCs w:val="false"/>
          <w:i w:val="false"/>
          <w:iCs w:val="false"/>
          <w:sz w:val="21"/>
          <w:szCs w:val="21"/>
        </w:rPr>
        <w:t xml:space="preserve"> — the price-investment intensity that decides the margin-vs-share outcome.</w:t>
      </w:r>
    </w:p>
    <w:p>
      <w:pPr>
        <w:pStyle w:val="ListParagraph"/>
        <w:numPr>
          <w:ilvl w:val="0"/>
          <w:numId w:val="2"/>
        </w:numPr>
        <w:spacing w:after="120" w:before="0" w:line="264"/>
      </w:pPr>
      <w:r>
        <w:rPr>
          <w:b/>
          <w:bCs/>
          <w:i w:val="false"/>
          <w:iCs w:val="false"/>
          <w:sz w:val="21"/>
          <w:szCs w:val="21"/>
        </w:rPr>
        <w:t xml:space="preserve">Net finance costs and Sixty60 momentum</w:t>
      </w:r>
      <w:r>
        <w:rPr>
          <w:b w:val="false"/>
          <w:bCs w:val="false"/>
          <w:i w:val="false"/>
          <w:iCs w:val="false"/>
          <w:sz w:val="21"/>
          <w:szCs w:val="21"/>
        </w:rPr>
        <w:t xml:space="preserve"> — the rate drag and the structural growth engine.</w:t>
      </w:r>
    </w:p>
    <w:p>
      <w:pPr>
        <w:pStyle w:val="ListParagraph"/>
        <w:numPr>
          <w:ilvl w:val="0"/>
          <w:numId w:val="2"/>
        </w:numPr>
        <w:spacing w:after="120" w:before="0" w:line="264"/>
      </w:pPr>
      <w:r>
        <w:rPr>
          <w:b/>
          <w:bCs/>
          <w:i w:val="false"/>
          <w:iCs w:val="false"/>
          <w:sz w:val="21"/>
          <w:szCs w:val="21"/>
        </w:rPr>
        <w:t xml:space="preserve">FY2026 results (~early September 2026)</w:t>
      </w:r>
      <w:r>
        <w:rPr>
          <w:b w:val="false"/>
          <w:bCs w:val="false"/>
          <w:i w:val="false"/>
          <w:iCs w:val="false"/>
          <w:sz w:val="21"/>
          <w:szCs w:val="21"/>
        </w:rPr>
        <w:t xml:space="preserve"> — the next hard read on how the consumer and margin are tracking.</w:t>
      </w:r>
    </w:p>
    <w:p>
      <w:pPr>
        <w:pStyle w:val="Heading1"/>
        <w:pBdr>
          <w:bottom w:val="single" w:color="2E75B6" w:sz="6" w:space="2"/>
        </w:pBdr>
        <w:spacing w:after="120" w:before="280"/>
      </w:pPr>
      <w:r>
        <w:rPr>
          <w:b/>
          <w:bCs/>
          <w:i w:val="false"/>
          <w:iCs w:val="false"/>
          <w:color w:val="1F3864"/>
          <w:sz w:val="26"/>
          <w:szCs w:val="26"/>
        </w:rPr>
        <w:t xml:space="preserve">8.  Sources &amp; provenance</w:t>
      </w:r>
    </w:p>
    <w:p>
      <w:pPr>
        <w:spacing w:after="100" w:before="0" w:line="264"/>
      </w:pPr>
      <w:r>
        <w:rPr>
          <w:b/>
          <w:bCs/>
          <w:i w:val="false"/>
          <w:iCs w:val="false"/>
          <w:sz w:val="21"/>
          <w:szCs w:val="21"/>
        </w:rPr>
        <w:t xml:space="preserve">Company (held locally).  </w:t>
      </w:r>
      <w:r>
        <w:rPr>
          <w:b w:val="false"/>
          <w:bCs w:val="false"/>
          <w:i w:val="false"/>
          <w:iCs w:val="false"/>
          <w:sz w:val="21"/>
          <w:szCs w:val="21"/>
        </w:rPr>
        <w:t xml:space="preserve">SH1 — Shoprite Holdings reviewed results for the 52 weeks ended 29 June 2025 &amp; cash dividend declaration (published 2 Sep 2025): companies/shoprite/annual-reports/shoprite-annual-report-fy2025-20250902.txt. H1 FY2026 figures are from the public trading update / SENS reporting (26 weeks to 28 Dec 2025) and are not yet catalogued locally.</w:t>
      </w:r>
    </w:p>
    <w:p>
      <w:pPr>
        <w:spacing w:after="60" w:before="0" w:line="264"/>
      </w:pPr>
      <w:r>
        <w:rPr>
          <w:b/>
          <w:bCs/>
          <w:i w:val="false"/>
          <w:iCs w:val="false"/>
          <w:sz w:val="21"/>
          <w:szCs w:val="21"/>
        </w:rPr>
        <w:t xml:space="preserve">External (via web search — may be delayed/secondary):</w:t>
      </w:r>
    </w:p>
    <w:p>
      <w:pPr>
        <w:spacing w:after="80"/>
      </w:pPr>
      <w:r>
        <w:rPr>
          <w:b/>
          <w:bCs/>
          <w:i w:val="false"/>
          <w:iCs w:val="false"/>
          <w:sz w:val="18"/>
          <w:szCs w:val="18"/>
        </w:rPr>
        <w:t xml:space="preserve">Shoprite H1 FY2026 results —  </w:t>
      </w:r>
      <w:hyperlink w:history="1" r:id="rIdfd8cy85rztznpg933vqql">
        <w:r>
          <w:rPr>
            <w:rStyle w:val="Hyperlink"/>
            <w:sz w:val="18"/>
            <w:szCs w:val="18"/>
          </w:rPr>
          <w:t xml:space="preserve">CNBC Africa</w:t>
        </w:r>
      </w:hyperlink>
    </w:p>
    <w:p>
      <w:pPr>
        <w:spacing w:after="80"/>
      </w:pPr>
      <w:r>
        <w:rPr>
          <w:b/>
          <w:bCs/>
          <w:i w:val="false"/>
          <w:iCs w:val="false"/>
          <w:sz w:val="18"/>
          <w:szCs w:val="18"/>
        </w:rPr>
        <w:t xml:space="preserve">Shoprite market-share gains / margin —  </w:t>
      </w:r>
      <w:hyperlink w:history="1" r:id="rIdazmaftaugqi2kv8eicsuv">
        <w:r>
          <w:rPr>
            <w:rStyle w:val="Hyperlink"/>
            <w:sz w:val="18"/>
            <w:szCs w:val="18"/>
          </w:rPr>
          <w:t xml:space="preserve">News24 / Bloomberg</w:t>
        </w:r>
      </w:hyperlink>
    </w:p>
    <w:p>
      <w:pPr>
        <w:spacing w:after="80"/>
      </w:pPr>
      <w:r>
        <w:rPr>
          <w:b/>
          <w:bCs/>
          <w:i w:val="false"/>
          <w:iCs w:val="false"/>
          <w:sz w:val="18"/>
          <w:szCs w:val="18"/>
        </w:rPr>
        <w:t xml:space="preserve">SA June 2026 fuel prices (petrol record / diesel) —  </w:t>
      </w:r>
      <w:hyperlink w:history="1" r:id="rIdohck49okvmi9qtvvsoqyb">
        <w:r>
          <w:rPr>
            <w:rStyle w:val="Hyperlink"/>
            <w:sz w:val="18"/>
            <w:szCs w:val="18"/>
          </w:rPr>
          <w:t xml:space="preserve">IOL Business Report</w:t>
        </w:r>
      </w:hyperlink>
    </w:p>
    <w:p>
      <w:pPr>
        <w:spacing w:after="80"/>
      </w:pPr>
      <w:r>
        <w:rPr>
          <w:b/>
          <w:bCs/>
          <w:i w:val="false"/>
          <w:iCs w:val="false"/>
          <w:sz w:val="18"/>
          <w:szCs w:val="18"/>
        </w:rPr>
        <w:t xml:space="preserve">SARB repo +25bps to 7.00% &amp; inflation —  </w:t>
      </w:r>
      <w:hyperlink w:history="1" r:id="rIdxfe6getnwgih-evak9lap">
        <w:r>
          <w:rPr>
            <w:rStyle w:val="Hyperlink"/>
            <w:sz w:val="18"/>
            <w:szCs w:val="18"/>
          </w:rPr>
          <w:t xml:space="preserve">CNBC Africa</w:t>
        </w:r>
      </w:hyperlink>
    </w:p>
    <w:p>
      <w:pPr>
        <w:spacing w:after="80"/>
      </w:pPr>
      <w:r>
        <w:rPr>
          <w:b/>
          <w:bCs/>
          <w:i w:val="false"/>
          <w:iCs w:val="false"/>
          <w:sz w:val="18"/>
          <w:szCs w:val="18"/>
        </w:rPr>
        <w:t xml:space="preserve">SARB oil-shock scenarios (intermediate 6.67% / severe 8.17%) —  </w:t>
      </w:r>
      <w:hyperlink w:history="1" r:id="rId1rfk33pnlhjojiye1fkzf">
        <w:r>
          <w:rPr>
            <w:rStyle w:val="Hyperlink"/>
            <w:sz w:val="18"/>
            <w:szCs w:val="18"/>
          </w:rPr>
          <w:t xml:space="preserve">BusinessTech</w:t>
        </w:r>
      </w:hyperlink>
    </w:p>
    <w:p>
      <w:pPr>
        <w:spacing w:after="80"/>
      </w:pPr>
      <w:r>
        <w:rPr>
          <w:b/>
          <w:bCs/>
          <w:i w:val="false"/>
          <w:iCs w:val="false"/>
          <w:sz w:val="18"/>
          <w:szCs w:val="18"/>
        </w:rPr>
        <w:t xml:space="preserve">Strait of Hormuz status / Brent —  </w:t>
      </w:r>
      <w:hyperlink w:history="1" r:id="rIdftatzugxtiglpk2nzxuez">
        <w:r>
          <w:rPr>
            <w:rStyle w:val="Hyperlink"/>
            <w:sz w:val="18"/>
            <w:szCs w:val="18"/>
          </w:rPr>
          <w:t xml:space="preserve">CNN Business</w:t>
        </w:r>
      </w:hyperlink>
    </w:p>
    <w:p>
      <w:pPr>
        <w:spacing w:after="80"/>
      </w:pPr>
      <w:r>
        <w:rPr>
          <w:b/>
          <w:bCs/>
          <w:i w:val="false"/>
          <w:iCs w:val="false"/>
          <w:sz w:val="18"/>
          <w:szCs w:val="18"/>
        </w:rPr>
        <w:t xml:space="preserve">SHP share price / valuation —  </w:t>
      </w:r>
      <w:hyperlink w:history="1" r:id="rIdzxslsdbmrvqkgqvfe23hm">
        <w:r>
          <w:rPr>
            <w:rStyle w:val="Hyperlink"/>
            <w:sz w:val="18"/>
            <w:szCs w:val="18"/>
          </w:rPr>
          <w:t xml:space="preserve">Moneyweb (Click-a-Company)</w:t>
        </w:r>
      </w:hyperlink>
    </w:p>
    <w:p>
      <w:pPr>
        <w:spacing w:after="120" w:before="160" w:line="264"/>
      </w:pPr>
      <w:r>
        <w:rPr>
          <w:b w:val="false"/>
          <w:bCs w:val="false"/>
          <w:i/>
          <w:iCs/>
          <w:color w:val="6B7280"/>
          <w:sz w:val="17"/>
          <w:szCs w:val="17"/>
        </w:rPr>
        <w:t xml:space="preserve">For informational purposes only — not investment advice; prepared by internal research from public disclosures. Shoprite reports in ZAR. FY2025 figures are reviewed, not audited (FY2024 restated for IFRS 5); the outlook discussion is analyst judgement. Scenario macro levels and figures marked (e) are estimates, not company guidance. Share/commodity prices via web search may be delayed — there is no live JSE feed here. Confirm the fund's dealing-period status before acting.</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d8cy85rztznpg933vqql" Type="http://schemas.openxmlformats.org/officeDocument/2006/relationships/hyperlink" Target="https://www.cnbcafrica.com/media/7772552760844/shoprite-h1-fy26-heps-climb-77" TargetMode="External"/><Relationship Id="rIdazmaftaugqi2kv8eicsuv" Type="http://schemas.openxmlformats.org/officeDocument/2006/relationships/hyperlink" Target="https://www.news24.com/business/companies/shoprite-impresses-with-market-gains-but-analysts-warn-of-tough-year-ahead-20260202-0721" TargetMode="External"/><Relationship Id="rIdohck49okvmi9qtvvsoqyb" Type="http://schemas.openxmlformats.org/officeDocument/2006/relationships/hyperlink" Target="https://iol.co.za/business-report/economy/2026-06-01-june-official-fuel-price-changes-bring-relief-for-diesel-users-but-petrol-motorists-face-sharp-increase/" TargetMode="External"/><Relationship Id="rIdxfe6getnwgih-evak9lap" Type="http://schemas.openxmlformats.org/officeDocument/2006/relationships/hyperlink" Target="https://www.cnbcafrica.com/2026/south-africas-kganyago-signals-resolve-to-curb-inflation-after-rate-hike" TargetMode="External"/><Relationship Id="rId1rfk33pnlhjojiye1fkzf" Type="http://schemas.openxmlformats.org/officeDocument/2006/relationships/hyperlink" Target="https://businesstech.co.za/news/finance/857956/reserve-bank-gives-its-worst-case-scenario-for-interest-rates-in-south-africa/" TargetMode="External"/><Relationship Id="rIdftatzugxtiglpk2nzxuez" Type="http://schemas.openxmlformats.org/officeDocument/2006/relationships/hyperlink" Target="https://www.cnn.com/2026/06/02/business/strait-of-hormuz-ship-traffic" TargetMode="External"/><Relationship Id="rIdzxslsdbmrvqkgqvfe23hm" Type="http://schemas.openxmlformats.org/officeDocument/2006/relationships/hyperlink" Target="https://www.moneyweb.co.za/tools-and-data/click-a-company/SH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2026-06-17T12:56:44.406Z</dcterms:created>
  <dcterms:modified xsi:type="dcterms:W3CDTF">2026-06-17T12:56:44.406Z</dcterms:modified>
</cp:coreProperties>
</file>

<file path=docProps/custom.xml><?xml version="1.0" encoding="utf-8"?>
<Properties xmlns="http://schemas.openxmlformats.org/officeDocument/2006/custom-properties" xmlns:vt="http://schemas.openxmlformats.org/officeDocument/2006/docPropsVTypes"/>
</file>