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555555"/>
          <w:sz w:val="18"/>
        </w:rPr>
        <w:t>EQUITY RESEARCH — INTERNAL</w:t>
      </w:r>
    </w:p>
    <w:p>
      <w:pPr>
        <w:spacing w:after="0"/>
      </w:pPr>
      <w:r>
        <w:rPr>
          <w:b/>
          <w:color w:val="1F3349"/>
          <w:sz w:val="40"/>
        </w:rPr>
        <w:t>Shoprite Holdings Limited (JSE: SHP)</w:t>
      </w:r>
    </w:p>
    <w:p>
      <w:pPr>
        <w:spacing w:after="120"/>
      </w:pPr>
      <w:r>
        <w:rPr>
          <w:i/>
          <w:color w:val="C0392B"/>
          <w:sz w:val="24"/>
        </w:rPr>
        <w:t>FY2025 Results Analysis — Standardised Metrics, Risks &amp; Outlook</w:t>
      </w:r>
    </w:p>
    <w:p>
      <w:pPr>
        <w:spacing w:after="40"/>
      </w:pPr>
      <w:r>
        <w:rPr>
          <w:color w:val="555555"/>
          <w:sz w:val="17"/>
        </w:rPr>
        <w:t>Prepared 5 June 2026  |  52 weeks ended 29 June 2025 (continuing operations)  |  Sector: Food Retail  |  Currency: ZAR  |  Reviewed (not audited)</w:t>
      </w:r>
    </w:p>
    <w:p>
      <w:pPr>
        <w:pBdr>
          <w:bottom w:val="single" w:sz="12" w:space="1" w:color="1F3349"/>
        </w:pBdr>
        <w:spacing w:after="40"/>
      </w:pPr>
    </w:p>
    <w:p>
      <w:pPr>
        <w:spacing w:after="120"/>
      </w:pPr>
      <w:r>
        <w:rPr>
          <w:i/>
          <w:color w:val="555555"/>
          <w:sz w:val="17"/>
        </w:rPr>
        <w:t>How to verify: every figure carries a superscript source key (</w:t>
      </w:r>
      <w:r>
        <w:rPr>
          <w:b/>
          <w:color w:val="C0392B"/>
          <w:sz w:val="15"/>
          <w:vertAlign w:val="superscript"/>
        </w:rPr>
        <w:t>SH1</w:t>
      </w:r>
      <w:r>
        <w:rPr>
          <w:i/>
          <w:color w:val="555555"/>
          <w:sz w:val="17"/>
        </w:rPr>
        <w:t>). Tables carry a Source column; the Provenance Appendix (§7) maps every number to a section; Sources (§8) holds the full URL. Note: only the FY2025 reviewed-results document is catalogued locally, so all figures trace to a single primary source (SH1); H1 FY2026 interim is not yet held locally.</w:t>
      </w:r>
    </w:p>
    <w:p>
      <w:pPr>
        <w:spacing w:before="240" w:after="80"/>
        <w:pBdr>
          <w:bottom w:val="single" w:sz="6" w:space="2" w:color="C0392B"/>
        </w:pBdr>
      </w:pPr>
      <w:r>
        <w:rPr>
          <w:b/>
          <w:color w:val="1F3349"/>
          <w:sz w:val="28"/>
        </w:rPr>
        <w:t>Executive Summary</w:t>
      </w:r>
    </w:p>
    <w:p>
      <w:pPr>
        <w:spacing w:after="120" w:line="259" w:lineRule="auto"/>
      </w:pPr>
      <w:r>
        <w:rPr>
          <w:sz w:val="21"/>
        </w:rPr>
        <w:t>Shoprite delivered a strong FY2025: group sale of merchandise crossed R250bn for the first time, up 8.9% to R252.7bn, with like-for-like sales +4.6% and continuing-operations diluted HEPS +15.8% to 1,367.2cps.</w:t>
      </w:r>
      <w:r>
        <w:rPr>
          <w:b/>
          <w:color w:val="C0392B"/>
          <w:sz w:val="15"/>
          <w:vertAlign w:val="superscript"/>
        </w:rPr>
        <w:t>SH1</w:t>
      </w:r>
      <w:r>
        <w:rPr>
          <w:sz w:val="21"/>
        </w:rPr>
        <w:t xml:space="preserve"> Earnings growth outpaced sales as gross margin expanded 40bps to 24.3% and trading margin rose 40bps to 5.9%, lifting trading profit 16.6% to R15.0bn — evidence of operating leverage and disciplined cost control.</w:t>
      </w:r>
      <w:r>
        <w:rPr>
          <w:b/>
          <w:color w:val="C0392B"/>
          <w:sz w:val="15"/>
          <w:vertAlign w:val="superscript"/>
        </w:rPr>
        <w:t>SH1</w:t>
      </w:r>
      <w:r>
        <w:rPr>
          <w:sz w:val="21"/>
        </w:rPr>
        <w:t xml:space="preserve"> Core Supermarkets RSA (Shoprite, Usave, Checkers) again grew ahead of the rest of the market; Sixty60 on-demand sales rose 47.7% to R18.9bn.</w:t>
      </w:r>
      <w:r>
        <w:rPr>
          <w:b/>
          <w:color w:val="C0392B"/>
          <w:sz w:val="15"/>
          <w:vertAlign w:val="superscript"/>
        </w:rPr>
        <w:t>SH1</w:t>
      </w:r>
    </w:p>
    <w:p>
      <w:pPr>
        <w:spacing w:after="120" w:line="259" w:lineRule="auto"/>
      </w:pPr>
      <w:r>
        <w:rPr>
          <w:sz w:val="21"/>
        </w:rPr>
        <w:t>The balance sheet remains robust — net cash of R8.1bn and ROIC of 19.4% (ex-IFRS 16) well above WACC of 13.5%, with ROE of 26.7%.</w:t>
      </w:r>
      <w:r>
        <w:rPr>
          <w:b/>
          <w:color w:val="C0392B"/>
          <w:sz w:val="15"/>
          <w:vertAlign w:val="superscript"/>
        </w:rPr>
        <w:t>SH1</w:t>
      </w:r>
      <w:r>
        <w:rPr>
          <w:sz w:val="21"/>
        </w:rPr>
        <w:t xml:space="preserve"> The full-year dividend rose 9.7% to 781cps (1.75x cover).</w:t>
      </w:r>
      <w:r>
        <w:rPr>
          <w:b/>
          <w:color w:val="C0392B"/>
          <w:sz w:val="15"/>
          <w:vertAlign w:val="superscript"/>
        </w:rPr>
        <w:t>SH1</w:t>
      </w:r>
      <w:r>
        <w:rPr>
          <w:sz w:val="21"/>
        </w:rPr>
        <w:t xml:space="preserve"> Management frames FY2026 cautiously — challenging consumer conditions, high unemployment and pressured disposable incomes — but with tailwinds from lower rates, low food inflation and possible fuel relief; July 2025 traded ahead of H2 FY2025.</w:t>
      </w:r>
      <w:r>
        <w:rPr>
          <w:b/>
          <w:color w:val="C0392B"/>
          <w:sz w:val="15"/>
          <w:vertAlign w:val="superscript"/>
        </w:rPr>
        <w:t>SH1</w:t>
      </w:r>
      <w:r>
        <w:rPr>
          <w:sz w:val="21"/>
        </w:rPr>
        <w:t xml:space="preserve"> On balance, a high-quality compounder executing well; the watch-items are margin sustainability against price investment and a 30.9% jump in net finance costs. (Analyst judgement.)</w:t>
      </w:r>
    </w:p>
    <w:p>
      <w:pPr>
        <w:spacing w:before="240" w:after="80"/>
        <w:pBdr>
          <w:bottom w:val="single" w:sz="6" w:space="2" w:color="C0392B"/>
        </w:pBdr>
      </w:pPr>
      <w:r>
        <w:rPr>
          <w:b/>
          <w:color w:val="1F3349"/>
          <w:sz w:val="28"/>
        </w:rPr>
        <w:t>1.  Standardised Metrics — FY2025 vs FY2024 (continuing operations)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952"/>
            <w:shd w:val="clear" w:color="auto" w:fill="1F3349"/>
          </w:tcPr>
          <w:p>
            <w:pPr>
              <w:spacing w:after="20" w:before="20"/>
            </w:pPr>
            <w:r/>
            <w:r>
              <w:rPr>
                <w:rFonts w:ascii="Calibri" w:hAnsi="Calibri"/>
                <w:b/>
                <w:color w:val="FFFFFF"/>
                <w:sz w:val="17"/>
              </w:rPr>
              <w:t>Metric</w:t>
            </w:r>
          </w:p>
        </w:tc>
        <w:tc>
          <w:tcPr>
            <w:tcW w:type="dxa" w:w="1656"/>
            <w:shd w:val="clear" w:color="auto" w:fill="1F3349"/>
          </w:tcPr>
          <w:p>
            <w:pPr>
              <w:spacing w:after="20" w:before="20"/>
              <w:jc w:val="right"/>
            </w:pPr>
            <w:r/>
            <w:r>
              <w:rPr>
                <w:rFonts w:ascii="Calibri" w:hAnsi="Calibri"/>
                <w:b/>
                <w:color w:val="FFFFFF"/>
                <w:sz w:val="17"/>
              </w:rPr>
              <w:t>FY2025</w:t>
            </w:r>
          </w:p>
        </w:tc>
        <w:tc>
          <w:tcPr>
            <w:tcW w:type="dxa" w:w="1944"/>
            <w:shd w:val="clear" w:color="auto" w:fill="1F3349"/>
          </w:tcPr>
          <w:p>
            <w:pPr>
              <w:spacing w:after="20" w:before="20"/>
              <w:jc w:val="right"/>
            </w:pPr>
            <w:r/>
            <w:r>
              <w:rPr>
                <w:rFonts w:ascii="Calibri" w:hAnsi="Calibri"/>
                <w:b/>
                <w:color w:val="FFFFFF"/>
                <w:sz w:val="17"/>
              </w:rPr>
              <w:t>FY2024 (restated)</w:t>
            </w:r>
          </w:p>
        </w:tc>
        <w:tc>
          <w:tcPr>
            <w:tcW w:type="dxa" w:w="1656"/>
            <w:shd w:val="clear" w:color="auto" w:fill="1F3349"/>
          </w:tcPr>
          <w:p>
            <w:pPr>
              <w:spacing w:after="20" w:before="20"/>
              <w:jc w:val="right"/>
            </w:pPr>
            <w:r/>
            <w:r>
              <w:rPr>
                <w:rFonts w:ascii="Calibri" w:hAnsi="Calibri"/>
                <w:b/>
                <w:color w:val="FFFFFF"/>
                <w:sz w:val="17"/>
              </w:rPr>
              <w:t>Change</w:t>
            </w:r>
          </w:p>
        </w:tc>
        <w:tc>
          <w:tcPr>
            <w:tcW w:type="dxa" w:w="2160"/>
            <w:shd w:val="clear" w:color="auto" w:fill="1F3349"/>
          </w:tcPr>
          <w:p>
            <w:pPr>
              <w:spacing w:after="20" w:before="20"/>
            </w:pPr>
            <w:r/>
            <w:r>
              <w:rPr>
                <w:rFonts w:ascii="Calibri" w:hAnsi="Calibri"/>
                <w:b/>
                <w:color w:val="FFFFFF"/>
                <w:sz w:val="17"/>
              </w:rPr>
              <w:t>Source</w:t>
            </w:r>
          </w:p>
        </w:tc>
      </w:tr>
      <w:tr>
        <w:tc>
          <w:tcPr>
            <w:tcW w:type="dxa" w:w="2952"/>
          </w:tcPr>
          <w:p>
            <w:pPr>
              <w:spacing w:after="20" w:before="20"/>
            </w:pPr>
            <w:r/>
            <w:r>
              <w:rPr>
                <w:rFonts w:ascii="Calibri" w:hAnsi="Calibri"/>
                <w:b/>
                <w:sz w:val="17"/>
              </w:rPr>
              <w:t>Group revenue</w:t>
            </w:r>
          </w:p>
        </w:tc>
        <w:tc>
          <w:tcPr>
            <w:tcW w:type="dxa" w:w="1656"/>
          </w:tcPr>
          <w:p>
            <w:pPr>
              <w:spacing w:after="20" w:before="20"/>
              <w:jc w:val="right"/>
            </w:pPr>
            <w:r/>
            <w:r>
              <w:rPr>
                <w:rFonts w:ascii="Calibri" w:hAnsi="Calibri"/>
                <w:b w:val="0"/>
                <w:sz w:val="17"/>
              </w:rPr>
              <w:t>R256.7bn</w:t>
            </w:r>
          </w:p>
        </w:tc>
        <w:tc>
          <w:tcPr>
            <w:tcW w:type="dxa" w:w="1944"/>
          </w:tcPr>
          <w:p>
            <w:pPr>
              <w:spacing w:after="20" w:before="20"/>
              <w:jc w:val="right"/>
            </w:pPr>
            <w:r/>
            <w:r>
              <w:rPr>
                <w:rFonts w:ascii="Calibri" w:hAnsi="Calibri"/>
                <w:b w:val="0"/>
                <w:sz w:val="17"/>
              </w:rPr>
              <w:t>R236.3bn</w:t>
            </w:r>
          </w:p>
        </w:tc>
        <w:tc>
          <w:tcPr>
            <w:tcW w:type="dxa" w:w="1656"/>
          </w:tcPr>
          <w:p>
            <w:pPr>
              <w:spacing w:after="20" w:before="20"/>
              <w:jc w:val="right"/>
            </w:pPr>
            <w:r/>
            <w:r>
              <w:rPr>
                <w:rFonts w:ascii="Calibri" w:hAnsi="Calibri"/>
                <w:b w:val="0"/>
                <w:sz w:val="17"/>
              </w:rPr>
              <w:t>+8.6%</w:t>
            </w:r>
          </w:p>
        </w:tc>
        <w:tc>
          <w:tcPr>
            <w:tcW w:type="dxa" w:w="2160"/>
          </w:tcPr>
          <w:p>
            <w:pPr>
              <w:spacing w:after="20" w:before="20"/>
            </w:pPr>
            <w:r/>
            <w:r>
              <w:rPr>
                <w:rFonts w:ascii="Calibri" w:hAnsi="Calibri"/>
                <w:b w:val="0"/>
                <w:sz w:val="17"/>
              </w:rPr>
              <w:t>SH1, key info</w:t>
            </w:r>
          </w:p>
        </w:tc>
      </w:tr>
      <w:tr>
        <w:tc>
          <w:tcPr>
            <w:tcW w:type="dxa" w:w="2952"/>
            <w:shd w:val="clear" w:color="auto" w:fill="FBEEEC"/>
          </w:tcPr>
          <w:p>
            <w:pPr>
              <w:spacing w:after="20" w:before="20"/>
            </w:pPr>
            <w:r/>
            <w:r>
              <w:rPr>
                <w:rFonts w:ascii="Calibri" w:hAnsi="Calibri"/>
                <w:b/>
                <w:sz w:val="17"/>
              </w:rPr>
              <w:t>Sale of merchandise</w:t>
            </w:r>
          </w:p>
        </w:tc>
        <w:tc>
          <w:tcPr>
            <w:tcW w:type="dxa" w:w="1656"/>
            <w:shd w:val="clear" w:color="auto" w:fill="FBEEEC"/>
          </w:tcPr>
          <w:p>
            <w:pPr>
              <w:spacing w:after="20" w:before="20"/>
              <w:jc w:val="right"/>
            </w:pPr>
            <w:r/>
            <w:r>
              <w:rPr>
                <w:rFonts w:ascii="Calibri" w:hAnsi="Calibri"/>
                <w:b w:val="0"/>
                <w:sz w:val="17"/>
              </w:rPr>
              <w:t>R252.7bn</w:t>
            </w:r>
          </w:p>
        </w:tc>
        <w:tc>
          <w:tcPr>
            <w:tcW w:type="dxa" w:w="1944"/>
            <w:shd w:val="clear" w:color="auto" w:fill="FBEEEC"/>
          </w:tcPr>
          <w:p>
            <w:pPr>
              <w:spacing w:after="20" w:before="20"/>
              <w:jc w:val="right"/>
            </w:pPr>
            <w:r/>
            <w:r>
              <w:rPr>
                <w:rFonts w:ascii="Calibri" w:hAnsi="Calibri"/>
                <w:b w:val="0"/>
                <w:sz w:val="17"/>
              </w:rPr>
              <w:t>R232.1bn</w:t>
            </w:r>
          </w:p>
        </w:tc>
        <w:tc>
          <w:tcPr>
            <w:tcW w:type="dxa" w:w="1656"/>
            <w:shd w:val="clear" w:color="auto" w:fill="FBEEEC"/>
          </w:tcPr>
          <w:p>
            <w:pPr>
              <w:spacing w:after="20" w:before="20"/>
              <w:jc w:val="right"/>
            </w:pPr>
            <w:r/>
            <w:r>
              <w:rPr>
                <w:rFonts w:ascii="Calibri" w:hAnsi="Calibri"/>
                <w:b w:val="0"/>
                <w:sz w:val="17"/>
              </w:rPr>
              <w:t>+8.9%</w:t>
            </w:r>
          </w:p>
        </w:tc>
        <w:tc>
          <w:tcPr>
            <w:tcW w:type="dxa" w:w="2160"/>
            <w:shd w:val="clear" w:color="auto" w:fill="FBEEEC"/>
          </w:tcPr>
          <w:p>
            <w:pPr>
              <w:spacing w:after="20" w:before="20"/>
            </w:pPr>
            <w:r/>
            <w:r>
              <w:rPr>
                <w:rFonts w:ascii="Calibri" w:hAnsi="Calibri"/>
                <w:b w:val="0"/>
                <w:sz w:val="17"/>
              </w:rPr>
              <w:t>SH1, key info</w:t>
            </w:r>
          </w:p>
        </w:tc>
      </w:tr>
      <w:tr>
        <w:tc>
          <w:tcPr>
            <w:tcW w:type="dxa" w:w="2952"/>
          </w:tcPr>
          <w:p>
            <w:pPr>
              <w:spacing w:after="20" w:before="20"/>
            </w:pPr>
            <w:r/>
            <w:r>
              <w:rPr>
                <w:rFonts w:ascii="Calibri" w:hAnsi="Calibri"/>
                <w:b/>
                <w:sz w:val="17"/>
              </w:rPr>
              <w:t>Like-for-like sales</w:t>
            </w:r>
          </w:p>
        </w:tc>
        <w:tc>
          <w:tcPr>
            <w:tcW w:type="dxa" w:w="1656"/>
          </w:tcPr>
          <w:p>
            <w:pPr>
              <w:spacing w:after="20" w:before="20"/>
              <w:jc w:val="right"/>
            </w:pPr>
            <w:r/>
            <w:r>
              <w:rPr>
                <w:rFonts w:ascii="Calibri" w:hAnsi="Calibri"/>
                <w:b w:val="0"/>
                <w:sz w:val="17"/>
              </w:rPr>
              <w:t>—</w:t>
            </w:r>
          </w:p>
        </w:tc>
        <w:tc>
          <w:tcPr>
            <w:tcW w:type="dxa" w:w="1944"/>
          </w:tcPr>
          <w:p>
            <w:pPr>
              <w:spacing w:after="20" w:before="20"/>
              <w:jc w:val="right"/>
            </w:pPr>
            <w:r/>
            <w:r>
              <w:rPr>
                <w:rFonts w:ascii="Calibri" w:hAnsi="Calibri"/>
                <w:b w:val="0"/>
                <w:sz w:val="17"/>
              </w:rPr>
              <w:t>—</w:t>
            </w:r>
          </w:p>
        </w:tc>
        <w:tc>
          <w:tcPr>
            <w:tcW w:type="dxa" w:w="1656"/>
          </w:tcPr>
          <w:p>
            <w:pPr>
              <w:spacing w:after="20" w:before="20"/>
              <w:jc w:val="right"/>
            </w:pPr>
            <w:r/>
            <w:r>
              <w:rPr>
                <w:rFonts w:ascii="Calibri" w:hAnsi="Calibri"/>
                <w:b w:val="0"/>
                <w:sz w:val="17"/>
              </w:rPr>
              <w:t>+4.6%</w:t>
            </w:r>
          </w:p>
        </w:tc>
        <w:tc>
          <w:tcPr>
            <w:tcW w:type="dxa" w:w="2160"/>
          </w:tcPr>
          <w:p>
            <w:pPr>
              <w:spacing w:after="20" w:before="20"/>
            </w:pPr>
            <w:r/>
            <w:r>
              <w:rPr>
                <w:rFonts w:ascii="Calibri" w:hAnsi="Calibri"/>
                <w:b w:val="0"/>
                <w:sz w:val="17"/>
              </w:rPr>
              <w:t>SH1, sale of merch.</w:t>
            </w:r>
          </w:p>
        </w:tc>
      </w:tr>
      <w:tr>
        <w:tc>
          <w:tcPr>
            <w:tcW w:type="dxa" w:w="2952"/>
            <w:shd w:val="clear" w:color="auto" w:fill="FBEEEC"/>
          </w:tcPr>
          <w:p>
            <w:pPr>
              <w:spacing w:after="20" w:before="20"/>
            </w:pPr>
            <w:r/>
            <w:r>
              <w:rPr>
                <w:rFonts w:ascii="Calibri" w:hAnsi="Calibri"/>
                <w:b/>
                <w:sz w:val="17"/>
              </w:rPr>
              <w:t>Gross margin (%)</w:t>
            </w:r>
          </w:p>
        </w:tc>
        <w:tc>
          <w:tcPr>
            <w:tcW w:type="dxa" w:w="1656"/>
            <w:shd w:val="clear" w:color="auto" w:fill="FBEEEC"/>
          </w:tcPr>
          <w:p>
            <w:pPr>
              <w:spacing w:after="20" w:before="20"/>
              <w:jc w:val="right"/>
            </w:pPr>
            <w:r/>
            <w:r>
              <w:rPr>
                <w:rFonts w:ascii="Calibri" w:hAnsi="Calibri"/>
                <w:b w:val="0"/>
                <w:sz w:val="17"/>
              </w:rPr>
              <w:t>24.3</w:t>
            </w:r>
          </w:p>
        </w:tc>
        <w:tc>
          <w:tcPr>
            <w:tcW w:type="dxa" w:w="1944"/>
            <w:shd w:val="clear" w:color="auto" w:fill="FBEEEC"/>
          </w:tcPr>
          <w:p>
            <w:pPr>
              <w:spacing w:after="20" w:before="20"/>
              <w:jc w:val="right"/>
            </w:pPr>
            <w:r/>
            <w:r>
              <w:rPr>
                <w:rFonts w:ascii="Calibri" w:hAnsi="Calibri"/>
                <w:b w:val="0"/>
                <w:sz w:val="17"/>
              </w:rPr>
              <w:t>23.9</w:t>
            </w:r>
          </w:p>
        </w:tc>
        <w:tc>
          <w:tcPr>
            <w:tcW w:type="dxa" w:w="1656"/>
            <w:shd w:val="clear" w:color="auto" w:fill="FBEEEC"/>
          </w:tcPr>
          <w:p>
            <w:pPr>
              <w:spacing w:after="20" w:before="20"/>
              <w:jc w:val="right"/>
            </w:pPr>
            <w:r/>
            <w:r>
              <w:rPr>
                <w:rFonts w:ascii="Calibri" w:hAnsi="Calibri"/>
                <w:b w:val="0"/>
                <w:sz w:val="17"/>
              </w:rPr>
              <w:t>+40 bps</w:t>
            </w:r>
          </w:p>
        </w:tc>
        <w:tc>
          <w:tcPr>
            <w:tcW w:type="dxa" w:w="2160"/>
            <w:shd w:val="clear" w:color="auto" w:fill="FBEEEC"/>
          </w:tcPr>
          <w:p>
            <w:pPr>
              <w:spacing w:after="20" w:before="20"/>
            </w:pPr>
            <w:r/>
            <w:r>
              <w:rPr>
                <w:rFonts w:ascii="Calibri" w:hAnsi="Calibri"/>
                <w:b w:val="0"/>
                <w:sz w:val="17"/>
              </w:rPr>
              <w:t>SH1, gross margin</w:t>
            </w:r>
          </w:p>
        </w:tc>
      </w:tr>
      <w:tr>
        <w:tc>
          <w:tcPr>
            <w:tcW w:type="dxa" w:w="2952"/>
          </w:tcPr>
          <w:p>
            <w:pPr>
              <w:spacing w:after="20" w:before="20"/>
            </w:pPr>
            <w:r/>
            <w:r>
              <w:rPr>
                <w:rFonts w:ascii="Calibri" w:hAnsi="Calibri"/>
                <w:b/>
                <w:sz w:val="17"/>
              </w:rPr>
              <w:t>Trading profit</w:t>
            </w:r>
          </w:p>
        </w:tc>
        <w:tc>
          <w:tcPr>
            <w:tcW w:type="dxa" w:w="1656"/>
          </w:tcPr>
          <w:p>
            <w:pPr>
              <w:spacing w:after="20" w:before="20"/>
              <w:jc w:val="right"/>
            </w:pPr>
            <w:r/>
            <w:r>
              <w:rPr>
                <w:rFonts w:ascii="Calibri" w:hAnsi="Calibri"/>
                <w:b w:val="0"/>
                <w:sz w:val="17"/>
              </w:rPr>
              <w:t>R15.0bn</w:t>
            </w:r>
          </w:p>
        </w:tc>
        <w:tc>
          <w:tcPr>
            <w:tcW w:type="dxa" w:w="1944"/>
          </w:tcPr>
          <w:p>
            <w:pPr>
              <w:spacing w:after="20" w:before="20"/>
              <w:jc w:val="right"/>
            </w:pPr>
            <w:r/>
            <w:r>
              <w:rPr>
                <w:rFonts w:ascii="Calibri" w:hAnsi="Calibri"/>
                <w:b w:val="0"/>
                <w:sz w:val="17"/>
              </w:rPr>
              <w:t>—</w:t>
            </w:r>
          </w:p>
        </w:tc>
        <w:tc>
          <w:tcPr>
            <w:tcW w:type="dxa" w:w="1656"/>
          </w:tcPr>
          <w:p>
            <w:pPr>
              <w:spacing w:after="20" w:before="20"/>
              <w:jc w:val="right"/>
            </w:pPr>
            <w:r/>
            <w:r>
              <w:rPr>
                <w:rFonts w:ascii="Calibri" w:hAnsi="Calibri"/>
                <w:b w:val="0"/>
                <w:sz w:val="17"/>
              </w:rPr>
              <w:t>+16.6%</w:t>
            </w:r>
          </w:p>
        </w:tc>
        <w:tc>
          <w:tcPr>
            <w:tcW w:type="dxa" w:w="2160"/>
          </w:tcPr>
          <w:p>
            <w:pPr>
              <w:spacing w:after="20" w:before="20"/>
            </w:pPr>
            <w:r/>
            <w:r>
              <w:rPr>
                <w:rFonts w:ascii="Calibri" w:hAnsi="Calibri"/>
                <w:b w:val="0"/>
                <w:sz w:val="17"/>
              </w:rPr>
              <w:t>SH1, trading profit</w:t>
            </w:r>
          </w:p>
        </w:tc>
      </w:tr>
      <w:tr>
        <w:tc>
          <w:tcPr>
            <w:tcW w:type="dxa" w:w="2952"/>
            <w:shd w:val="clear" w:color="auto" w:fill="FBEEEC"/>
          </w:tcPr>
          <w:p>
            <w:pPr>
              <w:spacing w:after="20" w:before="20"/>
            </w:pPr>
            <w:r/>
            <w:r>
              <w:rPr>
                <w:rFonts w:ascii="Calibri" w:hAnsi="Calibri"/>
                <w:b/>
                <w:sz w:val="17"/>
              </w:rPr>
              <w:t>Trading margin (%)</w:t>
            </w:r>
          </w:p>
        </w:tc>
        <w:tc>
          <w:tcPr>
            <w:tcW w:type="dxa" w:w="1656"/>
            <w:shd w:val="clear" w:color="auto" w:fill="FBEEEC"/>
          </w:tcPr>
          <w:p>
            <w:pPr>
              <w:spacing w:after="20" w:before="20"/>
              <w:jc w:val="right"/>
            </w:pPr>
            <w:r/>
            <w:r>
              <w:rPr>
                <w:rFonts w:ascii="Calibri" w:hAnsi="Calibri"/>
                <w:b w:val="0"/>
                <w:sz w:val="17"/>
              </w:rPr>
              <w:t>5.9</w:t>
            </w:r>
          </w:p>
        </w:tc>
        <w:tc>
          <w:tcPr>
            <w:tcW w:type="dxa" w:w="1944"/>
            <w:shd w:val="clear" w:color="auto" w:fill="FBEEEC"/>
          </w:tcPr>
          <w:p>
            <w:pPr>
              <w:spacing w:after="20" w:before="20"/>
              <w:jc w:val="right"/>
            </w:pPr>
            <w:r/>
            <w:r>
              <w:rPr>
                <w:rFonts w:ascii="Calibri" w:hAnsi="Calibri"/>
                <w:b w:val="0"/>
                <w:sz w:val="17"/>
              </w:rPr>
              <w:t>5.5</w:t>
            </w:r>
          </w:p>
        </w:tc>
        <w:tc>
          <w:tcPr>
            <w:tcW w:type="dxa" w:w="1656"/>
            <w:shd w:val="clear" w:color="auto" w:fill="FBEEEC"/>
          </w:tcPr>
          <w:p>
            <w:pPr>
              <w:spacing w:after="20" w:before="20"/>
              <w:jc w:val="right"/>
            </w:pPr>
            <w:r/>
            <w:r>
              <w:rPr>
                <w:rFonts w:ascii="Calibri" w:hAnsi="Calibri"/>
                <w:b w:val="0"/>
                <w:sz w:val="17"/>
              </w:rPr>
              <w:t>+40 bps</w:t>
            </w:r>
          </w:p>
        </w:tc>
        <w:tc>
          <w:tcPr>
            <w:tcW w:type="dxa" w:w="2160"/>
            <w:shd w:val="clear" w:color="auto" w:fill="FBEEEC"/>
          </w:tcPr>
          <w:p>
            <w:pPr>
              <w:spacing w:after="20" w:before="20"/>
            </w:pPr>
            <w:r/>
            <w:r>
              <w:rPr>
                <w:rFonts w:ascii="Calibri" w:hAnsi="Calibri"/>
                <w:b w:val="0"/>
                <w:sz w:val="17"/>
              </w:rPr>
              <w:t>SH1, trading profit</w:t>
            </w:r>
          </w:p>
        </w:tc>
      </w:tr>
      <w:tr>
        <w:tc>
          <w:tcPr>
            <w:tcW w:type="dxa" w:w="2952"/>
          </w:tcPr>
          <w:p>
            <w:pPr>
              <w:spacing w:after="20" w:before="20"/>
            </w:pPr>
            <w:r/>
            <w:r>
              <w:rPr>
                <w:rFonts w:ascii="Calibri" w:hAnsi="Calibri"/>
                <w:b/>
                <w:sz w:val="17"/>
              </w:rPr>
              <w:t>HEPS (cents)</w:t>
            </w:r>
          </w:p>
        </w:tc>
        <w:tc>
          <w:tcPr>
            <w:tcW w:type="dxa" w:w="1656"/>
          </w:tcPr>
          <w:p>
            <w:pPr>
              <w:spacing w:after="20" w:before="20"/>
              <w:jc w:val="right"/>
            </w:pPr>
            <w:r/>
            <w:r>
              <w:rPr>
                <w:rFonts w:ascii="Calibri" w:hAnsi="Calibri"/>
                <w:b w:val="0"/>
                <w:sz w:val="17"/>
              </w:rPr>
              <w:t>1,372.1</w:t>
            </w:r>
          </w:p>
        </w:tc>
        <w:tc>
          <w:tcPr>
            <w:tcW w:type="dxa" w:w="1944"/>
          </w:tcPr>
          <w:p>
            <w:pPr>
              <w:spacing w:after="20" w:before="20"/>
              <w:jc w:val="right"/>
            </w:pPr>
            <w:r/>
            <w:r>
              <w:rPr>
                <w:rFonts w:ascii="Calibri" w:hAnsi="Calibri"/>
                <w:b w:val="0"/>
                <w:sz w:val="17"/>
              </w:rPr>
              <w:t>1,185.3</w:t>
            </w:r>
          </w:p>
        </w:tc>
        <w:tc>
          <w:tcPr>
            <w:tcW w:type="dxa" w:w="1656"/>
          </w:tcPr>
          <w:p>
            <w:pPr>
              <w:spacing w:after="20" w:before="20"/>
              <w:jc w:val="right"/>
            </w:pPr>
            <w:r/>
            <w:r>
              <w:rPr>
                <w:rFonts w:ascii="Calibri" w:hAnsi="Calibri"/>
                <w:b w:val="0"/>
                <w:sz w:val="17"/>
              </w:rPr>
              <w:t>+15.8%</w:t>
            </w:r>
          </w:p>
        </w:tc>
        <w:tc>
          <w:tcPr>
            <w:tcW w:type="dxa" w:w="2160"/>
          </w:tcPr>
          <w:p>
            <w:pPr>
              <w:spacing w:after="20" w:before="20"/>
            </w:pPr>
            <w:r/>
            <w:r>
              <w:rPr>
                <w:rFonts w:ascii="Calibri" w:hAnsi="Calibri"/>
                <w:b w:val="0"/>
                <w:sz w:val="17"/>
              </w:rPr>
              <w:t>SH1, EPS table</w:t>
            </w:r>
          </w:p>
        </w:tc>
      </w:tr>
      <w:tr>
        <w:tc>
          <w:tcPr>
            <w:tcW w:type="dxa" w:w="2952"/>
            <w:shd w:val="clear" w:color="auto" w:fill="FBEEEC"/>
          </w:tcPr>
          <w:p>
            <w:pPr>
              <w:spacing w:after="20" w:before="20"/>
            </w:pPr>
            <w:r/>
            <w:r>
              <w:rPr>
                <w:rFonts w:ascii="Calibri" w:hAnsi="Calibri"/>
                <w:b/>
                <w:sz w:val="17"/>
              </w:rPr>
              <w:t>Diluted HEPS (cents)</w:t>
            </w:r>
          </w:p>
        </w:tc>
        <w:tc>
          <w:tcPr>
            <w:tcW w:type="dxa" w:w="1656"/>
            <w:shd w:val="clear" w:color="auto" w:fill="FBEEEC"/>
          </w:tcPr>
          <w:p>
            <w:pPr>
              <w:spacing w:after="20" w:before="20"/>
              <w:jc w:val="right"/>
            </w:pPr>
            <w:r/>
            <w:r>
              <w:rPr>
                <w:rFonts w:ascii="Calibri" w:hAnsi="Calibri"/>
                <w:b w:val="0"/>
                <w:sz w:val="17"/>
              </w:rPr>
              <w:t>1,367.2</w:t>
            </w:r>
          </w:p>
        </w:tc>
        <w:tc>
          <w:tcPr>
            <w:tcW w:type="dxa" w:w="1944"/>
            <w:shd w:val="clear" w:color="auto" w:fill="FBEEEC"/>
          </w:tcPr>
          <w:p>
            <w:pPr>
              <w:spacing w:after="20" w:before="20"/>
              <w:jc w:val="right"/>
            </w:pPr>
            <w:r/>
            <w:r>
              <w:rPr>
                <w:rFonts w:ascii="Calibri" w:hAnsi="Calibri"/>
                <w:b w:val="0"/>
                <w:sz w:val="17"/>
              </w:rPr>
              <w:t>1,180.2</w:t>
            </w:r>
          </w:p>
        </w:tc>
        <w:tc>
          <w:tcPr>
            <w:tcW w:type="dxa" w:w="1656"/>
            <w:shd w:val="clear" w:color="auto" w:fill="FBEEEC"/>
          </w:tcPr>
          <w:p>
            <w:pPr>
              <w:spacing w:after="20" w:before="20"/>
              <w:jc w:val="right"/>
            </w:pPr>
            <w:r/>
            <w:r>
              <w:rPr>
                <w:rFonts w:ascii="Calibri" w:hAnsi="Calibri"/>
                <w:b w:val="0"/>
                <w:sz w:val="17"/>
              </w:rPr>
              <w:t>+15.8%</w:t>
            </w:r>
          </w:p>
        </w:tc>
        <w:tc>
          <w:tcPr>
            <w:tcW w:type="dxa" w:w="2160"/>
            <w:shd w:val="clear" w:color="auto" w:fill="FBEEEC"/>
          </w:tcPr>
          <w:p>
            <w:pPr>
              <w:spacing w:after="20" w:before="20"/>
            </w:pPr>
            <w:r/>
            <w:r>
              <w:rPr>
                <w:rFonts w:ascii="Calibri" w:hAnsi="Calibri"/>
                <w:b w:val="0"/>
                <w:sz w:val="17"/>
              </w:rPr>
              <w:t>SH1, key info / EPS</w:t>
            </w:r>
          </w:p>
        </w:tc>
      </w:tr>
      <w:tr>
        <w:tc>
          <w:tcPr>
            <w:tcW w:type="dxa" w:w="2952"/>
          </w:tcPr>
          <w:p>
            <w:pPr>
              <w:spacing w:after="20" w:before="20"/>
            </w:pPr>
            <w:r/>
            <w:r>
              <w:rPr>
                <w:rFonts w:ascii="Calibri" w:hAnsi="Calibri"/>
                <w:b/>
                <w:sz w:val="17"/>
              </w:rPr>
              <w:t>Adjusted DHEPS (cents)</w:t>
            </w:r>
          </w:p>
        </w:tc>
        <w:tc>
          <w:tcPr>
            <w:tcW w:type="dxa" w:w="1656"/>
          </w:tcPr>
          <w:p>
            <w:pPr>
              <w:spacing w:after="20" w:before="20"/>
              <w:jc w:val="right"/>
            </w:pPr>
            <w:r/>
            <w:r>
              <w:rPr>
                <w:rFonts w:ascii="Calibri" w:hAnsi="Calibri"/>
                <w:b w:val="0"/>
                <w:sz w:val="17"/>
              </w:rPr>
              <w:t>1,410.2</w:t>
            </w:r>
          </w:p>
        </w:tc>
        <w:tc>
          <w:tcPr>
            <w:tcW w:type="dxa" w:w="1944"/>
          </w:tcPr>
          <w:p>
            <w:pPr>
              <w:spacing w:after="20" w:before="20"/>
              <w:jc w:val="right"/>
            </w:pPr>
            <w:r/>
            <w:r>
              <w:rPr>
                <w:rFonts w:ascii="Calibri" w:hAnsi="Calibri"/>
                <w:b w:val="0"/>
                <w:sz w:val="17"/>
              </w:rPr>
              <w:t>1,213.3</w:t>
            </w:r>
          </w:p>
        </w:tc>
        <w:tc>
          <w:tcPr>
            <w:tcW w:type="dxa" w:w="1656"/>
          </w:tcPr>
          <w:p>
            <w:pPr>
              <w:spacing w:after="20" w:before="20"/>
              <w:jc w:val="right"/>
            </w:pPr>
            <w:r/>
            <w:r>
              <w:rPr>
                <w:rFonts w:ascii="Calibri" w:hAnsi="Calibri"/>
                <w:b w:val="0"/>
                <w:sz w:val="17"/>
              </w:rPr>
              <w:t>+16.2%</w:t>
            </w:r>
          </w:p>
        </w:tc>
        <w:tc>
          <w:tcPr>
            <w:tcW w:type="dxa" w:w="2160"/>
          </w:tcPr>
          <w:p>
            <w:pPr>
              <w:spacing w:after="20" w:before="20"/>
            </w:pPr>
            <w:r/>
            <w:r>
              <w:rPr>
                <w:rFonts w:ascii="Calibri" w:hAnsi="Calibri"/>
                <w:b w:val="0"/>
                <w:sz w:val="17"/>
              </w:rPr>
              <w:t>SH1, EPS (pro forma)</w:t>
            </w:r>
          </w:p>
        </w:tc>
      </w:tr>
      <w:tr>
        <w:tc>
          <w:tcPr>
            <w:tcW w:type="dxa" w:w="2952"/>
            <w:shd w:val="clear" w:color="auto" w:fill="FBEEEC"/>
          </w:tcPr>
          <w:p>
            <w:pPr>
              <w:spacing w:after="20" w:before="20"/>
            </w:pPr>
            <w:r/>
            <w:r>
              <w:rPr>
                <w:rFonts w:ascii="Calibri" w:hAnsi="Calibri"/>
                <w:b/>
                <w:sz w:val="17"/>
              </w:rPr>
              <w:t>Basic EPS (cents)</w:t>
            </w:r>
          </w:p>
        </w:tc>
        <w:tc>
          <w:tcPr>
            <w:tcW w:type="dxa" w:w="1656"/>
            <w:shd w:val="clear" w:color="auto" w:fill="FBEEEC"/>
          </w:tcPr>
          <w:p>
            <w:pPr>
              <w:spacing w:after="20" w:before="20"/>
              <w:jc w:val="right"/>
            </w:pPr>
            <w:r/>
            <w:r>
              <w:rPr>
                <w:rFonts w:ascii="Calibri" w:hAnsi="Calibri"/>
                <w:b w:val="0"/>
                <w:sz w:val="17"/>
              </w:rPr>
              <w:t>1,367.2</w:t>
            </w:r>
          </w:p>
        </w:tc>
        <w:tc>
          <w:tcPr>
            <w:tcW w:type="dxa" w:w="1944"/>
            <w:shd w:val="clear" w:color="auto" w:fill="FBEEEC"/>
          </w:tcPr>
          <w:p>
            <w:pPr>
              <w:spacing w:after="20" w:before="20"/>
              <w:jc w:val="right"/>
            </w:pPr>
            <w:r/>
            <w:r>
              <w:rPr>
                <w:rFonts w:ascii="Calibri" w:hAnsi="Calibri"/>
                <w:b w:val="0"/>
                <w:sz w:val="17"/>
              </w:rPr>
              <w:t>1,149.5</w:t>
            </w:r>
          </w:p>
        </w:tc>
        <w:tc>
          <w:tcPr>
            <w:tcW w:type="dxa" w:w="1656"/>
            <w:shd w:val="clear" w:color="auto" w:fill="FBEEEC"/>
          </w:tcPr>
          <w:p>
            <w:pPr>
              <w:spacing w:after="20" w:before="20"/>
              <w:jc w:val="right"/>
            </w:pPr>
            <w:r/>
            <w:r>
              <w:rPr>
                <w:rFonts w:ascii="Calibri" w:hAnsi="Calibri"/>
                <w:b w:val="0"/>
                <w:sz w:val="17"/>
              </w:rPr>
              <w:t>+18.9%</w:t>
            </w:r>
          </w:p>
        </w:tc>
        <w:tc>
          <w:tcPr>
            <w:tcW w:type="dxa" w:w="2160"/>
            <w:shd w:val="clear" w:color="auto" w:fill="FBEEEC"/>
          </w:tcPr>
          <w:p>
            <w:pPr>
              <w:spacing w:after="20" w:before="20"/>
            </w:pPr>
            <w:r/>
            <w:r>
              <w:rPr>
                <w:rFonts w:ascii="Calibri" w:hAnsi="Calibri"/>
                <w:b w:val="0"/>
                <w:sz w:val="17"/>
              </w:rPr>
              <w:t>SH1, EPS table</w:t>
            </w:r>
          </w:p>
        </w:tc>
      </w:tr>
      <w:tr>
        <w:tc>
          <w:tcPr>
            <w:tcW w:type="dxa" w:w="2952"/>
          </w:tcPr>
          <w:p>
            <w:pPr>
              <w:spacing w:after="20" w:before="20"/>
            </w:pPr>
            <w:r/>
            <w:r>
              <w:rPr>
                <w:rFonts w:ascii="Calibri" w:hAnsi="Calibri"/>
                <w:b/>
                <w:sz w:val="17"/>
              </w:rPr>
              <w:t>DPS total (cents)</w:t>
            </w:r>
          </w:p>
        </w:tc>
        <w:tc>
          <w:tcPr>
            <w:tcW w:type="dxa" w:w="1656"/>
          </w:tcPr>
          <w:p>
            <w:pPr>
              <w:spacing w:after="20" w:before="20"/>
              <w:jc w:val="right"/>
            </w:pPr>
            <w:r/>
            <w:r>
              <w:rPr>
                <w:rFonts w:ascii="Calibri" w:hAnsi="Calibri"/>
                <w:b w:val="0"/>
                <w:sz w:val="17"/>
              </w:rPr>
              <w:t>781.0</w:t>
            </w:r>
          </w:p>
        </w:tc>
        <w:tc>
          <w:tcPr>
            <w:tcW w:type="dxa" w:w="1944"/>
          </w:tcPr>
          <w:p>
            <w:pPr>
              <w:spacing w:after="20" w:before="20"/>
              <w:jc w:val="right"/>
            </w:pPr>
            <w:r/>
            <w:r>
              <w:rPr>
                <w:rFonts w:ascii="Calibri" w:hAnsi="Calibri"/>
                <w:b w:val="0"/>
                <w:sz w:val="17"/>
              </w:rPr>
              <w:t>712.0</w:t>
            </w:r>
          </w:p>
        </w:tc>
        <w:tc>
          <w:tcPr>
            <w:tcW w:type="dxa" w:w="1656"/>
          </w:tcPr>
          <w:p>
            <w:pPr>
              <w:spacing w:after="20" w:before="20"/>
              <w:jc w:val="right"/>
            </w:pPr>
            <w:r/>
            <w:r>
              <w:rPr>
                <w:rFonts w:ascii="Calibri" w:hAnsi="Calibri"/>
                <w:b w:val="0"/>
                <w:sz w:val="17"/>
              </w:rPr>
              <w:t>+9.7%</w:t>
            </w:r>
          </w:p>
        </w:tc>
        <w:tc>
          <w:tcPr>
            <w:tcW w:type="dxa" w:w="2160"/>
          </w:tcPr>
          <w:p>
            <w:pPr>
              <w:spacing w:after="20" w:before="20"/>
            </w:pPr>
            <w:r/>
            <w:r>
              <w:rPr>
                <w:rFonts w:ascii="Calibri" w:hAnsi="Calibri"/>
                <w:b w:val="0"/>
                <w:sz w:val="17"/>
              </w:rPr>
              <w:t>SH1, dividend decl.</w:t>
            </w:r>
          </w:p>
        </w:tc>
      </w:tr>
      <w:tr>
        <w:tc>
          <w:tcPr>
            <w:tcW w:type="dxa" w:w="2952"/>
            <w:shd w:val="clear" w:color="auto" w:fill="FBEEEC"/>
          </w:tcPr>
          <w:p>
            <w:pPr>
              <w:spacing w:after="20" w:before="20"/>
            </w:pPr>
            <w:r/>
            <w:r>
              <w:rPr>
                <w:rFonts w:ascii="Calibri" w:hAnsi="Calibri"/>
                <w:b/>
                <w:sz w:val="17"/>
              </w:rPr>
              <w:t>Dividend cover (x)</w:t>
            </w:r>
          </w:p>
        </w:tc>
        <w:tc>
          <w:tcPr>
            <w:tcW w:type="dxa" w:w="1656"/>
            <w:shd w:val="clear" w:color="auto" w:fill="FBEEEC"/>
          </w:tcPr>
          <w:p>
            <w:pPr>
              <w:spacing w:after="20" w:before="20"/>
              <w:jc w:val="right"/>
            </w:pPr>
            <w:r/>
            <w:r>
              <w:rPr>
                <w:rFonts w:ascii="Calibri" w:hAnsi="Calibri"/>
                <w:b w:val="0"/>
                <w:sz w:val="17"/>
              </w:rPr>
              <w:t>1.75</w:t>
            </w:r>
          </w:p>
        </w:tc>
        <w:tc>
          <w:tcPr>
            <w:tcW w:type="dxa" w:w="1944"/>
            <w:shd w:val="clear" w:color="auto" w:fill="FBEEEC"/>
          </w:tcPr>
          <w:p>
            <w:pPr>
              <w:spacing w:after="20" w:before="20"/>
              <w:jc w:val="right"/>
            </w:pPr>
            <w:r/>
            <w:r>
              <w:rPr>
                <w:rFonts w:ascii="Calibri" w:hAnsi="Calibri"/>
                <w:b w:val="0"/>
                <w:sz w:val="17"/>
              </w:rPr>
              <w:t>—</w:t>
            </w:r>
          </w:p>
        </w:tc>
        <w:tc>
          <w:tcPr>
            <w:tcW w:type="dxa" w:w="1656"/>
            <w:shd w:val="clear" w:color="auto" w:fill="FBEEEC"/>
          </w:tcPr>
          <w:p>
            <w:pPr>
              <w:spacing w:after="20" w:before="20"/>
              <w:jc w:val="right"/>
            </w:pPr>
            <w:r/>
            <w:r>
              <w:rPr>
                <w:rFonts w:ascii="Calibri" w:hAnsi="Calibri"/>
                <w:b w:val="0"/>
                <w:sz w:val="17"/>
              </w:rPr>
              <w:t>policy</w:t>
            </w:r>
          </w:p>
        </w:tc>
        <w:tc>
          <w:tcPr>
            <w:tcW w:type="dxa" w:w="2160"/>
            <w:shd w:val="clear" w:color="auto" w:fill="FBEEEC"/>
          </w:tcPr>
          <w:p>
            <w:pPr>
              <w:spacing w:after="20" w:before="20"/>
            </w:pPr>
            <w:r/>
            <w:r>
              <w:rPr>
                <w:rFonts w:ascii="Calibri" w:hAnsi="Calibri"/>
                <w:b w:val="0"/>
                <w:sz w:val="17"/>
              </w:rPr>
              <w:t>SH1, key info</w:t>
            </w:r>
          </w:p>
        </w:tc>
      </w:tr>
      <w:tr>
        <w:tc>
          <w:tcPr>
            <w:tcW w:type="dxa" w:w="2952"/>
          </w:tcPr>
          <w:p>
            <w:pPr>
              <w:spacing w:after="20" w:before="20"/>
            </w:pPr>
            <w:r/>
            <w:r>
              <w:rPr>
                <w:rFonts w:ascii="Calibri" w:hAnsi="Calibri"/>
                <w:b/>
                <w:sz w:val="17"/>
              </w:rPr>
              <w:t>Net cash</w:t>
            </w:r>
          </w:p>
        </w:tc>
        <w:tc>
          <w:tcPr>
            <w:tcW w:type="dxa" w:w="1656"/>
          </w:tcPr>
          <w:p>
            <w:pPr>
              <w:spacing w:after="20" w:before="20"/>
              <w:jc w:val="right"/>
            </w:pPr>
            <w:r/>
            <w:r>
              <w:rPr>
                <w:rFonts w:ascii="Calibri" w:hAnsi="Calibri"/>
                <w:b w:val="0"/>
                <w:sz w:val="17"/>
              </w:rPr>
              <w:t>R8.1bn</w:t>
            </w:r>
          </w:p>
        </w:tc>
        <w:tc>
          <w:tcPr>
            <w:tcW w:type="dxa" w:w="1944"/>
          </w:tcPr>
          <w:p>
            <w:pPr>
              <w:spacing w:after="20" w:before="20"/>
              <w:jc w:val="right"/>
            </w:pPr>
            <w:r/>
            <w:r>
              <w:rPr>
                <w:rFonts w:ascii="Calibri" w:hAnsi="Calibri"/>
                <w:b w:val="0"/>
                <w:sz w:val="17"/>
              </w:rPr>
              <w:t>R8.84bn</w:t>
            </w:r>
          </w:p>
        </w:tc>
        <w:tc>
          <w:tcPr>
            <w:tcW w:type="dxa" w:w="1656"/>
          </w:tcPr>
          <w:p>
            <w:pPr>
              <w:spacing w:after="20" w:before="20"/>
              <w:jc w:val="right"/>
            </w:pPr>
            <w:r/>
            <w:r>
              <w:rPr>
                <w:rFonts w:ascii="Calibri" w:hAnsi="Calibri"/>
                <w:b w:val="0"/>
                <w:sz w:val="17"/>
              </w:rPr>
              <w:t>-R0.75bn</w:t>
            </w:r>
          </w:p>
        </w:tc>
        <w:tc>
          <w:tcPr>
            <w:tcW w:type="dxa" w:w="2160"/>
          </w:tcPr>
          <w:p>
            <w:pPr>
              <w:spacing w:after="20" w:before="20"/>
            </w:pPr>
            <w:r/>
            <w:r>
              <w:rPr>
                <w:rFonts w:ascii="Calibri" w:hAnsi="Calibri"/>
                <w:b w:val="0"/>
                <w:sz w:val="17"/>
              </w:rPr>
              <w:t>SH1, net cash</w:t>
            </w:r>
          </w:p>
        </w:tc>
      </w:tr>
      <w:tr>
        <w:tc>
          <w:tcPr>
            <w:tcW w:type="dxa" w:w="2952"/>
            <w:shd w:val="clear" w:color="auto" w:fill="FBEEEC"/>
          </w:tcPr>
          <w:p>
            <w:pPr>
              <w:spacing w:after="20" w:before="20"/>
            </w:pPr>
            <w:r/>
            <w:r>
              <w:rPr>
                <w:rFonts w:ascii="Calibri" w:hAnsi="Calibri"/>
                <w:b/>
                <w:sz w:val="17"/>
              </w:rPr>
              <w:t>Total borrowings</w:t>
            </w:r>
          </w:p>
        </w:tc>
        <w:tc>
          <w:tcPr>
            <w:tcW w:type="dxa" w:w="1656"/>
            <w:shd w:val="clear" w:color="auto" w:fill="FBEEEC"/>
          </w:tcPr>
          <w:p>
            <w:pPr>
              <w:spacing w:after="20" w:before="20"/>
              <w:jc w:val="right"/>
            </w:pPr>
            <w:r/>
            <w:r>
              <w:rPr>
                <w:rFonts w:ascii="Calibri" w:hAnsi="Calibri"/>
                <w:b w:val="0"/>
                <w:sz w:val="17"/>
              </w:rPr>
              <w:t>R7.0bn</w:t>
            </w:r>
          </w:p>
        </w:tc>
        <w:tc>
          <w:tcPr>
            <w:tcW w:type="dxa" w:w="1944"/>
            <w:shd w:val="clear" w:color="auto" w:fill="FBEEEC"/>
          </w:tcPr>
          <w:p>
            <w:pPr>
              <w:spacing w:after="20" w:before="20"/>
              <w:jc w:val="right"/>
            </w:pPr>
            <w:r/>
            <w:r>
              <w:rPr>
                <w:rFonts w:ascii="Calibri" w:hAnsi="Calibri"/>
                <w:b w:val="0"/>
                <w:sz w:val="17"/>
              </w:rPr>
              <w:t>R6.0bn</w:t>
            </w:r>
          </w:p>
        </w:tc>
        <w:tc>
          <w:tcPr>
            <w:tcW w:type="dxa" w:w="1656"/>
            <w:shd w:val="clear" w:color="auto" w:fill="FBEEEC"/>
          </w:tcPr>
          <w:p>
            <w:pPr>
              <w:spacing w:after="20" w:before="20"/>
              <w:jc w:val="right"/>
            </w:pPr>
            <w:r/>
            <w:r>
              <w:rPr>
                <w:rFonts w:ascii="Calibri" w:hAnsi="Calibri"/>
                <w:b w:val="0"/>
                <w:sz w:val="17"/>
              </w:rPr>
              <w:t>+R1.0bn</w:t>
            </w:r>
          </w:p>
        </w:tc>
        <w:tc>
          <w:tcPr>
            <w:tcW w:type="dxa" w:w="2160"/>
            <w:shd w:val="clear" w:color="auto" w:fill="FBEEEC"/>
          </w:tcPr>
          <w:p>
            <w:pPr>
              <w:spacing w:after="20" w:before="20"/>
            </w:pPr>
            <w:r/>
            <w:r>
              <w:rPr>
                <w:rFonts w:ascii="Calibri" w:hAnsi="Calibri"/>
                <w:b w:val="0"/>
                <w:sz w:val="17"/>
              </w:rPr>
              <w:t>SH1, borrowings</w:t>
            </w:r>
          </w:p>
        </w:tc>
      </w:tr>
      <w:tr>
        <w:tc>
          <w:tcPr>
            <w:tcW w:type="dxa" w:w="2952"/>
          </w:tcPr>
          <w:p>
            <w:pPr>
              <w:spacing w:after="20" w:before="20"/>
            </w:pPr>
            <w:r/>
            <w:r>
              <w:rPr>
                <w:rFonts w:ascii="Calibri" w:hAnsi="Calibri"/>
                <w:b/>
                <w:sz w:val="17"/>
              </w:rPr>
              <w:t>ROIC (ex-IFRS16) / WACC (%)</w:t>
            </w:r>
          </w:p>
        </w:tc>
        <w:tc>
          <w:tcPr>
            <w:tcW w:type="dxa" w:w="1656"/>
          </w:tcPr>
          <w:p>
            <w:pPr>
              <w:spacing w:after="20" w:before="20"/>
              <w:jc w:val="right"/>
            </w:pPr>
            <w:r/>
            <w:r>
              <w:rPr>
                <w:rFonts w:ascii="Calibri" w:hAnsi="Calibri"/>
                <w:b w:val="0"/>
                <w:sz w:val="17"/>
              </w:rPr>
              <w:t>19.4 / 13.5</w:t>
            </w:r>
          </w:p>
        </w:tc>
        <w:tc>
          <w:tcPr>
            <w:tcW w:type="dxa" w:w="1944"/>
          </w:tcPr>
          <w:p>
            <w:pPr>
              <w:spacing w:after="20" w:before="20"/>
              <w:jc w:val="right"/>
            </w:pPr>
            <w:r/>
            <w:r>
              <w:rPr>
                <w:rFonts w:ascii="Calibri" w:hAnsi="Calibri"/>
                <w:b w:val="0"/>
                <w:sz w:val="17"/>
              </w:rPr>
              <w:t>—</w:t>
            </w:r>
          </w:p>
        </w:tc>
        <w:tc>
          <w:tcPr>
            <w:tcW w:type="dxa" w:w="1656"/>
          </w:tcPr>
          <w:p>
            <w:pPr>
              <w:spacing w:after="20" w:before="20"/>
              <w:jc w:val="right"/>
            </w:pPr>
            <w:r/>
            <w:r>
              <w:rPr>
                <w:rFonts w:ascii="Calibri" w:hAnsi="Calibri"/>
                <w:b w:val="0"/>
                <w:sz w:val="17"/>
              </w:rPr>
              <w:t>—</w:t>
            </w:r>
          </w:p>
        </w:tc>
        <w:tc>
          <w:tcPr>
            <w:tcW w:type="dxa" w:w="2160"/>
          </w:tcPr>
          <w:p>
            <w:pPr>
              <w:spacing w:after="20" w:before="20"/>
            </w:pPr>
            <w:r/>
            <w:r>
              <w:rPr>
                <w:rFonts w:ascii="Calibri" w:hAnsi="Calibri"/>
                <w:b w:val="0"/>
                <w:sz w:val="17"/>
              </w:rPr>
              <w:t>SH1, returns</w:t>
            </w:r>
          </w:p>
        </w:tc>
      </w:tr>
      <w:tr>
        <w:tc>
          <w:tcPr>
            <w:tcW w:type="dxa" w:w="2952"/>
            <w:shd w:val="clear" w:color="auto" w:fill="FBEEEC"/>
          </w:tcPr>
          <w:p>
            <w:pPr>
              <w:spacing w:after="20" w:before="20"/>
            </w:pPr>
            <w:r/>
            <w:r>
              <w:rPr>
                <w:rFonts w:ascii="Calibri" w:hAnsi="Calibri"/>
                <w:b/>
                <w:sz w:val="17"/>
              </w:rPr>
              <w:t>ROE (%)</w:t>
            </w:r>
          </w:p>
        </w:tc>
        <w:tc>
          <w:tcPr>
            <w:tcW w:type="dxa" w:w="1656"/>
            <w:shd w:val="clear" w:color="auto" w:fill="FBEEEC"/>
          </w:tcPr>
          <w:p>
            <w:pPr>
              <w:spacing w:after="20" w:before="20"/>
              <w:jc w:val="right"/>
            </w:pPr>
            <w:r/>
            <w:r>
              <w:rPr>
                <w:rFonts w:ascii="Calibri" w:hAnsi="Calibri"/>
                <w:b w:val="0"/>
                <w:sz w:val="17"/>
              </w:rPr>
              <w:t>26.7</w:t>
            </w:r>
          </w:p>
        </w:tc>
        <w:tc>
          <w:tcPr>
            <w:tcW w:type="dxa" w:w="1944"/>
            <w:shd w:val="clear" w:color="auto" w:fill="FBEEEC"/>
          </w:tcPr>
          <w:p>
            <w:pPr>
              <w:spacing w:after="20" w:before="20"/>
              <w:jc w:val="right"/>
            </w:pPr>
            <w:r/>
            <w:r>
              <w:rPr>
                <w:rFonts w:ascii="Calibri" w:hAnsi="Calibri"/>
                <w:b w:val="0"/>
                <w:sz w:val="17"/>
              </w:rPr>
              <w:t>—</w:t>
            </w:r>
          </w:p>
        </w:tc>
        <w:tc>
          <w:tcPr>
            <w:tcW w:type="dxa" w:w="1656"/>
            <w:shd w:val="clear" w:color="auto" w:fill="FBEEEC"/>
          </w:tcPr>
          <w:p>
            <w:pPr>
              <w:spacing w:after="20" w:before="20"/>
              <w:jc w:val="right"/>
            </w:pPr>
            <w:r/>
            <w:r>
              <w:rPr>
                <w:rFonts w:ascii="Calibri" w:hAnsi="Calibri"/>
                <w:b w:val="0"/>
                <w:sz w:val="17"/>
              </w:rPr>
              <w:t>—</w:t>
            </w:r>
          </w:p>
        </w:tc>
        <w:tc>
          <w:tcPr>
            <w:tcW w:type="dxa" w:w="2160"/>
            <w:shd w:val="clear" w:color="auto" w:fill="FBEEEC"/>
          </w:tcPr>
          <w:p>
            <w:pPr>
              <w:spacing w:after="20" w:before="20"/>
            </w:pPr>
            <w:r/>
            <w:r>
              <w:rPr>
                <w:rFonts w:ascii="Calibri" w:hAnsi="Calibri"/>
                <w:b w:val="0"/>
                <w:sz w:val="17"/>
              </w:rPr>
              <w:t>SH1, returns</w:t>
            </w:r>
          </w:p>
        </w:tc>
      </w:tr>
      <w:tr>
        <w:tc>
          <w:tcPr>
            <w:tcW w:type="dxa" w:w="2952"/>
          </w:tcPr>
          <w:p>
            <w:pPr>
              <w:spacing w:after="20" w:before="20"/>
            </w:pPr>
            <w:r/>
            <w:r>
              <w:rPr>
                <w:rFonts w:ascii="Calibri" w:hAnsi="Calibri"/>
                <w:b/>
                <w:sz w:val="17"/>
              </w:rPr>
              <w:t>Net finance costs</w:t>
            </w:r>
          </w:p>
        </w:tc>
        <w:tc>
          <w:tcPr>
            <w:tcW w:type="dxa" w:w="1656"/>
          </w:tcPr>
          <w:p>
            <w:pPr>
              <w:spacing w:after="20" w:before="20"/>
              <w:jc w:val="right"/>
            </w:pPr>
            <w:r/>
            <w:r>
              <w:rPr>
                <w:rFonts w:ascii="Calibri" w:hAnsi="Calibri"/>
                <w:b w:val="0"/>
                <w:sz w:val="17"/>
              </w:rPr>
              <w:t>R4.8bn</w:t>
            </w:r>
          </w:p>
        </w:tc>
        <w:tc>
          <w:tcPr>
            <w:tcW w:type="dxa" w:w="1944"/>
          </w:tcPr>
          <w:p>
            <w:pPr>
              <w:spacing w:after="20" w:before="20"/>
              <w:jc w:val="right"/>
            </w:pPr>
            <w:r/>
            <w:r>
              <w:rPr>
                <w:rFonts w:ascii="Calibri" w:hAnsi="Calibri"/>
                <w:b w:val="0"/>
                <w:sz w:val="17"/>
              </w:rPr>
              <w:t>R3.6bn</w:t>
            </w:r>
          </w:p>
        </w:tc>
        <w:tc>
          <w:tcPr>
            <w:tcW w:type="dxa" w:w="1656"/>
          </w:tcPr>
          <w:p>
            <w:pPr>
              <w:spacing w:after="20" w:before="20"/>
              <w:jc w:val="right"/>
            </w:pPr>
            <w:r/>
            <w:r>
              <w:rPr>
                <w:rFonts w:ascii="Calibri" w:hAnsi="Calibri"/>
                <w:b w:val="0"/>
                <w:sz w:val="17"/>
              </w:rPr>
              <w:t>+30.9%</w:t>
            </w:r>
          </w:p>
        </w:tc>
        <w:tc>
          <w:tcPr>
            <w:tcW w:type="dxa" w:w="2160"/>
          </w:tcPr>
          <w:p>
            <w:pPr>
              <w:spacing w:after="20" w:before="20"/>
            </w:pPr>
            <w:r/>
            <w:r>
              <w:rPr>
                <w:rFonts w:ascii="Calibri" w:hAnsi="Calibri"/>
                <w:b w:val="0"/>
                <w:sz w:val="17"/>
              </w:rPr>
              <w:t>SH1, finance costs</w:t>
            </w:r>
          </w:p>
        </w:tc>
      </w:tr>
    </w:tbl>
    <w:p>
      <w:pPr>
        <w:spacing w:after="80" w:line="259" w:lineRule="auto"/>
      </w:pPr>
      <w:r>
        <w:rPr>
          <w:sz w:val="16"/>
        </w:rPr>
        <w:t>FY2024 figures restated for the furniture business and Ghana/Malawi operations classified as discontinued (IFRS 5); growth rates are on the restated continuing-ops base.</w:t>
      </w:r>
      <w:r>
        <w:rPr>
          <w:b/>
          <w:color w:val="C0392B"/>
          <w:sz w:val="15"/>
          <w:vertAlign w:val="superscript"/>
        </w:rPr>
        <w:t>SH1</w:t>
      </w:r>
      <w:r>
        <w:rPr>
          <w:sz w:val="16"/>
        </w:rPr>
        <w:t xml:space="preserve"> Including discontinued operations, HEPS was 1,431.6cps (+20.2%).</w:t>
      </w:r>
      <w:r>
        <w:rPr>
          <w:b/>
          <w:color w:val="C0392B"/>
          <w:sz w:val="15"/>
          <w:vertAlign w:val="superscript"/>
        </w:rPr>
        <w:t>SH1</w:t>
      </w:r>
    </w:p>
    <w:p>
      <w:pPr>
        <w:spacing w:before="160" w:after="40"/>
      </w:pPr>
      <w:r>
        <w:rPr>
          <w:b/>
          <w:color w:val="C0392B"/>
          <w:sz w:val="22"/>
        </w:rPr>
        <w:t>Retail-sector reads (FY2025)</w:t>
      </w:r>
    </w:p>
    <w:tbl>
      <w:tblPr>
        <w:tblStyle w:val="TableGrid"/>
        <w:tblW w:type="auto" w:w="0"/>
        <w:jc w:val="center"/>
        <w:tblLook w:firstColumn="1" w:firstRow="1" w:lastColumn="0" w:lastRow="0" w:noHBand="0" w:noVBand="1" w:val="04A0"/>
      </w:tblPr>
      <w:tblGrid>
        <w:gridCol w:w="2880"/>
        <w:gridCol w:w="2880"/>
        <w:gridCol w:w="2880"/>
      </w:tblGrid>
      <w:tr>
        <w:tc>
          <w:tcPr>
            <w:tcW w:type="dxa" w:w="3168"/>
            <w:shd w:val="clear" w:color="auto" w:fill="1F3349"/>
          </w:tcPr>
          <w:p>
            <w:pPr>
              <w:spacing w:after="20" w:before="20"/>
            </w:pPr>
            <w:r/>
            <w:r>
              <w:rPr>
                <w:rFonts w:ascii="Calibri" w:hAnsi="Calibri"/>
                <w:b/>
                <w:color w:val="FFFFFF"/>
                <w:sz w:val="17"/>
              </w:rPr>
              <w:t>Retail metric</w:t>
            </w:r>
          </w:p>
        </w:tc>
        <w:tc>
          <w:tcPr>
            <w:tcW w:type="dxa" w:w="4464"/>
            <w:shd w:val="clear" w:color="auto" w:fill="1F3349"/>
          </w:tcPr>
          <w:p>
            <w:pPr>
              <w:spacing w:after="20" w:before="20"/>
            </w:pPr>
            <w:r/>
            <w:r>
              <w:rPr>
                <w:rFonts w:ascii="Calibri" w:hAnsi="Calibri"/>
                <w:b/>
                <w:color w:val="FFFFFF"/>
                <w:sz w:val="17"/>
              </w:rPr>
              <w:t>Value</w:t>
            </w:r>
          </w:p>
        </w:tc>
        <w:tc>
          <w:tcPr>
            <w:tcW w:type="dxa" w:w="2016"/>
            <w:shd w:val="clear" w:color="auto" w:fill="1F3349"/>
          </w:tcPr>
          <w:p>
            <w:pPr>
              <w:spacing w:after="20" w:before="20"/>
            </w:pPr>
            <w:r/>
            <w:r>
              <w:rPr>
                <w:rFonts w:ascii="Calibri" w:hAnsi="Calibri"/>
                <w:b/>
                <w:color w:val="FFFFFF"/>
                <w:sz w:val="17"/>
              </w:rPr>
              <w:t>Source</w:t>
            </w:r>
          </w:p>
        </w:tc>
      </w:tr>
      <w:tr>
        <w:tc>
          <w:tcPr>
            <w:tcW w:type="dxa" w:w="3168"/>
          </w:tcPr>
          <w:p>
            <w:pPr>
              <w:spacing w:after="20" w:before="20"/>
            </w:pPr>
            <w:r/>
            <w:r>
              <w:rPr>
                <w:rFonts w:ascii="Calibri" w:hAnsi="Calibri"/>
                <w:b/>
                <w:sz w:val="17"/>
              </w:rPr>
              <w:t>Like-for-like (same-store) sales</w:t>
            </w:r>
          </w:p>
        </w:tc>
        <w:tc>
          <w:tcPr>
            <w:tcW w:type="dxa" w:w="4464"/>
          </w:tcPr>
          <w:p>
            <w:pPr>
              <w:spacing w:after="20" w:before="20"/>
            </w:pPr>
            <w:r/>
            <w:r>
              <w:rPr>
                <w:rFonts w:ascii="Calibri" w:hAnsi="Calibri"/>
                <w:b w:val="0"/>
                <w:sz w:val="17"/>
              </w:rPr>
              <w:t>+4.8% group (H1 +6.1%, H2 +3.6%)</w:t>
            </w:r>
          </w:p>
        </w:tc>
        <w:tc>
          <w:tcPr>
            <w:tcW w:type="dxa" w:w="2016"/>
          </w:tcPr>
          <w:p>
            <w:pPr>
              <w:spacing w:after="20" w:before="20"/>
            </w:pPr>
            <w:r/>
            <w:r>
              <w:rPr>
                <w:rFonts w:ascii="Calibri" w:hAnsi="Calibri"/>
                <w:b w:val="0"/>
                <w:sz w:val="17"/>
              </w:rPr>
              <w:t>SH1, sale of merch.</w:t>
            </w:r>
          </w:p>
        </w:tc>
      </w:tr>
      <w:tr>
        <w:tc>
          <w:tcPr>
            <w:tcW w:type="dxa" w:w="3168"/>
            <w:shd w:val="clear" w:color="auto" w:fill="FBEEEC"/>
          </w:tcPr>
          <w:p>
            <w:pPr>
              <w:spacing w:after="20" w:before="20"/>
            </w:pPr>
            <w:r/>
            <w:r>
              <w:rPr>
                <w:rFonts w:ascii="Calibri" w:hAnsi="Calibri"/>
                <w:b/>
                <w:sz w:val="17"/>
              </w:rPr>
              <w:t>Sixty60 on-demand sales</w:t>
            </w:r>
          </w:p>
        </w:tc>
        <w:tc>
          <w:tcPr>
            <w:tcW w:type="dxa" w:w="4464"/>
            <w:shd w:val="clear" w:color="auto" w:fill="FBEEEC"/>
          </w:tcPr>
          <w:p>
            <w:pPr>
              <w:spacing w:after="20" w:before="20"/>
            </w:pPr>
            <w:r/>
            <w:r>
              <w:rPr>
                <w:rFonts w:ascii="Calibri" w:hAnsi="Calibri"/>
                <w:b w:val="0"/>
                <w:sz w:val="17"/>
              </w:rPr>
              <w:t>R18.9bn (+47.7%)</w:t>
            </w:r>
          </w:p>
        </w:tc>
        <w:tc>
          <w:tcPr>
            <w:tcW w:type="dxa" w:w="2016"/>
            <w:shd w:val="clear" w:color="auto" w:fill="FBEEEC"/>
          </w:tcPr>
          <w:p>
            <w:pPr>
              <w:spacing w:after="20" w:before="20"/>
            </w:pPr>
            <w:r/>
            <w:r>
              <w:rPr>
                <w:rFonts w:ascii="Calibri" w:hAnsi="Calibri"/>
                <w:b w:val="0"/>
                <w:sz w:val="17"/>
              </w:rPr>
              <w:t>SH1, digital commerce</w:t>
            </w:r>
          </w:p>
        </w:tc>
      </w:tr>
      <w:tr>
        <w:tc>
          <w:tcPr>
            <w:tcW w:type="dxa" w:w="3168"/>
          </w:tcPr>
          <w:p>
            <w:pPr>
              <w:spacing w:after="20" w:before="20"/>
            </w:pPr>
            <w:r/>
            <w:r>
              <w:rPr>
                <w:rFonts w:ascii="Calibri" w:hAnsi="Calibri"/>
                <w:b/>
                <w:sz w:val="17"/>
              </w:rPr>
              <w:t>Supermarkets RSA sale of merch.</w:t>
            </w:r>
          </w:p>
        </w:tc>
        <w:tc>
          <w:tcPr>
            <w:tcW w:type="dxa" w:w="4464"/>
          </w:tcPr>
          <w:p>
            <w:pPr>
              <w:spacing w:after="20" w:before="20"/>
            </w:pPr>
            <w:r/>
            <w:r>
              <w:rPr>
                <w:rFonts w:ascii="Calibri" w:hAnsi="Calibri"/>
                <w:b w:val="0"/>
                <w:sz w:val="17"/>
              </w:rPr>
              <w:t>R213.5bn (+9.5%); trading profit +15.5%</w:t>
            </w:r>
          </w:p>
        </w:tc>
        <w:tc>
          <w:tcPr>
            <w:tcW w:type="dxa" w:w="2016"/>
          </w:tcPr>
          <w:p>
            <w:pPr>
              <w:spacing w:after="20" w:before="20"/>
            </w:pPr>
            <w:r/>
            <w:r>
              <w:rPr>
                <w:rFonts w:ascii="Calibri" w:hAnsi="Calibri"/>
                <w:b w:val="0"/>
                <w:sz w:val="17"/>
              </w:rPr>
              <w:t>SH1, segments</w:t>
            </w:r>
          </w:p>
        </w:tc>
      </w:tr>
      <w:tr>
        <w:tc>
          <w:tcPr>
            <w:tcW w:type="dxa" w:w="3168"/>
            <w:shd w:val="clear" w:color="auto" w:fill="FBEEEC"/>
          </w:tcPr>
          <w:p>
            <w:pPr>
              <w:spacing w:after="20" w:before="20"/>
            </w:pPr>
            <w:r/>
            <w:r>
              <w:rPr>
                <w:rFonts w:ascii="Calibri" w:hAnsi="Calibri"/>
                <w:b/>
                <w:sz w:val="17"/>
              </w:rPr>
              <w:t>Store footprint (continuing)</w:t>
            </w:r>
          </w:p>
        </w:tc>
        <w:tc>
          <w:tcPr>
            <w:tcW w:type="dxa" w:w="4464"/>
            <w:shd w:val="clear" w:color="auto" w:fill="FBEEEC"/>
          </w:tcPr>
          <w:p>
            <w:pPr>
              <w:spacing w:after="20" w:before="20"/>
            </w:pPr>
            <w:r/>
            <w:r>
              <w:rPr>
                <w:rFonts w:ascii="Calibri" w:hAnsi="Calibri"/>
                <w:b w:val="0"/>
                <w:sz w:val="17"/>
              </w:rPr>
              <w:t>3,478 stores; net +281 opened in year</w:t>
            </w:r>
          </w:p>
        </w:tc>
        <w:tc>
          <w:tcPr>
            <w:tcW w:type="dxa" w:w="2016"/>
            <w:shd w:val="clear" w:color="auto" w:fill="FBEEEC"/>
          </w:tcPr>
          <w:p>
            <w:pPr>
              <w:spacing w:after="20" w:before="20"/>
            </w:pPr>
            <w:r/>
            <w:r>
              <w:rPr>
                <w:rFonts w:ascii="Calibri" w:hAnsi="Calibri"/>
                <w:b w:val="0"/>
                <w:sz w:val="17"/>
              </w:rPr>
              <w:t>SH1, key info / commentary</w:t>
            </w:r>
          </w:p>
        </w:tc>
      </w:tr>
      <w:tr>
        <w:tc>
          <w:tcPr>
            <w:tcW w:type="dxa" w:w="3168"/>
          </w:tcPr>
          <w:p>
            <w:pPr>
              <w:spacing w:after="20" w:before="20"/>
            </w:pPr>
            <w:r/>
            <w:r>
              <w:rPr>
                <w:rFonts w:ascii="Calibri" w:hAnsi="Calibri"/>
                <w:b/>
                <w:sz w:val="17"/>
              </w:rPr>
              <w:t>Internal selling-price inflation</w:t>
            </w:r>
          </w:p>
        </w:tc>
        <w:tc>
          <w:tcPr>
            <w:tcW w:type="dxa" w:w="4464"/>
          </w:tcPr>
          <w:p>
            <w:pPr>
              <w:spacing w:after="20" w:before="20"/>
            </w:pPr>
            <w:r/>
            <w:r>
              <w:rPr>
                <w:rFonts w:ascii="Calibri" w:hAnsi="Calibri"/>
                <w:b w:val="0"/>
                <w:sz w:val="17"/>
              </w:rPr>
              <w:t>1.8% (Jul 2025, FY2026 month 1)</w:t>
            </w:r>
          </w:p>
        </w:tc>
        <w:tc>
          <w:tcPr>
            <w:tcW w:type="dxa" w:w="2016"/>
          </w:tcPr>
          <w:p>
            <w:pPr>
              <w:spacing w:after="20" w:before="20"/>
            </w:pPr>
            <w:r/>
            <w:r>
              <w:rPr>
                <w:rFonts w:ascii="Calibri" w:hAnsi="Calibri"/>
                <w:b w:val="0"/>
                <w:sz w:val="17"/>
              </w:rPr>
              <w:t>SH1, outlook</w:t>
            </w:r>
          </w:p>
        </w:tc>
      </w:tr>
    </w:tbl>
    <w:p>
      <w:pPr>
        <w:spacing w:before="240" w:after="80"/>
        <w:pBdr>
          <w:bottom w:val="single" w:sz="6" w:space="2" w:color="C0392B"/>
        </w:pBdr>
      </w:pPr>
      <w:r>
        <w:rPr>
          <w:b/>
          <w:color w:val="1F3349"/>
          <w:sz w:val="28"/>
        </w:rPr>
        <w:t>2.  Outlook (management, FY2026)</w:t>
      </w:r>
    </w:p>
    <w:p>
      <w:pPr>
        <w:pStyle w:val="ListBullet"/>
        <w:spacing w:after="60"/>
      </w:pPr>
      <w:r>
        <w:rPr>
          <w:sz w:val="21"/>
        </w:rPr>
        <w:t>July 2025 (month 1 of FY2026): all three Supermarkets RSA banners grew ahead of the rest of market, total growth slightly ahead of H2 FY2025; internal selling-price inflation 1.8%.</w:t>
      </w:r>
      <w:r>
        <w:rPr>
          <w:b/>
          <w:color w:val="C0392B"/>
          <w:sz w:val="15"/>
          <w:vertAlign w:val="superscript"/>
        </w:rPr>
        <w:t>SH1</w:t>
      </w:r>
    </w:p>
    <w:p>
      <w:pPr>
        <w:pStyle w:val="ListBullet"/>
        <w:spacing w:after="60"/>
      </w:pPr>
      <w:r>
        <w:rPr>
          <w:sz w:val="21"/>
        </w:rPr>
        <w:t>Headwinds: high unemployment, sustained pressure on disposable incomes, “fairly challenging economic circumstances.”</w:t>
      </w:r>
      <w:r>
        <w:rPr>
          <w:b/>
          <w:color w:val="C0392B"/>
          <w:sz w:val="15"/>
          <w:vertAlign w:val="superscript"/>
        </w:rPr>
        <w:t>SH1</w:t>
      </w:r>
    </w:p>
    <w:p>
      <w:pPr>
        <w:pStyle w:val="ListBullet"/>
        <w:spacing w:after="60"/>
      </w:pPr>
      <w:r>
        <w:rPr>
          <w:sz w:val="21"/>
        </w:rPr>
        <w:t>Tailwinds: somewhat lower interest rates, sustained low food inflation, potential lower petrol prices.</w:t>
      </w:r>
      <w:r>
        <w:rPr>
          <w:b/>
          <w:color w:val="C0392B"/>
          <w:sz w:val="15"/>
          <w:vertAlign w:val="superscript"/>
        </w:rPr>
        <w:t>SH1</w:t>
      </w:r>
    </w:p>
    <w:p>
      <w:pPr>
        <w:pStyle w:val="ListBullet"/>
        <w:spacing w:after="60"/>
      </w:pPr>
      <w:r>
        <w:rPr>
          <w:sz w:val="21"/>
        </w:rPr>
        <w:t>Strategy: anchored in the core SA market — corporate-owned supermarkets incl. Sixty60, supermarket segmentation, shared supply chain and ShopriteX, and the largest Xtra Savings loyalty base in SA for omnichannel share-of-wallet growth.</w:t>
      </w:r>
      <w:r>
        <w:rPr>
          <w:b/>
          <w:color w:val="C0392B"/>
          <w:sz w:val="15"/>
          <w:vertAlign w:val="superscript"/>
        </w:rPr>
        <w:t>SH1</w:t>
      </w:r>
      <w:r>
        <w:rPr>
          <w:sz w:val="21"/>
        </w:rPr>
        <w:t xml:space="preserve"> (Outlook section is not auditor-reviewed.)</w:t>
      </w:r>
      <w:r>
        <w:rPr>
          <w:b/>
          <w:color w:val="C0392B"/>
          <w:sz w:val="15"/>
          <w:vertAlign w:val="superscript"/>
        </w:rPr>
        <w:t>SH1</w:t>
      </w:r>
    </w:p>
    <w:p>
      <w:pPr>
        <w:spacing w:before="240" w:after="80"/>
        <w:pBdr>
          <w:bottom w:val="single" w:sz="6" w:space="2" w:color="C0392B"/>
        </w:pBdr>
      </w:pPr>
      <w:r>
        <w:rPr>
          <w:b/>
          <w:color w:val="1F3349"/>
          <w:sz w:val="28"/>
        </w:rPr>
        <w:t>3.  Risk Flags</w:t>
      </w:r>
    </w:p>
    <w:p>
      <w:pPr>
        <w:pStyle w:val="ListBullet"/>
        <w:spacing w:after="60"/>
      </w:pPr>
      <w:r>
        <w:rPr>
          <w:sz w:val="21"/>
        </w:rPr>
        <w:t>Net finance costs +30.9% to R4.8bn — rising finance charges on borrowings (which grew R1.0bn to R7.0bn); monitor as a drag on earnings growth if rates stay higher for longer.</w:t>
      </w:r>
      <w:r>
        <w:rPr>
          <w:b/>
          <w:color w:val="C0392B"/>
          <w:sz w:val="15"/>
          <w:vertAlign w:val="superscript"/>
        </w:rPr>
        <w:t>SH1</w:t>
      </w:r>
    </w:p>
    <w:p>
      <w:pPr>
        <w:pStyle w:val="ListBullet"/>
        <w:spacing w:after="60"/>
      </w:pPr>
      <w:r>
        <w:rPr>
          <w:sz w:val="21"/>
        </w:rPr>
        <w:t>Margin sustainability: 40bps gross-margin gain is impressive but partly reflects mix/scale; price investment to defend value positioning could pressure it. (Judgement.)</w:t>
      </w:r>
    </w:p>
    <w:p>
      <w:pPr>
        <w:pStyle w:val="ListBullet"/>
        <w:spacing w:after="60"/>
      </w:pPr>
      <w:r>
        <w:rPr>
          <w:sz w:val="21"/>
        </w:rPr>
        <w:t>Prior-period restatement (IFRS 5 — furniture, Ghana, Malawi discontinued): ensure all comparisons use the restated continuing-ops base; previously-reported 2024 DHEPS (1,245.2c) is not comparable.</w:t>
      </w:r>
      <w:r>
        <w:rPr>
          <w:b/>
          <w:color w:val="C0392B"/>
          <w:sz w:val="15"/>
          <w:vertAlign w:val="superscript"/>
        </w:rPr>
        <w:t>SH1</w:t>
      </w:r>
    </w:p>
    <w:p>
      <w:pPr>
        <w:pStyle w:val="ListBullet"/>
        <w:spacing w:after="60"/>
      </w:pPr>
      <w:r>
        <w:rPr>
          <w:sz w:val="21"/>
        </w:rPr>
        <w:t>Reviewed, not audited — figures are management/auditor-reviewed interim-standard; outlook section explicitly not reviewed.</w:t>
      </w:r>
      <w:r>
        <w:rPr>
          <w:b/>
          <w:color w:val="C0392B"/>
          <w:sz w:val="15"/>
          <w:vertAlign w:val="superscript"/>
        </w:rPr>
        <w:t>SH1</w:t>
      </w:r>
    </w:p>
    <w:p>
      <w:pPr>
        <w:pStyle w:val="ListBullet"/>
        <w:spacing w:after="60"/>
      </w:pPr>
      <w:r>
        <w:rPr>
          <w:sz w:val="21"/>
        </w:rPr>
        <w:t>No going-concern, audit-modification, covenant-breach or impairment red flags identified in the available document. (Judgement on SH1.)</w:t>
      </w:r>
    </w:p>
    <w:p>
      <w:pPr>
        <w:spacing w:before="240" w:after="80"/>
        <w:pBdr>
          <w:bottom w:val="single" w:sz="6" w:space="2" w:color="C0392B"/>
        </w:pBdr>
      </w:pPr>
      <w:r>
        <w:rPr>
          <w:b/>
          <w:color w:val="1F3349"/>
          <w:sz w:val="28"/>
        </w:rPr>
        <w:t>4.  Valuation Context</w:t>
      </w:r>
    </w:p>
    <w:p>
      <w:pPr>
        <w:spacing w:after="120" w:line="259" w:lineRule="auto"/>
      </w:pPr>
      <w:r>
        <w:rPr>
          <w:sz w:val="21"/>
        </w:rPr>
        <w:t>A current share price is required for multiples and should be searched at time of use (JSE prices via search may be delayed — there is no live feed here). FY2025 anchors: DHEPS 1,367.2cps and DPS 781cps</w:t>
      </w:r>
      <w:r>
        <w:rPr>
          <w:b/>
          <w:color w:val="C0392B"/>
          <w:sz w:val="15"/>
          <w:vertAlign w:val="superscript"/>
        </w:rPr>
        <w:t>SH1</w:t>
      </w:r>
      <w:r>
        <w:rPr>
          <w:sz w:val="21"/>
        </w:rPr>
        <w:t xml:space="preserve"> support a trailing P/E and dividend yield once price is sourced; ROIC 19.4% vs WACC 13.5% indicates continued economic-profit generation. Framed for information only, not advice.</w:t>
      </w:r>
    </w:p>
    <w:p>
      <w:pPr>
        <w:spacing w:before="240" w:after="80"/>
        <w:pBdr>
          <w:bottom w:val="single" w:sz="6" w:space="2" w:color="C0392B"/>
        </w:pBdr>
      </w:pPr>
      <w:r>
        <w:rPr>
          <w:b/>
          <w:color w:val="1F3349"/>
          <w:sz w:val="28"/>
        </w:rPr>
        <w:t>5.  Questions for Management / Further Research</w:t>
      </w:r>
    </w:p>
    <w:p>
      <w:pPr>
        <w:pStyle w:val="ListBullet"/>
        <w:spacing w:after="60"/>
      </w:pPr>
      <w:r>
        <w:rPr>
          <w:sz w:val="21"/>
        </w:rPr>
        <w:t>Gross margin: how much of the 40bps gain is structural (mix, private label, supply-chain) vs cyclical, and is it defensible against renewed price investment?</w:t>
      </w:r>
    </w:p>
    <w:p>
      <w:pPr>
        <w:pStyle w:val="ListBullet"/>
        <w:spacing w:after="60"/>
      </w:pPr>
      <w:r>
        <w:rPr>
          <w:sz w:val="21"/>
        </w:rPr>
        <w:t>Finance costs: what is the expected FY2026 trajectory given the R1.0bn borrowings increase and the rate outlook?</w:t>
      </w:r>
    </w:p>
    <w:p>
      <w:pPr>
        <w:pStyle w:val="ListBullet"/>
        <w:spacing w:after="60"/>
      </w:pPr>
      <w:r>
        <w:rPr>
          <w:sz w:val="21"/>
        </w:rPr>
        <w:t>Sixty60 / ShopriteX: contribution margin economics and the FY2026 monetisation roadmap (advertising, subscriptions, Pingo).</w:t>
      </w:r>
    </w:p>
    <w:p>
      <w:pPr>
        <w:pStyle w:val="ListBullet"/>
        <w:spacing w:after="60"/>
      </w:pPr>
      <w:r>
        <w:rPr>
          <w:sz w:val="21"/>
        </w:rPr>
        <w:t>Non-RSA / rest-of-Africa: capital allocation and return hurdles after the Ghana/Malawi exits.</w:t>
      </w:r>
    </w:p>
    <w:p>
      <w:pPr>
        <w:pStyle w:val="ListBullet"/>
        <w:spacing w:after="60"/>
      </w:pPr>
      <w:r>
        <w:rPr>
          <w:sz w:val="21"/>
        </w:rPr>
        <w:t>Checkers vs Shoprite/Usave: how is the segmentation strategy shaping group margin mix as Checkers outgrows?</w:t>
      </w:r>
    </w:p>
    <w:p>
      <w:pPr>
        <w:spacing w:before="240" w:after="80"/>
        <w:pBdr>
          <w:bottom w:val="single" w:sz="6" w:space="2" w:color="C0392B"/>
        </w:pBdr>
      </w:pPr>
      <w:r>
        <w:rPr>
          <w:b/>
          <w:color w:val="1F3349"/>
          <w:sz w:val="28"/>
        </w:rPr>
        <w:t>6.  Calendar &amp; SENS</w:t>
      </w:r>
    </w:p>
    <w:p>
      <w:pPr>
        <w:spacing w:after="120" w:line="259" w:lineRule="auto"/>
      </w:pPr>
      <w:r>
        <w:rPr>
          <w:sz w:val="21"/>
        </w:rPr>
        <w:t>FY2025 reviewed results &amp; cash dividend declaration published 2 Sep 2025 (SH1). Next: FY2026 results expected ~early September 2026 (~10 weeks after the late-June year-end); H1 FY2026 interim (26 weeks to ~late Dec 2025) is not yet catalogued locally — flagged as a coverage gap in the manifest. Recommend capturing the H1 FY2026 SENS to complete coverage.</w:t>
      </w:r>
    </w:p>
    <w:p>
      <w:pPr>
        <w:spacing w:before="240" w:after="80"/>
        <w:pBdr>
          <w:bottom w:val="single" w:sz="6" w:space="2" w:color="C0392B"/>
        </w:pBdr>
      </w:pPr>
      <w:r>
        <w:rPr>
          <w:b/>
          <w:color w:val="1F3349"/>
          <w:sz w:val="28"/>
        </w:rPr>
        <w:t>7.  Provenance &amp; Verification Appendix</w:t>
      </w:r>
    </w:p>
    <w:p>
      <w:pPr>
        <w:spacing w:after="80" w:line="259" w:lineRule="auto"/>
      </w:pPr>
      <w:r>
        <w:rPr>
          <w:sz w:val="17"/>
        </w:rPr>
        <w:t>Audit trail for every key figure. Exact PDF page numbers could not be pinned this session (source was extracted to text via web fetch), so locations cite the named section of SH1 — open the URL in §8 and search the section. Derived/alternate figures noted.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32"/>
            <w:shd w:val="clear" w:color="auto" w:fill="1F3349"/>
          </w:tcPr>
          <w:p>
            <w:pPr>
              <w:spacing w:after="20" w:before="20"/>
              <w:jc w:val="center"/>
            </w:pPr>
            <w:r/>
            <w:r>
              <w:rPr>
                <w:rFonts w:ascii="Calibri" w:hAnsi="Calibri"/>
                <w:b/>
                <w:color w:val="FFFFFF"/>
                <w:sz w:val="16"/>
              </w:rPr>
              <w:t>#</w:t>
            </w:r>
          </w:p>
        </w:tc>
        <w:tc>
          <w:tcPr>
            <w:tcW w:type="dxa" w:w="2880"/>
            <w:shd w:val="clear" w:color="auto" w:fill="1F3349"/>
          </w:tcPr>
          <w:p>
            <w:pPr>
              <w:spacing w:after="20" w:before="20"/>
            </w:pPr>
            <w:r/>
            <w:r>
              <w:rPr>
                <w:rFonts w:ascii="Calibri" w:hAnsi="Calibri"/>
                <w:b/>
                <w:color w:val="FFFFFF"/>
                <w:sz w:val="16"/>
              </w:rPr>
              <w:t>Figure</w:t>
            </w:r>
          </w:p>
        </w:tc>
        <w:tc>
          <w:tcPr>
            <w:tcW w:type="dxa" w:w="2664"/>
            <w:shd w:val="clear" w:color="auto" w:fill="1F3349"/>
          </w:tcPr>
          <w:p>
            <w:pPr>
              <w:spacing w:after="20" w:before="20"/>
            </w:pPr>
            <w:r/>
            <w:r>
              <w:rPr>
                <w:rFonts w:ascii="Calibri" w:hAnsi="Calibri"/>
                <w:b/>
                <w:color w:val="FFFFFF"/>
                <w:sz w:val="16"/>
              </w:rPr>
              <w:t>Value</w:t>
            </w:r>
          </w:p>
        </w:tc>
        <w:tc>
          <w:tcPr>
            <w:tcW w:type="dxa" w:w="2232"/>
            <w:shd w:val="clear" w:color="auto" w:fill="1F3349"/>
          </w:tcPr>
          <w:p>
            <w:pPr>
              <w:spacing w:after="20" w:before="20"/>
            </w:pPr>
            <w:r/>
            <w:r>
              <w:rPr>
                <w:rFonts w:ascii="Calibri" w:hAnsi="Calibri"/>
                <w:b/>
                <w:color w:val="FFFFFF"/>
                <w:sz w:val="16"/>
              </w:rPr>
              <w:t>Reported / Derived</w:t>
            </w:r>
          </w:p>
        </w:tc>
        <w:tc>
          <w:tcPr>
            <w:tcW w:type="dxa" w:w="720"/>
            <w:shd w:val="clear" w:color="auto" w:fill="1F3349"/>
          </w:tcPr>
          <w:p>
            <w:pPr>
              <w:spacing w:after="20" w:before="20"/>
              <w:jc w:val="center"/>
            </w:pPr>
            <w:r/>
            <w:r>
              <w:rPr>
                <w:rFonts w:ascii="Calibri" w:hAnsi="Calibri"/>
                <w:b/>
                <w:color w:val="FFFFFF"/>
                <w:sz w:val="16"/>
              </w:rPr>
              <w:t>Src</w:t>
            </w:r>
          </w:p>
        </w:tc>
        <w:tc>
          <w:tcPr>
            <w:tcW w:type="dxa" w:w="2304"/>
            <w:shd w:val="clear" w:color="auto" w:fill="1F3349"/>
          </w:tcPr>
          <w:p>
            <w:pPr>
              <w:spacing w:after="20" w:before="20"/>
            </w:pPr>
            <w:r/>
            <w:r>
              <w:rPr>
                <w:rFonts w:ascii="Calibri" w:hAnsi="Calibri"/>
                <w:b/>
                <w:color w:val="FFFFFF"/>
                <w:sz w:val="16"/>
              </w:rPr>
              <w:t>Section of document</w:t>
            </w:r>
          </w:p>
        </w:tc>
      </w:tr>
      <w:tr>
        <w:tc>
          <w:tcPr>
            <w:tcW w:type="dxa" w:w="432"/>
          </w:tcPr>
          <w:p>
            <w:pPr>
              <w:spacing w:after="20" w:before="20"/>
              <w:jc w:val="center"/>
            </w:pPr>
            <w:r/>
            <w:r>
              <w:rPr>
                <w:rFonts w:ascii="Calibri" w:hAnsi="Calibri"/>
                <w:b/>
                <w:sz w:val="15"/>
              </w:rPr>
              <w:t>1</w:t>
            </w:r>
          </w:p>
        </w:tc>
        <w:tc>
          <w:tcPr>
            <w:tcW w:type="dxa" w:w="2880"/>
          </w:tcPr>
          <w:p>
            <w:pPr>
              <w:spacing w:after="20" w:before="20"/>
            </w:pPr>
            <w:r/>
            <w:r>
              <w:rPr>
                <w:rFonts w:ascii="Calibri" w:hAnsi="Calibri"/>
                <w:b w:val="0"/>
                <w:sz w:val="15"/>
              </w:rPr>
              <w:t>Group revenue</w:t>
            </w:r>
          </w:p>
        </w:tc>
        <w:tc>
          <w:tcPr>
            <w:tcW w:type="dxa" w:w="2664"/>
          </w:tcPr>
          <w:p>
            <w:pPr>
              <w:spacing w:after="20" w:before="20"/>
            </w:pPr>
            <w:r/>
            <w:r>
              <w:rPr>
                <w:rFonts w:ascii="Calibri" w:hAnsi="Calibri"/>
                <w:b w:val="0"/>
                <w:sz w:val="15"/>
              </w:rPr>
              <w:t>R256.7bn (+8.6%)</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Key information — continuing ops</w:t>
            </w:r>
          </w:p>
        </w:tc>
      </w:tr>
      <w:tr>
        <w:tc>
          <w:tcPr>
            <w:tcW w:type="dxa" w:w="432"/>
            <w:shd w:val="clear" w:color="auto" w:fill="FBEEEC"/>
          </w:tcPr>
          <w:p>
            <w:pPr>
              <w:spacing w:after="20" w:before="20"/>
              <w:jc w:val="center"/>
            </w:pPr>
            <w:r/>
            <w:r>
              <w:rPr>
                <w:rFonts w:ascii="Calibri" w:hAnsi="Calibri"/>
                <w:b/>
                <w:sz w:val="15"/>
              </w:rPr>
              <w:t>2</w:t>
            </w:r>
          </w:p>
        </w:tc>
        <w:tc>
          <w:tcPr>
            <w:tcW w:type="dxa" w:w="2880"/>
            <w:shd w:val="clear" w:color="auto" w:fill="FBEEEC"/>
          </w:tcPr>
          <w:p>
            <w:pPr>
              <w:spacing w:after="20" w:before="20"/>
            </w:pPr>
            <w:r/>
            <w:r>
              <w:rPr>
                <w:rFonts w:ascii="Calibri" w:hAnsi="Calibri"/>
                <w:b w:val="0"/>
                <w:sz w:val="15"/>
              </w:rPr>
              <w:t>Sale of merchandise</w:t>
            </w:r>
          </w:p>
        </w:tc>
        <w:tc>
          <w:tcPr>
            <w:tcW w:type="dxa" w:w="2664"/>
            <w:shd w:val="clear" w:color="auto" w:fill="FBEEEC"/>
          </w:tcPr>
          <w:p>
            <w:pPr>
              <w:spacing w:after="20" w:before="20"/>
            </w:pPr>
            <w:r/>
            <w:r>
              <w:rPr>
                <w:rFonts w:ascii="Calibri" w:hAnsi="Calibri"/>
                <w:b w:val="0"/>
                <w:sz w:val="15"/>
              </w:rPr>
              <w:t>R252.7bn (+8.9%)</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Key information / Sale of merchandise</w:t>
            </w:r>
          </w:p>
        </w:tc>
      </w:tr>
      <w:tr>
        <w:tc>
          <w:tcPr>
            <w:tcW w:type="dxa" w:w="432"/>
          </w:tcPr>
          <w:p>
            <w:pPr>
              <w:spacing w:after="20" w:before="20"/>
              <w:jc w:val="center"/>
            </w:pPr>
            <w:r/>
            <w:r>
              <w:rPr>
                <w:rFonts w:ascii="Calibri" w:hAnsi="Calibri"/>
                <w:b/>
                <w:sz w:val="15"/>
              </w:rPr>
              <w:t>3</w:t>
            </w:r>
          </w:p>
        </w:tc>
        <w:tc>
          <w:tcPr>
            <w:tcW w:type="dxa" w:w="2880"/>
          </w:tcPr>
          <w:p>
            <w:pPr>
              <w:spacing w:after="20" w:before="20"/>
            </w:pPr>
            <w:r/>
            <w:r>
              <w:rPr>
                <w:rFonts w:ascii="Calibri" w:hAnsi="Calibri"/>
                <w:b w:val="0"/>
                <w:sz w:val="15"/>
              </w:rPr>
              <w:t>Like-for-like sales</w:t>
            </w:r>
          </w:p>
        </w:tc>
        <w:tc>
          <w:tcPr>
            <w:tcW w:type="dxa" w:w="2664"/>
          </w:tcPr>
          <w:p>
            <w:pPr>
              <w:spacing w:after="20" w:before="20"/>
            </w:pPr>
            <w:r/>
            <w:r>
              <w:rPr>
                <w:rFonts w:ascii="Calibri" w:hAnsi="Calibri"/>
                <w:b w:val="0"/>
                <w:sz w:val="15"/>
              </w:rPr>
              <w:t>+4.6% (group +4.8%)</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Sale of merchandise</w:t>
            </w:r>
          </w:p>
        </w:tc>
      </w:tr>
      <w:tr>
        <w:tc>
          <w:tcPr>
            <w:tcW w:type="dxa" w:w="432"/>
            <w:shd w:val="clear" w:color="auto" w:fill="FBEEEC"/>
          </w:tcPr>
          <w:p>
            <w:pPr>
              <w:spacing w:after="20" w:before="20"/>
              <w:jc w:val="center"/>
            </w:pPr>
            <w:r/>
            <w:r>
              <w:rPr>
                <w:rFonts w:ascii="Calibri" w:hAnsi="Calibri"/>
                <w:b/>
                <w:sz w:val="15"/>
              </w:rPr>
              <w:t>4</w:t>
            </w:r>
          </w:p>
        </w:tc>
        <w:tc>
          <w:tcPr>
            <w:tcW w:type="dxa" w:w="2880"/>
            <w:shd w:val="clear" w:color="auto" w:fill="FBEEEC"/>
          </w:tcPr>
          <w:p>
            <w:pPr>
              <w:spacing w:after="20" w:before="20"/>
            </w:pPr>
            <w:r/>
            <w:r>
              <w:rPr>
                <w:rFonts w:ascii="Calibri" w:hAnsi="Calibri"/>
                <w:b w:val="0"/>
                <w:sz w:val="15"/>
              </w:rPr>
              <w:t>Gross margin</w:t>
            </w:r>
          </w:p>
        </w:tc>
        <w:tc>
          <w:tcPr>
            <w:tcW w:type="dxa" w:w="2664"/>
            <w:shd w:val="clear" w:color="auto" w:fill="FBEEEC"/>
          </w:tcPr>
          <w:p>
            <w:pPr>
              <w:spacing w:after="20" w:before="20"/>
            </w:pPr>
            <w:r/>
            <w:r>
              <w:rPr>
                <w:rFonts w:ascii="Calibri" w:hAnsi="Calibri"/>
                <w:b w:val="0"/>
                <w:sz w:val="15"/>
              </w:rPr>
              <w:t>24.3% (+40bps)</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Gross margin</w:t>
            </w:r>
          </w:p>
        </w:tc>
      </w:tr>
      <w:tr>
        <w:tc>
          <w:tcPr>
            <w:tcW w:type="dxa" w:w="432"/>
          </w:tcPr>
          <w:p>
            <w:pPr>
              <w:spacing w:after="20" w:before="20"/>
              <w:jc w:val="center"/>
            </w:pPr>
            <w:r/>
            <w:r>
              <w:rPr>
                <w:rFonts w:ascii="Calibri" w:hAnsi="Calibri"/>
                <w:b/>
                <w:sz w:val="15"/>
              </w:rPr>
              <w:t>5</w:t>
            </w:r>
          </w:p>
        </w:tc>
        <w:tc>
          <w:tcPr>
            <w:tcW w:type="dxa" w:w="2880"/>
          </w:tcPr>
          <w:p>
            <w:pPr>
              <w:spacing w:after="20" w:before="20"/>
            </w:pPr>
            <w:r/>
            <w:r>
              <w:rPr>
                <w:rFonts w:ascii="Calibri" w:hAnsi="Calibri"/>
                <w:b w:val="0"/>
                <w:sz w:val="15"/>
              </w:rPr>
              <w:t>Trading profit / margin</w:t>
            </w:r>
          </w:p>
        </w:tc>
        <w:tc>
          <w:tcPr>
            <w:tcW w:type="dxa" w:w="2664"/>
          </w:tcPr>
          <w:p>
            <w:pPr>
              <w:spacing w:after="20" w:before="20"/>
            </w:pPr>
            <w:r/>
            <w:r>
              <w:rPr>
                <w:rFonts w:ascii="Calibri" w:hAnsi="Calibri"/>
                <w:b w:val="0"/>
                <w:sz w:val="15"/>
              </w:rPr>
              <w:t>R15.0bn (+16.6%) / 5.9%</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Trading profit</w:t>
            </w:r>
          </w:p>
        </w:tc>
      </w:tr>
      <w:tr>
        <w:tc>
          <w:tcPr>
            <w:tcW w:type="dxa" w:w="432"/>
            <w:shd w:val="clear" w:color="auto" w:fill="FBEEEC"/>
          </w:tcPr>
          <w:p>
            <w:pPr>
              <w:spacing w:after="20" w:before="20"/>
              <w:jc w:val="center"/>
            </w:pPr>
            <w:r/>
            <w:r>
              <w:rPr>
                <w:rFonts w:ascii="Calibri" w:hAnsi="Calibri"/>
                <w:b/>
                <w:sz w:val="15"/>
              </w:rPr>
              <w:t>6</w:t>
            </w:r>
          </w:p>
        </w:tc>
        <w:tc>
          <w:tcPr>
            <w:tcW w:type="dxa" w:w="2880"/>
            <w:shd w:val="clear" w:color="auto" w:fill="FBEEEC"/>
          </w:tcPr>
          <w:p>
            <w:pPr>
              <w:spacing w:after="20" w:before="20"/>
            </w:pPr>
            <w:r/>
            <w:r>
              <w:rPr>
                <w:rFonts w:ascii="Calibri" w:hAnsi="Calibri"/>
                <w:b w:val="0"/>
                <w:sz w:val="15"/>
              </w:rPr>
              <w:t>HEPS (continuing)</w:t>
            </w:r>
          </w:p>
        </w:tc>
        <w:tc>
          <w:tcPr>
            <w:tcW w:type="dxa" w:w="2664"/>
            <w:shd w:val="clear" w:color="auto" w:fill="FBEEEC"/>
          </w:tcPr>
          <w:p>
            <w:pPr>
              <w:spacing w:after="20" w:before="20"/>
            </w:pPr>
            <w:r/>
            <w:r>
              <w:rPr>
                <w:rFonts w:ascii="Calibri" w:hAnsi="Calibri"/>
                <w:b w:val="0"/>
                <w:sz w:val="15"/>
              </w:rPr>
              <w:t>1,372.1cps (+15.8%)</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EPS table</w:t>
            </w:r>
          </w:p>
        </w:tc>
      </w:tr>
      <w:tr>
        <w:tc>
          <w:tcPr>
            <w:tcW w:type="dxa" w:w="432"/>
          </w:tcPr>
          <w:p>
            <w:pPr>
              <w:spacing w:after="20" w:before="20"/>
              <w:jc w:val="center"/>
            </w:pPr>
            <w:r/>
            <w:r>
              <w:rPr>
                <w:rFonts w:ascii="Calibri" w:hAnsi="Calibri"/>
                <w:b/>
                <w:sz w:val="15"/>
              </w:rPr>
              <w:t>7</w:t>
            </w:r>
          </w:p>
        </w:tc>
        <w:tc>
          <w:tcPr>
            <w:tcW w:type="dxa" w:w="2880"/>
          </w:tcPr>
          <w:p>
            <w:pPr>
              <w:spacing w:after="20" w:before="20"/>
            </w:pPr>
            <w:r/>
            <w:r>
              <w:rPr>
                <w:rFonts w:ascii="Calibri" w:hAnsi="Calibri"/>
                <w:b w:val="0"/>
                <w:sz w:val="15"/>
              </w:rPr>
              <w:t>Diluted HEPS (continuing)</w:t>
            </w:r>
          </w:p>
        </w:tc>
        <w:tc>
          <w:tcPr>
            <w:tcW w:type="dxa" w:w="2664"/>
          </w:tcPr>
          <w:p>
            <w:pPr>
              <w:spacing w:after="20" w:before="20"/>
            </w:pPr>
            <w:r/>
            <w:r>
              <w:rPr>
                <w:rFonts w:ascii="Calibri" w:hAnsi="Calibri"/>
                <w:b w:val="0"/>
                <w:sz w:val="15"/>
              </w:rPr>
              <w:t>1,367.2cps (+15.8%)</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Key information / EPS</w:t>
            </w:r>
          </w:p>
        </w:tc>
      </w:tr>
      <w:tr>
        <w:tc>
          <w:tcPr>
            <w:tcW w:type="dxa" w:w="432"/>
            <w:shd w:val="clear" w:color="auto" w:fill="FBEEEC"/>
          </w:tcPr>
          <w:p>
            <w:pPr>
              <w:spacing w:after="20" w:before="20"/>
              <w:jc w:val="center"/>
            </w:pPr>
            <w:r/>
            <w:r>
              <w:rPr>
                <w:rFonts w:ascii="Calibri" w:hAnsi="Calibri"/>
                <w:b/>
                <w:sz w:val="15"/>
              </w:rPr>
              <w:t>8</w:t>
            </w:r>
          </w:p>
        </w:tc>
        <w:tc>
          <w:tcPr>
            <w:tcW w:type="dxa" w:w="2880"/>
            <w:shd w:val="clear" w:color="auto" w:fill="FBEEEC"/>
          </w:tcPr>
          <w:p>
            <w:pPr>
              <w:spacing w:after="20" w:before="20"/>
            </w:pPr>
            <w:r/>
            <w:r>
              <w:rPr>
                <w:rFonts w:ascii="Calibri" w:hAnsi="Calibri"/>
                <w:b w:val="0"/>
                <w:sz w:val="15"/>
              </w:rPr>
              <w:t>Adjusted DHEPS</w:t>
            </w:r>
          </w:p>
        </w:tc>
        <w:tc>
          <w:tcPr>
            <w:tcW w:type="dxa" w:w="2664"/>
            <w:shd w:val="clear" w:color="auto" w:fill="FBEEEC"/>
          </w:tcPr>
          <w:p>
            <w:pPr>
              <w:spacing w:after="20" w:before="20"/>
            </w:pPr>
            <w:r/>
            <w:r>
              <w:rPr>
                <w:rFonts w:ascii="Calibri" w:hAnsi="Calibri"/>
                <w:b w:val="0"/>
                <w:sz w:val="15"/>
              </w:rPr>
              <w:t>1,410.2cps (+16.2%)</w:t>
            </w:r>
          </w:p>
        </w:tc>
        <w:tc>
          <w:tcPr>
            <w:tcW w:type="dxa" w:w="2232"/>
            <w:shd w:val="clear" w:color="auto" w:fill="FBEEEC"/>
          </w:tcPr>
          <w:p>
            <w:pPr>
              <w:spacing w:after="20" w:before="20"/>
            </w:pPr>
            <w:r/>
            <w:r>
              <w:rPr>
                <w:rFonts w:ascii="Calibri" w:hAnsi="Calibri"/>
                <w:b w:val="0"/>
                <w:sz w:val="15"/>
              </w:rPr>
              <w:t>Reported (pro forma)</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EPS — adjusted DHEPS</w:t>
            </w:r>
          </w:p>
        </w:tc>
      </w:tr>
      <w:tr>
        <w:tc>
          <w:tcPr>
            <w:tcW w:type="dxa" w:w="432"/>
          </w:tcPr>
          <w:p>
            <w:pPr>
              <w:spacing w:after="20" w:before="20"/>
              <w:jc w:val="center"/>
            </w:pPr>
            <w:r/>
            <w:r>
              <w:rPr>
                <w:rFonts w:ascii="Calibri" w:hAnsi="Calibri"/>
                <w:b/>
                <w:sz w:val="15"/>
              </w:rPr>
              <w:t>9</w:t>
            </w:r>
          </w:p>
        </w:tc>
        <w:tc>
          <w:tcPr>
            <w:tcW w:type="dxa" w:w="2880"/>
          </w:tcPr>
          <w:p>
            <w:pPr>
              <w:spacing w:after="20" w:before="20"/>
            </w:pPr>
            <w:r/>
            <w:r>
              <w:rPr>
                <w:rFonts w:ascii="Calibri" w:hAnsi="Calibri"/>
                <w:b w:val="0"/>
                <w:sz w:val="15"/>
              </w:rPr>
              <w:t>Basic EPS (continuing)</w:t>
            </w:r>
          </w:p>
        </w:tc>
        <w:tc>
          <w:tcPr>
            <w:tcW w:type="dxa" w:w="2664"/>
          </w:tcPr>
          <w:p>
            <w:pPr>
              <w:spacing w:after="20" w:before="20"/>
            </w:pPr>
            <w:r/>
            <w:r>
              <w:rPr>
                <w:rFonts w:ascii="Calibri" w:hAnsi="Calibri"/>
                <w:b w:val="0"/>
                <w:sz w:val="15"/>
              </w:rPr>
              <w:t>1,367.2cps (+18.9%)</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EPS table</w:t>
            </w:r>
          </w:p>
        </w:tc>
      </w:tr>
      <w:tr>
        <w:tc>
          <w:tcPr>
            <w:tcW w:type="dxa" w:w="432"/>
            <w:shd w:val="clear" w:color="auto" w:fill="FBEEEC"/>
          </w:tcPr>
          <w:p>
            <w:pPr>
              <w:spacing w:after="20" w:before="20"/>
              <w:jc w:val="center"/>
            </w:pPr>
            <w:r/>
            <w:r>
              <w:rPr>
                <w:rFonts w:ascii="Calibri" w:hAnsi="Calibri"/>
                <w:b/>
                <w:sz w:val="15"/>
              </w:rPr>
              <w:t>10</w:t>
            </w:r>
          </w:p>
        </w:tc>
        <w:tc>
          <w:tcPr>
            <w:tcW w:type="dxa" w:w="2880"/>
            <w:shd w:val="clear" w:color="auto" w:fill="FBEEEC"/>
          </w:tcPr>
          <w:p>
            <w:pPr>
              <w:spacing w:after="20" w:before="20"/>
            </w:pPr>
            <w:r/>
            <w:r>
              <w:rPr>
                <w:rFonts w:ascii="Calibri" w:hAnsi="Calibri"/>
                <w:b w:val="0"/>
                <w:sz w:val="15"/>
              </w:rPr>
              <w:t>HEPS incl. discontinued</w:t>
            </w:r>
          </w:p>
        </w:tc>
        <w:tc>
          <w:tcPr>
            <w:tcW w:type="dxa" w:w="2664"/>
            <w:shd w:val="clear" w:color="auto" w:fill="FBEEEC"/>
          </w:tcPr>
          <w:p>
            <w:pPr>
              <w:spacing w:after="20" w:before="20"/>
            </w:pPr>
            <w:r/>
            <w:r>
              <w:rPr>
                <w:rFonts w:ascii="Calibri" w:hAnsi="Calibri"/>
                <w:b w:val="0"/>
                <w:sz w:val="15"/>
              </w:rPr>
              <w:t>1,431.6cps (+20.2%)</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EPS table</w:t>
            </w:r>
          </w:p>
        </w:tc>
      </w:tr>
      <w:tr>
        <w:tc>
          <w:tcPr>
            <w:tcW w:type="dxa" w:w="432"/>
          </w:tcPr>
          <w:p>
            <w:pPr>
              <w:spacing w:after="20" w:before="20"/>
              <w:jc w:val="center"/>
            </w:pPr>
            <w:r/>
            <w:r>
              <w:rPr>
                <w:rFonts w:ascii="Calibri" w:hAnsi="Calibri"/>
                <w:b/>
                <w:sz w:val="15"/>
              </w:rPr>
              <w:t>11</w:t>
            </w:r>
          </w:p>
        </w:tc>
        <w:tc>
          <w:tcPr>
            <w:tcW w:type="dxa" w:w="2880"/>
          </w:tcPr>
          <w:p>
            <w:pPr>
              <w:spacing w:after="20" w:before="20"/>
            </w:pPr>
            <w:r/>
            <w:r>
              <w:rPr>
                <w:rFonts w:ascii="Calibri" w:hAnsi="Calibri"/>
                <w:b w:val="0"/>
                <w:sz w:val="15"/>
              </w:rPr>
              <w:t>DPS total / final / interim</w:t>
            </w:r>
          </w:p>
        </w:tc>
        <w:tc>
          <w:tcPr>
            <w:tcW w:type="dxa" w:w="2664"/>
          </w:tcPr>
          <w:p>
            <w:pPr>
              <w:spacing w:after="20" w:before="20"/>
            </w:pPr>
            <w:r/>
            <w:r>
              <w:rPr>
                <w:rFonts w:ascii="Calibri" w:hAnsi="Calibri"/>
                <w:b w:val="0"/>
                <w:sz w:val="15"/>
              </w:rPr>
              <w:t>781 / 496 / 285cps</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Dividend declaration</w:t>
            </w:r>
          </w:p>
        </w:tc>
      </w:tr>
      <w:tr>
        <w:tc>
          <w:tcPr>
            <w:tcW w:type="dxa" w:w="432"/>
            <w:shd w:val="clear" w:color="auto" w:fill="FBEEEC"/>
          </w:tcPr>
          <w:p>
            <w:pPr>
              <w:spacing w:after="20" w:before="20"/>
              <w:jc w:val="center"/>
            </w:pPr>
            <w:r/>
            <w:r>
              <w:rPr>
                <w:rFonts w:ascii="Calibri" w:hAnsi="Calibri"/>
                <w:b/>
                <w:sz w:val="15"/>
              </w:rPr>
              <w:t>12</w:t>
            </w:r>
          </w:p>
        </w:tc>
        <w:tc>
          <w:tcPr>
            <w:tcW w:type="dxa" w:w="2880"/>
            <w:shd w:val="clear" w:color="auto" w:fill="FBEEEC"/>
          </w:tcPr>
          <w:p>
            <w:pPr>
              <w:spacing w:after="20" w:before="20"/>
            </w:pPr>
            <w:r/>
            <w:r>
              <w:rPr>
                <w:rFonts w:ascii="Calibri" w:hAnsi="Calibri"/>
                <w:b w:val="0"/>
                <w:sz w:val="15"/>
              </w:rPr>
              <w:t>DPS growth</w:t>
            </w:r>
          </w:p>
        </w:tc>
        <w:tc>
          <w:tcPr>
            <w:tcW w:type="dxa" w:w="2664"/>
            <w:shd w:val="clear" w:color="auto" w:fill="FBEEEC"/>
          </w:tcPr>
          <w:p>
            <w:pPr>
              <w:spacing w:after="20" w:before="20"/>
            </w:pPr>
            <w:r/>
            <w:r>
              <w:rPr>
                <w:rFonts w:ascii="Calibri" w:hAnsi="Calibri"/>
                <w:b w:val="0"/>
                <w:sz w:val="15"/>
              </w:rPr>
              <w:t>+9.7% (781 vs 712)</w:t>
            </w:r>
          </w:p>
        </w:tc>
        <w:tc>
          <w:tcPr>
            <w:tcW w:type="dxa" w:w="2232"/>
            <w:shd w:val="clear" w:color="auto" w:fill="FBEEEC"/>
          </w:tcPr>
          <w:p>
            <w:pPr>
              <w:spacing w:after="20" w:before="20"/>
            </w:pPr>
            <w:r/>
            <w:r>
              <w:rPr>
                <w:rFonts w:ascii="Calibri" w:hAnsi="Calibri"/>
                <w:b w:val="0"/>
                <w:sz w:val="15"/>
              </w:rPr>
              <w:t>Derived: 781 ÷ 712 − 1</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Dividend declaration</w:t>
            </w:r>
          </w:p>
        </w:tc>
      </w:tr>
      <w:tr>
        <w:tc>
          <w:tcPr>
            <w:tcW w:type="dxa" w:w="432"/>
          </w:tcPr>
          <w:p>
            <w:pPr>
              <w:spacing w:after="20" w:before="20"/>
              <w:jc w:val="center"/>
            </w:pPr>
            <w:r/>
            <w:r>
              <w:rPr>
                <w:rFonts w:ascii="Calibri" w:hAnsi="Calibri"/>
                <w:b/>
                <w:sz w:val="15"/>
              </w:rPr>
              <w:t>13</w:t>
            </w:r>
          </w:p>
        </w:tc>
        <w:tc>
          <w:tcPr>
            <w:tcW w:type="dxa" w:w="2880"/>
          </w:tcPr>
          <w:p>
            <w:pPr>
              <w:spacing w:after="20" w:before="20"/>
            </w:pPr>
            <w:r/>
            <w:r>
              <w:rPr>
                <w:rFonts w:ascii="Calibri" w:hAnsi="Calibri"/>
                <w:b w:val="0"/>
                <w:sz w:val="15"/>
              </w:rPr>
              <w:t>Net cash</w:t>
            </w:r>
          </w:p>
        </w:tc>
        <w:tc>
          <w:tcPr>
            <w:tcW w:type="dxa" w:w="2664"/>
          </w:tcPr>
          <w:p>
            <w:pPr>
              <w:spacing w:after="20" w:before="20"/>
            </w:pPr>
            <w:r/>
            <w:r>
              <w:rPr>
                <w:rFonts w:ascii="Calibri" w:hAnsi="Calibri"/>
                <w:b w:val="0"/>
                <w:sz w:val="15"/>
              </w:rPr>
              <w:t>R8.1bn (R8,088m vs R8,840m)</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Net cash</w:t>
            </w:r>
          </w:p>
        </w:tc>
      </w:tr>
      <w:tr>
        <w:tc>
          <w:tcPr>
            <w:tcW w:type="dxa" w:w="432"/>
            <w:shd w:val="clear" w:color="auto" w:fill="FBEEEC"/>
          </w:tcPr>
          <w:p>
            <w:pPr>
              <w:spacing w:after="20" w:before="20"/>
              <w:jc w:val="center"/>
            </w:pPr>
            <w:r/>
            <w:r>
              <w:rPr>
                <w:rFonts w:ascii="Calibri" w:hAnsi="Calibri"/>
                <w:b/>
                <w:sz w:val="15"/>
              </w:rPr>
              <w:t>14</w:t>
            </w:r>
          </w:p>
        </w:tc>
        <w:tc>
          <w:tcPr>
            <w:tcW w:type="dxa" w:w="2880"/>
            <w:shd w:val="clear" w:color="auto" w:fill="FBEEEC"/>
          </w:tcPr>
          <w:p>
            <w:pPr>
              <w:spacing w:after="20" w:before="20"/>
            </w:pPr>
            <w:r/>
            <w:r>
              <w:rPr>
                <w:rFonts w:ascii="Calibri" w:hAnsi="Calibri"/>
                <w:b w:val="0"/>
                <w:sz w:val="15"/>
              </w:rPr>
              <w:t>Total borrowings</w:t>
            </w:r>
          </w:p>
        </w:tc>
        <w:tc>
          <w:tcPr>
            <w:tcW w:type="dxa" w:w="2664"/>
            <w:shd w:val="clear" w:color="auto" w:fill="FBEEEC"/>
          </w:tcPr>
          <w:p>
            <w:pPr>
              <w:spacing w:after="20" w:before="20"/>
            </w:pPr>
            <w:r/>
            <w:r>
              <w:rPr>
                <w:rFonts w:ascii="Calibri" w:hAnsi="Calibri"/>
                <w:b w:val="0"/>
                <w:sz w:val="15"/>
              </w:rPr>
              <w:t>R7.0bn (+R1.0bn)</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Borrowings &amp; lease liabilities</w:t>
            </w:r>
          </w:p>
        </w:tc>
      </w:tr>
      <w:tr>
        <w:tc>
          <w:tcPr>
            <w:tcW w:type="dxa" w:w="432"/>
          </w:tcPr>
          <w:p>
            <w:pPr>
              <w:spacing w:after="20" w:before="20"/>
              <w:jc w:val="center"/>
            </w:pPr>
            <w:r/>
            <w:r>
              <w:rPr>
                <w:rFonts w:ascii="Calibri" w:hAnsi="Calibri"/>
                <w:b/>
                <w:sz w:val="15"/>
              </w:rPr>
              <w:t>15</w:t>
            </w:r>
          </w:p>
        </w:tc>
        <w:tc>
          <w:tcPr>
            <w:tcW w:type="dxa" w:w="2880"/>
          </w:tcPr>
          <w:p>
            <w:pPr>
              <w:spacing w:after="20" w:before="20"/>
            </w:pPr>
            <w:r/>
            <w:r>
              <w:rPr>
                <w:rFonts w:ascii="Calibri" w:hAnsi="Calibri"/>
                <w:b w:val="0"/>
                <w:sz w:val="15"/>
              </w:rPr>
              <w:t>ROIC / WACC / ROE</w:t>
            </w:r>
          </w:p>
        </w:tc>
        <w:tc>
          <w:tcPr>
            <w:tcW w:type="dxa" w:w="2664"/>
          </w:tcPr>
          <w:p>
            <w:pPr>
              <w:spacing w:after="20" w:before="20"/>
            </w:pPr>
            <w:r/>
            <w:r>
              <w:rPr>
                <w:rFonts w:ascii="Calibri" w:hAnsi="Calibri"/>
                <w:b w:val="0"/>
                <w:sz w:val="15"/>
              </w:rPr>
              <w:t>19.4% / 13.5% / 26.7%</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Returns</w:t>
            </w:r>
          </w:p>
        </w:tc>
      </w:tr>
      <w:tr>
        <w:tc>
          <w:tcPr>
            <w:tcW w:type="dxa" w:w="432"/>
            <w:shd w:val="clear" w:color="auto" w:fill="FBEEEC"/>
          </w:tcPr>
          <w:p>
            <w:pPr>
              <w:spacing w:after="20" w:before="20"/>
              <w:jc w:val="center"/>
            </w:pPr>
            <w:r/>
            <w:r>
              <w:rPr>
                <w:rFonts w:ascii="Calibri" w:hAnsi="Calibri"/>
                <w:b/>
                <w:sz w:val="15"/>
              </w:rPr>
              <w:t>16</w:t>
            </w:r>
          </w:p>
        </w:tc>
        <w:tc>
          <w:tcPr>
            <w:tcW w:type="dxa" w:w="2880"/>
            <w:shd w:val="clear" w:color="auto" w:fill="FBEEEC"/>
          </w:tcPr>
          <w:p>
            <w:pPr>
              <w:spacing w:after="20" w:before="20"/>
            </w:pPr>
            <w:r/>
            <w:r>
              <w:rPr>
                <w:rFonts w:ascii="Calibri" w:hAnsi="Calibri"/>
                <w:b w:val="0"/>
                <w:sz w:val="15"/>
              </w:rPr>
              <w:t>Net finance costs</w:t>
            </w:r>
          </w:p>
        </w:tc>
        <w:tc>
          <w:tcPr>
            <w:tcW w:type="dxa" w:w="2664"/>
            <w:shd w:val="clear" w:color="auto" w:fill="FBEEEC"/>
          </w:tcPr>
          <w:p>
            <w:pPr>
              <w:spacing w:after="20" w:before="20"/>
            </w:pPr>
            <w:r/>
            <w:r>
              <w:rPr>
                <w:rFonts w:ascii="Calibri" w:hAnsi="Calibri"/>
                <w:b w:val="0"/>
                <w:sz w:val="15"/>
              </w:rPr>
              <w:t>R4.8bn (+30.9%)</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Net finance costs</w:t>
            </w:r>
          </w:p>
        </w:tc>
      </w:tr>
      <w:tr>
        <w:tc>
          <w:tcPr>
            <w:tcW w:type="dxa" w:w="432"/>
          </w:tcPr>
          <w:p>
            <w:pPr>
              <w:spacing w:after="20" w:before="20"/>
              <w:jc w:val="center"/>
            </w:pPr>
            <w:r/>
            <w:r>
              <w:rPr>
                <w:rFonts w:ascii="Calibri" w:hAnsi="Calibri"/>
                <w:b/>
                <w:sz w:val="15"/>
              </w:rPr>
              <w:t>17</w:t>
            </w:r>
          </w:p>
        </w:tc>
        <w:tc>
          <w:tcPr>
            <w:tcW w:type="dxa" w:w="2880"/>
          </w:tcPr>
          <w:p>
            <w:pPr>
              <w:spacing w:after="20" w:before="20"/>
            </w:pPr>
            <w:r/>
            <w:r>
              <w:rPr>
                <w:rFonts w:ascii="Calibri" w:hAnsi="Calibri"/>
                <w:b w:val="0"/>
                <w:sz w:val="15"/>
              </w:rPr>
              <w:t>Sixty60 sales</w:t>
            </w:r>
          </w:p>
        </w:tc>
        <w:tc>
          <w:tcPr>
            <w:tcW w:type="dxa" w:w="2664"/>
          </w:tcPr>
          <w:p>
            <w:pPr>
              <w:spacing w:after="20" w:before="20"/>
            </w:pPr>
            <w:r/>
            <w:r>
              <w:rPr>
                <w:rFonts w:ascii="Calibri" w:hAnsi="Calibri"/>
                <w:b w:val="0"/>
                <w:sz w:val="15"/>
              </w:rPr>
              <w:t>R18.9bn (+47.7%)</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On-demand digital commerce</w:t>
            </w:r>
          </w:p>
        </w:tc>
      </w:tr>
      <w:tr>
        <w:tc>
          <w:tcPr>
            <w:tcW w:type="dxa" w:w="432"/>
            <w:shd w:val="clear" w:color="auto" w:fill="FBEEEC"/>
          </w:tcPr>
          <w:p>
            <w:pPr>
              <w:spacing w:after="20" w:before="20"/>
              <w:jc w:val="center"/>
            </w:pPr>
            <w:r/>
            <w:r>
              <w:rPr>
                <w:rFonts w:ascii="Calibri" w:hAnsi="Calibri"/>
                <w:b/>
                <w:sz w:val="15"/>
              </w:rPr>
              <w:t>18</w:t>
            </w:r>
          </w:p>
        </w:tc>
        <w:tc>
          <w:tcPr>
            <w:tcW w:type="dxa" w:w="2880"/>
            <w:shd w:val="clear" w:color="auto" w:fill="FBEEEC"/>
          </w:tcPr>
          <w:p>
            <w:pPr>
              <w:spacing w:after="20" w:before="20"/>
            </w:pPr>
            <w:r/>
            <w:r>
              <w:rPr>
                <w:rFonts w:ascii="Calibri" w:hAnsi="Calibri"/>
                <w:b w:val="0"/>
                <w:sz w:val="15"/>
              </w:rPr>
              <w:t>Supermarkets RSA</w:t>
            </w:r>
          </w:p>
        </w:tc>
        <w:tc>
          <w:tcPr>
            <w:tcW w:type="dxa" w:w="2664"/>
            <w:shd w:val="clear" w:color="auto" w:fill="FBEEEC"/>
          </w:tcPr>
          <w:p>
            <w:pPr>
              <w:spacing w:after="20" w:before="20"/>
            </w:pPr>
            <w:r/>
            <w:r>
              <w:rPr>
                <w:rFonts w:ascii="Calibri" w:hAnsi="Calibri"/>
                <w:b w:val="0"/>
                <w:sz w:val="15"/>
              </w:rPr>
              <w:t>R213.5bn (+9.5%); TP +15.5%</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Segments</w:t>
            </w:r>
          </w:p>
        </w:tc>
      </w:tr>
      <w:tr>
        <w:tc>
          <w:tcPr>
            <w:tcW w:type="dxa" w:w="432"/>
          </w:tcPr>
          <w:p>
            <w:pPr>
              <w:spacing w:after="20" w:before="20"/>
              <w:jc w:val="center"/>
            </w:pPr>
            <w:r/>
            <w:r>
              <w:rPr>
                <w:rFonts w:ascii="Calibri" w:hAnsi="Calibri"/>
                <w:b/>
                <w:sz w:val="15"/>
              </w:rPr>
              <w:t>19</w:t>
            </w:r>
          </w:p>
        </w:tc>
        <w:tc>
          <w:tcPr>
            <w:tcW w:type="dxa" w:w="2880"/>
          </w:tcPr>
          <w:p>
            <w:pPr>
              <w:spacing w:after="20" w:before="20"/>
            </w:pPr>
            <w:r/>
            <w:r>
              <w:rPr>
                <w:rFonts w:ascii="Calibri" w:hAnsi="Calibri"/>
                <w:b w:val="0"/>
                <w:sz w:val="15"/>
              </w:rPr>
              <w:t>Store footprint</w:t>
            </w:r>
          </w:p>
        </w:tc>
        <w:tc>
          <w:tcPr>
            <w:tcW w:type="dxa" w:w="2664"/>
          </w:tcPr>
          <w:p>
            <w:pPr>
              <w:spacing w:after="20" w:before="20"/>
            </w:pPr>
            <w:r/>
            <w:r>
              <w:rPr>
                <w:rFonts w:ascii="Calibri" w:hAnsi="Calibri"/>
                <w:b w:val="0"/>
                <w:sz w:val="15"/>
              </w:rPr>
              <w:t>3,478; net +281</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Key info / commentary</w:t>
            </w:r>
          </w:p>
        </w:tc>
      </w:tr>
      <w:tr>
        <w:tc>
          <w:tcPr>
            <w:tcW w:type="dxa" w:w="432"/>
            <w:shd w:val="clear" w:color="auto" w:fill="FBEEEC"/>
          </w:tcPr>
          <w:p>
            <w:pPr>
              <w:spacing w:after="20" w:before="20"/>
              <w:jc w:val="center"/>
            </w:pPr>
            <w:r/>
            <w:r>
              <w:rPr>
                <w:rFonts w:ascii="Calibri" w:hAnsi="Calibri"/>
                <w:b/>
                <w:sz w:val="15"/>
              </w:rPr>
              <w:t>20</w:t>
            </w:r>
          </w:p>
        </w:tc>
        <w:tc>
          <w:tcPr>
            <w:tcW w:type="dxa" w:w="2880"/>
            <w:shd w:val="clear" w:color="auto" w:fill="FBEEEC"/>
          </w:tcPr>
          <w:p>
            <w:pPr>
              <w:spacing w:after="20" w:before="20"/>
            </w:pPr>
            <w:r/>
            <w:r>
              <w:rPr>
                <w:rFonts w:ascii="Calibri" w:hAnsi="Calibri"/>
                <w:b w:val="0"/>
                <w:sz w:val="15"/>
              </w:rPr>
              <w:t>FY2026 month-1 price inflation</w:t>
            </w:r>
          </w:p>
        </w:tc>
        <w:tc>
          <w:tcPr>
            <w:tcW w:type="dxa" w:w="2664"/>
            <w:shd w:val="clear" w:color="auto" w:fill="FBEEEC"/>
          </w:tcPr>
          <w:p>
            <w:pPr>
              <w:spacing w:after="20" w:before="20"/>
            </w:pPr>
            <w:r/>
            <w:r>
              <w:rPr>
                <w:rFonts w:ascii="Calibri" w:hAnsi="Calibri"/>
                <w:b w:val="0"/>
                <w:sz w:val="15"/>
              </w:rPr>
              <w:t>1.8%</w:t>
            </w:r>
          </w:p>
        </w:tc>
        <w:tc>
          <w:tcPr>
            <w:tcW w:type="dxa" w:w="2232"/>
            <w:shd w:val="clear" w:color="auto" w:fill="FBEEEC"/>
          </w:tcPr>
          <w:p>
            <w:pPr>
              <w:spacing w:after="20" w:before="20"/>
            </w:pPr>
            <w:r/>
            <w:r>
              <w:rPr>
                <w:rFonts w:ascii="Calibri" w:hAnsi="Calibri"/>
                <w:b w:val="0"/>
                <w:sz w:val="15"/>
              </w:rPr>
              <w:t>Reported</w:t>
            </w:r>
          </w:p>
        </w:tc>
        <w:tc>
          <w:tcPr>
            <w:tcW w:type="dxa" w:w="720"/>
            <w:shd w:val="clear" w:color="auto" w:fill="FBEEEC"/>
          </w:tcPr>
          <w:p>
            <w:pPr>
              <w:spacing w:after="20" w:before="20"/>
              <w:jc w:val="center"/>
            </w:pPr>
            <w:r/>
            <w:r>
              <w:rPr>
                <w:rFonts w:ascii="Calibri" w:hAnsi="Calibri"/>
                <w:b w:val="0"/>
                <w:sz w:val="15"/>
              </w:rPr>
              <w:t>SH1</w:t>
            </w:r>
          </w:p>
        </w:tc>
        <w:tc>
          <w:tcPr>
            <w:tcW w:type="dxa" w:w="2304"/>
            <w:shd w:val="clear" w:color="auto" w:fill="FBEEEC"/>
          </w:tcPr>
          <w:p>
            <w:pPr>
              <w:spacing w:after="20" w:before="20"/>
            </w:pPr>
            <w:r/>
            <w:r>
              <w:rPr>
                <w:rFonts w:ascii="Calibri" w:hAnsi="Calibri"/>
                <w:b w:val="0"/>
                <w:sz w:val="15"/>
              </w:rPr>
              <w:t>Group outlook</w:t>
            </w:r>
          </w:p>
        </w:tc>
      </w:tr>
      <w:tr>
        <w:tc>
          <w:tcPr>
            <w:tcW w:type="dxa" w:w="432"/>
          </w:tcPr>
          <w:p>
            <w:pPr>
              <w:spacing w:after="20" w:before="20"/>
              <w:jc w:val="center"/>
            </w:pPr>
            <w:r/>
            <w:r>
              <w:rPr>
                <w:rFonts w:ascii="Calibri" w:hAnsi="Calibri"/>
                <w:b/>
                <w:sz w:val="15"/>
              </w:rPr>
              <w:t>21</w:t>
            </w:r>
          </w:p>
        </w:tc>
        <w:tc>
          <w:tcPr>
            <w:tcW w:type="dxa" w:w="2880"/>
          </w:tcPr>
          <w:p>
            <w:pPr>
              <w:spacing w:after="20" w:before="20"/>
            </w:pPr>
            <w:r/>
            <w:r>
              <w:rPr>
                <w:rFonts w:ascii="Calibri" w:hAnsi="Calibri"/>
                <w:b w:val="0"/>
                <w:sz w:val="15"/>
              </w:rPr>
              <w:t>FY2024 restatement (IFRS 5)</w:t>
            </w:r>
          </w:p>
        </w:tc>
        <w:tc>
          <w:tcPr>
            <w:tcW w:type="dxa" w:w="2664"/>
          </w:tcPr>
          <w:p>
            <w:pPr>
              <w:spacing w:after="20" w:before="20"/>
            </w:pPr>
            <w:r/>
            <w:r>
              <w:rPr>
                <w:rFonts w:ascii="Calibri" w:hAnsi="Calibri"/>
                <w:b w:val="0"/>
                <w:sz w:val="15"/>
              </w:rPr>
              <w:t>—</w:t>
            </w:r>
          </w:p>
        </w:tc>
        <w:tc>
          <w:tcPr>
            <w:tcW w:type="dxa" w:w="2232"/>
          </w:tcPr>
          <w:p>
            <w:pPr>
              <w:spacing w:after="20" w:before="20"/>
            </w:pPr>
            <w:r/>
            <w:r>
              <w:rPr>
                <w:rFonts w:ascii="Calibri" w:hAnsi="Calibri"/>
                <w:b w:val="0"/>
                <w:sz w:val="15"/>
              </w:rPr>
              <w:t>Reported</w:t>
            </w:r>
          </w:p>
        </w:tc>
        <w:tc>
          <w:tcPr>
            <w:tcW w:type="dxa" w:w="720"/>
          </w:tcPr>
          <w:p>
            <w:pPr>
              <w:spacing w:after="20" w:before="20"/>
              <w:jc w:val="center"/>
            </w:pPr>
            <w:r/>
            <w:r>
              <w:rPr>
                <w:rFonts w:ascii="Calibri" w:hAnsi="Calibri"/>
                <w:b w:val="0"/>
                <w:sz w:val="15"/>
              </w:rPr>
              <w:t>SH1</w:t>
            </w:r>
          </w:p>
        </w:tc>
        <w:tc>
          <w:tcPr>
            <w:tcW w:type="dxa" w:w="2304"/>
          </w:tcPr>
          <w:p>
            <w:pPr>
              <w:spacing w:after="20" w:before="20"/>
            </w:pPr>
            <w:r/>
            <w:r>
              <w:rPr>
                <w:rFonts w:ascii="Calibri" w:hAnsi="Calibri"/>
                <w:b w:val="0"/>
                <w:sz w:val="15"/>
              </w:rPr>
              <w:t>EPS footnotes</w:t>
            </w:r>
          </w:p>
        </w:tc>
      </w:tr>
    </w:tbl>
    <w:p>
      <w:pPr>
        <w:spacing w:before="240" w:after="80"/>
        <w:pBdr>
          <w:bottom w:val="single" w:sz="6" w:space="2" w:color="C0392B"/>
        </w:pBdr>
      </w:pPr>
      <w:r>
        <w:rPr>
          <w:b/>
          <w:color w:val="1F3349"/>
          <w:sz w:val="24"/>
        </w:rPr>
        <w:t>8.  Sources (full deep links)</w:t>
      </w:r>
    </w:p>
    <w:p>
      <w:pPr>
        <w:spacing w:after="60"/>
      </w:pPr>
      <w:r>
        <w:rPr>
          <w:b/>
          <w:color w:val="C0392B"/>
          <w:sz w:val="17"/>
        </w:rPr>
        <w:t xml:space="preserve">SH1  </w:t>
      </w:r>
      <w:r>
        <w:rPr>
          <w:sz w:val="17"/>
        </w:rPr>
        <w:t xml:space="preserve">Shoprite Holdings — Reviewed results for the 52 weeks ended 29 June 2025 and cash dividend declaration (SENS short-form), published 2 Sep 2025.  </w:t>
      </w:r>
      <w:hyperlink r:id="rId9">
        <w:r>
          <w:rPr>
            <w:color w:val="C0392B"/>
            <w:u w:val="single"/>
            <w:sz w:val="16"/>
          </w:rPr>
          <w:t xml:space="preserve">https://www.shopriteholdings.co.za/docs/ye2025-sep2025.pdf</w:t>
        </w:r>
      </w:hyperlink>
      <w:r>
        <w:rPr>
          <w:color w:val="555555"/>
          <w:sz w:val="15"/>
        </w:rPr>
        <w:t xml:space="preserve">   (local: companies/shoprite/annual-reports/shoprite-annual-report-fy2025-20250902.txt)</w:t>
      </w:r>
    </w:p>
    <w:p>
      <w:pPr>
        <w:spacing w:after="60"/>
      </w:pPr>
      <w:r>
        <w:rPr>
          <w:b/>
          <w:color w:val="C0392B"/>
          <w:sz w:val="17"/>
        </w:rPr>
        <w:t xml:space="preserve">SH2  </w:t>
      </w:r>
      <w:r>
        <w:rPr>
          <w:sz w:val="17"/>
        </w:rPr>
        <w:t xml:space="preserve">Shoprite Holdings investor relations (results landing &amp; SENS archive).  </w:t>
      </w:r>
      <w:hyperlink r:id="rId10">
        <w:r>
          <w:rPr>
            <w:color w:val="C0392B"/>
            <w:u w:val="single"/>
            <w:sz w:val="16"/>
          </w:rPr>
          <w:t xml:space="preserve">https://www.shopriteholdings.co.za/investor-centre.html</w:t>
        </w:r>
      </w:hyperlink>
    </w:p>
    <w:p>
      <w:pPr>
        <w:spacing w:before="200"/>
      </w:pPr>
      <w:r>
        <w:rPr>
          <w:i/>
          <w:color w:val="555555"/>
          <w:sz w:val="16"/>
        </w:rPr>
        <w:t>For informational purposes only — not investment advice. Prepared by internal research from public disclosures. Items marked Derived show their arithmetic in §7. Share prices via web search may be delayed (no live JSE feed). Only the FY2025 reviewed-results document is held locally; verify against the primary source in §8 before acting.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hopriteholdings.co.za/docs/ye2025-sep2025.pdf" TargetMode="External"/><Relationship Id="rId10" Type="http://schemas.openxmlformats.org/officeDocument/2006/relationships/hyperlink" Target="https://www.shopriteholdings.co.za/investor-cent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