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555555"/>
          <w:sz w:val="18"/>
        </w:rPr>
        <w:t>EQUITY RESEARCH — INTERNAL</w:t>
      </w:r>
    </w:p>
    <w:p>
      <w:pPr>
        <w:spacing w:after="0"/>
      </w:pPr>
      <w:r>
        <w:rPr>
          <w:b/>
          <w:color w:val="1F3349"/>
          <w:sz w:val="40"/>
        </w:rPr>
        <w:t>Woolworths Holdings Limited (JSE: WHL)</w:t>
      </w:r>
    </w:p>
    <w:p>
      <w:pPr>
        <w:spacing w:after="120"/>
      </w:pPr>
      <w:r>
        <w:rPr>
          <w:i/>
          <w:color w:val="2E75B6"/>
          <w:sz w:val="24"/>
        </w:rPr>
        <w:t>12–18 Month Forward View: Outlook, Incentives, Risks, Growth &amp; Rand Sensitivity</w:t>
      </w:r>
    </w:p>
    <w:p>
      <w:pPr>
        <w:spacing w:after="40"/>
      </w:pPr>
      <w:r>
        <w:rPr>
          <w:color w:val="555555"/>
          <w:sz w:val="17"/>
        </w:rPr>
        <w:t>Prepared 5 June 2026  |  Retail (Food + Apparel/Beauty/Home; SA &amp; Australia)  |  FY-end: late June  |  Reporting currency: ZAR (CRG in AUD)</w:t>
      </w:r>
    </w:p>
    <w:p>
      <w:pPr>
        <w:pBdr>
          <w:bottom w:val="single" w:sz="12" w:space="1" w:color="1F3349"/>
        </w:pBdr>
        <w:spacing w:after="40"/>
      </w:pPr>
    </w:p>
    <w:p>
      <w:pPr>
        <w:spacing w:after="120"/>
      </w:pPr>
      <w:r>
        <w:rPr>
          <w:i/>
          <w:color w:val="555555"/>
          <w:sz w:val="17"/>
        </w:rPr>
        <w:t xml:space="preserve">How to verify: every figure carries a superscript source key (e.g. </w:t>
      </w:r>
      <w:r>
        <w:rPr>
          <w:b/>
          <w:color w:val="2E75B6"/>
          <w:sz w:val="15"/>
          <w:vertAlign w:val="superscript"/>
        </w:rPr>
        <w:t>S1</w:t>
      </w:r>
      <w:r>
        <w:rPr>
          <w:b/>
          <w:color w:val="2E75B6"/>
          <w:sz w:val="15"/>
          <w:vertAlign w:val="superscript"/>
        </w:rPr>
        <w:t>p3</w:t>
      </w:r>
      <w:r>
        <w:rPr>
          <w:i/>
          <w:color w:val="555555"/>
          <w:sz w:val="17"/>
        </w:rPr>
        <w:t>). Tables carry a Source column; the Provenance Appendix (§8) maps every number to a document + section; the Sources list (§9) holds full clickable URLs. Real Word footnotes require the docx-js toolchain, which the workspace blocked this session — superscript keys are the documented substitute.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Executive Summary</w:t>
      </w:r>
    </w:p>
    <w:p>
      <w:pPr>
        <w:spacing w:after="120" w:line="259" w:lineRule="auto"/>
      </w:pPr>
      <w:r>
        <w:rPr>
          <w:sz w:val="21"/>
        </w:rPr>
        <w:t>Woolworths Holdings enters the next 12–18 months on an improving earnings trajectory. H1 FY2026 (26 weeks to 28 Dec 2025) confirmed the inflection: group turnover and concession sales rose 5.4% to R42.5bn (+6.1% constant currency), adjusted EBITDA +3.2% to R4.6bn, and HEPS +9.6% to 167.4cps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— a clear recovery from FY2025, when HEPS fell 23.9% on a continuing-operations basis.</w:t>
      </w:r>
      <w:r>
        <w:rPr>
          <w:b/>
          <w:color w:val="2E75B6"/>
          <w:sz w:val="15"/>
          <w:vertAlign w:val="superscript"/>
        </w:rPr>
        <w:t>S2</w:t>
      </w:r>
      <w:r>
        <w:rPr>
          <w:sz w:val="21"/>
        </w:rPr>
        <w:t xml:space="preserve"> The engine remains SA Food (~65% of sales, ROCE &gt;40%), which keeps taking share; FBH has returned to positive volume growth; and Australia’s Country Road Group (CRG) has stabilised after a torrid FY2025.</w:t>
      </w:r>
    </w:p>
    <w:p>
      <w:pPr>
        <w:spacing w:after="120" w:line="259" w:lineRule="auto"/>
      </w:pPr>
      <w:r>
        <w:rPr>
          <w:sz w:val="21"/>
        </w:rPr>
        <w:t>Base case: low-to-mid single-digit group sales growth and a return to positive HEPS growth for FY2026 (results due ~3 Sep 2026), consistent with management guidance for “an improvement in the Group’s overall financial performance for the year.”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Consensus is constructive — “Outperform”, ~R60 12-month target vs ~R50.65 (mid-May 2026), ~19% upside.</w:t>
      </w:r>
      <w:r>
        <w:rPr>
          <w:b/>
          <w:color w:val="2E75B6"/>
          <w:sz w:val="15"/>
          <w:vertAlign w:val="superscript"/>
        </w:rPr>
        <w:t>S6</w:t>
      </w:r>
      <w:r>
        <w:rPr>
          <w:sz w:val="21"/>
        </w:rPr>
        <w:t xml:space="preserve"> Swing factors: FBH gross-margin recovery, CRG durability in a weak Australian market, and the pace of SA rate relief. A 10–15% rand fall vs USD is a manageable, lagged headwind (§7).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1.  Forward Outlook — Next 12–18 Months</w:t>
      </w:r>
    </w:p>
    <w:p>
      <w:pPr>
        <w:spacing w:before="160" w:after="40"/>
      </w:pPr>
      <w:r>
        <w:rPr>
          <w:b/>
          <w:color w:val="2E75B6"/>
          <w:sz w:val="22"/>
        </w:rPr>
        <w:t>Management guidance (H1 FY2026 statement, 3 Mar 2026)</w:t>
      </w:r>
    </w:p>
    <w:p>
      <w:pPr>
        <w:pStyle w:val="ListBullet"/>
        <w:spacing w:after="60"/>
      </w:pPr>
      <w:r>
        <w:rPr>
          <w:sz w:val="21"/>
        </w:rPr>
        <w:t>SA: macro “showing positive early signs of recovery”; easing inflation and rate cuts support a gradual discretionary-spend recovery.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Australia: inflation plus a recent RBA rate hike “likely to further weaken consumer confidence,” tempering CRG recovery; prolonged discounting pressures footfall.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Group: “remain confident in our ability to deliver an improvement in the Group’s overall financial performance for the year” (FY2026); capital allocation refined toward “returns-accretive investments.” Explicitly not an earnings forecast; unaudited.</w:t>
      </w:r>
      <w:r>
        <w:rPr>
          <w:b/>
          <w:color w:val="2E75B6"/>
          <w:sz w:val="15"/>
          <w:vertAlign w:val="superscript"/>
        </w:rPr>
        <w:t>S1</w:t>
      </w:r>
    </w:p>
    <w:p>
      <w:pPr>
        <w:spacing w:before="160" w:after="40"/>
      </w:pPr>
      <w:r>
        <w:rPr>
          <w:b/>
          <w:color w:val="2E75B6"/>
          <w:sz w:val="22"/>
        </w:rPr>
        <w:t>Our read (analyst judgement)</w:t>
      </w:r>
    </w:p>
    <w:p>
      <w:pPr>
        <w:spacing w:after="120" w:line="259" w:lineRule="auto"/>
      </w:pPr>
      <w:r>
        <w:rPr>
          <w:sz w:val="21"/>
        </w:rPr>
        <w:t>On balance, the heavy investment cycle (Midrand DC, FBH value-chain reset, CRG operating-model restructure) is largely behind the group, which should convert topline into operating leverage from FY2026 into FY2027. Near-term margins remain pressured by Midrand DC depreciation, online mix and clearance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— transitional, self-help drags rather than structural. The 70% payout and active buyback (6.9m shares at ~R51.23 in H1) signal cash-generation confidence (H1 cash conversion 109.8%).</w:t>
      </w:r>
      <w:r>
        <w:rPr>
          <w:b/>
          <w:color w:val="2E75B6"/>
          <w:sz w:val="15"/>
          <w:vertAlign w:val="superscript"/>
        </w:rPr>
        <w:t>S1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2.  Standardised Metrics</w:t>
      </w:r>
    </w:p>
    <w:p>
      <w:pPr>
        <w:spacing w:before="160" w:after="40"/>
      </w:pPr>
      <w:r>
        <w:rPr>
          <w:b/>
          <w:color w:val="2E75B6"/>
          <w:sz w:val="22"/>
        </w:rPr>
        <w:t>Group — H1 FY2026 (26 wks to 28 Dec 2025) vs H1 FY2025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512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H1 FY2026</w:t>
            </w:r>
          </w:p>
        </w:tc>
        <w:tc>
          <w:tcPr>
            <w:tcW w:type="dxa" w:w="1512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H1 FY2025</w:t>
            </w:r>
          </w:p>
        </w:tc>
        <w:tc>
          <w:tcPr>
            <w:tcW w:type="dxa" w:w="2088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2232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Turnover &amp; concession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R42.5bn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R40.3bn (e)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+5.4% (+6.1% cc)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fin. overview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EBITDA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R4.6bn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08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+3.2%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EBIT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R2.9bn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+2.5%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HEPS (cents)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167.4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152.7 (e)</w:t>
            </w:r>
          </w:p>
        </w:tc>
        <w:tc>
          <w:tcPr>
            <w:tcW w:type="dxa" w:w="208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+9.6%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fin. overview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Adj. diluted HEPS (cents)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170.3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169.1 (e)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+0.7%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EPS (cents)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166.6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245.4 (e)</w:t>
            </w:r>
          </w:p>
        </w:tc>
        <w:tc>
          <w:tcPr>
            <w:tcW w:type="dxa" w:w="208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-32.1% *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fin. overview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Interim DPS (cents)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118.0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107.0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+10.3%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dividend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ROCE (%)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16.6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17.0</w:t>
            </w:r>
          </w:p>
        </w:tc>
        <w:tc>
          <w:tcPr>
            <w:tcW w:type="dxa" w:w="208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-40 bps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fin. overview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Net debt / EBITDA (x)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1.48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within target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Cash conversion (%)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109.8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77.9</w:t>
            </w:r>
          </w:p>
        </w:tc>
        <w:tc>
          <w:tcPr>
            <w:tcW w:type="dxa" w:w="208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+3,190 bps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Net borrowings (excl. leases)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R5.8bn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R4.7bn</w:t>
            </w:r>
          </w:p>
        </w:tc>
        <w:tc>
          <w:tcPr>
            <w:tcW w:type="dxa" w:w="208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+R1.1bn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fin. overview</w:t>
            </w:r>
          </w:p>
        </w:tc>
      </w:tr>
    </w:tbl>
    <w:p>
      <w:pPr>
        <w:spacing w:after="80" w:line="259" w:lineRule="auto"/>
      </w:pPr>
      <w:r>
        <w:rPr>
          <w:sz w:val="16"/>
        </w:rPr>
        <w:t>* EPS fell because H1 FY2025 included profit on the Bourke Street, Melbourne property sale plus rental income; HEPS strips this out (+9.6%).</w:t>
      </w:r>
      <w:r>
        <w:rPr>
          <w:b/>
          <w:color w:val="2E75B6"/>
          <w:sz w:val="15"/>
          <w:vertAlign w:val="superscript"/>
        </w:rPr>
        <w:t>S1</w:t>
      </w:r>
      <w:r>
        <w:rPr>
          <w:sz w:val="16"/>
        </w:rPr>
        <w:t xml:space="preserve">  (e) = derived from disclosed % change — see Provenance Appendix §8.</w:t>
      </w:r>
    </w:p>
    <w:p>
      <w:pPr>
        <w:spacing w:before="160" w:after="40"/>
      </w:pPr>
      <w:r>
        <w:rPr>
          <w:b/>
          <w:color w:val="2E75B6"/>
          <w:sz w:val="22"/>
        </w:rPr>
        <w:t>Divisional — H1 FY2026 (sales share: Food 65.3%, FBH 19.5%, CRG 15.2%)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088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Division</w:t>
            </w:r>
          </w:p>
        </w:tc>
        <w:tc>
          <w:tcPr>
            <w:tcW w:type="dxa" w:w="1440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Turnover</w:t>
            </w:r>
          </w:p>
        </w:tc>
        <w:tc>
          <w:tcPr>
            <w:tcW w:type="dxa" w:w="1008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Growth</w:t>
            </w:r>
          </w:p>
        </w:tc>
        <w:tc>
          <w:tcPr>
            <w:tcW w:type="dxa" w:w="1944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Adj. op. profit</w:t>
            </w:r>
          </w:p>
        </w:tc>
        <w:tc>
          <w:tcPr>
            <w:tcW w:type="dxa" w:w="1080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Op. margin</w:t>
            </w:r>
          </w:p>
        </w:tc>
        <w:tc>
          <w:tcPr>
            <w:tcW w:type="dxa" w:w="1728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GP margin</w:t>
            </w:r>
          </w:p>
        </w:tc>
        <w:tc>
          <w:tcPr>
            <w:tcW w:type="dxa" w:w="1008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Woolworths Food</w:t>
            </w:r>
          </w:p>
        </w:tc>
        <w:tc>
          <w:tcPr>
            <w:tcW w:type="dxa" w:w="1440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R27.3bn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+7.0%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R1,780m (+3.5%)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6.5%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24.8% (-10bps)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Food</w:t>
            </w:r>
          </w:p>
        </w:tc>
      </w:tr>
      <w:tr>
        <w:tc>
          <w:tcPr>
            <w:tcW w:type="dxa" w:w="208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Woolworths FBH</w:t>
            </w:r>
          </w:p>
        </w:tc>
        <w:tc>
          <w:tcPr>
            <w:tcW w:type="dxa" w:w="1440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R8.3bn</w:t>
            </w:r>
          </w:p>
        </w:tc>
        <w:tc>
          <w:tcPr>
            <w:tcW w:type="dxa" w:w="100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+6.2%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R771m (+1.0%)</w:t>
            </w:r>
          </w:p>
        </w:tc>
        <w:tc>
          <w:tcPr>
            <w:tcW w:type="dxa" w:w="1080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9.3%</w:t>
            </w:r>
          </w:p>
        </w:tc>
        <w:tc>
          <w:tcPr>
            <w:tcW w:type="dxa" w:w="1728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45.8% (-50bps)</w:t>
            </w:r>
          </w:p>
        </w:tc>
        <w:tc>
          <w:tcPr>
            <w:tcW w:type="dxa" w:w="100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FBH</w:t>
            </w:r>
          </w:p>
        </w:tc>
      </w:tr>
      <w:tr>
        <w:tc>
          <w:tcPr>
            <w:tcW w:type="dxa" w:w="208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Country Road Group</w:t>
            </w:r>
          </w:p>
        </w:tc>
        <w:tc>
          <w:tcPr>
            <w:tcW w:type="dxa" w:w="1440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A$568.6m</w:t>
            </w:r>
          </w:p>
        </w:tc>
        <w:tc>
          <w:tcPr>
            <w:tcW w:type="dxa" w:w="100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+2.3%</w:t>
            </w:r>
          </w:p>
        </w:tc>
        <w:tc>
          <w:tcPr>
            <w:tcW w:type="dxa" w:w="194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A$14.8m (+4.2%)</w:t>
            </w:r>
          </w:p>
        </w:tc>
        <w:tc>
          <w:tcPr>
            <w:tcW w:type="dxa" w:w="1080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2.6%</w:t>
            </w:r>
          </w:p>
        </w:tc>
        <w:tc>
          <w:tcPr>
            <w:tcW w:type="dxa" w:w="172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57.9% (-100bps)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CRG</w:t>
            </w:r>
          </w:p>
        </w:tc>
      </w:tr>
    </w:tbl>
    <w:p>
      <w:pPr>
        <w:spacing w:before="160" w:after="40"/>
      </w:pPr>
      <w:r>
        <w:rPr>
          <w:b/>
          <w:color w:val="2E75B6"/>
          <w:sz w:val="22"/>
        </w:rPr>
        <w:t>Full-year context — FY2025 (52 wks to 29 Jun 2025), reported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512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512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2664"/>
            <w:shd w:val="clear" w:color="auto" w:fill="1F3349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1656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Turnover &amp; concession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R81.0bn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+6.1% (+6.8% cc)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S2, group perf.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EBITDA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R8.7bn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664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-3.8%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S2, group perf.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EBIT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R5.2bn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—</w:t>
            </w:r>
          </w:p>
        </w:tc>
        <w:tc>
          <w:tcPr>
            <w:tcW w:type="dxa" w:w="266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-10.9%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S2, group perf.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HEPS (cents)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268.1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364.2</w:t>
            </w:r>
          </w:p>
        </w:tc>
        <w:tc>
          <w:tcPr>
            <w:tcW w:type="dxa" w:w="2664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-26.4% (-23.9% cont.)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S3, fin. highlights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HEPS (cents)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306.6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391.3</w:t>
            </w:r>
          </w:p>
        </w:tc>
        <w:tc>
          <w:tcPr>
            <w:tcW w:type="dxa" w:w="266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-21.6%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S3, fin. highlights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EPS (cents)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273.4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289.2</w:t>
            </w:r>
          </w:p>
        </w:tc>
        <w:tc>
          <w:tcPr>
            <w:tcW w:type="dxa" w:w="2664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-5.5%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S3, fin. highlights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DPS (cents)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188.0</w:t>
            </w:r>
          </w:p>
        </w:tc>
        <w:tc>
          <w:tcPr>
            <w:tcW w:type="dxa" w:w="1512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265.5</w:t>
            </w:r>
          </w:p>
        </w:tc>
        <w:tc>
          <w:tcPr>
            <w:tcW w:type="dxa" w:w="2664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-29.2%</w:t>
            </w:r>
          </w:p>
        </w:tc>
        <w:tc>
          <w:tcPr>
            <w:tcW w:type="dxa" w:w="165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S3, fin. highlights</w:t>
            </w:r>
          </w:p>
        </w:tc>
      </w:tr>
      <w:tr>
        <w:tc>
          <w:tcPr>
            <w:tcW w:type="dxa" w:w="288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NAV per share (cents)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1,193.0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1,211.0</w:t>
            </w:r>
          </w:p>
        </w:tc>
        <w:tc>
          <w:tcPr>
            <w:tcW w:type="dxa" w:w="2664"/>
            <w:shd w:val="clear" w:color="auto" w:fill="F2F5F8"/>
          </w:tcPr>
          <w:p>
            <w:pPr>
              <w:spacing w:after="20" w:before="20"/>
              <w:jc w:val="right"/>
            </w:pPr>
            <w:r/>
            <w:r>
              <w:rPr>
                <w:rFonts w:ascii="Calibri" w:hAnsi="Calibri"/>
                <w:b w:val="0"/>
                <w:sz w:val="17"/>
              </w:rPr>
              <w:t>-1.5%</w:t>
            </w:r>
          </w:p>
        </w:tc>
        <w:tc>
          <w:tcPr>
            <w:tcW w:type="dxa" w:w="165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S3, fin. highlights</w:t>
            </w:r>
          </w:p>
        </w:tc>
      </w:tr>
    </w:tbl>
    <w:p>
      <w:pPr>
        <w:spacing w:after="80" w:line="259" w:lineRule="auto"/>
      </w:pPr>
      <w:r>
        <w:rPr>
          <w:sz w:val="16"/>
        </w:rPr>
        <w:t>FY2024 was a 53-week year and included David Jones/discontinued items, so headline moves are not strictly like-for-like; management’s continuing-ops HEPS (-23.9%) is the comparable.</w:t>
      </w:r>
      <w:r>
        <w:rPr>
          <w:b/>
          <w:color w:val="2E75B6"/>
          <w:sz w:val="15"/>
          <w:vertAlign w:val="superscript"/>
        </w:rPr>
        <w:t>S2</w:t>
      </w:r>
      <w:r>
        <w:rPr>
          <w:sz w:val="16"/>
        </w:rPr>
        <w:t xml:space="preserve"> FY2025 also booked a R792m Melbourne-property disposal profit and CRG brand impairments.</w:t>
      </w:r>
      <w:r>
        <w:rPr>
          <w:b/>
          <w:color w:val="2E75B6"/>
          <w:sz w:val="15"/>
          <w:vertAlign w:val="superscript"/>
        </w:rPr>
        <w:t>S2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3.  Growth Projections</w:t>
      </w:r>
    </w:p>
    <w:p>
      <w:pPr>
        <w:spacing w:after="120" w:line="259" w:lineRule="auto"/>
      </w:pPr>
      <w:r>
        <w:rPr>
          <w:sz w:val="21"/>
        </w:rPr>
        <w:t>WHL publishes no formal numeric guidance. Combining management commentary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>, the H1 run-rate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and consensus</w:t>
      </w:r>
      <w:r>
        <w:rPr>
          <w:b/>
          <w:color w:val="2E75B6"/>
          <w:sz w:val="15"/>
          <w:vertAlign w:val="superscript"/>
        </w:rPr>
        <w:t>S6</w:t>
      </w:r>
      <w:r>
        <w:rPr>
          <w:sz w:val="21"/>
        </w:rPr>
        <w:t>, our framework: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Driver</w:t>
            </w:r>
          </w:p>
        </w:tc>
        <w:tc>
          <w:tcPr>
            <w:tcW w:type="dxa" w:w="338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12–18 month expectation</w:t>
            </w:r>
          </w:p>
        </w:tc>
        <w:tc>
          <w:tcPr>
            <w:tcW w:type="dxa" w:w="2952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Basis</w:t>
            </w:r>
          </w:p>
        </w:tc>
        <w:tc>
          <w:tcPr>
            <w:tcW w:type="dxa" w:w="1512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Group sales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Low-to-mid single digits (~5–7%)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H1 +5.4%; SA recovery vs weak AU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 / judgement</w:t>
            </w:r>
          </w:p>
        </w:tc>
      </w:tr>
      <w:tr>
        <w:tc>
          <w:tcPr>
            <w:tcW w:type="dxa" w:w="180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HEPS (FY2026)</w:t>
            </w:r>
          </w:p>
        </w:tc>
        <w:tc>
          <w:tcPr>
            <w:tcW w:type="dxa" w:w="338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Positive, high-single/low-double digit</w:t>
            </w:r>
          </w:p>
        </w:tc>
        <w:tc>
          <w:tcPr>
            <w:tcW w:type="dxa" w:w="295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H1 +9.6%; investment drag easing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 / judgement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SA Food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Above-market (~7%+)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Share gains; Dash +23%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Food</w:t>
            </w:r>
          </w:p>
        </w:tc>
      </w:tr>
      <w:tr>
        <w:tc>
          <w:tcPr>
            <w:tcW w:type="dxa" w:w="180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SA FBH</w:t>
            </w:r>
          </w:p>
        </w:tc>
        <w:tc>
          <w:tcPr>
            <w:tcW w:type="dxa" w:w="338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Mid-single-digit; margin recovery</w:t>
            </w:r>
          </w:p>
        </w:tc>
        <w:tc>
          <w:tcPr>
            <w:tcW w:type="dxa" w:w="295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Beauty +8.9%, Home +14%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FBH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Country Road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Low-single-digit; thin margin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Fragile turnaround; weak AU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CRG</w:t>
            </w:r>
          </w:p>
        </w:tc>
      </w:tr>
      <w:tr>
        <w:tc>
          <w:tcPr>
            <w:tcW w:type="dxa" w:w="180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Dividend</w:t>
            </w:r>
          </w:p>
        </w:tc>
        <w:tc>
          <w:tcPr>
            <w:tcW w:type="dxa" w:w="338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~70% payout maintained</w:t>
            </w:r>
          </w:p>
        </w:tc>
        <w:tc>
          <w:tcPr>
            <w:tcW w:type="dxa" w:w="295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Policy reaffirmed; buyback on</w:t>
            </w:r>
          </w:p>
        </w:tc>
        <w:tc>
          <w:tcPr>
            <w:tcW w:type="dxa" w:w="151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dividend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Consensus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“Outperform”; ~R60 (R53–R70)</w:t>
            </w:r>
          </w:p>
        </w:tc>
        <w:tc>
          <w:tcPr>
            <w:tcW w:type="dxa" w:w="295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vs ~R50.65 mid-May 26 (~19%)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S6</w:t>
            </w:r>
          </w:p>
        </w:tc>
      </w:tr>
    </w:tbl>
    <w:p>
      <w:pPr>
        <w:spacing w:after="120" w:line="259" w:lineRule="auto"/>
      </w:pPr>
      <w:r>
        <w:rPr>
          <w:sz w:val="21"/>
        </w:rPr>
        <w:t>Engines: (i) Woolies Dash/online (7.2% of SA Food, &gt;20% growth)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>; (ii) Woolworths Ventures (Food Services, WCellar, Pet/Absolute Pets, WEdit) — mid-teens sales and &gt;20% profit growth in FY2025</w:t>
      </w:r>
      <w:r>
        <w:rPr>
          <w:b/>
          <w:color w:val="2E75B6"/>
          <w:sz w:val="15"/>
          <w:vertAlign w:val="superscript"/>
        </w:rPr>
        <w:t>S2</w:t>
      </w:r>
      <w:r>
        <w:rPr>
          <w:sz w:val="21"/>
        </w:rPr>
        <w:t>; (iii) Beauty (#1 SA destination, 1m+ loyalty)</w:t>
      </w:r>
      <w:r>
        <w:rPr>
          <w:b/>
          <w:color w:val="2E75B6"/>
          <w:sz w:val="15"/>
          <w:vertAlign w:val="superscript"/>
        </w:rPr>
        <w:t>S2</w:t>
      </w:r>
      <w:r>
        <w:rPr>
          <w:sz w:val="21"/>
        </w:rPr>
        <w:t>; (iv) CRG’s wholesale/marketplace model (third-party brands from Nov 2025).</w:t>
      </w:r>
      <w:r>
        <w:rPr>
          <w:b/>
          <w:color w:val="2E75B6"/>
          <w:sz w:val="15"/>
          <w:vertAlign w:val="superscript"/>
        </w:rPr>
        <w:t>S1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4.  Management Incentives</w:t>
      </w:r>
    </w:p>
    <w:p>
      <w:pPr>
        <w:spacing w:after="120" w:line="259" w:lineRule="auto"/>
      </w:pPr>
      <w:r>
        <w:rPr>
          <w:sz w:val="21"/>
        </w:rPr>
        <w:t>FY2025 proved the scheme flexes with performance — the CEO earned zero STI and only 55% LTI vesting.</w:t>
      </w:r>
      <w:r>
        <w:rPr>
          <w:b/>
          <w:color w:val="2E75B6"/>
          <w:sz w:val="15"/>
          <w:vertAlign w:val="superscript"/>
        </w:rPr>
        <w:t>S4</w:t>
      </w:r>
    </w:p>
    <w:p>
      <w:pPr>
        <w:spacing w:before="160" w:after="40"/>
      </w:pPr>
      <w:r>
        <w:rPr>
          <w:b/>
          <w:color w:val="2E75B6"/>
          <w:sz w:val="22"/>
        </w:rPr>
        <w:t>Long-Term Incentive (Performance Share Plan, 3-year)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66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LTI measure</w:t>
            </w:r>
          </w:p>
        </w:tc>
        <w:tc>
          <w:tcPr>
            <w:tcW w:type="dxa" w:w="1944"/>
            <w:shd w:val="clear" w:color="auto" w:fill="1F334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Weighting</w:t>
            </w:r>
          </w:p>
        </w:tc>
        <w:tc>
          <w:tcPr>
            <w:tcW w:type="dxa" w:w="374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Target / condition</w:t>
            </w:r>
          </w:p>
        </w:tc>
        <w:tc>
          <w:tcPr>
            <w:tcW w:type="dxa" w:w="1296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Adjusted HEPS growth</w:t>
            </w:r>
          </w:p>
        </w:tc>
        <w:tc>
          <w:tcPr>
            <w:tcW w:type="dxa" w:w="194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40% (unchanged)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vs SA CPI threshold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S4, rem policy</w:t>
            </w:r>
          </w:p>
        </w:tc>
      </w:tr>
      <w:tr>
        <w:tc>
          <w:tcPr>
            <w:tcW w:type="dxa" w:w="266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ROCE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45% (raised from 40%)</w:t>
            </w:r>
          </w:p>
        </w:tc>
        <w:tc>
          <w:tcPr>
            <w:tcW w:type="dxa" w:w="37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Threshold WACC+3%; target WACC+7% (~19%)</w:t>
            </w:r>
          </w:p>
        </w:tc>
        <w:tc>
          <w:tcPr>
            <w:tcW w:type="dxa" w:w="12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S4, rem policy</w:t>
            </w:r>
          </w:p>
        </w:tc>
      </w:tr>
      <w:tr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ESG</w:t>
            </w:r>
          </w:p>
        </w:tc>
        <w:tc>
          <w:tcPr>
            <w:tcW w:type="dxa" w:w="194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15% (cut from 20%)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Transformation + environmental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S4, rem policy</w:t>
            </w:r>
          </w:p>
        </w:tc>
      </w:tr>
    </w:tbl>
    <w:p>
      <w:pPr>
        <w:spacing w:after="80" w:line="259" w:lineRule="auto"/>
      </w:pPr>
      <w:r>
        <w:rPr>
          <w:sz w:val="21"/>
        </w:rPr>
        <w:t>The Sep-2022 PSP tranche (tested to FY2025) vested 55%: zero on adHEPS (below CPI), full on ROCE (above WACC target), 50% on ESG; weightings were re-tilted toward ROCE and away from ESG on shareholder feedback. LTI caps: CEO 150% of pay; FD/Food CEO/Exco 100%.</w:t>
      </w:r>
      <w:r>
        <w:rPr>
          <w:b/>
          <w:color w:val="2E75B6"/>
          <w:sz w:val="15"/>
          <w:vertAlign w:val="superscript"/>
        </w:rPr>
        <w:t>S4</w:t>
      </w:r>
    </w:p>
    <w:p>
      <w:pPr>
        <w:spacing w:before="160" w:after="40"/>
      </w:pPr>
      <w:r>
        <w:rPr>
          <w:b/>
          <w:color w:val="2E75B6"/>
          <w:sz w:val="22"/>
        </w:rPr>
        <w:t>Short-Term Incentive (financial + strategic)</w:t>
      </w:r>
    </w:p>
    <w:p>
      <w:pPr>
        <w:pStyle w:val="ListBullet"/>
        <w:spacing w:after="60"/>
      </w:pPr>
      <w:r>
        <w:rPr>
          <w:sz w:val="21"/>
        </w:rPr>
        <w:t>Gatekeepers: ≥90% of adj. PBT/EBIT for the financial component; ≥80% for the strategic component.</w:t>
      </w:r>
      <w:r>
        <w:rPr>
          <w:b/>
          <w:color w:val="2E75B6"/>
          <w:sz w:val="15"/>
          <w:vertAlign w:val="superscript"/>
        </w:rPr>
        <w:t>S4</w:t>
      </w:r>
    </w:p>
    <w:p>
      <w:pPr>
        <w:pStyle w:val="ListBullet"/>
        <w:spacing w:after="60"/>
      </w:pPr>
      <w:r>
        <w:rPr>
          <w:sz w:val="21"/>
        </w:rPr>
        <w:t>FY2025: Group gatekeeper NOT met → CEO zero STI; CRG missed both; WSA (esp. Food) cleared, so Food CEO Ngumeni did earn an STI.</w:t>
      </w:r>
      <w:r>
        <w:rPr>
          <w:b/>
          <w:color w:val="2E75B6"/>
          <w:sz w:val="15"/>
          <w:vertAlign w:val="superscript"/>
        </w:rPr>
        <w:t>S4</w:t>
      </w:r>
    </w:p>
    <w:p>
      <w:pPr>
        <w:pStyle w:val="ListBullet"/>
        <w:spacing w:after="60"/>
      </w:pPr>
      <w:r>
        <w:rPr>
          <w:sz w:val="21"/>
        </w:rPr>
        <w:t>STI opportunity: CEO 100–150% of pay; FD/Food CEO/Exco 80–150%.</w:t>
      </w:r>
      <w:r>
        <w:rPr>
          <w:b/>
          <w:color w:val="2E75B6"/>
          <w:sz w:val="15"/>
          <w:vertAlign w:val="superscript"/>
        </w:rPr>
        <w:t>S4</w:t>
      </w:r>
    </w:p>
    <w:p>
      <w:pPr>
        <w:spacing w:before="160" w:after="40"/>
      </w:pPr>
      <w:r>
        <w:rPr>
          <w:b/>
          <w:color w:val="2E75B6"/>
          <w:sz w:val="22"/>
        </w:rPr>
        <w:t>Alignment &amp; governance flag</w:t>
      </w:r>
    </w:p>
    <w:p>
      <w:pPr>
        <w:pStyle w:val="ListBullet"/>
        <w:spacing w:after="60"/>
      </w:pPr>
      <w:r>
        <w:rPr>
          <w:sz w:val="21"/>
        </w:rPr>
        <w:t>CEO minimum shareholding now 430% of pay (vs 200% required) — strong skin in the game.</w:t>
      </w:r>
      <w:r>
        <w:rPr>
          <w:b/>
          <w:color w:val="2E75B6"/>
          <w:sz w:val="15"/>
          <w:vertAlign w:val="superscript"/>
        </w:rPr>
        <w:t>S4</w:t>
      </w:r>
    </w:p>
    <w:p>
      <w:pPr>
        <w:pStyle w:val="ListBullet"/>
        <w:spacing w:after="60"/>
      </w:pPr>
      <w:r>
        <w:rPr>
          <w:sz w:val="21"/>
        </w:rPr>
        <w:t>Governance watch-item: at the Nov-2025 AGM, 37.6% voted against the (non-binding) remuneration policy; single-figure CEO pay rose to ~R79.9m (from R65.3m) and Bagattini sold ~R37m of shares amid the pushback — a sentiment, not solvency, issue.</w:t>
      </w:r>
      <w:r>
        <w:rPr>
          <w:b/>
          <w:color w:val="2E75B6"/>
          <w:sz w:val="15"/>
          <w:vertAlign w:val="superscript"/>
        </w:rPr>
        <w:t>S5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5.  Core Risks &amp; Challenges (next 12–18 months)</w:t>
      </w:r>
    </w:p>
    <w:p>
      <w:pPr>
        <w:spacing w:before="160" w:after="40"/>
      </w:pPr>
      <w:r>
        <w:rPr>
          <w:b/>
          <w:color w:val="2E75B6"/>
          <w:sz w:val="22"/>
        </w:rPr>
        <w:t>Operational / strategic</w:t>
      </w:r>
    </w:p>
    <w:p>
      <w:pPr>
        <w:pStyle w:val="ListBullet"/>
        <w:spacing w:after="60"/>
      </w:pPr>
      <w:r>
        <w:rPr>
          <w:sz w:val="21"/>
        </w:rPr>
        <w:t>CRG fragility: turnaround early and shallow (H1 op. margin 2.6%); weak AU consumer, RBA hike and discounting could stall it (FY2025 CRG aEBITDA -41%). Execution risk under new MD Steven Cook (since Jul 2025).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</w:t>
      </w:r>
      <w:r>
        <w:rPr>
          <w:b/>
          <w:color w:val="2E75B6"/>
          <w:sz w:val="15"/>
          <w:vertAlign w:val="superscript"/>
        </w:rPr>
        <w:t>S2</w:t>
      </w:r>
    </w:p>
    <w:p>
      <w:pPr>
        <w:pStyle w:val="ListBullet"/>
        <w:spacing w:after="60"/>
      </w:pPr>
      <w:r>
        <w:rPr>
          <w:sz w:val="21"/>
        </w:rPr>
        <w:t>FBH gross-margin recovery: H1 GP margin -50bps to 45.8% on price investment and clearance; thesis needs margin to inflect as volumes normalise.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Investment drag: Midrand DC depreciation and online mix weigh on Food GP margin near-term.</w:t>
      </w:r>
      <w:r>
        <w:rPr>
          <w:b/>
          <w:color w:val="2E75B6"/>
          <w:sz w:val="15"/>
          <w:vertAlign w:val="superscript"/>
        </w:rPr>
        <w:t>S1</w:t>
      </w:r>
    </w:p>
    <w:p>
      <w:pPr>
        <w:spacing w:before="160" w:after="40"/>
      </w:pPr>
      <w:r>
        <w:rPr>
          <w:b/>
          <w:color w:val="2E75B6"/>
          <w:sz w:val="22"/>
        </w:rPr>
        <w:t>Macro / consumer</w:t>
      </w:r>
    </w:p>
    <w:p>
      <w:pPr>
        <w:pStyle w:val="ListBullet"/>
        <w:spacing w:after="60"/>
      </w:pPr>
      <w:r>
        <w:rPr>
          <w:sz w:val="21"/>
        </w:rPr>
        <w:t>SA discretionary spend still subdued; recovery hinges on SARB rate cuts. Upper-income base more resilient but not immune.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Currency &amp; imported inflation: ZAR (FBH/Food imports) and AUD (CRG inputs) weakness inflate COGS — see §7.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Global trade/tariffs: management explicitly flags US tariff uncertainty.</w:t>
      </w:r>
      <w:r>
        <w:rPr>
          <w:b/>
          <w:color w:val="2E75B6"/>
          <w:sz w:val="15"/>
          <w:vertAlign w:val="superscript"/>
        </w:rPr>
        <w:t>S1</w:t>
      </w:r>
      <w:r>
        <w:rPr>
          <w:sz w:val="21"/>
        </w:rPr>
        <w:t xml:space="preserve"> </w:t>
      </w:r>
      <w:r>
        <w:rPr>
          <w:b/>
          <w:color w:val="2E75B6"/>
          <w:sz w:val="15"/>
          <w:vertAlign w:val="superscript"/>
        </w:rPr>
        <w:t>S2</w:t>
      </w:r>
    </w:p>
    <w:p>
      <w:pPr>
        <w:spacing w:before="160" w:after="40"/>
      </w:pPr>
      <w:r>
        <w:rPr>
          <w:b/>
          <w:color w:val="2E75B6"/>
          <w:sz w:val="22"/>
        </w:rPr>
        <w:t>Financial / governance</w:t>
      </w:r>
    </w:p>
    <w:p>
      <w:pPr>
        <w:pStyle w:val="ListBullet"/>
        <w:spacing w:after="60"/>
      </w:pPr>
      <w:r>
        <w:rPr>
          <w:sz w:val="21"/>
        </w:rPr>
        <w:t>Gearing: net borrowings R5.8bn; net debt/EBITDA 1.48x within target but less slack if trading disappoints while the buyback runs.</w:t>
      </w:r>
      <w:r>
        <w:rPr>
          <w:b/>
          <w:color w:val="2E75B6"/>
          <w:sz w:val="15"/>
          <w:vertAlign w:val="superscript"/>
        </w:rPr>
        <w:t>S1</w:t>
      </w:r>
    </w:p>
    <w:p>
      <w:pPr>
        <w:pStyle w:val="ListBullet"/>
        <w:spacing w:after="60"/>
      </w:pPr>
      <w:r>
        <w:rPr>
          <w:sz w:val="21"/>
        </w:rPr>
        <w:t>Remuneration vote (37.6% against) — governance overhang, not financial.</w:t>
      </w:r>
      <w:r>
        <w:rPr>
          <w:b/>
          <w:color w:val="2E75B6"/>
          <w:sz w:val="15"/>
          <w:vertAlign w:val="superscript"/>
        </w:rPr>
        <w:t>S5</w:t>
      </w:r>
    </w:p>
    <w:p>
      <w:pPr>
        <w:pStyle w:val="ListBullet"/>
        <w:spacing w:after="60"/>
      </w:pPr>
      <w:r>
        <w:rPr>
          <w:sz w:val="21"/>
        </w:rPr>
        <w:t>No going-concern, audit-modification, covenant-breach or restatement flags in available documents; SENS routine (29 Jan 2026 trading statement; 3 Mar 2026 interims) — no undisclosed corporate action.</w:t>
      </w:r>
      <w:r>
        <w:rPr>
          <w:b/>
          <w:color w:val="2E75B6"/>
          <w:sz w:val="15"/>
          <w:vertAlign w:val="superscript"/>
        </w:rPr>
        <w:t>S1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6.  Scenario: Rand Depreciates 10–15% vs USD</w:t>
      </w:r>
    </w:p>
    <w:p>
      <w:pPr>
        <w:spacing w:after="120" w:line="259" w:lineRule="auto"/>
      </w:pPr>
      <w:r>
        <w:rPr>
          <w:sz w:val="21"/>
        </w:rPr>
        <w:t>WHL has a two-sided FX profile, so a weaker rand is not uniformly bad: the transactional hit (imported merchandise costs more in ZAR) is partly offset by a translation tailwind (CRG’s AUD earnings and Australian net cash convert into more rands). Net over 12–18 months: a mild, lagged margin headwind — not thesis-breaking — with the larger danger being the indirect demand channel. (Analyst judgement, built on the FX exposures disclosed in S1.)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Channel</w:t>
            </w:r>
          </w:p>
        </w:tc>
        <w:tc>
          <w:tcPr>
            <w:tcW w:type="dxa" w:w="1368"/>
            <w:shd w:val="clear" w:color="auto" w:fill="1F334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Direction</w:t>
            </w:r>
          </w:p>
        </w:tc>
        <w:tc>
          <w:tcPr>
            <w:tcW w:type="dxa" w:w="4392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Commentary</w:t>
            </w:r>
          </w:p>
        </w:tc>
        <w:tc>
          <w:tcPr>
            <w:tcW w:type="dxa" w:w="1296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FBH imported merchandise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Negative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Most import-exposed; landed USD cost up ~10–15% next buy cycle; lagged 6–12m by cover; pressures the 45.8% GP margin unless passed to price.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FBH / (e)</w:t>
            </w:r>
          </w:p>
        </w:tc>
      </w:tr>
      <w:tr>
        <w:tc>
          <w:tcPr>
            <w:tcW w:type="dxa" w:w="244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Food imported inputs</w:t>
            </w:r>
          </w:p>
        </w:tc>
        <w:tc>
          <w:tcPr>
            <w:tcW w:type="dxa" w:w="136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Mild negative</w:t>
            </w:r>
          </w:p>
        </w:tc>
        <w:tc>
          <w:tcPr>
            <w:tcW w:type="dxa" w:w="439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Largely local; some USD lines/packaging. Food (65% of sales) most insulated — cushions the group.</w:t>
            </w:r>
          </w:p>
        </w:tc>
        <w:tc>
          <w:tcPr>
            <w:tcW w:type="dxa" w:w="12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Food / (e)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CRG AUD earnings translation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Positive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~15% of sales in AUD; ZAR weakness vs AUD lifts ZAR contribution, but CRG’s 2.6% margin caps the uplift.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CRG / (e)</w:t>
            </w:r>
          </w:p>
        </w:tc>
      </w:tr>
      <w:tr>
        <w:tc>
          <w:tcPr>
            <w:tcW w:type="dxa" w:w="244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Australian net cash A$159.1m</w:t>
            </w:r>
          </w:p>
        </w:tc>
        <w:tc>
          <w:tcPr>
            <w:tcW w:type="dxa" w:w="136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Positive</w:t>
            </w:r>
          </w:p>
        </w:tc>
        <w:tc>
          <w:tcPr>
            <w:tcW w:type="dxa" w:w="439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Worth ~10–15% more in ZAR; flatters balance sheet/net-debt optics.</w:t>
            </w:r>
          </w:p>
        </w:tc>
        <w:tc>
          <w:tcPr>
            <w:tcW w:type="dxa" w:w="12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Debt servicing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Neutral</w:t>
            </w:r>
          </w:p>
        </w:tc>
        <w:tc>
          <w:tcPr>
            <w:tcW w:type="dxa" w:w="439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Funding mostly ZAR (DMTN); AU subs net cash; limited USD debt.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S1, group / (e)</w:t>
            </w:r>
          </w:p>
        </w:tc>
      </w:tr>
      <w:tr>
        <w:tc>
          <w:tcPr>
            <w:tcW w:type="dxa" w:w="244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2nd-order: SA inflation/rates</w:t>
            </w:r>
          </w:p>
        </w:tc>
        <w:tc>
          <w:tcPr>
            <w:tcW w:type="dxa" w:w="136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>Negative</w:t>
            </w:r>
          </w:p>
        </w:tc>
        <w:tc>
          <w:tcPr>
            <w:tcW w:type="dxa" w:w="439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Imported inflation could slow SARB cuts → squeezes FBH demand. Most material channel (~85% SA sales).</w:t>
            </w:r>
          </w:p>
        </w:tc>
        <w:tc>
          <w:tcPr>
            <w:tcW w:type="dxa" w:w="12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Judgement</w:t>
            </w:r>
          </w:p>
        </w:tc>
      </w:tr>
    </w:tbl>
    <w:p>
      <w:pPr>
        <w:spacing w:before="160" w:after="40"/>
      </w:pPr>
      <w:r>
        <w:rPr>
          <w:b/>
          <w:color w:val="2E75B6"/>
          <w:sz w:val="22"/>
        </w:rPr>
        <w:t>Illustrative earnings sensitivity (e) — directional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66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Transactional impact</w:t>
            </w:r>
          </w:p>
        </w:tc>
        <w:tc>
          <w:tcPr>
            <w:tcW w:type="dxa" w:w="2232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Translation offset</w:t>
            </w:r>
          </w:p>
        </w:tc>
        <w:tc>
          <w:tcPr>
            <w:tcW w:type="dxa" w:w="2808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Net group HEPS effect (e)</w:t>
            </w:r>
          </w:p>
        </w:tc>
      </w:tr>
      <w:tr>
        <w:tc>
          <w:tcPr>
            <w:tcW w:type="dxa" w:w="180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ZAR/USD -10%</w:t>
            </w:r>
          </w:p>
        </w:tc>
        <w:tc>
          <w:tcPr>
            <w:tcW w:type="dxa" w:w="266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FBH/Food import cost push</w:t>
            </w:r>
          </w:p>
        </w:tc>
        <w:tc>
          <w:tcPr>
            <w:tcW w:type="dxa" w:w="223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CRG AUD + AU cash uplift</w:t>
            </w:r>
          </w:p>
        </w:tc>
        <w:tc>
          <w:tcPr>
            <w:tcW w:type="dxa" w:w="280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Modestly negative (low single-digit % drag, lagged)</w:t>
            </w:r>
          </w:p>
        </w:tc>
      </w:tr>
      <w:tr>
        <w:tc>
          <w:tcPr>
            <w:tcW w:type="dxa" w:w="180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7"/>
              </w:rPr>
              <w:t>ZAR/USD -15%</w:t>
            </w:r>
          </w:p>
        </w:tc>
        <w:tc>
          <w:tcPr>
            <w:tcW w:type="dxa" w:w="266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Larger push, clearance risk</w:t>
            </w:r>
          </w:p>
        </w:tc>
        <w:tc>
          <w:tcPr>
            <w:tcW w:type="dxa" w:w="2232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Larger translation benefit</w:t>
            </w:r>
          </w:p>
        </w:tc>
        <w:tc>
          <w:tcPr>
            <w:tcW w:type="dxa" w:w="2808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7"/>
              </w:rPr>
              <w:t>Negative but contained; Food + CRG offsets cushion</w:t>
            </w:r>
          </w:p>
        </w:tc>
      </w:tr>
    </w:tbl>
    <w:p>
      <w:pPr>
        <w:spacing w:after="120" w:line="259" w:lineRule="auto"/>
      </w:pPr>
      <w:r>
        <w:rPr>
          <w:sz w:val="19"/>
        </w:rPr>
        <w:t>Caveat: WHL does not disclose import content by category or forward-cover ratios, so the above is directional (e), not a calibrated model. To size properly we need (i) % of FBH/Food COGS that is USD; (ii) hedge tenor/cover; (iii) assumed price pass-through — sourced from the FY2025 AFS treasury/risk notes.</w:t>
      </w:r>
      <w:r>
        <w:rPr>
          <w:b/>
          <w:color w:val="2E75B6"/>
          <w:sz w:val="15"/>
          <w:vertAlign w:val="superscript"/>
        </w:rPr>
        <w:t>S3</w:t>
      </w:r>
      <w:r>
        <w:rPr>
          <w:sz w:val="19"/>
        </w:rPr>
        <w:t xml:space="preserve"> FY2025 is a live illustration: a weak AUD “inflated input costs” and cut CRG GP margin 390bps.</w:t>
      </w:r>
      <w:r>
        <w:rPr>
          <w:b/>
          <w:color w:val="2E75B6"/>
          <w:sz w:val="15"/>
          <w:vertAlign w:val="superscript"/>
        </w:rPr>
        <w:t>S2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7.  Questions for Management</w:t>
      </w:r>
    </w:p>
    <w:p>
      <w:pPr>
        <w:pStyle w:val="ListBullet"/>
        <w:spacing w:after="60"/>
      </w:pPr>
      <w:r>
        <w:rPr>
          <w:sz w:val="21"/>
        </w:rPr>
        <w:t>FBH gross margin: timeline to recover the ~50bps lost to price investment/clearance, and when does the Midrand DC depreciation drag roll off?</w:t>
      </w:r>
    </w:p>
    <w:p>
      <w:pPr>
        <w:pStyle w:val="ListBullet"/>
        <w:spacing w:after="60"/>
      </w:pPr>
      <w:r>
        <w:rPr>
          <w:sz w:val="21"/>
        </w:rPr>
        <w:t>CRG: how durable is the turnaround given the RBA hike and AU discounting — and what ROCE/margin hurdle would trigger a strategic review of the AUD business?</w:t>
      </w:r>
    </w:p>
    <w:p>
      <w:pPr>
        <w:pStyle w:val="ListBullet"/>
        <w:spacing w:after="60"/>
      </w:pPr>
      <w:r>
        <w:rPr>
          <w:sz w:val="21"/>
        </w:rPr>
        <w:t>FX: what % of FBH and Food COGS is USD-denominated, and what is current forward-cover tenor and price pass-through under a 10–15% ZAR/USD move?</w:t>
      </w:r>
    </w:p>
    <w:p>
      <w:pPr>
        <w:pStyle w:val="ListBullet"/>
        <w:spacing w:after="60"/>
      </w:pPr>
      <w:r>
        <w:rPr>
          <w:sz w:val="21"/>
        </w:rPr>
        <w:t>Capital allocation: with net debt/EBITDA 1.48x and a buyback running, what is the priority order between buyback, CRG investment and Ventures M&amp;A?</w:t>
      </w:r>
    </w:p>
    <w:p>
      <w:pPr>
        <w:pStyle w:val="ListBullet"/>
        <w:spacing w:after="60"/>
      </w:pPr>
      <w:r>
        <w:rPr>
          <w:sz w:val="21"/>
        </w:rPr>
        <w:t>Remuneration: after the 37.6% AGM dissent, what concrete FY2026 pay changes are planned beyond the ROCE/ESG re-weighting?</w:t>
      </w:r>
    </w:p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8"/>
        </w:rPr>
        <w:t>8.  Provenance &amp; Verification Appendix</w:t>
      </w:r>
    </w:p>
    <w:p>
      <w:pPr>
        <w:spacing w:after="80" w:line="259" w:lineRule="auto"/>
      </w:pPr>
      <w:r>
        <w:rPr>
          <w:sz w:val="17"/>
        </w:rPr>
        <w:t>Audit trail for every key figure presented. Pages could not be pinned to exact PDF page numbers this session (source binaries were blocked by the workspace proxy; text was extracted via web fetch), so locations cite the named section — open the URL in §9 and search the section. Derived figures show their arithmetic.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  <w:shd w:val="clear" w:color="auto" w:fill="1F334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3096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Figure</w:t>
            </w:r>
          </w:p>
        </w:tc>
        <w:tc>
          <w:tcPr>
            <w:tcW w:type="dxa" w:w="194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520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Reported / Derived</w:t>
            </w:r>
          </w:p>
        </w:tc>
        <w:tc>
          <w:tcPr>
            <w:tcW w:type="dxa" w:w="648"/>
            <w:shd w:val="clear" w:color="auto" w:fill="1F3349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Src</w:t>
            </w:r>
          </w:p>
        </w:tc>
        <w:tc>
          <w:tcPr>
            <w:tcW w:type="dxa" w:w="2304"/>
            <w:shd w:val="clear" w:color="auto" w:fill="1F334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Document &amp; section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FY2026 turnover &amp; concession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R42.5bn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financial overview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2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FY2026 HEPS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167.4cps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financial overview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3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FY2025 HEPS (comparative)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152.7cps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Derived: 167.4 ÷ 1.096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from +9.6% disclosed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4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FY2026 adj. EBITDA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R4.6bn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group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5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FY2026 EPS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166.6cps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financial overview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6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H1 FY2025 turnover (comparative)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R40.3bn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Derived: 42.5 ÷ 1.054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from +5.4% disclosed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7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DPS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118.0cps (+10.3%)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dividend declaration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8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ROCE / WACC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16.6% / 11.4%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group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9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Net borrowings / ND-EBITDA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R5.8bn / 1.48x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group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10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Buyback (H1)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6.9m sh @ R51.23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group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11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Food / FBH / CRG divisional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see §2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SFA, divisional sections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12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turnover +6.1% (+6.8% cc)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R81.0bn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release, group performance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13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aEBIT / aEBITDA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R5.2bn / R8.7bn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release, group performance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14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HEPS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268.1cps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S3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AFS, financial highlights (7-yr review)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15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adj. HEPS / EPS / DPS / NAV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306.6 / 273.4 / 188.0 / 1,193.0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S3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AFS, financial highlights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16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HEPS -23.9% (continuing)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release, group performance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17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Melbourne property disposal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A$223.5m / R792m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 release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18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LTI weightings 40/45/15; ROCE WACC+3/+7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S4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Rem report, LTI policy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19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FY2025: zero STI; 55% LTI vesting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S4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Rem report, FY2025 outcomes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20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CEO MSR 430% of pay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S4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Rem report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21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AGM 37.6% against; pay R79.9m vs R65.3m; R37m sale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S5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News24, 18 Nov 2025</w:t>
            </w:r>
          </w:p>
        </w:tc>
      </w:tr>
      <w:tr>
        <w:tc>
          <w:tcPr>
            <w:tcW w:type="dxa" w:w="432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22</w:t>
            </w:r>
          </w:p>
        </w:tc>
        <w:tc>
          <w:tcPr>
            <w:tcW w:type="dxa" w:w="3096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Consensus “Outperform”, ~R60 target; price ~R50.65</w:t>
            </w:r>
          </w:p>
        </w:tc>
        <w:tc>
          <w:tcPr>
            <w:tcW w:type="dxa" w:w="194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—</w:t>
            </w:r>
          </w:p>
        </w:tc>
        <w:tc>
          <w:tcPr>
            <w:tcW w:type="dxa" w:w="2520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Reported (web, 5 Jun 2026; may be delayed)</w:t>
            </w:r>
          </w:p>
        </w:tc>
        <w:tc>
          <w:tcPr>
            <w:tcW w:type="dxa" w:w="648"/>
            <w:shd w:val="clear" w:color="auto" w:fill="F2F5F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S6</w:t>
            </w:r>
          </w:p>
        </w:tc>
        <w:tc>
          <w:tcPr>
            <w:tcW w:type="dxa" w:w="2304"/>
            <w:shd w:val="clear" w:color="auto" w:fill="F2F5F8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TradingView / Simply Wall St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/>
                <w:sz w:val="15"/>
              </w:rPr>
              <w:t>23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Rand-scenario impacts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directional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Derived (e) — judgement on S1 exposures</w:t>
            </w:r>
          </w:p>
        </w:tc>
        <w:tc>
          <w:tcPr>
            <w:tcW w:type="dxa" w:w="64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5"/>
              </w:rPr>
              <w:t>Interim SFA + analyst judgement</w:t>
            </w:r>
          </w:p>
        </w:tc>
      </w:tr>
    </w:tbl>
    <w:p>
      <w:pPr>
        <w:spacing w:before="240" w:after="80"/>
        <w:pBdr>
          <w:bottom w:val="single" w:sz="6" w:space="2" w:color="2E75B6"/>
        </w:pBdr>
      </w:pPr>
      <w:r>
        <w:rPr>
          <w:b/>
          <w:color w:val="1F3349"/>
          <w:sz w:val="24"/>
        </w:rPr>
        <w:t>9.  Sources (full deep links)</w:t>
      </w:r>
    </w:p>
    <w:p>
      <w:pPr>
        <w:spacing w:after="60"/>
      </w:pPr>
      <w:r>
        <w:rPr>
          <w:b/>
          <w:color w:val="2E75B6"/>
          <w:sz w:val="17"/>
        </w:rPr>
        <w:t xml:space="preserve">S1  </w:t>
      </w:r>
      <w:r>
        <w:rPr>
          <w:sz w:val="17"/>
        </w:rPr>
        <w:t xml:space="preserve">WHL H1 FY2026 interim short-form announcement (SENS), 3 Mar 2026  </w:t>
      </w:r>
      <w:hyperlink r:id="rId9">
        <w:r>
          <w:rPr>
            <w:color w:val="2E75B6"/>
            <w:u w:val="single"/>
            <w:sz w:val="16"/>
          </w:rPr>
          <w:t xml:space="preserve">https://www.woolworthsholdings.co.za/wp-content/uploads/2026/03/whlfy26.pdf</w:t>
        </w:r>
      </w:hyperlink>
      <w:r>
        <w:rPr>
          <w:color w:val="555555"/>
          <w:sz w:val="15"/>
        </w:rPr>
        <w:t xml:space="preserve">   (local: companies/woolworths/interim-reports/woolworths-interim-fy2026-sfa.txt)</w:t>
      </w:r>
    </w:p>
    <w:p>
      <w:pPr>
        <w:spacing w:after="60"/>
      </w:pPr>
      <w:r>
        <w:rPr>
          <w:b/>
          <w:color w:val="2E75B6"/>
          <w:sz w:val="17"/>
        </w:rPr>
        <w:t xml:space="preserve">S1b  </w:t>
      </w:r>
      <w:r>
        <w:rPr>
          <w:sz w:val="17"/>
        </w:rPr>
        <w:t xml:space="preserve">— JSE SENS mirror of the above  </w:t>
      </w:r>
      <w:hyperlink r:id="rId10">
        <w:r>
          <w:rPr>
            <w:color w:val="2E75B6"/>
            <w:u w:val="single"/>
            <w:sz w:val="16"/>
          </w:rPr>
          <w:t xml:space="preserve">https://senspdf.jse.co.za/documents/2026/JSE/ISSE/WHLE/WHLFY26.pdf</w:t>
        </w:r>
      </w:hyperlink>
    </w:p>
    <w:p>
      <w:pPr>
        <w:spacing w:after="60"/>
      </w:pPr>
      <w:r>
        <w:rPr>
          <w:b/>
          <w:color w:val="2E75B6"/>
          <w:sz w:val="17"/>
        </w:rPr>
        <w:t xml:space="preserve">S2  </w:t>
      </w:r>
      <w:r>
        <w:rPr>
          <w:sz w:val="17"/>
        </w:rPr>
        <w:t xml:space="preserve">WHL FY2025 annual results media release, 3 Sep 2025  </w:t>
      </w:r>
      <w:hyperlink r:id="rId11">
        <w:r>
          <w:rPr>
            <w:color w:val="2E75B6"/>
            <w:u w:val="single"/>
            <w:sz w:val="16"/>
          </w:rPr>
          <w:t xml:space="preserve">https://www.woolworthsholdings.co.za/whl-annual-results-woolworths-delivers-double-digit-growth-in-second-half-and-declares-total-dividend-of-r2billion-and-share-buyback-programme/</w:t>
        </w:r>
      </w:hyperlink>
    </w:p>
    <w:p>
      <w:pPr>
        <w:spacing w:after="60"/>
      </w:pPr>
      <w:r>
        <w:rPr>
          <w:b/>
          <w:color w:val="2E75B6"/>
          <w:sz w:val="17"/>
        </w:rPr>
        <w:t xml:space="preserve">S3  </w:t>
      </w:r>
      <w:r>
        <w:rPr>
          <w:sz w:val="17"/>
        </w:rPr>
        <w:t xml:space="preserve">WHL FY2025 Annual Financial Statements  </w:t>
      </w:r>
      <w:hyperlink r:id="rId12">
        <w:r>
          <w:rPr>
            <w:color w:val="2E75B6"/>
            <w:u w:val="single"/>
            <w:sz w:val="16"/>
          </w:rPr>
          <w:t xml:space="preserve">https://www.woolworthsholdings.co.za/wp-content/uploads/2025/09/whlfy25.pdf</w:t>
        </w:r>
      </w:hyperlink>
      <w:r>
        <w:rPr>
          <w:color w:val="555555"/>
          <w:sz w:val="15"/>
        </w:rPr>
        <w:t xml:space="preserve">   (local: companies/woolworths/annual-reports/woolworths-afs-fy2025.txt)</w:t>
      </w:r>
    </w:p>
    <w:p>
      <w:pPr>
        <w:spacing w:after="60"/>
      </w:pPr>
      <w:r>
        <w:rPr>
          <w:b/>
          <w:color w:val="2E75B6"/>
          <w:sz w:val="17"/>
        </w:rPr>
        <w:t xml:space="preserve">S4  </w:t>
      </w:r>
      <w:r>
        <w:rPr>
          <w:sz w:val="17"/>
        </w:rPr>
        <w:t xml:space="preserve">WHL FY2025 Remuneration Report  </w:t>
      </w:r>
      <w:hyperlink r:id="rId13">
        <w:r>
          <w:rPr>
            <w:color w:val="2E75B6"/>
            <w:u w:val="single"/>
            <w:sz w:val="16"/>
          </w:rPr>
          <w:t xml:space="preserve">https://www.woolworthsholdings.co.za/wp-content/uploads/2025/09/Remuneration_Report_2025.pdf</w:t>
        </w:r>
      </w:hyperlink>
      <w:r>
        <w:rPr>
          <w:color w:val="555555"/>
          <w:sz w:val="15"/>
        </w:rPr>
        <w:t xml:space="preserve">   (local: companies/woolworths/annual-reports/woolworths-remuneration-report-fy2025.txt)</w:t>
      </w:r>
    </w:p>
    <w:p>
      <w:pPr>
        <w:spacing w:after="60"/>
      </w:pPr>
      <w:r>
        <w:rPr>
          <w:b/>
          <w:color w:val="2E75B6"/>
          <w:sz w:val="17"/>
        </w:rPr>
        <w:t xml:space="preserve">S5  </w:t>
      </w:r>
      <w:r>
        <w:rPr>
          <w:sz w:val="17"/>
        </w:rPr>
        <w:t xml:space="preserve">News24 — “Woolworths shareholders push back on exec paydays”, 18 Nov 2025  </w:t>
      </w:r>
      <w:hyperlink r:id="rId14">
        <w:r>
          <w:rPr>
            <w:color w:val="2E75B6"/>
            <w:u w:val="single"/>
            <w:sz w:val="16"/>
          </w:rPr>
          <w:t xml:space="preserve">https://www.news24.com/business/companies/woolworths-shareholders-push-back-on-exec-paydays-20251118-0706</w:t>
        </w:r>
      </w:hyperlink>
    </w:p>
    <w:p>
      <w:pPr>
        <w:spacing w:after="60"/>
      </w:pPr>
      <w:r>
        <w:rPr>
          <w:b/>
          <w:color w:val="2E75B6"/>
          <w:sz w:val="17"/>
        </w:rPr>
        <w:t xml:space="preserve">S6  </w:t>
      </w:r>
      <w:r>
        <w:rPr>
          <w:sz w:val="17"/>
        </w:rPr>
        <w:t xml:space="preserve">TradingView — WHL analyst forecast &amp; price target (accessed 5 Jun 2026; prices may be delayed)  </w:t>
      </w:r>
      <w:hyperlink r:id="rId15">
        <w:r>
          <w:rPr>
            <w:color w:val="2E75B6"/>
            <w:u w:val="single"/>
            <w:sz w:val="16"/>
          </w:rPr>
          <w:t xml:space="preserve">https://www.tradingview.com/symbols/JSE-WHL/forecast/</w:t>
        </w:r>
      </w:hyperlink>
    </w:p>
    <w:p>
      <w:pPr>
        <w:spacing w:after="60"/>
      </w:pPr>
      <w:r>
        <w:rPr>
          <w:b/>
          <w:color w:val="2E75B6"/>
          <w:sz w:val="17"/>
        </w:rPr>
        <w:t xml:space="preserve">S7  </w:t>
      </w:r>
      <w:r>
        <w:rPr>
          <w:sz w:val="17"/>
        </w:rPr>
        <w:t xml:space="preserve">WHL FY2025 Analyst Presentation  </w:t>
      </w:r>
      <w:hyperlink r:id="rId16">
        <w:r>
          <w:rPr>
            <w:color w:val="2E75B6"/>
            <w:u w:val="single"/>
            <w:sz w:val="16"/>
          </w:rPr>
          <w:t xml:space="preserve">https://www.woolworthsholdings.co.za/wp-content/uploads/2025/09/Analyst_Presentation.pdf</w:t>
        </w:r>
      </w:hyperlink>
    </w:p>
    <w:p>
      <w:pPr>
        <w:spacing w:before="200"/>
      </w:pPr>
      <w:r>
        <w:rPr>
          <w:i/>
          <w:color w:val="555555"/>
          <w:sz w:val="16"/>
        </w:rPr>
        <w:t>For informational purposes only — not investment advice. Prepared by internal research from public disclosures. Items marked (e) are estimates/derivations with arithmetic shown in §8. Share prices via web search may be delayed (no live JSE feed). Verify figures against the primary documents in §9 before acting.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oolworthsholdings.co.za/wp-content/uploads/2026/03/whlfy26.pdf" TargetMode="External"/><Relationship Id="rId10" Type="http://schemas.openxmlformats.org/officeDocument/2006/relationships/hyperlink" Target="https://senspdf.jse.co.za/documents/2026/JSE/ISSE/WHLE/WHLFY26.pdf" TargetMode="External"/><Relationship Id="rId11" Type="http://schemas.openxmlformats.org/officeDocument/2006/relationships/hyperlink" Target="https://www.woolworthsholdings.co.za/whl-annual-results-woolworths-delivers-double-digit-growth-in-second-half-and-declares-total-dividend-of-r2billion-and-share-buyback-programme/" TargetMode="External"/><Relationship Id="rId12" Type="http://schemas.openxmlformats.org/officeDocument/2006/relationships/hyperlink" Target="https://www.woolworthsholdings.co.za/wp-content/uploads/2025/09/whlfy25.pdf" TargetMode="External"/><Relationship Id="rId13" Type="http://schemas.openxmlformats.org/officeDocument/2006/relationships/hyperlink" Target="https://www.woolworthsholdings.co.za/wp-content/uploads/2025/09/Remuneration_Report_2025.pdf" TargetMode="External"/><Relationship Id="rId14" Type="http://schemas.openxmlformats.org/officeDocument/2006/relationships/hyperlink" Target="https://www.news24.com/business/companies/woolworths-shareholders-push-back-on-exec-paydays-20251118-0706" TargetMode="External"/><Relationship Id="rId15" Type="http://schemas.openxmlformats.org/officeDocument/2006/relationships/hyperlink" Target="https://www.tradingview.com/symbols/JSE-WHL/forecast/" TargetMode="External"/><Relationship Id="rId16" Type="http://schemas.openxmlformats.org/officeDocument/2006/relationships/hyperlink" Target="https://www.woolworthsholdings.co.za/wp-content/uploads/2025/09/Analyst_Presentati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