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864" w:sz="12" w:space="6"/>
        </w:pBdr>
        <w:spacing w:after="40"/>
      </w:pPr>
      <w:r>
        <w:rPr>
          <w:b/>
          <w:bCs/>
          <w:color w:val="1F3864"/>
          <w:sz w:val="44"/>
          <w:szCs w:val="44"/>
        </w:rPr>
        <w:t xml:space="preserve">Clicks Group Limited</w:t>
      </w:r>
    </w:p>
    <w:p>
      <w:pPr>
        <w:spacing w:after="40" w:before="120"/>
      </w:pPr>
      <w:r>
        <w:rPr>
          <w:b/>
          <w:bCs/>
          <w:color w:val="2E5496"/>
          <w:sz w:val="24"/>
          <w:szCs w:val="24"/>
        </w:rPr>
        <w:t xml:space="preserve">Quick Analysis — 12–18 Month Outlook, Growth Indicators, Management Incentives &amp; Risk</w:t>
      </w:r>
    </w:p>
    <w:p>
      <w:pPr>
        <w:spacing w:after="200"/>
      </w:pPr>
      <w:r>
        <w:rPr>
          <w:b/>
          <w:bCs/>
          <w:color w:val="595959"/>
          <w:sz w:val="19"/>
          <w:szCs w:val="19"/>
        </w:rPr>
        <w:t xml:space="preserve">JSE: CLS</w:t>
      </w:r>
      <w:r>
        <w:rPr>
          <w:color w:val="595959"/>
          <w:sz w:val="19"/>
          <w:szCs w:val="19"/>
        </w:rPr>
        <w:t xml:space="preserve">   |   Sector: Health, Wellness &amp; Beauty retail + pharmaceutical distribution (UPD)   |   FY-end: 31 August   |   Currency: ZAR</w:t>
      </w:r>
    </w:p>
    <w:p>
      <w:pPr>
        <w:spacing w:after="30"/>
      </w:pPr>
      <w:r>
        <w:rPr>
          <w:i/>
          <w:iCs/>
          <w:color w:val="595959"/>
          <w:sz w:val="18"/>
          <w:szCs w:val="18"/>
        </w:rPr>
        <w:t xml:space="preserve">Prepared: 17 June 2026   |   Mode: Quick analysis   |   For internal investment-team use — informational purposes only, not investment advice.</w:t>
      </w:r>
    </w:p>
    <w:p>
      <w:pPr>
        <w:spacing w:after="160"/>
      </w:pPr>
      <w:r>
        <w:rPr>
          <w:i/>
          <w:iCs/>
          <w:color w:val="595959"/>
          <w:sz w:val="18"/>
          <w:szCs w:val="18"/>
        </w:rPr>
        <w:t xml:space="preserve">Basis: latest published company documents held locally — FY2025 results (23 Oct 2025), FY2025 Integrated Annual Report &amp; Remuneration Report, H1 FY2026 interims (23 Apr 2026) and analyst booklets — plus dated, delayed market data from public sources.</w:t>
      </w:r>
    </w:p>
    <w:p>
      <w:pPr>
        <w:pStyle w:val="Heading1"/>
      </w:pPr>
      <w:r>
        <w:t xml:space="preserve">Executive summary</w:t>
      </w:r>
    </w:p>
    <w:p>
      <w:pPr>
        <w:spacing w:after="120"/>
      </w:pPr>
      <w:r>
        <w:rPr>
          <w:b/>
          <w:bCs/>
        </w:rPr>
        <w:t xml:space="preserve">Trading momentum is solid but moderating, and the shares have de-rated hard. </w:t>
      </w:r>
      <w:r>
        <w:t xml:space="preserve">Clicks delivered FY2025 group turnover of R47.8bn (+5.3%) and diluted HEPS of 1 361.7c (+14.1%), with the half-year to February 2026 (H1 FY2026) up +7.4% on turnover and +8.1% on diluted HEPS. Yet comparable (same-store) sales growth slowed to +3.1% (H1 FY2025: +4.6%) as retail price inflation eased to +2.3%, so growth is increasingly carried by new space, pharmacy share gains and UPD wholesale volume rather than like-for-like.</w:t>
      </w:r>
    </w:p>
    <w:p>
      <w:pPr>
        <w:spacing w:after="120"/>
      </w:pPr>
      <w:r>
        <w:rPr>
          <w:b/>
          <w:bCs/>
        </w:rPr>
        <w:t xml:space="preserve">Outlook (next 12–18 months): mid-single-digit earnings growth guided, against a softening consumer. </w:t>
      </w:r>
      <w:r>
        <w:t xml:space="preserve">Management guides FY2026 (to 31 Aug 2026) diluted HEPS to grow +4% to +9% — implying ≈1 416c–1 484c (e) — explicitly assuming a constrained H2 consumer and no regulatory change. Beyond FY2026, the structural growth algorithm is store rollout toward a medium-term target of 1 200 stores, pharmacy market-share gains (24.9% at H1), private label (targeting 35% of front-shop sales) and online (+17.9% in H1). The shares (≈R233, 17 Jun 2026) are down ~35% over twelve months as the long-standing premium rating unwinds; sell-side consensus still carries a buy skew and a ~R350 average 12-month target (third-party estimate).</w:t>
      </w:r>
    </w:p>
    <w:p>
      <w:pPr>
        <w:spacing w:after="120"/>
      </w:pPr>
      <w:r>
        <w:rPr>
          <w:b/>
          <w:bCs/>
        </w:rPr>
        <w:t xml:space="preserve">Incentives are earnings- and returns-led and shareholder-aligned; risks are mostly external. </w:t>
      </w:r>
      <w:r>
        <w:t xml:space="preserve">Executive variable pay turns on RONA and trading profit (short-term) and on diluted-HEPS growth + ROIC over five years (long-term), with malus/clawback and minimum-shareholding requirements. Management's six principal risks are dominated by the SA consumer, regulation (NHI, medicine pricing), competition, supply-chain and cyber. No going-concern or audit concerns are flagged; the most immediate housekeeping item is a likely closed period building ahead of FY2026 results.</w:t>
      </w:r>
    </w:p>
    <w:p>
      <w:pPr>
        <w:spacing w:after="40"/>
      </w:pPr>
      <w:r>
        <w:t xml:space="preserve"/>
      </w:r>
    </w:p>
    <w:p>
      <w:pPr>
        <w:pStyle w:val="Heading1"/>
      </w:pPr>
      <w:r>
        <w:t xml:space="preserve">1.  Financial snapshot</w:t>
      </w:r>
    </w:p>
    <w:p>
      <w:pPr>
        <w:pStyle w:val="Heading2"/>
      </w:pPr>
      <w:r>
        <w:t xml:space="preserve">FY2025 vs FY2024 (year to 31 August)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6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FY2025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FY2024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Change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% / bps</w:t>
            </w:r>
          </w:p>
        </w:tc>
      </w:tr>
      <w:tr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Group turnover (R'm)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47 828.1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45 437.6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+2 390.5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+5.3%</w:t>
            </w:r>
          </w:p>
        </w:tc>
      </w:tr>
      <w:tr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Retail turnover (R'm)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37 554.5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35 438.5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+2 116.0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+6.0%</w:t>
            </w:r>
          </w:p>
        </w:tc>
      </w:tr>
      <w:tr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Distribution / UPD turnover (R'm)†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18 658.1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17 749.6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+908.5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+5.1%</w:t>
            </w:r>
          </w:p>
        </w:tc>
      </w:tr>
      <w:tr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Total income (R'm)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14 860.9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13 714.7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+1 146.2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+8.4%</w:t>
            </w:r>
          </w:p>
        </w:tc>
      </w:tr>
      <w:tr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Group gross margin (%)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23.8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23.4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+40 bps</w:t>
            </w:r>
          </w:p>
        </w:tc>
      </w:tr>
      <w:tr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Retail gross margin (%)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29.4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29.3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+10 bps</w:t>
            </w:r>
          </w:p>
        </w:tc>
      </w:tr>
      <w:tr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Trading profit (R'm)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4 678.5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4 171.9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+506.7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+12.1%</w:t>
            </w:r>
          </w:p>
        </w:tc>
      </w:tr>
      <w:tr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Group trading margin (%)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9.8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9.2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+60 bps</w:t>
            </w:r>
          </w:p>
        </w:tc>
      </w:tr>
      <w:tr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Retail trading margin (%)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10.5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10.2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+30 bps</w:t>
            </w:r>
          </w:p>
        </w:tc>
      </w:tr>
      <w:tr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Diluted HEPS (cents)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1 361.7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1 193.5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+168.2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+14.1%</w:t>
            </w:r>
          </w:p>
        </w:tc>
      </w:tr>
      <w:tr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Total DPS (cents)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886.0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776.0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+110.0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+14.2%</w:t>
            </w:r>
          </w:p>
        </w:tc>
      </w:tr>
      <w:tr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Dividend payout (%)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65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65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 bps</w:t>
            </w:r>
          </w:p>
        </w:tc>
      </w:tr>
      <w:tr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Return on equity (%)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49.2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46.4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+280 bps</w:t>
            </w:r>
          </w:p>
        </w:tc>
      </w:tr>
      <w:tr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Cash generated by operations (R'm)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6 606.5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6 001.2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+605.2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+10.1% (e)</w:t>
            </w:r>
          </w:p>
        </w:tc>
      </w:tr>
    </w:tbl>
    <w:p>
      <w:pPr>
        <w:spacing w:after="140"/>
      </w:pPr>
      <w:r>
        <w:rPr>
          <w:i/>
          <w:iCs/>
          <w:color w:val="595959"/>
          <w:sz w:val="16"/>
          <w:szCs w:val="16"/>
        </w:rPr>
        <w:t xml:space="preserve">Source: FY2025 results announcement (SENS, 23 Oct 2025), financial summary &amp; segmental pp.2, 6–7, 12–13. (e) = % calculated by us from disclosed figures. Trading profit is Clicks' reported operating-profit measure. † Segmental turnover includes intra-group sales (UPD supplies Clicks pharmacies); segment totals therefore exceed group turnover, which is shown net of eliminations.</w:t>
      </w:r>
    </w:p>
    <w:p>
      <w:pPr>
        <w:pStyle w:val="Heading2"/>
      </w:pPr>
      <w:r>
        <w:t xml:space="preserve">H1 FY2026 vs H1 FY2025 (six months to 28 February) — most recent actuals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6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H1 FY2026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H1 FY2025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Change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% / bps</w:t>
            </w:r>
          </w:p>
        </w:tc>
      </w:tr>
      <w:tr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Group turnover (R'm)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24 872.2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23 164.3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+1 707.9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+7.4%</w:t>
            </w:r>
          </w:p>
        </w:tc>
      </w:tr>
      <w:tr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Retail turnover (R'm)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19 372.8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18 384.3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+988.5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+5.4%</w:t>
            </w:r>
          </w:p>
        </w:tc>
      </w:tr>
      <w:tr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Distribution / UPD turnover (R'm)†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9 908.0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8 771.2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+1 136.8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+13.0%</w:t>
            </w:r>
          </w:p>
        </w:tc>
      </w:tr>
      <w:tr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Group gross margin (%)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23.4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24.0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−60 bps</w:t>
            </w:r>
          </w:p>
        </w:tc>
      </w:tr>
      <w:tr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Retail gross margin (%)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29.7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29.5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+20 bps</w:t>
            </w:r>
          </w:p>
        </w:tc>
      </w:tr>
      <w:tr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Trading profit (R'm)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2 253.1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2 097.3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+155.7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+7.4%</w:t>
            </w:r>
          </w:p>
        </w:tc>
      </w:tr>
      <w:tr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Group trading margin (%)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9.1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9.1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 bps</w:t>
            </w:r>
          </w:p>
        </w:tc>
      </w:tr>
      <w:tr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Retail trading margin (%)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10.3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9.8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+50 bps</w:t>
            </w:r>
          </w:p>
        </w:tc>
      </w:tr>
      <w:tr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Diluted HEPS (cents)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652.8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603.9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+48.9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+8.1%</w:t>
            </w:r>
          </w:p>
        </w:tc>
      </w:tr>
      <w:tr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Interim DPS (cents)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258.0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238.0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+20.0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+8.4%</w:t>
            </w:r>
          </w:p>
        </w:tc>
      </w:tr>
      <w:tr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Return on equity (%)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45.7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46.2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−50 bps</w:t>
            </w:r>
          </w:p>
        </w:tc>
      </w:tr>
    </w:tbl>
    <w:p>
      <w:pPr>
        <w:spacing w:after="140"/>
      </w:pPr>
      <w:r>
        <w:rPr>
          <w:i/>
          <w:iCs/>
          <w:color w:val="595959"/>
          <w:sz w:val="16"/>
          <w:szCs w:val="16"/>
        </w:rPr>
        <w:t xml:space="preserve">Source: H1 FY2026 interim results (SENS, 23 Apr 2026), financial summary p.1, income statement p.4, segmental pp.10–11. † As above — segment turnover includes intra-group sales eliminated at group level. H1 group gross margin fell 60 bps on UPD wholesale mix (UPD grew +13.0%, diluting the blended margin); retail gross margin actually rose +20 bps.</w:t>
      </w:r>
    </w:p>
    <w:p>
      <w:pPr>
        <w:spacing w:after="40"/>
      </w:pPr>
      <w:r>
        <w:t xml:space="preserve"/>
      </w:r>
    </w:p>
    <w:p>
      <w:pPr>
        <w:pStyle w:val="Heading1"/>
      </w:pPr>
      <w:r>
        <w:t xml:space="preserve">2.  Outlook — next 12–18 months</w:t>
      </w:r>
    </w:p>
    <w:p>
      <w:pPr>
        <w:spacing w:after="120"/>
      </w:pPr>
      <w:r>
        <w:rPr>
          <w:b/>
          <w:bCs/>
        </w:rPr>
        <w:t xml:space="preserve">Company guidance (FY2026, to 31 Aug 2026). </w:t>
      </w:r>
      <w:r>
        <w:t xml:space="preserve">The board forecasts diluted HEPS growth of </w:t>
      </w:r>
      <w:r>
        <w:rPr>
          <w:b/>
          <w:bCs/>
        </w:rPr>
        <w:t xml:space="preserve">+4% to +9%</w:t>
      </w:r>
      <w:r>
        <w:t xml:space="preserve"> versus FY2025 — i.e. ≈</w:t>
      </w:r>
      <w:r>
        <w:rPr>
          <w:b/>
          <w:bCs/>
        </w:rPr>
        <w:t xml:space="preserve">1 416c to 1 484c (e)</w:t>
      </w:r>
      <w:r>
        <w:t xml:space="preserve"> off the 1 361.7c base. Verbatim: </w:t>
      </w:r>
      <w:r>
        <w:rPr>
          <w:i/>
          <w:iCs/>
        </w:rPr>
        <w:t xml:space="preserve">“The directors forecast that the group’s diluted HEPS for the financial year ending 31 August 2026 will increase by between 4% and 9% relative to the 2025 financial year.”</w:t>
      </w:r>
    </w:p>
    <w:p>
      <w:pPr>
        <w:spacing w:after="120"/>
      </w:pPr>
      <w:r>
        <w:rPr>
          <w:b/>
          <w:bCs/>
        </w:rPr>
        <w:t xml:space="preserve">Guidance assumptions (as stated): </w:t>
      </w:r>
      <w:r>
        <w:t xml:space="preserve">the retail environment remains constrained in H2 2026; geopolitical conflict adversely affects SA’s macro outlook; full-year performance sits within published medium-term targets; and no change in the regulatory environment. The forecast is the board’s and has not been reviewed by the auditor.</w:t>
      </w:r>
    </w:p>
    <w:p>
      <w:pPr>
        <w:spacing w:after="140"/>
      </w:pPr>
      <w:r>
        <w:rPr>
          <w:i/>
          <w:iCs/>
          <w:color w:val="595959"/>
          <w:sz w:val="16"/>
          <w:szCs w:val="16"/>
        </w:rPr>
        <w:t xml:space="preserve">Source: H1 FY2026 interim results, “Full-year earnings forecast”, p.3. (e) implied range = 1 361.7c × 1.04 and × 1.09.</w:t>
      </w:r>
    </w:p>
    <w:p>
      <w:pPr>
        <w:pStyle w:val="Heading2"/>
      </w:pPr>
      <w:r>
        <w:t xml:space="preserve">The structural growth algorithm (medium term)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Store rollout to 1 200 stores</w:t>
      </w:r>
      <w:r>
        <w:t xml:space="preserve"> (medium-term target). FY2026 plan: 40–50 new Clicks stores plus 40–50 new pharmacies/dispensaries; 10 differentiated concept stores piloted in H2 2026; 10–15 UniCare specialised pharmacies over the medium term.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Capex of ~R1.3bn (R1 256m) in FY2026</w:t>
      </w:r>
      <w:r>
        <w:t xml:space="preserve"> — R662m on new stores, pharmacies and refurbishing 80–90 stores; R594m on supply chain, IT and infrastructure.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Private label to ~35% of front-shop sales</w:t>
      </w:r>
      <w:r>
        <w:t xml:space="preserve"> (medium-term), from 26.5% at H1 FY2026 — a key gross-margin lever.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Dividend policy held at a 65% payout</w:t>
      </w:r>
      <w:r>
        <w:t xml:space="preserve"> of diluted HEPS.</w:t>
      </w:r>
    </w:p>
    <w:p>
      <w:pPr>
        <w:spacing w:after="140"/>
      </w:pPr>
      <w:r>
        <w:rPr>
          <w:i/>
          <w:iCs/>
          <w:color w:val="595959"/>
          <w:sz w:val="16"/>
          <w:szCs w:val="16"/>
        </w:rPr>
        <w:t xml:space="preserve">Source: H1 FY2026 interims, Outlook p.3 &amp; FY2025 results, Outlook p.4; H1 FY2026 analyst booklet, slide 27.</w:t>
      </w:r>
    </w:p>
    <w:p>
      <w:pPr>
        <w:pStyle w:val="Heading2"/>
      </w:pPr>
      <w:r>
        <w:t xml:space="preserve">Macro backdrop — turned less friendly into H2</w:t>
      </w:r>
    </w:p>
    <w:p>
      <w:pPr>
        <w:spacing w:after="120"/>
      </w:pPr>
      <w:r>
        <w:t xml:space="preserve">After a benign start to 2026 (easing inflation, recovering real incomes), the SARB </w:t>
      </w:r>
      <w:r>
        <w:rPr>
          <w:b/>
          <w:bCs/>
        </w:rPr>
        <w:t xml:space="preserve">raised the repo rate +25 bps to 7.00% on 28 May 2026</w:t>
      </w:r>
      <w:r>
        <w:t xml:space="preserve"> (prime 10.50%) — its first hike since May 2023 — and </w:t>
      </w:r>
      <w:r>
        <w:rPr>
          <w:b/>
          <w:bCs/>
        </w:rPr>
        <w:t xml:space="preserve">CPI re-accelerated to 4.5% y/y in May 2026</w:t>
      </w:r>
      <w:r>
        <w:t xml:space="preserve"> on fuel. This is a modest headwind to discretionary spend into H2, and management explicitly flags fuel: every R1/litre rise in diesel adds ~R2m p.a. to retail distribution cost. Clicks’ pharmacy/health base is defensive; the discretionary beauty mix is more exposed if the consumer softens.</w:t>
      </w:r>
    </w:p>
    <w:p>
      <w:pPr>
        <w:spacing w:after="140"/>
      </w:pPr>
      <w:r>
        <w:rPr>
          <w:i/>
          <w:iCs/>
          <w:color w:val="595959"/>
          <w:sz w:val="16"/>
          <w:szCs w:val="16"/>
        </w:rPr>
        <w:t xml:space="preserve">Sources: SARB rate decision 28 May 2026 (News24); SA CPI May 2026 (SAnews); diesel sensitivity per H1 FY2026 analyst booklet, slide 27. Market data delayed/indicative.</w:t>
      </w:r>
    </w:p>
    <w:p>
      <w:pPr>
        <w:pStyle w:val="Heading2"/>
      </w:pPr>
      <w:r>
        <w:t xml:space="preserve">Valuation &amp; market view (delayed/indicative)</w:t>
      </w:r>
    </w:p>
    <w:p>
      <w:pPr>
        <w:spacing w:after="120"/>
      </w:pPr>
      <w:r>
        <w:t xml:space="preserve">At ≈</w:t>
      </w:r>
      <w:r>
        <w:rPr>
          <w:b/>
          <w:bCs/>
        </w:rPr>
        <w:t xml:space="preserve">R233 (17 Jun 2026)</w:t>
      </w:r>
      <w:r>
        <w:t xml:space="preserve"> the shares are down ~35% over 12 months and ~30% YTD (from R332 in early January), shedding roughly R19.7bn of market value — the historical premium rating is unwinding toward fundamentals. Trailing P/E screens at ~27x headline / ~18x on a normalised basis (methodology varies by source); dividend yield ~2.3–3.6%. Sell-side consensus retains a </w:t>
      </w:r>
      <w:r>
        <w:rPr>
          <w:b/>
          <w:bCs/>
        </w:rPr>
        <w:t xml:space="preserve">buy skew with a ~R350 average 12-month target</w:t>
      </w:r>
      <w:r>
        <w:t xml:space="preserve"> (≈+50% implied vs a ~R234 last close). These are third-party estimates, not company guidance; the gap between a falling price and a higher target is itself the debate (the “Clicks conundrum”). Closest listed peer Dis-Chem (JSE: DCP) trades at ≈R32.78.</w:t>
      </w:r>
    </w:p>
    <w:p>
      <w:pPr>
        <w:spacing w:after="140"/>
      </w:pPr>
      <w:r>
        <w:rPr>
          <w:i/>
          <w:iCs/>
          <w:color w:val="595959"/>
          <w:sz w:val="16"/>
          <w:szCs w:val="16"/>
        </w:rPr>
        <w:t xml:space="preserve">Sources: TradingEconomics &amp; Morningstar (CLS, May–Jun 2026); BusinessTech (26 May 2026); MarketScreener/Investing.com consensus. All prices delayed/indicative — no live JSE feed; verify before any dealing.</w:t>
      </w:r>
    </w:p>
    <w:p>
      <w:pPr>
        <w:spacing w:after="40"/>
      </w:pPr>
      <w:r>
        <w:t xml:space="preserve"/>
      </w:r>
    </w:p>
    <w:p>
      <w:pPr>
        <w:pStyle w:val="Heading1"/>
      </w:pPr>
      <w:r>
        <w:t xml:space="preserve">3.  Key growth indicators to monitor</w:t>
      </w:r>
    </w:p>
    <w:p>
      <w:pPr>
        <w:spacing w:after="120"/>
      </w:pPr>
      <w:r>
        <w:t xml:space="preserve">The metrics below are the clearest read on whether the FY2026 guidance and the medium-term algorithm are tracking. Latest = H1 FY2026 (to 28 Feb 2026) unless noted; watch the H2 / FY2026 results (~late October 2026) for the next print.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26"/>
        <w:gridCol w:w="2600"/>
        <w:gridCol w:w="2600"/>
      </w:tblGrid>
      <w:tr>
        <w:trPr>
          <w:tblHeader/>
        </w:trPr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Indicator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Latest (H1 FY2026)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Prior comparative</w:t>
            </w:r>
          </w:p>
        </w:tc>
      </w:tr>
      <w:tr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Group turnover growth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+7.4%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+6.2% (H1 FY2025)</w:t>
            </w:r>
          </w:p>
        </w:tc>
      </w:tr>
      <w:tr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Comparable (same-store) sales growth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+3.1%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+4.6% (H1 FY2025)</w:t>
            </w:r>
          </w:p>
        </w:tc>
      </w:tr>
      <w:tr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Retail selling-price inflation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+2.3%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+3.3% (H1 FY2025)</w:t>
            </w:r>
          </w:p>
        </w:tc>
      </w:tr>
      <w:tr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Comparable pharmacy sales growth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+8.6%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n/d</w:t>
            </w:r>
          </w:p>
        </w:tc>
      </w:tr>
      <w:tr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Retail pharmacy market share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24.9%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24.2% (+70 bps)</w:t>
            </w:r>
          </w:p>
        </w:tc>
      </w:tr>
      <w:tr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ClubCard active members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12.9m (+0.8m)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≈12.1m (e)</w:t>
            </w:r>
          </w:p>
        </w:tc>
      </w:tr>
      <w:tr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ClubCard % of Clicks sales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83.7%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82.6% (FY2025)</w:t>
            </w:r>
          </w:p>
        </w:tc>
      </w:tr>
      <w:tr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Total stores / pharmacies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1 075 / 797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1 016 / 740</w:t>
            </w:r>
          </w:p>
        </w:tc>
      </w:tr>
      <w:tr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Weighted retail trading area (m²)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496 313 (+6.0%)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468 124</w:t>
            </w:r>
          </w:p>
        </w:tc>
      </w:tr>
      <w:tr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Online sales growth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+17.9%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+15.9% (FY2025)</w:t>
            </w:r>
          </w:p>
        </w:tc>
      </w:tr>
      <w:tr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Private label % of Clicks sales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26.5%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25.9% (FY2025)</w:t>
            </w:r>
          </w:p>
        </w:tc>
      </w:tr>
      <w:tr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UPD turnover growth (reported)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+13.0%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+7.6% (H1 FY2025)</w:t>
            </w:r>
          </w:p>
        </w:tc>
      </w:tr>
      <w:tr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UPD wholesale market share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25.7%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26.6%</w:t>
            </w:r>
          </w:p>
        </w:tc>
      </w:tr>
      <w:tr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Retail gross margin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29.7% (+20 bps)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29.5%</w:t>
            </w:r>
          </w:p>
        </w:tc>
      </w:tr>
    </w:tbl>
    <w:p>
      <w:pPr>
        <w:spacing w:after="140"/>
      </w:pPr>
      <w:r>
        <w:rPr>
          <w:i/>
          <w:iCs/>
          <w:color w:val="595959"/>
          <w:sz w:val="16"/>
          <w:szCs w:val="16"/>
        </w:rPr>
        <w:t xml:space="preserve">Sources: H1 FY2026 interim results pp.1–2 &amp; segmental pp.10–11; H1 FY2026 analyst booklet slides 17–25 (market share per IQVIA/NielsenIQ); FY2025 figures per FY2025 results &amp; analyst booklet. (e) ClubCard prior implied from “+800 000 to 12.9 million”. n/d = not disclosed.</w:t>
      </w:r>
    </w:p>
    <w:p>
      <w:pPr>
        <w:spacing w:after="120"/>
      </w:pPr>
      <w:r>
        <w:rPr>
          <w:b/>
          <w:bCs/>
        </w:rPr>
        <w:t xml:space="preserve">What to watch most closely: </w:t>
      </w:r>
      <w:r>
        <w:t xml:space="preserve">(i) comparable sales — the +3.1% H1 print is the slowest in recent halves and the swing factor for guidance; (ii) pharmacy share and script volumes — the defensive engine, still gaining; (iii) UPD — reported turnover is strong (+13.0%) but wholesale share slipped to 25.7% and managed turnover was −0.2% after losing two bulk contracts; (iv) supply chain — a warehouse-management-system (WMS) go-live cost an estimated ~R175m (≈0.9% of retail sales) of lost turnover in H1; availability had recovered by end-February, but H2 execution is a key proof point.</w:t>
      </w:r>
    </w:p>
    <w:p>
      <w:pPr>
        <w:spacing w:after="40"/>
      </w:pPr>
      <w:r>
        <w:t xml:space="preserve"/>
      </w:r>
    </w:p>
    <w:p>
      <w:pPr>
        <w:pStyle w:val="Heading1"/>
      </w:pPr>
      <w:r>
        <w:t xml:space="preserve">4.  How management is incentivised</w:t>
      </w:r>
    </w:p>
    <w:p>
      <w:pPr>
        <w:spacing w:after="120"/>
      </w:pPr>
      <w:r>
        <w:t xml:space="preserve">Pay has three parts — annual guaranteed pay (AGP), a short-term incentive (STI) and a long-term incentive (LTI) — benchmarked to the market median. Variable pay dominates at target and is weighted to long-term, returns-based measures. CEO is </w:t>
      </w:r>
      <w:r>
        <w:rPr>
          <w:b/>
          <w:bCs/>
        </w:rPr>
        <w:t xml:space="preserve">Bertina Engelbrecht</w:t>
      </w:r>
      <w:r>
        <w:t xml:space="preserve">; CFO is </w:t>
      </w:r>
      <w:r>
        <w:rPr>
          <w:b/>
          <w:bCs/>
        </w:rPr>
        <w:t xml:space="preserve">Gordon Traill</w:t>
      </w:r>
      <w:r>
        <w:t xml:space="preserve">. (All figures FY2025, year to 31 Aug 2025.)</w:t>
      </w:r>
    </w:p>
    <w:p>
      <w:pPr>
        <w:pStyle w:val="Heading2"/>
      </w:pPr>
      <w:r>
        <w:t xml:space="preserve">Pay mix (% of total), executive directors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26"/>
        <w:gridCol w:w="1650"/>
        <w:gridCol w:w="1650"/>
        <w:gridCol w:w="1650"/>
        <w:gridCol w:w="1650"/>
      </w:tblGrid>
      <w:tr>
        <w:trPr>
          <w:tblHeader/>
        </w:trPr>
        <w:tc>
          <w:tcPr>
            <w:tcW w:type="dxa" w:w="2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Fixed (AGP)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STI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LTI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Variable</w:t>
            </w:r>
          </w:p>
        </w:tc>
      </w:tr>
      <w:tr>
        <w:tc>
          <w:tcPr>
            <w:tcW w:type="dxa" w:w="2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CEO — on-target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40%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30%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30%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60%</w:t>
            </w:r>
          </w:p>
        </w:tc>
      </w:tr>
      <w:tr>
        <w:tc>
          <w:tcPr>
            <w:tcW w:type="dxa" w:w="2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CEO — maximum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25%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38%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37%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75%</w:t>
            </w:r>
          </w:p>
        </w:tc>
      </w:tr>
      <w:tr>
        <w:tc>
          <w:tcPr>
            <w:tcW w:type="dxa" w:w="2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CFO — on-target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45%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27%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28%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55%</w:t>
            </w:r>
          </w:p>
        </w:tc>
      </w:tr>
      <w:tr>
        <w:tc>
          <w:tcPr>
            <w:tcW w:type="dxa" w:w="2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CFO — maximum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30%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35%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35%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70%</w:t>
            </w:r>
          </w:p>
        </w:tc>
      </w:tr>
    </w:tbl>
    <w:p>
      <w:pPr>
        <w:spacing w:after="140"/>
      </w:pPr>
      <w:r>
        <w:rPr>
          <w:i/>
          <w:iCs/>
          <w:color w:val="595959"/>
          <w:sz w:val="16"/>
          <w:szCs w:val="16"/>
        </w:rPr>
        <w:t xml:space="preserve">Source: FY2025 Remuneration Report, “Pay ranges / remuneration mix”, pp.13–14.</w:t>
      </w:r>
    </w:p>
    <w:p>
      <w:pPr>
        <w:pStyle w:val="Heading2"/>
      </w:pPr>
      <w:r>
        <w:t xml:space="preserve">Short-term incentive (STI) — annual cash bonus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Measures: </w:t>
      </w:r>
      <w:r>
        <w:t xml:space="preserve">Return on net assets (RONA) and budgeted (cash) trading profit. Both thresholds (each set at 95% of target) must be met or no STI is paid — a hard gate; above-target STI is self-funded by exceeding the trading-profit target.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Scale &amp; cap: </w:t>
      </w:r>
      <w:r>
        <w:t xml:space="preserve">0% below threshold, 100% at target, 200% maximum. On-target award is 75% of AGP for the CEO (cap 120%) and 60% for the CFO (cap 100%). An ESG modifier can cut the bonus by up to 15%.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FY2025 outcome: </w:t>
      </w:r>
      <w:r>
        <w:t xml:space="preserve">trading profit R4 636.7m vs R4 641.5m target (99.9%) and RONA 104.6% vs 104.1% target — exco achievement 104.6%. CEO STI R8.9m (FY2024: R6.6m); CFO R4.5m (FY2024: R3.4m).</w:t>
      </w:r>
    </w:p>
    <w:p>
      <w:pPr>
        <w:spacing w:after="140"/>
      </w:pPr>
      <w:r>
        <w:rPr>
          <w:i/>
          <w:iCs/>
          <w:color w:val="595959"/>
          <w:sz w:val="16"/>
          <w:szCs w:val="16"/>
        </w:rPr>
        <w:t xml:space="preserve">Source: FY2025 Remuneration Report, “Short-term incentive scheme” p.9 and “2025 STI outcomes” pp.17–18.</w:t>
      </w:r>
    </w:p>
    <w:p>
      <w:pPr>
        <w:pStyle w:val="Heading2"/>
      </w:pPr>
      <w:r>
        <w:t xml:space="preserve">Long-term incentive (LTI) — 5-year, cash-settled appreciation units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Measures &amp; weighting: </w:t>
      </w:r>
      <w:r>
        <w:t xml:space="preserve">40% on diluted-HEPS compound growth (vs a CPI-linked ladder; on-target = CPI +5% to +7.4%) and 60% on return on invested capital (ROIC) over 36 months (on-target = 40–44.9%). Each ladder pays 0% / 70% / 100% / 150% / 200% from weak to exceptional. ESG modifier up to −15%.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Vesting: </w:t>
      </w:r>
      <w:r>
        <w:t xml:space="preserve">60% after 3 years, 20% after 4, 20% after 5 — a genuine long-term horizon. ROIC allocation = 60% of AGP × a participation multiple (CEO 120%, raised to 134% for the 2026 award; CFO 100%).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FY2025 vesting (2022 award): </w:t>
      </w:r>
      <w:r>
        <w:t xml:space="preserve">3-yr diluted-HEPS CAGR 12.2% and TSR CAGR 10.2%, both vesting 100%. Value: CEO ~R10.1m; CFO ~R5.1m.</w:t>
      </w:r>
    </w:p>
    <w:p>
      <w:pPr>
        <w:spacing w:after="140"/>
      </w:pPr>
      <w:r>
        <w:rPr>
          <w:i/>
          <w:iCs/>
          <w:color w:val="595959"/>
          <w:sz w:val="16"/>
          <w:szCs w:val="16"/>
        </w:rPr>
        <w:t xml:space="preserve">Source: FY2025 Remuneration Report, “Long-term incentive scheme” pp.11–12 and “2025 LTI outcomes” p.18.</w:t>
      </w:r>
    </w:p>
    <w:p>
      <w:pPr>
        <w:pStyle w:val="Heading2"/>
      </w:pPr>
      <w:r>
        <w:t xml:space="preserve">Single total figure of remuneration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26"/>
        <w:gridCol w:w="1900"/>
        <w:gridCol w:w="1900"/>
        <w:gridCol w:w="1900"/>
      </w:tblGrid>
      <w:tr>
        <w:trPr>
          <w:tblHeader/>
        </w:trPr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Executive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FY2025 (R'000)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FY2024 (R'000)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% change</w:t>
            </w:r>
          </w:p>
        </w:tc>
      </w:tr>
      <w:tr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 Engelbrecht (CEO)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30 878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33 103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−6.7% (e)</w:t>
            </w:r>
          </w:p>
        </w:tc>
      </w:tr>
      <w:tr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 Traill (CFO)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17 072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13 778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+23.9% (e)</w:t>
            </w:r>
          </w:p>
        </w:tc>
      </w:tr>
      <w:tr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Total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47 950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46 881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+2.3% (e)</w:t>
            </w:r>
          </w:p>
        </w:tc>
      </w:tr>
    </w:tbl>
    <w:p>
      <w:pPr>
        <w:spacing w:after="140"/>
      </w:pPr>
      <w:r>
        <w:rPr>
          <w:i/>
          <w:iCs/>
          <w:color w:val="595959"/>
          <w:sz w:val="16"/>
          <w:szCs w:val="16"/>
        </w:rPr>
        <w:t xml:space="preserve">Source: FY2025 Remuneration Report, executive remuneration summary, p.18. (e) = % calculated by us. CEO’s total fell on lower LTI vesting value (R10.1m vs R15.7m); CFO’s rose on higher LTI vesting.</w:t>
      </w:r>
    </w:p>
    <w:p>
      <w:pPr>
        <w:pStyle w:val="Heading2"/>
      </w:pPr>
      <w:r>
        <w:t xml:space="preserve">Alignment features &amp; governance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Malus &amp; clawback </w:t>
      </w:r>
      <w:r>
        <w:t xml:space="preserve">apply to all variable pay, with a three-year recovery window covering material misstatement, corporate failure, reputational damage or ethics breaches.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Minimum shareholding requirement (MSR): </w:t>
      </w:r>
      <w:r>
        <w:t xml:space="preserve">CEO 300% of AGP, CFO 150%, exco 100%, to be built within five years. FY2025 attainment: CEO 105.7% (already compliant); CFO 87.8% (progressing).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Shareholder support is strong: </w:t>
      </w:r>
      <w:r>
        <w:t xml:space="preserve">at the January 2025 AGM the remuneration policy passed with 96.3% and the implementation report with 95.5% in favour — well clear of the 25% King IV dissent threshold.</w:t>
      </w:r>
    </w:p>
    <w:p>
      <w:pPr>
        <w:spacing w:after="140"/>
      </w:pPr>
      <w:r>
        <w:rPr>
          <w:i/>
          <w:iCs/>
          <w:color w:val="595959"/>
          <w:sz w:val="16"/>
          <w:szCs w:val="16"/>
        </w:rPr>
        <w:t xml:space="preserve">Source: FY2025 Remuneration Report, malus/clawback pp.14–15, MSR p.15, voting p.3.</w:t>
      </w:r>
    </w:p>
    <w:p>
      <w:pPr>
        <w:spacing w:after="40"/>
      </w:pPr>
      <w:r>
        <w:t xml:space="preserve"/>
      </w:r>
    </w:p>
    <w:p>
      <w:pPr>
        <w:pStyle w:val="Heading1"/>
      </w:pPr>
      <w:r>
        <w:t xml:space="preserve">5.  Risks highlighted by management</w:t>
      </w:r>
    </w:p>
    <w:p>
      <w:pPr>
        <w:spacing w:after="120"/>
      </w:pPr>
      <w:r>
        <w:t xml:space="preserve">The FY2025 Integrated Annual Report sets out six principal “material issues” (risks) for the year ahead: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Challenging consumer trading environment </w:t>
      </w:r>
      <w:r>
        <w:t xml:space="preserve">— economic pressure, rand weakness lifting import costs, and price sensitivity; scarce lines can drive stock loss, fraud and theft.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Information technology &amp; cybersecurity </w:t>
      </w:r>
      <w:r>
        <w:t xml:space="preserve">— failure to maintain/enhance IT and cyber defences risks supply-chain disruption, lost competitiveness and business-continuity gaps.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Increasing competition </w:t>
      </w:r>
      <w:r>
        <w:t xml:space="preserve">— food retailers, general-merchandise and other pharmacy chains competing for share, including in the third-party pharmacy market.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Regulatory &amp; compliance landscape </w:t>
      </w:r>
      <w:r>
        <w:t xml:space="preserve">— National Health Insurance (NHI), single-exit-price (SEP) medicine pricing, licensing and retail-space constraints; non-compliance risks fines, lost licences or closures.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Supply-chain resilience </w:t>
      </w:r>
      <w:r>
        <w:t xml:space="preserve">— geopolitical/trade tensions, vendor or distribution-centre disruption, and inventory/availability risk (in-store and online).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Climate &amp; environmental sustainability </w:t>
      </w:r>
      <w:r>
        <w:t xml:space="preserve">— extreme weather disrupting sites and seasonal mix; failure to meet environmental targets or eco-product demand.</w:t>
      </w:r>
    </w:p>
    <w:p>
      <w:pPr>
        <w:spacing w:after="140"/>
      </w:pPr>
      <w:r>
        <w:rPr>
          <w:i/>
          <w:iCs/>
          <w:color w:val="595959"/>
          <w:sz w:val="16"/>
          <w:szCs w:val="16"/>
        </w:rPr>
        <w:t xml:space="preserve">Source: FY2025 Integrated Annual Report, “Material issues for the year ahead”, pp.16–19.</w:t>
      </w:r>
    </w:p>
    <w:p>
      <w:pPr>
        <w:pStyle w:val="Heading2"/>
      </w:pPr>
      <w:r>
        <w:t xml:space="preserve">Audit, going-concern &amp; housekeeping flags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FY2025 condensed results carry an </w:t>
      </w:r>
      <w:r>
        <w:rPr>
          <w:b/>
          <w:bCs/>
        </w:rPr>
        <w:t xml:space="preserve">unmodified review conclusion</w:t>
      </w:r>
      <w:r>
        <w:t xml:space="preserve"> from KPMG Inc. (23 Oct 2025). The </w:t>
      </w:r>
      <w:r>
        <w:rPr>
          <w:b/>
          <w:bCs/>
        </w:rPr>
        <w:t xml:space="preserve">H1 FY2026 interims are unaudited and unreviewed</w:t>
      </w:r>
      <w:r>
        <w:t xml:space="preserve">, and the FY2026 HEPS forecast was not reviewed by the auditor.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going-concern issue</w:t>
      </w:r>
      <w:r>
        <w:t xml:space="preserve"> and no goodwill/asset impairment or prior-period restatement disclosed; only routine ECL allowances on receivables.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Operational watch-item: </w:t>
      </w:r>
      <w:r>
        <w:t xml:space="preserve">the WMS go-live cost ~R175m of lost retail turnover in H1 (recovered by end-February); 105 stores still await dispensary licences.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Compliance flag for the desk: </w:t>
      </w:r>
      <w:r>
        <w:t xml:space="preserve">with the interim-dividend timetable (ex-div 1 July, payable 6 July 2026) and FY2026 results due ~late October, a closed period is likely building — confirm dealing-period status before any trade.</w:t>
      </w:r>
    </w:p>
    <w:p>
      <w:pPr>
        <w:spacing w:after="40"/>
      </w:pPr>
      <w:r>
        <w:t xml:space="preserve"/>
      </w:r>
    </w:p>
    <w:p>
      <w:pPr>
        <w:pStyle w:val="Heading1"/>
      </w:pPr>
      <w:r>
        <w:t xml:space="preserve">6.  Questions for management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With comparable sales at +3.1% and price inflation at +2.3% in H1, how much of the FY2026 +4–9% HEPS guidance depends on volume vs price vs new space, given the H2 consumer-pressure assumption?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Is the Cape Town DC / WMS now fully stabilised after the ~R175m H1 availability hit, and what is the residual risk to H2 service levels and the wider supply-chain programme?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UPD wholesale share slipped to 25.7% and managed turnover was −0.2% after losing two bulk contracts — what is the realistic medium-term margin and share trajectory, and does UPD remain core?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With the premium rating largely unwound and the shares down ~35%, what is the board’s capital-allocation priority — buy-backs vs the 1 200-store rollout vs bolt-on M&amp;A — and the return hurdles applied?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What scenario planning underpins the “no regulatory change” guidance assumption, specifically around NHI and any moderation of the annual single-exit-price (SEP) medicine increase?</w:t>
      </w:r>
    </w:p>
    <w:p>
      <w:pPr>
        <w:spacing w:after="60"/>
      </w:pPr>
      <w:r>
        <w:t xml:space="preserve"/>
      </w:r>
    </w:p>
    <w:p>
      <w:pPr>
        <w:pStyle w:val="Heading1"/>
      </w:pPr>
      <w:r>
        <w:t xml:space="preserve">Sources &amp; basis</w:t>
      </w:r>
    </w:p>
    <w:p>
      <w:pPr>
        <w:spacing w:after="120"/>
      </w:pPr>
      <w:r>
        <w:rPr>
          <w:b/>
          <w:bCs/>
        </w:rPr>
        <w:t xml:space="preserve">Company documents (held locally): </w:t>
      </w:r>
      <w:r>
        <w:t xml:space="preserve">FY2025 results announcement (SENS, 23 Oct 2025); FY2025 Integrated Annual Report &amp; Remuneration Report; H1 FY2026 interim results (SENS, 23 Apr 2026); FY2025 and H1 FY2026 analyst booklets. Figures are taken from the companies’ own SENS/segmental disclosures; “(e)” marks a figure we calculated, with the basis shown.</w:t>
      </w:r>
    </w:p>
    <w:p>
      <w:pPr>
        <w:spacing w:after="120"/>
      </w:pPr>
      <w:r>
        <w:rPr>
          <w:b/>
          <w:bCs/>
        </w:rPr>
        <w:t xml:space="preserve">Market data (delayed/indicative, dated 17 June 2026 unless stated): </w:t>
      </w:r>
      <w:r>
        <w:t xml:space="preserve">share price, valuation and consensus from TradingEconomics, Morningstar, BusinessTech, MarketScreener and Investing.com; SA macro from the SARB rate statement (28 May 2026) and SA CPI (May 2026). There is no live JSE price feed here — prices may be delayed and should be verified before any dealing.</w:t>
      </w:r>
    </w:p>
    <w:p>
      <w:pPr>
        <w:spacing w:after="120"/>
      </w:pPr>
      <w:r>
        <w:rPr>
          <w:i/>
          <w:iCs/>
          <w:color w:val="595959"/>
          <w:sz w:val="17"/>
          <w:szCs w:val="17"/>
        </w:rPr>
        <w:t xml:space="preserve">This document is for informational purposes only and is not investment advice. It is not a recommendation to buy, hold or sell any security. The preparer is not a registered financial adviser. Analyst price targets and ratings are third-party estimates, not company guidance.</w:t>
      </w:r>
    </w:p>
    <w:sectPr>
      <w:headerReference w:type="default" r:id="rId7"/>
      <w:footerReference w:type="default" r:id="rId8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595959"/>
        <w:sz w:val="14"/>
        <w:szCs w:val="14"/>
      </w:rPr>
      <w:t xml:space="preserve">Clicks Group (JSE: CLS) — Quick Analysis  |  17 June 2026  |  Internal — not investment advice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E2F3" w:sz="6" w:space="4"/>
      </w:pBdr>
      <w:spacing w:after="120" w:before="260"/>
      <w:outlineLvl w:val="0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2E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Clicks Group (CLS) — Quick Analysis</dc:title>
  <dc:creator>JSE Equity Research</dc:creator>
  <cp:lastModifiedBy>Un-named</cp:lastModifiedBy>
  <cp:revision>1</cp:revision>
  <dcterms:created xsi:type="dcterms:W3CDTF">2026-06-17T18:47:07.687Z</dcterms:created>
  <dcterms:modified xsi:type="dcterms:W3CDTF">2026-06-17T18:47:07.688Z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