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40"/>
          <w:szCs w:val="40"/>
        </w:rPr>
        <w:t xml:space="preserve">Mr Price Group Limited (JSE: MRP)</w:t>
      </w:r>
    </w:p>
    <w:p>
      <w:pPr>
        <w:spacing w:after="40"/>
      </w:pPr>
      <w:r>
        <w:rPr>
          <w:color w:val="2E4D6B"/>
          <w:sz w:val="24"/>
          <w:szCs w:val="24"/>
        </w:rPr>
        <w:t xml:space="preserve">Research Note — Management Incentives, Risks, Rand Exposure &amp; Capital Allocation</w:t>
      </w:r>
    </w:p>
    <w:p>
      <w:pPr>
        <w:spacing w:after="160"/>
      </w:pPr>
      <w:r>
        <w:rPr>
          <w:i/>
          <w:iCs/>
          <w:color w:val="888888"/>
          <w:sz w:val="18"/>
          <w:szCs w:val="18"/>
        </w:rPr>
        <w:t xml:space="preserve">FY2026 results (52 weeks ended 28 March 2026, released 5 June 2026)  ·  Prepared 5 June 2026  ·  Reporting currency: ZAR</w:t>
      </w:r>
    </w:p>
    <w:p>
      <w:pPr>
        <w:pStyle w:val="Heading1"/>
      </w:pPr>
      <w:r>
        <w:t xml:space="preserve">1. Summary</w:t>
      </w:r>
    </w:p>
    <w:p>
      <w:pPr>
        <w:spacing w:after="120"/>
      </w:pPr>
      <w:r>
        <w:t xml:space="preserve">Mr Price delivered a </w:t>
      </w:r>
      <w:r>
        <w:rPr>
          <w:b/>
          <w:bCs/>
        </w:rPr>
        <w:t xml:space="preserve">resilient but unspectacular FY2026</w:t>
      </w:r>
      <w:r>
        <w:t xml:space="preserve">: revenue of R42.7bn and operating profit up 4.3% to R6.0bn — roughly R16.4m a day.</w:t>
      </w:r>
      <w:r>
        <w:rPr>
          <w:rStyle w:val="FootnoteReference"/>
        </w:rPr>
        <w:footnoteReference w:id="1"/>
      </w:r>
      <w:r>
        <w:t xml:space="preserve"> Statutory headline earnings rose only ~2%, but </w:t>
      </w:r>
      <w:r>
        <w:rPr>
          <w:b/>
          <w:bCs/>
        </w:rPr>
        <w:t xml:space="preserve">normalised headline EPS grew 7.7%</w:t>
      </w:r>
      <w:r>
        <w:t xml:space="preserve"> once the once-off costs of the transformational NKD acquisition are excluded.</w:t>
      </w:r>
      <w:r>
        <w:rPr>
          <w:rStyle w:val="FootnoteReference"/>
        </w:rPr>
        <w:footnoteReference w:id="1"/>
      </w:r>
      <w:r>
        <w:t xml:space="preserve"> Growth was price-led (RSP inflation 3.8%, unit sales +0.5%), and the final dividend was held essentially flat at 592.8c.</w:t>
      </w:r>
      <w:r>
        <w:rPr>
          <w:rStyle w:val="FootnoteReference"/>
        </w:rPr>
        <w:footnoteReference w:id="1"/>
      </w:r>
    </w:p>
    <w:p>
      <w:pPr>
        <w:spacing w:after="120"/>
      </w:pPr>
      <w:r>
        <w:t xml:space="preserve">The dominant story, however, is strategic, not cyclical. In December 2025 Mr Price agreed to buy </w:t>
      </w:r>
      <w:r>
        <w:rPr>
          <w:b/>
          <w:bCs/>
        </w:rPr>
        <w:t xml:space="preserve">NKD</w:t>
      </w:r>
      <w:r>
        <w:t xml:space="preserve">, a European value retailer with 2,000+ stores across seven countries, for up to €487m (~R9.66bn) — closing 31 March 2026 and consolidating from FY2027.</w:t>
      </w:r>
      <w:r>
        <w:rPr>
          <w:rStyle w:val="FootnoteReference"/>
        </w:rPr>
        <w:footnoteReference w:id="3"/>
      </w:r>
      <w:r>
        <w:t xml:space="preserve"> This single deal more than doubles the store footprint and reshapes all four themes below: it ends the net-cash balance sheet, introduces a large new </w:t>
      </w:r>
      <w:r>
        <w:rPr>
          <w:b/>
          <w:bCs/>
        </w:rPr>
        <w:t xml:space="preserve">euro translation exposure</w:t>
      </w:r>
      <w:r>
        <w:t xml:space="preserve">, and reframes capital allocation around offshore M&amp;A. The market was unconvinced — the shares fell 13.7% on announcement.</w:t>
      </w:r>
      <w:r>
        <w:rPr>
          <w:rStyle w:val="FootnoteReference"/>
        </w:rPr>
        <w:footnoteReference w:id="3"/>
      </w:r>
    </w:p>
    <w:p>
      <w:pPr>
        <w:spacing w:after="120"/>
      </w:pPr>
      <w:r>
        <w:t xml:space="preserve">Net read: a high-quality, cash-generative, well-incentivised SA franchise has made its biggest-ever bet on a turnaround in Europe. Execution of NKD now matters more to the FY2027 equity story than the SA base. </w:t>
      </w:r>
      <w:r>
        <w:rPr>
          <w:i/>
          <w:iCs/>
        </w:rPr>
        <w:t xml:space="preserve">(Analyst judgement.)</w:t>
      </w:r>
      <w:r>
        <w:rPr>
          <w:rStyle w:val="FootnoteReference"/>
        </w:rPr>
        <w:footnoteReference w:id="6"/>
      </w:r>
    </w:p>
    <w:p>
      <w:pPr>
        <w:pStyle w:val="Heading1"/>
      </w:pPr>
      <w:r>
        <w:t xml:space="preserve">2. FY2026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60"/>
        <w:gridCol w:w="1500"/>
        <w:gridCol w:w="1500"/>
        <w:gridCol w:w="1450"/>
        <w:gridCol w:w="1450"/>
      </w:tblGrid>
      <w:tr>
        <w:trPr>
          <w:tblHeader/>
        </w:trPr>
        <w:tc>
          <w:tcPr>
            <w:tcW w:type="dxa" w:w="346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left"/>
            </w:pPr>
            <w:r>
              <w:rPr>
                <w:b/>
                <w:bCs/>
                <w:color w:val="FFFFFF"/>
                <w:sz w:val="19"/>
                <w:szCs w:val="19"/>
              </w:rPr>
              <w:t xml:space="preserve">Metric (FY2026, 52 wks to 28 Mar 2026)</w:t>
            </w:r>
          </w:p>
        </w:tc>
        <w:tc>
          <w:tcPr>
            <w:tcW w:type="dxa" w:w="15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right"/>
            </w:pPr>
            <w:r>
              <w:rPr>
                <w:b/>
                <w:bCs/>
                <w:color w:val="FFFFFF"/>
                <w:sz w:val="19"/>
                <w:szCs w:val="19"/>
              </w:rPr>
              <w:t xml:space="preserve">FY2026</w:t>
            </w:r>
          </w:p>
        </w:tc>
        <w:tc>
          <w:tcPr>
            <w:tcW w:type="dxa" w:w="15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right"/>
            </w:pPr>
            <w:r>
              <w:rPr>
                <w:b/>
                <w:bCs/>
                <w:color w:val="FFFFFF"/>
                <w:sz w:val="19"/>
                <w:szCs w:val="19"/>
              </w:rPr>
              <w:t xml:space="preserve">FY2025</w:t>
            </w:r>
          </w:p>
        </w:tc>
        <w:tc>
          <w:tcPr>
            <w:tcW w:type="dxa" w:w="145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right"/>
            </w:pPr>
            <w:r>
              <w:rPr>
                <w:b/>
                <w:bCs/>
                <w:color w:val="FFFFFF"/>
                <w:sz w:val="19"/>
                <w:szCs w:val="19"/>
              </w:rPr>
              <w:t xml:space="preserve">Change</w:t>
            </w:r>
          </w:p>
        </w:tc>
        <w:tc>
          <w:tcPr>
            <w:tcW w:type="dxa" w:w="145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right"/>
            </w:pPr>
            <w:r>
              <w:rPr>
                <w:b/>
                <w:bCs/>
                <w:color w:val="FFFFFF"/>
                <w:sz w:val="19"/>
                <w:szCs w:val="19"/>
              </w:rPr>
              <w:t xml:space="preserve">Source</w:t>
            </w:r>
          </w:p>
        </w:tc>
      </w:tr>
      <w:tr>
        <w:tc>
          <w:tcPr>
            <w:tcW w:type="dxa" w:w="34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19"/>
                <w:szCs w:val="19"/>
              </w:rPr>
              <w:t xml:space="preserve">Revenue (R'bn)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19"/>
                <w:szCs w:val="19"/>
              </w:rPr>
              <w:t xml:space="preserve">42.7</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19"/>
                <w:szCs w:val="19"/>
              </w:rPr>
              <w:t xml:space="preserve">~40.9</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19"/>
                <w:szCs w:val="19"/>
              </w:rPr>
              <w:t xml:space="preserve">+~4%</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19"/>
                <w:szCs w:val="19"/>
              </w:rPr>
              <w:t xml:space="preserve">S1</w:t>
            </w:r>
          </w:p>
        </w:tc>
      </w:tr>
      <w:tr>
        <w:tc>
          <w:tcPr>
            <w:tcW w:type="dxa" w:w="346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tcPr>
          <w:p>
            <w:pPr>
              <w:jc w:val="left"/>
            </w:pPr>
            <w:r>
              <w:rPr>
                <w:b w:val="false"/>
                <w:bCs w:val="false"/>
                <w:sz w:val="19"/>
                <w:szCs w:val="19"/>
              </w:rPr>
              <w:t xml:space="preserve">Retail sales (R'bn)</w:t>
            </w:r>
          </w:p>
        </w:tc>
        <w:tc>
          <w:tcPr>
            <w:tcW w:type="dxa" w:w="15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tcPr>
          <w:p>
            <w:pPr>
              <w:jc w:val="right"/>
            </w:pPr>
            <w:r>
              <w:rPr>
                <w:b w:val="false"/>
                <w:bCs w:val="false"/>
                <w:sz w:val="19"/>
                <w:szCs w:val="19"/>
              </w:rPr>
              <w:t xml:space="preserve">41.1</w:t>
            </w:r>
          </w:p>
        </w:tc>
        <w:tc>
          <w:tcPr>
            <w:tcW w:type="dxa" w:w="15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tcPr>
          <w:p>
            <w:pPr>
              <w:jc w:val="right"/>
            </w:pPr>
            <w:r>
              <w:rPr>
                <w:b w:val="false"/>
                <w:bCs w:val="false"/>
                <w:sz w:val="19"/>
                <w:szCs w:val="19"/>
              </w:rPr>
              <w:t xml:space="preserve">39.4 (e)</w:t>
            </w:r>
          </w:p>
        </w:tc>
        <w:tc>
          <w:tcPr>
            <w:tcW w:type="dxa" w:w="145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tcPr>
          <w:p>
            <w:pPr>
              <w:jc w:val="right"/>
            </w:pPr>
            <w:r>
              <w:rPr>
                <w:b w:val="false"/>
                <w:bCs w:val="false"/>
                <w:sz w:val="19"/>
                <w:szCs w:val="19"/>
              </w:rPr>
              <w:t xml:space="preserve">+4.3%</w:t>
            </w:r>
          </w:p>
        </w:tc>
        <w:tc>
          <w:tcPr>
            <w:tcW w:type="dxa" w:w="145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tcPr>
          <w:p>
            <w:pPr>
              <w:jc w:val="right"/>
            </w:pPr>
            <w:r>
              <w:rPr>
                <w:b w:val="false"/>
                <w:bCs w:val="false"/>
                <w:sz w:val="19"/>
                <w:szCs w:val="19"/>
              </w:rPr>
              <w:t xml:space="preserve">S1</w:t>
            </w:r>
          </w:p>
        </w:tc>
      </w:tr>
      <w:tr>
        <w:tc>
          <w:tcPr>
            <w:tcW w:type="dxa" w:w="34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19"/>
                <w:szCs w:val="19"/>
              </w:rPr>
              <w:t xml:space="preserve">Operating profit (R'bn)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19"/>
                <w:szCs w:val="19"/>
              </w:rPr>
              <w:t xml:space="preserve">6.0</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19"/>
                <w:szCs w:val="19"/>
              </w:rPr>
              <w:t xml:space="preserve">5.75 (e)</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19"/>
                <w:szCs w:val="19"/>
              </w:rPr>
              <w:t xml:space="preserve">+4.3%</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19"/>
                <w:szCs w:val="19"/>
              </w:rPr>
              <w:t xml:space="preserve">S1</w:t>
            </w:r>
          </w:p>
        </w:tc>
      </w:tr>
      <w:tr>
        <w:tc>
          <w:tcPr>
            <w:tcW w:type="dxa" w:w="346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tcPr>
          <w:p>
            <w:pPr>
              <w:jc w:val="left"/>
            </w:pPr>
            <w:r>
              <w:rPr>
                <w:b w:val="false"/>
                <w:bCs w:val="false"/>
                <w:sz w:val="19"/>
                <w:szCs w:val="19"/>
              </w:rPr>
              <w:t xml:space="preserve">HEPS (cents, statutory)</w:t>
            </w:r>
          </w:p>
        </w:tc>
        <w:tc>
          <w:tcPr>
            <w:tcW w:type="dxa" w:w="15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tcPr>
          <w:p>
            <w:pPr>
              <w:jc w:val="right"/>
            </w:pPr>
            <w:r>
              <w:rPr>
                <w:b w:val="false"/>
                <w:bCs w:val="false"/>
                <w:sz w:val="19"/>
                <w:szCs w:val="19"/>
              </w:rPr>
              <w:t xml:space="preserve">1,453.9</w:t>
            </w:r>
          </w:p>
        </w:tc>
        <w:tc>
          <w:tcPr>
            <w:tcW w:type="dxa" w:w="15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tcPr>
          <w:p>
            <w:pPr>
              <w:jc w:val="right"/>
            </w:pPr>
            <w:r>
              <w:rPr>
                <w:b w:val="false"/>
                <w:bCs w:val="false"/>
                <w:sz w:val="19"/>
                <w:szCs w:val="19"/>
              </w:rPr>
              <w:t xml:space="preserve">1,424 (e)</w:t>
            </w:r>
          </w:p>
        </w:tc>
        <w:tc>
          <w:tcPr>
            <w:tcW w:type="dxa" w:w="145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tcPr>
          <w:p>
            <w:pPr>
              <w:jc w:val="right"/>
            </w:pPr>
            <w:r>
              <w:rPr>
                <w:b w:val="false"/>
                <w:bCs w:val="false"/>
                <w:sz w:val="19"/>
                <w:szCs w:val="19"/>
              </w:rPr>
              <w:t xml:space="preserve">+2.1%</w:t>
            </w:r>
          </w:p>
        </w:tc>
        <w:tc>
          <w:tcPr>
            <w:tcW w:type="dxa" w:w="145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tcPr>
          <w:p>
            <w:pPr>
              <w:jc w:val="right"/>
            </w:pPr>
            <w:r>
              <w:rPr>
                <w:b w:val="false"/>
                <w:bCs w:val="false"/>
                <w:sz w:val="19"/>
                <w:szCs w:val="19"/>
              </w:rPr>
              <w:t xml:space="preserve">S1</w:t>
            </w:r>
          </w:p>
        </w:tc>
      </w:tr>
      <w:tr>
        <w:tc>
          <w:tcPr>
            <w:tcW w:type="dxa" w:w="34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19"/>
                <w:szCs w:val="19"/>
              </w:rPr>
              <w:t xml:space="preserve">HEPS (normalised, ex-NKD)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19"/>
                <w:szCs w:val="19"/>
              </w:rPr>
              <w:t xml:space="preserv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19"/>
                <w:szCs w:val="19"/>
              </w:rPr>
              <w:t xml:space="preserve">—</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19"/>
                <w:szCs w:val="19"/>
              </w:rPr>
              <w:t xml:space="preserve">+7.7%</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19"/>
                <w:szCs w:val="19"/>
              </w:rPr>
              <w:t xml:space="preserve">S1</w:t>
            </w:r>
          </w:p>
        </w:tc>
      </w:tr>
      <w:tr>
        <w:tc>
          <w:tcPr>
            <w:tcW w:type="dxa" w:w="346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tcPr>
          <w:p>
            <w:pPr>
              <w:jc w:val="left"/>
            </w:pPr>
            <w:r>
              <w:rPr>
                <w:b w:val="false"/>
                <w:bCs w:val="false"/>
                <w:sz w:val="19"/>
                <w:szCs w:val="19"/>
              </w:rPr>
              <w:t xml:space="preserve">Diluted HEPS (cents)</w:t>
            </w:r>
          </w:p>
        </w:tc>
        <w:tc>
          <w:tcPr>
            <w:tcW w:type="dxa" w:w="15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tcPr>
          <w:p>
            <w:pPr>
              <w:jc w:val="right"/>
            </w:pPr>
            <w:r>
              <w:rPr>
                <w:b w:val="false"/>
                <w:bCs w:val="false"/>
                <w:sz w:val="19"/>
                <w:szCs w:val="19"/>
              </w:rPr>
              <w:t xml:space="preserve">1,411.8</w:t>
            </w:r>
          </w:p>
        </w:tc>
        <w:tc>
          <w:tcPr>
            <w:tcW w:type="dxa" w:w="15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tcPr>
          <w:p>
            <w:pPr>
              <w:jc w:val="right"/>
            </w:pPr>
            <w:r>
              <w:rPr>
                <w:b w:val="false"/>
                <w:bCs w:val="false"/>
                <w:sz w:val="19"/>
                <w:szCs w:val="19"/>
              </w:rPr>
              <w:t xml:space="preserve">1,378 (e)</w:t>
            </w:r>
          </w:p>
        </w:tc>
        <w:tc>
          <w:tcPr>
            <w:tcW w:type="dxa" w:w="145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tcPr>
          <w:p>
            <w:pPr>
              <w:jc w:val="right"/>
            </w:pPr>
            <w:r>
              <w:rPr>
                <w:b w:val="false"/>
                <w:bCs w:val="false"/>
                <w:sz w:val="19"/>
                <w:szCs w:val="19"/>
              </w:rPr>
              <w:t xml:space="preserve">+2.4%</w:t>
            </w:r>
          </w:p>
        </w:tc>
        <w:tc>
          <w:tcPr>
            <w:tcW w:type="dxa" w:w="145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tcPr>
          <w:p>
            <w:pPr>
              <w:jc w:val="right"/>
            </w:pPr>
            <w:r>
              <w:rPr>
                <w:b w:val="false"/>
                <w:bCs w:val="false"/>
                <w:sz w:val="19"/>
                <w:szCs w:val="19"/>
              </w:rPr>
              <w:t xml:space="preserve">S1</w:t>
            </w:r>
          </w:p>
        </w:tc>
      </w:tr>
      <w:tr>
        <w:tc>
          <w:tcPr>
            <w:tcW w:type="dxa" w:w="34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19"/>
                <w:szCs w:val="19"/>
              </w:rPr>
              <w:t xml:space="preserve">Diluted HEPS (normalised)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19"/>
                <w:szCs w:val="19"/>
              </w:rPr>
              <w:t xml:space="preserve">~1,489</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19"/>
                <w:szCs w:val="19"/>
              </w:rPr>
              <w:t xml:space="preserve">—</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19"/>
                <w:szCs w:val="19"/>
              </w:rPr>
              <w:t xml:space="preserve">+8.0%</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19"/>
                <w:szCs w:val="19"/>
              </w:rPr>
              <w:t xml:space="preserve">S1</w:t>
            </w:r>
          </w:p>
        </w:tc>
      </w:tr>
      <w:tr>
        <w:tc>
          <w:tcPr>
            <w:tcW w:type="dxa" w:w="346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tcPr>
          <w:p>
            <w:pPr>
              <w:jc w:val="left"/>
            </w:pPr>
            <w:r>
              <w:rPr>
                <w:b w:val="false"/>
                <w:bCs w:val="false"/>
                <w:sz w:val="19"/>
                <w:szCs w:val="19"/>
              </w:rPr>
              <w:t xml:space="preserve">Final dividend (cents)</w:t>
            </w:r>
          </w:p>
        </w:tc>
        <w:tc>
          <w:tcPr>
            <w:tcW w:type="dxa" w:w="15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tcPr>
          <w:p>
            <w:pPr>
              <w:jc w:val="right"/>
            </w:pPr>
            <w:r>
              <w:rPr>
                <w:b w:val="false"/>
                <w:bCs w:val="false"/>
                <w:sz w:val="19"/>
                <w:szCs w:val="19"/>
              </w:rPr>
              <w:t xml:space="preserve">592.8</w:t>
            </w:r>
          </w:p>
        </w:tc>
        <w:tc>
          <w:tcPr>
            <w:tcW w:type="dxa" w:w="15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tcPr>
          <w:p>
            <w:pPr>
              <w:jc w:val="right"/>
            </w:pPr>
            <w:r>
              <w:rPr>
                <w:b w:val="false"/>
                <w:bCs w:val="false"/>
                <w:sz w:val="19"/>
                <w:szCs w:val="19"/>
              </w:rPr>
              <w:t xml:space="preserve">593.5</w:t>
            </w:r>
          </w:p>
        </w:tc>
        <w:tc>
          <w:tcPr>
            <w:tcW w:type="dxa" w:w="145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tcPr>
          <w:p>
            <w:pPr>
              <w:jc w:val="right"/>
            </w:pPr>
            <w:r>
              <w:rPr>
                <w:b w:val="false"/>
                <w:bCs w:val="false"/>
                <w:sz w:val="19"/>
                <w:szCs w:val="19"/>
              </w:rPr>
              <w:t xml:space="preserve">-0.1%</w:t>
            </w:r>
          </w:p>
        </w:tc>
        <w:tc>
          <w:tcPr>
            <w:tcW w:type="dxa" w:w="145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tcPr>
          <w:p>
            <w:pPr>
              <w:jc w:val="right"/>
            </w:pPr>
            <w:r>
              <w:rPr>
                <w:b w:val="false"/>
                <w:bCs w:val="false"/>
                <w:sz w:val="19"/>
                <w:szCs w:val="19"/>
              </w:rPr>
              <w:t xml:space="preserve">S1</w:t>
            </w:r>
          </w:p>
        </w:tc>
      </w:tr>
      <w:tr>
        <w:tc>
          <w:tcPr>
            <w:tcW w:type="dxa" w:w="34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19"/>
                <w:szCs w:val="19"/>
              </w:rPr>
              <w:t xml:space="preserve">Unit sales / RSP inflation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19"/>
                <w:szCs w:val="19"/>
              </w:rPr>
              <w:t xml:space="preserve">+0.5% / 3.8%</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19"/>
                <w:szCs w:val="19"/>
              </w:rPr>
              <w:t xml:space="preserve">—</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19"/>
                <w:szCs w:val="19"/>
              </w:rPr>
              <w:t xml:space="preserve">—</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19"/>
                <w:szCs w:val="19"/>
              </w:rPr>
              <w:t xml:space="preserve">S1</w:t>
            </w:r>
          </w:p>
        </w:tc>
      </w:tr>
      <w:tr>
        <w:tc>
          <w:tcPr>
            <w:tcW w:type="dxa" w:w="346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tcPr>
          <w:p>
            <w:pPr>
              <w:jc w:val="left"/>
            </w:pPr>
            <w:r>
              <w:rPr>
                <w:b w:val="false"/>
                <w:bCs w:val="false"/>
                <w:sz w:val="19"/>
                <w:szCs w:val="19"/>
              </w:rPr>
              <w:t xml:space="preserve">Cash sales (% of retail)</w:t>
            </w:r>
          </w:p>
        </w:tc>
        <w:tc>
          <w:tcPr>
            <w:tcW w:type="dxa" w:w="15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tcPr>
          <w:p>
            <w:pPr>
              <w:jc w:val="right"/>
            </w:pPr>
            <w:r>
              <w:rPr>
                <w:b w:val="false"/>
                <w:bCs w:val="false"/>
                <w:sz w:val="19"/>
                <w:szCs w:val="19"/>
              </w:rPr>
              <w:t xml:space="preserve">89.4%</w:t>
            </w:r>
          </w:p>
        </w:tc>
        <w:tc>
          <w:tcPr>
            <w:tcW w:type="dxa" w:w="15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tcPr>
          <w:p>
            <w:pPr>
              <w:jc w:val="right"/>
            </w:pPr>
            <w:r>
              <w:rPr>
                <w:b w:val="false"/>
                <w:bCs w:val="false"/>
                <w:sz w:val="19"/>
                <w:szCs w:val="19"/>
              </w:rPr>
              <w:t xml:space="preserve">—</w:t>
            </w:r>
          </w:p>
        </w:tc>
        <w:tc>
          <w:tcPr>
            <w:tcW w:type="dxa" w:w="145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tcPr>
          <w:p>
            <w:pPr>
              <w:jc w:val="right"/>
            </w:pPr>
            <w:r>
              <w:rPr>
                <w:b w:val="false"/>
                <w:bCs w:val="false"/>
                <w:sz w:val="19"/>
                <w:szCs w:val="19"/>
              </w:rPr>
              <w:t xml:space="preserve">—</w:t>
            </w:r>
          </w:p>
        </w:tc>
        <w:tc>
          <w:tcPr>
            <w:tcW w:type="dxa" w:w="145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tcPr>
          <w:p>
            <w:pPr>
              <w:jc w:val="right"/>
            </w:pPr>
            <w:r>
              <w:rPr>
                <w:b w:val="false"/>
                <w:bCs w:val="false"/>
                <w:sz w:val="19"/>
                <w:szCs w:val="19"/>
              </w:rPr>
              <w:t xml:space="preserve">S1</w:t>
            </w:r>
          </w:p>
        </w:tc>
      </w:tr>
      <w:tr>
        <w:tc>
          <w:tcPr>
            <w:tcW w:type="dxa" w:w="34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19"/>
                <w:szCs w:val="19"/>
              </w:rPr>
              <w:t xml:space="preserve">Stores / new opened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19"/>
                <w:szCs w:val="19"/>
              </w:rPr>
              <w:t xml:space="preserve">3,182 / 196</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19"/>
                <w:szCs w:val="19"/>
              </w:rPr>
              <w:t xml:space="preserve">2,986 (e)</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19"/>
                <w:szCs w:val="19"/>
              </w:rPr>
              <w:t xml:space="preserve">+3.6% space</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19"/>
                <w:szCs w:val="19"/>
              </w:rPr>
              <w:t xml:space="preserve">S1</w:t>
            </w:r>
          </w:p>
        </w:tc>
      </w:tr>
      <w:tr>
        <w:tc>
          <w:tcPr>
            <w:tcW w:type="dxa" w:w="346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tcPr>
          <w:p>
            <w:pPr>
              <w:jc w:val="left"/>
            </w:pPr>
            <w:r>
              <w:rPr>
                <w:b w:val="false"/>
                <w:bCs w:val="false"/>
                <w:sz w:val="19"/>
                <w:szCs w:val="19"/>
              </w:rPr>
              <w:t xml:space="preserve">Share price / trailing P/E</w:t>
            </w:r>
          </w:p>
        </w:tc>
        <w:tc>
          <w:tcPr>
            <w:tcW w:type="dxa" w:w="15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tcPr>
          <w:p>
            <w:pPr>
              <w:jc w:val="right"/>
            </w:pPr>
            <w:r>
              <w:rPr>
                <w:b w:val="false"/>
                <w:bCs w:val="false"/>
                <w:sz w:val="19"/>
                <w:szCs w:val="19"/>
              </w:rPr>
              <w:t xml:space="preserve">~R212 / ~10.9x</w:t>
            </w:r>
          </w:p>
        </w:tc>
        <w:tc>
          <w:tcPr>
            <w:tcW w:type="dxa" w:w="15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tcPr>
          <w:p>
            <w:pPr>
              <w:jc w:val="right"/>
            </w:pPr>
            <w:r>
              <w:rPr>
                <w:b w:val="false"/>
                <w:bCs w:val="false"/>
                <w:sz w:val="19"/>
                <w:szCs w:val="19"/>
              </w:rPr>
              <w:t xml:space="preserve">—</w:t>
            </w:r>
          </w:p>
        </w:tc>
        <w:tc>
          <w:tcPr>
            <w:tcW w:type="dxa" w:w="145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tcPr>
          <w:p>
            <w:pPr>
              <w:jc w:val="right"/>
            </w:pPr>
            <w:r>
              <w:rPr>
                <w:b w:val="false"/>
                <w:bCs w:val="false"/>
                <w:sz w:val="19"/>
                <w:szCs w:val="19"/>
              </w:rPr>
              <w:t xml:space="preserve">—</w:t>
            </w:r>
          </w:p>
        </w:tc>
        <w:tc>
          <w:tcPr>
            <w:tcW w:type="dxa" w:w="145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tcPr>
          <w:p>
            <w:pPr>
              <w:jc w:val="right"/>
            </w:pPr>
            <w:r>
              <w:rPr>
                <w:b w:val="false"/>
                <w:bCs w:val="false"/>
                <w:sz w:val="19"/>
                <w:szCs w:val="19"/>
              </w:rPr>
              <w:t xml:space="preserve">S5</w:t>
            </w:r>
          </w:p>
        </w:tc>
      </w:tr>
    </w:tbl>
    <w:p>
      <w:pPr>
        <w:spacing w:after="40"/>
      </w:pPr>
      <w:r>
        <w:rPr>
          <w:i/>
          <w:iCs/>
          <w:color w:val="888888"/>
          <w:sz w:val="18"/>
          <w:szCs w:val="18"/>
        </w:rPr>
        <w:t xml:space="preserve">Figures marked (e) are estimated/derived to complete the comparison and are labelled accordingly; verify against the FY2026 AFS. Statutory HEPS growth (~+2%) is depressed by NKD transaction costs; management’s preferred normalised measure is +7.7% headline / +8.0% diluted.</w:t>
      </w:r>
      <w:r>
        <w:rPr>
          <w:rStyle w:val="FootnoteReference"/>
        </w:rPr>
        <w:footnoteReference w:id="1"/>
      </w:r>
    </w:p>
    <w:p>
      <w:pPr>
        <w:pStyle w:val="Heading1"/>
      </w:pPr>
      <w:r>
        <w:t xml:space="preserve">3. Management incentives</w:t>
      </w:r>
    </w:p>
    <w:p>
      <w:pPr>
        <w:spacing w:after="120"/>
      </w:pPr>
      <w:r>
        <w:t xml:space="preserve">Mr Price runs a conventional three-part executive package — total guaranteed pay (TGP), an annual short-term incentive (STI), and long-term share-based incentives (LTI) — but with an unusually </w:t>
      </w:r>
      <w:r>
        <w:rPr>
          <w:b/>
          <w:bCs/>
        </w:rPr>
        <w:t xml:space="preserve">demonstrated</w:t>
      </w:r>
      <w:r>
        <w:t xml:space="preserve"> pay-for-performance link. CEO Mark Blair’s total remuneration reached ~R60m in FY2025 (from ~R45m in FY2024) as earnings and the store base grew, with roughly 85% of the package variable (incentives) and ~15% fixed.</w:t>
      </w:r>
      <w:r>
        <w:rPr>
          <w:rStyle w:val="FootnoteReference"/>
        </w:rPr>
        <w:footnoteReference w:id="4"/>
      </w:r>
    </w:p>
    <w:p>
      <w:pPr>
        <w:spacing w:after="120"/>
      </w:pPr>
      <w:r>
        <w:t xml:space="preserve">The credibility test came in FY2023: when the group missed its financial objectives, </w:t>
      </w:r>
      <w:r>
        <w:rPr>
          <w:b/>
          <w:bCs/>
        </w:rPr>
        <w:t xml:space="preserve">STIs were not paid</w:t>
      </w:r>
      <w:r>
        <w:t xml:space="preserve"> and Blair’s total fell to R10.6m (from R56.5m the prior year) — the CFO’s halved too.</w:t>
      </w:r>
      <w:r>
        <w:rPr>
          <w:rStyle w:val="FootnoteReference"/>
        </w:rPr>
        <w:footnoteReference w:id="4"/>
      </w:r>
      <w:r>
        <w:t xml:space="preserve"> That episode, plus the subsequent restructuring of the discretionary “December bonus” into transparent pay, signals a remuneration committee willing to let incentives swing to zero. Awards are benchmarked between the 50th–75th percentile of retail peers (Shoprite, Pepkor, Foschini).</w:t>
      </w:r>
      <w:r>
        <w:rPr>
          <w:rStyle w:val="FootnoteReference"/>
        </w:rPr>
        <w:footnoteReference w:id="4"/>
      </w:r>
    </w:p>
    <w:p>
      <w:pPr>
        <w:spacing w:after="120"/>
      </w:pPr>
      <w:r>
        <w:rPr>
          <w:b/>
          <w:bCs/>
        </w:rPr>
        <w:t xml:space="preserve">Watch items for FY2026/27: </w:t>
      </w:r>
    </w:p>
    <w:p>
      <w:pPr>
        <w:pStyle w:val="ListParagraph"/>
        <w:numPr>
          <w:ilvl w:val="0"/>
          <w:numId w:val="2"/>
        </w:numPr>
        <w:spacing w:after="80"/>
      </w:pPr>
      <w:r>
        <w:t xml:space="preserve">With statutory HEPS up only ~2%, FY2026 STI outcomes should be modest unless the committee leans on normalised measures — the disclosure in the FY2026 remuneration report is worth scrutinising.</w:t>
      </w:r>
    </w:p>
    <w:p>
      <w:pPr>
        <w:pStyle w:val="ListParagraph"/>
        <w:numPr>
          <w:ilvl w:val="0"/>
          <w:numId w:val="2"/>
        </w:numPr>
        <w:spacing w:after="80"/>
      </w:pPr>
      <w:r>
        <w:t xml:space="preserve">NKD changes the performance-metric calculus: expect ROCE/return hurdles and integration milestones to feature, given the size of the bet. Confirm whether NKD-related costs are normalised out of incentive targets (a common governance flashpoint).</w:t>
      </w:r>
    </w:p>
    <w:p>
      <w:pPr>
        <w:pStyle w:val="ListParagraph"/>
        <w:numPr>
          <w:ilvl w:val="0"/>
          <w:numId w:val="2"/>
        </w:numPr>
        <w:spacing w:after="80"/>
      </w:pPr>
      <w:r>
        <w:t xml:space="preserve">Founder/long-tenure alignment and meaningful share ownership remain a positive; LTI vesting tied to multi-year shareholder returns helps offset the offshore execution risk.</w:t>
      </w:r>
    </w:p>
    <w:p>
      <w:pPr>
        <w:pStyle w:val="Heading1"/>
      </w:pPr>
      <w:r>
        <w:t xml:space="preserve">4. Risks for 2026 / 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360"/>
        <w:gridCol w:w="140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left"/>
            </w:pPr>
            <w:r>
              <w:rPr>
                <w:b/>
                <w:bCs/>
                <w:color w:val="FFFFFF"/>
                <w:sz w:val="19"/>
                <w:szCs w:val="19"/>
              </w:rPr>
              <w:t xml:space="preserve">Risk</w:t>
            </w:r>
          </w:p>
        </w:tc>
        <w:tc>
          <w:tcPr>
            <w:tcW w:type="dxa" w:w="536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right"/>
            </w:pPr>
            <w:r>
              <w:rPr>
                <w:b/>
                <w:bCs/>
                <w:color w:val="FFFFFF"/>
                <w:sz w:val="19"/>
                <w:szCs w:val="19"/>
              </w:rPr>
              <w:t xml:space="preserve">Why it matters for FY2026/27</w:t>
            </w:r>
          </w:p>
        </w:tc>
        <w:tc>
          <w:tcPr>
            <w:tcW w:type="dxa" w:w="14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right"/>
            </w:pPr>
            <w:r>
              <w:rPr>
                <w:b/>
                <w:bCs/>
                <w:color w:val="FFFFFF"/>
                <w:sz w:val="19"/>
                <w:szCs w:val="19"/>
              </w:rPr>
              <w:t xml:space="preserve">Severity</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19"/>
                <w:szCs w:val="19"/>
              </w:rPr>
              <w:t xml:space="preserve">NKD integration</w:t>
            </w:r>
          </w:p>
        </w:tc>
        <w:tc>
          <w:tcPr>
            <w:tcW w:type="dxa" w:w="5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19"/>
                <w:szCs w:val="19"/>
              </w:rPr>
              <w:t xml:space="preserve">First material offshore operating business; &gt;2,000 stores across 7 Central/Eastern European markets. Execution, systems, culture and management-bandwidth risk during integration; goodwill-impairment risk if returns disappoint.</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19"/>
                <w:szCs w:val="19"/>
              </w:rPr>
              <w:t xml:space="preserve">High</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tcPr>
          <w:p>
            <w:pPr>
              <w:jc w:val="left"/>
            </w:pPr>
            <w:r>
              <w:rPr>
                <w:b w:val="false"/>
                <w:bCs w:val="false"/>
                <w:sz w:val="19"/>
                <w:szCs w:val="19"/>
              </w:rPr>
              <w:t xml:space="preserve">Euro translation (FX)</w:t>
            </w:r>
          </w:p>
        </w:tc>
        <w:tc>
          <w:tcPr>
            <w:tcW w:type="dxa" w:w="536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tcPr>
          <w:p>
            <w:pPr>
              <w:jc w:val="right"/>
            </w:pPr>
            <w:r>
              <w:rPr>
                <w:b w:val="false"/>
                <w:bCs w:val="false"/>
                <w:sz w:val="19"/>
                <w:szCs w:val="19"/>
              </w:rPr>
              <w:t xml:space="preserve">From FY2027, a large EUR-denominated business is consolidated into a ZAR reporter. EUR/ZAR swings now move group earnings and the balance sheet — a new exposure for a historically SA-centric name.</w:t>
            </w:r>
          </w:p>
        </w:tc>
        <w:tc>
          <w:tcPr>
            <w:tcW w:type="dxa" w:w="14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tcPr>
          <w:p>
            <w:pPr>
              <w:jc w:val="right"/>
            </w:pPr>
            <w:r>
              <w:rPr>
                <w:b w:val="false"/>
                <w:bCs w:val="false"/>
                <w:sz w:val="19"/>
                <w:szCs w:val="19"/>
              </w:rPr>
              <w:t xml:space="preserve">High</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19"/>
                <w:szCs w:val="19"/>
              </w:rPr>
              <w:t xml:space="preserve">Balance-sheet gearing</w:t>
            </w:r>
          </w:p>
        </w:tc>
        <w:tc>
          <w:tcPr>
            <w:tcW w:type="dxa" w:w="5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19"/>
                <w:szCs w:val="19"/>
              </w:rPr>
              <w:t xml:space="preserve">The ~R9.66bn NKD consideration ends Mr Price's net-cash (ex-leases) profile and introduces funding/interest cost. Flat final dividend signals caution.</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19"/>
                <w:szCs w:val="19"/>
              </w:rPr>
              <w:t xml:space="preserve">Med-High</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tcPr>
          <w:p>
            <w:pPr>
              <w:jc w:val="left"/>
            </w:pPr>
            <w:r>
              <w:rPr>
                <w:b w:val="false"/>
                <w:bCs w:val="false"/>
                <w:sz w:val="19"/>
                <w:szCs w:val="19"/>
              </w:rPr>
              <w:t xml:space="preserve">Soft discretionary demand</w:t>
            </w:r>
          </w:p>
        </w:tc>
        <w:tc>
          <w:tcPr>
            <w:tcW w:type="dxa" w:w="536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tcPr>
          <w:p>
            <w:pPr>
              <w:jc w:val="right"/>
            </w:pPr>
            <w:r>
              <w:rPr>
                <w:b w:val="false"/>
                <w:bCs w:val="false"/>
                <w:sz w:val="19"/>
                <w:szCs w:val="19"/>
              </w:rPr>
              <w:t xml:space="preserve">Unit sales only +0.5%; growth is price-led. Apparel is highly cyclical and the SA consumer is fragile.</w:t>
            </w:r>
          </w:p>
        </w:tc>
        <w:tc>
          <w:tcPr>
            <w:tcW w:type="dxa" w:w="14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tcPr>
          <w:p>
            <w:pPr>
              <w:jc w:val="right"/>
            </w:pPr>
            <w:r>
              <w:rPr>
                <w:b w:val="false"/>
                <w:bCs w:val="false"/>
                <w:sz w:val="19"/>
                <w:szCs w:val="19"/>
              </w:rPr>
              <w:t xml:space="preserve">Medium</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19"/>
                <w:szCs w:val="19"/>
              </w:rPr>
              <w:t xml:space="preserve">Interest-rate inflexion</w:t>
            </w:r>
          </w:p>
        </w:tc>
        <w:tc>
          <w:tcPr>
            <w:tcW w:type="dxa" w:w="5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19"/>
                <w:szCs w:val="19"/>
              </w:rPr>
              <w:t xml:space="preserve">SARB raised rates 25bps end-May 2026, reversing the easing cycle. Pressures the credit book, debtors' interest income (other revenue -1.9%) and discretionary spend.</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19"/>
                <w:szCs w:val="19"/>
              </w:rPr>
              <w:t xml:space="preserve">Medium</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tcPr>
          <w:p>
            <w:pPr>
              <w:jc w:val="left"/>
            </w:pPr>
            <w:r>
              <w:rPr>
                <w:b w:val="false"/>
                <w:bCs w:val="false"/>
                <w:sz w:val="19"/>
                <w:szCs w:val="19"/>
              </w:rPr>
              <w:t xml:space="preserve">High comparative base</w:t>
            </w:r>
          </w:p>
        </w:tc>
        <w:tc>
          <w:tcPr>
            <w:tcW w:type="dxa" w:w="536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tcPr>
          <w:p>
            <w:pPr>
              <w:jc w:val="right"/>
            </w:pPr>
            <w:r>
              <w:rPr>
                <w:b w:val="false"/>
                <w:bCs w:val="false"/>
                <w:sz w:val="19"/>
                <w:szCs w:val="19"/>
              </w:rPr>
              <w:t xml:space="preserve">Prior-year H2 retail sales grew 9.9% on two-pot withdrawals; tougher comparatives into FY2027.</w:t>
            </w:r>
          </w:p>
        </w:tc>
        <w:tc>
          <w:tcPr>
            <w:tcW w:type="dxa" w:w="14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tcPr>
          <w:p>
            <w:pPr>
              <w:jc w:val="right"/>
            </w:pPr>
            <w:r>
              <w:rPr>
                <w:b w:val="false"/>
                <w:bCs w:val="false"/>
                <w:sz w:val="19"/>
                <w:szCs w:val="19"/>
              </w:rPr>
              <w:t xml:space="preserve">Medium</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19"/>
                <w:szCs w:val="19"/>
              </w:rPr>
              <w:t xml:space="preserve">Import sourcing / USD-CNY</w:t>
            </w:r>
          </w:p>
        </w:tc>
        <w:tc>
          <w:tcPr>
            <w:tcW w:type="dxa" w:w="5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19"/>
                <w:szCs w:val="19"/>
              </w:rPr>
              <w:t xml:space="preserve">A large share of apparel is imported; rand weakness raises input costs and pressures the ~40% gross margin (managed via cover and local sourcing).</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19"/>
                <w:szCs w:val="19"/>
              </w:rPr>
              <w:t xml:space="preserve">Medium</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tcPr>
          <w:p>
            <w:pPr>
              <w:jc w:val="left"/>
            </w:pPr>
            <w:r>
              <w:rPr>
                <w:b w:val="false"/>
                <w:bCs w:val="false"/>
                <w:sz w:val="19"/>
                <w:szCs w:val="19"/>
              </w:rPr>
              <w:t xml:space="preserve">Competition</w:t>
            </w:r>
          </w:p>
        </w:tc>
        <w:tc>
          <w:tcPr>
            <w:tcW w:type="dxa" w:w="536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tcPr>
          <w:p>
            <w:pPr>
              <w:jc w:val="right"/>
            </w:pPr>
            <w:r>
              <w:rPr>
                <w:b w:val="false"/>
                <w:bCs w:val="false"/>
                <w:sz w:val="19"/>
                <w:szCs w:val="19"/>
              </w:rPr>
              <w:t xml:space="preserve">Shein/Temu and value peers (Pepkor, Foschini, Pep) intensify price competition in apparel and home.</w:t>
            </w:r>
          </w:p>
        </w:tc>
        <w:tc>
          <w:tcPr>
            <w:tcW w:type="dxa" w:w="14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tcPr>
          <w:p>
            <w:pPr>
              <w:jc w:val="right"/>
            </w:pPr>
            <w:r>
              <w:rPr>
                <w:b w:val="false"/>
                <w:bCs w:val="false"/>
                <w:sz w:val="19"/>
                <w:szCs w:val="19"/>
              </w:rPr>
              <w:t xml:space="preserve">Medium</w:t>
            </w:r>
          </w:p>
        </w:tc>
      </w:tr>
    </w:tbl>
    <w:p>
      <w:pPr>
        <w:spacing w:after="40"/>
      </w:pPr>
      <w:r>
        <w:rPr>
          <w:i/>
          <w:iCs/>
          <w:color w:val="888888"/>
          <w:sz w:val="18"/>
          <w:szCs w:val="18"/>
        </w:rPr>
        <w:t xml:space="preserve">Severity ratings are analyst judgement.</w:t>
      </w:r>
      <w:r>
        <w:rPr>
          <w:rStyle w:val="FootnoteReference"/>
        </w:rPr>
        <w:footnoteReference w:id="6"/>
      </w:r>
    </w:p>
    <w:p>
      <w:pPr>
        <w:pStyle w:val="Heading1"/>
      </w:pPr>
      <w:r>
        <w:t xml:space="preserve">5. Rand exposure</w:t>
      </w:r>
    </w:p>
    <w:p>
      <w:pPr>
        <w:spacing w:after="120"/>
      </w:pPr>
      <w:r>
        <w:t xml:space="preserve">Historically Mr Price has been an almost </w:t>
      </w:r>
      <w:r>
        <w:rPr>
          <w:b/>
          <w:bCs/>
        </w:rPr>
        <w:t xml:space="preserve">pure-rand earner</w:t>
      </w:r>
      <w:r>
        <w:t xml:space="preserve">: revenue and costs are overwhelmingly South African, so the only material FX was </w:t>
      </w:r>
      <w:r>
        <w:rPr>
          <w:b/>
          <w:bCs/>
        </w:rPr>
        <w:t xml:space="preserve">transactional</w:t>
      </w:r>
      <w:r>
        <w:t xml:space="preserve"> — imported apparel and homeware priced in USD/CNY. Rand weakness raises landed input costs and pressures the ~40% gross margin, managed through forward cover, supplier negotiation and local sourcing. This exposure is real but well-trodden and hedgeable.</w:t>
      </w:r>
    </w:p>
    <w:p>
      <w:pPr>
        <w:spacing w:after="120"/>
      </w:pPr>
      <w:r>
        <w:rPr>
          <w:b/>
          <w:bCs/>
        </w:rPr>
        <w:t xml:space="preserve">NKD changes the category of risk entirely.</w:t>
      </w:r>
      <w:r>
        <w:t xml:space="preserve"> From FY2027 a large </w:t>
      </w:r>
      <w:r>
        <w:rPr>
          <w:b/>
          <w:bCs/>
        </w:rPr>
        <w:t xml:space="preserve">euro-denominated</w:t>
      </w:r>
      <w:r>
        <w:t xml:space="preserve"> business (combined group revenue heading toward ~R53bn, with a meaningful European share) is consolidated into a ZAR reporter.</w:t>
      </w:r>
      <w:r>
        <w:rPr>
          <w:rStyle w:val="FootnoteReference"/>
        </w:rPr>
        <w:footnoteReference w:id="3"/>
      </w:r>
      <w:r>
        <w:t xml:space="preserve"> That introduces </w:t>
      </w:r>
      <w:r>
        <w:rPr>
          <w:b/>
          <w:bCs/>
        </w:rPr>
        <w:t xml:space="preserve">translational</w:t>
      </w:r>
      <w:r>
        <w:t xml:space="preserve"> FX risk on revenue, earnings and the balance sheet: EUR/ZAR strength would flatter reported growth, weakness would drag it, and the goodwill/asset base now carries currency revaluation. There is a partial natural offset — euro earnings are a rand hedge within the portfolio — but net-net the group’s reported numbers become materially more FX-sensitive than at any point in its history.</w:t>
      </w:r>
    </w:p>
    <w:p>
      <w:pPr>
        <w:spacing w:after="120"/>
      </w:pPr>
      <w:r>
        <w:t xml:space="preserve">For modelling: separate the SA cash engine (ZAR, ~40% GM, cash-based) from the new euro layer (NKD margins, seasonality and the EUR/ZAR path), and treat FY2027 as the first “dual-currency” year. </w:t>
      </w:r>
      <w:r>
        <w:rPr>
          <w:i/>
          <w:iCs/>
        </w:rPr>
        <w:t xml:space="preserve">(Analyst framing.)</w:t>
      </w:r>
      <w:r>
        <w:rPr>
          <w:rStyle w:val="FootnoteReference"/>
        </w:rPr>
        <w:footnoteReference w:id="6"/>
      </w:r>
    </w:p>
    <w:p>
      <w:pPr>
        <w:pStyle w:val="Heading1"/>
      </w:pPr>
      <w:r>
        <w:t xml:space="preserve">6. Capital allocation</w:t>
      </w:r>
    </w:p>
    <w:p>
      <w:pPr>
        <w:spacing w:after="120"/>
      </w:pPr>
      <w:r>
        <w:t xml:space="preserve">Mr Price’s capital-allocation reputation rests on </w:t>
      </w:r>
      <w:r>
        <w:rPr>
          <w:b/>
          <w:bCs/>
        </w:rPr>
        <w:t xml:space="preserve">high returns on a cash-generative, net-cash (ex-lease) balance sheet</w:t>
      </w:r>
      <w:r>
        <w:t xml:space="preserve">, a ~63% dividend payout policy, and self-funded, high-yielding store growth (196 new stores in FY2026; trading space +3.6%).</w:t>
      </w:r>
      <w:r>
        <w:rPr>
          <w:rStyle w:val="FootnoteReference"/>
        </w:rPr>
        <w:footnoteReference w:id="1"/>
      </w:r>
      <w:r>
        <w:t xml:space="preserve"> Cash sales are 89.4% of retail sales, and the credit book is run conservatively — a structurally low-risk model.</w:t>
      </w:r>
      <w:r>
        <w:rPr>
          <w:rStyle w:val="FootnoteReference"/>
        </w:rPr>
        <w:footnoteReference w:id="1"/>
      </w:r>
    </w:p>
    <w:p>
      <w:pPr>
        <w:spacing w:after="120"/>
      </w:pPr>
      <w:r>
        <w:t xml:space="preserve">The group also has an active M&amp;A history — Power Fashion, Yuppiechef and Studio 88 — but </w:t>
      </w:r>
      <w:r>
        <w:rPr>
          <w:b/>
          <w:bCs/>
        </w:rPr>
        <w:t xml:space="preserve">NKD is an order of magnitude larger</w:t>
      </w:r>
      <w:r>
        <w:t xml:space="preserve"> at ~R9.66bn and is the first to gear up the balance sheet and consume the net-cash buffer.</w:t>
      </w:r>
      <w:r>
        <w:rPr>
          <w:rStyle w:val="FootnoteReference"/>
        </w:rPr>
        <w:footnoteReference w:id="3"/>
      </w:r>
      <w:r>
        <w:t xml:space="preserve"> The decision to hold the FY2026 final dividend essentially flat (592.8c vs 593.5c) is consistent with preserving capital for the acquisition and its funding.</w:t>
      </w:r>
      <w:r>
        <w:rPr>
          <w:rStyle w:val="FootnoteReference"/>
        </w:rPr>
        <w:footnoteReference w:id="1"/>
      </w:r>
    </w:p>
    <w:p>
      <w:pPr>
        <w:spacing w:after="120"/>
      </w:pPr>
      <w:r>
        <w:rPr>
          <w:b/>
          <w:bCs/>
        </w:rPr>
        <w:t xml:space="preserve">Note on reported “net debt”: </w:t>
      </w:r>
      <w:r>
        <w:t xml:space="preserve">third-party screens show ~R8.6bn of debt against ~R3.0bn cash, but the bulk of that debt is </w:t>
      </w:r>
      <w:r>
        <w:rPr>
          <w:b/>
          <w:bCs/>
        </w:rPr>
        <w:t xml:space="preserve">IFRS 16 lease liability</w:t>
      </w:r>
      <w:r>
        <w:t xml:space="preserve">, not borrowings; pre-NKD the group was effectively net cash excluding leases.</w:t>
      </w:r>
      <w:r>
        <w:rPr>
          <w:rStyle w:val="FootnoteReference"/>
        </w:rPr>
        <w:footnoteReference w:id="5"/>
      </w:r>
      <w:r>
        <w:t xml:space="preserve"> Post-NKD, genuine financial gearing rises — quantifying the funding mix (cash vs debt vs any equity) and the pro-forma interest bill is the key capital-allocation question for the FY2026 AFS and the FY2027 result. </w:t>
      </w:r>
      <w:r>
        <w:rPr>
          <w:i/>
          <w:iCs/>
        </w:rPr>
        <w:t xml:space="preserve">(Analyst judgement.)</w:t>
      </w:r>
      <w:r>
        <w:rPr>
          <w:rStyle w:val="FootnoteReference"/>
        </w:rPr>
        <w:footnoteReference w:id="6"/>
      </w:r>
    </w:p>
    <w:p>
      <w:pPr>
        <w:pStyle w:val="Heading1"/>
      </w:pPr>
      <w:r>
        <w:t xml:space="preserve">7. Questions for management</w:t>
      </w:r>
    </w:p>
    <w:p>
      <w:pPr>
        <w:pStyle w:val="ListParagraph"/>
        <w:numPr>
          <w:ilvl w:val="0"/>
          <w:numId w:val="2"/>
        </w:numPr>
        <w:spacing w:after="80"/>
      </w:pPr>
      <w:r>
        <w:t xml:space="preserve">NKD funding: what is the exact debt/cash mix for the ~R9.66bn consideration, the pro-forma net debt/EBITDA, and the expected FY2027 interest charge?</w:t>
      </w:r>
    </w:p>
    <w:p>
      <w:pPr>
        <w:pStyle w:val="ListParagraph"/>
        <w:numPr>
          <w:ilvl w:val="0"/>
          <w:numId w:val="2"/>
        </w:numPr>
        <w:spacing w:after="80"/>
      </w:pPr>
      <w:r>
        <w:t xml:space="preserve">NKD returns: what ROCE and margin does NKD earn today, what are the synergy and margin-uplift targets, and over what timeframe — and how is impairment risk being framed?</w:t>
      </w:r>
    </w:p>
    <w:p>
      <w:pPr>
        <w:pStyle w:val="ListParagraph"/>
        <w:numPr>
          <w:ilvl w:val="0"/>
          <w:numId w:val="2"/>
        </w:numPr>
        <w:spacing w:after="80"/>
      </w:pPr>
      <w:r>
        <w:t xml:space="preserve">FX policy: how will euro translation be managed and disclosed (segmental reporting, hedging of net investment), and what EUR/ZAR assumption underpins guidance?</w:t>
      </w:r>
    </w:p>
    <w:p>
      <w:pPr>
        <w:pStyle w:val="ListParagraph"/>
        <w:numPr>
          <w:ilvl w:val="0"/>
          <w:numId w:val="2"/>
        </w:numPr>
        <w:spacing w:after="80"/>
      </w:pPr>
      <w:r>
        <w:t xml:space="preserve">Incentives: are NKD transaction and integration costs normalised out of STI/LTI targets, and what new return hurdles attach to the European strategy?</w:t>
      </w:r>
    </w:p>
    <w:p>
      <w:pPr>
        <w:pStyle w:val="ListParagraph"/>
        <w:numPr>
          <w:ilvl w:val="0"/>
          <w:numId w:val="2"/>
        </w:numPr>
        <w:spacing w:after="80"/>
      </w:pPr>
      <w:r>
        <w:t xml:space="preserve">Capital returns: is the ~63% payout policy intact through the integration, or should we expect a lower payout while gearing is worked down?</w:t>
      </w:r>
    </w:p>
    <w:p>
      <w:r>
        <w:br w:type="page"/>
      </w:r>
    </w:p>
    <w:p>
      <w:pPr>
        <w:pStyle w:val="Heading1"/>
      </w:pPr>
      <w:r>
        <w:t xml:space="preserve">8. Sources &amp; provenance</w:t>
      </w:r>
    </w:p>
    <w:p>
      <w:pPr>
        <w:spacing w:after="120"/>
      </w:pPr>
      <w:r>
        <w:rPr>
          <w:sz w:val="19"/>
          <w:szCs w:val="19"/>
        </w:rPr>
        <w:t xml:space="preserve">Primary and secondary sources are footnoted throughout (keys S1–S5). Full URLs and local file paths are in the footnotes on each page and summarised below. FY2026 results figures are from the company’s SENS announcement / official supplementary information (S1), cross-checked against contemporaneous reporting (S2).</w:t>
      </w:r>
    </w:p>
    <w:p>
      <w:pPr>
        <w:pStyle w:val="ListParagraph"/>
        <w:numPr>
          <w:ilvl w:val="0"/>
          <w:numId w:val="2"/>
        </w:numPr>
        <w:spacing w:after="80"/>
      </w:pPr>
      <w:r>
        <w:rPr>
          <w:sz w:val="19"/>
          <w:szCs w:val="19"/>
        </w:rPr>
        <w:t xml:space="preserve">S1 — Mr Price FY2026 annual results (SENS, 5 Jun 2026) + official supplementary information. Local: companies/mr-price/annual-reports/mrprice-annual-results-fy2026-20260605.txt</w:t>
      </w:r>
    </w:p>
    <w:p>
      <w:pPr>
        <w:pStyle w:val="ListParagraph"/>
        <w:numPr>
          <w:ilvl w:val="0"/>
          <w:numId w:val="2"/>
        </w:numPr>
        <w:spacing w:after="80"/>
      </w:pPr>
      <w:r>
        <w:rPr>
          <w:sz w:val="19"/>
          <w:szCs w:val="19"/>
        </w:rPr>
        <w:t xml:space="preserve">S2 — The Citizen, 5 Jun 2026 (FY2026 figures).</w:t>
      </w:r>
    </w:p>
    <w:p>
      <w:pPr>
        <w:pStyle w:val="ListParagraph"/>
        <w:numPr>
          <w:ilvl w:val="0"/>
          <w:numId w:val="2"/>
        </w:numPr>
        <w:spacing w:after="80"/>
      </w:pPr>
      <w:r>
        <w:rPr>
          <w:sz w:val="19"/>
          <w:szCs w:val="19"/>
        </w:rPr>
        <w:t xml:space="preserve">S3 — NKD acquisition (Daily Investor; IOL 17 Mar 2026; Cape Town Etc). Local: companies/mr-price/press-releases/mrprice-nkd-acquisition-summary-2025-2026.txt</w:t>
      </w:r>
    </w:p>
    <w:p>
      <w:pPr>
        <w:pStyle w:val="ListParagraph"/>
        <w:numPr>
          <w:ilvl w:val="0"/>
          <w:numId w:val="2"/>
        </w:numPr>
        <w:spacing w:after="80"/>
      </w:pPr>
      <w:r>
        <w:rPr>
          <w:sz w:val="19"/>
          <w:szCs w:val="19"/>
        </w:rPr>
        <w:t xml:space="preserve">S4 — Remuneration (BusinessTech FY2025; IOL 3 Jul 2023). Prior-year; confirm FY2026 in the remuneration report.</w:t>
      </w:r>
    </w:p>
    <w:p>
      <w:pPr>
        <w:pStyle w:val="ListParagraph"/>
        <w:numPr>
          <w:ilvl w:val="0"/>
          <w:numId w:val="2"/>
        </w:numPr>
        <w:spacing w:after="80"/>
      </w:pPr>
      <w:r>
        <w:rPr>
          <w:sz w:val="19"/>
          <w:szCs w:val="19"/>
        </w:rPr>
        <w:t xml:space="preserve">S5 — StockAnalysis.com (JSE:MRP), accessed 5 Jun 2026; web-sourced, possibly delayed.</w:t>
      </w:r>
    </w:p>
    <w:p>
      <w:pPr>
        <w:spacing w:after="120"/>
      </w:pPr>
      <w:r>
        <w:rPr>
          <w:b/>
          <w:bCs/>
          <w:sz w:val="19"/>
          <w:szCs w:val="19"/>
        </w:rPr>
        <w:t xml:space="preserve">Verification note: </w:t>
      </w:r>
      <w:r>
        <w:rPr>
          <w:color w:val="888888"/>
          <w:sz w:val="19"/>
          <w:szCs w:val="19"/>
        </w:rPr>
        <w:t xml:space="preserve">FY2026 headline figures (revenue, operating profit, EPS/HEPS, dividend, store count) were taken from the company’s released results as quoted on 5 June 2026. Prior-year comparatives marked (e) are derived for context and should be confirmed against the FY2026 AFS. Binary originals (SENS PDF, AFS, presentation, remuneration report, NKD SENS) are not yet archived locally — logged as coverage gaps in manifest.json for browser backfill.</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5"/>
        <w:szCs w:val="15"/>
      </w:rPr>
      <w:t xml:space="preserve">Mr Price Group (JSE: MRP) — FY2026/2027</w:t>
    </w:r>
    <w:r>
      <w:rPr>
        <w:color w:val="888888"/>
        <w:sz w:val="15"/>
        <w:szCs w:val="15"/>
      </w:rPr>
      <w:t xml:space="preserve">	Page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S1 — Mr Price Group, Annual Results for the 52 weeks ended 28 March 2026 (released on SENS 5 June 2026); official supplementary information: https://mrpricegroup.com/wp-content/uploads/2026/06/Supplementary-information-FY2026.pdf. Local: companies/mr-price/annual-reports/mrprice-annual-results-fy2026-20260605.txt</w:t>
      </w:r>
    </w:p>
  </w:footnote>
  <w:footnote w:id="2">
    <w:p>
      <w:r>
        <w:rPr>
          <w:rStyle w:val="FootnoteReference"/>
        </w:rPr>
        <w:footnoteRef/>
      </w:r>
      <w:r>
        <w:t xml:space="preserve">S2 — The Citizen, “Mr Price generates roughly R16.4 million a day in operating profit”, 5 June 2026, quoting the FY2026 results: https://www.citizen.co.za/business/mr-price-generates-roughly-r16-4-million-a-day-in-operating-profit/</w:t>
      </w:r>
    </w:p>
  </w:footnote>
  <w:footnote w:id="3">
    <w:p>
      <w:r>
        <w:rPr>
          <w:rStyle w:val="FootnoteReference"/>
        </w:rPr>
        <w:footnoteRef/>
      </w:r>
      <w:r>
        <w:t xml:space="preserve">S3 — NKD acquisition: Daily Investor (R9.7bn purchase) https://dailyinvestor.com/retail/121204/mr-price-ploughs-ahead-with-controversial-r9-7-billion-purchase/ ; IOL, “Mr Price defends acquisition of Europe-based NKD”, 17 Mar 2026; Cape Town Etc, “Mr Price European debut”. Local: companies/mr-price/press-releases/mrprice-nkd-acquisition-summary-2025-2026.txt</w:t>
      </w:r>
    </w:p>
  </w:footnote>
  <w:footnote w:id="4">
    <w:p>
      <w:r>
        <w:rPr>
          <w:rStyle w:val="FootnoteReference"/>
        </w:rPr>
        <w:footnoteRef/>
      </w:r>
      <w:r>
        <w:t xml:space="preserve">S4 — Remuneration: BusinessTech, “Mr Price CEO gets R60 million pay package” (FY2025); IOL, “Mr Price slashes CEO’s pay”, 3 July 2023 (FY2023 structure &amp; performance linkage). Figures are prior-year; FY2026 figures to be confirmed in the FY2026 remuneration report.</w:t>
      </w:r>
    </w:p>
  </w:footnote>
  <w:footnote w:id="5">
    <w:p>
      <w:r>
        <w:rPr>
          <w:rStyle w:val="FootnoteReference"/>
        </w:rPr>
        <w:footnoteRef/>
      </w:r>
      <w:r>
        <w:t xml:space="preserve">S5 — Market data: StockAnalysis.com (JSE:MRP), accessed 5 June 2026 — share price ~R212, trailing P/E ~10.9x, forward P/E ~9.9x. Web-sourced and potentially delayed; no live JSE feed. https://stockanalysis.com/quote/jse/MRP/statistics/</w:t>
      </w:r>
    </w:p>
  </w:footnote>
  <w:footnote w:id="6">
    <w:p>
      <w:r>
        <w:rPr>
          <w:rStyle w:val="FootnoteReference"/>
        </w:rPr>
        <w:footnoteRef/>
      </w:r>
      <w:r>
        <w:t xml:space="preserve">Derived/analyst judgement, labelled as such in-text. Not a company-reported figure.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pPr>
    <w:r>
      <w:rPr>
        <w:color w:val="888888"/>
        <w:sz w:val="15"/>
        <w:szCs w:val="15"/>
      </w:rPr>
      <w:t xml:space="preserve">JSE Equity Research  ·  For informational purposes only — not investment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160"/>
      <w:outlineLvl w:val="1"/>
    </w:pPr>
    <w:rPr>
      <w:rFonts w:ascii="Arial" w:cs="Arial" w:eastAsia="Arial" w:hAnsi="Arial"/>
      <w:b/>
      <w:bCs/>
      <w:color w:val="2E4D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 Price Group — Research Note FY2026/2027</dc:title>
  <dc:creator>JSE Equity Research (Cowork)</dc:creator>
  <cp:lastModifiedBy>Un-named</cp:lastModifiedBy>
  <cp:revision>1</cp:revision>
  <dcterms:created xsi:type="dcterms:W3CDTF">2026-06-05T17:24:13.001Z</dcterms:created>
  <dcterms:modified xsi:type="dcterms:W3CDTF">2026-06-05T17:24:13.001Z</dcterms:modified>
</cp:coreProperties>
</file>

<file path=docProps/custom.xml><?xml version="1.0" encoding="utf-8"?>
<Properties xmlns="http://schemas.openxmlformats.org/officeDocument/2006/custom-properties" xmlns:vt="http://schemas.openxmlformats.org/officeDocument/2006/docPropsVTypes"/>
</file>